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53682" w14:textId="7B1A3DF1" w:rsidR="00F14987" w:rsidRPr="00F14987" w:rsidRDefault="00F14987" w:rsidP="00F14987">
      <w:pPr>
        <w:pStyle w:val="Heading1"/>
      </w:pPr>
      <w:r w:rsidRPr="00F14987">
        <w:t>CHAPTER 16</w:t>
      </w:r>
    </w:p>
    <w:p w14:paraId="64E8F6A2" w14:textId="7B4C1457" w:rsidR="00F14987" w:rsidRPr="00F14987" w:rsidRDefault="00F14987" w:rsidP="0022195D">
      <w:pPr>
        <w:pStyle w:val="Heading1"/>
      </w:pPr>
      <w:r w:rsidRPr="00F14987">
        <w:t>COMPETITION POLICY</w:t>
      </w:r>
    </w:p>
    <w:p w14:paraId="584A8AD4" w14:textId="561D38CF" w:rsidR="00F14987" w:rsidRPr="00B33D62" w:rsidRDefault="00F14987" w:rsidP="00B33D62">
      <w:pPr>
        <w:pStyle w:val="Heading2"/>
        <w:ind w:right="73"/>
      </w:pPr>
      <w:r w:rsidRPr="0022195D">
        <w:t>Article</w:t>
      </w:r>
      <w:r w:rsidRPr="00F14987">
        <w:t xml:space="preserve"> 16.1: Competition Law and Authorities and Anticompetitive Business Conduct</w:t>
      </w:r>
      <w:r w:rsidRPr="0022195D">
        <w:rPr>
          <w:rStyle w:val="FootnoteReference"/>
          <w:b w:val="0"/>
          <w:bCs w:val="0"/>
        </w:rPr>
        <w:footnoteReference w:id="1"/>
      </w:r>
    </w:p>
    <w:p w14:paraId="3EBCC906" w14:textId="77777777" w:rsidR="00F14987" w:rsidRDefault="00F14987" w:rsidP="00F14987">
      <w:pPr>
        <w:pStyle w:val="ListParagraph1"/>
        <w:ind w:right="113"/>
      </w:pPr>
      <w:r>
        <w:t>Each Party shall adopt or maintain national competition laws that</w:t>
      </w:r>
      <w:r>
        <w:rPr>
          <w:spacing w:val="40"/>
        </w:rPr>
        <w:t xml:space="preserve"> </w:t>
      </w:r>
      <w:r>
        <w:t>proscribe anticompetitive business conduct, with the objective of promoting economic efficiency</w:t>
      </w:r>
      <w:r>
        <w:rPr>
          <w:spacing w:val="-1"/>
        </w:rPr>
        <w:t xml:space="preserve"> </w:t>
      </w:r>
      <w:r>
        <w:t xml:space="preserve">and consumer </w:t>
      </w:r>
      <w:proofErr w:type="gramStart"/>
      <w:r>
        <w:t>welfare, and</w:t>
      </w:r>
      <w:proofErr w:type="gramEnd"/>
      <w:r>
        <w:t xml:space="preserve"> shall take appropriate action with respect to that conduct.</w:t>
      </w:r>
      <w:r>
        <w:rPr>
          <w:spacing w:val="40"/>
        </w:rPr>
        <w:t xml:space="preserve"> </w:t>
      </w:r>
      <w:r>
        <w:t xml:space="preserve">These laws should </w:t>
      </w:r>
      <w:proofErr w:type="gramStart"/>
      <w:r>
        <w:t>take into account</w:t>
      </w:r>
      <w:proofErr w:type="gramEnd"/>
      <w:r>
        <w:t xml:space="preserve"> the </w:t>
      </w:r>
      <w:r>
        <w:rPr>
          <w:i/>
        </w:rPr>
        <w:t>APEC Principles to Enhance Competition and Regulatory Reform</w:t>
      </w:r>
      <w:r>
        <w:t>, done at Auckland, September</w:t>
      </w:r>
      <w:r>
        <w:rPr>
          <w:spacing w:val="40"/>
        </w:rPr>
        <w:t xml:space="preserve"> </w:t>
      </w:r>
      <w:r>
        <w:t>13, 1999.</w:t>
      </w:r>
    </w:p>
    <w:p w14:paraId="6B78B522" w14:textId="5B7D57EE" w:rsidR="00F14987" w:rsidRDefault="00F14987" w:rsidP="00F14987">
      <w:pPr>
        <w:pStyle w:val="ListParagraph1"/>
        <w:ind w:right="113"/>
      </w:pPr>
      <w:r>
        <w:t>Each Party shall endeavour to apply its national competition laws to all commercial activities in its territory.</w:t>
      </w:r>
      <w:r>
        <w:rPr>
          <w:rStyle w:val="FootnoteReference"/>
        </w:rPr>
        <w:footnoteReference w:id="2"/>
      </w:r>
      <w:r>
        <w:rPr>
          <w:spacing w:val="40"/>
        </w:rPr>
        <w:t xml:space="preserve"> </w:t>
      </w:r>
      <w:r>
        <w:t>However, each Party may provide for certain exemptions from the application of its national competition laws provided that those exemptions are transparent and are based on public policy grounds or public interest grounds.</w:t>
      </w:r>
    </w:p>
    <w:p w14:paraId="10C9BDE9" w14:textId="77777777" w:rsidR="00F14987" w:rsidRDefault="00F14987" w:rsidP="00F14987">
      <w:pPr>
        <w:pStyle w:val="ListParagraph1"/>
        <w:ind w:right="113"/>
      </w:pPr>
      <w:r>
        <w:t xml:space="preserve">Each Party shall maintain an authority or authorities responsible for the enforcement of its national competition laws (national competition authorities). Each Party shall provide that it is the enforcement policy of that authority or authorities to act in accordance with the objectives set out in paragraph 1 and not to discriminate </w:t>
      </w:r>
      <w:proofErr w:type="gramStart"/>
      <w:r>
        <w:t>on the basis of</w:t>
      </w:r>
      <w:proofErr w:type="gramEnd"/>
      <w:r>
        <w:t xml:space="preserve"> nationality.</w:t>
      </w:r>
    </w:p>
    <w:p w14:paraId="26873E21" w14:textId="175B30C6" w:rsidR="00F14987" w:rsidRDefault="00F14987" w:rsidP="00B33D62">
      <w:pPr>
        <w:pStyle w:val="Heading2"/>
      </w:pPr>
      <w:r>
        <w:t>Article</w:t>
      </w:r>
      <w:r>
        <w:rPr>
          <w:spacing w:val="-9"/>
        </w:rPr>
        <w:t xml:space="preserve"> </w:t>
      </w:r>
      <w:r>
        <w:t>16.2:</w:t>
      </w:r>
      <w:r>
        <w:rPr>
          <w:spacing w:val="46"/>
        </w:rPr>
        <w:t xml:space="preserve"> </w:t>
      </w:r>
      <w:r>
        <w:t>Procedural</w:t>
      </w:r>
      <w:r>
        <w:rPr>
          <w:spacing w:val="-8"/>
        </w:rPr>
        <w:t xml:space="preserve"> </w:t>
      </w:r>
      <w:r>
        <w:t>Fairness</w:t>
      </w:r>
      <w:r>
        <w:rPr>
          <w:spacing w:val="-7"/>
        </w:rPr>
        <w:t xml:space="preserve"> </w:t>
      </w:r>
      <w:r>
        <w:t>in</w:t>
      </w:r>
      <w:r>
        <w:rPr>
          <w:spacing w:val="-7"/>
        </w:rPr>
        <w:t xml:space="preserve"> </w:t>
      </w:r>
      <w:r>
        <w:t>Competition</w:t>
      </w:r>
      <w:r>
        <w:rPr>
          <w:spacing w:val="-7"/>
        </w:rPr>
        <w:t xml:space="preserve"> </w:t>
      </w:r>
      <w:r>
        <w:t>Law</w:t>
      </w:r>
      <w:r>
        <w:rPr>
          <w:spacing w:val="-5"/>
        </w:rPr>
        <w:t xml:space="preserve"> </w:t>
      </w:r>
      <w:r>
        <w:rPr>
          <w:spacing w:val="-2"/>
        </w:rPr>
        <w:t>Enforcement</w:t>
      </w:r>
      <w:r w:rsidRPr="006900A5">
        <w:rPr>
          <w:rStyle w:val="FootnoteReference"/>
          <w:b w:val="0"/>
          <w:bCs w:val="0"/>
          <w:spacing w:val="-2"/>
        </w:rPr>
        <w:footnoteReference w:id="3"/>
      </w:r>
    </w:p>
    <w:p w14:paraId="2D675174" w14:textId="77777777" w:rsidR="00F14987" w:rsidRDefault="00F14987" w:rsidP="00906FC4">
      <w:pPr>
        <w:pStyle w:val="ListParagraph1"/>
        <w:numPr>
          <w:ilvl w:val="0"/>
          <w:numId w:val="4"/>
        </w:numPr>
        <w:ind w:left="0" w:right="113" w:firstLine="0"/>
      </w:pPr>
      <w:r>
        <w:t>Each Party</w:t>
      </w:r>
      <w:r w:rsidRPr="00F14987">
        <w:rPr>
          <w:spacing w:val="-5"/>
        </w:rPr>
        <w:t xml:space="preserve"> </w:t>
      </w:r>
      <w:r>
        <w:t>shall ensure</w:t>
      </w:r>
      <w:r w:rsidRPr="00F14987">
        <w:rPr>
          <w:spacing w:val="-1"/>
        </w:rPr>
        <w:t xml:space="preserve"> </w:t>
      </w:r>
      <w:r>
        <w:t>that before</w:t>
      </w:r>
      <w:r w:rsidRPr="00F14987">
        <w:rPr>
          <w:spacing w:val="-1"/>
        </w:rPr>
        <w:t xml:space="preserve"> </w:t>
      </w:r>
      <w:r>
        <w:t>it imposes a</w:t>
      </w:r>
      <w:r w:rsidRPr="00F14987">
        <w:rPr>
          <w:spacing w:val="-1"/>
        </w:rPr>
        <w:t xml:space="preserve"> </w:t>
      </w:r>
      <w:r>
        <w:t>sanction or</w:t>
      </w:r>
      <w:r w:rsidRPr="00F14987">
        <w:rPr>
          <w:spacing w:val="-1"/>
        </w:rPr>
        <w:t xml:space="preserve"> </w:t>
      </w:r>
      <w:r>
        <w:t>remedy</w:t>
      </w:r>
      <w:r w:rsidRPr="00F14987">
        <w:rPr>
          <w:spacing w:val="-2"/>
        </w:rPr>
        <w:t xml:space="preserve"> </w:t>
      </w:r>
      <w:r>
        <w:t>against a person for violating its national competition laws, it affords that person:</w:t>
      </w:r>
    </w:p>
    <w:p w14:paraId="6FACA455" w14:textId="4E96ED69" w:rsidR="00F14987" w:rsidRDefault="00F14987" w:rsidP="00F14987">
      <w:pPr>
        <w:pStyle w:val="ListParagraph1a"/>
        <w:ind w:left="1418" w:right="113"/>
        <w:rPr>
          <w:spacing w:val="-2"/>
        </w:rPr>
      </w:pPr>
      <w:r>
        <w:t xml:space="preserve">information about the national competition authority’s competition </w:t>
      </w:r>
      <w:proofErr w:type="gramStart"/>
      <w:r>
        <w:rPr>
          <w:spacing w:val="-2"/>
        </w:rPr>
        <w:t>concerns;</w:t>
      </w:r>
      <w:proofErr w:type="gramEnd"/>
    </w:p>
    <w:p w14:paraId="0F1EC192" w14:textId="77777777" w:rsidR="00F14987" w:rsidRDefault="00F14987">
      <w:pPr>
        <w:spacing w:after="0"/>
        <w:ind w:firstLine="0"/>
        <w:jc w:val="left"/>
        <w:rPr>
          <w:spacing w:val="-2"/>
        </w:rPr>
      </w:pPr>
      <w:r>
        <w:rPr>
          <w:spacing w:val="-2"/>
        </w:rPr>
        <w:br w:type="page"/>
      </w:r>
    </w:p>
    <w:p w14:paraId="1D991CB3" w14:textId="77777777" w:rsidR="00F14987" w:rsidRDefault="00F14987" w:rsidP="00F14987">
      <w:pPr>
        <w:pStyle w:val="ListParagraph1a"/>
        <w:ind w:right="57"/>
      </w:pPr>
      <w:r>
        <w:lastRenderedPageBreak/>
        <w:t>a</w:t>
      </w:r>
      <w:r>
        <w:rPr>
          <w:spacing w:val="-7"/>
        </w:rPr>
        <w:t xml:space="preserve"> </w:t>
      </w:r>
      <w:r>
        <w:t>reasonable</w:t>
      </w:r>
      <w:r>
        <w:rPr>
          <w:spacing w:val="-6"/>
        </w:rPr>
        <w:t xml:space="preserve"> </w:t>
      </w:r>
      <w:r>
        <w:t>opportunity</w:t>
      </w:r>
      <w:r>
        <w:rPr>
          <w:spacing w:val="-8"/>
        </w:rPr>
        <w:t xml:space="preserve"> </w:t>
      </w:r>
      <w:r>
        <w:t>to</w:t>
      </w:r>
      <w:r>
        <w:rPr>
          <w:spacing w:val="-5"/>
        </w:rPr>
        <w:t xml:space="preserve"> </w:t>
      </w:r>
      <w:r>
        <w:t>be</w:t>
      </w:r>
      <w:r>
        <w:rPr>
          <w:spacing w:val="-6"/>
        </w:rPr>
        <w:t xml:space="preserve"> </w:t>
      </w:r>
      <w:r>
        <w:t>represented</w:t>
      </w:r>
      <w:r>
        <w:rPr>
          <w:spacing w:val="-5"/>
        </w:rPr>
        <w:t xml:space="preserve"> </w:t>
      </w:r>
      <w:r>
        <w:t>by</w:t>
      </w:r>
      <w:r>
        <w:rPr>
          <w:spacing w:val="-10"/>
        </w:rPr>
        <w:t xml:space="preserve"> </w:t>
      </w:r>
      <w:r>
        <w:t>counsel;</w:t>
      </w:r>
      <w:r>
        <w:rPr>
          <w:spacing w:val="-5"/>
        </w:rPr>
        <w:t xml:space="preserve"> and</w:t>
      </w:r>
    </w:p>
    <w:p w14:paraId="15EEBE7F" w14:textId="77777777" w:rsidR="00F14987" w:rsidRDefault="00F14987" w:rsidP="00F14987">
      <w:pPr>
        <w:pStyle w:val="ListParagraph1a"/>
        <w:ind w:right="57"/>
      </w:pPr>
      <w:r>
        <w:t>a reasonable opportunity to be heard and present evidence in its defence, except that a Party</w:t>
      </w:r>
      <w:r>
        <w:rPr>
          <w:spacing w:val="-1"/>
        </w:rPr>
        <w:t xml:space="preserve"> </w:t>
      </w:r>
      <w:r>
        <w:t>may</w:t>
      </w:r>
      <w:r>
        <w:rPr>
          <w:spacing w:val="-1"/>
        </w:rPr>
        <w:t xml:space="preserve"> </w:t>
      </w:r>
      <w:r>
        <w:t>provide for the person to be heard and present evidence within a reasonable time after it imposes an interim sanction or remedy.</w:t>
      </w:r>
    </w:p>
    <w:p w14:paraId="030EBBD9" w14:textId="7F83109D" w:rsidR="00F14987" w:rsidRDefault="00F14987" w:rsidP="00F14987">
      <w:pPr>
        <w:ind w:right="57" w:firstLine="0"/>
      </w:pPr>
      <w:proofErr w:type="gramStart"/>
      <w:r>
        <w:t>In particular, each</w:t>
      </w:r>
      <w:proofErr w:type="gramEnd"/>
      <w:r>
        <w:t xml:space="preserve"> Party shall afford that person a reasonable opportunity to present evidence or testimony in its defence, including: if applicable, to offer the analysis of a properly qualified expert, to cross-examine any testifying witness; and to review and rebut the evidence introduced in the enforcement proceeding</w:t>
      </w:r>
      <w:r>
        <w:rPr>
          <w:rStyle w:val="FootnoteReference"/>
        </w:rPr>
        <w:footnoteReference w:id="4"/>
      </w:r>
      <w:r>
        <w:t>.</w:t>
      </w:r>
    </w:p>
    <w:p w14:paraId="67491FAA" w14:textId="77777777" w:rsidR="00F14987" w:rsidRDefault="00F14987" w:rsidP="00F14987">
      <w:pPr>
        <w:pStyle w:val="ListParagraph1"/>
        <w:ind w:right="57"/>
      </w:pPr>
      <w:r>
        <w:t>Each Party shall adopt or maintain written procedures pursuant to which</w:t>
      </w:r>
      <w:r>
        <w:rPr>
          <w:spacing w:val="40"/>
        </w:rPr>
        <w:t xml:space="preserve"> </w:t>
      </w:r>
      <w:r>
        <w:t>its national competition law investigations are conducted.</w:t>
      </w:r>
      <w:r>
        <w:rPr>
          <w:spacing w:val="40"/>
        </w:rPr>
        <w:t xml:space="preserve"> </w:t>
      </w:r>
      <w:r>
        <w:t>If these investigations are not subject to definitive deadlines, each Party’s national competition authorities shall endeavour to conduct their investigations within a reasonable</w:t>
      </w:r>
      <w:r>
        <w:rPr>
          <w:spacing w:val="40"/>
        </w:rPr>
        <w:t xml:space="preserve"> </w:t>
      </w:r>
      <w:r>
        <w:t>time frame.</w:t>
      </w:r>
    </w:p>
    <w:p w14:paraId="7B50A090" w14:textId="77777777" w:rsidR="00F14987" w:rsidRDefault="00F14987" w:rsidP="00F14987">
      <w:pPr>
        <w:pStyle w:val="ListParagraph1"/>
        <w:ind w:right="57"/>
      </w:pPr>
      <w:r>
        <w:t>Each Party shall adopt or maintain rules of procedure and evidence that apply to enforcement proceedings concerning alleged violations of its national competition laws and the determination of sanctions and remedies thereunder. These rules shall include procedures for introducing evidence, including expert evidence if applicable, and shall apply equally to all parties to a proceeding.</w:t>
      </w:r>
    </w:p>
    <w:p w14:paraId="5F2CA30E" w14:textId="77777777" w:rsidR="00F14987" w:rsidRDefault="00F14987" w:rsidP="00F14987">
      <w:pPr>
        <w:pStyle w:val="ListParagraph1"/>
        <w:ind w:right="57"/>
      </w:pPr>
      <w:r>
        <w:t>Each Party shall provide a person that is subject to the imposition of a sanction or remedy for violation of its national competition laws with the opportunity</w:t>
      </w:r>
      <w:r>
        <w:rPr>
          <w:spacing w:val="-1"/>
        </w:rPr>
        <w:t xml:space="preserve"> </w:t>
      </w:r>
      <w:r>
        <w:t>to seek review of the sanction or remedy, including review of alleged substantive or procedural errors, in a court or other independent tribunal established under that Party’s laws.</w:t>
      </w:r>
    </w:p>
    <w:p w14:paraId="4E783BE8" w14:textId="77777777" w:rsidR="00F14987" w:rsidRDefault="00F14987" w:rsidP="00F14987">
      <w:pPr>
        <w:pStyle w:val="ListParagraph1"/>
        <w:ind w:right="57"/>
      </w:pPr>
      <w:r>
        <w:t>Each Party shall authorise its national competition authorities to resolve alleged violations voluntarily</w:t>
      </w:r>
      <w:r>
        <w:rPr>
          <w:spacing w:val="-2"/>
        </w:rPr>
        <w:t xml:space="preserve"> </w:t>
      </w:r>
      <w:r>
        <w:t>by</w:t>
      </w:r>
      <w:r>
        <w:rPr>
          <w:spacing w:val="-2"/>
        </w:rPr>
        <w:t xml:space="preserve"> </w:t>
      </w:r>
      <w:r>
        <w:t>consent of the authority</w:t>
      </w:r>
      <w:r>
        <w:rPr>
          <w:spacing w:val="-2"/>
        </w:rPr>
        <w:t xml:space="preserve"> </w:t>
      </w:r>
      <w:r>
        <w:t>and the person subject to the enforcement action.</w:t>
      </w:r>
      <w:r>
        <w:rPr>
          <w:spacing w:val="40"/>
        </w:rPr>
        <w:t xml:space="preserve"> </w:t>
      </w:r>
      <w:r>
        <w:t>A Party may provide for such voluntary resolution to be subject to judicial or independent tribunal approval or a public comment period before becoming final.</w:t>
      </w:r>
    </w:p>
    <w:p w14:paraId="759F1BBA" w14:textId="77777777" w:rsidR="00F14987" w:rsidRDefault="00F14987" w:rsidP="00F14987">
      <w:pPr>
        <w:pStyle w:val="ListParagraph1"/>
        <w:ind w:right="57"/>
      </w:pPr>
      <w:r>
        <w:t>If a Party’s national competition authority issues a public notice that reveals the existence of a pending or ongoing investigation, that authority shall avoid implying in that notice that the person referred to in that notice has engaged in the alleged conduct or violated the Party’s national competition laws.</w:t>
      </w:r>
    </w:p>
    <w:p w14:paraId="2339C0A6" w14:textId="6F69D351" w:rsidR="00F14987" w:rsidRDefault="00F14987" w:rsidP="001E1792">
      <w:pPr>
        <w:pStyle w:val="ListParagraph1"/>
        <w:spacing w:after="0"/>
        <w:ind w:right="113"/>
      </w:pPr>
      <w:r>
        <w:t>If a Party’s national competition authority alleges a violation of its</w:t>
      </w:r>
      <w:r w:rsidRPr="001E1792">
        <w:rPr>
          <w:spacing w:val="40"/>
        </w:rPr>
        <w:t xml:space="preserve"> </w:t>
      </w:r>
      <w:r>
        <w:t>national competition laws, that authority shall be responsible for establishing the</w:t>
      </w:r>
      <w:r>
        <w:br w:type="page"/>
      </w:r>
    </w:p>
    <w:p w14:paraId="33021870" w14:textId="6D60D544" w:rsidR="00F14987" w:rsidRDefault="00F14987" w:rsidP="00F14987">
      <w:pPr>
        <w:pStyle w:val="ListParagraph1"/>
        <w:numPr>
          <w:ilvl w:val="0"/>
          <w:numId w:val="0"/>
        </w:numPr>
        <w:ind w:right="113"/>
      </w:pPr>
      <w:r>
        <w:lastRenderedPageBreak/>
        <w:t>legal</w:t>
      </w:r>
      <w:r>
        <w:rPr>
          <w:spacing w:val="-6"/>
        </w:rPr>
        <w:t xml:space="preserve"> </w:t>
      </w:r>
      <w:r>
        <w:t>and</w:t>
      </w:r>
      <w:r>
        <w:rPr>
          <w:spacing w:val="-6"/>
        </w:rPr>
        <w:t xml:space="preserve"> </w:t>
      </w:r>
      <w:r>
        <w:t>factual</w:t>
      </w:r>
      <w:r>
        <w:rPr>
          <w:spacing w:val="-6"/>
        </w:rPr>
        <w:t xml:space="preserve"> </w:t>
      </w:r>
      <w:r>
        <w:t>basis</w:t>
      </w:r>
      <w:r>
        <w:rPr>
          <w:spacing w:val="-5"/>
        </w:rPr>
        <w:t xml:space="preserve"> </w:t>
      </w:r>
      <w:r>
        <w:t>for</w:t>
      </w:r>
      <w:r>
        <w:rPr>
          <w:spacing w:val="-7"/>
        </w:rPr>
        <w:t xml:space="preserve"> </w:t>
      </w:r>
      <w:r>
        <w:t>the</w:t>
      </w:r>
      <w:r>
        <w:rPr>
          <w:spacing w:val="-6"/>
        </w:rPr>
        <w:t xml:space="preserve"> </w:t>
      </w:r>
      <w:r>
        <w:t>alleged</w:t>
      </w:r>
      <w:r>
        <w:rPr>
          <w:spacing w:val="-6"/>
        </w:rPr>
        <w:t xml:space="preserve"> </w:t>
      </w:r>
      <w:r>
        <w:t>violation</w:t>
      </w:r>
      <w:r>
        <w:rPr>
          <w:spacing w:val="-6"/>
        </w:rPr>
        <w:t xml:space="preserve"> </w:t>
      </w:r>
      <w:r>
        <w:t>in</w:t>
      </w:r>
      <w:r>
        <w:rPr>
          <w:spacing w:val="-4"/>
        </w:rPr>
        <w:t xml:space="preserve"> </w:t>
      </w:r>
      <w:r>
        <w:t>an</w:t>
      </w:r>
      <w:r>
        <w:rPr>
          <w:spacing w:val="-5"/>
        </w:rPr>
        <w:t xml:space="preserve"> </w:t>
      </w:r>
      <w:r>
        <w:t>enforcement</w:t>
      </w:r>
      <w:r>
        <w:rPr>
          <w:spacing w:val="-6"/>
        </w:rPr>
        <w:t xml:space="preserve"> </w:t>
      </w:r>
      <w:r>
        <w:rPr>
          <w:spacing w:val="-2"/>
        </w:rPr>
        <w:t>proceeding.</w:t>
      </w:r>
      <w:r>
        <w:rPr>
          <w:rStyle w:val="FootnoteReference"/>
          <w:spacing w:val="-2"/>
        </w:rPr>
        <w:footnoteReference w:id="5"/>
      </w:r>
    </w:p>
    <w:p w14:paraId="72705BDF" w14:textId="77777777" w:rsidR="00F14987" w:rsidRPr="006900A5" w:rsidRDefault="00F14987" w:rsidP="006900A5">
      <w:pPr>
        <w:pStyle w:val="ListParagraph1"/>
        <w:ind w:right="87"/>
      </w:pPr>
      <w:r w:rsidRPr="006900A5">
        <w:t>Each Party shall provide for the protection of business confidential information, and other information treated as confidential under its law, obtained by its national competition authorities during the investigative process.</w:t>
      </w:r>
      <w:r w:rsidRPr="006900A5">
        <w:rPr>
          <w:spacing w:val="80"/>
        </w:rPr>
        <w:t xml:space="preserve"> </w:t>
      </w:r>
      <w:r w:rsidRPr="006900A5">
        <w:t>If a Party’s national competition authority</w:t>
      </w:r>
      <w:r w:rsidRPr="006900A5">
        <w:rPr>
          <w:spacing w:val="-5"/>
        </w:rPr>
        <w:t xml:space="preserve"> </w:t>
      </w:r>
      <w:r w:rsidRPr="006900A5">
        <w:t>uses or</w:t>
      </w:r>
      <w:r w:rsidRPr="006900A5">
        <w:rPr>
          <w:spacing w:val="-1"/>
        </w:rPr>
        <w:t xml:space="preserve"> </w:t>
      </w:r>
      <w:r w:rsidRPr="006900A5">
        <w:t>intends to use</w:t>
      </w:r>
      <w:r w:rsidRPr="006900A5">
        <w:rPr>
          <w:spacing w:val="-1"/>
        </w:rPr>
        <w:t xml:space="preserve"> </w:t>
      </w:r>
      <w:r w:rsidRPr="006900A5">
        <w:t>that information in an enforcement proceeding, the Party shall, if it is permissible under its law and as appropriate, provide a procedure to allow the person under investigation timely access to information that is necessary to prepare an adequate defence to the national competition authority’s allegations.</w:t>
      </w:r>
    </w:p>
    <w:p w14:paraId="5B817C63" w14:textId="77777777" w:rsidR="00F14987" w:rsidRDefault="00F14987" w:rsidP="00F14987">
      <w:pPr>
        <w:pStyle w:val="ListParagraph1"/>
        <w:ind w:right="113"/>
      </w:pPr>
      <w:r>
        <w:t xml:space="preserve">Each Party shall ensure that its national competition authorities afford a person under investigation for possible violation of the national competition laws of that Party reasonable opportunity to consult with those competition authorities with respect to significant legal, </w:t>
      </w:r>
      <w:proofErr w:type="gramStart"/>
      <w:r>
        <w:t>factual</w:t>
      </w:r>
      <w:proofErr w:type="gramEnd"/>
      <w:r>
        <w:t xml:space="preserve"> or procedural issues that arise during the </w:t>
      </w:r>
      <w:r>
        <w:rPr>
          <w:spacing w:val="-2"/>
        </w:rPr>
        <w:t>investigation.</w:t>
      </w:r>
    </w:p>
    <w:p w14:paraId="118DBDE8" w14:textId="4AF65BE1" w:rsidR="00F14987" w:rsidRPr="00F14987" w:rsidRDefault="00F14987" w:rsidP="00B33D62">
      <w:pPr>
        <w:pStyle w:val="Heading2"/>
      </w:pPr>
      <w:r w:rsidRPr="00F14987">
        <w:t>Article 16.3: Private Rights of Action</w:t>
      </w:r>
      <w:r w:rsidRPr="006900A5">
        <w:rPr>
          <w:rStyle w:val="FootnoteReference"/>
          <w:b w:val="0"/>
          <w:bCs w:val="0"/>
        </w:rPr>
        <w:footnoteReference w:id="6"/>
      </w:r>
    </w:p>
    <w:p w14:paraId="05BB1BE4" w14:textId="77777777" w:rsidR="00F14987" w:rsidRDefault="00F14987" w:rsidP="00906FC4">
      <w:pPr>
        <w:pStyle w:val="ListParagraph1"/>
        <w:numPr>
          <w:ilvl w:val="0"/>
          <w:numId w:val="5"/>
        </w:numPr>
        <w:ind w:left="0" w:right="57" w:firstLine="0"/>
      </w:pPr>
      <w:r>
        <w:t>For</w:t>
      </w:r>
      <w:r w:rsidRPr="00F14987">
        <w:rPr>
          <w:spacing w:val="-4"/>
        </w:rPr>
        <w:t xml:space="preserve"> </w:t>
      </w:r>
      <w:r>
        <w:t>the</w:t>
      </w:r>
      <w:r w:rsidRPr="00F14987">
        <w:rPr>
          <w:spacing w:val="-4"/>
        </w:rPr>
        <w:t xml:space="preserve"> </w:t>
      </w:r>
      <w:r>
        <w:t>purposes</w:t>
      </w:r>
      <w:r w:rsidRPr="00F14987">
        <w:rPr>
          <w:spacing w:val="-3"/>
        </w:rPr>
        <w:t xml:space="preserve"> </w:t>
      </w:r>
      <w:r>
        <w:t>of</w:t>
      </w:r>
      <w:r w:rsidRPr="00F14987">
        <w:rPr>
          <w:spacing w:val="-4"/>
        </w:rPr>
        <w:t xml:space="preserve"> </w:t>
      </w:r>
      <w:r>
        <w:t>this</w:t>
      </w:r>
      <w:r w:rsidRPr="00F14987">
        <w:rPr>
          <w:spacing w:val="-1"/>
        </w:rPr>
        <w:t xml:space="preserve"> </w:t>
      </w:r>
      <w:r>
        <w:t>Article,</w:t>
      </w:r>
      <w:r w:rsidRPr="00F14987">
        <w:rPr>
          <w:spacing w:val="-3"/>
        </w:rPr>
        <w:t xml:space="preserve"> </w:t>
      </w:r>
      <w:r>
        <w:t>“private</w:t>
      </w:r>
      <w:r w:rsidRPr="00F14987">
        <w:rPr>
          <w:spacing w:val="-4"/>
        </w:rPr>
        <w:t xml:space="preserve"> </w:t>
      </w:r>
      <w:r>
        <w:t>right</w:t>
      </w:r>
      <w:r w:rsidRPr="00F14987">
        <w:rPr>
          <w:spacing w:val="-3"/>
        </w:rPr>
        <w:t xml:space="preserve"> </w:t>
      </w:r>
      <w:r>
        <w:t>of</w:t>
      </w:r>
      <w:r w:rsidRPr="00F14987">
        <w:rPr>
          <w:spacing w:val="-2"/>
        </w:rPr>
        <w:t xml:space="preserve"> </w:t>
      </w:r>
      <w:r>
        <w:t>action”</w:t>
      </w:r>
      <w:r w:rsidRPr="00F14987">
        <w:rPr>
          <w:spacing w:val="-4"/>
        </w:rPr>
        <w:t xml:space="preserve"> </w:t>
      </w:r>
      <w:r>
        <w:t>means</w:t>
      </w:r>
      <w:r w:rsidRPr="00F14987">
        <w:rPr>
          <w:spacing w:val="-3"/>
        </w:rPr>
        <w:t xml:space="preserve"> </w:t>
      </w:r>
      <w:r>
        <w:t>the</w:t>
      </w:r>
      <w:r w:rsidRPr="00F14987">
        <w:rPr>
          <w:spacing w:val="-4"/>
        </w:rPr>
        <w:t xml:space="preserve"> </w:t>
      </w:r>
      <w:r>
        <w:t>right</w:t>
      </w:r>
      <w:r w:rsidRPr="00F14987">
        <w:rPr>
          <w:spacing w:val="-3"/>
        </w:rPr>
        <w:t xml:space="preserve"> </w:t>
      </w:r>
      <w:r>
        <w:t xml:space="preserve">of a person to seek redress, including injunctive, </w:t>
      </w:r>
      <w:proofErr w:type="gramStart"/>
      <w:r>
        <w:t>monetary</w:t>
      </w:r>
      <w:proofErr w:type="gramEnd"/>
      <w:r>
        <w:t xml:space="preserve"> or other remedies, from a court or other independent tribunal for injury</w:t>
      </w:r>
      <w:r w:rsidRPr="00F14987">
        <w:rPr>
          <w:spacing w:val="-1"/>
        </w:rPr>
        <w:t xml:space="preserve"> </w:t>
      </w:r>
      <w:r>
        <w:t>to that person’s business or property caused by a violation of national competition laws, either independently or following a finding of violation by a national competition authority.</w:t>
      </w:r>
    </w:p>
    <w:p w14:paraId="7629AC8D" w14:textId="77777777" w:rsidR="00F14987" w:rsidRDefault="00F14987" w:rsidP="00906FC4">
      <w:pPr>
        <w:pStyle w:val="ListParagraph1"/>
        <w:numPr>
          <w:ilvl w:val="0"/>
          <w:numId w:val="5"/>
        </w:numPr>
        <w:ind w:left="0" w:right="57" w:firstLine="0"/>
      </w:pPr>
      <w:r>
        <w:t>Recognising</w:t>
      </w:r>
      <w:r w:rsidRPr="00F14987">
        <w:rPr>
          <w:spacing w:val="-4"/>
        </w:rPr>
        <w:t xml:space="preserve"> </w:t>
      </w:r>
      <w:r>
        <w:t>that</w:t>
      </w:r>
      <w:r w:rsidRPr="00F14987">
        <w:rPr>
          <w:spacing w:val="-2"/>
        </w:rPr>
        <w:t xml:space="preserve"> </w:t>
      </w:r>
      <w:r>
        <w:t>a</w:t>
      </w:r>
      <w:r w:rsidRPr="00F14987">
        <w:rPr>
          <w:spacing w:val="-3"/>
        </w:rPr>
        <w:t xml:space="preserve"> </w:t>
      </w:r>
      <w:r>
        <w:t>private</w:t>
      </w:r>
      <w:r w:rsidRPr="00F14987">
        <w:rPr>
          <w:spacing w:val="-3"/>
        </w:rPr>
        <w:t xml:space="preserve"> </w:t>
      </w:r>
      <w:r>
        <w:t>right</w:t>
      </w:r>
      <w:r w:rsidRPr="00F14987">
        <w:rPr>
          <w:spacing w:val="-2"/>
        </w:rPr>
        <w:t xml:space="preserve"> </w:t>
      </w:r>
      <w:r>
        <w:t>of</w:t>
      </w:r>
      <w:r w:rsidRPr="00F14987">
        <w:rPr>
          <w:spacing w:val="-3"/>
        </w:rPr>
        <w:t xml:space="preserve"> </w:t>
      </w:r>
      <w:r>
        <w:t>action</w:t>
      </w:r>
      <w:r w:rsidRPr="00F14987">
        <w:rPr>
          <w:spacing w:val="-2"/>
        </w:rPr>
        <w:t xml:space="preserve"> </w:t>
      </w:r>
      <w:r>
        <w:t>is</w:t>
      </w:r>
      <w:r w:rsidRPr="00F14987">
        <w:rPr>
          <w:spacing w:val="-2"/>
        </w:rPr>
        <w:t xml:space="preserve"> </w:t>
      </w:r>
      <w:r>
        <w:t>an</w:t>
      </w:r>
      <w:r w:rsidRPr="00F14987">
        <w:rPr>
          <w:spacing w:val="-2"/>
        </w:rPr>
        <w:t xml:space="preserve"> </w:t>
      </w:r>
      <w:r>
        <w:t>important</w:t>
      </w:r>
      <w:r w:rsidRPr="00F14987">
        <w:rPr>
          <w:spacing w:val="-2"/>
        </w:rPr>
        <w:t xml:space="preserve"> </w:t>
      </w:r>
      <w:r>
        <w:t>supplement</w:t>
      </w:r>
      <w:r w:rsidRPr="00F14987">
        <w:rPr>
          <w:spacing w:val="-2"/>
        </w:rPr>
        <w:t xml:space="preserve"> </w:t>
      </w:r>
      <w:r>
        <w:t>to</w:t>
      </w:r>
      <w:r w:rsidRPr="00F14987">
        <w:rPr>
          <w:spacing w:val="-4"/>
        </w:rPr>
        <w:t xml:space="preserve"> </w:t>
      </w:r>
      <w:r>
        <w:t xml:space="preserve">the public enforcement of national competition laws, each Party should adopt or maintain laws or other measures that provide an independent private right of </w:t>
      </w:r>
      <w:r w:rsidRPr="00F14987">
        <w:rPr>
          <w:spacing w:val="-2"/>
        </w:rPr>
        <w:t>action.</w:t>
      </w:r>
    </w:p>
    <w:p w14:paraId="37CD9C4D" w14:textId="77777777" w:rsidR="00F14987" w:rsidRDefault="00F14987" w:rsidP="00906FC4">
      <w:pPr>
        <w:pStyle w:val="ListParagraph1"/>
        <w:numPr>
          <w:ilvl w:val="0"/>
          <w:numId w:val="5"/>
        </w:numPr>
        <w:ind w:left="0" w:right="57" w:firstLine="0"/>
      </w:pPr>
      <w:r>
        <w:t>If a Party does not adopt or maintain laws or other measures that provide an independent private right of action, the Party shall adopt or maintain laws or other measures that provide a right that allows a person:</w:t>
      </w:r>
    </w:p>
    <w:p w14:paraId="65F21235" w14:textId="77777777" w:rsidR="00F14987" w:rsidRDefault="00F14987" w:rsidP="00906FC4">
      <w:pPr>
        <w:pStyle w:val="ListParagraph1a"/>
        <w:numPr>
          <w:ilvl w:val="0"/>
          <w:numId w:val="6"/>
        </w:numPr>
        <w:ind w:left="1418" w:right="57"/>
      </w:pPr>
      <w:r>
        <w:t>to request that the national competition authority initiate an investigation</w:t>
      </w:r>
      <w:r w:rsidRPr="00F14987">
        <w:rPr>
          <w:spacing w:val="-5"/>
        </w:rPr>
        <w:t xml:space="preserve"> </w:t>
      </w:r>
      <w:r>
        <w:t>into</w:t>
      </w:r>
      <w:r w:rsidRPr="00F14987">
        <w:rPr>
          <w:spacing w:val="-5"/>
        </w:rPr>
        <w:t xml:space="preserve"> </w:t>
      </w:r>
      <w:r>
        <w:t>an</w:t>
      </w:r>
      <w:r w:rsidRPr="00F14987">
        <w:rPr>
          <w:spacing w:val="-5"/>
        </w:rPr>
        <w:t xml:space="preserve"> </w:t>
      </w:r>
      <w:r>
        <w:t>alleged</w:t>
      </w:r>
      <w:r w:rsidRPr="00F14987">
        <w:rPr>
          <w:spacing w:val="-5"/>
        </w:rPr>
        <w:t xml:space="preserve"> </w:t>
      </w:r>
      <w:r>
        <w:t>violation</w:t>
      </w:r>
      <w:r w:rsidRPr="00F14987">
        <w:rPr>
          <w:spacing w:val="-5"/>
        </w:rPr>
        <w:t xml:space="preserve"> </w:t>
      </w:r>
      <w:r>
        <w:t>of</w:t>
      </w:r>
      <w:r w:rsidRPr="00F14987">
        <w:rPr>
          <w:spacing w:val="-6"/>
        </w:rPr>
        <w:t xml:space="preserve"> </w:t>
      </w:r>
      <w:r>
        <w:t>national</w:t>
      </w:r>
      <w:r w:rsidRPr="00F14987">
        <w:rPr>
          <w:spacing w:val="-3"/>
        </w:rPr>
        <w:t xml:space="preserve"> </w:t>
      </w:r>
      <w:r>
        <w:t>competition</w:t>
      </w:r>
      <w:r w:rsidRPr="00F14987">
        <w:rPr>
          <w:spacing w:val="-5"/>
        </w:rPr>
        <w:t xml:space="preserve"> </w:t>
      </w:r>
      <w:r>
        <w:t xml:space="preserve">laws; </w:t>
      </w:r>
      <w:r w:rsidRPr="00F14987">
        <w:rPr>
          <w:spacing w:val="-4"/>
        </w:rPr>
        <w:t>and</w:t>
      </w:r>
    </w:p>
    <w:p w14:paraId="197F0FF4" w14:textId="7CFBCE6C" w:rsidR="007F2CD6" w:rsidRDefault="00F14987" w:rsidP="005A041E">
      <w:pPr>
        <w:pStyle w:val="ListParagraph1a"/>
        <w:numPr>
          <w:ilvl w:val="0"/>
          <w:numId w:val="6"/>
        </w:numPr>
        <w:spacing w:after="0"/>
        <w:ind w:left="1418" w:right="57" w:hanging="709"/>
      </w:pPr>
      <w:r>
        <w:t>to seek redress from a court or other independent tribunal</w:t>
      </w:r>
      <w:r w:rsidR="005A041E">
        <w:rPr>
          <w:spacing w:val="40"/>
        </w:rPr>
        <w:t xml:space="preserve"> </w:t>
      </w:r>
      <w:r>
        <w:t>following</w:t>
      </w:r>
      <w:r w:rsidR="005A041E">
        <w:rPr>
          <w:spacing w:val="80"/>
        </w:rPr>
        <w:t> </w:t>
      </w:r>
      <w:r>
        <w:t>a</w:t>
      </w:r>
      <w:r w:rsidRPr="00556AB2">
        <w:rPr>
          <w:spacing w:val="80"/>
        </w:rPr>
        <w:t xml:space="preserve"> </w:t>
      </w:r>
      <w:r>
        <w:t>finding</w:t>
      </w:r>
      <w:r w:rsidRPr="00556AB2">
        <w:rPr>
          <w:spacing w:val="80"/>
        </w:rPr>
        <w:t xml:space="preserve"> </w:t>
      </w:r>
      <w:r>
        <w:t>of</w:t>
      </w:r>
      <w:r w:rsidRPr="00556AB2">
        <w:rPr>
          <w:spacing w:val="80"/>
        </w:rPr>
        <w:t xml:space="preserve"> </w:t>
      </w:r>
      <w:r>
        <w:t>violation</w:t>
      </w:r>
      <w:r w:rsidRPr="00556AB2">
        <w:rPr>
          <w:spacing w:val="80"/>
        </w:rPr>
        <w:t xml:space="preserve"> </w:t>
      </w:r>
      <w:r>
        <w:t>by</w:t>
      </w:r>
      <w:r w:rsidRPr="00556AB2">
        <w:rPr>
          <w:spacing w:val="80"/>
        </w:rPr>
        <w:t xml:space="preserve"> </w:t>
      </w:r>
      <w:r>
        <w:t>the</w:t>
      </w:r>
      <w:r w:rsidRPr="00556AB2">
        <w:rPr>
          <w:spacing w:val="80"/>
        </w:rPr>
        <w:t xml:space="preserve"> </w:t>
      </w:r>
      <w:r>
        <w:t>national</w:t>
      </w:r>
      <w:r w:rsidRPr="00556AB2">
        <w:rPr>
          <w:spacing w:val="80"/>
        </w:rPr>
        <w:t xml:space="preserve"> </w:t>
      </w:r>
      <w:r>
        <w:t>competition</w:t>
      </w:r>
      <w:r>
        <w:br/>
      </w:r>
    </w:p>
    <w:p w14:paraId="07128800" w14:textId="77777777" w:rsidR="007F2CD6" w:rsidRDefault="007F2CD6">
      <w:pPr>
        <w:spacing w:after="0"/>
        <w:ind w:firstLine="0"/>
        <w:jc w:val="left"/>
      </w:pPr>
      <w:r>
        <w:br w:type="page"/>
      </w:r>
    </w:p>
    <w:p w14:paraId="3AB2AF50" w14:textId="5FF32BEC" w:rsidR="00F14987" w:rsidRDefault="00F14987" w:rsidP="00342E32">
      <w:pPr>
        <w:pStyle w:val="ListParagraph1a"/>
        <w:numPr>
          <w:ilvl w:val="0"/>
          <w:numId w:val="0"/>
        </w:numPr>
        <w:ind w:left="1418" w:right="113"/>
      </w:pPr>
      <w:r>
        <w:lastRenderedPageBreak/>
        <w:t>authority.</w:t>
      </w:r>
    </w:p>
    <w:p w14:paraId="73FC65C7" w14:textId="77777777" w:rsidR="00F14987" w:rsidRDefault="00F14987" w:rsidP="00342E32">
      <w:pPr>
        <w:pStyle w:val="ListParagraph1"/>
        <w:ind w:right="113"/>
      </w:pPr>
      <w:r>
        <w:t>Each Party shall ensure that a right provided pursuant to paragraph 2 or 3</w:t>
      </w:r>
      <w:r>
        <w:rPr>
          <w:spacing w:val="40"/>
        </w:rPr>
        <w:t xml:space="preserve"> </w:t>
      </w:r>
      <w:r>
        <w:t>is available to persons of another Party on terms that are no less favourable than those available to its own persons.</w:t>
      </w:r>
    </w:p>
    <w:p w14:paraId="34D97BB4" w14:textId="77777777" w:rsidR="00F14987" w:rsidRDefault="00F14987" w:rsidP="00342E32">
      <w:pPr>
        <w:pStyle w:val="ListParagraph1"/>
        <w:ind w:right="113"/>
      </w:pPr>
      <w:r>
        <w:t>A Party may establish reasonable criteria for the exercise of any rights it creates or maintains in accordance with this Article.</w:t>
      </w:r>
    </w:p>
    <w:p w14:paraId="166B7E56" w14:textId="77777777" w:rsidR="00F14987" w:rsidRDefault="00F14987" w:rsidP="00B33D62">
      <w:pPr>
        <w:pStyle w:val="Heading2"/>
      </w:pPr>
      <w:r>
        <w:t>Article</w:t>
      </w:r>
      <w:r>
        <w:rPr>
          <w:spacing w:val="-6"/>
        </w:rPr>
        <w:t xml:space="preserve"> </w:t>
      </w:r>
      <w:r>
        <w:t>16.4:</w:t>
      </w:r>
      <w:r>
        <w:rPr>
          <w:spacing w:val="51"/>
        </w:rPr>
        <w:t xml:space="preserve"> </w:t>
      </w:r>
      <w:r>
        <w:t>Cooperation</w:t>
      </w:r>
    </w:p>
    <w:p w14:paraId="34DA69D5" w14:textId="77777777" w:rsidR="00F14987" w:rsidRDefault="00F14987" w:rsidP="00906FC4">
      <w:pPr>
        <w:pStyle w:val="ListParagraph1"/>
        <w:numPr>
          <w:ilvl w:val="0"/>
          <w:numId w:val="7"/>
        </w:numPr>
        <w:ind w:left="0" w:right="113" w:firstLine="0"/>
      </w:pPr>
      <w:r>
        <w:t>The Parties recognise the importance of cooperation and coordination between their respective national competition authorities to foster effective competition</w:t>
      </w:r>
      <w:r w:rsidRPr="00342E32">
        <w:rPr>
          <w:spacing w:val="-7"/>
        </w:rPr>
        <w:t xml:space="preserve"> </w:t>
      </w:r>
      <w:r>
        <w:t>law</w:t>
      </w:r>
      <w:r w:rsidRPr="00342E32">
        <w:rPr>
          <w:spacing w:val="-6"/>
        </w:rPr>
        <w:t xml:space="preserve"> </w:t>
      </w:r>
      <w:r>
        <w:t>enforcement</w:t>
      </w:r>
      <w:r w:rsidRPr="00342E32">
        <w:rPr>
          <w:spacing w:val="-6"/>
        </w:rPr>
        <w:t xml:space="preserve"> </w:t>
      </w:r>
      <w:r>
        <w:t>in</w:t>
      </w:r>
      <w:r w:rsidRPr="00342E32">
        <w:rPr>
          <w:spacing w:val="-7"/>
        </w:rPr>
        <w:t xml:space="preserve"> </w:t>
      </w:r>
      <w:r>
        <w:t>the</w:t>
      </w:r>
      <w:r w:rsidRPr="00342E32">
        <w:rPr>
          <w:spacing w:val="-6"/>
        </w:rPr>
        <w:t xml:space="preserve"> </w:t>
      </w:r>
      <w:r>
        <w:t>free</w:t>
      </w:r>
      <w:r w:rsidRPr="00342E32">
        <w:rPr>
          <w:spacing w:val="-7"/>
        </w:rPr>
        <w:t xml:space="preserve"> </w:t>
      </w:r>
      <w:r>
        <w:t>trade</w:t>
      </w:r>
      <w:r w:rsidRPr="00342E32">
        <w:rPr>
          <w:spacing w:val="-6"/>
        </w:rPr>
        <w:t xml:space="preserve"> </w:t>
      </w:r>
      <w:r>
        <w:t>area.</w:t>
      </w:r>
      <w:r w:rsidRPr="00342E32">
        <w:rPr>
          <w:spacing w:val="48"/>
        </w:rPr>
        <w:t xml:space="preserve"> </w:t>
      </w:r>
      <w:r>
        <w:t>Accordingly,</w:t>
      </w:r>
      <w:r w:rsidRPr="00342E32">
        <w:rPr>
          <w:spacing w:val="-4"/>
        </w:rPr>
        <w:t xml:space="preserve"> </w:t>
      </w:r>
      <w:r>
        <w:t>each</w:t>
      </w:r>
      <w:r w:rsidRPr="00342E32">
        <w:rPr>
          <w:spacing w:val="-6"/>
        </w:rPr>
        <w:t xml:space="preserve"> </w:t>
      </w:r>
      <w:r>
        <w:t>Party</w:t>
      </w:r>
      <w:r w:rsidRPr="00342E32">
        <w:rPr>
          <w:spacing w:val="-10"/>
        </w:rPr>
        <w:t xml:space="preserve"> </w:t>
      </w:r>
      <w:r>
        <w:t>shall:</w:t>
      </w:r>
    </w:p>
    <w:p w14:paraId="3A1AD9E2" w14:textId="77777777" w:rsidR="00F14987" w:rsidRDefault="00F14987" w:rsidP="00906FC4">
      <w:pPr>
        <w:pStyle w:val="ListParagraph1a"/>
        <w:numPr>
          <w:ilvl w:val="0"/>
          <w:numId w:val="8"/>
        </w:numPr>
        <w:ind w:left="1418" w:right="113"/>
      </w:pPr>
      <w:r>
        <w:t xml:space="preserve">cooperate </w:t>
      </w:r>
      <w:proofErr w:type="gramStart"/>
      <w:r>
        <w:t>in the area of</w:t>
      </w:r>
      <w:proofErr w:type="gramEnd"/>
      <w:r>
        <w:t xml:space="preserve"> competition policy by exchanging information on the development of competition policy; and</w:t>
      </w:r>
    </w:p>
    <w:p w14:paraId="33259436" w14:textId="77777777" w:rsidR="00F14987" w:rsidRDefault="00F14987" w:rsidP="00906FC4">
      <w:pPr>
        <w:pStyle w:val="ListParagraph1a"/>
        <w:numPr>
          <w:ilvl w:val="0"/>
          <w:numId w:val="8"/>
        </w:numPr>
        <w:ind w:left="1418" w:right="113"/>
      </w:pPr>
      <w:r>
        <w:t xml:space="preserve">cooperate, as appropriate, on issues of competition law enforcement, including through notification, </w:t>
      </w:r>
      <w:proofErr w:type="gramStart"/>
      <w:r>
        <w:t>consultation</w:t>
      </w:r>
      <w:proofErr w:type="gramEnd"/>
      <w:r>
        <w:t xml:space="preserve"> and the exchange of information.</w:t>
      </w:r>
    </w:p>
    <w:p w14:paraId="43B39EAE" w14:textId="77777777" w:rsidR="00F14987" w:rsidRDefault="00F14987" w:rsidP="00342E32">
      <w:pPr>
        <w:pStyle w:val="ListParagraph1"/>
        <w:ind w:right="113"/>
      </w:pPr>
      <w:r>
        <w:t>A Party’s national competition authorities may consider entering into a cooperation arrangement or agreement with the competition authorities of another Party that sets out mutually agreed terms of cooperation.</w:t>
      </w:r>
    </w:p>
    <w:p w14:paraId="5CDB427D" w14:textId="77777777" w:rsidR="00F14987" w:rsidRDefault="00F14987" w:rsidP="00342E32">
      <w:pPr>
        <w:pStyle w:val="ListParagraph1"/>
        <w:ind w:right="113"/>
      </w:pPr>
      <w:r>
        <w:t>The Parties agree to cooperate in a manner compatible with their</w:t>
      </w:r>
      <w:r>
        <w:rPr>
          <w:spacing w:val="40"/>
        </w:rPr>
        <w:t xml:space="preserve"> </w:t>
      </w:r>
      <w:r>
        <w:t xml:space="preserve">respective laws, </w:t>
      </w:r>
      <w:proofErr w:type="gramStart"/>
      <w:r>
        <w:t>regulations</w:t>
      </w:r>
      <w:proofErr w:type="gramEnd"/>
      <w:r>
        <w:t xml:space="preserve"> and important interests, and within their reasonably available resources.</w:t>
      </w:r>
    </w:p>
    <w:p w14:paraId="6292A7F9" w14:textId="77777777" w:rsidR="00F14987" w:rsidRDefault="00F14987" w:rsidP="00B33D62">
      <w:pPr>
        <w:pStyle w:val="Heading2"/>
      </w:pPr>
      <w:r>
        <w:t>Article</w:t>
      </w:r>
      <w:r>
        <w:rPr>
          <w:spacing w:val="-7"/>
        </w:rPr>
        <w:t xml:space="preserve"> </w:t>
      </w:r>
      <w:r>
        <w:t>16.5:</w:t>
      </w:r>
      <w:r>
        <w:rPr>
          <w:spacing w:val="48"/>
        </w:rPr>
        <w:t xml:space="preserve"> </w:t>
      </w:r>
      <w:r>
        <w:t>Technical</w:t>
      </w:r>
      <w:r>
        <w:rPr>
          <w:spacing w:val="-6"/>
        </w:rPr>
        <w:t xml:space="preserve"> </w:t>
      </w:r>
      <w:r>
        <w:t>Cooperation</w:t>
      </w:r>
    </w:p>
    <w:p w14:paraId="2F42F13F" w14:textId="77777777" w:rsidR="00F14987" w:rsidRDefault="00F14987" w:rsidP="00342E32">
      <w:pPr>
        <w:ind w:right="113"/>
      </w:pPr>
      <w:r>
        <w:t>Recognising that the Parties can benefit by sharing their diverse</w:t>
      </w:r>
      <w:r>
        <w:rPr>
          <w:spacing w:val="40"/>
        </w:rPr>
        <w:t xml:space="preserve"> </w:t>
      </w:r>
      <w:r>
        <w:t xml:space="preserve">experience in developing, </w:t>
      </w:r>
      <w:proofErr w:type="gramStart"/>
      <w:r>
        <w:t>applying</w:t>
      </w:r>
      <w:proofErr w:type="gramEnd"/>
      <w:r>
        <w:t xml:space="preserve"> and enforcing competition law and in developing and implementing competition policies, the Parties shall consider undertaking mutually agreed technical cooperation activities, subject to available resources, including:</w:t>
      </w:r>
    </w:p>
    <w:p w14:paraId="362DC60B" w14:textId="77777777" w:rsidR="00F14987" w:rsidRDefault="00F14987" w:rsidP="00906FC4">
      <w:pPr>
        <w:pStyle w:val="ListParagraph1a"/>
        <w:numPr>
          <w:ilvl w:val="0"/>
          <w:numId w:val="9"/>
        </w:numPr>
        <w:ind w:left="1418" w:right="113"/>
      </w:pPr>
      <w:r>
        <w:t xml:space="preserve">providing advice or training on relevant issues, including through the exchange of </w:t>
      </w:r>
      <w:proofErr w:type="gramStart"/>
      <w:r>
        <w:t>officials;</w:t>
      </w:r>
      <w:proofErr w:type="gramEnd"/>
    </w:p>
    <w:p w14:paraId="15136AC4" w14:textId="77777777" w:rsidR="00F14987" w:rsidRDefault="00F14987" w:rsidP="00906FC4">
      <w:pPr>
        <w:pStyle w:val="ListParagraph1a"/>
        <w:numPr>
          <w:ilvl w:val="0"/>
          <w:numId w:val="9"/>
        </w:numPr>
        <w:ind w:left="1418" w:right="113"/>
      </w:pPr>
      <w:r>
        <w:t>exchanging information and experiences on competition advocacy, including ways to promote a culture of competition; and</w:t>
      </w:r>
    </w:p>
    <w:p w14:paraId="4559F8C2" w14:textId="179F1938" w:rsidR="00342E32" w:rsidRDefault="00F14987" w:rsidP="00906FC4">
      <w:pPr>
        <w:pStyle w:val="ListParagraph1a"/>
        <w:numPr>
          <w:ilvl w:val="0"/>
          <w:numId w:val="9"/>
        </w:numPr>
        <w:ind w:left="1418" w:right="113"/>
      </w:pPr>
      <w:r>
        <w:t>assisting</w:t>
      </w:r>
      <w:r w:rsidRPr="00342E32">
        <w:rPr>
          <w:spacing w:val="-8"/>
        </w:rPr>
        <w:t xml:space="preserve"> </w:t>
      </w:r>
      <w:r>
        <w:t>a</w:t>
      </w:r>
      <w:r w:rsidRPr="00342E32">
        <w:rPr>
          <w:spacing w:val="-5"/>
        </w:rPr>
        <w:t xml:space="preserve"> </w:t>
      </w:r>
      <w:r>
        <w:t>Party</w:t>
      </w:r>
      <w:r w:rsidRPr="00342E32">
        <w:rPr>
          <w:spacing w:val="-10"/>
        </w:rPr>
        <w:t xml:space="preserve"> </w:t>
      </w:r>
      <w:r>
        <w:t>as</w:t>
      </w:r>
      <w:r w:rsidRPr="00342E32">
        <w:rPr>
          <w:spacing w:val="-4"/>
        </w:rPr>
        <w:t xml:space="preserve"> </w:t>
      </w:r>
      <w:r>
        <w:t>it</w:t>
      </w:r>
      <w:r w:rsidRPr="00342E32">
        <w:rPr>
          <w:spacing w:val="-5"/>
        </w:rPr>
        <w:t xml:space="preserve"> </w:t>
      </w:r>
      <w:r>
        <w:t>implements</w:t>
      </w:r>
      <w:r w:rsidRPr="00342E32">
        <w:rPr>
          <w:spacing w:val="-5"/>
        </w:rPr>
        <w:t xml:space="preserve"> </w:t>
      </w:r>
      <w:r>
        <w:t>a</w:t>
      </w:r>
      <w:r w:rsidRPr="00342E32">
        <w:rPr>
          <w:spacing w:val="-5"/>
        </w:rPr>
        <w:t xml:space="preserve"> </w:t>
      </w:r>
      <w:r>
        <w:t>new</w:t>
      </w:r>
      <w:r w:rsidRPr="00342E32">
        <w:rPr>
          <w:spacing w:val="-6"/>
        </w:rPr>
        <w:t xml:space="preserve"> </w:t>
      </w:r>
      <w:r>
        <w:t>national competition</w:t>
      </w:r>
      <w:r w:rsidRPr="00342E32">
        <w:rPr>
          <w:spacing w:val="-5"/>
        </w:rPr>
        <w:t xml:space="preserve"> </w:t>
      </w:r>
      <w:r w:rsidRPr="00342E32">
        <w:rPr>
          <w:spacing w:val="-4"/>
        </w:rPr>
        <w:t>law.</w:t>
      </w:r>
    </w:p>
    <w:p w14:paraId="4D97488B" w14:textId="77777777" w:rsidR="00342E32" w:rsidRDefault="00342E32">
      <w:pPr>
        <w:spacing w:after="0"/>
        <w:ind w:firstLine="0"/>
        <w:jc w:val="left"/>
      </w:pPr>
      <w:r>
        <w:br w:type="page"/>
      </w:r>
    </w:p>
    <w:p w14:paraId="5CBD075E" w14:textId="77777777" w:rsidR="00342E32" w:rsidRDefault="00342E32" w:rsidP="00B33D62">
      <w:pPr>
        <w:pStyle w:val="Heading2"/>
      </w:pPr>
      <w:r>
        <w:lastRenderedPageBreak/>
        <w:t>Article</w:t>
      </w:r>
      <w:r>
        <w:rPr>
          <w:spacing w:val="-8"/>
        </w:rPr>
        <w:t xml:space="preserve"> </w:t>
      </w:r>
      <w:r>
        <w:t>16.6:</w:t>
      </w:r>
      <w:r>
        <w:rPr>
          <w:spacing w:val="47"/>
        </w:rPr>
        <w:t xml:space="preserve"> </w:t>
      </w:r>
      <w:r>
        <w:t>Consumer</w:t>
      </w:r>
      <w:r>
        <w:rPr>
          <w:spacing w:val="-5"/>
        </w:rPr>
        <w:t xml:space="preserve"> </w:t>
      </w:r>
      <w:r>
        <w:rPr>
          <w:spacing w:val="-2"/>
        </w:rPr>
        <w:t>Protection</w:t>
      </w:r>
    </w:p>
    <w:p w14:paraId="5AD08B3F" w14:textId="77777777" w:rsidR="00342E32" w:rsidRDefault="00342E32" w:rsidP="00906FC4">
      <w:pPr>
        <w:pStyle w:val="ListParagraph1"/>
        <w:numPr>
          <w:ilvl w:val="0"/>
          <w:numId w:val="10"/>
        </w:numPr>
        <w:ind w:left="0" w:right="113" w:firstLine="0"/>
      </w:pPr>
      <w:r>
        <w:t>The Parties recognise the importance of consumer protection policy and enforcement to creating efficient and competitive markets and enhancing consumer welfare in the free trade area.</w:t>
      </w:r>
    </w:p>
    <w:p w14:paraId="0D7AD186" w14:textId="77777777" w:rsidR="00342E32" w:rsidRDefault="00342E32" w:rsidP="00906FC4">
      <w:pPr>
        <w:pStyle w:val="ListParagraph1"/>
        <w:numPr>
          <w:ilvl w:val="0"/>
          <w:numId w:val="10"/>
        </w:numPr>
        <w:ind w:left="0" w:right="113" w:firstLine="0"/>
      </w:pPr>
      <w:r>
        <w:t xml:space="preserve">For the purposes of this Article, fraudulent and deceptive commercial activities </w:t>
      </w:r>
      <w:proofErr w:type="gramStart"/>
      <w:r>
        <w:t>refers</w:t>
      </w:r>
      <w:proofErr w:type="gramEnd"/>
      <w:r>
        <w:t xml:space="preserve"> to those fraudulent and deceptive commercial practices that cause actual harm to consumers, or that pose an imminent threat of such harm if not prevented, for example:</w:t>
      </w:r>
    </w:p>
    <w:p w14:paraId="3BC4A8CB" w14:textId="77777777" w:rsidR="00342E32" w:rsidRDefault="00342E32" w:rsidP="00906FC4">
      <w:pPr>
        <w:pStyle w:val="ListParagraph1a"/>
        <w:numPr>
          <w:ilvl w:val="0"/>
          <w:numId w:val="11"/>
        </w:numPr>
        <w:ind w:left="1418" w:right="113"/>
      </w:pPr>
      <w:r>
        <w:t xml:space="preserve">a practice of making misrepresentations of material fact, including implied factual misrepresentations, that cause significant detriment to the economic interests of misled </w:t>
      </w:r>
      <w:proofErr w:type="gramStart"/>
      <w:r>
        <w:t>consumers;</w:t>
      </w:r>
      <w:proofErr w:type="gramEnd"/>
    </w:p>
    <w:p w14:paraId="028C468C" w14:textId="77777777" w:rsidR="00342E32" w:rsidRDefault="00342E32" w:rsidP="00906FC4">
      <w:pPr>
        <w:pStyle w:val="ListParagraph1a"/>
        <w:numPr>
          <w:ilvl w:val="0"/>
          <w:numId w:val="11"/>
        </w:numPr>
        <w:ind w:left="1418" w:right="113"/>
      </w:pPr>
      <w:r>
        <w:t>a practice of failing to deliver products or provide services to consumers after the consumers are charged; or</w:t>
      </w:r>
    </w:p>
    <w:p w14:paraId="5A7B1152" w14:textId="77777777" w:rsidR="00342E32" w:rsidRDefault="00342E32" w:rsidP="00906FC4">
      <w:pPr>
        <w:pStyle w:val="ListParagraph1a"/>
        <w:numPr>
          <w:ilvl w:val="0"/>
          <w:numId w:val="11"/>
        </w:numPr>
        <w:ind w:left="1418" w:right="113"/>
      </w:pPr>
      <w:r>
        <w:t>a practice of charging or debiting consumers’ financial, telephone or other accounts without authorisation.</w:t>
      </w:r>
    </w:p>
    <w:p w14:paraId="3E5453ED" w14:textId="43FA12D8" w:rsidR="00342E32" w:rsidRDefault="00342E32" w:rsidP="00906FC4">
      <w:pPr>
        <w:pStyle w:val="ListParagraph1"/>
        <w:numPr>
          <w:ilvl w:val="0"/>
          <w:numId w:val="10"/>
        </w:numPr>
        <w:ind w:left="0" w:right="113" w:firstLine="0"/>
      </w:pPr>
      <w:r>
        <w:t>Each Party</w:t>
      </w:r>
      <w:r w:rsidRPr="00342E32">
        <w:rPr>
          <w:spacing w:val="-1"/>
        </w:rPr>
        <w:t xml:space="preserve"> </w:t>
      </w:r>
      <w:r>
        <w:t>shall adopt or maintain consumer protection laws or other laws or regulations that proscribe fraudulent and deceptive commercial activities.</w:t>
      </w:r>
      <w:r>
        <w:rPr>
          <w:rStyle w:val="FootnoteReference"/>
        </w:rPr>
        <w:footnoteReference w:id="7"/>
      </w:r>
    </w:p>
    <w:p w14:paraId="44249379" w14:textId="77777777" w:rsidR="00342E32" w:rsidRDefault="00342E32" w:rsidP="00906FC4">
      <w:pPr>
        <w:pStyle w:val="ListParagraph1"/>
        <w:numPr>
          <w:ilvl w:val="0"/>
          <w:numId w:val="10"/>
        </w:numPr>
        <w:ind w:left="0" w:right="113" w:firstLine="0"/>
      </w:pPr>
      <w:r>
        <w:t>The Parties recognise that fraudulent and deceptive commercial activities increasingly transcend national borders and that cooperation and coordination between the Parties is desirable to effectively address these activities.</w:t>
      </w:r>
    </w:p>
    <w:p w14:paraId="4A3A63C5" w14:textId="77777777" w:rsidR="00342E32" w:rsidRDefault="00342E32" w:rsidP="00906FC4">
      <w:pPr>
        <w:pStyle w:val="ListParagraph1"/>
        <w:numPr>
          <w:ilvl w:val="0"/>
          <w:numId w:val="10"/>
        </w:numPr>
        <w:ind w:left="0" w:right="113" w:firstLine="0"/>
      </w:pPr>
      <w:r>
        <w:t xml:space="preserve">Accordingly, the Parties shall promote, as appropriate, cooperation and coordination on matters of mutual interest related to fraudulent and deceptive commercial activities, including in the enforcement of their consumer protection </w:t>
      </w:r>
      <w:r w:rsidRPr="00342E32">
        <w:rPr>
          <w:spacing w:val="-2"/>
        </w:rPr>
        <w:t>laws.</w:t>
      </w:r>
    </w:p>
    <w:p w14:paraId="745C6517" w14:textId="4E44D207" w:rsidR="00342E32" w:rsidRDefault="00342E32" w:rsidP="00906FC4">
      <w:pPr>
        <w:pStyle w:val="ListParagraph1"/>
        <w:numPr>
          <w:ilvl w:val="0"/>
          <w:numId w:val="10"/>
        </w:numPr>
        <w:ind w:left="0" w:right="113" w:firstLine="0"/>
      </w:pPr>
      <w:r>
        <w:t xml:space="preserve">The Parties shall endeavour to cooperate and coordinate on the matters set out in this Article through the relevant national public bodies or officials responsible for consumer protection policy, </w:t>
      </w:r>
      <w:proofErr w:type="gramStart"/>
      <w:r>
        <w:t>laws</w:t>
      </w:r>
      <w:proofErr w:type="gramEnd"/>
      <w:r>
        <w:t xml:space="preserve"> or enforcement, as determined</w:t>
      </w:r>
      <w:r w:rsidRPr="00342E32">
        <w:rPr>
          <w:spacing w:val="40"/>
        </w:rPr>
        <w:t xml:space="preserve"> </w:t>
      </w:r>
      <w:r>
        <w:t>by each Party and compatible with their respective laws, regulations and</w:t>
      </w:r>
      <w:r w:rsidRPr="00342E32">
        <w:rPr>
          <w:spacing w:val="40"/>
        </w:rPr>
        <w:t xml:space="preserve"> </w:t>
      </w:r>
      <w:r>
        <w:t>important interests and within their reasonably available resources.</w:t>
      </w:r>
    </w:p>
    <w:p w14:paraId="413A29F0" w14:textId="77777777" w:rsidR="00342E32" w:rsidRDefault="00342E32">
      <w:pPr>
        <w:spacing w:after="0"/>
        <w:ind w:firstLine="0"/>
        <w:jc w:val="left"/>
      </w:pPr>
      <w:r>
        <w:br w:type="page"/>
      </w:r>
    </w:p>
    <w:p w14:paraId="4011BC03" w14:textId="77777777" w:rsidR="00342E32" w:rsidRDefault="00342E32" w:rsidP="00B33D62">
      <w:pPr>
        <w:pStyle w:val="Heading2"/>
      </w:pPr>
      <w:r>
        <w:lastRenderedPageBreak/>
        <w:t>Article</w:t>
      </w:r>
      <w:r>
        <w:rPr>
          <w:spacing w:val="-6"/>
        </w:rPr>
        <w:t xml:space="preserve"> </w:t>
      </w:r>
      <w:r>
        <w:t>16.7:</w:t>
      </w:r>
      <w:r>
        <w:rPr>
          <w:spacing w:val="51"/>
        </w:rPr>
        <w:t xml:space="preserve"> </w:t>
      </w:r>
      <w:r>
        <w:rPr>
          <w:spacing w:val="-2"/>
        </w:rPr>
        <w:t>Transparency</w:t>
      </w:r>
    </w:p>
    <w:p w14:paraId="036696AF" w14:textId="77777777" w:rsidR="00342E32" w:rsidRDefault="00342E32" w:rsidP="00906FC4">
      <w:pPr>
        <w:pStyle w:val="ListParagraph1"/>
        <w:numPr>
          <w:ilvl w:val="0"/>
          <w:numId w:val="12"/>
        </w:numPr>
        <w:ind w:left="0" w:right="113" w:firstLine="0"/>
      </w:pPr>
      <w:r>
        <w:t>The Parties recognise the value of making their competition enforcement policies as transparent as possible.</w:t>
      </w:r>
    </w:p>
    <w:p w14:paraId="11AF7804" w14:textId="77777777" w:rsidR="00342E32" w:rsidRDefault="00342E32" w:rsidP="00906FC4">
      <w:pPr>
        <w:pStyle w:val="ListParagraph1"/>
        <w:numPr>
          <w:ilvl w:val="0"/>
          <w:numId w:val="12"/>
        </w:numPr>
        <w:ind w:left="0" w:right="113" w:firstLine="0"/>
      </w:pPr>
      <w:r>
        <w:t>Recognising</w:t>
      </w:r>
      <w:r w:rsidRPr="00342E32">
        <w:rPr>
          <w:spacing w:val="-4"/>
        </w:rPr>
        <w:t xml:space="preserve"> </w:t>
      </w:r>
      <w:r>
        <w:t>the</w:t>
      </w:r>
      <w:r w:rsidRPr="00342E32">
        <w:rPr>
          <w:spacing w:val="-3"/>
        </w:rPr>
        <w:t xml:space="preserve"> </w:t>
      </w:r>
      <w:r>
        <w:t>value</w:t>
      </w:r>
      <w:r w:rsidRPr="00342E32">
        <w:rPr>
          <w:spacing w:val="-3"/>
        </w:rPr>
        <w:t xml:space="preserve"> </w:t>
      </w:r>
      <w:r>
        <w:t>of</w:t>
      </w:r>
      <w:r w:rsidRPr="00342E32">
        <w:rPr>
          <w:spacing w:val="-1"/>
        </w:rPr>
        <w:t xml:space="preserve"> </w:t>
      </w:r>
      <w:r>
        <w:t>the</w:t>
      </w:r>
      <w:r w:rsidRPr="00342E32">
        <w:rPr>
          <w:spacing w:val="-3"/>
        </w:rPr>
        <w:t xml:space="preserve"> </w:t>
      </w:r>
      <w:r w:rsidRPr="00342E32">
        <w:rPr>
          <w:i/>
        </w:rPr>
        <w:t>APEC</w:t>
      </w:r>
      <w:r w:rsidRPr="00342E32">
        <w:rPr>
          <w:i/>
          <w:spacing w:val="-1"/>
        </w:rPr>
        <w:t xml:space="preserve"> </w:t>
      </w:r>
      <w:r w:rsidRPr="00342E32">
        <w:rPr>
          <w:i/>
        </w:rPr>
        <w:t>Competition</w:t>
      </w:r>
      <w:r w:rsidRPr="00342E32">
        <w:rPr>
          <w:i/>
          <w:spacing w:val="-4"/>
        </w:rPr>
        <w:t xml:space="preserve"> </w:t>
      </w:r>
      <w:r w:rsidRPr="00342E32">
        <w:rPr>
          <w:i/>
        </w:rPr>
        <w:t>Law</w:t>
      </w:r>
      <w:r w:rsidRPr="00342E32">
        <w:rPr>
          <w:i/>
          <w:spacing w:val="-1"/>
        </w:rPr>
        <w:t xml:space="preserve"> </w:t>
      </w:r>
      <w:r w:rsidRPr="00342E32">
        <w:rPr>
          <w:i/>
        </w:rPr>
        <w:t>and</w:t>
      </w:r>
      <w:r w:rsidRPr="00342E32">
        <w:rPr>
          <w:i/>
          <w:spacing w:val="-2"/>
        </w:rPr>
        <w:t xml:space="preserve"> </w:t>
      </w:r>
      <w:r w:rsidRPr="00342E32">
        <w:rPr>
          <w:i/>
        </w:rPr>
        <w:t>Policy</w:t>
      </w:r>
      <w:r w:rsidRPr="00342E32">
        <w:rPr>
          <w:i/>
          <w:spacing w:val="-3"/>
        </w:rPr>
        <w:t xml:space="preserve"> </w:t>
      </w:r>
      <w:r w:rsidRPr="00342E32">
        <w:rPr>
          <w:i/>
        </w:rPr>
        <w:t xml:space="preserve">Database </w:t>
      </w:r>
      <w:r>
        <w:t>in enhancing the transparency of national competition laws, policies and enforcement activities, each Party shall endeavour to maintain and update its information on that database.</w:t>
      </w:r>
    </w:p>
    <w:p w14:paraId="139BED06" w14:textId="77777777" w:rsidR="00342E32" w:rsidRDefault="00342E32" w:rsidP="00906FC4">
      <w:pPr>
        <w:pStyle w:val="ListParagraph1"/>
        <w:numPr>
          <w:ilvl w:val="0"/>
          <w:numId w:val="12"/>
        </w:numPr>
        <w:ind w:left="0" w:right="113" w:firstLine="0"/>
      </w:pPr>
      <w:r>
        <w:t>On request of another Party, a Party</w:t>
      </w:r>
      <w:r w:rsidRPr="00342E32">
        <w:rPr>
          <w:spacing w:val="-1"/>
        </w:rPr>
        <w:t xml:space="preserve"> </w:t>
      </w:r>
      <w:r>
        <w:t>shall make available to the requesting Party public information concerning:</w:t>
      </w:r>
    </w:p>
    <w:p w14:paraId="5FE0C22A" w14:textId="77777777" w:rsidR="00342E32" w:rsidRDefault="00342E32" w:rsidP="00906FC4">
      <w:pPr>
        <w:pStyle w:val="ListParagraph1a"/>
        <w:numPr>
          <w:ilvl w:val="0"/>
          <w:numId w:val="13"/>
        </w:numPr>
        <w:ind w:left="1418" w:right="113"/>
      </w:pPr>
      <w:r>
        <w:t>its</w:t>
      </w:r>
      <w:r w:rsidRPr="00342E32">
        <w:rPr>
          <w:spacing w:val="-8"/>
        </w:rPr>
        <w:t xml:space="preserve"> </w:t>
      </w:r>
      <w:r>
        <w:t>competition</w:t>
      </w:r>
      <w:r w:rsidRPr="00342E32">
        <w:rPr>
          <w:spacing w:val="-7"/>
        </w:rPr>
        <w:t xml:space="preserve"> </w:t>
      </w:r>
      <w:r>
        <w:t>law</w:t>
      </w:r>
      <w:r w:rsidRPr="00342E32">
        <w:rPr>
          <w:spacing w:val="-8"/>
        </w:rPr>
        <w:t xml:space="preserve"> </w:t>
      </w:r>
      <w:r>
        <w:t>enforcement</w:t>
      </w:r>
      <w:r w:rsidRPr="00342E32">
        <w:rPr>
          <w:spacing w:val="-8"/>
        </w:rPr>
        <w:t xml:space="preserve"> </w:t>
      </w:r>
      <w:r>
        <w:t>policies</w:t>
      </w:r>
      <w:r w:rsidRPr="00342E32">
        <w:rPr>
          <w:spacing w:val="-7"/>
        </w:rPr>
        <w:t xml:space="preserve"> </w:t>
      </w:r>
      <w:r>
        <w:t>and</w:t>
      </w:r>
      <w:r w:rsidRPr="00342E32">
        <w:rPr>
          <w:spacing w:val="-7"/>
        </w:rPr>
        <w:t xml:space="preserve"> </w:t>
      </w:r>
      <w:r>
        <w:t>practices;</w:t>
      </w:r>
      <w:r w:rsidRPr="00342E32">
        <w:rPr>
          <w:spacing w:val="-7"/>
        </w:rPr>
        <w:t xml:space="preserve"> </w:t>
      </w:r>
      <w:r w:rsidRPr="00342E32">
        <w:rPr>
          <w:spacing w:val="-5"/>
        </w:rPr>
        <w:t>and</w:t>
      </w:r>
    </w:p>
    <w:p w14:paraId="4C85ADEF" w14:textId="77777777" w:rsidR="00342E32" w:rsidRDefault="00342E32" w:rsidP="00906FC4">
      <w:pPr>
        <w:pStyle w:val="ListParagraph1a"/>
        <w:numPr>
          <w:ilvl w:val="0"/>
          <w:numId w:val="13"/>
        </w:numPr>
        <w:ind w:left="1418" w:right="113"/>
      </w:pPr>
      <w:r>
        <w:t xml:space="preserve">exemptions and immunities to its national competition laws, provided that the request specifies the </w:t>
      </w:r>
      <w:proofErr w:type="gramStart"/>
      <w:r>
        <w:t>particular good</w:t>
      </w:r>
      <w:proofErr w:type="gramEnd"/>
      <w:r>
        <w:t xml:space="preserve"> or service and market of concern and includes information explaining how</w:t>
      </w:r>
      <w:r w:rsidRPr="00342E32">
        <w:rPr>
          <w:spacing w:val="40"/>
        </w:rPr>
        <w:t xml:space="preserve"> </w:t>
      </w:r>
      <w:r>
        <w:t>the exemption or immunity may hinder trade or investment between the Parties.</w:t>
      </w:r>
    </w:p>
    <w:p w14:paraId="3F6E7A26" w14:textId="77777777" w:rsidR="00342E32" w:rsidRDefault="00342E32" w:rsidP="00906FC4">
      <w:pPr>
        <w:pStyle w:val="ListParagraph1"/>
        <w:numPr>
          <w:ilvl w:val="0"/>
          <w:numId w:val="12"/>
        </w:numPr>
        <w:ind w:left="0" w:right="113" w:firstLine="0"/>
      </w:pPr>
      <w:r>
        <w:t>Each Party shall ensure that a final decision finding a violation of its national</w:t>
      </w:r>
      <w:r w:rsidRPr="00342E32">
        <w:rPr>
          <w:spacing w:val="-1"/>
        </w:rPr>
        <w:t xml:space="preserve"> </w:t>
      </w:r>
      <w:r>
        <w:t>competition</w:t>
      </w:r>
      <w:r w:rsidRPr="00342E32">
        <w:rPr>
          <w:spacing w:val="-1"/>
        </w:rPr>
        <w:t xml:space="preserve"> </w:t>
      </w:r>
      <w:r>
        <w:t>laws</w:t>
      </w:r>
      <w:r w:rsidRPr="00342E32">
        <w:rPr>
          <w:spacing w:val="-1"/>
        </w:rPr>
        <w:t xml:space="preserve"> </w:t>
      </w:r>
      <w:r>
        <w:t>is</w:t>
      </w:r>
      <w:r w:rsidRPr="00342E32">
        <w:rPr>
          <w:spacing w:val="-1"/>
        </w:rPr>
        <w:t xml:space="preserve"> </w:t>
      </w:r>
      <w:r>
        <w:t>made</w:t>
      </w:r>
      <w:r w:rsidRPr="00342E32">
        <w:rPr>
          <w:spacing w:val="-2"/>
        </w:rPr>
        <w:t xml:space="preserve"> </w:t>
      </w:r>
      <w:r>
        <w:t>in</w:t>
      </w:r>
      <w:r w:rsidRPr="00342E32">
        <w:rPr>
          <w:spacing w:val="-1"/>
        </w:rPr>
        <w:t xml:space="preserve"> </w:t>
      </w:r>
      <w:r>
        <w:t>writing</w:t>
      </w:r>
      <w:r w:rsidRPr="00342E32">
        <w:rPr>
          <w:spacing w:val="-3"/>
        </w:rPr>
        <w:t xml:space="preserve"> </w:t>
      </w:r>
      <w:r>
        <w:t>and sets</w:t>
      </w:r>
      <w:r w:rsidRPr="00342E32">
        <w:rPr>
          <w:spacing w:val="-1"/>
        </w:rPr>
        <w:t xml:space="preserve"> </w:t>
      </w:r>
      <w:r>
        <w:t>out,</w:t>
      </w:r>
      <w:r w:rsidRPr="00342E32">
        <w:rPr>
          <w:spacing w:val="-1"/>
        </w:rPr>
        <w:t xml:space="preserve"> </w:t>
      </w:r>
      <w:r>
        <w:t>in</w:t>
      </w:r>
      <w:r w:rsidRPr="00342E32">
        <w:rPr>
          <w:spacing w:val="-1"/>
        </w:rPr>
        <w:t xml:space="preserve"> </w:t>
      </w:r>
      <w:r>
        <w:t>non-criminal</w:t>
      </w:r>
      <w:r w:rsidRPr="00342E32">
        <w:rPr>
          <w:spacing w:val="-1"/>
        </w:rPr>
        <w:t xml:space="preserve"> </w:t>
      </w:r>
      <w:r>
        <w:t>matters, findings of fact and the reasoning, including legal and, if applicable, economic analysis, on which the decision is based.</w:t>
      </w:r>
    </w:p>
    <w:p w14:paraId="0C50D2DC" w14:textId="77777777" w:rsidR="00342E32" w:rsidRDefault="00342E32" w:rsidP="00906FC4">
      <w:pPr>
        <w:pStyle w:val="ListParagraph1"/>
        <w:numPr>
          <w:ilvl w:val="0"/>
          <w:numId w:val="12"/>
        </w:numPr>
        <w:ind w:left="0" w:right="113" w:firstLine="0"/>
      </w:pPr>
      <w:r>
        <w:t>Each Party shall further ensure that a final decision referred to in</w:t>
      </w:r>
      <w:r w:rsidRPr="00342E32">
        <w:rPr>
          <w:spacing w:val="40"/>
        </w:rPr>
        <w:t xml:space="preserve"> </w:t>
      </w:r>
      <w:r>
        <w:t>paragraph 4 and any order implementing that decision are published, or if publication is not practicable, are otherwise made available to the public in a manner that enables interested persons and other Parties to become acquainted with them.</w:t>
      </w:r>
      <w:r w:rsidRPr="00342E32">
        <w:rPr>
          <w:spacing w:val="40"/>
        </w:rPr>
        <w:t xml:space="preserve"> </w:t>
      </w:r>
      <w:r>
        <w:t>Each Party</w:t>
      </w:r>
      <w:r w:rsidRPr="00342E32">
        <w:rPr>
          <w:spacing w:val="-5"/>
        </w:rPr>
        <w:t xml:space="preserve"> </w:t>
      </w:r>
      <w:r>
        <w:t>shall ensure that the version of the decision or order that is made available to the public does not include confidential information that is protected from public disclosure by its law.</w:t>
      </w:r>
    </w:p>
    <w:p w14:paraId="13B5E73D" w14:textId="77777777" w:rsidR="00342E32" w:rsidRDefault="00342E32" w:rsidP="00B33D62">
      <w:pPr>
        <w:pStyle w:val="Heading2"/>
      </w:pPr>
      <w:r>
        <w:t>Article</w:t>
      </w:r>
      <w:r>
        <w:rPr>
          <w:spacing w:val="-6"/>
        </w:rPr>
        <w:t xml:space="preserve"> </w:t>
      </w:r>
      <w:r>
        <w:t>16.8:</w:t>
      </w:r>
      <w:r>
        <w:rPr>
          <w:spacing w:val="51"/>
        </w:rPr>
        <w:t xml:space="preserve"> </w:t>
      </w:r>
      <w:r>
        <w:rPr>
          <w:spacing w:val="-2"/>
        </w:rPr>
        <w:t>Consultations</w:t>
      </w:r>
    </w:p>
    <w:p w14:paraId="4474D42B" w14:textId="66D2555E" w:rsidR="00342E32" w:rsidRDefault="00342E32" w:rsidP="00342E32">
      <w:pPr>
        <w:ind w:right="113"/>
      </w:pPr>
      <w:proofErr w:type="gramStart"/>
      <w:r>
        <w:t>In order to</w:t>
      </w:r>
      <w:proofErr w:type="gramEnd"/>
      <w:r>
        <w:t xml:space="preserve"> foster understanding between the Parties, or to address specific matters that arise under this Chapter, on request of another Party, a Party shall enter into consultations with the requesting Party.</w:t>
      </w:r>
      <w:r>
        <w:rPr>
          <w:spacing w:val="40"/>
        </w:rPr>
        <w:t xml:space="preserve"> </w:t>
      </w:r>
      <w:r>
        <w:t>In its request, the requesting Party shall indicate, if relevant, how the matter affects trade or investment</w:t>
      </w:r>
      <w:r>
        <w:rPr>
          <w:spacing w:val="40"/>
        </w:rPr>
        <w:t xml:space="preserve"> </w:t>
      </w:r>
      <w:r>
        <w:t>between the Parties.</w:t>
      </w:r>
      <w:r>
        <w:rPr>
          <w:spacing w:val="40"/>
        </w:rPr>
        <w:t xml:space="preserve"> </w:t>
      </w:r>
      <w:r>
        <w:t>The Party addressed shall accord full and sympathetic consideration to the concerns of the requesting Party.</w:t>
      </w:r>
    </w:p>
    <w:p w14:paraId="2E21DE53" w14:textId="77777777" w:rsidR="00342E32" w:rsidRDefault="00342E32">
      <w:pPr>
        <w:spacing w:after="0"/>
        <w:ind w:firstLine="0"/>
        <w:jc w:val="left"/>
      </w:pPr>
      <w:r>
        <w:br w:type="page"/>
      </w:r>
    </w:p>
    <w:p w14:paraId="0FB2BCA3" w14:textId="77777777" w:rsidR="00342E32" w:rsidRDefault="00342E32" w:rsidP="00B33D62">
      <w:pPr>
        <w:pStyle w:val="Heading2"/>
      </w:pPr>
      <w:r>
        <w:lastRenderedPageBreak/>
        <w:t>Article</w:t>
      </w:r>
      <w:r>
        <w:rPr>
          <w:spacing w:val="-8"/>
        </w:rPr>
        <w:t xml:space="preserve"> </w:t>
      </w:r>
      <w:r>
        <w:t>16.9:</w:t>
      </w:r>
      <w:r>
        <w:rPr>
          <w:spacing w:val="45"/>
        </w:rPr>
        <w:t xml:space="preserve"> </w:t>
      </w:r>
      <w:r>
        <w:t>Non-Application</w:t>
      </w:r>
      <w:r>
        <w:rPr>
          <w:spacing w:val="-6"/>
        </w:rPr>
        <w:t xml:space="preserve"> </w:t>
      </w:r>
      <w:r>
        <w:t>of</w:t>
      </w:r>
      <w:r>
        <w:rPr>
          <w:spacing w:val="-7"/>
        </w:rPr>
        <w:t xml:space="preserve"> </w:t>
      </w:r>
      <w:r>
        <w:t>Dispute</w:t>
      </w:r>
      <w:r>
        <w:rPr>
          <w:spacing w:val="-7"/>
        </w:rPr>
        <w:t xml:space="preserve"> </w:t>
      </w:r>
      <w:r>
        <w:rPr>
          <w:spacing w:val="-2"/>
        </w:rPr>
        <w:t>Settlement</w:t>
      </w:r>
    </w:p>
    <w:p w14:paraId="56FB77EE" w14:textId="7E72DE8D" w:rsidR="00342E32" w:rsidRDefault="00342E32" w:rsidP="00342E32">
      <w:r>
        <w:t>No</w:t>
      </w:r>
      <w:r>
        <w:rPr>
          <w:spacing w:val="40"/>
        </w:rPr>
        <w:t xml:space="preserve"> </w:t>
      </w:r>
      <w:r>
        <w:t>Party</w:t>
      </w:r>
      <w:r>
        <w:rPr>
          <w:spacing w:val="40"/>
        </w:rPr>
        <w:t xml:space="preserve"> </w:t>
      </w:r>
      <w:r>
        <w:t>shall</w:t>
      </w:r>
      <w:r>
        <w:rPr>
          <w:spacing w:val="40"/>
        </w:rPr>
        <w:t xml:space="preserve"> </w:t>
      </w:r>
      <w:r>
        <w:t>have</w:t>
      </w:r>
      <w:r>
        <w:rPr>
          <w:spacing w:val="40"/>
        </w:rPr>
        <w:t xml:space="preserve"> </w:t>
      </w:r>
      <w:r>
        <w:t>recourse</w:t>
      </w:r>
      <w:r>
        <w:rPr>
          <w:spacing w:val="40"/>
        </w:rPr>
        <w:t xml:space="preserve"> </w:t>
      </w:r>
      <w:r>
        <w:t>to</w:t>
      </w:r>
      <w:r>
        <w:rPr>
          <w:spacing w:val="40"/>
        </w:rPr>
        <w:t xml:space="preserve"> </w:t>
      </w:r>
      <w:r>
        <w:t>dispute</w:t>
      </w:r>
      <w:r>
        <w:rPr>
          <w:spacing w:val="40"/>
        </w:rPr>
        <w:t xml:space="preserve"> </w:t>
      </w:r>
      <w:r>
        <w:t>settlement</w:t>
      </w:r>
      <w:r>
        <w:rPr>
          <w:spacing w:val="40"/>
        </w:rPr>
        <w:t xml:space="preserve"> </w:t>
      </w:r>
      <w:r>
        <w:t>under</w:t>
      </w:r>
      <w:r>
        <w:rPr>
          <w:spacing w:val="40"/>
        </w:rPr>
        <w:t xml:space="preserve"> </w:t>
      </w:r>
      <w:r>
        <w:t>Chapter</w:t>
      </w:r>
      <w:r>
        <w:rPr>
          <w:spacing w:val="40"/>
        </w:rPr>
        <w:t xml:space="preserve"> </w:t>
      </w:r>
      <w:r>
        <w:t>28</w:t>
      </w:r>
      <w:r>
        <w:rPr>
          <w:spacing w:val="80"/>
        </w:rPr>
        <w:t xml:space="preserve"> </w:t>
      </w:r>
      <w:r>
        <w:t>(Dispute Settlement) for any matter arising under this Chapter.</w:t>
      </w:r>
    </w:p>
    <w:p w14:paraId="17D0C029" w14:textId="77777777" w:rsidR="00342E32" w:rsidRDefault="00342E32">
      <w:pPr>
        <w:spacing w:after="0"/>
        <w:ind w:firstLine="0"/>
        <w:jc w:val="left"/>
      </w:pPr>
      <w:r>
        <w:br w:type="page"/>
      </w:r>
    </w:p>
    <w:p w14:paraId="6E11B311" w14:textId="77777777" w:rsidR="00342E32" w:rsidRDefault="00342E32" w:rsidP="00906FC4">
      <w:pPr>
        <w:pStyle w:val="Heading1"/>
      </w:pPr>
      <w:r>
        <w:lastRenderedPageBreak/>
        <w:t>ANNEX</w:t>
      </w:r>
      <w:r>
        <w:rPr>
          <w:spacing w:val="-1"/>
        </w:rPr>
        <w:t xml:space="preserve"> </w:t>
      </w:r>
      <w:r>
        <w:t>16-</w:t>
      </w:r>
      <w:r>
        <w:rPr>
          <w:spacing w:val="-7"/>
        </w:rPr>
        <w:t>A:</w:t>
      </w:r>
    </w:p>
    <w:p w14:paraId="380F8C7C" w14:textId="77777777" w:rsidR="00342E32" w:rsidRDefault="00342E32" w:rsidP="0022195D">
      <w:pPr>
        <w:pStyle w:val="Heading1"/>
      </w:pPr>
      <w:r>
        <w:t>APPLICATION OF ARTICLE 16.2 (PROCEDURAL FAIRNESS IN COMPETITION</w:t>
      </w:r>
      <w:r>
        <w:rPr>
          <w:spacing w:val="-9"/>
        </w:rPr>
        <w:t xml:space="preserve"> </w:t>
      </w:r>
      <w:r>
        <w:t>LAW</w:t>
      </w:r>
      <w:r>
        <w:rPr>
          <w:spacing w:val="-10"/>
        </w:rPr>
        <w:t xml:space="preserve"> </w:t>
      </w:r>
      <w:r>
        <w:t>ENFORCEMENT),</w:t>
      </w:r>
      <w:r>
        <w:rPr>
          <w:spacing w:val="-8"/>
        </w:rPr>
        <w:t xml:space="preserve"> </w:t>
      </w:r>
      <w:r>
        <w:t>ARTICLE</w:t>
      </w:r>
      <w:r>
        <w:rPr>
          <w:spacing w:val="-8"/>
        </w:rPr>
        <w:t xml:space="preserve"> </w:t>
      </w:r>
      <w:r>
        <w:t>16.3</w:t>
      </w:r>
      <w:r>
        <w:rPr>
          <w:spacing w:val="-8"/>
        </w:rPr>
        <w:t xml:space="preserve"> </w:t>
      </w:r>
      <w:r>
        <w:t>(PRIVATE RIGHTS OF ACTION) AND ARTICLE 16.4 (COOPERATION) TO BRUNEI DARUSSALAM</w:t>
      </w:r>
    </w:p>
    <w:p w14:paraId="478D4DE2" w14:textId="77777777" w:rsidR="00342E32" w:rsidRDefault="00342E32" w:rsidP="00906FC4">
      <w:pPr>
        <w:pStyle w:val="ListParagraph1"/>
        <w:numPr>
          <w:ilvl w:val="0"/>
          <w:numId w:val="14"/>
        </w:numPr>
        <w:ind w:left="0" w:right="57" w:firstLine="0"/>
      </w:pPr>
      <w:r>
        <w:t>If as of the date of entry into force of this Agreement, Brunei Darussalam does not have a national competition law which is</w:t>
      </w:r>
      <w:r w:rsidRPr="00906FC4">
        <w:rPr>
          <w:spacing w:val="-1"/>
        </w:rPr>
        <w:t xml:space="preserve"> </w:t>
      </w:r>
      <w:r>
        <w:t>in force and has not established a national competition authority, Article 16.2 (Procedural Fairness in Competition Law Enforcement), Article 16.3 (Private Rights of Action) and Article 16.4 (Cooperation) shall not apply to Brunei Darussalam for a period of no longer than 10 years after that date.</w:t>
      </w:r>
    </w:p>
    <w:p w14:paraId="12F1B2F7" w14:textId="77777777" w:rsidR="00342E32" w:rsidRDefault="00342E32" w:rsidP="00906FC4">
      <w:pPr>
        <w:pStyle w:val="ListParagraph1"/>
        <w:numPr>
          <w:ilvl w:val="0"/>
          <w:numId w:val="14"/>
        </w:numPr>
        <w:ind w:left="0" w:right="57" w:firstLine="0"/>
      </w:pPr>
      <w:r>
        <w:t>If Brunei Darussalam establishes a national competition authority or authorities before the end of the 10-year period, Article 16.2 (Procedural Fairness in Competition Law Enforcement), Article 16.3 (Private Rights of Action) and Article 16.4 (Cooperation) shall apply to Brunei Darussalam from the date of establishment.</w:t>
      </w:r>
    </w:p>
    <w:p w14:paraId="30C69B69" w14:textId="0E359F2E" w:rsidR="00B25E2A" w:rsidRPr="00F14987" w:rsidRDefault="00342E32" w:rsidP="00906FC4">
      <w:pPr>
        <w:pStyle w:val="ListParagraph1"/>
        <w:numPr>
          <w:ilvl w:val="0"/>
          <w:numId w:val="14"/>
        </w:numPr>
        <w:ind w:left="0" w:right="57" w:firstLine="0"/>
      </w:pPr>
      <w:r>
        <w:t>During</w:t>
      </w:r>
      <w:r w:rsidRPr="00906FC4">
        <w:rPr>
          <w:spacing w:val="-4"/>
        </w:rPr>
        <w:t xml:space="preserve"> </w:t>
      </w:r>
      <w:r>
        <w:t>the</w:t>
      </w:r>
      <w:r w:rsidRPr="00906FC4">
        <w:rPr>
          <w:spacing w:val="-3"/>
        </w:rPr>
        <w:t xml:space="preserve"> </w:t>
      </w:r>
      <w:proofErr w:type="gramStart"/>
      <w:r>
        <w:t>10 year</w:t>
      </w:r>
      <w:proofErr w:type="gramEnd"/>
      <w:r w:rsidRPr="00906FC4">
        <w:rPr>
          <w:spacing w:val="-3"/>
        </w:rPr>
        <w:t xml:space="preserve"> </w:t>
      </w:r>
      <w:r>
        <w:t>period, Brunei Darussalam shall take</w:t>
      </w:r>
      <w:r w:rsidRPr="00906FC4">
        <w:rPr>
          <w:spacing w:val="-3"/>
        </w:rPr>
        <w:t xml:space="preserve"> </w:t>
      </w:r>
      <w:r>
        <w:t>such steps as may be necessary to ensure that it is in compliance with Article 16.2 (Procedural Fairness in Competition Law Enforcement), Article 16.3 (Private Rights of Action) and Article 16.4 (Cooperation) at the end of the 10-year period and shall endeavour to comply with these obligations before the end of such period.</w:t>
      </w:r>
      <w:r w:rsidRPr="00906FC4">
        <w:rPr>
          <w:spacing w:val="40"/>
        </w:rPr>
        <w:t xml:space="preserve"> </w:t>
      </w:r>
      <w:r>
        <w:t>Upon request of</w:t>
      </w:r>
      <w:r w:rsidRPr="00906FC4">
        <w:rPr>
          <w:spacing w:val="-3"/>
        </w:rPr>
        <w:t xml:space="preserve"> </w:t>
      </w:r>
      <w:r>
        <w:t>a</w:t>
      </w:r>
      <w:r w:rsidRPr="00906FC4">
        <w:rPr>
          <w:spacing w:val="-1"/>
        </w:rPr>
        <w:t xml:space="preserve"> </w:t>
      </w:r>
      <w:r>
        <w:t>Party, Brunei Darussalam shall inform the</w:t>
      </w:r>
      <w:r w:rsidRPr="00906FC4">
        <w:rPr>
          <w:spacing w:val="-3"/>
        </w:rPr>
        <w:t xml:space="preserve"> </w:t>
      </w:r>
      <w:r>
        <w:t>Parties of</w:t>
      </w:r>
      <w:r w:rsidRPr="00906FC4">
        <w:rPr>
          <w:spacing w:val="-3"/>
        </w:rPr>
        <w:t xml:space="preserve"> </w:t>
      </w:r>
      <w:r>
        <w:t>its progress since entry into force of the Agreement in developing and implementing an appropriate national competition law and establishing a national competition authority or authorities.</w:t>
      </w:r>
    </w:p>
    <w:sectPr w:rsidR="00B25E2A" w:rsidRPr="00F14987" w:rsidSect="00F14987">
      <w:footerReference w:type="default" r:id="rId8"/>
      <w:pgSz w:w="11910" w:h="16840"/>
      <w:pgMar w:top="1701" w:right="2013" w:bottom="1134" w:left="2013"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09C67FC8" w:rsidR="00B25E2A" w:rsidRPr="00AD2B0D" w:rsidRDefault="00F14987" w:rsidP="0046437F">
        <w:pPr>
          <w:pStyle w:val="Footer"/>
          <w:ind w:firstLine="0"/>
          <w:jc w:val="center"/>
        </w:pPr>
        <w:r>
          <w:t>16-</w:t>
        </w:r>
        <w:r w:rsidR="00AD2B0D">
          <w:fldChar w:fldCharType="begin"/>
        </w:r>
        <w:r w:rsidR="00AD2B0D">
          <w:instrText xml:space="preserve"> PAGE   \* MERGEFORMAT </w:instrText>
        </w:r>
        <w:r w:rsidR="00AD2B0D">
          <w:fldChar w:fldCharType="separate"/>
        </w:r>
        <w:r w:rsidR="00AD2B0D">
          <w:rPr>
            <w:noProof/>
          </w:rPr>
          <w:t>2</w:t>
        </w:r>
        <w:r w:rsidR="00AD2B0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3A1931F2" w14:textId="62ED0C0E" w:rsidR="00F14987" w:rsidRPr="00F14987" w:rsidRDefault="00F14987" w:rsidP="00F14987">
      <w:pPr>
        <w:spacing w:before="103"/>
        <w:ind w:right="-54" w:firstLine="0"/>
        <w:jc w:val="left"/>
        <w:rPr>
          <w:sz w:val="20"/>
        </w:rPr>
      </w:pPr>
      <w:r>
        <w:rPr>
          <w:rStyle w:val="FootnoteReference"/>
        </w:rPr>
        <w:footnoteRef/>
      </w:r>
      <w:r>
        <w:t xml:space="preserve"> </w:t>
      </w:r>
      <w:r>
        <w:rPr>
          <w:sz w:val="20"/>
        </w:rPr>
        <w:t>This</w:t>
      </w:r>
      <w:r>
        <w:rPr>
          <w:spacing w:val="-3"/>
          <w:sz w:val="20"/>
        </w:rPr>
        <w:t xml:space="preserve"> </w:t>
      </w:r>
      <w:r>
        <w:rPr>
          <w:sz w:val="20"/>
        </w:rPr>
        <w:t>Article</w:t>
      </w:r>
      <w:r>
        <w:rPr>
          <w:spacing w:val="-2"/>
          <w:sz w:val="20"/>
        </w:rPr>
        <w:t xml:space="preserve"> </w:t>
      </w:r>
      <w:r>
        <w:rPr>
          <w:sz w:val="20"/>
        </w:rPr>
        <w:t>is subject</w:t>
      </w:r>
      <w:r>
        <w:rPr>
          <w:spacing w:val="-2"/>
          <w:sz w:val="20"/>
        </w:rPr>
        <w:t xml:space="preserve"> </w:t>
      </w:r>
      <w:r>
        <w:rPr>
          <w:sz w:val="20"/>
        </w:rPr>
        <w:t>to</w:t>
      </w:r>
      <w:r>
        <w:rPr>
          <w:spacing w:val="-1"/>
          <w:sz w:val="20"/>
        </w:rPr>
        <w:t xml:space="preserve"> </w:t>
      </w:r>
      <w:r>
        <w:rPr>
          <w:sz w:val="20"/>
        </w:rPr>
        <w:t>Annex</w:t>
      </w:r>
      <w:r>
        <w:rPr>
          <w:spacing w:val="-3"/>
          <w:sz w:val="20"/>
        </w:rPr>
        <w:t xml:space="preserve"> </w:t>
      </w:r>
      <w:r>
        <w:rPr>
          <w:sz w:val="20"/>
        </w:rPr>
        <w:t>16-A</w:t>
      </w:r>
      <w:r>
        <w:rPr>
          <w:spacing w:val="-4"/>
          <w:sz w:val="20"/>
        </w:rPr>
        <w:t xml:space="preserve"> </w:t>
      </w:r>
      <w:r>
        <w:rPr>
          <w:sz w:val="20"/>
        </w:rPr>
        <w:t>(Application</w:t>
      </w:r>
      <w:r>
        <w:rPr>
          <w:spacing w:val="-3"/>
          <w:sz w:val="20"/>
        </w:rPr>
        <w:t xml:space="preserve"> </w:t>
      </w:r>
      <w:r>
        <w:rPr>
          <w:sz w:val="20"/>
        </w:rPr>
        <w:t>of</w:t>
      </w:r>
      <w:r>
        <w:rPr>
          <w:spacing w:val="-1"/>
          <w:sz w:val="20"/>
        </w:rPr>
        <w:t xml:space="preserve"> </w:t>
      </w:r>
      <w:r>
        <w:rPr>
          <w:sz w:val="20"/>
        </w:rPr>
        <w:t>Article</w:t>
      </w:r>
      <w:r>
        <w:rPr>
          <w:spacing w:val="-2"/>
          <w:sz w:val="20"/>
        </w:rPr>
        <w:t xml:space="preserve"> </w:t>
      </w:r>
      <w:r>
        <w:rPr>
          <w:sz w:val="20"/>
        </w:rPr>
        <w:t>16.2,</w:t>
      </w:r>
      <w:r>
        <w:rPr>
          <w:spacing w:val="-4"/>
          <w:sz w:val="20"/>
        </w:rPr>
        <w:t xml:space="preserve"> </w:t>
      </w:r>
      <w:r>
        <w:rPr>
          <w:sz w:val="20"/>
        </w:rPr>
        <w:t>Article</w:t>
      </w:r>
      <w:r>
        <w:rPr>
          <w:spacing w:val="-2"/>
          <w:sz w:val="20"/>
        </w:rPr>
        <w:t xml:space="preserve"> </w:t>
      </w:r>
      <w:proofErr w:type="gramStart"/>
      <w:r>
        <w:rPr>
          <w:sz w:val="20"/>
        </w:rPr>
        <w:t>16.3</w:t>
      </w:r>
      <w:proofErr w:type="gramEnd"/>
      <w:r>
        <w:rPr>
          <w:spacing w:val="-1"/>
          <w:sz w:val="20"/>
        </w:rPr>
        <w:t xml:space="preserve"> </w:t>
      </w:r>
      <w:r>
        <w:rPr>
          <w:sz w:val="20"/>
        </w:rPr>
        <w:t>and</w:t>
      </w:r>
      <w:r>
        <w:rPr>
          <w:spacing w:val="-1"/>
          <w:sz w:val="20"/>
        </w:rPr>
        <w:t xml:space="preserve"> </w:t>
      </w:r>
      <w:r>
        <w:rPr>
          <w:sz w:val="20"/>
        </w:rPr>
        <w:t>Article</w:t>
      </w:r>
      <w:r>
        <w:rPr>
          <w:spacing w:val="-2"/>
          <w:sz w:val="20"/>
        </w:rPr>
        <w:t xml:space="preserve"> </w:t>
      </w:r>
      <w:r>
        <w:rPr>
          <w:sz w:val="20"/>
        </w:rPr>
        <w:t>16.4 to Brunei Darussalam).</w:t>
      </w:r>
    </w:p>
  </w:footnote>
  <w:footnote w:id="2">
    <w:p w14:paraId="72A32272" w14:textId="3AF44DE0" w:rsidR="00F14987" w:rsidRPr="00F14987" w:rsidRDefault="00F14987" w:rsidP="00F14987">
      <w:pPr>
        <w:ind w:right="-54" w:firstLine="0"/>
        <w:jc w:val="left"/>
        <w:rPr>
          <w:sz w:val="20"/>
        </w:rPr>
      </w:pPr>
      <w:r>
        <w:rPr>
          <w:rStyle w:val="FootnoteReference"/>
        </w:rPr>
        <w:footnoteRef/>
      </w:r>
      <w:r>
        <w:t xml:space="preserve"> </w:t>
      </w:r>
      <w:r>
        <w:rPr>
          <w:sz w:val="20"/>
        </w:rPr>
        <w:t>For greater certainty, nothing in paragraph 2 shall be construed to preclude a Party from</w:t>
      </w:r>
      <w:r>
        <w:rPr>
          <w:spacing w:val="40"/>
          <w:sz w:val="20"/>
        </w:rPr>
        <w:t xml:space="preserve"> </w:t>
      </w:r>
      <w:r>
        <w:rPr>
          <w:sz w:val="20"/>
        </w:rPr>
        <w:t>applying</w:t>
      </w:r>
      <w:r>
        <w:rPr>
          <w:spacing w:val="-5"/>
          <w:sz w:val="20"/>
        </w:rPr>
        <w:t xml:space="preserve"> </w:t>
      </w:r>
      <w:r>
        <w:rPr>
          <w:sz w:val="20"/>
        </w:rPr>
        <w:t>its</w:t>
      </w:r>
      <w:r>
        <w:rPr>
          <w:spacing w:val="-5"/>
          <w:sz w:val="20"/>
        </w:rPr>
        <w:t xml:space="preserve"> </w:t>
      </w:r>
      <w:r>
        <w:rPr>
          <w:sz w:val="20"/>
        </w:rPr>
        <w:t>competition</w:t>
      </w:r>
      <w:r>
        <w:rPr>
          <w:spacing w:val="-5"/>
          <w:sz w:val="20"/>
        </w:rPr>
        <w:t xml:space="preserve"> </w:t>
      </w:r>
      <w:r>
        <w:rPr>
          <w:sz w:val="20"/>
        </w:rPr>
        <w:t>laws to</w:t>
      </w:r>
      <w:r>
        <w:rPr>
          <w:spacing w:val="-3"/>
          <w:sz w:val="20"/>
        </w:rPr>
        <w:t xml:space="preserve"> </w:t>
      </w:r>
      <w:r>
        <w:rPr>
          <w:sz w:val="20"/>
        </w:rPr>
        <w:t>commercial</w:t>
      </w:r>
      <w:r>
        <w:rPr>
          <w:spacing w:val="-4"/>
          <w:sz w:val="20"/>
        </w:rPr>
        <w:t xml:space="preserve"> </w:t>
      </w:r>
      <w:r>
        <w:rPr>
          <w:sz w:val="20"/>
        </w:rPr>
        <w:t>activities</w:t>
      </w:r>
      <w:r>
        <w:rPr>
          <w:spacing w:val="-5"/>
          <w:sz w:val="20"/>
        </w:rPr>
        <w:t xml:space="preserve"> </w:t>
      </w:r>
      <w:r>
        <w:rPr>
          <w:sz w:val="20"/>
        </w:rPr>
        <w:t>outside</w:t>
      </w:r>
      <w:r>
        <w:rPr>
          <w:spacing w:val="-4"/>
          <w:sz w:val="20"/>
        </w:rPr>
        <w:t xml:space="preserve"> </w:t>
      </w:r>
      <w:r>
        <w:rPr>
          <w:sz w:val="20"/>
        </w:rPr>
        <w:t>its</w:t>
      </w:r>
      <w:r>
        <w:rPr>
          <w:spacing w:val="-5"/>
          <w:sz w:val="20"/>
        </w:rPr>
        <w:t xml:space="preserve"> </w:t>
      </w:r>
      <w:r>
        <w:rPr>
          <w:sz w:val="20"/>
        </w:rPr>
        <w:t>borders</w:t>
      </w:r>
      <w:r>
        <w:rPr>
          <w:spacing w:val="-5"/>
          <w:sz w:val="20"/>
        </w:rPr>
        <w:t xml:space="preserve"> </w:t>
      </w:r>
      <w:r>
        <w:rPr>
          <w:sz w:val="20"/>
        </w:rPr>
        <w:t>that</w:t>
      </w:r>
      <w:r>
        <w:rPr>
          <w:spacing w:val="-4"/>
          <w:sz w:val="20"/>
        </w:rPr>
        <w:t xml:space="preserve"> </w:t>
      </w:r>
      <w:r>
        <w:rPr>
          <w:sz w:val="20"/>
        </w:rPr>
        <w:t>have</w:t>
      </w:r>
      <w:r>
        <w:rPr>
          <w:spacing w:val="-4"/>
          <w:sz w:val="20"/>
        </w:rPr>
        <w:t xml:space="preserve"> </w:t>
      </w:r>
      <w:r>
        <w:rPr>
          <w:sz w:val="20"/>
        </w:rPr>
        <w:t>anticompetitive effects within its jurisdiction.</w:t>
      </w:r>
    </w:p>
  </w:footnote>
  <w:footnote w:id="3">
    <w:p w14:paraId="206ADD1F" w14:textId="6DA7A2DD" w:rsidR="00F14987" w:rsidRPr="001E1792" w:rsidRDefault="00F14987" w:rsidP="001E1792">
      <w:pPr>
        <w:ind w:right="-54" w:firstLine="0"/>
        <w:jc w:val="left"/>
        <w:rPr>
          <w:sz w:val="20"/>
        </w:rPr>
      </w:pPr>
      <w:r>
        <w:rPr>
          <w:rStyle w:val="FootnoteReference"/>
        </w:rPr>
        <w:footnoteRef/>
      </w:r>
      <w:r>
        <w:t xml:space="preserve"> </w:t>
      </w:r>
      <w:r>
        <w:rPr>
          <w:sz w:val="20"/>
        </w:rPr>
        <w:t>This</w:t>
      </w:r>
      <w:r>
        <w:rPr>
          <w:spacing w:val="-3"/>
          <w:sz w:val="20"/>
        </w:rPr>
        <w:t xml:space="preserve"> </w:t>
      </w:r>
      <w:r>
        <w:rPr>
          <w:sz w:val="20"/>
        </w:rPr>
        <w:t>Article</w:t>
      </w:r>
      <w:r>
        <w:rPr>
          <w:spacing w:val="-2"/>
          <w:sz w:val="20"/>
        </w:rPr>
        <w:t xml:space="preserve"> </w:t>
      </w:r>
      <w:r>
        <w:rPr>
          <w:sz w:val="20"/>
        </w:rPr>
        <w:t>is subject</w:t>
      </w:r>
      <w:r>
        <w:rPr>
          <w:spacing w:val="-2"/>
          <w:sz w:val="20"/>
        </w:rPr>
        <w:t xml:space="preserve"> </w:t>
      </w:r>
      <w:r>
        <w:rPr>
          <w:sz w:val="20"/>
        </w:rPr>
        <w:t>to</w:t>
      </w:r>
      <w:r>
        <w:rPr>
          <w:spacing w:val="-1"/>
          <w:sz w:val="20"/>
        </w:rPr>
        <w:t xml:space="preserve"> </w:t>
      </w:r>
      <w:r>
        <w:rPr>
          <w:sz w:val="20"/>
        </w:rPr>
        <w:t>Annex</w:t>
      </w:r>
      <w:r>
        <w:rPr>
          <w:spacing w:val="-3"/>
          <w:sz w:val="20"/>
        </w:rPr>
        <w:t xml:space="preserve"> </w:t>
      </w:r>
      <w:r>
        <w:rPr>
          <w:sz w:val="20"/>
        </w:rPr>
        <w:t>16-A</w:t>
      </w:r>
      <w:r>
        <w:rPr>
          <w:spacing w:val="-4"/>
          <w:sz w:val="20"/>
        </w:rPr>
        <w:t xml:space="preserve"> </w:t>
      </w:r>
      <w:r>
        <w:rPr>
          <w:sz w:val="20"/>
        </w:rPr>
        <w:t>(Application</w:t>
      </w:r>
      <w:r>
        <w:rPr>
          <w:spacing w:val="-3"/>
          <w:sz w:val="20"/>
        </w:rPr>
        <w:t xml:space="preserve"> </w:t>
      </w:r>
      <w:r>
        <w:rPr>
          <w:sz w:val="20"/>
        </w:rPr>
        <w:t>of</w:t>
      </w:r>
      <w:r>
        <w:rPr>
          <w:spacing w:val="-1"/>
          <w:sz w:val="20"/>
        </w:rPr>
        <w:t xml:space="preserve"> </w:t>
      </w:r>
      <w:r>
        <w:rPr>
          <w:sz w:val="20"/>
        </w:rPr>
        <w:t>Article</w:t>
      </w:r>
      <w:r>
        <w:rPr>
          <w:spacing w:val="-2"/>
          <w:sz w:val="20"/>
        </w:rPr>
        <w:t xml:space="preserve"> </w:t>
      </w:r>
      <w:r>
        <w:rPr>
          <w:sz w:val="20"/>
        </w:rPr>
        <w:t>16.2,</w:t>
      </w:r>
      <w:r>
        <w:rPr>
          <w:spacing w:val="-4"/>
          <w:sz w:val="20"/>
        </w:rPr>
        <w:t xml:space="preserve"> </w:t>
      </w:r>
      <w:r>
        <w:rPr>
          <w:sz w:val="20"/>
        </w:rPr>
        <w:t>Article</w:t>
      </w:r>
      <w:r>
        <w:rPr>
          <w:spacing w:val="-2"/>
          <w:sz w:val="20"/>
        </w:rPr>
        <w:t xml:space="preserve"> </w:t>
      </w:r>
      <w:proofErr w:type="gramStart"/>
      <w:r>
        <w:rPr>
          <w:sz w:val="20"/>
        </w:rPr>
        <w:t>16.3</w:t>
      </w:r>
      <w:proofErr w:type="gramEnd"/>
      <w:r>
        <w:rPr>
          <w:spacing w:val="-1"/>
          <w:sz w:val="20"/>
        </w:rPr>
        <w:t xml:space="preserve"> </w:t>
      </w:r>
      <w:r>
        <w:rPr>
          <w:sz w:val="20"/>
        </w:rPr>
        <w:t>and</w:t>
      </w:r>
      <w:r>
        <w:rPr>
          <w:spacing w:val="-1"/>
          <w:sz w:val="20"/>
        </w:rPr>
        <w:t xml:space="preserve"> </w:t>
      </w:r>
      <w:r>
        <w:rPr>
          <w:sz w:val="20"/>
        </w:rPr>
        <w:t>Article</w:t>
      </w:r>
      <w:r>
        <w:rPr>
          <w:spacing w:val="-2"/>
          <w:sz w:val="20"/>
        </w:rPr>
        <w:t xml:space="preserve"> </w:t>
      </w:r>
      <w:r>
        <w:rPr>
          <w:sz w:val="20"/>
        </w:rPr>
        <w:t>16.4 to Brunei Darussalam).</w:t>
      </w:r>
    </w:p>
  </w:footnote>
  <w:footnote w:id="4">
    <w:p w14:paraId="6221658C" w14:textId="1326D326" w:rsidR="00F14987" w:rsidRPr="00F14987" w:rsidRDefault="00F14987" w:rsidP="00F14987">
      <w:pPr>
        <w:spacing w:before="103"/>
        <w:ind w:right="433" w:firstLine="0"/>
        <w:rPr>
          <w:sz w:val="20"/>
        </w:rPr>
      </w:pPr>
      <w:r>
        <w:rPr>
          <w:rStyle w:val="FootnoteReference"/>
        </w:rPr>
        <w:footnoteRef/>
      </w:r>
      <w:r>
        <w:t xml:space="preserve"> </w:t>
      </w:r>
      <w:r>
        <w:rPr>
          <w:sz w:val="20"/>
        </w:rPr>
        <w:t>For</w:t>
      </w:r>
      <w:r>
        <w:rPr>
          <w:spacing w:val="-3"/>
          <w:sz w:val="20"/>
        </w:rPr>
        <w:t xml:space="preserve"> </w:t>
      </w:r>
      <w:r>
        <w:rPr>
          <w:sz w:val="20"/>
        </w:rPr>
        <w:t>the</w:t>
      </w:r>
      <w:r>
        <w:rPr>
          <w:spacing w:val="-4"/>
          <w:sz w:val="20"/>
        </w:rPr>
        <w:t xml:space="preserve"> </w:t>
      </w:r>
      <w:r>
        <w:rPr>
          <w:sz w:val="20"/>
        </w:rPr>
        <w:t>purposes</w:t>
      </w:r>
      <w:r>
        <w:rPr>
          <w:spacing w:val="-5"/>
          <w:sz w:val="20"/>
        </w:rPr>
        <w:t xml:space="preserve"> </w:t>
      </w:r>
      <w:r>
        <w:rPr>
          <w:sz w:val="20"/>
        </w:rPr>
        <w:t>of</w:t>
      </w:r>
      <w:r>
        <w:rPr>
          <w:spacing w:val="-6"/>
          <w:sz w:val="20"/>
        </w:rPr>
        <w:t xml:space="preserve"> </w:t>
      </w:r>
      <w:r>
        <w:rPr>
          <w:sz w:val="20"/>
        </w:rPr>
        <w:t>this</w:t>
      </w:r>
      <w:r>
        <w:rPr>
          <w:spacing w:val="-2"/>
          <w:sz w:val="20"/>
        </w:rPr>
        <w:t xml:space="preserve"> </w:t>
      </w:r>
      <w:r>
        <w:rPr>
          <w:sz w:val="20"/>
        </w:rPr>
        <w:t>Article,</w:t>
      </w:r>
      <w:r>
        <w:rPr>
          <w:spacing w:val="-3"/>
          <w:sz w:val="20"/>
        </w:rPr>
        <w:t xml:space="preserve"> </w:t>
      </w:r>
      <w:r>
        <w:rPr>
          <w:sz w:val="20"/>
        </w:rPr>
        <w:t>“enforcement</w:t>
      </w:r>
      <w:r>
        <w:rPr>
          <w:spacing w:val="-4"/>
          <w:sz w:val="20"/>
        </w:rPr>
        <w:t xml:space="preserve"> </w:t>
      </w:r>
      <w:r>
        <w:rPr>
          <w:sz w:val="20"/>
        </w:rPr>
        <w:t>proceedings” means</w:t>
      </w:r>
      <w:r>
        <w:rPr>
          <w:spacing w:val="-5"/>
          <w:sz w:val="20"/>
        </w:rPr>
        <w:t xml:space="preserve"> </w:t>
      </w:r>
      <w:r>
        <w:rPr>
          <w:sz w:val="20"/>
        </w:rPr>
        <w:t>judicial</w:t>
      </w:r>
      <w:r>
        <w:rPr>
          <w:spacing w:val="-4"/>
          <w:sz w:val="20"/>
        </w:rPr>
        <w:t xml:space="preserve"> </w:t>
      </w:r>
      <w:r>
        <w:rPr>
          <w:sz w:val="20"/>
        </w:rPr>
        <w:t>or</w:t>
      </w:r>
      <w:r>
        <w:rPr>
          <w:spacing w:val="-3"/>
          <w:sz w:val="20"/>
        </w:rPr>
        <w:t xml:space="preserve"> </w:t>
      </w:r>
      <w:r>
        <w:rPr>
          <w:sz w:val="20"/>
        </w:rPr>
        <w:t>administrative proceedings following an investigation into the alleged violation of the competition laws.</w:t>
      </w:r>
    </w:p>
  </w:footnote>
  <w:footnote w:id="5">
    <w:p w14:paraId="36E295F4" w14:textId="0904F461" w:rsidR="00F14987" w:rsidRPr="00F14987" w:rsidRDefault="00F14987" w:rsidP="00F14987">
      <w:pPr>
        <w:spacing w:before="103"/>
        <w:ind w:right="87" w:firstLine="0"/>
        <w:rPr>
          <w:sz w:val="20"/>
        </w:rPr>
      </w:pPr>
      <w:r>
        <w:rPr>
          <w:rStyle w:val="FootnoteReference"/>
        </w:rPr>
        <w:footnoteRef/>
      </w:r>
      <w:r>
        <w:t xml:space="preserve"> </w:t>
      </w:r>
      <w:r>
        <w:rPr>
          <w:sz w:val="20"/>
        </w:rPr>
        <w:t>Nothing</w:t>
      </w:r>
      <w:r>
        <w:rPr>
          <w:spacing w:val="-1"/>
          <w:sz w:val="20"/>
        </w:rPr>
        <w:t xml:space="preserve"> </w:t>
      </w:r>
      <w:r>
        <w:rPr>
          <w:sz w:val="20"/>
        </w:rPr>
        <w:t>in</w:t>
      </w:r>
      <w:r>
        <w:rPr>
          <w:spacing w:val="-1"/>
          <w:sz w:val="20"/>
        </w:rPr>
        <w:t xml:space="preserve"> </w:t>
      </w:r>
      <w:r>
        <w:rPr>
          <w:sz w:val="20"/>
        </w:rPr>
        <w:t>this</w:t>
      </w:r>
      <w:r>
        <w:rPr>
          <w:spacing w:val="-1"/>
          <w:sz w:val="20"/>
        </w:rPr>
        <w:t xml:space="preserve"> </w:t>
      </w:r>
      <w:r>
        <w:rPr>
          <w:sz w:val="20"/>
        </w:rPr>
        <w:t>paragraph</w:t>
      </w:r>
      <w:r>
        <w:rPr>
          <w:spacing w:val="-1"/>
          <w:sz w:val="20"/>
        </w:rPr>
        <w:t xml:space="preserve"> </w:t>
      </w:r>
      <w:r>
        <w:rPr>
          <w:sz w:val="20"/>
        </w:rPr>
        <w:t>shall prevent a Party</w:t>
      </w:r>
      <w:r>
        <w:rPr>
          <w:spacing w:val="-4"/>
          <w:sz w:val="20"/>
        </w:rPr>
        <w:t xml:space="preserve"> </w:t>
      </w:r>
      <w:r>
        <w:rPr>
          <w:sz w:val="20"/>
        </w:rPr>
        <w:t>from</w:t>
      </w:r>
      <w:r>
        <w:rPr>
          <w:spacing w:val="-4"/>
          <w:sz w:val="20"/>
        </w:rPr>
        <w:t xml:space="preserve"> </w:t>
      </w:r>
      <w:r>
        <w:rPr>
          <w:sz w:val="20"/>
        </w:rPr>
        <w:t>requiring</w:t>
      </w:r>
      <w:r>
        <w:rPr>
          <w:spacing w:val="-1"/>
          <w:sz w:val="20"/>
        </w:rPr>
        <w:t xml:space="preserve"> </w:t>
      </w:r>
      <w:r>
        <w:rPr>
          <w:sz w:val="20"/>
        </w:rPr>
        <w:t>that a person</w:t>
      </w:r>
      <w:r>
        <w:rPr>
          <w:spacing w:val="-1"/>
          <w:sz w:val="20"/>
        </w:rPr>
        <w:t xml:space="preserve"> </w:t>
      </w:r>
      <w:r>
        <w:rPr>
          <w:sz w:val="20"/>
        </w:rPr>
        <w:t>against whom</w:t>
      </w:r>
      <w:r>
        <w:rPr>
          <w:spacing w:val="-1"/>
          <w:sz w:val="20"/>
        </w:rPr>
        <w:t xml:space="preserve"> </w:t>
      </w:r>
      <w:r>
        <w:rPr>
          <w:sz w:val="20"/>
        </w:rPr>
        <w:t>such an</w:t>
      </w:r>
      <w:r>
        <w:rPr>
          <w:spacing w:val="-7"/>
          <w:sz w:val="20"/>
        </w:rPr>
        <w:t xml:space="preserve"> </w:t>
      </w:r>
      <w:r>
        <w:rPr>
          <w:sz w:val="20"/>
        </w:rPr>
        <w:t>allegation</w:t>
      </w:r>
      <w:r>
        <w:rPr>
          <w:spacing w:val="-6"/>
          <w:sz w:val="20"/>
        </w:rPr>
        <w:t xml:space="preserve"> </w:t>
      </w:r>
      <w:r>
        <w:rPr>
          <w:sz w:val="20"/>
        </w:rPr>
        <w:t>is</w:t>
      </w:r>
      <w:r>
        <w:rPr>
          <w:spacing w:val="-4"/>
          <w:sz w:val="20"/>
        </w:rPr>
        <w:t xml:space="preserve"> </w:t>
      </w:r>
      <w:r>
        <w:rPr>
          <w:sz w:val="20"/>
        </w:rPr>
        <w:t>made</w:t>
      </w:r>
      <w:r>
        <w:rPr>
          <w:spacing w:val="-5"/>
          <w:sz w:val="20"/>
        </w:rPr>
        <w:t xml:space="preserve"> </w:t>
      </w:r>
      <w:r>
        <w:rPr>
          <w:sz w:val="20"/>
        </w:rPr>
        <w:t>be</w:t>
      </w:r>
      <w:r>
        <w:rPr>
          <w:spacing w:val="-5"/>
          <w:sz w:val="20"/>
        </w:rPr>
        <w:t xml:space="preserve"> </w:t>
      </w:r>
      <w:r>
        <w:rPr>
          <w:sz w:val="20"/>
        </w:rPr>
        <w:t>responsible</w:t>
      </w:r>
      <w:r>
        <w:rPr>
          <w:spacing w:val="-3"/>
          <w:sz w:val="20"/>
        </w:rPr>
        <w:t xml:space="preserve"> </w:t>
      </w:r>
      <w:r>
        <w:rPr>
          <w:sz w:val="20"/>
        </w:rPr>
        <w:t>for</w:t>
      </w:r>
      <w:r>
        <w:rPr>
          <w:spacing w:val="-4"/>
          <w:sz w:val="20"/>
        </w:rPr>
        <w:t xml:space="preserve"> </w:t>
      </w:r>
      <w:r>
        <w:rPr>
          <w:sz w:val="20"/>
        </w:rPr>
        <w:t>establishing</w:t>
      </w:r>
      <w:r>
        <w:rPr>
          <w:spacing w:val="-7"/>
          <w:sz w:val="20"/>
        </w:rPr>
        <w:t xml:space="preserve"> </w:t>
      </w:r>
      <w:r>
        <w:rPr>
          <w:sz w:val="20"/>
        </w:rPr>
        <w:t>certain</w:t>
      </w:r>
      <w:r>
        <w:rPr>
          <w:spacing w:val="-6"/>
          <w:sz w:val="20"/>
        </w:rPr>
        <w:t xml:space="preserve"> </w:t>
      </w:r>
      <w:r>
        <w:rPr>
          <w:sz w:val="20"/>
        </w:rPr>
        <w:t>elements</w:t>
      </w:r>
      <w:r>
        <w:rPr>
          <w:spacing w:val="-6"/>
          <w:sz w:val="20"/>
        </w:rPr>
        <w:t xml:space="preserve"> </w:t>
      </w:r>
      <w:r>
        <w:rPr>
          <w:sz w:val="20"/>
        </w:rPr>
        <w:t>in</w:t>
      </w:r>
      <w:r>
        <w:rPr>
          <w:spacing w:val="-6"/>
          <w:sz w:val="20"/>
        </w:rPr>
        <w:t xml:space="preserve"> </w:t>
      </w:r>
      <w:r>
        <w:rPr>
          <w:sz w:val="20"/>
        </w:rPr>
        <w:t>defence</w:t>
      </w:r>
      <w:r>
        <w:rPr>
          <w:spacing w:val="-6"/>
          <w:sz w:val="20"/>
        </w:rPr>
        <w:t xml:space="preserve"> </w:t>
      </w:r>
      <w:r>
        <w:rPr>
          <w:sz w:val="20"/>
        </w:rPr>
        <w:t>of</w:t>
      </w:r>
      <w:r>
        <w:rPr>
          <w:spacing w:val="-7"/>
          <w:sz w:val="20"/>
        </w:rPr>
        <w:t xml:space="preserve"> </w:t>
      </w:r>
      <w:r>
        <w:rPr>
          <w:sz w:val="20"/>
        </w:rPr>
        <w:t>the</w:t>
      </w:r>
      <w:r>
        <w:rPr>
          <w:spacing w:val="-5"/>
          <w:sz w:val="20"/>
        </w:rPr>
        <w:t xml:space="preserve"> </w:t>
      </w:r>
      <w:r>
        <w:rPr>
          <w:spacing w:val="-2"/>
          <w:sz w:val="20"/>
        </w:rPr>
        <w:t>allegation.</w:t>
      </w:r>
    </w:p>
  </w:footnote>
  <w:footnote w:id="6">
    <w:p w14:paraId="682FB495" w14:textId="573BCE03" w:rsidR="00F14987" w:rsidRPr="00F14987" w:rsidRDefault="00F14987" w:rsidP="00F14987">
      <w:pPr>
        <w:spacing w:before="1"/>
        <w:ind w:right="87" w:firstLine="0"/>
        <w:rPr>
          <w:sz w:val="20"/>
        </w:rPr>
      </w:pPr>
      <w:r>
        <w:rPr>
          <w:rStyle w:val="FootnoteReference"/>
        </w:rPr>
        <w:footnoteRef/>
      </w:r>
      <w:r>
        <w:t xml:space="preserve"> </w:t>
      </w:r>
      <w:r>
        <w:rPr>
          <w:sz w:val="20"/>
        </w:rPr>
        <w:t>This</w:t>
      </w:r>
      <w:r>
        <w:rPr>
          <w:spacing w:val="-3"/>
          <w:sz w:val="20"/>
        </w:rPr>
        <w:t xml:space="preserve"> </w:t>
      </w:r>
      <w:r>
        <w:rPr>
          <w:sz w:val="20"/>
        </w:rPr>
        <w:t>Article</w:t>
      </w:r>
      <w:r>
        <w:rPr>
          <w:spacing w:val="-2"/>
          <w:sz w:val="20"/>
        </w:rPr>
        <w:t xml:space="preserve"> </w:t>
      </w:r>
      <w:r>
        <w:rPr>
          <w:sz w:val="20"/>
        </w:rPr>
        <w:t>is subject</w:t>
      </w:r>
      <w:r>
        <w:rPr>
          <w:spacing w:val="-2"/>
          <w:sz w:val="20"/>
        </w:rPr>
        <w:t xml:space="preserve"> </w:t>
      </w:r>
      <w:r>
        <w:rPr>
          <w:sz w:val="20"/>
        </w:rPr>
        <w:t>to</w:t>
      </w:r>
      <w:r>
        <w:rPr>
          <w:spacing w:val="-1"/>
          <w:sz w:val="20"/>
        </w:rPr>
        <w:t xml:space="preserve"> </w:t>
      </w:r>
      <w:r>
        <w:rPr>
          <w:sz w:val="20"/>
        </w:rPr>
        <w:t>Annex</w:t>
      </w:r>
      <w:r>
        <w:rPr>
          <w:spacing w:val="-3"/>
          <w:sz w:val="20"/>
        </w:rPr>
        <w:t xml:space="preserve"> </w:t>
      </w:r>
      <w:r>
        <w:rPr>
          <w:sz w:val="20"/>
        </w:rPr>
        <w:t>16-A</w:t>
      </w:r>
      <w:r>
        <w:rPr>
          <w:spacing w:val="-4"/>
          <w:sz w:val="20"/>
        </w:rPr>
        <w:t xml:space="preserve"> </w:t>
      </w:r>
      <w:r>
        <w:rPr>
          <w:sz w:val="20"/>
        </w:rPr>
        <w:t>(Application</w:t>
      </w:r>
      <w:r>
        <w:rPr>
          <w:spacing w:val="-3"/>
          <w:sz w:val="20"/>
        </w:rPr>
        <w:t xml:space="preserve"> </w:t>
      </w:r>
      <w:r>
        <w:rPr>
          <w:sz w:val="20"/>
        </w:rPr>
        <w:t>of</w:t>
      </w:r>
      <w:r>
        <w:rPr>
          <w:spacing w:val="-1"/>
          <w:sz w:val="20"/>
        </w:rPr>
        <w:t xml:space="preserve"> </w:t>
      </w:r>
      <w:r>
        <w:rPr>
          <w:sz w:val="20"/>
        </w:rPr>
        <w:t>Article</w:t>
      </w:r>
      <w:r>
        <w:rPr>
          <w:spacing w:val="-2"/>
          <w:sz w:val="20"/>
        </w:rPr>
        <w:t xml:space="preserve"> </w:t>
      </w:r>
      <w:r>
        <w:rPr>
          <w:sz w:val="20"/>
        </w:rPr>
        <w:t>16.2,</w:t>
      </w:r>
      <w:r>
        <w:rPr>
          <w:spacing w:val="-4"/>
          <w:sz w:val="20"/>
        </w:rPr>
        <w:t xml:space="preserve"> </w:t>
      </w:r>
      <w:r>
        <w:rPr>
          <w:sz w:val="20"/>
        </w:rPr>
        <w:t>Article</w:t>
      </w:r>
      <w:r>
        <w:rPr>
          <w:spacing w:val="-2"/>
          <w:sz w:val="20"/>
        </w:rPr>
        <w:t xml:space="preserve"> </w:t>
      </w:r>
      <w:proofErr w:type="gramStart"/>
      <w:r>
        <w:rPr>
          <w:sz w:val="20"/>
        </w:rPr>
        <w:t>16.3</w:t>
      </w:r>
      <w:proofErr w:type="gramEnd"/>
      <w:r>
        <w:rPr>
          <w:spacing w:val="-1"/>
          <w:sz w:val="20"/>
        </w:rPr>
        <w:t xml:space="preserve"> </w:t>
      </w:r>
      <w:r>
        <w:rPr>
          <w:sz w:val="20"/>
        </w:rPr>
        <w:t>and</w:t>
      </w:r>
      <w:r>
        <w:rPr>
          <w:spacing w:val="-1"/>
          <w:sz w:val="20"/>
        </w:rPr>
        <w:t xml:space="preserve"> </w:t>
      </w:r>
      <w:r>
        <w:rPr>
          <w:sz w:val="20"/>
        </w:rPr>
        <w:t>Article</w:t>
      </w:r>
      <w:r>
        <w:rPr>
          <w:spacing w:val="-2"/>
          <w:sz w:val="20"/>
        </w:rPr>
        <w:t xml:space="preserve"> </w:t>
      </w:r>
      <w:r>
        <w:rPr>
          <w:sz w:val="20"/>
        </w:rPr>
        <w:t>16.4 to Brunei Darussalam).</w:t>
      </w:r>
    </w:p>
  </w:footnote>
  <w:footnote w:id="7">
    <w:p w14:paraId="6BB1CB72" w14:textId="6C318A4D" w:rsidR="00342E32" w:rsidRPr="00342E32" w:rsidRDefault="00342E32" w:rsidP="00342E32">
      <w:pPr>
        <w:spacing w:before="103"/>
        <w:ind w:right="433" w:firstLine="0"/>
        <w:rPr>
          <w:sz w:val="20"/>
        </w:rPr>
      </w:pPr>
      <w:r>
        <w:rPr>
          <w:rStyle w:val="FootnoteReference"/>
        </w:rPr>
        <w:footnoteRef/>
      </w:r>
      <w:r>
        <w:t xml:space="preserve"> </w:t>
      </w:r>
      <w:r>
        <w:rPr>
          <w:sz w:val="20"/>
        </w:rPr>
        <w:t>For</w:t>
      </w:r>
      <w:r>
        <w:rPr>
          <w:spacing w:val="-2"/>
          <w:sz w:val="20"/>
        </w:rPr>
        <w:t xml:space="preserve"> </w:t>
      </w:r>
      <w:r>
        <w:rPr>
          <w:sz w:val="20"/>
        </w:rPr>
        <w:t>greater</w:t>
      </w:r>
      <w:r>
        <w:rPr>
          <w:spacing w:val="-2"/>
          <w:sz w:val="20"/>
        </w:rPr>
        <w:t xml:space="preserve"> </w:t>
      </w:r>
      <w:r>
        <w:rPr>
          <w:sz w:val="20"/>
        </w:rPr>
        <w:t>certainty,</w:t>
      </w:r>
      <w:r>
        <w:rPr>
          <w:spacing w:val="-2"/>
          <w:sz w:val="20"/>
        </w:rPr>
        <w:t xml:space="preserve"> </w:t>
      </w:r>
      <w:r>
        <w:rPr>
          <w:sz w:val="20"/>
        </w:rPr>
        <w:t>the</w:t>
      </w:r>
      <w:r>
        <w:rPr>
          <w:spacing w:val="-3"/>
          <w:sz w:val="20"/>
        </w:rPr>
        <w:t xml:space="preserve"> </w:t>
      </w:r>
      <w:proofErr w:type="gramStart"/>
      <w:r>
        <w:rPr>
          <w:sz w:val="20"/>
        </w:rPr>
        <w:t>laws</w:t>
      </w:r>
      <w:proofErr w:type="gramEnd"/>
      <w:r>
        <w:rPr>
          <w:spacing w:val="-4"/>
          <w:sz w:val="20"/>
        </w:rPr>
        <w:t xml:space="preserve"> </w:t>
      </w:r>
      <w:r>
        <w:rPr>
          <w:sz w:val="20"/>
        </w:rPr>
        <w:t>or</w:t>
      </w:r>
      <w:r>
        <w:rPr>
          <w:spacing w:val="-2"/>
          <w:sz w:val="20"/>
        </w:rPr>
        <w:t xml:space="preserve"> </w:t>
      </w:r>
      <w:r>
        <w:rPr>
          <w:sz w:val="20"/>
        </w:rPr>
        <w:t>regulations</w:t>
      </w:r>
      <w:r>
        <w:rPr>
          <w:spacing w:val="-4"/>
          <w:sz w:val="20"/>
        </w:rPr>
        <w:t xml:space="preserve"> </w:t>
      </w:r>
      <w:r>
        <w:rPr>
          <w:sz w:val="20"/>
        </w:rPr>
        <w:t>a</w:t>
      </w:r>
      <w:r>
        <w:rPr>
          <w:spacing w:val="-3"/>
          <w:sz w:val="20"/>
        </w:rPr>
        <w:t xml:space="preserve"> </w:t>
      </w:r>
      <w:r>
        <w:rPr>
          <w:sz w:val="20"/>
        </w:rPr>
        <w:t>Party</w:t>
      </w:r>
      <w:r>
        <w:rPr>
          <w:spacing w:val="-7"/>
          <w:sz w:val="20"/>
        </w:rPr>
        <w:t xml:space="preserve"> </w:t>
      </w:r>
      <w:r>
        <w:rPr>
          <w:sz w:val="20"/>
        </w:rPr>
        <w:t>adopts</w:t>
      </w:r>
      <w:r>
        <w:rPr>
          <w:spacing w:val="-1"/>
          <w:sz w:val="20"/>
        </w:rPr>
        <w:t xml:space="preserve"> </w:t>
      </w:r>
      <w:r>
        <w:rPr>
          <w:sz w:val="20"/>
        </w:rPr>
        <w:t>or</w:t>
      </w:r>
      <w:r>
        <w:rPr>
          <w:spacing w:val="-2"/>
          <w:sz w:val="20"/>
        </w:rPr>
        <w:t xml:space="preserve"> </w:t>
      </w:r>
      <w:r>
        <w:rPr>
          <w:sz w:val="20"/>
        </w:rPr>
        <w:t>maintains</w:t>
      </w:r>
      <w:r>
        <w:rPr>
          <w:spacing w:val="-4"/>
          <w:sz w:val="20"/>
        </w:rPr>
        <w:t xml:space="preserve"> </w:t>
      </w:r>
      <w:r>
        <w:rPr>
          <w:sz w:val="20"/>
        </w:rPr>
        <w:t>to</w:t>
      </w:r>
      <w:r>
        <w:rPr>
          <w:spacing w:val="-2"/>
          <w:sz w:val="20"/>
        </w:rPr>
        <w:t xml:space="preserve"> </w:t>
      </w:r>
      <w:r>
        <w:rPr>
          <w:sz w:val="20"/>
        </w:rPr>
        <w:t>proscribe</w:t>
      </w:r>
      <w:r>
        <w:rPr>
          <w:spacing w:val="-3"/>
          <w:sz w:val="20"/>
        </w:rPr>
        <w:t xml:space="preserve"> </w:t>
      </w:r>
      <w:r>
        <w:rPr>
          <w:sz w:val="20"/>
        </w:rPr>
        <w:t>these activities can be civil or criminal in nature.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1"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2"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num w:numId="1" w16cid:durableId="2114855007">
    <w:abstractNumId w:val="0"/>
  </w:num>
  <w:num w:numId="2" w16cid:durableId="467941177">
    <w:abstractNumId w:val="1"/>
  </w:num>
  <w:num w:numId="3" w16cid:durableId="1107507213">
    <w:abstractNumId w:val="2"/>
  </w:num>
  <w:num w:numId="4" w16cid:durableId="621593">
    <w:abstractNumId w:val="1"/>
    <w:lvlOverride w:ilvl="0">
      <w:startOverride w:val="1"/>
    </w:lvlOverride>
  </w:num>
  <w:num w:numId="5" w16cid:durableId="1640455420">
    <w:abstractNumId w:val="1"/>
    <w:lvlOverride w:ilvl="0">
      <w:startOverride w:val="1"/>
    </w:lvlOverride>
  </w:num>
  <w:num w:numId="6" w16cid:durableId="139083483">
    <w:abstractNumId w:val="2"/>
    <w:lvlOverride w:ilvl="0">
      <w:startOverride w:val="1"/>
    </w:lvlOverride>
  </w:num>
  <w:num w:numId="7" w16cid:durableId="206453553">
    <w:abstractNumId w:val="1"/>
    <w:lvlOverride w:ilvl="0">
      <w:startOverride w:val="1"/>
    </w:lvlOverride>
  </w:num>
  <w:num w:numId="8" w16cid:durableId="1377579976">
    <w:abstractNumId w:val="2"/>
    <w:lvlOverride w:ilvl="0">
      <w:startOverride w:val="1"/>
    </w:lvlOverride>
  </w:num>
  <w:num w:numId="9" w16cid:durableId="244074209">
    <w:abstractNumId w:val="2"/>
    <w:lvlOverride w:ilvl="0">
      <w:startOverride w:val="1"/>
    </w:lvlOverride>
  </w:num>
  <w:num w:numId="10" w16cid:durableId="908198111">
    <w:abstractNumId w:val="1"/>
    <w:lvlOverride w:ilvl="0">
      <w:startOverride w:val="1"/>
    </w:lvlOverride>
  </w:num>
  <w:num w:numId="11" w16cid:durableId="1440644599">
    <w:abstractNumId w:val="2"/>
    <w:lvlOverride w:ilvl="0">
      <w:startOverride w:val="1"/>
    </w:lvlOverride>
  </w:num>
  <w:num w:numId="12" w16cid:durableId="277488486">
    <w:abstractNumId w:val="1"/>
    <w:lvlOverride w:ilvl="0">
      <w:startOverride w:val="1"/>
    </w:lvlOverride>
  </w:num>
  <w:num w:numId="13" w16cid:durableId="1401712511">
    <w:abstractNumId w:val="2"/>
    <w:lvlOverride w:ilvl="0">
      <w:startOverride w:val="1"/>
    </w:lvlOverride>
  </w:num>
  <w:num w:numId="14" w16cid:durableId="1451777393">
    <w:abstractNumId w:val="1"/>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B378E"/>
    <w:rsid w:val="000B798A"/>
    <w:rsid w:val="000E0519"/>
    <w:rsid w:val="000E3A06"/>
    <w:rsid w:val="001111BF"/>
    <w:rsid w:val="00116E51"/>
    <w:rsid w:val="001E1792"/>
    <w:rsid w:val="0022195D"/>
    <w:rsid w:val="00222ED2"/>
    <w:rsid w:val="002549DC"/>
    <w:rsid w:val="00297AD2"/>
    <w:rsid w:val="002B404D"/>
    <w:rsid w:val="002B7EF9"/>
    <w:rsid w:val="002C19F3"/>
    <w:rsid w:val="002D1E8E"/>
    <w:rsid w:val="0032168E"/>
    <w:rsid w:val="00342E32"/>
    <w:rsid w:val="003A03B7"/>
    <w:rsid w:val="004016B6"/>
    <w:rsid w:val="00410445"/>
    <w:rsid w:val="0045038C"/>
    <w:rsid w:val="0046437F"/>
    <w:rsid w:val="00473F0E"/>
    <w:rsid w:val="004B3DE8"/>
    <w:rsid w:val="004E4CE2"/>
    <w:rsid w:val="004F47B1"/>
    <w:rsid w:val="00506E46"/>
    <w:rsid w:val="0051524E"/>
    <w:rsid w:val="00532742"/>
    <w:rsid w:val="00542CCA"/>
    <w:rsid w:val="00552D09"/>
    <w:rsid w:val="00556AB2"/>
    <w:rsid w:val="005A041E"/>
    <w:rsid w:val="005B7139"/>
    <w:rsid w:val="005F78C4"/>
    <w:rsid w:val="00604579"/>
    <w:rsid w:val="00621307"/>
    <w:rsid w:val="00625487"/>
    <w:rsid w:val="0066044E"/>
    <w:rsid w:val="00665084"/>
    <w:rsid w:val="006900A5"/>
    <w:rsid w:val="00697317"/>
    <w:rsid w:val="006A43E8"/>
    <w:rsid w:val="006F02C8"/>
    <w:rsid w:val="00741225"/>
    <w:rsid w:val="00756ED0"/>
    <w:rsid w:val="007A79DE"/>
    <w:rsid w:val="007F2CD6"/>
    <w:rsid w:val="007F777F"/>
    <w:rsid w:val="0080461C"/>
    <w:rsid w:val="008343E4"/>
    <w:rsid w:val="00857CBA"/>
    <w:rsid w:val="009035ED"/>
    <w:rsid w:val="009069A5"/>
    <w:rsid w:val="00906FC4"/>
    <w:rsid w:val="00933A67"/>
    <w:rsid w:val="00955A74"/>
    <w:rsid w:val="00971B8C"/>
    <w:rsid w:val="009A4584"/>
    <w:rsid w:val="009F10AB"/>
    <w:rsid w:val="00A0470C"/>
    <w:rsid w:val="00A06998"/>
    <w:rsid w:val="00A172F4"/>
    <w:rsid w:val="00A768A1"/>
    <w:rsid w:val="00A8766A"/>
    <w:rsid w:val="00A9717F"/>
    <w:rsid w:val="00AA2FF8"/>
    <w:rsid w:val="00AB1AA9"/>
    <w:rsid w:val="00AD2B0D"/>
    <w:rsid w:val="00AE548D"/>
    <w:rsid w:val="00B05366"/>
    <w:rsid w:val="00B25E2A"/>
    <w:rsid w:val="00B33D62"/>
    <w:rsid w:val="00BB7129"/>
    <w:rsid w:val="00BD3938"/>
    <w:rsid w:val="00C07241"/>
    <w:rsid w:val="00C4363E"/>
    <w:rsid w:val="00C819B9"/>
    <w:rsid w:val="00CA69D1"/>
    <w:rsid w:val="00CE2A8E"/>
    <w:rsid w:val="00D65CFB"/>
    <w:rsid w:val="00D93FD9"/>
    <w:rsid w:val="00DD0C73"/>
    <w:rsid w:val="00DF6F0F"/>
    <w:rsid w:val="00E24807"/>
    <w:rsid w:val="00E513D7"/>
    <w:rsid w:val="00E74936"/>
    <w:rsid w:val="00F03652"/>
    <w:rsid w:val="00F14987"/>
    <w:rsid w:val="00F31F88"/>
    <w:rsid w:val="00F56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F14987"/>
    <w:pPr>
      <w:ind w:firstLine="0"/>
      <w:jc w:val="center"/>
      <w:outlineLvl w:val="0"/>
    </w:pPr>
    <w:rPr>
      <w:b/>
      <w:bCs/>
    </w:rPr>
  </w:style>
  <w:style w:type="paragraph" w:styleId="Heading2">
    <w:name w:val="heading 2"/>
    <w:basedOn w:val="Normal"/>
    <w:uiPriority w:val="9"/>
    <w:unhideWhenUsed/>
    <w:qFormat/>
    <w:rsid w:val="00B33D62"/>
    <w:pPr>
      <w:spacing w:before="600" w:after="360"/>
      <w:ind w:firstLine="0"/>
      <w:jc w:val="left"/>
      <w:outlineLvl w:val="1"/>
    </w:pPr>
    <w:rPr>
      <w:b/>
      <w:bCs/>
    </w:rPr>
  </w:style>
  <w:style w:type="paragraph" w:styleId="Heading3">
    <w:name w:val="heading 3"/>
    <w:basedOn w:val="Normal"/>
    <w:uiPriority w:val="9"/>
    <w:unhideWhenUsed/>
    <w:qFormat/>
    <w:rsid w:val="00F14987"/>
    <w:pPr>
      <w:spacing w:before="600"/>
      <w:ind w:firstLine="0"/>
      <w:outlineLvl w:val="2"/>
    </w:pPr>
    <w:rPr>
      <w:b/>
      <w:bCs/>
    </w:rPr>
  </w:style>
  <w:style w:type="paragraph" w:styleId="Heading4">
    <w:name w:val="heading 4"/>
    <w:basedOn w:val="Heading2"/>
    <w:next w:val="Normal"/>
    <w:link w:val="Heading4Char"/>
    <w:uiPriority w:val="9"/>
    <w:unhideWhenUsed/>
    <w:qFormat/>
    <w:rsid w:val="00DD0C73"/>
    <w:pPr>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3"/>
      </w:numPr>
      <w:ind w:left="2279"/>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3"/>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2"/>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Text of the Trans-Pacific Partnership Agreement - Party-specific Annexes to the Chapter - 16 Competition Policy</vt:lpstr>
    </vt:vector>
  </TitlesOfParts>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of the Trans-Pacific Partnership Agreement - Party-specific Annexes to the Chapter - 16 Competition Policy</dc:title>
  <dc:creator>DFAT</dc:creator>
  <cp:lastModifiedBy>Embellish Creative - Design</cp:lastModifiedBy>
  <cp:revision>9</cp:revision>
  <cp:lastPrinted>2022-06-03T02:34:00Z</cp:lastPrinted>
  <dcterms:created xsi:type="dcterms:W3CDTF">2022-06-06T00:28:00Z</dcterms:created>
  <dcterms:modified xsi:type="dcterms:W3CDTF">2022-06-27T23:57:00Z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