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71" w:rsidRDefault="008B3A1B" w:rsidP="008C4089">
      <w:pPr>
        <w:pStyle w:val="Title"/>
        <w:spacing w:after="360"/>
        <w:ind w:right="-706"/>
        <w:rPr>
          <w:color w:val="AD495D"/>
        </w:rPr>
      </w:pPr>
      <w:r>
        <w:rPr>
          <w:noProof/>
          <w:color w:val="AD495D"/>
          <w:lang w:val="en-US" w:eastAsia="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9" name="Picture 1199" descr="Description: 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Description: Australian Government Logo. AusAI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C71">
        <w:rPr>
          <w:color w:val="AD495D"/>
        </w:rPr>
        <w:t>Papua New Guinea</w:t>
      </w:r>
      <w:r w:rsidR="003675D9" w:rsidRPr="00F62C71">
        <w:rPr>
          <w:color w:val="AD495D"/>
          <w:spacing w:val="-20"/>
          <w:sz w:val="24"/>
          <w:szCs w:val="24"/>
        </w:rPr>
        <w:t> </w:t>
      </w:r>
      <w:r w:rsidR="003675D9">
        <w:rPr>
          <w:color w:val="AD495D"/>
        </w:rPr>
        <w:t>–</w:t>
      </w:r>
      <w:r w:rsidR="003675D9" w:rsidRPr="00F62C71">
        <w:rPr>
          <w:color w:val="AD495D"/>
          <w:spacing w:val="-20"/>
          <w:sz w:val="24"/>
          <w:szCs w:val="24"/>
        </w:rPr>
        <w:t> </w:t>
      </w:r>
      <w:r w:rsidR="003675D9" w:rsidRPr="00F62C71">
        <w:rPr>
          <w:color w:val="AD495D"/>
        </w:rPr>
        <w:t>Australia</w:t>
      </w:r>
      <w:r w:rsidR="003675D9">
        <w:rPr>
          <w:color w:val="AD495D"/>
        </w:rPr>
        <w:t xml:space="preserve"> </w:t>
      </w:r>
      <w:r w:rsidR="00F62C71" w:rsidRPr="006C04BA">
        <w:rPr>
          <w:color w:val="AD495D"/>
        </w:rPr>
        <w:t>Development Cooperation Report 2009</w:t>
      </w:r>
      <w:r>
        <w:rPr>
          <w:noProof/>
          <w:color w:val="AD495D"/>
          <w:lang w:val="en-US" w:eastAsia="en-US"/>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4460875" cy="1784350"/>
            <wp:effectExtent l="0" t="0" r="0" b="6350"/>
            <wp:wrapNone/>
            <wp:docPr id="1198" name="Picture 1198"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087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8AD">
        <w:rPr>
          <w:color w:val="AD495D"/>
        </w:rPr>
        <w:t xml:space="preserve"> </w:t>
      </w:r>
    </w:p>
    <w:p w:rsidR="007427AE" w:rsidRDefault="0071585E">
      <w:pPr>
        <w:pStyle w:val="Date"/>
        <w:rPr>
          <w:color w:val="AD495D"/>
        </w:rPr>
      </w:pPr>
      <w:r>
        <w:rPr>
          <w:color w:val="AD495D"/>
        </w:rPr>
        <w:t>Dec</w:t>
      </w:r>
      <w:r w:rsidR="00F62C71">
        <w:rPr>
          <w:color w:val="AD495D"/>
        </w:rPr>
        <w:t>ember 2010</w:t>
      </w:r>
    </w:p>
    <w:p w:rsidR="007427AE" w:rsidRDefault="007427AE">
      <w:pPr>
        <w:pStyle w:val="TOCHeading"/>
      </w:pPr>
      <w:r>
        <w:t>Contents</w:t>
      </w:r>
    </w:p>
    <w:p w:rsidR="007427AE" w:rsidRPr="007427AE" w:rsidRDefault="007427AE">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703159" w:history="1">
        <w:r w:rsidRPr="00CD5368">
          <w:rPr>
            <w:rStyle w:val="Hyperlink"/>
            <w:noProof/>
          </w:rPr>
          <w:t>Context</w:t>
        </w:r>
        <w:r>
          <w:rPr>
            <w:noProof/>
            <w:webHidden/>
          </w:rPr>
          <w:tab/>
        </w:r>
        <w:r>
          <w:rPr>
            <w:noProof/>
            <w:webHidden/>
          </w:rPr>
          <w:fldChar w:fldCharType="begin"/>
        </w:r>
        <w:r>
          <w:rPr>
            <w:noProof/>
            <w:webHidden/>
          </w:rPr>
          <w:instrText xml:space="preserve"> PAGEREF _Toc360703159 \h </w:instrText>
        </w:r>
        <w:r>
          <w:rPr>
            <w:noProof/>
            <w:webHidden/>
          </w:rPr>
        </w:r>
        <w:r>
          <w:rPr>
            <w:noProof/>
            <w:webHidden/>
          </w:rPr>
          <w:fldChar w:fldCharType="separate"/>
        </w:r>
        <w:r>
          <w:rPr>
            <w:noProof/>
            <w:webHidden/>
          </w:rPr>
          <w:t>2</w:t>
        </w:r>
        <w:r>
          <w:rPr>
            <w:noProof/>
            <w:webHidden/>
          </w:rPr>
          <w:fldChar w:fldCharType="end"/>
        </w:r>
      </w:hyperlink>
    </w:p>
    <w:p w:rsidR="007427AE" w:rsidRPr="007427AE" w:rsidRDefault="007427AE">
      <w:pPr>
        <w:pStyle w:val="TOC1"/>
        <w:rPr>
          <w:rFonts w:ascii="Calibri" w:hAnsi="Calibri" w:cs="Arial"/>
          <w:noProof/>
          <w:color w:val="auto"/>
          <w:sz w:val="22"/>
          <w:szCs w:val="22"/>
          <w:lang w:val="en-US" w:eastAsia="en-US"/>
        </w:rPr>
      </w:pPr>
      <w:hyperlink w:anchor="_Toc360703160" w:history="1">
        <w:r w:rsidRPr="00CD5368">
          <w:rPr>
            <w:rStyle w:val="Hyperlink"/>
            <w:noProof/>
          </w:rPr>
          <w:t>Progress towards objectives</w:t>
        </w:r>
        <w:r>
          <w:rPr>
            <w:noProof/>
            <w:webHidden/>
          </w:rPr>
          <w:tab/>
        </w:r>
        <w:r>
          <w:rPr>
            <w:noProof/>
            <w:webHidden/>
          </w:rPr>
          <w:fldChar w:fldCharType="begin"/>
        </w:r>
        <w:r>
          <w:rPr>
            <w:noProof/>
            <w:webHidden/>
          </w:rPr>
          <w:instrText xml:space="preserve"> PAGEREF _Toc360703160 \h </w:instrText>
        </w:r>
        <w:r>
          <w:rPr>
            <w:noProof/>
            <w:webHidden/>
          </w:rPr>
        </w:r>
        <w:r>
          <w:rPr>
            <w:noProof/>
            <w:webHidden/>
          </w:rPr>
          <w:fldChar w:fldCharType="separate"/>
        </w:r>
        <w:r>
          <w:rPr>
            <w:noProof/>
            <w:webHidden/>
          </w:rPr>
          <w:t>5</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1" w:history="1">
        <w:r w:rsidRPr="00CD5368">
          <w:rPr>
            <w:rStyle w:val="Hyperlink"/>
            <w:noProof/>
          </w:rPr>
          <w:t>Objective: Key national roads, ports and airports providing access to markets and services</w:t>
        </w:r>
        <w:r>
          <w:rPr>
            <w:noProof/>
            <w:webHidden/>
          </w:rPr>
          <w:tab/>
        </w:r>
        <w:r>
          <w:rPr>
            <w:noProof/>
            <w:webHidden/>
          </w:rPr>
          <w:fldChar w:fldCharType="begin"/>
        </w:r>
        <w:r>
          <w:rPr>
            <w:noProof/>
            <w:webHidden/>
          </w:rPr>
          <w:instrText xml:space="preserve"> PAGEREF _Toc360703161 \h </w:instrText>
        </w:r>
        <w:r>
          <w:rPr>
            <w:noProof/>
            <w:webHidden/>
          </w:rPr>
        </w:r>
        <w:r>
          <w:rPr>
            <w:noProof/>
            <w:webHidden/>
          </w:rPr>
          <w:fldChar w:fldCharType="separate"/>
        </w:r>
        <w:r>
          <w:rPr>
            <w:noProof/>
            <w:webHidden/>
          </w:rPr>
          <w:t>5</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2" w:history="1">
        <w:r w:rsidRPr="00CD5368">
          <w:rPr>
            <w:rStyle w:val="Hyperlink"/>
            <w:noProof/>
          </w:rPr>
          <w:t>Objective: Significant, measurable progress towards the achievement of universal basic education</w:t>
        </w:r>
        <w:r>
          <w:rPr>
            <w:noProof/>
            <w:webHidden/>
          </w:rPr>
          <w:tab/>
        </w:r>
        <w:r>
          <w:rPr>
            <w:noProof/>
            <w:webHidden/>
          </w:rPr>
          <w:fldChar w:fldCharType="begin"/>
        </w:r>
        <w:r>
          <w:rPr>
            <w:noProof/>
            <w:webHidden/>
          </w:rPr>
          <w:instrText xml:space="preserve"> PAGEREF _Toc360703162 \h </w:instrText>
        </w:r>
        <w:r>
          <w:rPr>
            <w:noProof/>
            <w:webHidden/>
          </w:rPr>
        </w:r>
        <w:r>
          <w:rPr>
            <w:noProof/>
            <w:webHidden/>
          </w:rPr>
          <w:fldChar w:fldCharType="separate"/>
        </w:r>
        <w:r>
          <w:rPr>
            <w:noProof/>
            <w:webHidden/>
          </w:rPr>
          <w:t>6</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3" w:history="1">
        <w:r w:rsidRPr="00CD5368">
          <w:rPr>
            <w:rStyle w:val="Hyperlink"/>
            <w:noProof/>
          </w:rPr>
          <w:t>Objective: Improved health outcomes</w:t>
        </w:r>
        <w:r>
          <w:rPr>
            <w:noProof/>
            <w:webHidden/>
          </w:rPr>
          <w:tab/>
        </w:r>
        <w:r>
          <w:rPr>
            <w:noProof/>
            <w:webHidden/>
          </w:rPr>
          <w:fldChar w:fldCharType="begin"/>
        </w:r>
        <w:r>
          <w:rPr>
            <w:noProof/>
            <w:webHidden/>
          </w:rPr>
          <w:instrText xml:space="preserve"> PAGEREF _Toc360703163 \h </w:instrText>
        </w:r>
        <w:r>
          <w:rPr>
            <w:noProof/>
            <w:webHidden/>
          </w:rPr>
        </w:r>
        <w:r>
          <w:rPr>
            <w:noProof/>
            <w:webHidden/>
          </w:rPr>
          <w:fldChar w:fldCharType="separate"/>
        </w:r>
        <w:r>
          <w:rPr>
            <w:noProof/>
            <w:webHidden/>
          </w:rPr>
          <w:t>6</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4" w:history="1">
        <w:r w:rsidRPr="00CD5368">
          <w:rPr>
            <w:rStyle w:val="Hyperlink"/>
            <w:noProof/>
          </w:rPr>
          <w:t>Objective: Stabilise spread of new HIV infections by 2020 and provide effective care and treatment of those infected; and strengthen the national capacity to lead, coordinate and implement the HIV response</w:t>
        </w:r>
        <w:r>
          <w:rPr>
            <w:noProof/>
            <w:webHidden/>
          </w:rPr>
          <w:tab/>
        </w:r>
        <w:r>
          <w:rPr>
            <w:noProof/>
            <w:webHidden/>
          </w:rPr>
          <w:fldChar w:fldCharType="begin"/>
        </w:r>
        <w:r>
          <w:rPr>
            <w:noProof/>
            <w:webHidden/>
          </w:rPr>
          <w:instrText xml:space="preserve"> PAGEREF _Toc360703164 \h </w:instrText>
        </w:r>
        <w:r>
          <w:rPr>
            <w:noProof/>
            <w:webHidden/>
          </w:rPr>
        </w:r>
        <w:r>
          <w:rPr>
            <w:noProof/>
            <w:webHidden/>
          </w:rPr>
          <w:fldChar w:fldCharType="separate"/>
        </w:r>
        <w:r>
          <w:rPr>
            <w:noProof/>
            <w:webHidden/>
          </w:rPr>
          <w:t>7</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5" w:history="1">
        <w:r w:rsidRPr="00CD5368">
          <w:rPr>
            <w:rStyle w:val="Hyperlink"/>
            <w:noProof/>
          </w:rPr>
          <w:t>Objective: An efficient and effective public service</w:t>
        </w:r>
        <w:r>
          <w:rPr>
            <w:noProof/>
            <w:webHidden/>
          </w:rPr>
          <w:tab/>
        </w:r>
        <w:r>
          <w:rPr>
            <w:noProof/>
            <w:webHidden/>
          </w:rPr>
          <w:fldChar w:fldCharType="begin"/>
        </w:r>
        <w:r>
          <w:rPr>
            <w:noProof/>
            <w:webHidden/>
          </w:rPr>
          <w:instrText xml:space="preserve"> PAGEREF _Toc360703165 \h </w:instrText>
        </w:r>
        <w:r>
          <w:rPr>
            <w:noProof/>
            <w:webHidden/>
          </w:rPr>
        </w:r>
        <w:r>
          <w:rPr>
            <w:noProof/>
            <w:webHidden/>
          </w:rPr>
          <w:fldChar w:fldCharType="separate"/>
        </w:r>
        <w:r>
          <w:rPr>
            <w:noProof/>
            <w:webHidden/>
          </w:rPr>
          <w:t>8</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6" w:history="1">
        <w:r w:rsidRPr="00CD5368">
          <w:rPr>
            <w:rStyle w:val="Hyperlink"/>
            <w:noProof/>
          </w:rPr>
          <w:t>Objective: Development policy and program formulation based on sound statistics and performance reporting</w:t>
        </w:r>
        <w:r>
          <w:rPr>
            <w:noProof/>
            <w:webHidden/>
          </w:rPr>
          <w:tab/>
        </w:r>
        <w:r>
          <w:rPr>
            <w:noProof/>
            <w:webHidden/>
          </w:rPr>
          <w:fldChar w:fldCharType="begin"/>
        </w:r>
        <w:r>
          <w:rPr>
            <w:noProof/>
            <w:webHidden/>
          </w:rPr>
          <w:instrText xml:space="preserve"> PAGEREF _Toc360703166 \h </w:instrText>
        </w:r>
        <w:r>
          <w:rPr>
            <w:noProof/>
            <w:webHidden/>
          </w:rPr>
        </w:r>
        <w:r>
          <w:rPr>
            <w:noProof/>
            <w:webHidden/>
          </w:rPr>
          <w:fldChar w:fldCharType="separate"/>
        </w:r>
        <w:r>
          <w:rPr>
            <w:noProof/>
            <w:webHidden/>
          </w:rPr>
          <w:t>9</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7" w:history="1">
        <w:r w:rsidRPr="00CD5368">
          <w:rPr>
            <w:rStyle w:val="Hyperlink"/>
            <w:noProof/>
          </w:rPr>
          <w:t>Objective: Improved ability to provide law and justice services</w:t>
        </w:r>
        <w:r>
          <w:rPr>
            <w:noProof/>
            <w:webHidden/>
          </w:rPr>
          <w:tab/>
        </w:r>
        <w:r>
          <w:rPr>
            <w:noProof/>
            <w:webHidden/>
          </w:rPr>
          <w:fldChar w:fldCharType="begin"/>
        </w:r>
        <w:r>
          <w:rPr>
            <w:noProof/>
            <w:webHidden/>
          </w:rPr>
          <w:instrText xml:space="preserve"> PAGEREF _Toc360703167 \h </w:instrText>
        </w:r>
        <w:r>
          <w:rPr>
            <w:noProof/>
            <w:webHidden/>
          </w:rPr>
        </w:r>
        <w:r>
          <w:rPr>
            <w:noProof/>
            <w:webHidden/>
          </w:rPr>
          <w:fldChar w:fldCharType="separate"/>
        </w:r>
        <w:r>
          <w:rPr>
            <w:noProof/>
            <w:webHidden/>
          </w:rPr>
          <w:t>10</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8" w:history="1">
        <w:r w:rsidRPr="00CD5368">
          <w:rPr>
            <w:rStyle w:val="Hyperlink"/>
            <w:noProof/>
          </w:rPr>
          <w:t>Objective: Increased workforce skills</w:t>
        </w:r>
        <w:r>
          <w:rPr>
            <w:noProof/>
            <w:webHidden/>
          </w:rPr>
          <w:tab/>
        </w:r>
        <w:r>
          <w:rPr>
            <w:noProof/>
            <w:webHidden/>
          </w:rPr>
          <w:fldChar w:fldCharType="begin"/>
        </w:r>
        <w:r>
          <w:rPr>
            <w:noProof/>
            <w:webHidden/>
          </w:rPr>
          <w:instrText xml:space="preserve"> PAGEREF _Toc360703168 \h </w:instrText>
        </w:r>
        <w:r>
          <w:rPr>
            <w:noProof/>
            <w:webHidden/>
          </w:rPr>
        </w:r>
        <w:r>
          <w:rPr>
            <w:noProof/>
            <w:webHidden/>
          </w:rPr>
          <w:fldChar w:fldCharType="separate"/>
        </w:r>
        <w:r>
          <w:rPr>
            <w:noProof/>
            <w:webHidden/>
          </w:rPr>
          <w:t>11</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69" w:history="1">
        <w:r w:rsidRPr="00CD5368">
          <w:rPr>
            <w:rStyle w:val="Hyperlink"/>
            <w:noProof/>
          </w:rPr>
          <w:t>Objective: Men and women, civil society and the state working together on issues of public interest, shaping policy, allocating resources and enabling the exercise of rights</w:t>
        </w:r>
        <w:r>
          <w:rPr>
            <w:noProof/>
            <w:webHidden/>
          </w:rPr>
          <w:tab/>
        </w:r>
        <w:r>
          <w:rPr>
            <w:noProof/>
            <w:webHidden/>
          </w:rPr>
          <w:fldChar w:fldCharType="begin"/>
        </w:r>
        <w:r>
          <w:rPr>
            <w:noProof/>
            <w:webHidden/>
          </w:rPr>
          <w:instrText xml:space="preserve"> PAGEREF _Toc360703169 \h </w:instrText>
        </w:r>
        <w:r>
          <w:rPr>
            <w:noProof/>
            <w:webHidden/>
          </w:rPr>
        </w:r>
        <w:r>
          <w:rPr>
            <w:noProof/>
            <w:webHidden/>
          </w:rPr>
          <w:fldChar w:fldCharType="separate"/>
        </w:r>
        <w:r>
          <w:rPr>
            <w:noProof/>
            <w:webHidden/>
          </w:rPr>
          <w:t>12</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70" w:history="1">
        <w:r w:rsidRPr="00CD5368">
          <w:rPr>
            <w:rStyle w:val="Hyperlink"/>
            <w:noProof/>
          </w:rPr>
          <w:t>Objective: Sustainable and secure improvements in food supply and incomes for smallholders</w:t>
        </w:r>
        <w:r>
          <w:rPr>
            <w:noProof/>
            <w:webHidden/>
          </w:rPr>
          <w:tab/>
        </w:r>
        <w:r>
          <w:rPr>
            <w:noProof/>
            <w:webHidden/>
          </w:rPr>
          <w:fldChar w:fldCharType="begin"/>
        </w:r>
        <w:r>
          <w:rPr>
            <w:noProof/>
            <w:webHidden/>
          </w:rPr>
          <w:instrText xml:space="preserve"> PAGEREF _Toc360703170 \h </w:instrText>
        </w:r>
        <w:r>
          <w:rPr>
            <w:noProof/>
            <w:webHidden/>
          </w:rPr>
        </w:r>
        <w:r>
          <w:rPr>
            <w:noProof/>
            <w:webHidden/>
          </w:rPr>
          <w:fldChar w:fldCharType="separate"/>
        </w:r>
        <w:r>
          <w:rPr>
            <w:noProof/>
            <w:webHidden/>
          </w:rPr>
          <w:t>12</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71" w:history="1">
        <w:r w:rsidRPr="00CD5368">
          <w:rPr>
            <w:rStyle w:val="Hyperlink"/>
            <w:noProof/>
          </w:rPr>
          <w:t>Objective: A conducive environment for enhanced private sector development</w:t>
        </w:r>
        <w:r>
          <w:rPr>
            <w:noProof/>
            <w:webHidden/>
          </w:rPr>
          <w:tab/>
        </w:r>
        <w:r>
          <w:rPr>
            <w:noProof/>
            <w:webHidden/>
          </w:rPr>
          <w:fldChar w:fldCharType="begin"/>
        </w:r>
        <w:r>
          <w:rPr>
            <w:noProof/>
            <w:webHidden/>
          </w:rPr>
          <w:instrText xml:space="preserve"> PAGEREF _Toc360703171 \h </w:instrText>
        </w:r>
        <w:r>
          <w:rPr>
            <w:noProof/>
            <w:webHidden/>
          </w:rPr>
        </w:r>
        <w:r>
          <w:rPr>
            <w:noProof/>
            <w:webHidden/>
          </w:rPr>
          <w:fldChar w:fldCharType="separate"/>
        </w:r>
        <w:r>
          <w:rPr>
            <w:noProof/>
            <w:webHidden/>
          </w:rPr>
          <w:t>13</w:t>
        </w:r>
        <w:r>
          <w:rPr>
            <w:noProof/>
            <w:webHidden/>
          </w:rPr>
          <w:fldChar w:fldCharType="end"/>
        </w:r>
      </w:hyperlink>
    </w:p>
    <w:p w:rsidR="007427AE" w:rsidRPr="007427AE" w:rsidRDefault="007427AE">
      <w:pPr>
        <w:pStyle w:val="TOC2"/>
        <w:rPr>
          <w:rFonts w:ascii="Calibri" w:hAnsi="Calibri" w:cs="Arial"/>
          <w:noProof/>
          <w:color w:val="auto"/>
          <w:sz w:val="22"/>
          <w:szCs w:val="22"/>
          <w:lang w:val="en-US" w:eastAsia="en-US"/>
        </w:rPr>
      </w:pPr>
      <w:hyperlink w:anchor="_Toc360703172" w:history="1">
        <w:r w:rsidRPr="00CD5368">
          <w:rPr>
            <w:rStyle w:val="Hyperlink"/>
            <w:noProof/>
          </w:rPr>
          <w:t>Objective: Addressing the causes and mitigating the impacts of climate change</w:t>
        </w:r>
        <w:r>
          <w:rPr>
            <w:noProof/>
            <w:webHidden/>
          </w:rPr>
          <w:tab/>
        </w:r>
        <w:r>
          <w:rPr>
            <w:noProof/>
            <w:webHidden/>
          </w:rPr>
          <w:fldChar w:fldCharType="begin"/>
        </w:r>
        <w:r>
          <w:rPr>
            <w:noProof/>
            <w:webHidden/>
          </w:rPr>
          <w:instrText xml:space="preserve"> PAGEREF _Toc360703172 \h </w:instrText>
        </w:r>
        <w:r>
          <w:rPr>
            <w:noProof/>
            <w:webHidden/>
          </w:rPr>
        </w:r>
        <w:r>
          <w:rPr>
            <w:noProof/>
            <w:webHidden/>
          </w:rPr>
          <w:fldChar w:fldCharType="separate"/>
        </w:r>
        <w:r>
          <w:rPr>
            <w:noProof/>
            <w:webHidden/>
          </w:rPr>
          <w:t>14</w:t>
        </w:r>
        <w:r>
          <w:rPr>
            <w:noProof/>
            <w:webHidden/>
          </w:rPr>
          <w:fldChar w:fldCharType="end"/>
        </w:r>
      </w:hyperlink>
    </w:p>
    <w:p w:rsidR="007427AE" w:rsidRPr="007427AE" w:rsidRDefault="007427AE">
      <w:pPr>
        <w:pStyle w:val="TOC1"/>
        <w:rPr>
          <w:rFonts w:ascii="Calibri" w:hAnsi="Calibri" w:cs="Arial"/>
          <w:noProof/>
          <w:color w:val="auto"/>
          <w:sz w:val="22"/>
          <w:szCs w:val="22"/>
          <w:lang w:val="en-US" w:eastAsia="en-US"/>
        </w:rPr>
      </w:pPr>
      <w:hyperlink w:anchor="_Toc360703173" w:history="1">
        <w:r w:rsidRPr="00CD5368">
          <w:rPr>
            <w:rStyle w:val="Hyperlink"/>
            <w:noProof/>
          </w:rPr>
          <w:t>Next steps</w:t>
        </w:r>
        <w:r>
          <w:rPr>
            <w:noProof/>
            <w:webHidden/>
          </w:rPr>
          <w:tab/>
        </w:r>
        <w:r>
          <w:rPr>
            <w:noProof/>
            <w:webHidden/>
          </w:rPr>
          <w:fldChar w:fldCharType="begin"/>
        </w:r>
        <w:r>
          <w:rPr>
            <w:noProof/>
            <w:webHidden/>
          </w:rPr>
          <w:instrText xml:space="preserve"> PAGEREF _Toc360703173 \h </w:instrText>
        </w:r>
        <w:r>
          <w:rPr>
            <w:noProof/>
            <w:webHidden/>
          </w:rPr>
        </w:r>
        <w:r>
          <w:rPr>
            <w:noProof/>
            <w:webHidden/>
          </w:rPr>
          <w:fldChar w:fldCharType="separate"/>
        </w:r>
        <w:r>
          <w:rPr>
            <w:noProof/>
            <w:webHidden/>
          </w:rPr>
          <w:t>14</w:t>
        </w:r>
        <w:r>
          <w:rPr>
            <w:noProof/>
            <w:webHidden/>
          </w:rPr>
          <w:fldChar w:fldCharType="end"/>
        </w:r>
      </w:hyperlink>
    </w:p>
    <w:p w:rsidR="00296EEE" w:rsidRDefault="007427AE" w:rsidP="007427AE">
      <w:pPr>
        <w:rPr>
          <w:lang w:eastAsia="en-US"/>
        </w:rPr>
      </w:pPr>
      <w:r>
        <w:rPr>
          <w:b/>
          <w:bCs/>
          <w:noProof/>
        </w:rPr>
        <w:fldChar w:fldCharType="end"/>
      </w:r>
      <w:r>
        <w:br w:type="page"/>
      </w:r>
      <w:bookmarkStart w:id="0" w:name="_Toc266959812"/>
      <w:bookmarkStart w:id="1" w:name="_Toc268267413"/>
      <w:bookmarkStart w:id="2" w:name="_Toc268267512"/>
      <w:bookmarkStart w:id="3" w:name="_Toc254868349"/>
      <w:bookmarkStart w:id="4" w:name="_Toc254872823"/>
      <w:r w:rsidR="00697B6F" w:rsidRPr="00434007">
        <w:rPr>
          <w:lang w:eastAsia="en-US"/>
        </w:rPr>
        <w:lastRenderedPageBreak/>
        <w:t xml:space="preserve">In 2009, the </w:t>
      </w:r>
      <w:r w:rsidR="00F4132A" w:rsidRPr="00457324">
        <w:rPr>
          <w:lang w:val="en-US"/>
        </w:rPr>
        <w:t>P</w:t>
      </w:r>
      <w:r w:rsidR="00F4132A">
        <w:rPr>
          <w:lang w:val="en-US"/>
        </w:rPr>
        <w:t>apua New Guinea (</w:t>
      </w:r>
      <w:r w:rsidR="00697B6F" w:rsidRPr="00434007">
        <w:rPr>
          <w:lang w:eastAsia="en-US"/>
        </w:rPr>
        <w:t>PNG</w:t>
      </w:r>
      <w:r w:rsidR="00F4132A">
        <w:rPr>
          <w:lang w:eastAsia="en-US"/>
        </w:rPr>
        <w:t>)</w:t>
      </w:r>
      <w:r w:rsidR="00697B6F" w:rsidRPr="00434007">
        <w:rPr>
          <w:lang w:eastAsia="en-US"/>
        </w:rPr>
        <w:t xml:space="preserve"> </w:t>
      </w:r>
      <w:r w:rsidR="00E11900">
        <w:rPr>
          <w:lang w:eastAsia="en-US"/>
        </w:rPr>
        <w:t xml:space="preserve">aid </w:t>
      </w:r>
      <w:r w:rsidR="00697B6F" w:rsidRPr="00434007">
        <w:rPr>
          <w:lang w:eastAsia="en-US"/>
        </w:rPr>
        <w:t xml:space="preserve">program was </w:t>
      </w:r>
      <w:r w:rsidR="00697B6F">
        <w:rPr>
          <w:lang w:eastAsia="en-US"/>
        </w:rPr>
        <w:t>in transition</w:t>
      </w:r>
      <w:r w:rsidR="00697B6F" w:rsidRPr="00434007">
        <w:rPr>
          <w:lang w:eastAsia="en-US"/>
        </w:rPr>
        <w:t xml:space="preserve"> between </w:t>
      </w:r>
      <w:r w:rsidR="00871CF3">
        <w:rPr>
          <w:lang w:eastAsia="en-US"/>
        </w:rPr>
        <w:t xml:space="preserve">the </w:t>
      </w:r>
      <w:r w:rsidR="00697B6F" w:rsidRPr="00434007">
        <w:rPr>
          <w:lang w:eastAsia="en-US"/>
        </w:rPr>
        <w:t>PNG</w:t>
      </w:r>
      <w:r w:rsidR="00946062">
        <w:rPr>
          <w:lang w:eastAsia="en-US"/>
        </w:rPr>
        <w:t xml:space="preserve"> – </w:t>
      </w:r>
      <w:r w:rsidR="00697B6F" w:rsidRPr="00434007">
        <w:rPr>
          <w:lang w:eastAsia="en-US"/>
        </w:rPr>
        <w:t xml:space="preserve">Australia Development Cooperation Strategy 2006-2010 and </w:t>
      </w:r>
      <w:r w:rsidR="00871CF3">
        <w:rPr>
          <w:lang w:eastAsia="en-US"/>
        </w:rPr>
        <w:t xml:space="preserve">the </w:t>
      </w:r>
      <w:r w:rsidR="00697B6F" w:rsidRPr="00434007">
        <w:rPr>
          <w:lang w:eastAsia="en-US"/>
        </w:rPr>
        <w:t>PNG</w:t>
      </w:r>
      <w:r w:rsidR="00946062">
        <w:rPr>
          <w:lang w:eastAsia="en-US"/>
        </w:rPr>
        <w:t xml:space="preserve"> – </w:t>
      </w:r>
      <w:r w:rsidR="00697B6F" w:rsidRPr="00434007">
        <w:rPr>
          <w:lang w:eastAsia="en-US"/>
        </w:rPr>
        <w:t>Australia Partnership for Development.</w:t>
      </w:r>
      <w:r w:rsidR="00871CF3">
        <w:rPr>
          <w:lang w:eastAsia="en-US"/>
        </w:rPr>
        <w:t xml:space="preserve">  These documents are agreed between the two governments; they outline the scope of the program and provide a framework against which performance can be measured.</w:t>
      </w:r>
      <w:r w:rsidR="00296EEE">
        <w:rPr>
          <w:lang w:eastAsia="en-US"/>
        </w:rPr>
        <w:t xml:space="preserve"> The development cooperation strategy guides the programs in sectors not yet addressed under the partnership.</w:t>
      </w:r>
    </w:p>
    <w:p w:rsidR="00E11900" w:rsidRDefault="003675D9" w:rsidP="003675D9">
      <w:pPr>
        <w:pStyle w:val="BodyText"/>
      </w:pPr>
      <w:r w:rsidRPr="006A1943">
        <w:t xml:space="preserve">This </w:t>
      </w:r>
      <w:r>
        <w:t xml:space="preserve">report summarises the bilateral aid program’s progress in 2009 </w:t>
      </w:r>
      <w:r w:rsidR="00E11900">
        <w:t>against the implementation of both</w:t>
      </w:r>
      <w:r w:rsidR="00946062">
        <w:t xml:space="preserve"> </w:t>
      </w:r>
      <w:r w:rsidR="00871CF3">
        <w:t>agreements</w:t>
      </w:r>
      <w:r w:rsidR="00946062">
        <w:t>.</w:t>
      </w:r>
      <w:r>
        <w:t xml:space="preserve"> </w:t>
      </w:r>
      <w:r w:rsidR="00E11900">
        <w:t xml:space="preserve">This includes </w:t>
      </w:r>
      <w:r w:rsidR="009D37B9">
        <w:t xml:space="preserve">reporting against </w:t>
      </w:r>
      <w:r w:rsidR="00E11900">
        <w:t>the</w:t>
      </w:r>
      <w:r w:rsidR="004355CE">
        <w:t xml:space="preserve"> objectives </w:t>
      </w:r>
      <w:r w:rsidR="009D37B9">
        <w:t>assigned to the</w:t>
      </w:r>
      <w:r w:rsidR="00E11900">
        <w:t xml:space="preserve"> five priority outcomes</w:t>
      </w:r>
      <w:r w:rsidR="005C2830">
        <w:t xml:space="preserve"> of the Pa</w:t>
      </w:r>
      <w:r w:rsidR="004355CE">
        <w:t xml:space="preserve">rtnership for </w:t>
      </w:r>
      <w:r w:rsidR="005C2830">
        <w:t>D</w:t>
      </w:r>
      <w:r w:rsidR="004355CE">
        <w:t>evelopment</w:t>
      </w:r>
      <w:r w:rsidR="00E11900">
        <w:t xml:space="preserve"> and pre-existing activities under the </w:t>
      </w:r>
      <w:r w:rsidR="005C2830">
        <w:t>D</w:t>
      </w:r>
      <w:r w:rsidR="00E11900">
        <w:t xml:space="preserve">evelopment </w:t>
      </w:r>
      <w:r w:rsidR="005C2830">
        <w:t>C</w:t>
      </w:r>
      <w:r w:rsidR="00E11900">
        <w:t xml:space="preserve">ooperation </w:t>
      </w:r>
      <w:r w:rsidR="005C2830">
        <w:t>S</w:t>
      </w:r>
      <w:r w:rsidR="00E11900">
        <w:t>trategy</w:t>
      </w:r>
      <w:r w:rsidR="009D37B9">
        <w:t>—totalling the 12 individual objectives included in this report.</w:t>
      </w:r>
    </w:p>
    <w:p w:rsidR="003675D9" w:rsidRDefault="003675D9" w:rsidP="003675D9">
      <w:pPr>
        <w:pStyle w:val="BodyText"/>
      </w:pPr>
      <w:r>
        <w:t>Reports on the program’s performance in previous years are available on the Australian Agency for International Development’s (</w:t>
      </w:r>
      <w:r w:rsidRPr="001546F2">
        <w:t>AusAID’s</w:t>
      </w:r>
      <w:r>
        <w:t>) website.</w:t>
      </w:r>
    </w:p>
    <w:p w:rsidR="00F62C71" w:rsidRDefault="00F62C71" w:rsidP="00F62C71">
      <w:pPr>
        <w:pStyle w:val="Heading1"/>
      </w:pPr>
      <w:bookmarkStart w:id="5" w:name="_Toc360703159"/>
      <w:bookmarkEnd w:id="3"/>
      <w:bookmarkEnd w:id="4"/>
      <w:r>
        <w:t>Context</w:t>
      </w:r>
      <w:bookmarkEnd w:id="1"/>
      <w:bookmarkEnd w:id="2"/>
      <w:bookmarkEnd w:id="5"/>
    </w:p>
    <w:p w:rsidR="00F62C71" w:rsidRPr="00245448" w:rsidRDefault="00F62C71" w:rsidP="00F62C71">
      <w:pPr>
        <w:pStyle w:val="BodyText"/>
        <w:rPr>
          <w:lang w:val="en-US"/>
        </w:rPr>
      </w:pPr>
      <w:bookmarkStart w:id="6" w:name="OLE_LINK3"/>
      <w:r w:rsidRPr="00457324">
        <w:rPr>
          <w:lang w:val="en-US"/>
        </w:rPr>
        <w:t>P</w:t>
      </w:r>
      <w:r w:rsidR="00800DDE">
        <w:rPr>
          <w:lang w:val="en-US"/>
        </w:rPr>
        <w:t>apua New Guinea</w:t>
      </w:r>
      <w:r w:rsidR="00F4132A">
        <w:rPr>
          <w:lang w:val="en-US"/>
        </w:rPr>
        <w:t xml:space="preserve"> </w:t>
      </w:r>
      <w:r w:rsidRPr="00457324">
        <w:rPr>
          <w:lang w:val="en-US"/>
        </w:rPr>
        <w:t xml:space="preserve">is </w:t>
      </w:r>
      <w:r w:rsidRPr="00F4132A">
        <w:rPr>
          <w:lang w:val="en-US"/>
        </w:rPr>
        <w:t>one of the</w:t>
      </w:r>
      <w:r w:rsidRPr="00457324">
        <w:rPr>
          <w:lang w:val="en-US"/>
        </w:rPr>
        <w:t xml:space="preserve"> </w:t>
      </w:r>
      <w:r w:rsidRPr="00000986">
        <w:rPr>
          <w:b/>
          <w:lang w:val="en-US"/>
        </w:rPr>
        <w:t>fastest growing economies</w:t>
      </w:r>
      <w:r>
        <w:rPr>
          <w:lang w:val="en-US"/>
        </w:rPr>
        <w:t xml:space="preserve"> in the world</w:t>
      </w:r>
      <w:r w:rsidR="00596F5F">
        <w:rPr>
          <w:lang w:val="en-US"/>
        </w:rPr>
        <w:t>.</w:t>
      </w:r>
      <w:r>
        <w:rPr>
          <w:lang w:val="en-US"/>
        </w:rPr>
        <w:t xml:space="preserve"> </w:t>
      </w:r>
      <w:r w:rsidRPr="00457324">
        <w:rPr>
          <w:lang w:val="en-US"/>
        </w:rPr>
        <w:t>G</w:t>
      </w:r>
      <w:r w:rsidR="00EB1B26">
        <w:rPr>
          <w:lang w:val="en-US"/>
        </w:rPr>
        <w:t xml:space="preserve">ross </w:t>
      </w:r>
      <w:r w:rsidRPr="00457324">
        <w:rPr>
          <w:lang w:val="en-US"/>
        </w:rPr>
        <w:t>D</w:t>
      </w:r>
      <w:r w:rsidR="00EB1B26">
        <w:rPr>
          <w:lang w:val="en-US"/>
        </w:rPr>
        <w:t xml:space="preserve">omestic </w:t>
      </w:r>
      <w:r w:rsidRPr="00457324">
        <w:rPr>
          <w:lang w:val="en-US"/>
        </w:rPr>
        <w:t>P</w:t>
      </w:r>
      <w:r w:rsidR="00F4132A">
        <w:rPr>
          <w:lang w:val="en-US"/>
        </w:rPr>
        <w:t>roduct</w:t>
      </w:r>
      <w:r w:rsidRPr="00457324">
        <w:rPr>
          <w:lang w:val="en-US"/>
        </w:rPr>
        <w:t xml:space="preserve"> grew by about 5% in 2009 and is expected to </w:t>
      </w:r>
      <w:r>
        <w:rPr>
          <w:lang w:val="en-US"/>
        </w:rPr>
        <w:t>grow by</w:t>
      </w:r>
      <w:r w:rsidRPr="00457324">
        <w:rPr>
          <w:lang w:val="en-US"/>
        </w:rPr>
        <w:t xml:space="preserve"> </w:t>
      </w:r>
      <w:r w:rsidR="00DF4E84">
        <w:rPr>
          <w:lang w:val="en-US"/>
        </w:rPr>
        <w:t xml:space="preserve">a further </w:t>
      </w:r>
      <w:r w:rsidRPr="00457324">
        <w:rPr>
          <w:lang w:val="en-US"/>
        </w:rPr>
        <w:t>8% in 2010 (</w:t>
      </w:r>
      <w:r>
        <w:rPr>
          <w:lang w:val="en-US"/>
        </w:rPr>
        <w:t>International Monetary Fund</w:t>
      </w:r>
      <w:r w:rsidRPr="00457324">
        <w:rPr>
          <w:lang w:val="en-US"/>
        </w:rPr>
        <w:t xml:space="preserve"> estimate)</w:t>
      </w:r>
      <w:r w:rsidR="00596F5F">
        <w:rPr>
          <w:lang w:val="en-US"/>
        </w:rPr>
        <w:t>,</w:t>
      </w:r>
      <w:r w:rsidRPr="00457324">
        <w:rPr>
          <w:lang w:val="en-US"/>
        </w:rPr>
        <w:t xml:space="preserve"> </w:t>
      </w:r>
      <w:r>
        <w:rPr>
          <w:lang w:val="en-US"/>
        </w:rPr>
        <w:t>compared with</w:t>
      </w:r>
      <w:r w:rsidRPr="00457324">
        <w:rPr>
          <w:lang w:val="en-US"/>
        </w:rPr>
        <w:t xml:space="preserve"> a</w:t>
      </w:r>
      <w:r>
        <w:rPr>
          <w:lang w:val="en-US"/>
        </w:rPr>
        <w:t>n</w:t>
      </w:r>
      <w:r w:rsidRPr="00457324">
        <w:rPr>
          <w:lang w:val="en-US"/>
        </w:rPr>
        <w:t xml:space="preserve"> annual average </w:t>
      </w:r>
      <w:r>
        <w:rPr>
          <w:lang w:val="en-US"/>
        </w:rPr>
        <w:t xml:space="preserve">growth </w:t>
      </w:r>
      <w:r w:rsidRPr="00457324">
        <w:rPr>
          <w:lang w:val="en-US"/>
        </w:rPr>
        <w:t xml:space="preserve">of 0.4% between 1995 and 2002 </w:t>
      </w:r>
      <w:r w:rsidR="00EB1B26">
        <w:rPr>
          <w:lang w:val="en-US"/>
        </w:rPr>
        <w:t>before</w:t>
      </w:r>
      <w:r w:rsidRPr="00457324">
        <w:rPr>
          <w:lang w:val="en-US"/>
        </w:rPr>
        <w:t xml:space="preserve"> the recent commodity boom.</w:t>
      </w:r>
      <w:r>
        <w:rPr>
          <w:lang w:val="en-US"/>
        </w:rPr>
        <w:t xml:space="preserve"> The 2010 PNG </w:t>
      </w:r>
      <w:r w:rsidRPr="00457324">
        <w:rPr>
          <w:lang w:val="en-US"/>
        </w:rPr>
        <w:t>budget forecasts inflation to be close to 10%</w:t>
      </w:r>
      <w:r>
        <w:rPr>
          <w:lang w:val="en-US"/>
        </w:rPr>
        <w:t>,</w:t>
      </w:r>
      <w:r w:rsidRPr="00457324">
        <w:rPr>
          <w:lang w:val="en-US"/>
        </w:rPr>
        <w:t xml:space="preserve"> a pressing issue for an economy suffering </w:t>
      </w:r>
      <w:r>
        <w:rPr>
          <w:lang w:val="en-US"/>
        </w:rPr>
        <w:t>substantial</w:t>
      </w:r>
      <w:r w:rsidRPr="00457324">
        <w:rPr>
          <w:lang w:val="en-US"/>
        </w:rPr>
        <w:t xml:space="preserve"> capacity constraints.</w:t>
      </w:r>
      <w:r>
        <w:rPr>
          <w:lang w:val="en-US"/>
        </w:rPr>
        <w:t xml:space="preserve"> </w:t>
      </w:r>
      <w:r w:rsidR="00871CF3">
        <w:rPr>
          <w:lang w:val="en-US"/>
        </w:rPr>
        <w:t>S</w:t>
      </w:r>
      <w:r>
        <w:rPr>
          <w:lang w:val="en-US"/>
        </w:rPr>
        <w:t>ignificant economic inequity in PNG means the</w:t>
      </w:r>
      <w:r w:rsidRPr="004C1AF4">
        <w:rPr>
          <w:lang w:val="en-US"/>
        </w:rPr>
        <w:t xml:space="preserve"> longer</w:t>
      </w:r>
      <w:r w:rsidR="00946062">
        <w:rPr>
          <w:lang w:val="en-US"/>
        </w:rPr>
        <w:t>-</w:t>
      </w:r>
      <w:r w:rsidRPr="004C1AF4">
        <w:rPr>
          <w:lang w:val="en-US"/>
        </w:rPr>
        <w:t xml:space="preserve">term challenge </w:t>
      </w:r>
      <w:r>
        <w:rPr>
          <w:lang w:val="en-US"/>
        </w:rPr>
        <w:t xml:space="preserve">remains to find a way to </w:t>
      </w:r>
      <w:r w:rsidRPr="004C1AF4">
        <w:rPr>
          <w:lang w:val="en-US"/>
        </w:rPr>
        <w:t>translat</w:t>
      </w:r>
      <w:r>
        <w:rPr>
          <w:lang w:val="en-US"/>
        </w:rPr>
        <w:t>e</w:t>
      </w:r>
      <w:r w:rsidRPr="004C1AF4">
        <w:rPr>
          <w:lang w:val="en-US"/>
        </w:rPr>
        <w:t xml:space="preserve"> the benefits of enclave resource projects </w:t>
      </w:r>
      <w:r w:rsidRPr="00457324">
        <w:rPr>
          <w:lang w:val="en-US"/>
        </w:rPr>
        <w:t xml:space="preserve">such as the </w:t>
      </w:r>
      <w:r>
        <w:rPr>
          <w:lang w:val="en-US"/>
        </w:rPr>
        <w:t>Liquefied Natural Gas</w:t>
      </w:r>
      <w:r w:rsidRPr="00457324">
        <w:rPr>
          <w:lang w:val="en-US"/>
        </w:rPr>
        <w:t xml:space="preserve"> </w:t>
      </w:r>
      <w:r>
        <w:rPr>
          <w:lang w:val="en-US"/>
        </w:rPr>
        <w:t>P</w:t>
      </w:r>
      <w:r w:rsidRPr="00457324">
        <w:rPr>
          <w:lang w:val="en-US"/>
        </w:rPr>
        <w:t>roject</w:t>
      </w:r>
      <w:r w:rsidR="00D779E3">
        <w:rPr>
          <w:rStyle w:val="FootnoteReference"/>
          <w:lang w:val="en-US"/>
        </w:rPr>
        <w:footnoteReference w:id="2"/>
      </w:r>
      <w:r w:rsidRPr="00B64CDD">
        <w:rPr>
          <w:rStyle w:val="FootnoteReference"/>
        </w:rPr>
        <w:t xml:space="preserve"> </w:t>
      </w:r>
      <w:r w:rsidRPr="00457324">
        <w:rPr>
          <w:lang w:val="en-US"/>
        </w:rPr>
        <w:t>into broad</w:t>
      </w:r>
      <w:r w:rsidR="0077672E">
        <w:rPr>
          <w:lang w:val="en-US"/>
        </w:rPr>
        <w:t>-</w:t>
      </w:r>
      <w:r w:rsidRPr="00457324">
        <w:rPr>
          <w:lang w:val="en-US"/>
        </w:rPr>
        <w:t>based growth and development</w:t>
      </w:r>
      <w:r w:rsidRPr="00245448">
        <w:rPr>
          <w:lang w:val="en-US"/>
        </w:rPr>
        <w:t>.</w:t>
      </w:r>
      <w:r>
        <w:rPr>
          <w:lang w:val="en-US"/>
        </w:rPr>
        <w:t xml:space="preserve"> </w:t>
      </w:r>
    </w:p>
    <w:bookmarkEnd w:id="6"/>
    <w:p w:rsidR="00F62C71" w:rsidRPr="00245448" w:rsidRDefault="00F62C71" w:rsidP="00F62C71">
      <w:pPr>
        <w:pStyle w:val="BodyText"/>
        <w:rPr>
          <w:lang w:val="en-US"/>
        </w:rPr>
      </w:pPr>
      <w:r w:rsidRPr="004C1AF4">
        <w:rPr>
          <w:lang w:val="en-US"/>
        </w:rPr>
        <w:t xml:space="preserve">PNG has the </w:t>
      </w:r>
      <w:r w:rsidRPr="00F4132A">
        <w:rPr>
          <w:b/>
          <w:lang w:val="en-US"/>
        </w:rPr>
        <w:t>worst</w:t>
      </w:r>
      <w:r w:rsidRPr="004C1AF4">
        <w:rPr>
          <w:lang w:val="en-US"/>
        </w:rPr>
        <w:t xml:space="preserve"> </w:t>
      </w:r>
      <w:r w:rsidRPr="00AB36B6">
        <w:rPr>
          <w:b/>
          <w:lang w:val="en-US"/>
        </w:rPr>
        <w:t>social development indicators</w:t>
      </w:r>
      <w:r w:rsidRPr="004C1AF4">
        <w:rPr>
          <w:lang w:val="en-US"/>
        </w:rPr>
        <w:t xml:space="preserve"> of the Pacific region and remains unlikely to meet any of </w:t>
      </w:r>
      <w:r>
        <w:rPr>
          <w:lang w:val="en-US"/>
        </w:rPr>
        <w:t>its Millennium Development Goal</w:t>
      </w:r>
      <w:r w:rsidRPr="00DE27CF">
        <w:rPr>
          <w:lang w:val="en-US"/>
        </w:rPr>
        <w:t xml:space="preserve"> </w:t>
      </w:r>
      <w:r w:rsidR="00EB1B26">
        <w:rPr>
          <w:lang w:val="en-US"/>
        </w:rPr>
        <w:t xml:space="preserve">(MDG) </w:t>
      </w:r>
      <w:r>
        <w:rPr>
          <w:lang w:val="en-US"/>
        </w:rPr>
        <w:t>targets</w:t>
      </w:r>
      <w:r w:rsidRPr="00245448">
        <w:rPr>
          <w:lang w:val="en-US"/>
        </w:rPr>
        <w:t xml:space="preserve"> by 2015</w:t>
      </w:r>
      <w:r w:rsidR="00D779E3">
        <w:rPr>
          <w:rStyle w:val="FootnoteReference"/>
          <w:lang w:val="en-US"/>
        </w:rPr>
        <w:footnoteReference w:id="3"/>
      </w:r>
      <w:r w:rsidR="00B37D2C">
        <w:rPr>
          <w:lang w:val="en-US"/>
        </w:rPr>
        <w:t xml:space="preserve"> (the country’s performance against MDG indicators is in Table 1)</w:t>
      </w:r>
      <w:r>
        <w:rPr>
          <w:lang w:val="en-US"/>
        </w:rPr>
        <w:t>. However</w:t>
      </w:r>
      <w:r w:rsidRPr="00245448">
        <w:rPr>
          <w:lang w:val="en-US"/>
        </w:rPr>
        <w:t xml:space="preserve">, some progress has been made in education, infant mortality, </w:t>
      </w:r>
      <w:r w:rsidR="006B1DE9">
        <w:rPr>
          <w:lang w:val="en-US"/>
        </w:rPr>
        <w:t>HIV prevention, testing and treatment</w:t>
      </w:r>
      <w:r w:rsidR="009C64DB">
        <w:rPr>
          <w:lang w:val="en-US"/>
        </w:rPr>
        <w:t>,</w:t>
      </w:r>
      <w:r w:rsidR="006B1DE9">
        <w:rPr>
          <w:lang w:val="en-US"/>
        </w:rPr>
        <w:t xml:space="preserve"> </w:t>
      </w:r>
      <w:r w:rsidRPr="00245448">
        <w:rPr>
          <w:lang w:val="en-US"/>
        </w:rPr>
        <w:t>and</w:t>
      </w:r>
      <w:r w:rsidR="00EB1B26">
        <w:rPr>
          <w:lang w:val="en-US"/>
        </w:rPr>
        <w:t xml:space="preserve"> </w:t>
      </w:r>
      <w:r w:rsidR="006B1DE9">
        <w:rPr>
          <w:lang w:val="en-US"/>
        </w:rPr>
        <w:t xml:space="preserve">in </w:t>
      </w:r>
      <w:r w:rsidR="00380990">
        <w:rPr>
          <w:lang w:val="en-US"/>
        </w:rPr>
        <w:t>reducing</w:t>
      </w:r>
      <w:r w:rsidRPr="00245448">
        <w:rPr>
          <w:lang w:val="en-US"/>
        </w:rPr>
        <w:t xml:space="preserve"> </w:t>
      </w:r>
      <w:r>
        <w:rPr>
          <w:lang w:val="en-US"/>
        </w:rPr>
        <w:t xml:space="preserve">the </w:t>
      </w:r>
      <w:r w:rsidRPr="00245448">
        <w:rPr>
          <w:lang w:val="en-US"/>
        </w:rPr>
        <w:t xml:space="preserve">incidence of malaria. </w:t>
      </w:r>
    </w:p>
    <w:p w:rsidR="00F62C71" w:rsidRPr="00245448" w:rsidRDefault="0077672E" w:rsidP="00F62C71">
      <w:pPr>
        <w:pStyle w:val="BodyText"/>
      </w:pPr>
      <w:r>
        <w:t>T</w:t>
      </w:r>
      <w:r w:rsidR="00F62C71" w:rsidRPr="00245448">
        <w:t>here was little change to PNG’</w:t>
      </w:r>
      <w:r w:rsidR="00F62C71">
        <w:t>s</w:t>
      </w:r>
      <w:r w:rsidR="00F62C71" w:rsidRPr="00245448">
        <w:t xml:space="preserve"> ranking on the Transparency International Corruption Perceptions Index</w:t>
      </w:r>
      <w:r w:rsidR="00AA1690">
        <w:t xml:space="preserve"> i</w:t>
      </w:r>
      <w:r w:rsidR="00F62C71" w:rsidRPr="00245448">
        <w:t>n 2009</w:t>
      </w:r>
      <w:r w:rsidR="00AA1690">
        <w:t xml:space="preserve">—the country </w:t>
      </w:r>
      <w:r w:rsidR="00F62C71" w:rsidRPr="00245448">
        <w:t>ranked 151 of the 180 surveyed</w:t>
      </w:r>
      <w:r w:rsidR="00AA1690">
        <w:t xml:space="preserve"> (up from </w:t>
      </w:r>
      <w:r w:rsidR="007513D8">
        <w:br/>
      </w:r>
      <w:r w:rsidR="00AA1690">
        <w:t xml:space="preserve">150 in </w:t>
      </w:r>
      <w:r w:rsidR="00AA1690" w:rsidRPr="006D4B90">
        <w:t>2008)</w:t>
      </w:r>
      <w:r w:rsidR="006D4B90" w:rsidRPr="006D4B90">
        <w:t>.</w:t>
      </w:r>
      <w:r w:rsidR="00D779E3">
        <w:rPr>
          <w:rStyle w:val="FootnoteReference"/>
        </w:rPr>
        <w:footnoteReference w:id="4"/>
      </w:r>
    </w:p>
    <w:p w:rsidR="00D779E3" w:rsidRPr="00D779E3" w:rsidRDefault="00D779E3" w:rsidP="00D779E3">
      <w:pPr>
        <w:pStyle w:val="BodyText"/>
        <w:rPr>
          <w:lang w:val="en-US"/>
        </w:rPr>
      </w:pPr>
      <w:bookmarkStart w:id="7" w:name="_Toc201650409"/>
      <w:r w:rsidRPr="00D779E3">
        <w:rPr>
          <w:lang w:val="en-US"/>
        </w:rPr>
        <w:t xml:space="preserve">Throughout 2009 there was a decline in government </w:t>
      </w:r>
      <w:r w:rsidRPr="00D779E3">
        <w:rPr>
          <w:b/>
          <w:lang w:val="en-US"/>
        </w:rPr>
        <w:t>fiscal restraint and transparency</w:t>
      </w:r>
      <w:r w:rsidRPr="00D779E3">
        <w:rPr>
          <w:lang w:val="en-US"/>
        </w:rPr>
        <w:t xml:space="preserve">. Although the budget was officially balanced, </w:t>
      </w:r>
      <w:r w:rsidR="00C93692">
        <w:rPr>
          <w:lang w:val="en-US"/>
        </w:rPr>
        <w:t xml:space="preserve">according to the International Monetary Fund </w:t>
      </w:r>
      <w:r w:rsidRPr="00D779E3">
        <w:rPr>
          <w:lang w:val="en-US"/>
        </w:rPr>
        <w:t>the real budget deficit was around 8% of GDP due to spending from trust funds. While a significant increase in the development budget in 20</w:t>
      </w:r>
      <w:r w:rsidR="00C93692">
        <w:rPr>
          <w:lang w:val="en-US"/>
        </w:rPr>
        <w:t>09 appeared</w:t>
      </w:r>
      <w:r w:rsidRPr="00D779E3">
        <w:rPr>
          <w:lang w:val="en-US"/>
        </w:rPr>
        <w:t xml:space="preserve"> positive, </w:t>
      </w:r>
      <w:r w:rsidR="00C93692">
        <w:rPr>
          <w:lang w:val="en-US"/>
        </w:rPr>
        <w:t>according to the Government of PNG Treasury, the</w:t>
      </w:r>
      <w:r w:rsidRPr="00D779E3">
        <w:rPr>
          <w:lang w:val="en-US"/>
        </w:rPr>
        <w:t xml:space="preserve"> proportion of that budget earmarked for policy priorities under the national Medium Term Development Strategy fell from 83% to 74%.</w:t>
      </w:r>
    </w:p>
    <w:p w:rsidR="00D779E3" w:rsidRPr="00D779E3" w:rsidRDefault="00D779E3" w:rsidP="00D779E3">
      <w:pPr>
        <w:pStyle w:val="BodyText"/>
        <w:rPr>
          <w:lang w:val="en-US"/>
        </w:rPr>
      </w:pPr>
      <w:r w:rsidRPr="00D779E3">
        <w:rPr>
          <w:lang w:val="en-US"/>
        </w:rPr>
        <w:lastRenderedPageBreak/>
        <w:t xml:space="preserve">Based on more than a decade of declining performance, the overriding perception </w:t>
      </w:r>
      <w:r w:rsidR="00C93692">
        <w:rPr>
          <w:lang w:val="en-US"/>
        </w:rPr>
        <w:t>is</w:t>
      </w:r>
      <w:r w:rsidRPr="00D779E3">
        <w:rPr>
          <w:lang w:val="en-US"/>
        </w:rPr>
        <w:t xml:space="preserve"> that the </w:t>
      </w:r>
      <w:r w:rsidRPr="00D779E3">
        <w:rPr>
          <w:b/>
          <w:lang w:val="en-US"/>
        </w:rPr>
        <w:t xml:space="preserve">public sector </w:t>
      </w:r>
      <w:r w:rsidR="00C93692">
        <w:rPr>
          <w:b/>
          <w:lang w:val="en-US"/>
        </w:rPr>
        <w:t>is</w:t>
      </w:r>
      <w:r w:rsidRPr="00D779E3">
        <w:rPr>
          <w:b/>
          <w:lang w:val="en-US"/>
        </w:rPr>
        <w:t xml:space="preserve"> weak</w:t>
      </w:r>
      <w:r w:rsidR="00C93692" w:rsidRPr="00C93692">
        <w:rPr>
          <w:lang w:val="en-US"/>
        </w:rPr>
        <w:t>.</w:t>
      </w:r>
      <w:r w:rsidRPr="00D779E3">
        <w:rPr>
          <w:lang w:val="en-US"/>
        </w:rPr>
        <w:t xml:space="preserve"> </w:t>
      </w:r>
      <w:r w:rsidR="00C93692">
        <w:rPr>
          <w:lang w:val="en-US"/>
        </w:rPr>
        <w:t xml:space="preserve">The situation is exacerbated by </w:t>
      </w:r>
      <w:r w:rsidRPr="00D779E3">
        <w:rPr>
          <w:lang w:val="en-US"/>
        </w:rPr>
        <w:t>pressure from the Liquefied Natural Gas Project</w:t>
      </w:r>
      <w:r w:rsidR="00C93692">
        <w:rPr>
          <w:lang w:val="en-US"/>
        </w:rPr>
        <w:t xml:space="preserve"> on</w:t>
      </w:r>
      <w:r w:rsidRPr="00D779E3">
        <w:rPr>
          <w:lang w:val="en-US"/>
        </w:rPr>
        <w:t xml:space="preserve"> </w:t>
      </w:r>
      <w:r w:rsidR="00C93692">
        <w:rPr>
          <w:lang w:val="en-US"/>
        </w:rPr>
        <w:t xml:space="preserve">the public sector </w:t>
      </w:r>
      <w:proofErr w:type="gramStart"/>
      <w:r w:rsidR="00C93692">
        <w:rPr>
          <w:lang w:val="en-US"/>
        </w:rPr>
        <w:t>generally,</w:t>
      </w:r>
      <w:proofErr w:type="gramEnd"/>
      <w:r w:rsidR="00C93692">
        <w:rPr>
          <w:lang w:val="en-US"/>
        </w:rPr>
        <w:t xml:space="preserve"> and in particular on the </w:t>
      </w:r>
      <w:r w:rsidRPr="00D779E3">
        <w:rPr>
          <w:lang w:val="en-US"/>
        </w:rPr>
        <w:t>Treasury, the Department of Justice and Attorney-General (negotiating Benefit Sharing Agreements with landowners) and the Police.</w:t>
      </w:r>
    </w:p>
    <w:p w:rsidR="00D779E3" w:rsidRPr="00D779E3" w:rsidRDefault="00D779E3" w:rsidP="00D779E3">
      <w:pPr>
        <w:pStyle w:val="BodyText"/>
        <w:rPr>
          <w:lang w:val="en-US"/>
        </w:rPr>
      </w:pPr>
      <w:r w:rsidRPr="00D779E3">
        <w:rPr>
          <w:lang w:val="en-US"/>
        </w:rPr>
        <w:t>Overall, the decentralised system of government is complex and fractured, in many cases with a poor or mixed implementation record. Whilst many provinces in 2009 received increased funds through function grants as a result of intergovernmental financing reforms, it is not clear whether this improved service delivery. Further, most provinces still do not receive enough funding to fulfill their service del</w:t>
      </w:r>
      <w:r w:rsidR="00846337">
        <w:rPr>
          <w:lang w:val="en-US"/>
        </w:rPr>
        <w:t>ivery responsibilities; and</w:t>
      </w:r>
      <w:r w:rsidRPr="00D779E3">
        <w:rPr>
          <w:lang w:val="en-US"/>
        </w:rPr>
        <w:t xml:space="preserve"> those provinces that do are not making service delivery a high priority.</w:t>
      </w:r>
    </w:p>
    <w:p w:rsidR="00D779E3" w:rsidRPr="00D779E3" w:rsidRDefault="00D779E3" w:rsidP="00D779E3">
      <w:pPr>
        <w:pStyle w:val="BodyText"/>
        <w:rPr>
          <w:lang w:val="en-US"/>
        </w:rPr>
      </w:pPr>
      <w:r w:rsidRPr="00D779E3">
        <w:rPr>
          <w:b/>
          <w:lang w:val="en-US"/>
        </w:rPr>
        <w:t>Law and order</w:t>
      </w:r>
      <w:r w:rsidRPr="00D779E3">
        <w:rPr>
          <w:lang w:val="en-US"/>
        </w:rPr>
        <w:t xml:space="preserve"> </w:t>
      </w:r>
      <w:r w:rsidR="00C93692">
        <w:rPr>
          <w:lang w:val="en-US"/>
        </w:rPr>
        <w:t>was</w:t>
      </w:r>
      <w:r w:rsidRPr="00D779E3">
        <w:rPr>
          <w:lang w:val="en-US"/>
        </w:rPr>
        <w:t xml:space="preserve"> perceived to be in decline and violent crime, including well-planned and executed robberies of banks and businesses, is increasingly common. Kidnapping for ransom is an emerging problem and domestic and sexual violence continues to be endemic. </w:t>
      </w:r>
    </w:p>
    <w:p w:rsidR="00224A50" w:rsidRPr="00E1309D" w:rsidRDefault="00224A50" w:rsidP="00D779E3">
      <w:pPr>
        <w:pStyle w:val="Caption"/>
      </w:pPr>
      <w:r>
        <w:t xml:space="preserve">Table </w:t>
      </w:r>
      <w:fldSimple w:instr=" SEQ Table \* MERGEFORMAT ">
        <w:r w:rsidR="00B22136">
          <w:rPr>
            <w:noProof/>
          </w:rPr>
          <w:t>1</w:t>
        </w:r>
      </w:fldSimple>
      <w:r>
        <w:t xml:space="preserve">: </w:t>
      </w:r>
      <w:bookmarkEnd w:id="7"/>
      <w:r w:rsidR="00E1309D" w:rsidRPr="00E1309D">
        <w:t xml:space="preserve">PNG </w:t>
      </w:r>
      <w:r w:rsidR="0010018A" w:rsidRPr="008B756C">
        <w:t xml:space="preserve">performance </w:t>
      </w:r>
      <w:r w:rsidR="0012732D" w:rsidRPr="008B756C">
        <w:t xml:space="preserve">against selected </w:t>
      </w:r>
      <w:r w:rsidR="0012732D" w:rsidRPr="009C64DB">
        <w:t>M</w:t>
      </w:r>
      <w:r w:rsidR="001415F2" w:rsidRPr="009C64DB">
        <w:t>illennium Development Goal</w:t>
      </w:r>
      <w:r w:rsidR="0012732D" w:rsidRPr="009C64DB">
        <w:t xml:space="preserve"> indicators</w:t>
      </w:r>
      <w:r w:rsidR="0012732D" w:rsidRPr="009C64DB">
        <w:rPr>
          <w:rStyle w:val="NoteLabel"/>
        </w:rPr>
        <w:t xml:space="preserve"> </w:t>
      </w:r>
      <w:r w:rsidR="00E1309D" w:rsidRPr="00710BBA">
        <w:rPr>
          <w:rStyle w:val="NoteLabel"/>
          <w:vertAlign w:val="superscript"/>
        </w:rPr>
        <w:t>a</w:t>
      </w:r>
    </w:p>
    <w:tbl>
      <w:tblPr>
        <w:tblW w:w="8082" w:type="dxa"/>
        <w:tblInd w:w="57" w:type="dxa"/>
        <w:tblLayout w:type="fixed"/>
        <w:tblLook w:val="0000" w:firstRow="0" w:lastRow="0" w:firstColumn="0" w:lastColumn="0" w:noHBand="0" w:noVBand="0"/>
      </w:tblPr>
      <w:tblGrid>
        <w:gridCol w:w="322"/>
        <w:gridCol w:w="4358"/>
        <w:gridCol w:w="624"/>
        <w:gridCol w:w="510"/>
        <w:gridCol w:w="624"/>
        <w:gridCol w:w="510"/>
        <w:gridCol w:w="624"/>
        <w:gridCol w:w="510"/>
      </w:tblGrid>
      <w:tr w:rsidR="0010018A" w:rsidTr="008C4089">
        <w:tblPrEx>
          <w:tblCellMar>
            <w:top w:w="0" w:type="dxa"/>
            <w:bottom w:w="0" w:type="dxa"/>
          </w:tblCellMar>
        </w:tblPrEx>
        <w:trPr>
          <w:cantSplit/>
          <w:tblHeader/>
        </w:trPr>
        <w:tc>
          <w:tcPr>
            <w:tcW w:w="4680" w:type="dxa"/>
            <w:gridSpan w:val="2"/>
            <w:tcBorders>
              <w:top w:val="single" w:sz="12" w:space="0" w:color="auto"/>
              <w:bottom w:val="single" w:sz="2" w:space="0" w:color="auto"/>
            </w:tcBorders>
            <w:shd w:val="clear" w:color="auto" w:fill="auto"/>
            <w:tcMar>
              <w:left w:w="57" w:type="dxa"/>
              <w:right w:w="57" w:type="dxa"/>
            </w:tcMar>
          </w:tcPr>
          <w:p w:rsidR="0010018A" w:rsidRPr="001C2903" w:rsidRDefault="0012732D" w:rsidP="00BC7047">
            <w:pPr>
              <w:pStyle w:val="TableDataColumnHeading"/>
              <w:jc w:val="left"/>
            </w:pPr>
            <w:r>
              <w:t>I</w:t>
            </w:r>
            <w:r w:rsidR="0010018A" w:rsidRPr="001C2903">
              <w:t>ndicators</w:t>
            </w:r>
          </w:p>
        </w:tc>
        <w:tc>
          <w:tcPr>
            <w:tcW w:w="624" w:type="dxa"/>
            <w:tcBorders>
              <w:top w:val="single" w:sz="12" w:space="0" w:color="auto"/>
              <w:bottom w:val="single" w:sz="2" w:space="0" w:color="auto"/>
            </w:tcBorders>
            <w:shd w:val="clear" w:color="auto" w:fill="auto"/>
            <w:tcMar>
              <w:left w:w="57" w:type="dxa"/>
              <w:right w:w="57" w:type="dxa"/>
            </w:tcMar>
          </w:tcPr>
          <w:p w:rsidR="0010018A" w:rsidRDefault="000032C1" w:rsidP="00224A50">
            <w:pPr>
              <w:pStyle w:val="TableDataColumnHeading"/>
              <w:rPr>
                <w:lang w:val="en-US"/>
              </w:rPr>
            </w:pPr>
            <w:r>
              <w:rPr>
                <w:lang w:val="en-US"/>
              </w:rPr>
              <w:t>1990</w:t>
            </w:r>
          </w:p>
        </w:tc>
        <w:tc>
          <w:tcPr>
            <w:tcW w:w="510" w:type="dxa"/>
            <w:tcBorders>
              <w:top w:val="single" w:sz="12" w:space="0" w:color="auto"/>
              <w:bottom w:val="single" w:sz="2" w:space="0" w:color="auto"/>
            </w:tcBorders>
            <w:shd w:val="clear" w:color="auto" w:fill="auto"/>
            <w:tcMar>
              <w:left w:w="57" w:type="dxa"/>
              <w:right w:w="57" w:type="dxa"/>
            </w:tcMar>
          </w:tcPr>
          <w:p w:rsidR="0010018A" w:rsidRPr="001C2903" w:rsidRDefault="0010018A" w:rsidP="00593FD1">
            <w:pPr>
              <w:pStyle w:val="TableDataColumnHeading"/>
              <w:ind w:left="-57"/>
              <w:jc w:val="left"/>
              <w:rPr>
                <w:rStyle w:val="NoteLabel"/>
              </w:rPr>
            </w:pPr>
          </w:p>
        </w:tc>
        <w:tc>
          <w:tcPr>
            <w:tcW w:w="624" w:type="dxa"/>
            <w:tcBorders>
              <w:top w:val="single" w:sz="12" w:space="0" w:color="auto"/>
              <w:bottom w:val="single" w:sz="2" w:space="0" w:color="auto"/>
            </w:tcBorders>
            <w:shd w:val="clear" w:color="auto" w:fill="auto"/>
            <w:tcMar>
              <w:left w:w="57" w:type="dxa"/>
              <w:right w:w="57" w:type="dxa"/>
            </w:tcMar>
          </w:tcPr>
          <w:p w:rsidR="0010018A" w:rsidRDefault="000032C1" w:rsidP="00224A50">
            <w:pPr>
              <w:pStyle w:val="TableDataColumnHeading"/>
              <w:rPr>
                <w:lang w:val="en-US"/>
              </w:rPr>
            </w:pPr>
            <w:r>
              <w:rPr>
                <w:lang w:val="en-US"/>
              </w:rPr>
              <w:t>2000</w:t>
            </w:r>
          </w:p>
        </w:tc>
        <w:tc>
          <w:tcPr>
            <w:tcW w:w="510" w:type="dxa"/>
            <w:tcBorders>
              <w:top w:val="single" w:sz="12" w:space="0" w:color="auto"/>
              <w:bottom w:val="single" w:sz="2" w:space="0" w:color="auto"/>
            </w:tcBorders>
            <w:shd w:val="clear" w:color="auto" w:fill="auto"/>
            <w:tcMar>
              <w:left w:w="57" w:type="dxa"/>
              <w:right w:w="57" w:type="dxa"/>
            </w:tcMar>
          </w:tcPr>
          <w:p w:rsidR="0010018A" w:rsidRPr="00593FD1" w:rsidRDefault="0010018A" w:rsidP="00593FD1">
            <w:pPr>
              <w:pStyle w:val="TableDataColumnHeading"/>
              <w:ind w:left="-57"/>
              <w:jc w:val="left"/>
              <w:rPr>
                <w:rStyle w:val="NoteLabel"/>
              </w:rPr>
            </w:pPr>
          </w:p>
        </w:tc>
        <w:tc>
          <w:tcPr>
            <w:tcW w:w="624" w:type="dxa"/>
            <w:tcBorders>
              <w:top w:val="single" w:sz="12" w:space="0" w:color="auto"/>
              <w:bottom w:val="single" w:sz="2" w:space="0" w:color="auto"/>
            </w:tcBorders>
            <w:shd w:val="clear" w:color="auto" w:fill="auto"/>
            <w:tcMar>
              <w:left w:w="57" w:type="dxa"/>
              <w:right w:w="57" w:type="dxa"/>
            </w:tcMar>
          </w:tcPr>
          <w:p w:rsidR="0010018A" w:rsidRDefault="000032C1" w:rsidP="00224A50">
            <w:pPr>
              <w:pStyle w:val="TableDataColumnHeading"/>
              <w:rPr>
                <w:lang w:val="en-US"/>
              </w:rPr>
            </w:pPr>
            <w:r>
              <w:rPr>
                <w:lang w:val="en-US"/>
              </w:rPr>
              <w:t>Latest</w:t>
            </w:r>
          </w:p>
        </w:tc>
        <w:tc>
          <w:tcPr>
            <w:tcW w:w="510" w:type="dxa"/>
            <w:tcBorders>
              <w:top w:val="single" w:sz="12" w:space="0" w:color="auto"/>
              <w:bottom w:val="single" w:sz="2" w:space="0" w:color="auto"/>
            </w:tcBorders>
            <w:shd w:val="clear" w:color="auto" w:fill="auto"/>
            <w:tcMar>
              <w:left w:w="57" w:type="dxa"/>
              <w:right w:w="57" w:type="dxa"/>
            </w:tcMar>
          </w:tcPr>
          <w:p w:rsidR="0010018A" w:rsidRPr="00593FD1" w:rsidRDefault="0010018A" w:rsidP="00593FD1">
            <w:pPr>
              <w:pStyle w:val="TableDataColumnHeading"/>
              <w:ind w:left="-57"/>
              <w:jc w:val="left"/>
              <w:rPr>
                <w:rStyle w:val="NoteLabel"/>
              </w:rPr>
            </w:pPr>
          </w:p>
        </w:tc>
      </w:tr>
      <w:tr w:rsidR="0010018A" w:rsidRPr="001C2903">
        <w:tblPrEx>
          <w:tblCellMar>
            <w:top w:w="0" w:type="dxa"/>
            <w:bottom w:w="0" w:type="dxa"/>
          </w:tblCellMar>
        </w:tblPrEx>
        <w:tc>
          <w:tcPr>
            <w:tcW w:w="4680" w:type="dxa"/>
            <w:gridSpan w:val="2"/>
            <w:tcBorders>
              <w:top w:val="single" w:sz="2" w:space="0" w:color="auto"/>
            </w:tcBorders>
            <w:shd w:val="clear" w:color="auto" w:fill="F5F1CC"/>
            <w:tcMar>
              <w:left w:w="57" w:type="dxa"/>
              <w:right w:w="57" w:type="dxa"/>
            </w:tcMar>
          </w:tcPr>
          <w:p w:rsidR="0010018A" w:rsidRPr="001C2903" w:rsidRDefault="0010018A" w:rsidP="0010018A">
            <w:pPr>
              <w:pStyle w:val="TableHeading1"/>
            </w:pPr>
            <w:r w:rsidRPr="001C2903">
              <w:t>Goal 1: Eradicate extreme poverty and hunger</w:t>
            </w:r>
          </w:p>
        </w:tc>
        <w:tc>
          <w:tcPr>
            <w:tcW w:w="624" w:type="dxa"/>
            <w:tcBorders>
              <w:top w:val="single" w:sz="2" w:space="0" w:color="auto"/>
            </w:tcBorders>
            <w:shd w:val="clear" w:color="auto" w:fill="F5F1CC"/>
            <w:tcMar>
              <w:left w:w="57" w:type="dxa"/>
              <w:right w:w="57" w:type="dxa"/>
            </w:tcMar>
          </w:tcPr>
          <w:p w:rsidR="0010018A" w:rsidRPr="001C2903" w:rsidRDefault="0010018A" w:rsidP="0010018A">
            <w:pPr>
              <w:pStyle w:val="TableHeading1"/>
            </w:pPr>
          </w:p>
        </w:tc>
        <w:tc>
          <w:tcPr>
            <w:tcW w:w="510" w:type="dxa"/>
            <w:tcBorders>
              <w:top w:val="single" w:sz="2" w:space="0" w:color="auto"/>
            </w:tcBorders>
            <w:shd w:val="clear" w:color="auto" w:fill="F5F1CC"/>
            <w:tcMar>
              <w:left w:w="57" w:type="dxa"/>
              <w:right w:w="57" w:type="dxa"/>
            </w:tcMar>
          </w:tcPr>
          <w:p w:rsidR="0010018A" w:rsidRPr="001C2903" w:rsidRDefault="0010018A" w:rsidP="0010018A">
            <w:pPr>
              <w:pStyle w:val="TableHeading1"/>
              <w:rPr>
                <w:rStyle w:val="NoteLabel"/>
              </w:rPr>
            </w:pPr>
          </w:p>
        </w:tc>
        <w:tc>
          <w:tcPr>
            <w:tcW w:w="624" w:type="dxa"/>
            <w:tcBorders>
              <w:top w:val="single" w:sz="2" w:space="0" w:color="auto"/>
            </w:tcBorders>
            <w:shd w:val="clear" w:color="auto" w:fill="F5F1CC"/>
            <w:tcMar>
              <w:left w:w="57" w:type="dxa"/>
              <w:right w:w="57" w:type="dxa"/>
            </w:tcMar>
          </w:tcPr>
          <w:p w:rsidR="0010018A" w:rsidRPr="001C2903" w:rsidRDefault="0010018A" w:rsidP="0010018A">
            <w:pPr>
              <w:pStyle w:val="TableHeading1"/>
            </w:pPr>
          </w:p>
        </w:tc>
        <w:tc>
          <w:tcPr>
            <w:tcW w:w="510" w:type="dxa"/>
            <w:tcBorders>
              <w:top w:val="single" w:sz="2" w:space="0" w:color="auto"/>
            </w:tcBorders>
            <w:shd w:val="clear" w:color="auto" w:fill="F5F1CC"/>
            <w:tcMar>
              <w:left w:w="57" w:type="dxa"/>
              <w:right w:w="57" w:type="dxa"/>
            </w:tcMar>
          </w:tcPr>
          <w:p w:rsidR="0010018A" w:rsidRPr="00593FD1" w:rsidRDefault="0010018A" w:rsidP="0010018A">
            <w:pPr>
              <w:pStyle w:val="TableHeading1"/>
              <w:rPr>
                <w:rStyle w:val="NoteLabel"/>
              </w:rPr>
            </w:pPr>
          </w:p>
        </w:tc>
        <w:tc>
          <w:tcPr>
            <w:tcW w:w="624" w:type="dxa"/>
            <w:tcBorders>
              <w:top w:val="single" w:sz="2" w:space="0" w:color="auto"/>
            </w:tcBorders>
            <w:shd w:val="clear" w:color="auto" w:fill="F5F1CC"/>
            <w:tcMar>
              <w:left w:w="57" w:type="dxa"/>
              <w:right w:w="57" w:type="dxa"/>
            </w:tcMar>
          </w:tcPr>
          <w:p w:rsidR="0010018A" w:rsidRPr="001C2903" w:rsidRDefault="0010018A" w:rsidP="0010018A">
            <w:pPr>
              <w:pStyle w:val="TableHeading1"/>
            </w:pPr>
          </w:p>
        </w:tc>
        <w:tc>
          <w:tcPr>
            <w:tcW w:w="510" w:type="dxa"/>
            <w:tcBorders>
              <w:top w:val="single" w:sz="2" w:space="0" w:color="auto"/>
            </w:tcBorders>
            <w:shd w:val="clear" w:color="auto" w:fill="F5F1CC"/>
            <w:tcMar>
              <w:left w:w="57" w:type="dxa"/>
              <w:right w:w="57" w:type="dxa"/>
            </w:tcMar>
          </w:tcPr>
          <w:p w:rsidR="0010018A" w:rsidRPr="00593FD1" w:rsidRDefault="0010018A" w:rsidP="0010018A">
            <w:pPr>
              <w:pStyle w:val="TableHeading1"/>
              <w:rPr>
                <w:rStyle w:val="NoteLabel"/>
              </w:rPr>
            </w:pPr>
          </w:p>
        </w:tc>
      </w:tr>
      <w:tr w:rsidR="00224A50" w:rsidRPr="00BC7047" w:rsidTr="00415340">
        <w:tblPrEx>
          <w:tblCellMar>
            <w:top w:w="0" w:type="dxa"/>
            <w:bottom w:w="0" w:type="dxa"/>
          </w:tblCellMar>
        </w:tblPrEx>
        <w:tc>
          <w:tcPr>
            <w:tcW w:w="322" w:type="dxa"/>
            <w:shd w:val="clear" w:color="auto" w:fill="auto"/>
            <w:tcMar>
              <w:left w:w="57" w:type="dxa"/>
              <w:right w:w="57" w:type="dxa"/>
            </w:tcMar>
          </w:tcPr>
          <w:p w:rsidR="00224A50" w:rsidRPr="00BC7047" w:rsidRDefault="00224A50" w:rsidP="001C2903">
            <w:pPr>
              <w:pStyle w:val="TableDataEntries"/>
              <w:jc w:val="left"/>
            </w:pPr>
            <w:r w:rsidRPr="00BC7047">
              <w:t>1</w:t>
            </w:r>
          </w:p>
        </w:tc>
        <w:tc>
          <w:tcPr>
            <w:tcW w:w="4358" w:type="dxa"/>
            <w:shd w:val="clear" w:color="auto" w:fill="auto"/>
            <w:tcMar>
              <w:left w:w="57" w:type="dxa"/>
              <w:right w:w="57" w:type="dxa"/>
            </w:tcMar>
            <w:vAlign w:val="bottom"/>
          </w:tcPr>
          <w:p w:rsidR="00224A50" w:rsidRPr="00BC7047" w:rsidRDefault="00224A50" w:rsidP="00656919">
            <w:pPr>
              <w:pStyle w:val="TableTextEntries"/>
            </w:pPr>
            <w:r w:rsidRPr="00415340">
              <w:t xml:space="preserve">Poverty </w:t>
            </w:r>
            <w:r w:rsidR="0010018A" w:rsidRPr="00415340">
              <w:t xml:space="preserve">headcount </w:t>
            </w:r>
            <w:r w:rsidRPr="00415340">
              <w:t xml:space="preserve">($-a-day </w:t>
            </w:r>
            <w:r w:rsidR="00115B84" w:rsidRPr="00415340">
              <w:t>purchasing power parity)</w:t>
            </w:r>
            <w:r w:rsidRPr="00415340">
              <w:t>; % of population)</w:t>
            </w:r>
            <w:r w:rsidR="000032C1" w:rsidRPr="00710BBA">
              <w:rPr>
                <w:rStyle w:val="NoteLabel"/>
                <w:vertAlign w:val="superscript"/>
              </w:rPr>
              <w:t>b</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24</w:t>
            </w:r>
          </w:p>
        </w:tc>
        <w:tc>
          <w:tcPr>
            <w:tcW w:w="510" w:type="dxa"/>
            <w:shd w:val="clear" w:color="auto" w:fill="auto"/>
            <w:tcMar>
              <w:left w:w="57" w:type="dxa"/>
              <w:right w:w="57" w:type="dxa"/>
            </w:tcMar>
            <w:vAlign w:val="bottom"/>
          </w:tcPr>
          <w:p w:rsidR="00224A50" w:rsidRPr="001C2903" w:rsidRDefault="00224A50" w:rsidP="00593FD1">
            <w:pPr>
              <w:pStyle w:val="TableDataEntries"/>
              <w:ind w:left="-57"/>
              <w:jc w:val="left"/>
              <w:rPr>
                <w:rStyle w:val="NoteLabel"/>
              </w:rPr>
            </w:pPr>
          </w:p>
        </w:tc>
        <w:tc>
          <w:tcPr>
            <w:tcW w:w="624" w:type="dxa"/>
            <w:shd w:val="clear" w:color="auto" w:fill="auto"/>
            <w:tcMar>
              <w:left w:w="57" w:type="dxa"/>
              <w:right w:w="57" w:type="dxa"/>
            </w:tcMar>
            <w:vAlign w:val="bottom"/>
          </w:tcPr>
          <w:p w:rsidR="00224A50" w:rsidRPr="00656919" w:rsidRDefault="00224A50" w:rsidP="00BC7047">
            <w:pPr>
              <w:pStyle w:val="TableDataEntries"/>
            </w:pPr>
            <w:r w:rsidRPr="00656919">
              <w:t>37.5</w:t>
            </w:r>
          </w:p>
        </w:tc>
        <w:tc>
          <w:tcPr>
            <w:tcW w:w="510" w:type="dxa"/>
            <w:shd w:val="clear" w:color="auto" w:fill="auto"/>
            <w:tcMar>
              <w:left w:w="57" w:type="dxa"/>
              <w:right w:w="57" w:type="dxa"/>
            </w:tcMar>
            <w:vAlign w:val="bottom"/>
          </w:tcPr>
          <w:p w:rsidR="00224A50" w:rsidRPr="00656919" w:rsidRDefault="00224A50" w:rsidP="00593FD1">
            <w:pPr>
              <w:pStyle w:val="TableDataEntries"/>
              <w:ind w:left="-57"/>
              <w:jc w:val="left"/>
              <w:rPr>
                <w:rStyle w:val="NoteLabel"/>
                <w:vertAlign w:val="superscript"/>
              </w:rPr>
            </w:pPr>
            <w:r w:rsidRPr="00656919">
              <w:rPr>
                <w:rStyle w:val="NoteLabel"/>
                <w:vertAlign w:val="superscript"/>
              </w:rPr>
              <w:t>1996</w:t>
            </w:r>
            <w:r w:rsidR="000032C1" w:rsidRPr="00656919">
              <w:rPr>
                <w:rStyle w:val="NoteLabel"/>
                <w:vertAlign w:val="superscript"/>
              </w:rPr>
              <w:t>c</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53.8</w:t>
            </w:r>
          </w:p>
        </w:tc>
        <w:tc>
          <w:tcPr>
            <w:tcW w:w="510" w:type="dxa"/>
            <w:shd w:val="clear" w:color="auto" w:fill="auto"/>
            <w:tcMar>
              <w:left w:w="57" w:type="dxa"/>
              <w:right w:w="57" w:type="dxa"/>
            </w:tcMar>
            <w:vAlign w:val="bottom"/>
          </w:tcPr>
          <w:p w:rsidR="00224A50" w:rsidRPr="00710BBA" w:rsidRDefault="00224A50" w:rsidP="00593FD1">
            <w:pPr>
              <w:pStyle w:val="TableDataEntries"/>
              <w:ind w:left="-57"/>
              <w:jc w:val="left"/>
              <w:rPr>
                <w:rStyle w:val="NoteLabel"/>
                <w:vertAlign w:val="superscript"/>
              </w:rPr>
            </w:pPr>
            <w:r w:rsidRPr="00710BBA">
              <w:rPr>
                <w:rStyle w:val="NoteLabel"/>
                <w:vertAlign w:val="superscript"/>
              </w:rPr>
              <w:t>2005</w:t>
            </w:r>
            <w:r w:rsidR="000032C1" w:rsidRPr="00710BBA">
              <w:rPr>
                <w:rStyle w:val="NoteLabel"/>
                <w:vertAlign w:val="superscript"/>
              </w:rPr>
              <w:t>c</w:t>
            </w:r>
            <w:r w:rsidRPr="00710BBA">
              <w:rPr>
                <w:rStyle w:val="NoteLabel"/>
                <w:vertAlign w:val="superscript"/>
              </w:rPr>
              <w:t xml:space="preserve"> </w:t>
            </w:r>
          </w:p>
        </w:tc>
      </w:tr>
      <w:tr w:rsidR="00224A50" w:rsidRPr="00BC7047">
        <w:tblPrEx>
          <w:tblCellMar>
            <w:top w:w="0" w:type="dxa"/>
            <w:bottom w:w="0" w:type="dxa"/>
          </w:tblCellMar>
        </w:tblPrEx>
        <w:tc>
          <w:tcPr>
            <w:tcW w:w="322" w:type="dxa"/>
            <w:shd w:val="clear" w:color="auto" w:fill="auto"/>
            <w:tcMar>
              <w:left w:w="57" w:type="dxa"/>
              <w:right w:w="57" w:type="dxa"/>
            </w:tcMar>
            <w:vAlign w:val="bottom"/>
          </w:tcPr>
          <w:p w:rsidR="00224A50" w:rsidRPr="00BC7047" w:rsidRDefault="00224A50" w:rsidP="001C2903">
            <w:pPr>
              <w:pStyle w:val="TableDataEntries"/>
              <w:jc w:val="left"/>
            </w:pPr>
            <w:r w:rsidRPr="00BC7047">
              <w:t>2</w:t>
            </w:r>
          </w:p>
        </w:tc>
        <w:tc>
          <w:tcPr>
            <w:tcW w:w="4358" w:type="dxa"/>
            <w:shd w:val="clear" w:color="auto" w:fill="auto"/>
            <w:tcMar>
              <w:left w:w="57" w:type="dxa"/>
              <w:right w:w="57" w:type="dxa"/>
            </w:tcMar>
            <w:vAlign w:val="bottom"/>
          </w:tcPr>
          <w:p w:rsidR="00224A50" w:rsidRPr="00656919" w:rsidRDefault="00224A50" w:rsidP="00656919">
            <w:pPr>
              <w:pStyle w:val="TableTextEntries"/>
            </w:pPr>
            <w:r w:rsidRPr="00656919">
              <w:t>Prevalence of underweight children (under 5 years of age)</w:t>
            </w:r>
            <w:r w:rsidR="000032C1" w:rsidRPr="00656919">
              <w:rPr>
                <w:rStyle w:val="NoteLabel"/>
                <w:vertAlign w:val="superscript"/>
              </w:rPr>
              <w:t>d</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29</w:t>
            </w:r>
          </w:p>
        </w:tc>
        <w:tc>
          <w:tcPr>
            <w:tcW w:w="510" w:type="dxa"/>
            <w:shd w:val="clear" w:color="auto" w:fill="auto"/>
            <w:tcMar>
              <w:left w:w="57" w:type="dxa"/>
              <w:right w:w="57" w:type="dxa"/>
            </w:tcMar>
            <w:vAlign w:val="bottom"/>
          </w:tcPr>
          <w:p w:rsidR="00224A50" w:rsidRPr="00710BBA" w:rsidRDefault="00224A50" w:rsidP="00593FD1">
            <w:pPr>
              <w:pStyle w:val="TableDataEntries"/>
              <w:ind w:left="-57"/>
              <w:jc w:val="left"/>
              <w:rPr>
                <w:rStyle w:val="NoteLabel"/>
                <w:vertAlign w:val="superscript"/>
              </w:rPr>
            </w:pPr>
            <w:r w:rsidRPr="00710BBA">
              <w:rPr>
                <w:rStyle w:val="NoteLabel"/>
                <w:vertAlign w:val="superscript"/>
              </w:rPr>
              <w:t>1996</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25</w:t>
            </w:r>
          </w:p>
        </w:tc>
        <w:tc>
          <w:tcPr>
            <w:tcW w:w="510" w:type="dxa"/>
            <w:shd w:val="clear" w:color="auto" w:fill="auto"/>
            <w:tcMar>
              <w:left w:w="57" w:type="dxa"/>
              <w:right w:w="57" w:type="dxa"/>
            </w:tcMar>
            <w:vAlign w:val="bottom"/>
          </w:tcPr>
          <w:p w:rsidR="00224A50" w:rsidRPr="00593FD1" w:rsidRDefault="00224A50" w:rsidP="00593FD1">
            <w:pPr>
              <w:pStyle w:val="TableDataEntries"/>
              <w:ind w:left="-57"/>
              <w:jc w:val="left"/>
              <w:rPr>
                <w:rStyle w:val="NoteLabel"/>
              </w:rPr>
            </w:pP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w:t>
            </w:r>
          </w:p>
        </w:tc>
        <w:tc>
          <w:tcPr>
            <w:tcW w:w="510" w:type="dxa"/>
            <w:shd w:val="clear" w:color="auto" w:fill="auto"/>
            <w:tcMar>
              <w:left w:w="57" w:type="dxa"/>
              <w:right w:w="57" w:type="dxa"/>
            </w:tcMar>
            <w:vAlign w:val="bottom"/>
          </w:tcPr>
          <w:p w:rsidR="00224A50" w:rsidRPr="00593FD1" w:rsidRDefault="00224A50" w:rsidP="00593FD1">
            <w:pPr>
              <w:pStyle w:val="TableDataEntries"/>
              <w:ind w:left="-57"/>
              <w:jc w:val="left"/>
              <w:rPr>
                <w:rStyle w:val="NoteLabel"/>
              </w:rPr>
            </w:pPr>
          </w:p>
        </w:tc>
      </w:tr>
      <w:tr w:rsidR="00224A50" w:rsidRPr="00BC7047">
        <w:tblPrEx>
          <w:tblCellMar>
            <w:top w:w="0" w:type="dxa"/>
            <w:bottom w:w="0" w:type="dxa"/>
          </w:tblCellMar>
        </w:tblPrEx>
        <w:tc>
          <w:tcPr>
            <w:tcW w:w="322" w:type="dxa"/>
            <w:shd w:val="clear" w:color="auto" w:fill="auto"/>
            <w:tcMar>
              <w:left w:w="57" w:type="dxa"/>
              <w:right w:w="57" w:type="dxa"/>
            </w:tcMar>
            <w:vAlign w:val="bottom"/>
          </w:tcPr>
          <w:p w:rsidR="00224A50" w:rsidRPr="00BC7047" w:rsidRDefault="00224A50" w:rsidP="001C2903">
            <w:pPr>
              <w:pStyle w:val="TableDataEntries"/>
              <w:jc w:val="left"/>
            </w:pPr>
            <w:r w:rsidRPr="00BC7047">
              <w:t>3</w:t>
            </w:r>
          </w:p>
        </w:tc>
        <w:tc>
          <w:tcPr>
            <w:tcW w:w="4358" w:type="dxa"/>
            <w:shd w:val="clear" w:color="auto" w:fill="auto"/>
            <w:tcMar>
              <w:left w:w="57" w:type="dxa"/>
              <w:right w:w="57" w:type="dxa"/>
            </w:tcMar>
            <w:vAlign w:val="bottom"/>
          </w:tcPr>
          <w:p w:rsidR="00224A50" w:rsidRPr="00656919" w:rsidRDefault="00224A50" w:rsidP="00656919">
            <w:pPr>
              <w:pStyle w:val="TableTextEntries"/>
            </w:pPr>
            <w:r w:rsidRPr="00656919">
              <w:t xml:space="preserve">GDP per capita, </w:t>
            </w:r>
            <w:r w:rsidR="009C64DB" w:rsidRPr="00656919">
              <w:t>purchasing power parity</w:t>
            </w:r>
            <w:r w:rsidRPr="00656919">
              <w:t xml:space="preserve"> (</w:t>
            </w:r>
            <w:r w:rsidR="00B32F00" w:rsidRPr="00656919">
              <w:t xml:space="preserve">$ </w:t>
            </w:r>
            <w:r w:rsidRPr="00656919">
              <w:t xml:space="preserve">current </w:t>
            </w:r>
            <w:r w:rsidR="0010018A" w:rsidRPr="00656919">
              <w:t>international</w:t>
            </w:r>
            <w:r w:rsidRPr="00656919">
              <w:t>)</w:t>
            </w:r>
          </w:p>
        </w:tc>
        <w:tc>
          <w:tcPr>
            <w:tcW w:w="624" w:type="dxa"/>
            <w:shd w:val="clear" w:color="auto" w:fill="auto"/>
            <w:tcMar>
              <w:left w:w="57" w:type="dxa"/>
              <w:right w:w="57" w:type="dxa"/>
            </w:tcMar>
            <w:vAlign w:val="bottom"/>
          </w:tcPr>
          <w:p w:rsidR="00224A50" w:rsidRPr="00656919" w:rsidRDefault="00224A50" w:rsidP="00BC7047">
            <w:pPr>
              <w:pStyle w:val="TableDataEntries"/>
            </w:pPr>
            <w:r w:rsidRPr="00656919">
              <w:t>1079</w:t>
            </w:r>
          </w:p>
        </w:tc>
        <w:tc>
          <w:tcPr>
            <w:tcW w:w="510" w:type="dxa"/>
            <w:shd w:val="clear" w:color="auto" w:fill="auto"/>
            <w:tcMar>
              <w:left w:w="57" w:type="dxa"/>
              <w:right w:w="57" w:type="dxa"/>
            </w:tcMar>
            <w:vAlign w:val="bottom"/>
          </w:tcPr>
          <w:p w:rsidR="00224A50" w:rsidRPr="00656919" w:rsidRDefault="00224A50" w:rsidP="00593FD1">
            <w:pPr>
              <w:pStyle w:val="TableDataEntries"/>
              <w:ind w:left="-57"/>
              <w:jc w:val="left"/>
              <w:rPr>
                <w:rStyle w:val="NoteLabel"/>
              </w:rPr>
            </w:pP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1</w:t>
            </w:r>
            <w:r w:rsidR="001C2903">
              <w:t xml:space="preserve"> </w:t>
            </w:r>
            <w:r w:rsidRPr="00BC7047">
              <w:t>623</w:t>
            </w:r>
          </w:p>
        </w:tc>
        <w:tc>
          <w:tcPr>
            <w:tcW w:w="510" w:type="dxa"/>
            <w:shd w:val="clear" w:color="auto" w:fill="auto"/>
            <w:tcMar>
              <w:left w:w="57" w:type="dxa"/>
              <w:right w:w="57" w:type="dxa"/>
            </w:tcMar>
            <w:vAlign w:val="bottom"/>
          </w:tcPr>
          <w:p w:rsidR="00224A50" w:rsidRPr="00593FD1" w:rsidRDefault="00224A50" w:rsidP="00593FD1">
            <w:pPr>
              <w:pStyle w:val="TableDataEntries"/>
              <w:ind w:left="-57"/>
              <w:jc w:val="left"/>
              <w:rPr>
                <w:rStyle w:val="NoteLabel"/>
              </w:rPr>
            </w:pP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1</w:t>
            </w:r>
            <w:r w:rsidR="001C2903">
              <w:t xml:space="preserve"> </w:t>
            </w:r>
            <w:r w:rsidRPr="00BC7047">
              <w:t>817</w:t>
            </w:r>
          </w:p>
        </w:tc>
        <w:tc>
          <w:tcPr>
            <w:tcW w:w="510" w:type="dxa"/>
            <w:shd w:val="clear" w:color="auto" w:fill="auto"/>
            <w:tcMar>
              <w:left w:w="57" w:type="dxa"/>
              <w:right w:w="57" w:type="dxa"/>
            </w:tcMar>
            <w:vAlign w:val="bottom"/>
          </w:tcPr>
          <w:p w:rsidR="00224A50" w:rsidRPr="00710BBA" w:rsidRDefault="00224A50" w:rsidP="00593FD1">
            <w:pPr>
              <w:pStyle w:val="TableDataEntries"/>
              <w:ind w:left="-57"/>
              <w:jc w:val="left"/>
              <w:rPr>
                <w:rStyle w:val="NoteLabel"/>
                <w:vertAlign w:val="superscript"/>
              </w:rPr>
            </w:pPr>
            <w:r w:rsidRPr="00710BBA">
              <w:rPr>
                <w:rStyle w:val="NoteLabel"/>
                <w:vertAlign w:val="superscript"/>
              </w:rPr>
              <w:t>2006</w:t>
            </w:r>
          </w:p>
        </w:tc>
      </w:tr>
      <w:tr w:rsidR="00224A50" w:rsidRPr="00BC7047">
        <w:tblPrEx>
          <w:tblCellMar>
            <w:top w:w="0" w:type="dxa"/>
            <w:bottom w:w="0" w:type="dxa"/>
          </w:tblCellMar>
        </w:tblPrEx>
        <w:tc>
          <w:tcPr>
            <w:tcW w:w="322" w:type="dxa"/>
            <w:shd w:val="clear" w:color="auto" w:fill="auto"/>
            <w:tcMar>
              <w:left w:w="57" w:type="dxa"/>
              <w:right w:w="57" w:type="dxa"/>
            </w:tcMar>
            <w:vAlign w:val="bottom"/>
          </w:tcPr>
          <w:p w:rsidR="00224A50" w:rsidRPr="00BC7047" w:rsidRDefault="00224A50" w:rsidP="001C2903">
            <w:pPr>
              <w:pStyle w:val="TableDataEntries"/>
              <w:jc w:val="left"/>
            </w:pPr>
            <w:r w:rsidRPr="00BC7047">
              <w:t>4</w:t>
            </w:r>
          </w:p>
        </w:tc>
        <w:tc>
          <w:tcPr>
            <w:tcW w:w="4358" w:type="dxa"/>
            <w:shd w:val="clear" w:color="auto" w:fill="auto"/>
            <w:tcMar>
              <w:left w:w="57" w:type="dxa"/>
              <w:right w:w="57" w:type="dxa"/>
            </w:tcMar>
            <w:vAlign w:val="bottom"/>
          </w:tcPr>
          <w:p w:rsidR="00224A50" w:rsidRPr="00BC7047" w:rsidRDefault="00224A50" w:rsidP="00656919">
            <w:pPr>
              <w:pStyle w:val="TableTextEntries"/>
            </w:pPr>
            <w:r w:rsidRPr="00BC7047">
              <w:t>Real GDP per capita growth (</w:t>
            </w:r>
            <w:r w:rsidR="00B32F00" w:rsidRPr="00BC7047">
              <w:t>%</w:t>
            </w:r>
            <w:r w:rsidR="00B32F00">
              <w:t xml:space="preserve"> </w:t>
            </w:r>
            <w:r w:rsidRPr="00BC7047">
              <w:t>annual)</w:t>
            </w:r>
            <w:r w:rsidR="000032C1" w:rsidRPr="00710BBA">
              <w:rPr>
                <w:rStyle w:val="NoteLabel"/>
                <w:vertAlign w:val="superscript"/>
              </w:rPr>
              <w:t>b</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-5.5</w:t>
            </w:r>
          </w:p>
        </w:tc>
        <w:tc>
          <w:tcPr>
            <w:tcW w:w="510" w:type="dxa"/>
            <w:shd w:val="clear" w:color="auto" w:fill="auto"/>
            <w:tcMar>
              <w:left w:w="57" w:type="dxa"/>
              <w:right w:w="57" w:type="dxa"/>
            </w:tcMar>
            <w:vAlign w:val="bottom"/>
          </w:tcPr>
          <w:p w:rsidR="00224A50" w:rsidRPr="001C2903" w:rsidRDefault="00224A50" w:rsidP="00593FD1">
            <w:pPr>
              <w:pStyle w:val="TableDataEntries"/>
              <w:ind w:left="-57"/>
              <w:jc w:val="left"/>
              <w:rPr>
                <w:rStyle w:val="NoteLabel"/>
              </w:rPr>
            </w:pP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-3.8</w:t>
            </w:r>
          </w:p>
        </w:tc>
        <w:tc>
          <w:tcPr>
            <w:tcW w:w="510" w:type="dxa"/>
            <w:shd w:val="clear" w:color="auto" w:fill="auto"/>
            <w:tcMar>
              <w:left w:w="57" w:type="dxa"/>
              <w:right w:w="57" w:type="dxa"/>
            </w:tcMar>
            <w:vAlign w:val="bottom"/>
          </w:tcPr>
          <w:p w:rsidR="00224A50" w:rsidRPr="00710BBA" w:rsidRDefault="00224A50" w:rsidP="00593FD1">
            <w:pPr>
              <w:pStyle w:val="TableDataEntries"/>
              <w:ind w:left="-57"/>
              <w:jc w:val="left"/>
              <w:rPr>
                <w:rStyle w:val="NoteLabel"/>
                <w:vertAlign w:val="superscript"/>
              </w:rPr>
            </w:pPr>
            <w:r w:rsidRPr="00710BBA">
              <w:rPr>
                <w:rStyle w:val="NoteLabel"/>
                <w:vertAlign w:val="superscript"/>
              </w:rPr>
              <w:t>e</w:t>
            </w:r>
          </w:p>
        </w:tc>
        <w:tc>
          <w:tcPr>
            <w:tcW w:w="624" w:type="dxa"/>
            <w:shd w:val="clear" w:color="auto" w:fill="auto"/>
            <w:tcMar>
              <w:left w:w="57" w:type="dxa"/>
              <w:right w:w="57" w:type="dxa"/>
            </w:tcMar>
            <w:vAlign w:val="bottom"/>
          </w:tcPr>
          <w:p w:rsidR="00224A50" w:rsidRPr="00BC7047" w:rsidRDefault="00224A50" w:rsidP="00BC7047">
            <w:pPr>
              <w:pStyle w:val="TableDataEntries"/>
            </w:pPr>
            <w:r w:rsidRPr="00BC7047">
              <w:t>0.4</w:t>
            </w:r>
          </w:p>
        </w:tc>
        <w:tc>
          <w:tcPr>
            <w:tcW w:w="510" w:type="dxa"/>
            <w:shd w:val="clear" w:color="auto" w:fill="auto"/>
            <w:tcMar>
              <w:left w:w="57" w:type="dxa"/>
              <w:right w:w="57" w:type="dxa"/>
            </w:tcMar>
            <w:vAlign w:val="bottom"/>
          </w:tcPr>
          <w:p w:rsidR="00224A50" w:rsidRPr="00710BBA" w:rsidRDefault="00224A50" w:rsidP="00593FD1">
            <w:pPr>
              <w:pStyle w:val="TableDataEntries"/>
              <w:ind w:left="-57"/>
              <w:jc w:val="left"/>
              <w:rPr>
                <w:rStyle w:val="NoteLabel"/>
                <w:vertAlign w:val="superscript"/>
              </w:rPr>
            </w:pPr>
            <w:r w:rsidRPr="00710BBA">
              <w:rPr>
                <w:rStyle w:val="NoteLabel"/>
                <w:vertAlign w:val="superscript"/>
              </w:rPr>
              <w:t>2006</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10018A">
            <w:pPr>
              <w:pStyle w:val="TableHeading1"/>
            </w:pPr>
            <w:r w:rsidRPr="00E1309D">
              <w:t>Goal 2: Achieve universal primary education</w:t>
            </w: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5</w:t>
            </w:r>
          </w:p>
        </w:tc>
        <w:tc>
          <w:tcPr>
            <w:tcW w:w="4358" w:type="dxa"/>
            <w:shd w:val="clear" w:color="auto" w:fill="auto"/>
            <w:tcMar>
              <w:left w:w="57" w:type="dxa"/>
              <w:right w:w="57" w:type="dxa"/>
            </w:tcMar>
            <w:vAlign w:val="bottom"/>
          </w:tcPr>
          <w:p w:rsidR="00BC7047" w:rsidRPr="00BC7047" w:rsidRDefault="00BC7047" w:rsidP="00656919">
            <w:pPr>
              <w:pStyle w:val="TableTextEntries"/>
            </w:pPr>
            <w:r w:rsidRPr="00BC7047">
              <w:t xml:space="preserve">Primary completion rate (% of relevant age group) </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47</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1991</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56</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05905" w:rsidP="00656919">
            <w:pPr>
              <w:pStyle w:val="TableDataEntries"/>
            </w:pPr>
            <w:r>
              <w:t xml:space="preserve">  </w:t>
            </w:r>
            <w:r w:rsidR="00656919">
              <w:t xml:space="preserve"> </w:t>
            </w:r>
            <w:r w:rsidR="00BC7047" w:rsidRPr="00BC7047">
              <w:t>54</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2003</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6</w:t>
            </w:r>
          </w:p>
        </w:tc>
        <w:tc>
          <w:tcPr>
            <w:tcW w:w="4358" w:type="dxa"/>
            <w:shd w:val="clear" w:color="auto" w:fill="auto"/>
            <w:tcMar>
              <w:left w:w="57" w:type="dxa"/>
              <w:right w:w="57" w:type="dxa"/>
            </w:tcMar>
            <w:vAlign w:val="bottom"/>
          </w:tcPr>
          <w:p w:rsidR="00BC7047" w:rsidRPr="00BC7047" w:rsidRDefault="00BC7047" w:rsidP="00656919">
            <w:pPr>
              <w:pStyle w:val="TableTextEntries"/>
            </w:pPr>
            <w:r w:rsidRPr="00BC7047">
              <w:t>Yo</w:t>
            </w:r>
            <w:r w:rsidR="00E1309D">
              <w:t>uth literacy rate (% of ages 15</w:t>
            </w:r>
            <w:r w:rsidR="00B32F00">
              <w:t>–</w:t>
            </w:r>
            <w:r w:rsidRPr="00BC7047">
              <w:t>24)</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69</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76</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64.1</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2007</w:t>
            </w:r>
            <w:r w:rsidR="000032C1" w:rsidRPr="00710BBA">
              <w:rPr>
                <w:rStyle w:val="NoteLabel"/>
                <w:vertAlign w:val="superscript"/>
              </w:rPr>
              <w:t>c</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E1309D">
            <w:pPr>
              <w:pStyle w:val="TableHeading1"/>
            </w:pPr>
            <w:r w:rsidRPr="00E1309D">
              <w:t>Goal 3: Promote gender equality and empower women</w:t>
            </w: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7</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 xml:space="preserve">Ratio of girls to boys in primary education </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0.86</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0.60</w:t>
            </w:r>
          </w:p>
        </w:tc>
        <w:tc>
          <w:tcPr>
            <w:tcW w:w="510" w:type="dxa"/>
            <w:shd w:val="clear" w:color="auto" w:fill="auto"/>
            <w:tcMar>
              <w:left w:w="57" w:type="dxa"/>
              <w:right w:w="57" w:type="dxa"/>
            </w:tcMar>
            <w:vAlign w:val="bottom"/>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0.80</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r w:rsidRPr="00710BBA">
              <w:rPr>
                <w:rStyle w:val="NoteLabel"/>
                <w:vertAlign w:val="superscript"/>
              </w:rPr>
              <w:t>2006</w:t>
            </w:r>
            <w:r w:rsidR="000032C1" w:rsidRPr="00296EEE">
              <w:rPr>
                <w:rStyle w:val="NoteLabel"/>
                <w:vertAlign w:val="superscript"/>
              </w:rPr>
              <w:t>c</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8</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Ratio of girls to boys in secondary education</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0.59</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0.79</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0.79</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2003</w:t>
            </w:r>
          </w:p>
        </w:tc>
      </w:tr>
      <w:tr w:rsidR="00BC7047" w:rsidRPr="00BC7047">
        <w:tblPrEx>
          <w:tblCellMar>
            <w:top w:w="0" w:type="dxa"/>
            <w:bottom w:w="0" w:type="dxa"/>
          </w:tblCellMar>
        </w:tblPrEx>
        <w:tc>
          <w:tcPr>
            <w:tcW w:w="322" w:type="dxa"/>
            <w:shd w:val="clear" w:color="auto" w:fill="auto"/>
            <w:tcMar>
              <w:left w:w="57" w:type="dxa"/>
              <w:right w:w="57" w:type="dxa"/>
            </w:tcMar>
          </w:tcPr>
          <w:p w:rsidR="00BC7047" w:rsidRPr="00BC7047" w:rsidRDefault="00BC7047" w:rsidP="001C2903">
            <w:pPr>
              <w:pStyle w:val="TableDataEntries"/>
              <w:jc w:val="left"/>
            </w:pPr>
            <w:r w:rsidRPr="00BC7047">
              <w:t>9</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 xml:space="preserve">Women employed in the non-agricultural sector </w:t>
            </w:r>
            <w:r w:rsidR="00B32F00">
              <w:br/>
            </w:r>
            <w:r w:rsidRPr="00BC7047">
              <w:t>(% of sector total)</w:t>
            </w:r>
            <w:r w:rsidR="000032C1" w:rsidRPr="00296EEE">
              <w:rPr>
                <w:rStyle w:val="NoteLabel"/>
                <w:vertAlign w:val="superscript"/>
              </w:rPr>
              <w:t>f</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20</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32</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35</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2004</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10018A">
            <w:pPr>
              <w:pStyle w:val="TableHeading1"/>
            </w:pPr>
            <w:r w:rsidRPr="00E1309D">
              <w:t>Goal 4: Reduce child mortality</w:t>
            </w: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c>
          <w:tcPr>
            <w:tcW w:w="624" w:type="dxa"/>
            <w:shd w:val="clear" w:color="auto" w:fill="F5F1CC"/>
            <w:tcMar>
              <w:left w:w="57" w:type="dxa"/>
              <w:right w:w="57" w:type="dxa"/>
            </w:tcMar>
          </w:tcPr>
          <w:p w:rsidR="0010018A" w:rsidRPr="00E1309D" w:rsidRDefault="0010018A" w:rsidP="0010018A">
            <w:pPr>
              <w:pStyle w:val="TableHeading1"/>
            </w:pPr>
          </w:p>
        </w:tc>
        <w:tc>
          <w:tcPr>
            <w:tcW w:w="510" w:type="dxa"/>
            <w:shd w:val="clear" w:color="auto" w:fill="F5F1CC"/>
            <w:tcMar>
              <w:left w:w="57" w:type="dxa"/>
              <w:right w:w="57" w:type="dxa"/>
            </w:tcMar>
          </w:tcPr>
          <w:p w:rsidR="0010018A" w:rsidRPr="00E1309D" w:rsidRDefault="0010018A" w:rsidP="0010018A">
            <w:pPr>
              <w:pStyle w:val="TableHeading1"/>
            </w:pP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10</w:t>
            </w:r>
          </w:p>
        </w:tc>
        <w:tc>
          <w:tcPr>
            <w:tcW w:w="4358" w:type="dxa"/>
            <w:shd w:val="clear" w:color="auto" w:fill="auto"/>
            <w:tcMar>
              <w:left w:w="57" w:type="dxa"/>
              <w:right w:w="57" w:type="dxa"/>
            </w:tcMar>
            <w:vAlign w:val="bottom"/>
          </w:tcPr>
          <w:p w:rsidR="00BC7047" w:rsidRPr="00BC7047" w:rsidRDefault="001C2903" w:rsidP="00BC7047">
            <w:pPr>
              <w:pStyle w:val="TableDataEntries"/>
              <w:jc w:val="left"/>
            </w:pPr>
            <w:r>
              <w:t>Under 5 mortality rate (per 1</w:t>
            </w:r>
            <w:r w:rsidR="00BC7047" w:rsidRPr="00BC7047">
              <w:t xml:space="preserve">000) </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94</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80</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74</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2006</w:t>
            </w:r>
            <w:r w:rsidR="000032C1" w:rsidRPr="00710BBA">
              <w:rPr>
                <w:rStyle w:val="NoteLabel"/>
                <w:vertAlign w:val="superscript"/>
              </w:rPr>
              <w:t>c</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E1309D">
            <w:pPr>
              <w:pStyle w:val="TableHeading1"/>
            </w:pPr>
            <w:r w:rsidRPr="00E1309D">
              <w:t>Goal 5: Improve maternal health</w:t>
            </w: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bookmarkStart w:id="8" w:name="_GoBack"/>
            <w:bookmarkEnd w:id="8"/>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r>
      <w:tr w:rsidR="00BC7047" w:rsidRPr="00710BBA">
        <w:tblPrEx>
          <w:tblCellMar>
            <w:top w:w="0" w:type="dxa"/>
            <w:bottom w:w="0" w:type="dxa"/>
          </w:tblCellMar>
        </w:tblPrEx>
        <w:tc>
          <w:tcPr>
            <w:tcW w:w="322" w:type="dxa"/>
            <w:shd w:val="clear" w:color="auto" w:fill="auto"/>
            <w:tcMar>
              <w:left w:w="57" w:type="dxa"/>
              <w:right w:w="57" w:type="dxa"/>
            </w:tcMar>
          </w:tcPr>
          <w:p w:rsidR="00BC7047" w:rsidRPr="00BC7047" w:rsidRDefault="00BC7047" w:rsidP="001C2903">
            <w:pPr>
              <w:pStyle w:val="TableDataEntries"/>
              <w:jc w:val="left"/>
            </w:pPr>
            <w:r w:rsidRPr="00BC7047">
              <w:t>11</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Maternal mortality ra</w:t>
            </w:r>
            <w:r w:rsidR="001C2903">
              <w:t>tio (modelled estimate, per 100 </w:t>
            </w:r>
            <w:r w:rsidRPr="00BC7047">
              <w:t>000 live births)</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345</w:t>
            </w:r>
          </w:p>
        </w:tc>
        <w:tc>
          <w:tcPr>
            <w:tcW w:w="510" w:type="dxa"/>
            <w:shd w:val="clear" w:color="auto" w:fill="auto"/>
            <w:tcMar>
              <w:left w:w="57" w:type="dxa"/>
              <w:right w:w="57" w:type="dxa"/>
            </w:tcMar>
            <w:vAlign w:val="bottom"/>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330</w:t>
            </w:r>
          </w:p>
        </w:tc>
        <w:tc>
          <w:tcPr>
            <w:tcW w:w="510" w:type="dxa"/>
            <w:shd w:val="clear" w:color="auto" w:fill="auto"/>
            <w:tcMar>
              <w:left w:w="57" w:type="dxa"/>
              <w:right w:w="57" w:type="dxa"/>
            </w:tcMar>
            <w:vAlign w:val="bottom"/>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733</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2007</w:t>
            </w:r>
            <w:r w:rsidR="000032C1" w:rsidRPr="00710BBA">
              <w:rPr>
                <w:rStyle w:val="NoteLabel"/>
                <w:vertAlign w:val="superscript"/>
              </w:rPr>
              <w:t>c</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E1309D">
            <w:pPr>
              <w:pStyle w:val="TableHeading1"/>
            </w:pPr>
            <w:r w:rsidRPr="00E1309D">
              <w:t>Goal 6: Combat HIV/AIDS, malaria and other diseases</w:t>
            </w: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12</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Prevalence of HIV, total (% of population aged</w:t>
            </w:r>
            <w:r w:rsidR="001C2903">
              <w:t xml:space="preserve"> 15–</w:t>
            </w:r>
            <w:r w:rsidRPr="00BC7047">
              <w:t>49)</w:t>
            </w:r>
            <w:r w:rsidR="000032C1" w:rsidRPr="00941BD2">
              <w:rPr>
                <w:rStyle w:val="NoteLabel"/>
                <w:vertAlign w:val="superscript"/>
              </w:rPr>
              <w:t>g</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0.05</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1993</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0.31</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1.61</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2007e</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13</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Contraceptive prev</w:t>
            </w:r>
            <w:r w:rsidR="001C2903">
              <w:t>alence rate (% of women aged 15–</w:t>
            </w:r>
            <w:r w:rsidRPr="00BC7047">
              <w:t xml:space="preserve">49) </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26</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1996</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26</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2001</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30</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2005</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14</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Prev</w:t>
            </w:r>
            <w:r w:rsidR="001C2903">
              <w:t>alence of tuberculosis (per 100 </w:t>
            </w:r>
            <w:r w:rsidRPr="00BC7047">
              <w:t>000 people)</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789</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637</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130</w:t>
            </w:r>
          </w:p>
        </w:tc>
        <w:tc>
          <w:tcPr>
            <w:tcW w:w="510" w:type="dxa"/>
            <w:shd w:val="clear" w:color="auto" w:fill="auto"/>
            <w:tcMar>
              <w:left w:w="57" w:type="dxa"/>
              <w:right w:w="57" w:type="dxa"/>
            </w:tcMar>
            <w:vAlign w:val="bottom"/>
          </w:tcPr>
          <w:p w:rsidR="00BC7047" w:rsidRPr="00710BBA" w:rsidRDefault="00BC7047" w:rsidP="00593FD1">
            <w:pPr>
              <w:pStyle w:val="TableDataEntries"/>
              <w:ind w:left="-57"/>
              <w:jc w:val="left"/>
              <w:rPr>
                <w:rStyle w:val="NoteLabel"/>
                <w:vertAlign w:val="superscript"/>
              </w:rPr>
            </w:pPr>
            <w:r w:rsidRPr="00710BBA">
              <w:rPr>
                <w:rStyle w:val="NoteLabel"/>
                <w:vertAlign w:val="superscript"/>
              </w:rPr>
              <w:t>2008</w:t>
            </w:r>
            <w:r w:rsidR="000032C1" w:rsidRPr="00710BBA">
              <w:rPr>
                <w:rStyle w:val="NoteLabel"/>
                <w:vertAlign w:val="superscript"/>
              </w:rPr>
              <w:t>c</w:t>
            </w:r>
          </w:p>
        </w:tc>
      </w:tr>
      <w:tr w:rsidR="0010018A" w:rsidRPr="00E1309D">
        <w:tblPrEx>
          <w:tblCellMar>
            <w:top w:w="0" w:type="dxa"/>
            <w:bottom w:w="0" w:type="dxa"/>
          </w:tblCellMar>
        </w:tblPrEx>
        <w:tc>
          <w:tcPr>
            <w:tcW w:w="4680" w:type="dxa"/>
            <w:gridSpan w:val="2"/>
            <w:shd w:val="clear" w:color="auto" w:fill="F5F1CC"/>
            <w:tcMar>
              <w:left w:w="57" w:type="dxa"/>
              <w:right w:w="57" w:type="dxa"/>
            </w:tcMar>
          </w:tcPr>
          <w:p w:rsidR="0010018A" w:rsidRPr="00E1309D" w:rsidRDefault="0010018A" w:rsidP="00E1309D">
            <w:pPr>
              <w:pStyle w:val="TableHeading1"/>
            </w:pPr>
            <w:r w:rsidRPr="00E1309D">
              <w:t>Goal 7: Ensure environmental sustainability</w:t>
            </w: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c>
          <w:tcPr>
            <w:tcW w:w="624" w:type="dxa"/>
            <w:shd w:val="clear" w:color="auto" w:fill="F5F1CC"/>
            <w:tcMar>
              <w:left w:w="57" w:type="dxa"/>
              <w:right w:w="57" w:type="dxa"/>
            </w:tcMar>
          </w:tcPr>
          <w:p w:rsidR="0010018A" w:rsidRPr="00E1309D" w:rsidRDefault="0010018A" w:rsidP="00E1309D">
            <w:pPr>
              <w:pStyle w:val="TableHeading1"/>
            </w:pPr>
          </w:p>
        </w:tc>
        <w:tc>
          <w:tcPr>
            <w:tcW w:w="510" w:type="dxa"/>
            <w:shd w:val="clear" w:color="auto" w:fill="F5F1CC"/>
            <w:tcMar>
              <w:left w:w="57" w:type="dxa"/>
              <w:right w:w="57" w:type="dxa"/>
            </w:tcMar>
          </w:tcPr>
          <w:p w:rsidR="0010018A" w:rsidRPr="00E1309D" w:rsidRDefault="0010018A" w:rsidP="00E1309D">
            <w:pPr>
              <w:pStyle w:val="TableHeading1"/>
            </w:pP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15</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 xml:space="preserve">Forest </w:t>
            </w:r>
            <w:r w:rsidR="00E1309D" w:rsidRPr="00BC7047">
              <w:t xml:space="preserve">area </w:t>
            </w:r>
            <w:r w:rsidRPr="00BC7047">
              <w:t xml:space="preserve">(% of total land area) </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70</w:t>
            </w:r>
          </w:p>
        </w:tc>
        <w:tc>
          <w:tcPr>
            <w:tcW w:w="510" w:type="dxa"/>
            <w:shd w:val="clear" w:color="auto" w:fill="auto"/>
            <w:tcMar>
              <w:left w:w="57" w:type="dxa"/>
              <w:right w:w="57" w:type="dxa"/>
            </w:tcMar>
            <w:vAlign w:val="bottom"/>
          </w:tcPr>
          <w:p w:rsidR="00BC7047" w:rsidRPr="001C2903"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67</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65</w:t>
            </w:r>
          </w:p>
        </w:tc>
        <w:tc>
          <w:tcPr>
            <w:tcW w:w="510" w:type="dxa"/>
            <w:shd w:val="clear" w:color="auto" w:fill="auto"/>
            <w:tcMar>
              <w:left w:w="57" w:type="dxa"/>
              <w:right w:w="57" w:type="dxa"/>
            </w:tcMar>
            <w:vAlign w:val="bottom"/>
          </w:tcPr>
          <w:p w:rsidR="00BC7047" w:rsidRPr="00656919" w:rsidRDefault="00BC7047" w:rsidP="00593FD1">
            <w:pPr>
              <w:pStyle w:val="TableDataEntries"/>
              <w:ind w:left="-57"/>
              <w:jc w:val="left"/>
              <w:rPr>
                <w:rStyle w:val="NoteLabel"/>
                <w:vertAlign w:val="superscript"/>
              </w:rPr>
            </w:pPr>
            <w:r w:rsidRPr="00656919">
              <w:rPr>
                <w:rStyle w:val="NoteLabel"/>
                <w:vertAlign w:val="superscript"/>
              </w:rPr>
              <w:t>2005</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16</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Access to improved water source (% of population)</w:t>
            </w:r>
            <w:r w:rsidR="001C2903">
              <w:t>—</w:t>
            </w:r>
            <w:r w:rsidRPr="00BC7047">
              <w:t xml:space="preserve">rural </w:t>
            </w:r>
          </w:p>
        </w:tc>
        <w:tc>
          <w:tcPr>
            <w:tcW w:w="624" w:type="dxa"/>
            <w:shd w:val="clear" w:color="auto" w:fill="auto"/>
            <w:tcMar>
              <w:left w:w="57" w:type="dxa"/>
              <w:right w:w="57" w:type="dxa"/>
            </w:tcMar>
            <w:vAlign w:val="bottom"/>
          </w:tcPr>
          <w:p w:rsidR="00BC7047" w:rsidRPr="00656919" w:rsidRDefault="00BC7047" w:rsidP="00BC7047">
            <w:pPr>
              <w:pStyle w:val="TableDataEntries"/>
            </w:pPr>
            <w:r w:rsidRPr="00656919">
              <w:t>32</w:t>
            </w:r>
          </w:p>
        </w:tc>
        <w:tc>
          <w:tcPr>
            <w:tcW w:w="510" w:type="dxa"/>
            <w:shd w:val="clear" w:color="auto" w:fill="auto"/>
            <w:tcMar>
              <w:left w:w="57" w:type="dxa"/>
              <w:right w:w="57" w:type="dxa"/>
            </w:tcMar>
          </w:tcPr>
          <w:p w:rsidR="00BC7047" w:rsidRPr="00656919" w:rsidRDefault="000032C1" w:rsidP="00593FD1">
            <w:pPr>
              <w:pStyle w:val="TableDataEntries"/>
              <w:ind w:left="-57"/>
              <w:jc w:val="left"/>
              <w:rPr>
                <w:rStyle w:val="NoteLabel"/>
                <w:vertAlign w:val="superscript"/>
              </w:rPr>
            </w:pPr>
            <w:r w:rsidRPr="00656919">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32</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r w:rsidRPr="00656919">
              <w:rPr>
                <w:rStyle w:val="NoteLabel"/>
                <w:vertAlign w:val="superscript"/>
              </w:rPr>
              <w:t>2006</w:t>
            </w:r>
            <w:r w:rsidRPr="00710BBA">
              <w:rPr>
                <w:rStyle w:val="NoteLabel"/>
                <w:vertAlign w:val="superscript"/>
              </w:rPr>
              <w:t>g</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Access to improved water source (% of population)</w:t>
            </w:r>
            <w:r w:rsidR="001C2903">
              <w:t>—</w:t>
            </w:r>
            <w:r w:rsidRPr="00BC7047">
              <w:t xml:space="preserve">urban </w:t>
            </w:r>
          </w:p>
        </w:tc>
        <w:tc>
          <w:tcPr>
            <w:tcW w:w="624" w:type="dxa"/>
            <w:shd w:val="clear" w:color="auto" w:fill="auto"/>
            <w:tcMar>
              <w:left w:w="57" w:type="dxa"/>
              <w:right w:w="57" w:type="dxa"/>
            </w:tcMar>
            <w:vAlign w:val="bottom"/>
          </w:tcPr>
          <w:p w:rsidR="00BC7047" w:rsidRPr="00656919" w:rsidRDefault="00BC7047" w:rsidP="00BC7047">
            <w:pPr>
              <w:pStyle w:val="TableDataEntries"/>
            </w:pPr>
            <w:r w:rsidRPr="00656919">
              <w:t>88</w:t>
            </w:r>
          </w:p>
        </w:tc>
        <w:tc>
          <w:tcPr>
            <w:tcW w:w="510" w:type="dxa"/>
            <w:shd w:val="clear" w:color="auto" w:fill="auto"/>
            <w:tcMar>
              <w:left w:w="57" w:type="dxa"/>
              <w:right w:w="57" w:type="dxa"/>
            </w:tcMar>
          </w:tcPr>
          <w:p w:rsidR="00BC7047" w:rsidRPr="00656919" w:rsidRDefault="000032C1" w:rsidP="00593FD1">
            <w:pPr>
              <w:pStyle w:val="TableDataEntries"/>
              <w:ind w:left="-57"/>
              <w:jc w:val="left"/>
              <w:rPr>
                <w:rStyle w:val="NoteLabel"/>
                <w:vertAlign w:val="superscript"/>
              </w:rPr>
            </w:pPr>
            <w:r w:rsidRPr="00656919">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88</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r w:rsidRPr="00656919">
              <w:rPr>
                <w:rStyle w:val="NoteLabel"/>
                <w:vertAlign w:val="superscript"/>
              </w:rPr>
              <w:t>2006</w:t>
            </w:r>
            <w:r w:rsidRPr="00710BBA">
              <w:rPr>
                <w:rStyle w:val="NoteLabel"/>
                <w:vertAlign w:val="superscript"/>
              </w:rPr>
              <w:t>g</w:t>
            </w:r>
          </w:p>
        </w:tc>
      </w:tr>
      <w:tr w:rsidR="00BC7047" w:rsidRPr="00BC7047">
        <w:tblPrEx>
          <w:tblCellMar>
            <w:top w:w="0" w:type="dxa"/>
            <w:bottom w:w="0" w:type="dxa"/>
          </w:tblCellMar>
        </w:tblPrEx>
        <w:tc>
          <w:tcPr>
            <w:tcW w:w="322" w:type="dxa"/>
            <w:shd w:val="clear" w:color="auto" w:fill="auto"/>
            <w:tcMar>
              <w:left w:w="57" w:type="dxa"/>
              <w:right w:w="57" w:type="dxa"/>
            </w:tcMar>
            <w:vAlign w:val="bottom"/>
          </w:tcPr>
          <w:p w:rsidR="00BC7047" w:rsidRPr="00BC7047" w:rsidRDefault="00BC7047" w:rsidP="001C2903">
            <w:pPr>
              <w:pStyle w:val="TableDataEntries"/>
              <w:jc w:val="left"/>
            </w:pPr>
            <w:r w:rsidRPr="00BC7047">
              <w:t>17</w:t>
            </w:r>
          </w:p>
        </w:tc>
        <w:tc>
          <w:tcPr>
            <w:tcW w:w="4358" w:type="dxa"/>
            <w:shd w:val="clear" w:color="auto" w:fill="auto"/>
            <w:tcMar>
              <w:left w:w="57" w:type="dxa"/>
              <w:right w:w="57" w:type="dxa"/>
            </w:tcMar>
            <w:vAlign w:val="bottom"/>
          </w:tcPr>
          <w:p w:rsidR="00BC7047" w:rsidRPr="00BC7047" w:rsidRDefault="00BC7047" w:rsidP="00BC7047">
            <w:pPr>
              <w:pStyle w:val="TableDataEntries"/>
              <w:jc w:val="left"/>
            </w:pPr>
            <w:r w:rsidRPr="00BC7047">
              <w:t>Access to improved sanitation (% of population)</w:t>
            </w:r>
            <w:r w:rsidR="001C2903">
              <w:t>—</w:t>
            </w:r>
            <w:r w:rsidRPr="00BC7047">
              <w:t>rural</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41</w:t>
            </w:r>
          </w:p>
        </w:tc>
        <w:tc>
          <w:tcPr>
            <w:tcW w:w="510" w:type="dxa"/>
            <w:shd w:val="clear" w:color="auto" w:fill="auto"/>
            <w:tcMar>
              <w:left w:w="57" w:type="dxa"/>
              <w:right w:w="57" w:type="dxa"/>
            </w:tcMar>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80</w:t>
            </w:r>
          </w:p>
        </w:tc>
        <w:tc>
          <w:tcPr>
            <w:tcW w:w="510" w:type="dxa"/>
            <w:shd w:val="clear" w:color="auto" w:fill="auto"/>
            <w:tcMar>
              <w:left w:w="57" w:type="dxa"/>
              <w:right w:w="57" w:type="dxa"/>
            </w:tcMar>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shd w:val="clear" w:color="auto" w:fill="auto"/>
            <w:tcMar>
              <w:left w:w="57" w:type="dxa"/>
              <w:right w:w="57" w:type="dxa"/>
            </w:tcMar>
            <w:vAlign w:val="bottom"/>
          </w:tcPr>
          <w:p w:rsidR="00BC7047" w:rsidRPr="00BC7047" w:rsidRDefault="00BC7047" w:rsidP="00BC7047">
            <w:pPr>
              <w:pStyle w:val="TableDataEntries"/>
            </w:pPr>
            <w:r w:rsidRPr="00BC7047">
              <w:t>…</w:t>
            </w:r>
          </w:p>
        </w:tc>
        <w:tc>
          <w:tcPr>
            <w:tcW w:w="510" w:type="dxa"/>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r>
      <w:tr w:rsidR="00BC7047" w:rsidRPr="00BC7047">
        <w:tblPrEx>
          <w:tblCellMar>
            <w:top w:w="0" w:type="dxa"/>
            <w:bottom w:w="0" w:type="dxa"/>
          </w:tblCellMar>
        </w:tblPrEx>
        <w:tc>
          <w:tcPr>
            <w:tcW w:w="322" w:type="dxa"/>
            <w:tcBorders>
              <w:bottom w:val="single" w:sz="12" w:space="0" w:color="auto"/>
            </w:tcBorders>
            <w:shd w:val="clear" w:color="auto" w:fill="auto"/>
            <w:tcMar>
              <w:left w:w="57" w:type="dxa"/>
              <w:right w:w="57" w:type="dxa"/>
            </w:tcMar>
            <w:vAlign w:val="bottom"/>
          </w:tcPr>
          <w:p w:rsidR="00BC7047" w:rsidRPr="00BC7047" w:rsidRDefault="00BC7047" w:rsidP="001C2903">
            <w:pPr>
              <w:pStyle w:val="TableDataEntries"/>
              <w:jc w:val="left"/>
            </w:pPr>
          </w:p>
        </w:tc>
        <w:tc>
          <w:tcPr>
            <w:tcW w:w="4358" w:type="dxa"/>
            <w:tcBorders>
              <w:bottom w:val="single" w:sz="12" w:space="0" w:color="auto"/>
            </w:tcBorders>
            <w:shd w:val="clear" w:color="auto" w:fill="auto"/>
            <w:tcMar>
              <w:left w:w="57" w:type="dxa"/>
              <w:right w:w="57" w:type="dxa"/>
            </w:tcMar>
            <w:vAlign w:val="bottom"/>
          </w:tcPr>
          <w:p w:rsidR="00BC7047" w:rsidRPr="00BC7047" w:rsidRDefault="00BC7047" w:rsidP="00BC7047">
            <w:pPr>
              <w:pStyle w:val="TableDataEntries"/>
              <w:jc w:val="left"/>
            </w:pPr>
            <w:r w:rsidRPr="00BC7047">
              <w:t>Access to improved sanitation (% of population)</w:t>
            </w:r>
            <w:r w:rsidR="001C2903">
              <w:t>—</w:t>
            </w:r>
            <w:r w:rsidRPr="00BC7047">
              <w:t xml:space="preserve">urban </w:t>
            </w:r>
          </w:p>
        </w:tc>
        <w:tc>
          <w:tcPr>
            <w:tcW w:w="624" w:type="dxa"/>
            <w:tcBorders>
              <w:bottom w:val="single" w:sz="12" w:space="0" w:color="auto"/>
            </w:tcBorders>
            <w:shd w:val="clear" w:color="auto" w:fill="auto"/>
            <w:tcMar>
              <w:left w:w="57" w:type="dxa"/>
              <w:right w:w="57" w:type="dxa"/>
            </w:tcMar>
            <w:vAlign w:val="bottom"/>
          </w:tcPr>
          <w:p w:rsidR="00BC7047" w:rsidRPr="00BC7047" w:rsidRDefault="00BC7047" w:rsidP="00BC7047">
            <w:pPr>
              <w:pStyle w:val="TableDataEntries"/>
            </w:pPr>
            <w:r w:rsidRPr="00BC7047">
              <w:t>67</w:t>
            </w:r>
          </w:p>
        </w:tc>
        <w:tc>
          <w:tcPr>
            <w:tcW w:w="510" w:type="dxa"/>
            <w:tcBorders>
              <w:bottom w:val="single" w:sz="12" w:space="0" w:color="auto"/>
            </w:tcBorders>
            <w:shd w:val="clear" w:color="auto" w:fill="auto"/>
            <w:tcMar>
              <w:left w:w="57" w:type="dxa"/>
              <w:right w:w="57" w:type="dxa"/>
            </w:tcMar>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tcBorders>
              <w:bottom w:val="single" w:sz="12" w:space="0" w:color="auto"/>
            </w:tcBorders>
            <w:shd w:val="clear" w:color="auto" w:fill="auto"/>
            <w:tcMar>
              <w:left w:w="57" w:type="dxa"/>
              <w:right w:w="57" w:type="dxa"/>
            </w:tcMar>
            <w:vAlign w:val="bottom"/>
          </w:tcPr>
          <w:p w:rsidR="00BC7047" w:rsidRPr="00BC7047" w:rsidRDefault="00BC7047" w:rsidP="00BC7047">
            <w:pPr>
              <w:pStyle w:val="TableDataEntries"/>
            </w:pPr>
            <w:r w:rsidRPr="00BC7047">
              <w:t>92</w:t>
            </w:r>
          </w:p>
        </w:tc>
        <w:tc>
          <w:tcPr>
            <w:tcW w:w="510" w:type="dxa"/>
            <w:tcBorders>
              <w:bottom w:val="single" w:sz="12" w:space="0" w:color="auto"/>
            </w:tcBorders>
            <w:shd w:val="clear" w:color="auto" w:fill="auto"/>
            <w:tcMar>
              <w:left w:w="57" w:type="dxa"/>
              <w:right w:w="57" w:type="dxa"/>
            </w:tcMar>
          </w:tcPr>
          <w:p w:rsidR="00BC7047" w:rsidRPr="00710BBA" w:rsidRDefault="000032C1" w:rsidP="00593FD1">
            <w:pPr>
              <w:pStyle w:val="TableDataEntries"/>
              <w:ind w:left="-57"/>
              <w:jc w:val="left"/>
              <w:rPr>
                <w:rStyle w:val="NoteLabel"/>
                <w:vertAlign w:val="superscript"/>
              </w:rPr>
            </w:pPr>
            <w:r w:rsidRPr="00710BBA">
              <w:rPr>
                <w:rStyle w:val="NoteLabel"/>
                <w:vertAlign w:val="superscript"/>
              </w:rPr>
              <w:t>c</w:t>
            </w:r>
          </w:p>
        </w:tc>
        <w:tc>
          <w:tcPr>
            <w:tcW w:w="624" w:type="dxa"/>
            <w:tcBorders>
              <w:bottom w:val="single" w:sz="12" w:space="0" w:color="auto"/>
            </w:tcBorders>
            <w:shd w:val="clear" w:color="auto" w:fill="auto"/>
            <w:tcMar>
              <w:left w:w="57" w:type="dxa"/>
              <w:right w:w="57" w:type="dxa"/>
            </w:tcMar>
            <w:vAlign w:val="bottom"/>
          </w:tcPr>
          <w:p w:rsidR="00BC7047" w:rsidRPr="00BC7047" w:rsidRDefault="00BC7047" w:rsidP="00BC7047">
            <w:pPr>
              <w:pStyle w:val="TableDataEntries"/>
            </w:pPr>
            <w:r w:rsidRPr="00BC7047">
              <w:t>…</w:t>
            </w:r>
          </w:p>
        </w:tc>
        <w:tc>
          <w:tcPr>
            <w:tcW w:w="510" w:type="dxa"/>
            <w:tcBorders>
              <w:bottom w:val="single" w:sz="12" w:space="0" w:color="auto"/>
            </w:tcBorders>
            <w:shd w:val="clear" w:color="auto" w:fill="auto"/>
            <w:tcMar>
              <w:left w:w="57" w:type="dxa"/>
              <w:right w:w="57" w:type="dxa"/>
            </w:tcMar>
            <w:vAlign w:val="bottom"/>
          </w:tcPr>
          <w:p w:rsidR="00BC7047" w:rsidRPr="00593FD1" w:rsidRDefault="00BC7047" w:rsidP="00593FD1">
            <w:pPr>
              <w:pStyle w:val="TableDataEntries"/>
              <w:ind w:left="-57"/>
              <w:jc w:val="left"/>
              <w:rPr>
                <w:rStyle w:val="NoteLabel"/>
              </w:rPr>
            </w:pPr>
          </w:p>
        </w:tc>
      </w:tr>
    </w:tbl>
    <w:p w:rsidR="00E1309D" w:rsidRPr="00B216C7" w:rsidRDefault="00E1309D" w:rsidP="00F147AB">
      <w:pPr>
        <w:pStyle w:val="NoteNumber"/>
        <w:pBdr>
          <w:bottom w:val="single" w:sz="12" w:space="1" w:color="auto"/>
        </w:pBdr>
      </w:pPr>
      <w:r w:rsidRPr="000C5CE6">
        <w:t>Sourced from U</w:t>
      </w:r>
      <w:r w:rsidR="00D76D79">
        <w:t xml:space="preserve">nited </w:t>
      </w:r>
      <w:r w:rsidRPr="000C5CE6">
        <w:t>N</w:t>
      </w:r>
      <w:r w:rsidR="00D76D79">
        <w:t>ations</w:t>
      </w:r>
      <w:r w:rsidR="00C92B91">
        <w:t xml:space="preserve"> (UN)</w:t>
      </w:r>
      <w:r w:rsidRPr="000C5CE6">
        <w:t xml:space="preserve"> Statistics Division</w:t>
      </w:r>
      <w:r w:rsidR="00F57A78">
        <w:t>,</w:t>
      </w:r>
      <w:r w:rsidR="00F57A78" w:rsidRPr="00203E9E">
        <w:t xml:space="preserve"> </w:t>
      </w:r>
      <w:r w:rsidR="00F57A78" w:rsidRPr="00203E9E">
        <w:rPr>
          <w:i/>
        </w:rPr>
        <w:t>United Nations site for the MDG Indicators</w:t>
      </w:r>
      <w:r w:rsidR="00203E9E">
        <w:t>,</w:t>
      </w:r>
      <w:r w:rsidRPr="000C5CE6">
        <w:t xml:space="preserve"> </w:t>
      </w:r>
      <w:r w:rsidR="00F57A78">
        <w:t xml:space="preserve">accessed at </w:t>
      </w:r>
      <w:r w:rsidR="005D3CC2">
        <w:t>&lt;</w:t>
      </w:r>
      <w:r w:rsidR="00F57A78" w:rsidRPr="00F57A78">
        <w:t>http://unstats.un.org/unsd/mdg/Data.aspx</w:t>
      </w:r>
      <w:r w:rsidR="005D3CC2">
        <w:t xml:space="preserve">&gt; </w:t>
      </w:r>
      <w:r w:rsidRPr="000C5CE6">
        <w:t xml:space="preserve">unless </w:t>
      </w:r>
      <w:r w:rsidRPr="00B216C7">
        <w:t>otherwise stated</w:t>
      </w:r>
      <w:r w:rsidR="0010018A" w:rsidRPr="00B216C7">
        <w:t>.</w:t>
      </w:r>
      <w:r w:rsidR="000032C1" w:rsidRPr="00B216C7">
        <w:t xml:space="preserve"> </w:t>
      </w:r>
      <w:r w:rsidR="00203E9E" w:rsidRPr="00B216C7">
        <w:t>Usually you have the date of access. Same comment throughout</w:t>
      </w:r>
    </w:p>
    <w:p w:rsidR="000032C1" w:rsidRPr="00B216C7" w:rsidRDefault="000032C1" w:rsidP="00F147AB">
      <w:pPr>
        <w:pStyle w:val="NoteNumber"/>
        <w:pBdr>
          <w:bottom w:val="single" w:sz="12" w:space="1" w:color="auto"/>
        </w:pBdr>
      </w:pPr>
      <w:r w:rsidRPr="00B216C7">
        <w:t>Sourced from the World Bank</w:t>
      </w:r>
      <w:r w:rsidR="007676B4" w:rsidRPr="00B216C7">
        <w:t xml:space="preserve">, </w:t>
      </w:r>
      <w:r w:rsidR="00B37D2C" w:rsidRPr="00B216C7">
        <w:t>g</w:t>
      </w:r>
      <w:r w:rsidR="00B37D2C" w:rsidRPr="00B216C7">
        <w:rPr>
          <w:lang w:val="en"/>
        </w:rPr>
        <w:t>ross national income</w:t>
      </w:r>
      <w:r w:rsidR="007676B4" w:rsidRPr="00B216C7">
        <w:rPr>
          <w:lang w:val="en"/>
        </w:rPr>
        <w:t xml:space="preserve"> </w:t>
      </w:r>
      <w:r w:rsidR="00B37D2C" w:rsidRPr="00B216C7">
        <w:rPr>
          <w:lang w:val="en"/>
        </w:rPr>
        <w:t xml:space="preserve">(GNI) </w:t>
      </w:r>
      <w:r w:rsidR="007676B4" w:rsidRPr="00B216C7">
        <w:rPr>
          <w:lang w:val="en"/>
        </w:rPr>
        <w:t>per capita</w:t>
      </w:r>
      <w:r w:rsidR="00B37D2C" w:rsidRPr="00B216C7">
        <w:rPr>
          <w:lang w:val="en"/>
        </w:rPr>
        <w:t>;</w:t>
      </w:r>
      <w:r w:rsidR="007676B4" w:rsidRPr="00B216C7">
        <w:rPr>
          <w:lang w:val="en"/>
        </w:rPr>
        <w:t xml:space="preserve"> </w:t>
      </w:r>
      <w:r w:rsidR="00B37D2C" w:rsidRPr="00B216C7">
        <w:rPr>
          <w:lang w:val="en"/>
        </w:rPr>
        <w:t>purchasing power parity</w:t>
      </w:r>
      <w:r w:rsidR="007676B4" w:rsidRPr="00B216C7">
        <w:rPr>
          <w:lang w:val="en"/>
        </w:rPr>
        <w:t xml:space="preserve"> (current international $)</w:t>
      </w:r>
      <w:r w:rsidR="00203E9E" w:rsidRPr="00B216C7">
        <w:rPr>
          <w:lang w:val="en"/>
        </w:rPr>
        <w:t>,</w:t>
      </w:r>
      <w:r w:rsidR="007676B4" w:rsidRPr="00B216C7">
        <w:rPr>
          <w:lang w:val="en"/>
        </w:rPr>
        <w:t xml:space="preserve"> </w:t>
      </w:r>
      <w:r w:rsidR="007676B4" w:rsidRPr="00B216C7">
        <w:t xml:space="preserve">accessed at </w:t>
      </w:r>
      <w:r w:rsidR="00B37D2C" w:rsidRPr="00B216C7">
        <w:t>&lt;</w:t>
      </w:r>
      <w:hyperlink r:id="rId15" w:history="1">
        <w:r w:rsidR="00B37D2C" w:rsidRPr="00B216C7">
          <w:t>http://data.worldbank.org/indicator/NY.GNP.PCAP.PP.CD</w:t>
        </w:r>
      </w:hyperlink>
      <w:r w:rsidR="00B37D2C" w:rsidRPr="00B216C7">
        <w:t>&gt;.</w:t>
      </w:r>
    </w:p>
    <w:p w:rsidR="000032C1" w:rsidRPr="00B216C7" w:rsidRDefault="00F57A78" w:rsidP="00F147AB">
      <w:pPr>
        <w:pStyle w:val="NoteNumber"/>
        <w:pBdr>
          <w:bottom w:val="single" w:sz="12" w:space="1" w:color="auto"/>
        </w:pBdr>
      </w:pPr>
      <w:r w:rsidRPr="00B216C7">
        <w:t>Pacific Islands Forum Secretariat,</w:t>
      </w:r>
      <w:r w:rsidRPr="00B216C7">
        <w:rPr>
          <w:i/>
        </w:rPr>
        <w:t xml:space="preserve"> 2010 Pacific Regional MDG Tracking Report</w:t>
      </w:r>
      <w:r w:rsidR="00B37D2C" w:rsidRPr="00B216C7">
        <w:rPr>
          <w:i/>
        </w:rPr>
        <w:t>.</w:t>
      </w:r>
      <w:r w:rsidR="00203E9E" w:rsidRPr="00B216C7">
        <w:rPr>
          <w:i/>
        </w:rPr>
        <w:t xml:space="preserve"> </w:t>
      </w:r>
      <w:proofErr w:type="gramStart"/>
      <w:r w:rsidR="00203E9E" w:rsidRPr="00B216C7">
        <w:t>more</w:t>
      </w:r>
      <w:proofErr w:type="gramEnd"/>
      <w:r w:rsidR="00203E9E" w:rsidRPr="00B216C7">
        <w:t xml:space="preserve"> complete references throughout, as per style material provided for these reports. Example, location and date?</w:t>
      </w:r>
    </w:p>
    <w:p w:rsidR="00E1309D" w:rsidRPr="00B216C7" w:rsidRDefault="00E1309D" w:rsidP="00F147AB">
      <w:pPr>
        <w:pStyle w:val="NoteNumber"/>
        <w:pBdr>
          <w:bottom w:val="single" w:sz="12" w:space="1" w:color="auto"/>
        </w:pBdr>
      </w:pPr>
      <w:r w:rsidRPr="00B216C7">
        <w:t>Sourced from the Secretariat of the Pacific Community (SPC)</w:t>
      </w:r>
      <w:r w:rsidR="000032C1" w:rsidRPr="00B216C7">
        <w:t>.</w:t>
      </w:r>
    </w:p>
    <w:p w:rsidR="000032C1" w:rsidRPr="00B216C7" w:rsidRDefault="000032C1" w:rsidP="00F147AB">
      <w:pPr>
        <w:pStyle w:val="NoteNumber"/>
        <w:pBdr>
          <w:bottom w:val="single" w:sz="12" w:space="1" w:color="auto"/>
        </w:pBdr>
      </w:pPr>
      <w:r w:rsidRPr="00B216C7">
        <w:t>Estimated figure.</w:t>
      </w:r>
    </w:p>
    <w:p w:rsidR="000032C1" w:rsidRPr="00B216C7" w:rsidRDefault="000032C1" w:rsidP="00F147AB">
      <w:pPr>
        <w:pStyle w:val="NoteNumber"/>
        <w:pBdr>
          <w:bottom w:val="single" w:sz="12" w:space="1" w:color="auto"/>
        </w:pBdr>
      </w:pPr>
      <w:r w:rsidRPr="00B216C7">
        <w:t>Sourced from the Asian Development Bank (ADB).</w:t>
      </w:r>
    </w:p>
    <w:p w:rsidR="00F147AB" w:rsidRPr="00B216C7" w:rsidRDefault="00E1309D" w:rsidP="00F147AB">
      <w:pPr>
        <w:pStyle w:val="NoteNumber"/>
        <w:pBdr>
          <w:bottom w:val="single" w:sz="12" w:space="1" w:color="auto"/>
        </w:pBdr>
        <w:spacing w:after="240"/>
      </w:pPr>
      <w:r w:rsidRPr="00B216C7">
        <w:t>Sourced from U</w:t>
      </w:r>
      <w:r w:rsidR="005C0B64" w:rsidRPr="00B216C7">
        <w:t>nited Nations General Assembly (U</w:t>
      </w:r>
      <w:r w:rsidRPr="00B216C7">
        <w:t>NGASS</w:t>
      </w:r>
      <w:r w:rsidR="005C0B64" w:rsidRPr="00B216C7">
        <w:t>)</w:t>
      </w:r>
      <w:r w:rsidRPr="00B216C7">
        <w:t xml:space="preserve"> </w:t>
      </w:r>
      <w:r w:rsidRPr="00B216C7">
        <w:rPr>
          <w:i/>
        </w:rPr>
        <w:t>PNG 2008 Country Progress Report</w:t>
      </w:r>
      <w:r w:rsidR="000032C1" w:rsidRPr="00B216C7">
        <w:t>.</w:t>
      </w:r>
      <w:r w:rsidR="005C0B64" w:rsidRPr="00B216C7">
        <w:t xml:space="preserve"> </w:t>
      </w:r>
      <w:r w:rsidR="006D7A77" w:rsidRPr="00B216C7">
        <w:t>(Have italicised what I believe to be the full title, but AusAID to check)</w:t>
      </w:r>
    </w:p>
    <w:bookmarkEnd w:id="0"/>
    <w:p w:rsidR="00B216C7" w:rsidRDefault="003675D9" w:rsidP="003675D9">
      <w:pPr>
        <w:pStyle w:val="BodyText"/>
      </w:pPr>
      <w:r>
        <w:t xml:space="preserve">Australian aid investment to PNG </w:t>
      </w:r>
      <w:r w:rsidR="00EE60CA">
        <w:t>(</w:t>
      </w:r>
      <w:r w:rsidR="00732F05">
        <w:t>more than</w:t>
      </w:r>
      <w:r w:rsidR="00732F05" w:rsidRPr="001735DE">
        <w:t xml:space="preserve"> </w:t>
      </w:r>
      <w:r w:rsidRPr="001735DE">
        <w:t>$363</w:t>
      </w:r>
      <w:r w:rsidR="00EE60CA">
        <w:t> </w:t>
      </w:r>
      <w:r w:rsidRPr="001735DE">
        <w:t>million</w:t>
      </w:r>
      <w:r w:rsidR="00F4425D">
        <w:t xml:space="preserve"> in 2009</w:t>
      </w:r>
      <w:r w:rsidR="00EE60CA">
        <w:t>)</w:t>
      </w:r>
      <w:r>
        <w:t xml:space="preserve"> </w:t>
      </w:r>
      <w:r w:rsidR="00296EEE">
        <w:t xml:space="preserve">continues to </w:t>
      </w:r>
      <w:r>
        <w:t xml:space="preserve">contribute to development outcomes and poverty reduction. </w:t>
      </w:r>
    </w:p>
    <w:p w:rsidR="00B216C7" w:rsidRDefault="00B216C7" w:rsidP="008C4089">
      <w:pPr>
        <w:pStyle w:val="Caption"/>
        <w:spacing w:before="80"/>
      </w:pPr>
      <w:r w:rsidRPr="001415F2">
        <w:t xml:space="preserve">Table </w:t>
      </w:r>
      <w:r>
        <w:t>2</w:t>
      </w:r>
      <w:r w:rsidRPr="001415F2">
        <w:t>: Approximate bilateral expenditure in Papua New Guinea</w:t>
      </w:r>
      <w:r>
        <w:t xml:space="preserve"> in 2009–10</w:t>
      </w:r>
    </w:p>
    <w:tbl>
      <w:tblPr>
        <w:tblW w:w="0" w:type="auto"/>
        <w:tblInd w:w="57" w:type="dxa"/>
        <w:tblLayout w:type="fixed"/>
        <w:tblLook w:val="0000" w:firstRow="0" w:lastRow="0" w:firstColumn="0" w:lastColumn="0" w:noHBand="0" w:noVBand="0"/>
      </w:tblPr>
      <w:tblGrid>
        <w:gridCol w:w="4928"/>
        <w:gridCol w:w="1105"/>
        <w:gridCol w:w="1904"/>
      </w:tblGrid>
      <w:tr w:rsidR="00B216C7" w:rsidRPr="005C4611" w:rsidTr="008C4089">
        <w:trPr>
          <w:cantSplit/>
          <w:tblHeader/>
        </w:trPr>
        <w:tc>
          <w:tcPr>
            <w:tcW w:w="4928" w:type="dxa"/>
            <w:tcBorders>
              <w:top w:val="single" w:sz="12" w:space="0" w:color="auto"/>
              <w:bottom w:val="single" w:sz="2" w:space="0" w:color="auto"/>
            </w:tcBorders>
            <w:shd w:val="clear" w:color="auto" w:fill="auto"/>
            <w:tcMar>
              <w:left w:w="57" w:type="dxa"/>
              <w:right w:w="57" w:type="dxa"/>
            </w:tcMar>
          </w:tcPr>
          <w:p w:rsidR="00B216C7" w:rsidRPr="005C4611" w:rsidRDefault="00B216C7" w:rsidP="00663F1C">
            <w:pPr>
              <w:pStyle w:val="TableDataColumnHeading"/>
              <w:keepNext/>
              <w:jc w:val="left"/>
            </w:pPr>
            <w:r>
              <w:t>Sector</w:t>
            </w:r>
          </w:p>
        </w:tc>
        <w:tc>
          <w:tcPr>
            <w:tcW w:w="1105" w:type="dxa"/>
            <w:tcBorders>
              <w:top w:val="single" w:sz="12" w:space="0" w:color="auto"/>
              <w:bottom w:val="single" w:sz="2" w:space="0" w:color="auto"/>
            </w:tcBorders>
            <w:shd w:val="clear" w:color="auto" w:fill="auto"/>
            <w:tcMar>
              <w:left w:w="57" w:type="dxa"/>
              <w:right w:w="57" w:type="dxa"/>
            </w:tcMar>
          </w:tcPr>
          <w:p w:rsidR="00B216C7" w:rsidRPr="005C4611" w:rsidRDefault="00B216C7" w:rsidP="00663F1C">
            <w:pPr>
              <w:pStyle w:val="TableDataColumnHeading"/>
              <w:keepNext/>
            </w:pPr>
            <w:r w:rsidRPr="005C4611">
              <w:t>$ million</w:t>
            </w:r>
          </w:p>
        </w:tc>
        <w:tc>
          <w:tcPr>
            <w:tcW w:w="1904" w:type="dxa"/>
            <w:tcBorders>
              <w:top w:val="single" w:sz="12" w:space="0" w:color="auto"/>
              <w:bottom w:val="single" w:sz="2" w:space="0" w:color="auto"/>
            </w:tcBorders>
            <w:shd w:val="clear" w:color="auto" w:fill="auto"/>
            <w:tcMar>
              <w:left w:w="57" w:type="dxa"/>
              <w:right w:w="57" w:type="dxa"/>
            </w:tcMar>
          </w:tcPr>
          <w:p w:rsidR="00B216C7" w:rsidRPr="005C4611" w:rsidRDefault="00B216C7" w:rsidP="00663F1C">
            <w:pPr>
              <w:pStyle w:val="TableDataColumnHeading"/>
              <w:keepNext/>
            </w:pPr>
            <w:r w:rsidRPr="005C4611">
              <w:t>% of bilateral program</w:t>
            </w:r>
          </w:p>
        </w:tc>
      </w:tr>
      <w:tr w:rsidR="00B216C7" w:rsidRPr="002452D0" w:rsidTr="00663F1C">
        <w:trPr>
          <w:trHeight w:val="55"/>
        </w:trPr>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Education</w:t>
            </w:r>
          </w:p>
        </w:tc>
        <w:tc>
          <w:tcPr>
            <w:tcW w:w="1105" w:type="dxa"/>
            <w:shd w:val="clear" w:color="auto" w:fill="auto"/>
            <w:tcMar>
              <w:left w:w="57" w:type="dxa"/>
              <w:right w:w="57" w:type="dxa"/>
            </w:tcMar>
            <w:vAlign w:val="bottom"/>
          </w:tcPr>
          <w:p w:rsidR="00B216C7" w:rsidRDefault="00B216C7" w:rsidP="00663F1C">
            <w:pPr>
              <w:pStyle w:val="TableDataEntries"/>
            </w:pPr>
            <w:r>
              <w:t>44.41</w:t>
            </w:r>
          </w:p>
        </w:tc>
        <w:tc>
          <w:tcPr>
            <w:tcW w:w="1904" w:type="dxa"/>
            <w:shd w:val="clear" w:color="auto" w:fill="auto"/>
            <w:tcMar>
              <w:left w:w="57" w:type="dxa"/>
              <w:right w:w="57" w:type="dxa"/>
            </w:tcMar>
            <w:vAlign w:val="bottom"/>
          </w:tcPr>
          <w:p w:rsidR="00B216C7" w:rsidRPr="002452D0" w:rsidRDefault="00B216C7" w:rsidP="00663F1C">
            <w:pPr>
              <w:pStyle w:val="TableDataEntries"/>
            </w:pPr>
            <w:r>
              <w:t>12</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HIV/AIDS</w:t>
            </w:r>
          </w:p>
        </w:tc>
        <w:tc>
          <w:tcPr>
            <w:tcW w:w="1105" w:type="dxa"/>
            <w:shd w:val="clear" w:color="auto" w:fill="auto"/>
            <w:tcMar>
              <w:left w:w="57" w:type="dxa"/>
              <w:right w:w="57" w:type="dxa"/>
            </w:tcMar>
            <w:vAlign w:val="bottom"/>
          </w:tcPr>
          <w:p w:rsidR="00B216C7" w:rsidRDefault="00B216C7" w:rsidP="00663F1C">
            <w:pPr>
              <w:pStyle w:val="TableDataEntries"/>
            </w:pPr>
            <w:r>
              <w:t>32.20</w:t>
            </w:r>
          </w:p>
        </w:tc>
        <w:tc>
          <w:tcPr>
            <w:tcW w:w="1904" w:type="dxa"/>
            <w:shd w:val="clear" w:color="auto" w:fill="auto"/>
            <w:tcMar>
              <w:left w:w="57" w:type="dxa"/>
              <w:right w:w="57" w:type="dxa"/>
            </w:tcMar>
            <w:vAlign w:val="bottom"/>
          </w:tcPr>
          <w:p w:rsidR="00B216C7" w:rsidRPr="00920620" w:rsidRDefault="00B216C7" w:rsidP="00663F1C">
            <w:pPr>
              <w:pStyle w:val="TableDataEntries"/>
            </w:pPr>
            <w:r>
              <w:t>9</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Health</w:t>
            </w:r>
          </w:p>
        </w:tc>
        <w:tc>
          <w:tcPr>
            <w:tcW w:w="1105" w:type="dxa"/>
            <w:shd w:val="clear" w:color="auto" w:fill="auto"/>
            <w:tcMar>
              <w:left w:w="57" w:type="dxa"/>
              <w:right w:w="57" w:type="dxa"/>
            </w:tcMar>
            <w:vAlign w:val="bottom"/>
          </w:tcPr>
          <w:p w:rsidR="00B216C7" w:rsidRDefault="00B216C7" w:rsidP="00663F1C">
            <w:pPr>
              <w:pStyle w:val="TableDataEntries"/>
            </w:pPr>
            <w:r>
              <w:t>36.36</w:t>
            </w:r>
          </w:p>
        </w:tc>
        <w:tc>
          <w:tcPr>
            <w:tcW w:w="1904" w:type="dxa"/>
            <w:shd w:val="clear" w:color="auto" w:fill="auto"/>
            <w:tcMar>
              <w:left w:w="57" w:type="dxa"/>
              <w:right w:w="57" w:type="dxa"/>
            </w:tcMar>
            <w:vAlign w:val="bottom"/>
          </w:tcPr>
          <w:p w:rsidR="00B216C7" w:rsidRPr="00920620" w:rsidRDefault="00B216C7" w:rsidP="00663F1C">
            <w:pPr>
              <w:pStyle w:val="TableDataEntries"/>
            </w:pPr>
            <w:r>
              <w:t>10</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 xml:space="preserve">Law </w:t>
            </w:r>
            <w:r>
              <w:t>and</w:t>
            </w:r>
            <w:r w:rsidRPr="00CD736B">
              <w:t xml:space="preserve"> justice</w:t>
            </w:r>
          </w:p>
        </w:tc>
        <w:tc>
          <w:tcPr>
            <w:tcW w:w="1105" w:type="dxa"/>
            <w:shd w:val="clear" w:color="auto" w:fill="auto"/>
            <w:tcMar>
              <w:left w:w="57" w:type="dxa"/>
              <w:right w:w="57" w:type="dxa"/>
            </w:tcMar>
            <w:vAlign w:val="bottom"/>
          </w:tcPr>
          <w:p w:rsidR="00B216C7" w:rsidRDefault="00B216C7" w:rsidP="00663F1C">
            <w:pPr>
              <w:pStyle w:val="TableDataEntries"/>
            </w:pPr>
            <w:r>
              <w:t>35.05</w:t>
            </w:r>
          </w:p>
        </w:tc>
        <w:tc>
          <w:tcPr>
            <w:tcW w:w="1904" w:type="dxa"/>
            <w:shd w:val="clear" w:color="auto" w:fill="auto"/>
            <w:tcMar>
              <w:left w:w="57" w:type="dxa"/>
              <w:right w:w="57" w:type="dxa"/>
            </w:tcMar>
            <w:vAlign w:val="bottom"/>
          </w:tcPr>
          <w:p w:rsidR="00B216C7" w:rsidRPr="00920620" w:rsidRDefault="00B216C7" w:rsidP="00663F1C">
            <w:pPr>
              <w:pStyle w:val="TableDataEntries"/>
            </w:pPr>
            <w:r>
              <w:t>10</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Transport infrastructure</w:t>
            </w:r>
          </w:p>
        </w:tc>
        <w:tc>
          <w:tcPr>
            <w:tcW w:w="1105" w:type="dxa"/>
            <w:shd w:val="clear" w:color="auto" w:fill="auto"/>
            <w:tcMar>
              <w:left w:w="57" w:type="dxa"/>
              <w:right w:w="57" w:type="dxa"/>
            </w:tcMar>
            <w:vAlign w:val="bottom"/>
          </w:tcPr>
          <w:p w:rsidR="00B216C7" w:rsidRDefault="00B216C7" w:rsidP="00663F1C">
            <w:pPr>
              <w:pStyle w:val="TableDataEntries"/>
            </w:pPr>
            <w:r>
              <w:t>54.18</w:t>
            </w:r>
          </w:p>
        </w:tc>
        <w:tc>
          <w:tcPr>
            <w:tcW w:w="1904" w:type="dxa"/>
            <w:shd w:val="clear" w:color="auto" w:fill="auto"/>
            <w:tcMar>
              <w:left w:w="57" w:type="dxa"/>
              <w:right w:w="57" w:type="dxa"/>
            </w:tcMar>
            <w:vAlign w:val="bottom"/>
          </w:tcPr>
          <w:p w:rsidR="00B216C7" w:rsidRPr="00920620" w:rsidRDefault="00B216C7" w:rsidP="00663F1C">
            <w:pPr>
              <w:pStyle w:val="TableDataEntries"/>
            </w:pPr>
            <w:r>
              <w:t>15</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Democratic governance</w:t>
            </w:r>
          </w:p>
        </w:tc>
        <w:tc>
          <w:tcPr>
            <w:tcW w:w="1105" w:type="dxa"/>
            <w:shd w:val="clear" w:color="auto" w:fill="auto"/>
            <w:tcMar>
              <w:left w:w="57" w:type="dxa"/>
              <w:right w:w="57" w:type="dxa"/>
            </w:tcMar>
            <w:vAlign w:val="bottom"/>
          </w:tcPr>
          <w:p w:rsidR="00B216C7" w:rsidRDefault="00B216C7" w:rsidP="00663F1C">
            <w:pPr>
              <w:pStyle w:val="TableDataEntries"/>
            </w:pPr>
            <w:r>
              <w:t>29.06</w:t>
            </w:r>
          </w:p>
        </w:tc>
        <w:tc>
          <w:tcPr>
            <w:tcW w:w="1904" w:type="dxa"/>
            <w:shd w:val="clear" w:color="auto" w:fill="auto"/>
            <w:tcMar>
              <w:left w:w="57" w:type="dxa"/>
              <w:right w:w="57" w:type="dxa"/>
            </w:tcMar>
            <w:vAlign w:val="bottom"/>
          </w:tcPr>
          <w:p w:rsidR="00B216C7" w:rsidRPr="00920620" w:rsidRDefault="00B216C7" w:rsidP="00663F1C">
            <w:pPr>
              <w:pStyle w:val="TableDataEntries"/>
            </w:pPr>
            <w:r>
              <w:t>8</w:t>
            </w:r>
          </w:p>
        </w:tc>
      </w:tr>
      <w:tr w:rsidR="00B216C7" w:rsidRPr="002452D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 xml:space="preserve">Economic </w:t>
            </w:r>
            <w:r>
              <w:t>and</w:t>
            </w:r>
            <w:r w:rsidRPr="00CD736B">
              <w:t xml:space="preserve"> public sector governance</w:t>
            </w:r>
          </w:p>
        </w:tc>
        <w:tc>
          <w:tcPr>
            <w:tcW w:w="1105" w:type="dxa"/>
            <w:shd w:val="clear" w:color="auto" w:fill="auto"/>
            <w:tcMar>
              <w:left w:w="57" w:type="dxa"/>
              <w:right w:w="57" w:type="dxa"/>
            </w:tcMar>
            <w:vAlign w:val="bottom"/>
          </w:tcPr>
          <w:p w:rsidR="00B216C7" w:rsidRDefault="00B216C7" w:rsidP="00663F1C">
            <w:pPr>
              <w:pStyle w:val="TableDataEntries"/>
            </w:pPr>
            <w:r>
              <w:t>54.49</w:t>
            </w:r>
          </w:p>
        </w:tc>
        <w:tc>
          <w:tcPr>
            <w:tcW w:w="1904" w:type="dxa"/>
            <w:shd w:val="clear" w:color="auto" w:fill="auto"/>
            <w:tcMar>
              <w:left w:w="57" w:type="dxa"/>
              <w:right w:w="57" w:type="dxa"/>
            </w:tcMar>
            <w:vAlign w:val="bottom"/>
          </w:tcPr>
          <w:p w:rsidR="00B216C7" w:rsidRPr="002452D0" w:rsidRDefault="00B216C7" w:rsidP="00663F1C">
            <w:pPr>
              <w:pStyle w:val="TableDataEntries"/>
            </w:pPr>
            <w:r>
              <w:t>15</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 xml:space="preserve">Tertiary partnership </w:t>
            </w:r>
            <w:r>
              <w:t>and</w:t>
            </w:r>
            <w:r w:rsidRPr="00CD736B">
              <w:t xml:space="preserve"> scholarships</w:t>
            </w:r>
          </w:p>
        </w:tc>
        <w:tc>
          <w:tcPr>
            <w:tcW w:w="1105" w:type="dxa"/>
            <w:shd w:val="clear" w:color="auto" w:fill="auto"/>
            <w:tcMar>
              <w:left w:w="57" w:type="dxa"/>
              <w:right w:w="57" w:type="dxa"/>
            </w:tcMar>
            <w:vAlign w:val="bottom"/>
          </w:tcPr>
          <w:p w:rsidR="00B216C7" w:rsidRDefault="00B216C7" w:rsidP="00663F1C">
            <w:pPr>
              <w:pStyle w:val="TableDataEntries"/>
            </w:pPr>
            <w:r>
              <w:t>18.40</w:t>
            </w:r>
          </w:p>
        </w:tc>
        <w:tc>
          <w:tcPr>
            <w:tcW w:w="1904" w:type="dxa"/>
            <w:shd w:val="clear" w:color="auto" w:fill="auto"/>
            <w:tcMar>
              <w:left w:w="57" w:type="dxa"/>
              <w:right w:w="57" w:type="dxa"/>
            </w:tcMar>
            <w:vAlign w:val="bottom"/>
          </w:tcPr>
          <w:p w:rsidR="00B216C7" w:rsidRPr="00920620" w:rsidRDefault="00B216C7" w:rsidP="00663F1C">
            <w:pPr>
              <w:pStyle w:val="TableDataEntries"/>
            </w:pPr>
            <w:r>
              <w:t>5</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Sub national</w:t>
            </w:r>
          </w:p>
        </w:tc>
        <w:tc>
          <w:tcPr>
            <w:tcW w:w="1105" w:type="dxa"/>
            <w:shd w:val="clear" w:color="auto" w:fill="auto"/>
            <w:tcMar>
              <w:left w:w="57" w:type="dxa"/>
              <w:right w:w="57" w:type="dxa"/>
            </w:tcMar>
            <w:vAlign w:val="bottom"/>
          </w:tcPr>
          <w:p w:rsidR="00B216C7" w:rsidRDefault="00B216C7" w:rsidP="00663F1C">
            <w:pPr>
              <w:pStyle w:val="TableDataEntries"/>
            </w:pPr>
            <w:r>
              <w:t>27.66</w:t>
            </w:r>
          </w:p>
        </w:tc>
        <w:tc>
          <w:tcPr>
            <w:tcW w:w="1904" w:type="dxa"/>
            <w:shd w:val="clear" w:color="auto" w:fill="auto"/>
            <w:tcMar>
              <w:left w:w="57" w:type="dxa"/>
              <w:right w:w="57" w:type="dxa"/>
            </w:tcMar>
            <w:vAlign w:val="bottom"/>
          </w:tcPr>
          <w:p w:rsidR="00B216C7" w:rsidRPr="00920620" w:rsidRDefault="00B216C7" w:rsidP="00663F1C">
            <w:pPr>
              <w:pStyle w:val="TableDataEntries"/>
            </w:pPr>
            <w:r>
              <w:t>8</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Development statistics</w:t>
            </w:r>
          </w:p>
        </w:tc>
        <w:tc>
          <w:tcPr>
            <w:tcW w:w="1105" w:type="dxa"/>
            <w:shd w:val="clear" w:color="auto" w:fill="auto"/>
            <w:tcMar>
              <w:left w:w="57" w:type="dxa"/>
              <w:right w:w="57" w:type="dxa"/>
            </w:tcMar>
            <w:vAlign w:val="bottom"/>
          </w:tcPr>
          <w:p w:rsidR="00B216C7" w:rsidRDefault="00B216C7" w:rsidP="00663F1C">
            <w:pPr>
              <w:pStyle w:val="TableDataEntries"/>
            </w:pPr>
            <w:r>
              <w:t>3.03</w:t>
            </w:r>
          </w:p>
        </w:tc>
        <w:tc>
          <w:tcPr>
            <w:tcW w:w="1904" w:type="dxa"/>
            <w:shd w:val="clear" w:color="auto" w:fill="auto"/>
            <w:tcMar>
              <w:left w:w="57" w:type="dxa"/>
              <w:right w:w="57" w:type="dxa"/>
            </w:tcMar>
            <w:vAlign w:val="bottom"/>
          </w:tcPr>
          <w:p w:rsidR="00B216C7" w:rsidRPr="00920620" w:rsidRDefault="00B216C7" w:rsidP="00663F1C">
            <w:pPr>
              <w:pStyle w:val="TableDataEntries"/>
            </w:pPr>
            <w:r>
              <w:t>1</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Disaster risk management</w:t>
            </w:r>
          </w:p>
        </w:tc>
        <w:tc>
          <w:tcPr>
            <w:tcW w:w="1105" w:type="dxa"/>
            <w:shd w:val="clear" w:color="auto" w:fill="auto"/>
            <w:tcMar>
              <w:left w:w="57" w:type="dxa"/>
              <w:right w:w="57" w:type="dxa"/>
            </w:tcMar>
            <w:vAlign w:val="bottom"/>
          </w:tcPr>
          <w:p w:rsidR="00B216C7" w:rsidRDefault="00B216C7" w:rsidP="00663F1C">
            <w:pPr>
              <w:pStyle w:val="TableDataEntries"/>
            </w:pPr>
            <w:r>
              <w:t>1.36</w:t>
            </w:r>
          </w:p>
        </w:tc>
        <w:tc>
          <w:tcPr>
            <w:tcW w:w="1904" w:type="dxa"/>
            <w:shd w:val="clear" w:color="auto" w:fill="auto"/>
            <w:tcMar>
              <w:left w:w="57" w:type="dxa"/>
              <w:right w:w="57" w:type="dxa"/>
            </w:tcMar>
            <w:vAlign w:val="bottom"/>
          </w:tcPr>
          <w:p w:rsidR="00B216C7" w:rsidRPr="00920620" w:rsidRDefault="00B216C7" w:rsidP="00663F1C">
            <w:pPr>
              <w:pStyle w:val="TableDataEntries"/>
            </w:pPr>
            <w:r>
              <w:t>0</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rsidRPr="00CD736B">
              <w:t>Rural development</w:t>
            </w:r>
          </w:p>
        </w:tc>
        <w:tc>
          <w:tcPr>
            <w:tcW w:w="1105" w:type="dxa"/>
            <w:shd w:val="clear" w:color="auto" w:fill="auto"/>
            <w:tcMar>
              <w:left w:w="57" w:type="dxa"/>
              <w:right w:w="57" w:type="dxa"/>
            </w:tcMar>
            <w:vAlign w:val="bottom"/>
          </w:tcPr>
          <w:p w:rsidR="00B216C7" w:rsidRDefault="00B216C7" w:rsidP="00663F1C">
            <w:pPr>
              <w:pStyle w:val="TableDataEntries"/>
            </w:pPr>
            <w:r>
              <w:t>15.53</w:t>
            </w:r>
          </w:p>
        </w:tc>
        <w:tc>
          <w:tcPr>
            <w:tcW w:w="1904" w:type="dxa"/>
            <w:shd w:val="clear" w:color="auto" w:fill="auto"/>
            <w:tcMar>
              <w:left w:w="57" w:type="dxa"/>
              <w:right w:w="57" w:type="dxa"/>
            </w:tcMar>
            <w:vAlign w:val="bottom"/>
          </w:tcPr>
          <w:p w:rsidR="00B216C7" w:rsidRPr="00920620" w:rsidRDefault="00B216C7" w:rsidP="00663F1C">
            <w:pPr>
              <w:pStyle w:val="TableDataEntries"/>
            </w:pPr>
            <w:r>
              <w:t>4</w:t>
            </w:r>
          </w:p>
        </w:tc>
      </w:tr>
      <w:tr w:rsidR="00B216C7" w:rsidRPr="00920620" w:rsidTr="00663F1C">
        <w:tc>
          <w:tcPr>
            <w:tcW w:w="4928" w:type="dxa"/>
            <w:shd w:val="clear" w:color="auto" w:fill="auto"/>
            <w:tcMar>
              <w:left w:w="57" w:type="dxa"/>
              <w:right w:w="57" w:type="dxa"/>
            </w:tcMar>
            <w:vAlign w:val="bottom"/>
          </w:tcPr>
          <w:p w:rsidR="00B216C7" w:rsidRPr="00CD736B" w:rsidRDefault="00B216C7" w:rsidP="00663F1C">
            <w:pPr>
              <w:pStyle w:val="TableDataEntries"/>
              <w:jc w:val="left"/>
            </w:pPr>
            <w:r>
              <w:t>Cross-</w:t>
            </w:r>
            <w:r w:rsidRPr="00CD736B">
              <w:t>sectoral</w:t>
            </w:r>
          </w:p>
        </w:tc>
        <w:tc>
          <w:tcPr>
            <w:tcW w:w="1105" w:type="dxa"/>
            <w:shd w:val="clear" w:color="auto" w:fill="auto"/>
            <w:tcMar>
              <w:left w:w="57" w:type="dxa"/>
              <w:right w:w="57" w:type="dxa"/>
            </w:tcMar>
            <w:vAlign w:val="bottom"/>
          </w:tcPr>
          <w:p w:rsidR="00B216C7" w:rsidRDefault="00B216C7" w:rsidP="00663F1C">
            <w:pPr>
              <w:pStyle w:val="TableDataEntries"/>
            </w:pPr>
            <w:r>
              <w:t>11.78</w:t>
            </w:r>
          </w:p>
        </w:tc>
        <w:tc>
          <w:tcPr>
            <w:tcW w:w="1904" w:type="dxa"/>
            <w:shd w:val="clear" w:color="auto" w:fill="auto"/>
            <w:tcMar>
              <w:left w:w="57" w:type="dxa"/>
              <w:right w:w="57" w:type="dxa"/>
            </w:tcMar>
            <w:vAlign w:val="bottom"/>
          </w:tcPr>
          <w:p w:rsidR="00B216C7" w:rsidRPr="00920620" w:rsidRDefault="00B216C7" w:rsidP="00663F1C">
            <w:pPr>
              <w:pStyle w:val="TableDataEntries"/>
            </w:pPr>
            <w:r>
              <w:t>3</w:t>
            </w:r>
          </w:p>
        </w:tc>
      </w:tr>
      <w:tr w:rsidR="00B216C7" w:rsidRPr="00F2683A" w:rsidTr="00663F1C">
        <w:tc>
          <w:tcPr>
            <w:tcW w:w="4928" w:type="dxa"/>
            <w:tcBorders>
              <w:bottom w:val="single" w:sz="12" w:space="0" w:color="auto"/>
            </w:tcBorders>
            <w:shd w:val="clear" w:color="auto" w:fill="F5F1CC"/>
            <w:tcMar>
              <w:left w:w="57" w:type="dxa"/>
              <w:right w:w="57" w:type="dxa"/>
            </w:tcMar>
            <w:vAlign w:val="bottom"/>
          </w:tcPr>
          <w:p w:rsidR="00B216C7" w:rsidRPr="00F2683A" w:rsidRDefault="00B216C7" w:rsidP="00663F1C">
            <w:pPr>
              <w:pStyle w:val="TableHeading1"/>
            </w:pPr>
            <w:r w:rsidRPr="00F2683A">
              <w:t>Total</w:t>
            </w:r>
          </w:p>
        </w:tc>
        <w:tc>
          <w:tcPr>
            <w:tcW w:w="1105" w:type="dxa"/>
            <w:tcBorders>
              <w:bottom w:val="single" w:sz="12" w:space="0" w:color="auto"/>
            </w:tcBorders>
            <w:shd w:val="clear" w:color="auto" w:fill="F5F1CC"/>
            <w:tcMar>
              <w:left w:w="57" w:type="dxa"/>
              <w:right w:w="57" w:type="dxa"/>
            </w:tcMar>
            <w:vAlign w:val="bottom"/>
          </w:tcPr>
          <w:p w:rsidR="00B216C7" w:rsidRPr="00F2683A" w:rsidRDefault="00B216C7" w:rsidP="00663F1C">
            <w:pPr>
              <w:pStyle w:val="TableHeading1"/>
              <w:jc w:val="right"/>
            </w:pPr>
            <w:r w:rsidRPr="00F2683A">
              <w:t>363</w:t>
            </w:r>
            <w:r>
              <w:t>.</w:t>
            </w:r>
            <w:r w:rsidRPr="00F2683A">
              <w:t>5</w:t>
            </w:r>
            <w:r>
              <w:t>1</w:t>
            </w:r>
          </w:p>
        </w:tc>
        <w:tc>
          <w:tcPr>
            <w:tcW w:w="1904" w:type="dxa"/>
            <w:tcBorders>
              <w:bottom w:val="single" w:sz="12" w:space="0" w:color="auto"/>
            </w:tcBorders>
            <w:shd w:val="clear" w:color="auto" w:fill="F5F1CC"/>
            <w:tcMar>
              <w:left w:w="57" w:type="dxa"/>
              <w:right w:w="57" w:type="dxa"/>
            </w:tcMar>
          </w:tcPr>
          <w:p w:rsidR="00B216C7" w:rsidRPr="00F2683A" w:rsidRDefault="00B216C7" w:rsidP="00663F1C">
            <w:pPr>
              <w:pStyle w:val="TableHeading1"/>
              <w:jc w:val="right"/>
            </w:pPr>
            <w:r>
              <w:t>100</w:t>
            </w:r>
          </w:p>
        </w:tc>
      </w:tr>
    </w:tbl>
    <w:p w:rsidR="00894452" w:rsidRDefault="003675D9" w:rsidP="007427AE">
      <w:pPr>
        <w:pStyle w:val="BodyText"/>
        <w:spacing w:before="480"/>
      </w:pPr>
      <w:r w:rsidRPr="001735DE">
        <w:t>Through the Partnership for Development</w:t>
      </w:r>
      <w:r>
        <w:t>,</w:t>
      </w:r>
      <w:r w:rsidRPr="001735DE">
        <w:t xml:space="preserve"> Australia is working with the PNG Government </w:t>
      </w:r>
      <w:r w:rsidR="00846337">
        <w:t>to achieve</w:t>
      </w:r>
      <w:r w:rsidR="00C82E8A" w:rsidRPr="001735DE">
        <w:t xml:space="preserve"> </w:t>
      </w:r>
      <w:r w:rsidR="0074178C">
        <w:t>12 objectives</w:t>
      </w:r>
      <w:r>
        <w:t>:</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Key National Roads, Ports and Airports providing access to markets and services</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Significant, measurable progress towards the achievement of universal basic education by 2015</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Improved health outcomes</w:t>
      </w:r>
    </w:p>
    <w:p w:rsid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 xml:space="preserve">An efficient and effective </w:t>
      </w:r>
      <w:r>
        <w:rPr>
          <w:sz w:val="18"/>
          <w:szCs w:val="18"/>
        </w:rPr>
        <w:t>public service</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Development policy and program formulation based on sound statistics and performance reporting</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Stabilise spread of new HIV infections by 2020 and provide effective care and treatment of those infected; and strengthened national capacity to lead, coordinate and implement the HIV response</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Improved ability to provide Law &amp; Justice services</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Increased workforce skills</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Men and women, civil society, and the state working together on issues of common (public) interest, shaping policy, allocating resources, and enabling the exercise of rights</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lastRenderedPageBreak/>
        <w:t>Sustainable and secure improvements in food supply and incomes for smallholders</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A conducive environment for enhanced private sector development</w:t>
      </w:r>
    </w:p>
    <w:p w:rsidR="00055D60" w:rsidRPr="00055D60" w:rsidRDefault="00055D60" w:rsidP="00055D60">
      <w:pPr>
        <w:pStyle w:val="BodyText"/>
        <w:numPr>
          <w:ilvl w:val="0"/>
          <w:numId w:val="21"/>
        </w:numPr>
        <w:tabs>
          <w:tab w:val="clear" w:pos="720"/>
          <w:tab w:val="num" w:pos="360"/>
        </w:tabs>
        <w:spacing w:before="0" w:after="0"/>
        <w:ind w:left="360"/>
        <w:rPr>
          <w:sz w:val="18"/>
          <w:szCs w:val="18"/>
        </w:rPr>
      </w:pPr>
      <w:r w:rsidRPr="00055D60">
        <w:rPr>
          <w:sz w:val="18"/>
          <w:szCs w:val="18"/>
        </w:rPr>
        <w:t>Addressing the causes and mitigating the impacts of climate change</w:t>
      </w:r>
    </w:p>
    <w:p w:rsidR="00F62C71" w:rsidRDefault="003675D9" w:rsidP="00AD470F">
      <w:pPr>
        <w:pStyle w:val="Heading1"/>
      </w:pPr>
      <w:bookmarkStart w:id="9" w:name="_Toc360703160"/>
      <w:r>
        <w:t>Progress towards objectives</w:t>
      </w:r>
      <w:bookmarkEnd w:id="9"/>
    </w:p>
    <w:p w:rsidR="00F62C71" w:rsidRPr="001415F2" w:rsidRDefault="00F62C71" w:rsidP="003675D9">
      <w:pPr>
        <w:pStyle w:val="Heading2"/>
        <w:spacing w:before="120"/>
      </w:pPr>
      <w:bookmarkStart w:id="10" w:name="_Toc266959813"/>
      <w:bookmarkStart w:id="11" w:name="_Toc268267514"/>
      <w:bookmarkStart w:id="12" w:name="_Toc360703161"/>
      <w:r>
        <w:t xml:space="preserve">Objective: </w:t>
      </w:r>
      <w:r w:rsidRPr="001415F2">
        <w:t>Key national roads, ports and airports providing access to markets and services</w:t>
      </w:r>
      <w:bookmarkEnd w:id="10"/>
      <w:bookmarkEnd w:id="11"/>
      <w:bookmarkEnd w:id="12"/>
    </w:p>
    <w:p w:rsidR="00F62C71" w:rsidRPr="00D7454C" w:rsidRDefault="00F62C71" w:rsidP="00526128">
      <w:pPr>
        <w:pStyle w:val="BodyText"/>
      </w:pPr>
      <w:r w:rsidRPr="00941D4B">
        <w:t>Australia achieved important results in several key</w:t>
      </w:r>
      <w:r w:rsidR="004C5A35">
        <w:t xml:space="preserve"> transport</w:t>
      </w:r>
      <w:r w:rsidRPr="00941D4B">
        <w:t xml:space="preserve"> areas, and has also helped improve governance and management within transport sector agencies. However, </w:t>
      </w:r>
      <w:r>
        <w:t>broad success in the sector was</w:t>
      </w:r>
      <w:r w:rsidRPr="00941D4B">
        <w:t xml:space="preserve"> hampered </w:t>
      </w:r>
      <w:r>
        <w:t xml:space="preserve">because the PNG </w:t>
      </w:r>
      <w:r w:rsidRPr="00074CBE">
        <w:t>Government did not allocate the necessary funding to transport priorities</w:t>
      </w:r>
      <w:r w:rsidR="00C82E8A">
        <w:t xml:space="preserve"> agreed to</w:t>
      </w:r>
      <w:r w:rsidRPr="00074CBE">
        <w:t xml:space="preserve"> under the Partnership for Development</w:t>
      </w:r>
      <w:r w:rsidR="00526128">
        <w:t>.</w:t>
      </w:r>
      <w:r w:rsidRPr="00074CBE">
        <w:t xml:space="preserve"> </w:t>
      </w:r>
      <w:r w:rsidR="00074CBE">
        <w:t>Another factor was the</w:t>
      </w:r>
      <w:r w:rsidRPr="00941D4B">
        <w:t xml:space="preserve"> constraints </w:t>
      </w:r>
      <w:r>
        <w:t>i</w:t>
      </w:r>
      <w:r w:rsidRPr="00941D4B">
        <w:t>n the</w:t>
      </w:r>
      <w:r w:rsidR="00074CBE">
        <w:t xml:space="preserve"> </w:t>
      </w:r>
      <w:r w:rsidR="00C82E8A">
        <w:t xml:space="preserve">ability </w:t>
      </w:r>
      <w:r w:rsidR="00074CBE">
        <w:t>of the</w:t>
      </w:r>
      <w:r w:rsidRPr="00941D4B">
        <w:t xml:space="preserve"> public and private sectors</w:t>
      </w:r>
      <w:r w:rsidR="00074CBE">
        <w:t xml:space="preserve"> to implement the priorities</w:t>
      </w:r>
      <w:r w:rsidR="00526128">
        <w:t xml:space="preserve">. </w:t>
      </w:r>
      <w:r w:rsidRPr="00D7454C">
        <w:t>In 2009, AusAID funding</w:t>
      </w:r>
      <w:r w:rsidR="00D5732B">
        <w:t xml:space="preserve"> was used to</w:t>
      </w:r>
      <w:r w:rsidRPr="00D7454C">
        <w:t>:</w:t>
      </w:r>
    </w:p>
    <w:p w:rsidR="00F62C71" w:rsidRPr="00D7454C" w:rsidRDefault="00F62C71" w:rsidP="00F62C71">
      <w:pPr>
        <w:pStyle w:val="ListBullet"/>
        <w:spacing w:before="0"/>
      </w:pPr>
      <w:r>
        <w:t>maintain 1</w:t>
      </w:r>
      <w:r w:rsidRPr="00D7454C">
        <w:t>694</w:t>
      </w:r>
      <w:r w:rsidR="008117A6">
        <w:t> </w:t>
      </w:r>
      <w:r w:rsidRPr="00D7454C">
        <w:t xml:space="preserve">km of priority roads through </w:t>
      </w:r>
      <w:r w:rsidR="00074CBE">
        <w:t xml:space="preserve">PNG’s </w:t>
      </w:r>
      <w:r w:rsidRPr="00D7454C">
        <w:t>D</w:t>
      </w:r>
      <w:r>
        <w:t>epartment of Works</w:t>
      </w:r>
      <w:r w:rsidRPr="00D7454C">
        <w:t xml:space="preserve"> </w:t>
      </w:r>
      <w:r>
        <w:t xml:space="preserve">and </w:t>
      </w:r>
      <w:r w:rsidRPr="00D7454C">
        <w:t>340</w:t>
      </w:r>
      <w:r w:rsidR="008117A6">
        <w:t> </w:t>
      </w:r>
      <w:r w:rsidRPr="00D7454C">
        <w:t>km of the Highlands Highway through two long</w:t>
      </w:r>
      <w:r w:rsidR="00FD360A">
        <w:t>-</w:t>
      </w:r>
      <w:r w:rsidRPr="00D7454C">
        <w:t xml:space="preserve">term road maintenance contracts </w:t>
      </w:r>
      <w:r w:rsidRPr="002D516B">
        <w:t>(</w:t>
      </w:r>
      <w:r w:rsidR="00C82E8A" w:rsidRPr="002D516B">
        <w:t xml:space="preserve">totalling </w:t>
      </w:r>
      <w:r w:rsidRPr="002D516B">
        <w:t>$28.2</w:t>
      </w:r>
      <w:r w:rsidR="008117A6" w:rsidRPr="002D516B">
        <w:t> </w:t>
      </w:r>
      <w:r w:rsidRPr="002D516B">
        <w:t>m</w:t>
      </w:r>
      <w:r w:rsidR="00FD360A" w:rsidRPr="002D516B">
        <w:t>illion</w:t>
      </w:r>
      <w:r w:rsidRPr="002D516B">
        <w:t>)</w:t>
      </w:r>
    </w:p>
    <w:p w:rsidR="00F62C71" w:rsidRPr="00B82D04" w:rsidRDefault="00C82E8A" w:rsidP="00F62C71">
      <w:pPr>
        <w:pStyle w:val="ListBullet"/>
        <w:spacing w:before="0"/>
      </w:pPr>
      <w:r>
        <w:t>buy</w:t>
      </w:r>
      <w:r w:rsidRPr="00D7454C">
        <w:t xml:space="preserve"> </w:t>
      </w:r>
      <w:r w:rsidR="00F62C71" w:rsidRPr="00D7454C">
        <w:t xml:space="preserve">equipment </w:t>
      </w:r>
      <w:r w:rsidR="00074CBE">
        <w:t>for</w:t>
      </w:r>
      <w:r>
        <w:t>,</w:t>
      </w:r>
      <w:r w:rsidR="00074CBE">
        <w:t xml:space="preserve"> </w:t>
      </w:r>
      <w:r w:rsidR="00F62C71" w:rsidRPr="00D7454C">
        <w:t>and maintain</w:t>
      </w:r>
      <w:r>
        <w:t>,</w:t>
      </w:r>
      <w:r w:rsidR="00F62C71" w:rsidRPr="00D7454C">
        <w:t xml:space="preserve"> airports through the Civil Aviation Authority and </w:t>
      </w:r>
      <w:proofErr w:type="spellStart"/>
      <w:r w:rsidR="00F62C71" w:rsidRPr="00D7454C">
        <w:t>Airservices</w:t>
      </w:r>
      <w:proofErr w:type="spellEnd"/>
      <w:r w:rsidR="00F62C71" w:rsidRPr="00D7454C">
        <w:t xml:space="preserve"> Limited to </w:t>
      </w:r>
      <w:r w:rsidR="00074CBE">
        <w:t>train</w:t>
      </w:r>
      <w:r w:rsidR="00F62C71" w:rsidRPr="00D7454C">
        <w:t xml:space="preserve"> air traffic controllers, repair the tarmac of </w:t>
      </w:r>
      <w:proofErr w:type="spellStart"/>
      <w:r w:rsidR="00F62C71" w:rsidRPr="00D7454C">
        <w:t>Girua</w:t>
      </w:r>
      <w:proofErr w:type="spellEnd"/>
      <w:r w:rsidR="008117A6">
        <w:t> </w:t>
      </w:r>
      <w:r w:rsidR="00B82D04">
        <w:t>A</w:t>
      </w:r>
      <w:r w:rsidR="00F62C71" w:rsidRPr="00D7454C">
        <w:t>irport</w:t>
      </w:r>
      <w:r>
        <w:t xml:space="preserve"> (</w:t>
      </w:r>
      <w:r w:rsidR="00FE3FC6">
        <w:t>servic</w:t>
      </w:r>
      <w:r>
        <w:t xml:space="preserve">ing </w:t>
      </w:r>
      <w:proofErr w:type="spellStart"/>
      <w:r w:rsidR="00846337">
        <w:t>Popondetta</w:t>
      </w:r>
      <w:proofErr w:type="spellEnd"/>
      <w:r>
        <w:t>)</w:t>
      </w:r>
      <w:r w:rsidR="00F62C71" w:rsidRPr="00D7454C">
        <w:t xml:space="preserve"> and develop a </w:t>
      </w:r>
      <w:proofErr w:type="spellStart"/>
      <w:r w:rsidR="00F62C71" w:rsidRPr="00D7454C">
        <w:t>masterplan</w:t>
      </w:r>
      <w:proofErr w:type="spellEnd"/>
      <w:r w:rsidR="00F62C71" w:rsidRPr="00D7454C">
        <w:t xml:space="preserve"> for Jackson Airport</w:t>
      </w:r>
      <w:r w:rsidR="00F62C71">
        <w:t xml:space="preserve"> i</w:t>
      </w:r>
      <w:r w:rsidR="00F62C71" w:rsidRPr="00B82D04">
        <w:t>n Port</w:t>
      </w:r>
      <w:r w:rsidR="008117A6" w:rsidRPr="00B82D04">
        <w:t> </w:t>
      </w:r>
      <w:r w:rsidR="00F62C71" w:rsidRPr="00B82D04">
        <w:t>Moresby ($1.45</w:t>
      </w:r>
      <w:r w:rsidR="008117A6" w:rsidRPr="00B82D04">
        <w:t> </w:t>
      </w:r>
      <w:r w:rsidR="00F62C71" w:rsidRPr="00B82D04">
        <w:t>m</w:t>
      </w:r>
      <w:r w:rsidR="00FD360A" w:rsidRPr="00B82D04">
        <w:t>illion</w:t>
      </w:r>
      <w:r w:rsidR="00F62C71" w:rsidRPr="00B82D04">
        <w:t>)</w:t>
      </w:r>
    </w:p>
    <w:p w:rsidR="00F62C71" w:rsidRPr="00D7454C" w:rsidRDefault="00F62C71" w:rsidP="00F62C71">
      <w:pPr>
        <w:pStyle w:val="ListBullet"/>
        <w:spacing w:before="0"/>
      </w:pPr>
      <w:proofErr w:type="gramStart"/>
      <w:r w:rsidRPr="00B82D04">
        <w:t>refurbish</w:t>
      </w:r>
      <w:proofErr w:type="gramEnd"/>
      <w:r w:rsidRPr="00B82D04">
        <w:t xml:space="preserve"> </w:t>
      </w:r>
      <w:proofErr w:type="spellStart"/>
      <w:r w:rsidRPr="00B82D04">
        <w:t>Buka</w:t>
      </w:r>
      <w:proofErr w:type="spellEnd"/>
      <w:r w:rsidRPr="00B82D04">
        <w:t xml:space="preserve"> Wharf</w:t>
      </w:r>
      <w:r w:rsidR="00B82D04" w:rsidRPr="00B82D04">
        <w:t>, on</w:t>
      </w:r>
      <w:r w:rsidR="00B82D04">
        <w:t xml:space="preserve"> </w:t>
      </w:r>
      <w:proofErr w:type="spellStart"/>
      <w:r w:rsidR="00B82D04">
        <w:t>Buka</w:t>
      </w:r>
      <w:proofErr w:type="spellEnd"/>
      <w:r w:rsidR="00B82D04">
        <w:t xml:space="preserve"> Island, Bougainville </w:t>
      </w:r>
      <w:r w:rsidRPr="00D7454C">
        <w:t>($1.4</w:t>
      </w:r>
      <w:r w:rsidR="008117A6">
        <w:t> </w:t>
      </w:r>
      <w:r w:rsidRPr="00D7454C">
        <w:t>m</w:t>
      </w:r>
      <w:r w:rsidR="00FD360A">
        <w:t>illion</w:t>
      </w:r>
      <w:r w:rsidRPr="00D7454C">
        <w:t xml:space="preserve">) and </w:t>
      </w:r>
      <w:r>
        <w:t>m</w:t>
      </w:r>
      <w:r w:rsidRPr="00D7454C">
        <w:t>aintain around 416</w:t>
      </w:r>
      <w:r w:rsidR="008117A6">
        <w:t> </w:t>
      </w:r>
      <w:r w:rsidRPr="00D7454C">
        <w:t>km of the Bougainville trunk road ($4.68</w:t>
      </w:r>
      <w:r w:rsidR="008117A6">
        <w:t> </w:t>
      </w:r>
      <w:r w:rsidRPr="00D7454C">
        <w:t>m</w:t>
      </w:r>
      <w:r w:rsidR="00FD360A">
        <w:t>illion</w:t>
      </w:r>
      <w:r w:rsidRPr="00D7454C">
        <w:t xml:space="preserve">). </w:t>
      </w:r>
    </w:p>
    <w:p w:rsidR="00F62C71" w:rsidRPr="00D7454C" w:rsidRDefault="00F62C71" w:rsidP="00F62C71">
      <w:pPr>
        <w:pStyle w:val="BodyText"/>
      </w:pPr>
      <w:r w:rsidRPr="00D7454C">
        <w:t xml:space="preserve">The </w:t>
      </w:r>
      <w:r w:rsidR="00FE3FC6">
        <w:t>condition</w:t>
      </w:r>
      <w:r w:rsidR="00FE3FC6" w:rsidRPr="00D7454C">
        <w:t xml:space="preserve"> </w:t>
      </w:r>
      <w:r w:rsidRPr="00D7454C">
        <w:t>of national road</w:t>
      </w:r>
      <w:r w:rsidR="00FE3FC6">
        <w:t>s</w:t>
      </w:r>
      <w:r w:rsidR="00846337">
        <w:t xml:space="preserve"> in 2009 was </w:t>
      </w:r>
      <w:r w:rsidRPr="00D7454C">
        <w:t>39% good, 40% fair and 21% poor</w:t>
      </w:r>
      <w:r w:rsidR="00FE3FC6">
        <w:t xml:space="preserve">, an improvement </w:t>
      </w:r>
      <w:r w:rsidR="00501B0E">
        <w:t>over the</w:t>
      </w:r>
      <w:r w:rsidRPr="00D7454C">
        <w:t xml:space="preserve"> 2006 </w:t>
      </w:r>
      <w:r>
        <w:t>figures of</w:t>
      </w:r>
      <w:r w:rsidRPr="00D7454C">
        <w:t xml:space="preserve"> 32.7%</w:t>
      </w:r>
      <w:r>
        <w:t xml:space="preserve"> </w:t>
      </w:r>
      <w:r w:rsidRPr="00D7454C">
        <w:t>good, 29.9%</w:t>
      </w:r>
      <w:r w:rsidRPr="00DF63F2">
        <w:t xml:space="preserve"> </w:t>
      </w:r>
      <w:r w:rsidRPr="00D7454C">
        <w:t>fair and 36.6%</w:t>
      </w:r>
      <w:r w:rsidRPr="00DF63F2">
        <w:t xml:space="preserve"> </w:t>
      </w:r>
      <w:r w:rsidRPr="00D7454C">
        <w:t>poor.</w:t>
      </w:r>
      <w:r>
        <w:t xml:space="preserve"> </w:t>
      </w:r>
    </w:p>
    <w:p w:rsidR="00F62C71" w:rsidRPr="00D7454C" w:rsidRDefault="00F62C71" w:rsidP="00F62C71">
      <w:pPr>
        <w:pStyle w:val="BodyText"/>
      </w:pPr>
      <w:r w:rsidRPr="00D7454C">
        <w:t>Program support has also improved the</w:t>
      </w:r>
      <w:r w:rsidR="00F47124">
        <w:t xml:space="preserve"> transport</w:t>
      </w:r>
      <w:r w:rsidRPr="00D7454C">
        <w:t xml:space="preserve"> sector’s </w:t>
      </w:r>
      <w:r w:rsidR="00F47124">
        <w:t>ability</w:t>
      </w:r>
      <w:r w:rsidR="00F47124" w:rsidRPr="00D7454C">
        <w:t xml:space="preserve"> </w:t>
      </w:r>
      <w:r w:rsidRPr="00D7454C">
        <w:t>to meet</w:t>
      </w:r>
      <w:r w:rsidR="008117A6">
        <w:t xml:space="preserve"> the</w:t>
      </w:r>
      <w:r w:rsidRPr="00D7454C">
        <w:t xml:space="preserve"> international transport security standards set by the International Civil Aviation Organisation and International Maritime Organisation</w:t>
      </w:r>
      <w:r w:rsidR="00FE3FC6">
        <w:t>. A</w:t>
      </w:r>
      <w:r w:rsidRPr="00D7454C">
        <w:t xml:space="preserve">ll maritime ports were security audited in 2009 and </w:t>
      </w:r>
      <w:r>
        <w:t>12</w:t>
      </w:r>
      <w:r w:rsidR="00F47124">
        <w:t> </w:t>
      </w:r>
      <w:r w:rsidRPr="00D7454C">
        <w:t>of the nation’s 22</w:t>
      </w:r>
      <w:r w:rsidR="008117A6">
        <w:t> </w:t>
      </w:r>
      <w:r w:rsidR="00F47124" w:rsidRPr="00D7454C">
        <w:t>airports</w:t>
      </w:r>
      <w:r w:rsidR="00F47124">
        <w:t xml:space="preserve"> now meet</w:t>
      </w:r>
      <w:r w:rsidRPr="00D7454C">
        <w:t xml:space="preserve"> airport safety certification requirements.</w:t>
      </w:r>
    </w:p>
    <w:p w:rsidR="00F62C71" w:rsidRDefault="00F62C71" w:rsidP="00F62C71">
      <w:pPr>
        <w:pStyle w:val="BodyText"/>
      </w:pPr>
      <w:r w:rsidRPr="00D7454C">
        <w:t xml:space="preserve">In 2009, only </w:t>
      </w:r>
      <w:r>
        <w:t>58% of</w:t>
      </w:r>
      <w:r w:rsidRPr="00D7454C">
        <w:t xml:space="preserve"> </w:t>
      </w:r>
      <w:r>
        <w:t xml:space="preserve">allocated </w:t>
      </w:r>
      <w:r w:rsidRPr="00D7454C">
        <w:t xml:space="preserve">program funding was spent on </w:t>
      </w:r>
      <w:r w:rsidR="008117A6">
        <w:t>maintaining a</w:t>
      </w:r>
      <w:r w:rsidRPr="00D7454C">
        <w:t>sset</w:t>
      </w:r>
      <w:r w:rsidR="008117A6">
        <w:t>s</w:t>
      </w:r>
      <w:r w:rsidRPr="00D7454C">
        <w:t xml:space="preserve">. Limiting factors were delays in finalising the Department of Works annual work plan; the late release </w:t>
      </w:r>
      <w:r>
        <w:t xml:space="preserve">of warrants, </w:t>
      </w:r>
      <w:r w:rsidRPr="00D7454C">
        <w:t xml:space="preserve">the </w:t>
      </w:r>
      <w:r w:rsidR="001C7011">
        <w:t>authorisation</w:t>
      </w:r>
      <w:r w:rsidR="001C7011" w:rsidRPr="00D7454C">
        <w:t xml:space="preserve"> </w:t>
      </w:r>
      <w:r w:rsidRPr="00D7454C">
        <w:t xml:space="preserve">for making allocated </w:t>
      </w:r>
      <w:r>
        <w:t>funds available for expenditure</w:t>
      </w:r>
      <w:r w:rsidRPr="00D7454C">
        <w:t xml:space="preserve"> by the Department of National Planning and Monitoring; delays in </w:t>
      </w:r>
      <w:r w:rsidR="008117A6">
        <w:t>preparing</w:t>
      </w:r>
      <w:r w:rsidRPr="00D7454C">
        <w:t xml:space="preserve"> and processing tender documentation by </w:t>
      </w:r>
      <w:r w:rsidR="008117A6">
        <w:t xml:space="preserve">the </w:t>
      </w:r>
      <w:r w:rsidRPr="00D7454C">
        <w:t>Department of Works and Project Management Committee; the ongoing poor performance of construction contractors</w:t>
      </w:r>
      <w:r>
        <w:t>; and</w:t>
      </w:r>
      <w:r w:rsidR="00FE3FC6">
        <w:t xml:space="preserve"> the</w:t>
      </w:r>
      <w:r>
        <w:t xml:space="preserve"> large overrun on contract periods</w:t>
      </w:r>
      <w:r w:rsidRPr="00D7454C">
        <w:t>.</w:t>
      </w:r>
      <w:r>
        <w:t xml:space="preserve"> </w:t>
      </w:r>
    </w:p>
    <w:p w:rsidR="00F62C71" w:rsidRDefault="00F62C71" w:rsidP="003675D9">
      <w:pPr>
        <w:pStyle w:val="Heading2"/>
      </w:pPr>
      <w:bookmarkStart w:id="13" w:name="_Toc266959814"/>
      <w:bookmarkStart w:id="14" w:name="_Toc268267515"/>
      <w:bookmarkStart w:id="15" w:name="_Toc360703162"/>
      <w:r>
        <w:t xml:space="preserve">Objective: </w:t>
      </w:r>
      <w:r w:rsidRPr="009223E0">
        <w:t>Significant, measurable progress towards the achievement of universal basic education</w:t>
      </w:r>
      <w:bookmarkEnd w:id="13"/>
      <w:bookmarkEnd w:id="14"/>
      <w:bookmarkEnd w:id="15"/>
    </w:p>
    <w:p w:rsidR="00F62C71" w:rsidRDefault="00F62C71" w:rsidP="00F62C71">
      <w:pPr>
        <w:pStyle w:val="BodyText"/>
      </w:pPr>
      <w:r>
        <w:t xml:space="preserve">While PNG </w:t>
      </w:r>
      <w:r w:rsidRPr="008B5C32">
        <w:t>will not</w:t>
      </w:r>
      <w:r>
        <w:t xml:space="preserve"> achieve its education</w:t>
      </w:r>
      <w:r w:rsidR="008117A6">
        <w:t>-</w:t>
      </w:r>
      <w:r>
        <w:t>related</w:t>
      </w:r>
      <w:r w:rsidRPr="008B5C32">
        <w:t xml:space="preserve"> M</w:t>
      </w:r>
      <w:r w:rsidR="008117A6">
        <w:t>DG</w:t>
      </w:r>
      <w:r>
        <w:t xml:space="preserve"> target</w:t>
      </w:r>
      <w:r w:rsidRPr="008B5C32">
        <w:t>s by 2015</w:t>
      </w:r>
      <w:r>
        <w:t>, with Australian support it</w:t>
      </w:r>
      <w:r w:rsidRPr="008B5C32">
        <w:t xml:space="preserve"> has made strong progress </w:t>
      </w:r>
      <w:r>
        <w:t>over the past</w:t>
      </w:r>
      <w:r w:rsidRPr="008B5C32">
        <w:t xml:space="preserve"> three years towards </w:t>
      </w:r>
      <w:r>
        <w:t>u</w:t>
      </w:r>
      <w:r w:rsidRPr="008B5C32">
        <w:t xml:space="preserve">niversal </w:t>
      </w:r>
      <w:r>
        <w:t>b</w:t>
      </w:r>
      <w:r w:rsidRPr="008B5C32">
        <w:t xml:space="preserve">asic </w:t>
      </w:r>
      <w:r>
        <w:t>e</w:t>
      </w:r>
      <w:r w:rsidRPr="008B5C32">
        <w:t xml:space="preserve">ducation. </w:t>
      </w:r>
      <w:r>
        <w:t>For example, t</w:t>
      </w:r>
      <w:r w:rsidRPr="008B5C32">
        <w:t xml:space="preserve">he net </w:t>
      </w:r>
      <w:r w:rsidRPr="000D2EBF">
        <w:t>admission rate</w:t>
      </w:r>
      <w:r w:rsidR="00D779E3">
        <w:rPr>
          <w:rStyle w:val="FootnoteReference"/>
        </w:rPr>
        <w:footnoteReference w:id="5"/>
      </w:r>
      <w:r w:rsidRPr="008B5C32">
        <w:t xml:space="preserve"> increased every year since 2006, both for boys </w:t>
      </w:r>
      <w:r w:rsidRPr="008B5C32">
        <w:lastRenderedPageBreak/>
        <w:t>and girls, from 11.5% in 2007 to 23.9% in 2009. Similarly, the net enrolment rate</w:t>
      </w:r>
      <w:r w:rsidR="000D2EBF">
        <w:rPr>
          <w:rStyle w:val="FootnoteReference"/>
        </w:rPr>
        <w:t xml:space="preserve"> </w:t>
      </w:r>
      <w:r w:rsidR="000D2EBF">
        <w:t xml:space="preserve"> </w:t>
      </w:r>
      <w:r w:rsidRPr="008B5C32">
        <w:t>increas</w:t>
      </w:r>
      <w:r w:rsidR="00A016B0">
        <w:t>ed</w:t>
      </w:r>
      <w:r w:rsidRPr="008B5C32">
        <w:t xml:space="preserve"> steadily from 52.9% in 2007 to 63.6% in 2009. The increase in enrolment meant that</w:t>
      </w:r>
      <w:r w:rsidR="00A016B0">
        <w:t xml:space="preserve">, </w:t>
      </w:r>
      <w:r w:rsidRPr="008B5C32">
        <w:t>in 2009, there were 1</w:t>
      </w:r>
      <w:r w:rsidR="00D462F2">
        <w:t> </w:t>
      </w:r>
      <w:r w:rsidRPr="008B5C32">
        <w:t>272</w:t>
      </w:r>
      <w:r w:rsidR="00D462F2">
        <w:t> </w:t>
      </w:r>
      <w:r w:rsidRPr="008B5C32">
        <w:t>559 students in elementary and primary schools compared to 973</w:t>
      </w:r>
      <w:r w:rsidR="00D462F2">
        <w:t> </w:t>
      </w:r>
      <w:r w:rsidRPr="008B5C32">
        <w:t>822 in 2006, an average increase of 9.2%</w:t>
      </w:r>
      <w:r w:rsidR="00FE3FC6">
        <w:t xml:space="preserve"> for each of the three years</w:t>
      </w:r>
      <w:r w:rsidRPr="008B5C32">
        <w:t xml:space="preserve">. Retention also steadily increased. While 41.5% of enrolled students completed grade 8 in 2006, 56.9% completed it </w:t>
      </w:r>
      <w:r w:rsidR="00153818">
        <w:br/>
      </w:r>
      <w:r w:rsidRPr="008B5C32">
        <w:t>in 2009</w:t>
      </w:r>
      <w:r>
        <w:t>.</w:t>
      </w:r>
    </w:p>
    <w:p w:rsidR="00F62C71" w:rsidRPr="009223E0" w:rsidRDefault="00F62C71" w:rsidP="00F62C71">
      <w:pPr>
        <w:pStyle w:val="BodyText"/>
      </w:pPr>
      <w:r w:rsidRPr="009223E0">
        <w:t xml:space="preserve">Specific </w:t>
      </w:r>
      <w:r w:rsidR="008117A6">
        <w:t xml:space="preserve">program </w:t>
      </w:r>
      <w:r w:rsidRPr="009223E0">
        <w:t>achievements</w:t>
      </w:r>
      <w:r w:rsidR="008117A6">
        <w:t xml:space="preserve"> </w:t>
      </w:r>
      <w:r w:rsidRPr="009223E0">
        <w:t>include:</w:t>
      </w:r>
    </w:p>
    <w:p w:rsidR="00153818" w:rsidRDefault="00153818" w:rsidP="00F62C71">
      <w:pPr>
        <w:pStyle w:val="ListBullet"/>
        <w:spacing w:before="0"/>
      </w:pPr>
      <w:r>
        <w:t>b</w:t>
      </w:r>
      <w:r w:rsidR="008117A6">
        <w:t>uilding</w:t>
      </w:r>
      <w:r w:rsidR="00F62C71" w:rsidRPr="009223E0">
        <w:t xml:space="preserve"> 176</w:t>
      </w:r>
      <w:r w:rsidR="008117A6">
        <w:t> </w:t>
      </w:r>
      <w:r w:rsidR="00F62C71" w:rsidRPr="009223E0">
        <w:t>double classrooms, 47</w:t>
      </w:r>
      <w:r w:rsidR="008117A6">
        <w:t> </w:t>
      </w:r>
      <w:r w:rsidR="00F62C71" w:rsidRPr="009223E0">
        <w:t>teacher houses and 13</w:t>
      </w:r>
      <w:r w:rsidR="008117A6">
        <w:t> </w:t>
      </w:r>
      <w:r w:rsidR="00F62C71" w:rsidRPr="009223E0">
        <w:t xml:space="preserve">other buildings </w:t>
      </w:r>
      <w:r>
        <w:br/>
      </w:r>
      <w:r w:rsidR="008117A6">
        <w:t>(</w:t>
      </w:r>
      <w:r w:rsidR="00F62C71" w:rsidRPr="009223E0">
        <w:t>such as librar</w:t>
      </w:r>
      <w:r w:rsidR="003F2191">
        <w:t>ies</w:t>
      </w:r>
      <w:r w:rsidR="00F62C71" w:rsidRPr="009223E0">
        <w:t>, administration</w:t>
      </w:r>
      <w:r>
        <w:t xml:space="preserve"> and</w:t>
      </w:r>
      <w:r w:rsidR="00F62C71" w:rsidRPr="009223E0">
        <w:t xml:space="preserve"> toilets</w:t>
      </w:r>
      <w:r w:rsidR="008117A6">
        <w:t>)</w:t>
      </w:r>
      <w:r w:rsidR="00F62C71" w:rsidRPr="009223E0">
        <w:t xml:space="preserve"> in 229</w:t>
      </w:r>
      <w:r w:rsidR="008117A6">
        <w:t> </w:t>
      </w:r>
      <w:r w:rsidR="00F62C71" w:rsidRPr="009223E0">
        <w:t>schools</w:t>
      </w:r>
    </w:p>
    <w:p w:rsidR="00F62C71" w:rsidRPr="009223E0" w:rsidRDefault="00153818" w:rsidP="00F62C71">
      <w:pPr>
        <w:pStyle w:val="ListBullet"/>
        <w:spacing w:before="0"/>
      </w:pPr>
      <w:r>
        <w:t>providing</w:t>
      </w:r>
      <w:r w:rsidR="00F62C71" w:rsidRPr="009223E0">
        <w:t xml:space="preserve"> maintenance grants to 189</w:t>
      </w:r>
      <w:r w:rsidR="008117A6">
        <w:t> </w:t>
      </w:r>
      <w:r w:rsidR="00F62C71" w:rsidRPr="009223E0">
        <w:t xml:space="preserve">schools for small rehabilitation works </w:t>
      </w:r>
    </w:p>
    <w:p w:rsidR="00F62C71" w:rsidRPr="009223E0" w:rsidRDefault="00153818" w:rsidP="00F62C71">
      <w:pPr>
        <w:pStyle w:val="ListBullet"/>
        <w:spacing w:before="0"/>
      </w:pPr>
      <w:r>
        <w:t>p</w:t>
      </w:r>
      <w:r w:rsidR="00F62C71" w:rsidRPr="009223E0">
        <w:t>rocur</w:t>
      </w:r>
      <w:r w:rsidR="008117A6">
        <w:t>ing</w:t>
      </w:r>
      <w:r w:rsidR="00F62C71" w:rsidRPr="009223E0">
        <w:t xml:space="preserve"> </w:t>
      </w:r>
      <w:r w:rsidR="00F62C71">
        <w:t>and distributin</w:t>
      </w:r>
      <w:r w:rsidR="008117A6">
        <w:t>g</w:t>
      </w:r>
      <w:r w:rsidR="00F62C71" w:rsidRPr="009223E0">
        <w:t xml:space="preserve"> 539</w:t>
      </w:r>
      <w:r w:rsidR="00007034">
        <w:t> </w:t>
      </w:r>
      <w:r w:rsidR="00F62C71" w:rsidRPr="009223E0">
        <w:t>000 textbooks for basic education</w:t>
      </w:r>
      <w:r w:rsidR="00F62C71">
        <w:t>; p</w:t>
      </w:r>
      <w:r w:rsidR="00F62C71" w:rsidRPr="009223E0">
        <w:t>roducin</w:t>
      </w:r>
      <w:r w:rsidR="00F83320">
        <w:t>g</w:t>
      </w:r>
      <w:r w:rsidR="00F62C71" w:rsidRPr="009223E0">
        <w:t>, printing and distributin</w:t>
      </w:r>
      <w:r w:rsidR="00F83320">
        <w:t>g</w:t>
      </w:r>
      <w:r w:rsidR="00F62C71" w:rsidRPr="009223E0">
        <w:t xml:space="preserve"> 5000 sets </w:t>
      </w:r>
      <w:r w:rsidR="00F62C71" w:rsidRPr="00735A94">
        <w:t>of school</w:t>
      </w:r>
      <w:r>
        <w:t> </w:t>
      </w:r>
      <w:r w:rsidR="00F62C71" w:rsidRPr="00735A94">
        <w:t>management booklets and</w:t>
      </w:r>
      <w:r w:rsidR="00F62C71" w:rsidRPr="009223E0">
        <w:t xml:space="preserve"> the National Infrastructure Guidelines</w:t>
      </w:r>
      <w:r w:rsidR="00D5678C">
        <w:t xml:space="preserve"> for school management</w:t>
      </w:r>
      <w:r w:rsidR="00F62C71" w:rsidRPr="009223E0">
        <w:t>;</w:t>
      </w:r>
      <w:r w:rsidR="00F62C71">
        <w:t xml:space="preserve"> and p</w:t>
      </w:r>
      <w:r w:rsidR="00F62C71" w:rsidRPr="009223E0">
        <w:t>rinting and distributi</w:t>
      </w:r>
      <w:r w:rsidR="00F83320">
        <w:t>ng</w:t>
      </w:r>
      <w:r w:rsidR="00F62C71" w:rsidRPr="009223E0">
        <w:t xml:space="preserve"> 180</w:t>
      </w:r>
      <w:r w:rsidR="00751E0F">
        <w:t> </w:t>
      </w:r>
      <w:r w:rsidR="00F62C71" w:rsidRPr="009223E0">
        <w:t>000 HIV/AID</w:t>
      </w:r>
      <w:r w:rsidR="00F62C71">
        <w:t>S</w:t>
      </w:r>
      <w:r w:rsidR="00F62C71" w:rsidRPr="009223E0">
        <w:t xml:space="preserve"> booklets </w:t>
      </w:r>
      <w:r w:rsidR="00D5678C">
        <w:t>for</w:t>
      </w:r>
      <w:r w:rsidR="00D5678C" w:rsidRPr="009223E0">
        <w:t xml:space="preserve"> </w:t>
      </w:r>
      <w:r w:rsidR="00F62C71" w:rsidRPr="009223E0">
        <w:t>schools and provinces</w:t>
      </w:r>
    </w:p>
    <w:p w:rsidR="00153818" w:rsidRDefault="00153818" w:rsidP="00F62C71">
      <w:pPr>
        <w:pStyle w:val="ListBullet"/>
        <w:spacing w:before="0"/>
      </w:pPr>
      <w:r>
        <w:t>b</w:t>
      </w:r>
      <w:r w:rsidR="00F83320">
        <w:t>uilding</w:t>
      </w:r>
      <w:r w:rsidR="00F62C71" w:rsidRPr="009223E0">
        <w:t xml:space="preserve"> facilities </w:t>
      </w:r>
      <w:r w:rsidR="00F62C71">
        <w:t>to</w:t>
      </w:r>
      <w:r w:rsidR="00F62C71" w:rsidRPr="009223E0">
        <w:t xml:space="preserve"> expan</w:t>
      </w:r>
      <w:r w:rsidR="00F62C71">
        <w:t>d</w:t>
      </w:r>
      <w:r w:rsidR="00F62C71" w:rsidRPr="009223E0">
        <w:t xml:space="preserve"> </w:t>
      </w:r>
      <w:r w:rsidR="00F62C71">
        <w:t>the</w:t>
      </w:r>
      <w:r w:rsidR="00F62C71" w:rsidRPr="009223E0">
        <w:t xml:space="preserve"> PNG Education Institute in Port</w:t>
      </w:r>
      <w:r w:rsidR="00597E07">
        <w:t> </w:t>
      </w:r>
      <w:r w:rsidR="00F62C71" w:rsidRPr="009223E0">
        <w:t>Moresby</w:t>
      </w:r>
    </w:p>
    <w:p w:rsidR="00F62C71" w:rsidRPr="009223E0" w:rsidRDefault="00153818" w:rsidP="00F62C71">
      <w:pPr>
        <w:pStyle w:val="ListBullet"/>
        <w:spacing w:before="0"/>
      </w:pPr>
      <w:proofErr w:type="gramStart"/>
      <w:r>
        <w:t>i</w:t>
      </w:r>
      <w:r w:rsidR="00F62C71" w:rsidRPr="009223E0">
        <w:t>ntroducing</w:t>
      </w:r>
      <w:proofErr w:type="gramEnd"/>
      <w:r w:rsidR="00F62C71" w:rsidRPr="009223E0">
        <w:t xml:space="preserve"> a new residential course for 300</w:t>
      </w:r>
      <w:r w:rsidR="00F83320">
        <w:t> </w:t>
      </w:r>
      <w:r w:rsidR="00F62C71" w:rsidRPr="009223E0">
        <w:t>elementary school teachers;</w:t>
      </w:r>
      <w:r w:rsidR="00F62C71">
        <w:t xml:space="preserve"> and p</w:t>
      </w:r>
      <w:r w:rsidR="00F62C71" w:rsidRPr="009223E0">
        <w:t>rovi</w:t>
      </w:r>
      <w:r w:rsidR="00F83320">
        <w:t>ding</w:t>
      </w:r>
      <w:r w:rsidR="00F62C71" w:rsidRPr="009223E0">
        <w:t xml:space="preserve"> in-service teacher training to 33</w:t>
      </w:r>
      <w:r w:rsidR="00007034">
        <w:t> </w:t>
      </w:r>
      <w:r w:rsidR="00F62C71" w:rsidRPr="009223E0">
        <w:t>000 teachers, including</w:t>
      </w:r>
      <w:r w:rsidR="008F1B4B">
        <w:t xml:space="preserve"> </w:t>
      </w:r>
      <w:r w:rsidR="00F83320">
        <w:t>producing</w:t>
      </w:r>
      <w:r w:rsidR="00F62C71">
        <w:t xml:space="preserve"> training manuals.</w:t>
      </w:r>
    </w:p>
    <w:p w:rsidR="00F62C71" w:rsidRDefault="00F62C71" w:rsidP="00AD470F">
      <w:pPr>
        <w:pStyle w:val="Heading2"/>
      </w:pPr>
      <w:bookmarkStart w:id="16" w:name="_Toc266959815"/>
      <w:bookmarkStart w:id="17" w:name="_Toc268267516"/>
      <w:bookmarkStart w:id="18" w:name="_Toc360703163"/>
      <w:r>
        <w:t xml:space="preserve">Objective: </w:t>
      </w:r>
      <w:r w:rsidRPr="00623273">
        <w:t>Improved health outcomes</w:t>
      </w:r>
      <w:bookmarkEnd w:id="16"/>
      <w:bookmarkEnd w:id="17"/>
      <w:bookmarkEnd w:id="18"/>
    </w:p>
    <w:p w:rsidR="00F62C71" w:rsidRPr="00941D4B" w:rsidRDefault="00F62C71" w:rsidP="00F62C71">
      <w:pPr>
        <w:pStyle w:val="BodyText"/>
        <w:rPr>
          <w:iCs/>
        </w:rPr>
      </w:pPr>
      <w:r w:rsidRPr="00941D4B">
        <w:rPr>
          <w:iCs/>
        </w:rPr>
        <w:t>Overall, the health sector remains bleak. The PNG Government is not adequately funding the sector</w:t>
      </w:r>
      <w:r w:rsidR="004A199D">
        <w:rPr>
          <w:iCs/>
        </w:rPr>
        <w:t xml:space="preserve"> or</w:t>
      </w:r>
      <w:r w:rsidRPr="00941D4B">
        <w:rPr>
          <w:iCs/>
        </w:rPr>
        <w:t xml:space="preserve"> implement</w:t>
      </w:r>
      <w:r w:rsidR="00F83320">
        <w:rPr>
          <w:iCs/>
        </w:rPr>
        <w:t>ing</w:t>
      </w:r>
      <w:r w:rsidRPr="00941D4B">
        <w:rPr>
          <w:iCs/>
        </w:rPr>
        <w:t xml:space="preserve"> key accountability measures to improve </w:t>
      </w:r>
      <w:r w:rsidR="00F83320">
        <w:rPr>
          <w:iCs/>
        </w:rPr>
        <w:t>how</w:t>
      </w:r>
      <w:r w:rsidRPr="00941D4B">
        <w:rPr>
          <w:iCs/>
        </w:rPr>
        <w:t xml:space="preserve"> health funds</w:t>
      </w:r>
      <w:r w:rsidR="00F83320">
        <w:rPr>
          <w:iCs/>
        </w:rPr>
        <w:t xml:space="preserve"> are used</w:t>
      </w:r>
      <w:r w:rsidRPr="00941D4B">
        <w:rPr>
          <w:iCs/>
        </w:rPr>
        <w:t xml:space="preserve">. While there have been improvements in some areas, access to health services </w:t>
      </w:r>
      <w:r w:rsidR="00F83320">
        <w:rPr>
          <w:iCs/>
        </w:rPr>
        <w:t>remains</w:t>
      </w:r>
      <w:r w:rsidR="00F83320" w:rsidRPr="00941D4B">
        <w:rPr>
          <w:iCs/>
        </w:rPr>
        <w:t xml:space="preserve"> </w:t>
      </w:r>
      <w:r w:rsidRPr="00941D4B">
        <w:rPr>
          <w:iCs/>
        </w:rPr>
        <w:t xml:space="preserve">extremely limited and health outcomes for women continue to be a serious concern. </w:t>
      </w:r>
    </w:p>
    <w:p w:rsidR="00F62C71" w:rsidRPr="00623273" w:rsidRDefault="00F62C71" w:rsidP="00F62C71">
      <w:pPr>
        <w:pStyle w:val="BodyText"/>
      </w:pPr>
      <w:r w:rsidRPr="00623273">
        <w:rPr>
          <w:iCs/>
        </w:rPr>
        <w:t xml:space="preserve">Infant and </w:t>
      </w:r>
      <w:r>
        <w:rPr>
          <w:iCs/>
        </w:rPr>
        <w:t>c</w:t>
      </w:r>
      <w:r w:rsidRPr="00623273">
        <w:rPr>
          <w:iCs/>
        </w:rPr>
        <w:t xml:space="preserve">hild </w:t>
      </w:r>
      <w:r>
        <w:rPr>
          <w:iCs/>
        </w:rPr>
        <w:t>m</w:t>
      </w:r>
      <w:r w:rsidRPr="00623273">
        <w:rPr>
          <w:iCs/>
        </w:rPr>
        <w:t>ortality ha</w:t>
      </w:r>
      <w:r w:rsidR="00F83320">
        <w:rPr>
          <w:iCs/>
        </w:rPr>
        <w:t>s</w:t>
      </w:r>
      <w:r w:rsidRPr="00623273">
        <w:rPr>
          <w:iCs/>
        </w:rPr>
        <w:t xml:space="preserve"> improved in recent years. However, one in every 13</w:t>
      </w:r>
      <w:r w:rsidR="00F83320">
        <w:rPr>
          <w:iCs/>
        </w:rPr>
        <w:t> </w:t>
      </w:r>
      <w:r w:rsidRPr="00623273">
        <w:rPr>
          <w:iCs/>
        </w:rPr>
        <w:t>children</w:t>
      </w:r>
      <w:r w:rsidRPr="00623273">
        <w:t xml:space="preserve"> born in PNG will die before the age of five. </w:t>
      </w:r>
      <w:r w:rsidR="00F83320">
        <w:t>Progress</w:t>
      </w:r>
      <w:r w:rsidR="00F83320" w:rsidRPr="00623273">
        <w:t xml:space="preserve"> </w:t>
      </w:r>
      <w:r w:rsidRPr="00623273">
        <w:t xml:space="preserve">was steady towards the national </w:t>
      </w:r>
      <w:r>
        <w:t>i</w:t>
      </w:r>
      <w:r w:rsidRPr="00623273">
        <w:t xml:space="preserve">nfant </w:t>
      </w:r>
      <w:r>
        <w:t>m</w:t>
      </w:r>
      <w:r w:rsidRPr="00623273">
        <w:t>ortality target of 44</w:t>
      </w:r>
      <w:r w:rsidR="00F83320">
        <w:t> </w:t>
      </w:r>
      <w:r w:rsidRPr="00623273">
        <w:t>per 1000</w:t>
      </w:r>
      <w:r w:rsidR="00F83320">
        <w:t> </w:t>
      </w:r>
      <w:r w:rsidRPr="00623273">
        <w:t xml:space="preserve">live births, and PNG is likely to achieve its national </w:t>
      </w:r>
      <w:r>
        <w:t>under-f</w:t>
      </w:r>
      <w:r w:rsidRPr="00623273">
        <w:t xml:space="preserve">ive </w:t>
      </w:r>
      <w:r>
        <w:t>m</w:t>
      </w:r>
      <w:r w:rsidRPr="00623273">
        <w:t>ortality target of 72</w:t>
      </w:r>
      <w:r w:rsidR="00F83320">
        <w:t> </w:t>
      </w:r>
      <w:r w:rsidRPr="00623273">
        <w:t>per 1000</w:t>
      </w:r>
      <w:r w:rsidR="00F83320">
        <w:t> </w:t>
      </w:r>
      <w:r w:rsidRPr="00623273">
        <w:t xml:space="preserve">live births. Nonetheless, progress against global </w:t>
      </w:r>
      <w:r>
        <w:t>M</w:t>
      </w:r>
      <w:r w:rsidR="00007034">
        <w:t>DGs</w:t>
      </w:r>
      <w:r w:rsidRPr="00623273">
        <w:t xml:space="preserve"> is off track.</w:t>
      </w:r>
    </w:p>
    <w:p w:rsidR="00F62C71" w:rsidRPr="00623273" w:rsidRDefault="00597E07" w:rsidP="00F62C71">
      <w:pPr>
        <w:pStyle w:val="BodyText"/>
      </w:pPr>
      <w:r>
        <w:t>In</w:t>
      </w:r>
      <w:r w:rsidR="00F62C71" w:rsidRPr="00BD0099">
        <w:t xml:space="preserve"> PNG</w:t>
      </w:r>
      <w:r>
        <w:t xml:space="preserve">, </w:t>
      </w:r>
      <w:r w:rsidR="00F62C71" w:rsidRPr="00623273">
        <w:t xml:space="preserve">only 40% of deliveries are supervised </w:t>
      </w:r>
      <w:r w:rsidR="00F62C71">
        <w:t>by a skilled worker</w:t>
      </w:r>
      <w:r w:rsidR="00F62C71" w:rsidRPr="00623273">
        <w:t xml:space="preserve">. </w:t>
      </w:r>
      <w:r w:rsidR="003161A0">
        <w:t xml:space="preserve">Low level of contraceptive use, </w:t>
      </w:r>
      <w:r w:rsidR="00F62C71">
        <w:t>high level</w:t>
      </w:r>
      <w:r>
        <w:t>s</w:t>
      </w:r>
      <w:r w:rsidR="00F62C71" w:rsidRPr="00623273">
        <w:t xml:space="preserve"> of fertility, low education levels of </w:t>
      </w:r>
      <w:r w:rsidR="001255CA">
        <w:t>women</w:t>
      </w:r>
      <w:r w:rsidR="001255CA" w:rsidRPr="00623273">
        <w:t xml:space="preserve"> </w:t>
      </w:r>
      <w:r w:rsidR="00F62C71" w:rsidRPr="00623273">
        <w:t>and the</w:t>
      </w:r>
      <w:r w:rsidR="003161A0">
        <w:t xml:space="preserve"> </w:t>
      </w:r>
      <w:r w:rsidR="00F62C71" w:rsidRPr="00623273">
        <w:t xml:space="preserve">low status </w:t>
      </w:r>
      <w:r>
        <w:t xml:space="preserve">of women </w:t>
      </w:r>
      <w:r w:rsidR="00F62C71" w:rsidRPr="00623273">
        <w:t>are important factors contributing to the high level of maternal morbidity and mortality</w:t>
      </w:r>
      <w:r w:rsidR="001255CA">
        <w:t xml:space="preserve"> in PNG</w:t>
      </w:r>
      <w:r w:rsidR="00F62C71" w:rsidRPr="00623273">
        <w:t xml:space="preserve">. </w:t>
      </w:r>
    </w:p>
    <w:p w:rsidR="00F62C71" w:rsidRPr="00623273" w:rsidRDefault="001255CA" w:rsidP="00F62C71">
      <w:pPr>
        <w:pStyle w:val="BodyText"/>
      </w:pPr>
      <w:r>
        <w:t>P</w:t>
      </w:r>
      <w:r w:rsidR="00F62C71" w:rsidRPr="00623273">
        <w:t>rogress</w:t>
      </w:r>
      <w:r>
        <w:t xml:space="preserve"> has been made</w:t>
      </w:r>
      <w:r w:rsidR="00F62C71" w:rsidRPr="00623273">
        <w:t xml:space="preserve"> in preventi</w:t>
      </w:r>
      <w:r>
        <w:t>ng</w:t>
      </w:r>
      <w:r w:rsidR="00F62C71" w:rsidRPr="00623273">
        <w:t xml:space="preserve"> and control</w:t>
      </w:r>
      <w:r>
        <w:t>ling</w:t>
      </w:r>
      <w:r w:rsidR="00F62C71" w:rsidRPr="00623273">
        <w:t xml:space="preserve"> malaria</w:t>
      </w:r>
      <w:r>
        <w:t>,</w:t>
      </w:r>
      <w:r w:rsidR="00F62C71" w:rsidRPr="00623273">
        <w:t xml:space="preserve"> evidenced by the decline in incidence from 278</w:t>
      </w:r>
      <w:r w:rsidR="00F83320">
        <w:t> </w:t>
      </w:r>
      <w:r w:rsidR="00F62C71" w:rsidRPr="00623273">
        <w:t>per 1000</w:t>
      </w:r>
      <w:r w:rsidR="00F83320">
        <w:t> </w:t>
      </w:r>
      <w:r w:rsidR="00F62C71" w:rsidRPr="00623273">
        <w:t>people in 2004 to 236</w:t>
      </w:r>
      <w:r w:rsidR="00F83320">
        <w:t> </w:t>
      </w:r>
      <w:r w:rsidR="00F62C71" w:rsidRPr="00623273">
        <w:t>per 1000</w:t>
      </w:r>
      <w:r w:rsidR="00F83320">
        <w:t> </w:t>
      </w:r>
      <w:r w:rsidR="00F62C71" w:rsidRPr="00623273">
        <w:t>people in 2008</w:t>
      </w:r>
      <w:r w:rsidR="00007034">
        <w:t>.</w:t>
      </w:r>
      <w:r w:rsidR="00F62C71" w:rsidRPr="00623273">
        <w:rPr>
          <w:vertAlign w:val="superscript"/>
        </w:rPr>
        <w:footnoteReference w:id="6"/>
      </w:r>
      <w:r w:rsidR="00F62C71" w:rsidRPr="00623273">
        <w:t xml:space="preserve"> Tuberculosis remains one of the top </w:t>
      </w:r>
      <w:r w:rsidR="00007034" w:rsidRPr="002D516B">
        <w:t>10</w:t>
      </w:r>
      <w:r w:rsidR="00007034" w:rsidRPr="00623273">
        <w:t xml:space="preserve"> </w:t>
      </w:r>
      <w:r w:rsidR="00F62C71" w:rsidRPr="00623273">
        <w:t xml:space="preserve">causes of hospital admissions and is the third highest cause of morbidity and mortality in PNG. The prevalence </w:t>
      </w:r>
      <w:r w:rsidR="00F62C71">
        <w:t>of</w:t>
      </w:r>
      <w:r w:rsidR="00F62C71" w:rsidRPr="00623273">
        <w:t xml:space="preserve"> </w:t>
      </w:r>
      <w:r w:rsidR="00F62C71">
        <w:t>t</w:t>
      </w:r>
      <w:r w:rsidR="00F62C71" w:rsidRPr="00623273">
        <w:t>uberculosis is estimated at 513</w:t>
      </w:r>
      <w:r w:rsidR="00007034">
        <w:t> </w:t>
      </w:r>
      <w:r w:rsidR="00F62C71" w:rsidRPr="00623273">
        <w:t>cases</w:t>
      </w:r>
      <w:r w:rsidR="00F83320">
        <w:t> </w:t>
      </w:r>
      <w:r w:rsidR="00F62C71" w:rsidRPr="00623273">
        <w:t>per 100</w:t>
      </w:r>
      <w:r w:rsidR="00007034">
        <w:t> </w:t>
      </w:r>
      <w:r w:rsidR="00F62C71" w:rsidRPr="00623273">
        <w:t>000 people</w:t>
      </w:r>
      <w:r w:rsidR="00F62C71" w:rsidRPr="00623273">
        <w:rPr>
          <w:vertAlign w:val="superscript"/>
        </w:rPr>
        <w:footnoteReference w:id="7"/>
      </w:r>
      <w:r w:rsidR="00F62C71" w:rsidRPr="00623273">
        <w:t xml:space="preserve"> and treatment success rate is 75%</w:t>
      </w:r>
      <w:r w:rsidR="00007034">
        <w:t>.</w:t>
      </w:r>
      <w:r w:rsidR="00F62C71" w:rsidRPr="00623273">
        <w:rPr>
          <w:vertAlign w:val="superscript"/>
        </w:rPr>
        <w:footnoteReference w:id="8"/>
      </w:r>
    </w:p>
    <w:p w:rsidR="00F62C71" w:rsidRDefault="00F62C71" w:rsidP="00F62C71">
      <w:pPr>
        <w:pStyle w:val="BodyText"/>
      </w:pPr>
      <w:r w:rsidRPr="00623273">
        <w:t>PNG</w:t>
      </w:r>
      <w:r w:rsidR="00B74726">
        <w:t>’s sector-wide approach</w:t>
      </w:r>
      <w:r w:rsidR="00F47BD7">
        <w:t xml:space="preserve"> </w:t>
      </w:r>
      <w:r w:rsidR="00B74726">
        <w:t>in</w:t>
      </w:r>
      <w:r w:rsidRPr="00623273">
        <w:t xml:space="preserve"> health</w:t>
      </w:r>
      <w:r>
        <w:t xml:space="preserve">, which Australia supports, </w:t>
      </w:r>
      <w:r w:rsidRPr="00623273">
        <w:t xml:space="preserve">has </w:t>
      </w:r>
      <w:r w:rsidR="00F83320">
        <w:t>not achieved</w:t>
      </w:r>
      <w:r w:rsidRPr="00623273">
        <w:t xml:space="preserve"> </w:t>
      </w:r>
      <w:r w:rsidR="00DF254B">
        <w:t>tangible</w:t>
      </w:r>
      <w:r w:rsidR="00DF254B" w:rsidRPr="00623273">
        <w:t xml:space="preserve"> </w:t>
      </w:r>
      <w:r w:rsidRPr="00623273">
        <w:t>improvements</w:t>
      </w:r>
      <w:r w:rsidR="00B74726">
        <w:t xml:space="preserve">. It </w:t>
      </w:r>
      <w:r w:rsidRPr="00623273">
        <w:t xml:space="preserve">has failed to </w:t>
      </w:r>
      <w:r w:rsidR="00DF254B">
        <w:t>deal with</w:t>
      </w:r>
      <w:r w:rsidR="00B74726">
        <w:t xml:space="preserve"> the resource</w:t>
      </w:r>
      <w:r w:rsidR="00DF254B">
        <w:t xml:space="preserve"> challenges</w:t>
      </w:r>
      <w:r w:rsidRPr="00623273">
        <w:t xml:space="preserve"> </w:t>
      </w:r>
      <w:r w:rsidR="00F47BD7">
        <w:t>of</w:t>
      </w:r>
      <w:r w:rsidRPr="00623273">
        <w:t xml:space="preserve"> </w:t>
      </w:r>
      <w:r w:rsidR="001255CA">
        <w:t>the</w:t>
      </w:r>
      <w:r w:rsidR="001255CA" w:rsidRPr="00623273">
        <w:t xml:space="preserve"> </w:t>
      </w:r>
      <w:r w:rsidRPr="00623273">
        <w:t>decentrali</w:t>
      </w:r>
      <w:r w:rsidR="00F83320">
        <w:t>s</w:t>
      </w:r>
      <w:r w:rsidRPr="00623273">
        <w:t xml:space="preserve">ed system of government. </w:t>
      </w:r>
      <w:r w:rsidR="00F83320">
        <w:t>A</w:t>
      </w:r>
      <w:r w:rsidRPr="00F037DE">
        <w:t xml:space="preserve"> restructu</w:t>
      </w:r>
      <w:r>
        <w:t xml:space="preserve">re </w:t>
      </w:r>
      <w:r w:rsidR="001255CA">
        <w:t xml:space="preserve">to improve </w:t>
      </w:r>
      <w:r>
        <w:t xml:space="preserve">the </w:t>
      </w:r>
      <w:r w:rsidR="00F47BD7">
        <w:t xml:space="preserve">approach </w:t>
      </w:r>
      <w:r w:rsidR="001255CA">
        <w:t>is underway</w:t>
      </w:r>
      <w:r w:rsidR="00F83320">
        <w:t>.</w:t>
      </w:r>
      <w:r w:rsidRPr="0050372C">
        <w:t xml:space="preserve"> </w:t>
      </w:r>
    </w:p>
    <w:p w:rsidR="00F62C71" w:rsidRPr="009C15A6" w:rsidRDefault="00F62C71" w:rsidP="00F62C71">
      <w:pPr>
        <w:pStyle w:val="BodyText"/>
      </w:pPr>
      <w:r w:rsidRPr="00623273">
        <w:lastRenderedPageBreak/>
        <w:t>The Capacity Buildin</w:t>
      </w:r>
      <w:r w:rsidRPr="001255CA">
        <w:t xml:space="preserve">g Service Centre </w:t>
      </w:r>
      <w:r w:rsidR="00F83320" w:rsidRPr="001255CA">
        <w:t>is</w:t>
      </w:r>
      <w:r w:rsidRPr="001255CA">
        <w:t xml:space="preserve"> </w:t>
      </w:r>
      <w:r w:rsidR="006A508D">
        <w:t>an important element of</w:t>
      </w:r>
      <w:r w:rsidR="00DF254B">
        <w:t xml:space="preserve"> </w:t>
      </w:r>
      <w:r w:rsidRPr="001255CA">
        <w:t>Australian assistance to the health sector</w:t>
      </w:r>
      <w:r w:rsidR="00B74726">
        <w:t>, targeting</w:t>
      </w:r>
      <w:r w:rsidR="00DF254B">
        <w:t xml:space="preserve"> </w:t>
      </w:r>
      <w:r w:rsidRPr="00BD0099">
        <w:t xml:space="preserve">human resources development and institutional </w:t>
      </w:r>
      <w:r w:rsidR="00B74726">
        <w:t>strengthening</w:t>
      </w:r>
      <w:r w:rsidRPr="00BD0099">
        <w:t>. Its achievements include:</w:t>
      </w:r>
    </w:p>
    <w:p w:rsidR="00F62C71" w:rsidRPr="00AF7781" w:rsidRDefault="00083F43" w:rsidP="004C6E54">
      <w:pPr>
        <w:pStyle w:val="ListBullet"/>
        <w:spacing w:before="0"/>
      </w:pPr>
      <w:r>
        <w:t>Helping</w:t>
      </w:r>
      <w:r w:rsidR="00F62C71" w:rsidRPr="00AF7781">
        <w:t xml:space="preserve"> the National Department of Health develop </w:t>
      </w:r>
      <w:r>
        <w:t>its</w:t>
      </w:r>
      <w:r w:rsidRPr="00AF7781">
        <w:t xml:space="preserve"> </w:t>
      </w:r>
      <w:r w:rsidR="00F62C71" w:rsidRPr="00AF7781">
        <w:t xml:space="preserve">recurrent operating budget for 2010. The budget was widely acclaimed as one of the best submitted in recent years and </w:t>
      </w:r>
      <w:r>
        <w:t xml:space="preserve">its quality </w:t>
      </w:r>
      <w:r w:rsidR="00F62C71" w:rsidRPr="00AF7781">
        <w:t xml:space="preserve">contributed to the </w:t>
      </w:r>
      <w:r>
        <w:t>d</w:t>
      </w:r>
      <w:r w:rsidR="00F62C71" w:rsidRPr="00AF7781">
        <w:t>epartment receiving an increase of $20</w:t>
      </w:r>
      <w:r w:rsidR="00007034">
        <w:t> </w:t>
      </w:r>
      <w:r w:rsidR="00F62C71" w:rsidRPr="00AF7781">
        <w:t>million</w:t>
      </w:r>
      <w:r w:rsidR="001255CA">
        <w:t xml:space="preserve"> in funding</w:t>
      </w:r>
      <w:r w:rsidR="00F62C71" w:rsidRPr="00AF7781">
        <w:t xml:space="preserve"> over the </w:t>
      </w:r>
      <w:r w:rsidR="005F4E7D">
        <w:t>2008 budget</w:t>
      </w:r>
      <w:r w:rsidR="00F62C71" w:rsidRPr="00AF7781">
        <w:t xml:space="preserve">. </w:t>
      </w:r>
      <w:r w:rsidR="00F62C71">
        <w:t>W</w:t>
      </w:r>
      <w:r w:rsidR="00F62C71" w:rsidRPr="00AF7781">
        <w:t>ithin this increase</w:t>
      </w:r>
      <w:r w:rsidR="00F62C71">
        <w:t>,</w:t>
      </w:r>
      <w:r w:rsidR="00F62C71" w:rsidRPr="00AF7781">
        <w:t xml:space="preserve"> </w:t>
      </w:r>
      <w:r w:rsidR="00F62C71">
        <w:t>an extra $5.2 </w:t>
      </w:r>
      <w:r w:rsidR="00F62C71" w:rsidRPr="00AF7781">
        <w:t xml:space="preserve">million was allocated for </w:t>
      </w:r>
      <w:r w:rsidR="00B74726">
        <w:br/>
      </w:r>
      <w:r w:rsidR="00F62C71" w:rsidRPr="00AF7781">
        <w:t>medical supplies.</w:t>
      </w:r>
    </w:p>
    <w:p w:rsidR="00F62C71" w:rsidRPr="00623273" w:rsidRDefault="006A508D" w:rsidP="004C6E54">
      <w:pPr>
        <w:pStyle w:val="ListBullet"/>
        <w:spacing w:before="0"/>
      </w:pPr>
      <w:r>
        <w:t>Assisting PNG to secure</w:t>
      </w:r>
      <w:r w:rsidRPr="00623273">
        <w:t xml:space="preserve"> </w:t>
      </w:r>
      <w:r w:rsidR="00F62C71" w:rsidRPr="00623273">
        <w:t>US</w:t>
      </w:r>
      <w:r w:rsidR="00F62C71">
        <w:t>$</w:t>
      </w:r>
      <w:r w:rsidR="00F62C71" w:rsidRPr="00623273">
        <w:t>120</w:t>
      </w:r>
      <w:r w:rsidR="00007034">
        <w:t> </w:t>
      </w:r>
      <w:r w:rsidR="00F62C71" w:rsidRPr="00623273">
        <w:t>million for malaria control for 2009</w:t>
      </w:r>
      <w:r w:rsidR="00007034">
        <w:t>–</w:t>
      </w:r>
      <w:r w:rsidR="00F62C71" w:rsidRPr="00623273">
        <w:t>2013 through Round</w:t>
      </w:r>
      <w:r w:rsidR="00083F43">
        <w:t> </w:t>
      </w:r>
      <w:r w:rsidR="00F62C71" w:rsidRPr="00623273">
        <w:t xml:space="preserve">8 </w:t>
      </w:r>
      <w:r w:rsidR="00F62C71">
        <w:t xml:space="preserve">of the </w:t>
      </w:r>
      <w:r w:rsidR="00F62C71" w:rsidRPr="00623273">
        <w:t>Global</w:t>
      </w:r>
      <w:r w:rsidR="005B0969">
        <w:t> </w:t>
      </w:r>
      <w:r w:rsidR="00F62C71" w:rsidRPr="00623273">
        <w:t>Fund to fight AIDS, Tuberculosis and Ma</w:t>
      </w:r>
      <w:r w:rsidR="00F62C71">
        <w:t>laria</w:t>
      </w:r>
      <w:r w:rsidR="00FA6E1C">
        <w:t xml:space="preserve"> and</w:t>
      </w:r>
      <w:r w:rsidR="00F62C71" w:rsidRPr="00623273">
        <w:t xml:space="preserve"> </w:t>
      </w:r>
      <w:r w:rsidR="00F62C71">
        <w:t xml:space="preserve">a </w:t>
      </w:r>
      <w:r w:rsidR="00F62C71" w:rsidRPr="00623273">
        <w:t>Phase II</w:t>
      </w:r>
      <w:r w:rsidR="001A0233">
        <w:t> </w:t>
      </w:r>
      <w:r w:rsidR="00F62C71" w:rsidRPr="00623273">
        <w:t>extension for the Round</w:t>
      </w:r>
      <w:r w:rsidR="00083F43">
        <w:t> </w:t>
      </w:r>
      <w:r w:rsidR="00F62C71" w:rsidRPr="00623273">
        <w:t xml:space="preserve">6 </w:t>
      </w:r>
      <w:r w:rsidR="00FA6E1C">
        <w:t>t</w:t>
      </w:r>
      <w:r w:rsidR="00F62C71" w:rsidRPr="00623273">
        <w:t>uberculosis grant</w:t>
      </w:r>
      <w:r w:rsidR="00F62C71">
        <w:t>, valued at $US15.8 </w:t>
      </w:r>
      <w:r w:rsidR="00F62C71" w:rsidRPr="00623273">
        <w:t>million.</w:t>
      </w:r>
    </w:p>
    <w:p w:rsidR="00F62C71" w:rsidRDefault="00F62C71" w:rsidP="004C6E54">
      <w:pPr>
        <w:pStyle w:val="ListBullet"/>
        <w:spacing w:before="0"/>
      </w:pPr>
      <w:r>
        <w:t>M</w:t>
      </w:r>
      <w:r w:rsidRPr="00D270E0">
        <w:t>aintain</w:t>
      </w:r>
      <w:r>
        <w:t>ing</w:t>
      </w:r>
      <w:r w:rsidRPr="00D270E0">
        <w:t xml:space="preserve"> and support</w:t>
      </w:r>
      <w:r>
        <w:t>ing</w:t>
      </w:r>
      <w:r w:rsidRPr="00D270E0">
        <w:t xml:space="preserve"> the largest non-military high frequency radio network in the southern hemisphere, consisting of high frequency radios installed in all health centres</w:t>
      </w:r>
      <w:r w:rsidR="00B74726">
        <w:t xml:space="preserve"> (more than</w:t>
      </w:r>
      <w:r w:rsidR="00B74726" w:rsidRPr="00D270E0">
        <w:t xml:space="preserve"> 1300</w:t>
      </w:r>
      <w:r w:rsidR="00B74726">
        <w:t>)</w:t>
      </w:r>
      <w:r w:rsidRPr="00D270E0">
        <w:t xml:space="preserve"> and some aid posts in every province. The health </w:t>
      </w:r>
      <w:r>
        <w:t>radio network is widely recognis</w:t>
      </w:r>
      <w:r w:rsidRPr="00D270E0">
        <w:t xml:space="preserve">ed </w:t>
      </w:r>
      <w:r w:rsidR="00FA6E1C">
        <w:t>for saving</w:t>
      </w:r>
      <w:r w:rsidRPr="00D270E0">
        <w:t xml:space="preserve"> lives daily</w:t>
      </w:r>
      <w:r w:rsidR="001255CA">
        <w:t>.</w:t>
      </w:r>
    </w:p>
    <w:p w:rsidR="00F62C71" w:rsidRDefault="00F62C71" w:rsidP="00F62C71">
      <w:pPr>
        <w:pStyle w:val="BodyText"/>
      </w:pPr>
      <w:r>
        <w:t>Through a separate part of the aid program, s</w:t>
      </w:r>
      <w:r w:rsidRPr="00ED1A52">
        <w:t xml:space="preserve">upport </w:t>
      </w:r>
      <w:r>
        <w:t>to</w:t>
      </w:r>
      <w:r w:rsidRPr="00ED1A52">
        <w:t xml:space="preserve"> the Consultative Implementation and Monitoring Council, </w:t>
      </w:r>
      <w:r>
        <w:t>a</w:t>
      </w:r>
      <w:r w:rsidRPr="00ED1A52">
        <w:t xml:space="preserve"> mechanism for </w:t>
      </w:r>
      <w:r w:rsidR="002A79FD">
        <w:t xml:space="preserve">engaging civil society in the development of </w:t>
      </w:r>
      <w:r>
        <w:t xml:space="preserve">government </w:t>
      </w:r>
      <w:r w:rsidRPr="00ED1A52">
        <w:t xml:space="preserve">policy, </w:t>
      </w:r>
      <w:r>
        <w:t>led to the Department of Health removing</w:t>
      </w:r>
      <w:r w:rsidRPr="00ED1A52">
        <w:t xml:space="preserve"> fees for treat</w:t>
      </w:r>
      <w:r w:rsidR="00FA6E1C">
        <w:t>ing</w:t>
      </w:r>
      <w:r w:rsidRPr="00ED1A52">
        <w:t xml:space="preserve"> domestic violence, sexual abuse and child abuse cases at ho</w:t>
      </w:r>
      <w:r>
        <w:t>spitals and health centres</w:t>
      </w:r>
      <w:r w:rsidRPr="00ED1A52">
        <w:t>.</w:t>
      </w:r>
    </w:p>
    <w:p w:rsidR="00F62C71" w:rsidRPr="003D3FE8" w:rsidRDefault="00F62C71" w:rsidP="00AD470F">
      <w:pPr>
        <w:pStyle w:val="Heading2"/>
      </w:pPr>
      <w:bookmarkStart w:id="21" w:name="_Toc266959816"/>
      <w:bookmarkStart w:id="22" w:name="_Toc266959818"/>
      <w:bookmarkStart w:id="23" w:name="_Toc268267517"/>
      <w:bookmarkStart w:id="24" w:name="_Toc360703164"/>
      <w:r>
        <w:t xml:space="preserve">Objective: </w:t>
      </w:r>
      <w:r w:rsidRPr="00F96D6C">
        <w:t xml:space="preserve">Stabilise spread of new </w:t>
      </w:r>
      <w:r>
        <w:t xml:space="preserve">HIV </w:t>
      </w:r>
      <w:r w:rsidRPr="00F96D6C">
        <w:t>infections by 2020 and provide effective care and treatment of those infected</w:t>
      </w:r>
      <w:r>
        <w:t xml:space="preserve">; </w:t>
      </w:r>
      <w:r w:rsidRPr="003D3FE8">
        <w:t>and strengthen</w:t>
      </w:r>
      <w:r w:rsidR="003D3FE8">
        <w:t xml:space="preserve"> the</w:t>
      </w:r>
      <w:r w:rsidRPr="003D3FE8">
        <w:t xml:space="preserve"> national capacity to lead, coordinate and implement the HIV response</w:t>
      </w:r>
      <w:bookmarkEnd w:id="22"/>
      <w:bookmarkEnd w:id="23"/>
      <w:bookmarkEnd w:id="24"/>
    </w:p>
    <w:p w:rsidR="00F62C71" w:rsidRDefault="00F62C71" w:rsidP="00AD470F">
      <w:pPr>
        <w:pStyle w:val="BodyText"/>
      </w:pPr>
      <w:r w:rsidRPr="003D3FE8">
        <w:t xml:space="preserve">The HIV epidemic is a </w:t>
      </w:r>
      <w:r w:rsidR="00817BEE">
        <w:t>continuing</w:t>
      </w:r>
      <w:r w:rsidR="00817BEE" w:rsidRPr="003D3FE8">
        <w:t xml:space="preserve"> </w:t>
      </w:r>
      <w:r w:rsidRPr="003D3FE8">
        <w:t>development challenge for P</w:t>
      </w:r>
      <w:r w:rsidR="004E5E01" w:rsidRPr="003D3FE8">
        <w:t>NG</w:t>
      </w:r>
      <w:r w:rsidRPr="003D3FE8">
        <w:t>. Evidence sugge</w:t>
      </w:r>
      <w:r>
        <w:t>sts the epidemic is concentrated in urban and peri-urban settings</w:t>
      </w:r>
      <w:r w:rsidR="009D4FE2">
        <w:t xml:space="preserve"> and</w:t>
      </w:r>
      <w:r>
        <w:t xml:space="preserve"> in the economic and social corridors, specifically the provinces along the Highlands Highway. Based on 2009 data and analysis, PNG’s HIV prevalence is 0.9% of the population (15</w:t>
      </w:r>
      <w:r w:rsidR="001A0233">
        <w:t xml:space="preserve"> to </w:t>
      </w:r>
      <w:r>
        <w:t>49 year olds), lower than the 2007</w:t>
      </w:r>
      <w:r w:rsidR="001A0233">
        <w:t> </w:t>
      </w:r>
      <w:r>
        <w:t>projection.</w:t>
      </w:r>
    </w:p>
    <w:p w:rsidR="00F62C71" w:rsidRPr="00F96D6C" w:rsidRDefault="00F62C71" w:rsidP="00F62C71">
      <w:pPr>
        <w:pStyle w:val="BodyText"/>
      </w:pPr>
      <w:r>
        <w:t xml:space="preserve">The </w:t>
      </w:r>
      <w:r w:rsidRPr="00F96D6C">
        <w:t xml:space="preserve">Liquefied Natural Gas </w:t>
      </w:r>
      <w:r w:rsidR="005904DF">
        <w:t>P</w:t>
      </w:r>
      <w:r w:rsidRPr="00F96D6C">
        <w:t>roject</w:t>
      </w:r>
      <w:r>
        <w:t xml:space="preserve"> will bring opportunity as well as social and economic risk. For the HIV epidemic the project has the potential to </w:t>
      </w:r>
      <w:r w:rsidR="009D4FE2">
        <w:t>join</w:t>
      </w:r>
      <w:r w:rsidRPr="00F96D6C">
        <w:t xml:space="preserve"> critical risk factors in HIV transmission including: mobility of people from within and outside the region for work</w:t>
      </w:r>
      <w:r w:rsidR="009D4FE2">
        <w:t>;</w:t>
      </w:r>
      <w:r w:rsidRPr="00F96D6C">
        <w:t xml:space="preserve"> sudden wealth within communities that could contribute to increased alcohol and drug use</w:t>
      </w:r>
      <w:r w:rsidR="009D4FE2">
        <w:t>;</w:t>
      </w:r>
      <w:r>
        <w:t xml:space="preserve"> </w:t>
      </w:r>
      <w:r w:rsidR="00846337">
        <w:t xml:space="preserve">and </w:t>
      </w:r>
      <w:r w:rsidRPr="00F96D6C">
        <w:t>increased transactional sex</w:t>
      </w:r>
      <w:r>
        <w:t xml:space="preserve"> and multiple partnering</w:t>
      </w:r>
      <w:r w:rsidRPr="00F96D6C">
        <w:t xml:space="preserve">. </w:t>
      </w:r>
    </w:p>
    <w:p w:rsidR="00F62C71" w:rsidRPr="000907CA" w:rsidRDefault="00F62C71" w:rsidP="00F62C71">
      <w:pPr>
        <w:pStyle w:val="BodyText"/>
      </w:pPr>
      <w:r w:rsidRPr="000907CA">
        <w:t>Despite operating in a challenging institutional environment,</w:t>
      </w:r>
      <w:r>
        <w:t xml:space="preserve"> </w:t>
      </w:r>
      <w:r w:rsidRPr="000907CA">
        <w:t xml:space="preserve">Australian support </w:t>
      </w:r>
      <w:r>
        <w:t xml:space="preserve">has rapidly improved access to HIV services in PNG </w:t>
      </w:r>
      <w:r w:rsidR="00BE5C25">
        <w:t>which, in turn, has</w:t>
      </w:r>
      <w:r>
        <w:t xml:space="preserve"> contributed to managing </w:t>
      </w:r>
      <w:r w:rsidRPr="000907CA">
        <w:t xml:space="preserve">the spread of </w:t>
      </w:r>
      <w:r w:rsidR="00BE5C25">
        <w:t>the disease</w:t>
      </w:r>
      <w:r w:rsidRPr="000907CA">
        <w:t>.</w:t>
      </w:r>
      <w:r>
        <w:t xml:space="preserve"> </w:t>
      </w:r>
      <w:r w:rsidR="002A79FD">
        <w:t>The</w:t>
      </w:r>
      <w:r w:rsidRPr="000907CA">
        <w:t xml:space="preserve"> </w:t>
      </w:r>
      <w:r>
        <w:t>Independent Review Group</w:t>
      </w:r>
      <w:r w:rsidRPr="000907CA">
        <w:t xml:space="preserve"> 2010</w:t>
      </w:r>
      <w:r>
        <w:t xml:space="preserve"> </w:t>
      </w:r>
      <w:r w:rsidRPr="000907CA">
        <w:t>assessment of the epidemic in PNG</w:t>
      </w:r>
      <w:r>
        <w:t xml:space="preserve"> again</w:t>
      </w:r>
      <w:r w:rsidRPr="000907CA">
        <w:t xml:space="preserve"> confirmed</w:t>
      </w:r>
      <w:r>
        <w:t xml:space="preserve"> </w:t>
      </w:r>
      <w:r w:rsidRPr="000907CA">
        <w:t>that, while progress is insufficient, r</w:t>
      </w:r>
      <w:r>
        <w:t>eal achievements are being made</w:t>
      </w:r>
      <w:r w:rsidR="009D4FE2">
        <w:t>,</w:t>
      </w:r>
      <w:r w:rsidRPr="000907CA">
        <w:t xml:space="preserve"> particularly in treatment, care and prevention ini</w:t>
      </w:r>
      <w:r>
        <w:t>tiatives. There is evidence of</w:t>
      </w:r>
      <w:r w:rsidRPr="000907CA">
        <w:t xml:space="preserve"> increased access to voluntary c</w:t>
      </w:r>
      <w:r>
        <w:t>ounselling</w:t>
      </w:r>
      <w:r w:rsidR="008D4E37">
        <w:t>,</w:t>
      </w:r>
      <w:r>
        <w:t xml:space="preserve"> testing services</w:t>
      </w:r>
      <w:r w:rsidR="008D4E37">
        <w:t xml:space="preserve">, </w:t>
      </w:r>
      <w:r w:rsidRPr="000907CA">
        <w:t xml:space="preserve">treatment and condoms across the country. Specific achievements </w:t>
      </w:r>
      <w:r>
        <w:t xml:space="preserve">in 2009 </w:t>
      </w:r>
      <w:r w:rsidRPr="000907CA">
        <w:t>include:</w:t>
      </w:r>
    </w:p>
    <w:p w:rsidR="00F62C71" w:rsidRPr="00F96D6C" w:rsidRDefault="00F62C71" w:rsidP="004C6E54">
      <w:pPr>
        <w:pStyle w:val="ListBullet"/>
        <w:spacing w:before="0"/>
      </w:pPr>
      <w:r>
        <w:lastRenderedPageBreak/>
        <w:t>74%</w:t>
      </w:r>
      <w:r w:rsidR="00BE5C25">
        <w:t> </w:t>
      </w:r>
      <w:r w:rsidRPr="00F96D6C">
        <w:t xml:space="preserve">of </w:t>
      </w:r>
      <w:r w:rsidR="009D4FE2">
        <w:t>those</w:t>
      </w:r>
      <w:r w:rsidRPr="00F96D6C">
        <w:t xml:space="preserve"> eligible</w:t>
      </w:r>
      <w:r w:rsidR="00BB3815">
        <w:t xml:space="preserve"> for treatment</w:t>
      </w:r>
      <w:r w:rsidRPr="00F96D6C">
        <w:rPr>
          <w:vertAlign w:val="superscript"/>
        </w:rPr>
        <w:footnoteReference w:id="9"/>
      </w:r>
      <w:r w:rsidRPr="00F96D6C">
        <w:t xml:space="preserve"> </w:t>
      </w:r>
      <w:r w:rsidRPr="00076CC3">
        <w:t xml:space="preserve">were able to access </w:t>
      </w:r>
      <w:r w:rsidR="00BB3815">
        <w:t>it</w:t>
      </w:r>
      <w:r w:rsidR="00BB3815" w:rsidRPr="00076CC3">
        <w:t xml:space="preserve"> </w:t>
      </w:r>
      <w:r w:rsidRPr="00076CC3">
        <w:t>compared to 0% in 2003</w:t>
      </w:r>
      <w:r w:rsidR="00BB3815">
        <w:t>—t</w:t>
      </w:r>
      <w:r w:rsidRPr="00076CC3">
        <w:t>his is notable progress in PNG’s effort to achieve universal access</w:t>
      </w:r>
      <w:r w:rsidR="00162FD2">
        <w:t xml:space="preserve"> to treatment</w:t>
      </w:r>
      <w:r w:rsidRPr="00076CC3">
        <w:t xml:space="preserve"> and PNG is the only country in the region to have achieved</w:t>
      </w:r>
      <w:r w:rsidRPr="00F96D6C">
        <w:t xml:space="preserve"> </w:t>
      </w:r>
      <w:r w:rsidR="00BB3815">
        <w:t>such a major</w:t>
      </w:r>
      <w:r w:rsidR="00BB3815" w:rsidRPr="00F96D6C">
        <w:t xml:space="preserve"> </w:t>
      </w:r>
      <w:r w:rsidRPr="00F96D6C">
        <w:t>milesto</w:t>
      </w:r>
      <w:r w:rsidR="00BB3815">
        <w:t>ne</w:t>
      </w:r>
    </w:p>
    <w:p w:rsidR="00F62C71" w:rsidRPr="00F96D6C" w:rsidRDefault="00BB3815" w:rsidP="004C6E54">
      <w:pPr>
        <w:pStyle w:val="ListBullet"/>
        <w:spacing w:before="0"/>
      </w:pPr>
      <w:r>
        <w:t>n</w:t>
      </w:r>
      <w:r w:rsidR="00F62C71" w:rsidRPr="00F96D6C">
        <w:t>ationally</w:t>
      </w:r>
      <w:r w:rsidR="00F62C71">
        <w:t>,</w:t>
      </w:r>
      <w:r w:rsidR="00F62C71" w:rsidRPr="00F96D6C">
        <w:t xml:space="preserve"> 2</w:t>
      </w:r>
      <w:r w:rsidR="00F62C71">
        <w:t>51</w:t>
      </w:r>
      <w:r w:rsidR="00BE5C25">
        <w:t> </w:t>
      </w:r>
      <w:r w:rsidR="00F62C71" w:rsidRPr="00F96D6C">
        <w:t xml:space="preserve">sites are providing HIV </w:t>
      </w:r>
      <w:r w:rsidR="00F62C71">
        <w:t xml:space="preserve">testing and counselling </w:t>
      </w:r>
      <w:r w:rsidR="00F62C71" w:rsidRPr="00F96D6C">
        <w:t xml:space="preserve">services, </w:t>
      </w:r>
      <w:r w:rsidR="00F62C71">
        <w:t>an increase</w:t>
      </w:r>
      <w:r w:rsidR="00F62C71" w:rsidRPr="00F96D6C">
        <w:t xml:space="preserve"> from 61</w:t>
      </w:r>
      <w:r w:rsidR="00BE5C25">
        <w:t> </w:t>
      </w:r>
      <w:r>
        <w:t>sites in 2006</w:t>
      </w:r>
    </w:p>
    <w:p w:rsidR="00F62C71" w:rsidRPr="00F96D6C" w:rsidRDefault="00BB3815" w:rsidP="004C6E54">
      <w:pPr>
        <w:pStyle w:val="ListBullet"/>
        <w:spacing w:before="0"/>
      </w:pPr>
      <w:r>
        <w:t>m</w:t>
      </w:r>
      <w:r w:rsidR="00F62C71" w:rsidRPr="00F96D6C">
        <w:t>ore than 1</w:t>
      </w:r>
      <w:r w:rsidR="00F62C71">
        <w:t>23</w:t>
      </w:r>
      <w:r w:rsidR="00007034">
        <w:t> </w:t>
      </w:r>
      <w:r w:rsidR="00F62C71" w:rsidRPr="00F96D6C">
        <w:t>000 people received voluntary counselling and HIV testing, compared to 32</w:t>
      </w:r>
      <w:r w:rsidR="00007034">
        <w:t> </w:t>
      </w:r>
      <w:r w:rsidR="00F62C71" w:rsidRPr="00F96D6C">
        <w:t xml:space="preserve">645 </w:t>
      </w:r>
      <w:r w:rsidR="00F62C71">
        <w:t>in</w:t>
      </w:r>
      <w:r>
        <w:t xml:space="preserve"> 2006</w:t>
      </w:r>
    </w:p>
    <w:p w:rsidR="00F62C71" w:rsidRPr="00F96D6C" w:rsidRDefault="00BB3815" w:rsidP="004C6E54">
      <w:pPr>
        <w:pStyle w:val="ListBullet"/>
        <w:spacing w:before="0"/>
        <w:rPr>
          <w:i/>
        </w:rPr>
      </w:pPr>
      <w:r>
        <w:t>m</w:t>
      </w:r>
      <w:r w:rsidR="00BE5C25">
        <w:t>ore than</w:t>
      </w:r>
      <w:r w:rsidR="00BE5C25" w:rsidRPr="00F96D6C">
        <w:t xml:space="preserve"> </w:t>
      </w:r>
      <w:r w:rsidR="00F62C71" w:rsidRPr="00F96D6C">
        <w:t>108</w:t>
      </w:r>
      <w:r w:rsidR="00BE5C25">
        <w:t> </w:t>
      </w:r>
      <w:r w:rsidR="00F62C71" w:rsidRPr="00F96D6C">
        <w:t>million condoms were procured</w:t>
      </w:r>
      <w:r w:rsidR="00F62C71">
        <w:t xml:space="preserve"> and are now being distributed</w:t>
      </w:r>
      <w:r w:rsidR="00F62C71" w:rsidRPr="00F96D6C">
        <w:t>, compared to less than 5</w:t>
      </w:r>
      <w:r w:rsidR="00BE5C25">
        <w:t> </w:t>
      </w:r>
      <w:r w:rsidR="00F62C71" w:rsidRPr="00F96D6C">
        <w:t xml:space="preserve">million </w:t>
      </w:r>
      <w:r w:rsidR="00F62C71">
        <w:t>in</w:t>
      </w:r>
      <w:r w:rsidR="00F62C71" w:rsidRPr="00F96D6C">
        <w:t xml:space="preserve"> 2008</w:t>
      </w:r>
    </w:p>
    <w:p w:rsidR="00F62C71" w:rsidRPr="00BC0723" w:rsidRDefault="00BB3815" w:rsidP="004C6E54">
      <w:pPr>
        <w:pStyle w:val="ListBullet"/>
        <w:spacing w:before="0"/>
        <w:rPr>
          <w:i/>
        </w:rPr>
      </w:pPr>
      <w:proofErr w:type="gramStart"/>
      <w:r>
        <w:t>p</w:t>
      </w:r>
      <w:r w:rsidR="00F62C71" w:rsidRPr="00F96D6C">
        <w:t>eople</w:t>
      </w:r>
      <w:proofErr w:type="gramEnd"/>
      <w:r w:rsidR="00F62C71" w:rsidRPr="00F96D6C">
        <w:t xml:space="preserve"> living with HIV have established seven networks throughout </w:t>
      </w:r>
      <w:r>
        <w:t>PNG</w:t>
      </w:r>
      <w:r w:rsidR="00F62C71" w:rsidRPr="00F96D6C">
        <w:t xml:space="preserve"> with an estimated 1500</w:t>
      </w:r>
      <w:r w:rsidR="00BE5C25">
        <w:t> </w:t>
      </w:r>
      <w:r w:rsidR="00F62C71" w:rsidRPr="00F96D6C">
        <w:t>plus members</w:t>
      </w:r>
      <w:r w:rsidR="00007034">
        <w:t>—</w:t>
      </w:r>
      <w:r w:rsidR="00F62C71" w:rsidRPr="00F96D6C">
        <w:t>in 2006 there were only three networks.</w:t>
      </w:r>
    </w:p>
    <w:p w:rsidR="00F62C71" w:rsidRPr="00BE5C25" w:rsidRDefault="00F62C71" w:rsidP="00F62C71">
      <w:pPr>
        <w:pStyle w:val="BodyText"/>
        <w:rPr>
          <w:i/>
        </w:rPr>
      </w:pPr>
      <w:r w:rsidRPr="00BE5C25">
        <w:t>A key target in the new draft National HIV and HIV Strategy 2011</w:t>
      </w:r>
      <w:r w:rsidR="00007034" w:rsidRPr="00BE5C25">
        <w:t>–</w:t>
      </w:r>
      <w:r w:rsidRPr="00BE5C25">
        <w:t>2015, the successor to the National Strategic Plan on HIV/AIDS 2006</w:t>
      </w:r>
      <w:r w:rsidR="00007034" w:rsidRPr="00BE5C25">
        <w:t>–</w:t>
      </w:r>
      <w:r w:rsidRPr="00BE5C25">
        <w:t>2010, is to stabilise HIV prevalence in adults at 0.9% by 2015.</w:t>
      </w:r>
    </w:p>
    <w:p w:rsidR="00F62C71" w:rsidRPr="00C7422D" w:rsidRDefault="00F62C71" w:rsidP="00AD470F">
      <w:pPr>
        <w:pStyle w:val="Heading2"/>
        <w:rPr>
          <w:b/>
        </w:rPr>
      </w:pPr>
      <w:bookmarkStart w:id="25" w:name="_Toc268267518"/>
      <w:bookmarkStart w:id="26" w:name="_Toc360703165"/>
      <w:r>
        <w:t xml:space="preserve">Objective: </w:t>
      </w:r>
      <w:r w:rsidRPr="00C7422D">
        <w:t>An efficient and effective public service</w:t>
      </w:r>
      <w:bookmarkEnd w:id="21"/>
      <w:bookmarkEnd w:id="25"/>
      <w:bookmarkEnd w:id="26"/>
      <w:r w:rsidRPr="00C7422D">
        <w:rPr>
          <w:b/>
        </w:rPr>
        <w:t xml:space="preserve"> </w:t>
      </w:r>
    </w:p>
    <w:p w:rsidR="00F62C71" w:rsidRPr="00941D4B" w:rsidRDefault="00F62C71" w:rsidP="00F62C71">
      <w:pPr>
        <w:pStyle w:val="BodyText"/>
      </w:pPr>
      <w:r w:rsidRPr="00941D4B">
        <w:t xml:space="preserve">Overall, the </w:t>
      </w:r>
      <w:r w:rsidR="00BE5C25">
        <w:t>ability of the</w:t>
      </w:r>
      <w:r w:rsidR="00BE5C25" w:rsidRPr="00941D4B">
        <w:t xml:space="preserve"> </w:t>
      </w:r>
      <w:r w:rsidRPr="00941D4B">
        <w:t>public service to d</w:t>
      </w:r>
      <w:r w:rsidR="007315FD">
        <w:t>eliver services is not increasing</w:t>
      </w:r>
      <w:r w:rsidRPr="00941D4B">
        <w:t xml:space="preserve">. </w:t>
      </w:r>
      <w:r w:rsidR="00BE5C25">
        <w:t>I</w:t>
      </w:r>
      <w:r w:rsidRPr="00941D4B">
        <w:t xml:space="preserve">mprovements in </w:t>
      </w:r>
      <w:r w:rsidR="007315FD">
        <w:t xml:space="preserve">performance of </w:t>
      </w:r>
      <w:r w:rsidRPr="00941D4B">
        <w:t xml:space="preserve">one </w:t>
      </w:r>
      <w:r w:rsidR="00BE5C25">
        <w:t>part</w:t>
      </w:r>
      <w:r w:rsidR="00BE5C25" w:rsidRPr="00941D4B">
        <w:t xml:space="preserve"> </w:t>
      </w:r>
      <w:r w:rsidRPr="00941D4B">
        <w:t xml:space="preserve">of the </w:t>
      </w:r>
      <w:r w:rsidR="00BE5C25">
        <w:t>service</w:t>
      </w:r>
      <w:r w:rsidR="00BE5C25" w:rsidRPr="00941D4B">
        <w:t xml:space="preserve"> </w:t>
      </w:r>
      <w:r w:rsidRPr="00941D4B">
        <w:t>do not always flow through</w:t>
      </w:r>
      <w:r w:rsidR="00BB3815">
        <w:t xml:space="preserve"> to other parts</w:t>
      </w:r>
      <w:r w:rsidR="00BE5C25">
        <w:t>—</w:t>
      </w:r>
      <w:r w:rsidRPr="005C4B24">
        <w:t xml:space="preserve">they can be undermined by political interference or </w:t>
      </w:r>
      <w:r w:rsidRPr="008825E2">
        <w:t xml:space="preserve">weakness in other </w:t>
      </w:r>
      <w:r w:rsidR="00846337">
        <w:t>areas</w:t>
      </w:r>
      <w:r w:rsidR="00E514A6" w:rsidRPr="008825E2">
        <w:t xml:space="preserve"> of the </w:t>
      </w:r>
      <w:r w:rsidR="00162FD2" w:rsidRPr="008825E2">
        <w:t>service</w:t>
      </w:r>
      <w:r w:rsidRPr="008825E2">
        <w:t xml:space="preserve">. At the political level there is </w:t>
      </w:r>
      <w:r w:rsidR="00BE5C25" w:rsidRPr="008825E2">
        <w:t xml:space="preserve">not enough </w:t>
      </w:r>
      <w:r w:rsidRPr="008825E2">
        <w:t xml:space="preserve">commitment to improve. The </w:t>
      </w:r>
      <w:r w:rsidRPr="008825E2">
        <w:rPr>
          <w:lang w:val="en-US"/>
        </w:rPr>
        <w:t>Liquefied Natural Gas</w:t>
      </w:r>
      <w:r w:rsidRPr="008825E2">
        <w:t xml:space="preserve"> </w:t>
      </w:r>
      <w:r w:rsidR="005904DF" w:rsidRPr="008825E2">
        <w:t>P</w:t>
      </w:r>
      <w:r w:rsidRPr="008825E2">
        <w:t>roject is drawing resources and attention away from the public service. Australian assistance is preventing faster decline in PNG governance, but in the current</w:t>
      </w:r>
      <w:r w:rsidRPr="00941D4B">
        <w:t xml:space="preserve"> environment </w:t>
      </w:r>
      <w:r w:rsidR="00076CC3">
        <w:t xml:space="preserve">the </w:t>
      </w:r>
      <w:r w:rsidR="007315FD">
        <w:t>improv</w:t>
      </w:r>
      <w:r w:rsidR="00751E0F">
        <w:t>ement</w:t>
      </w:r>
      <w:r w:rsidR="00076CC3">
        <w:t xml:space="preserve"> needed</w:t>
      </w:r>
      <w:r w:rsidR="00751E0F">
        <w:t xml:space="preserve"> to make the public service </w:t>
      </w:r>
      <w:r w:rsidR="00BB3815">
        <w:t xml:space="preserve">efficient and effective </w:t>
      </w:r>
      <w:r w:rsidR="007315FD">
        <w:t>in delivering services</w:t>
      </w:r>
      <w:r w:rsidRPr="00941D4B">
        <w:t xml:space="preserve"> is highly unlikely</w:t>
      </w:r>
      <w:r w:rsidR="00751E0F">
        <w:t xml:space="preserve"> to be realised</w:t>
      </w:r>
      <w:r w:rsidRPr="00941D4B">
        <w:t>.</w:t>
      </w:r>
      <w:r>
        <w:t xml:space="preserve"> </w:t>
      </w:r>
    </w:p>
    <w:p w:rsidR="00F62C71" w:rsidRPr="00C7422D" w:rsidRDefault="00F62C71" w:rsidP="00F62C71">
      <w:pPr>
        <w:pStyle w:val="BodyText"/>
      </w:pPr>
      <w:r w:rsidRPr="00C7422D">
        <w:t>In 2009</w:t>
      </w:r>
      <w:r w:rsidR="00BE5C25">
        <w:t>,</w:t>
      </w:r>
      <w:r w:rsidRPr="00C7422D">
        <w:t xml:space="preserve"> </w:t>
      </w:r>
      <w:r>
        <w:t>the Australian aid program</w:t>
      </w:r>
      <w:r w:rsidR="00751E0F">
        <w:t xml:space="preserve"> supported</w:t>
      </w:r>
      <w:r w:rsidRPr="00C7422D">
        <w:t>:</w:t>
      </w:r>
    </w:p>
    <w:p w:rsidR="00F62C71" w:rsidRPr="00DE27CF" w:rsidRDefault="00917D06" w:rsidP="004C6E54">
      <w:pPr>
        <w:pStyle w:val="ListBullet"/>
        <w:spacing w:before="0"/>
      </w:pPr>
      <w:r>
        <w:t xml:space="preserve">The </w:t>
      </w:r>
      <w:r w:rsidR="00F62C71" w:rsidRPr="00DE27CF">
        <w:t xml:space="preserve">Auditor General’s Office to improve links between national agencies and provincial </w:t>
      </w:r>
      <w:r w:rsidR="00BE5C25">
        <w:t>c</w:t>
      </w:r>
      <w:r w:rsidR="00F62C71" w:rsidRPr="00DE27CF">
        <w:t xml:space="preserve">hief </w:t>
      </w:r>
      <w:r w:rsidR="00BE5C25">
        <w:t>f</w:t>
      </w:r>
      <w:r w:rsidR="00F62C71" w:rsidRPr="00DE27CF">
        <w:t xml:space="preserve">inancial </w:t>
      </w:r>
      <w:r w:rsidR="00BE5C25">
        <w:t>o</w:t>
      </w:r>
      <w:r w:rsidR="00F62C71" w:rsidRPr="00DE27CF">
        <w:t>fficers</w:t>
      </w:r>
      <w:r w:rsidR="00F62C71">
        <w:t>, and decrease</w:t>
      </w:r>
      <w:r w:rsidR="00F62C71" w:rsidRPr="00DE27CF">
        <w:t xml:space="preserve"> by</w:t>
      </w:r>
      <w:r>
        <w:t xml:space="preserve"> between </w:t>
      </w:r>
      <w:r w:rsidR="00F62C71" w:rsidRPr="00DE27CF">
        <w:t>33</w:t>
      </w:r>
      <w:r w:rsidR="00007034">
        <w:t xml:space="preserve">% </w:t>
      </w:r>
      <w:r>
        <w:t>and</w:t>
      </w:r>
      <w:r w:rsidR="00007034">
        <w:t xml:space="preserve"> </w:t>
      </w:r>
      <w:r w:rsidR="00F62C71" w:rsidRPr="00DE27CF">
        <w:t xml:space="preserve">50% the time taken to perform a quality audit </w:t>
      </w:r>
      <w:r w:rsidR="00822915">
        <w:t>on</w:t>
      </w:r>
      <w:r w:rsidR="00F62C71" w:rsidRPr="00DE27CF">
        <w:t xml:space="preserve"> provincial government and provincial hospital financial statements</w:t>
      </w:r>
    </w:p>
    <w:p w:rsidR="00F62C71" w:rsidRPr="00DE27CF" w:rsidRDefault="00F62C71" w:rsidP="004C6E54">
      <w:pPr>
        <w:pStyle w:val="ListBullet"/>
        <w:spacing w:before="0"/>
      </w:pPr>
      <w:r w:rsidRPr="00DE27CF">
        <w:t xml:space="preserve">Treasury to </w:t>
      </w:r>
      <w:r w:rsidR="00162FD2">
        <w:t>strengthen performance</w:t>
      </w:r>
      <w:r w:rsidR="00822915">
        <w:t xml:space="preserve"> through recruitment</w:t>
      </w:r>
      <w:r w:rsidRPr="00DE27CF">
        <w:t xml:space="preserve"> and</w:t>
      </w:r>
      <w:r w:rsidR="00822915">
        <w:t>—</w:t>
      </w:r>
      <w:r w:rsidRPr="00DE27CF">
        <w:t xml:space="preserve">in conjunction with </w:t>
      </w:r>
      <w:r>
        <w:t>the Department of Provincial and Local Government Affairs</w:t>
      </w:r>
      <w:r w:rsidRPr="00DE27CF">
        <w:t xml:space="preserve"> and </w:t>
      </w:r>
      <w:r>
        <w:t>the National Economic and Fiscal Commission</w:t>
      </w:r>
      <w:r w:rsidR="00822915">
        <w:t>—</w:t>
      </w:r>
      <w:r w:rsidRPr="00DE27CF">
        <w:t>run four regional workshops on responsibilities and requirements</w:t>
      </w:r>
      <w:r w:rsidRPr="00DE27CF" w:rsidDel="0034556C">
        <w:t xml:space="preserve"> </w:t>
      </w:r>
      <w:r w:rsidRPr="00DE27CF">
        <w:t>for the budget process</w:t>
      </w:r>
    </w:p>
    <w:p w:rsidR="00F62C71" w:rsidRPr="00DE27CF" w:rsidRDefault="00F62C71" w:rsidP="004C6E54">
      <w:pPr>
        <w:pStyle w:val="ListBullet"/>
        <w:spacing w:before="0"/>
      </w:pPr>
      <w:r w:rsidRPr="00DE27CF">
        <w:t xml:space="preserve">Finance </w:t>
      </w:r>
      <w:r w:rsidR="00BE5C25">
        <w:t>d</w:t>
      </w:r>
      <w:r>
        <w:t>epartment to improve</w:t>
      </w:r>
      <w:r w:rsidR="00822915">
        <w:t xml:space="preserve"> its productivity a</w:t>
      </w:r>
      <w:r w:rsidR="00162FD2">
        <w:t>s well as its</w:t>
      </w:r>
      <w:r>
        <w:t xml:space="preserve"> budget</w:t>
      </w:r>
      <w:r w:rsidR="00822915">
        <w:t xml:space="preserve"> and</w:t>
      </w:r>
      <w:r>
        <w:t xml:space="preserve"> </w:t>
      </w:r>
      <w:r w:rsidRPr="00DE27CF">
        <w:t>internal auditing processes</w:t>
      </w:r>
      <w:r w:rsidR="00822915">
        <w:t>.</w:t>
      </w:r>
    </w:p>
    <w:p w:rsidR="00F62C71" w:rsidRPr="00C7422D" w:rsidRDefault="00F62C71" w:rsidP="00AD470F">
      <w:pPr>
        <w:pStyle w:val="BodyText"/>
      </w:pPr>
      <w:r w:rsidRPr="00C7422D">
        <w:t>The Provincial Capacity Building Program train</w:t>
      </w:r>
      <w:r w:rsidR="00822915">
        <w:t xml:space="preserve">ed </w:t>
      </w:r>
      <w:r>
        <w:t xml:space="preserve">provincial government officers </w:t>
      </w:r>
      <w:r w:rsidR="00917D06">
        <w:t>i</w:t>
      </w:r>
      <w:r w:rsidRPr="00C7422D">
        <w:t xml:space="preserve">n </w:t>
      </w:r>
      <w:r w:rsidR="00BE5C25">
        <w:t>using</w:t>
      </w:r>
      <w:r w:rsidRPr="00C7422D">
        <w:t xml:space="preserve"> </w:t>
      </w:r>
      <w:r>
        <w:t>information and communication technology</w:t>
      </w:r>
      <w:r w:rsidRPr="00C7422D">
        <w:t xml:space="preserve">, preparing financial statements, </w:t>
      </w:r>
      <w:r w:rsidR="00D2496B">
        <w:t xml:space="preserve">reconciling </w:t>
      </w:r>
      <w:r w:rsidR="00162FD2">
        <w:br/>
      </w:r>
      <w:r w:rsidRPr="00C7422D">
        <w:t xml:space="preserve">bank </w:t>
      </w:r>
      <w:r w:rsidR="00D2496B">
        <w:t>accounts</w:t>
      </w:r>
      <w:r w:rsidR="00D2496B" w:rsidRPr="00C7422D">
        <w:t xml:space="preserve"> </w:t>
      </w:r>
      <w:r w:rsidRPr="00C7422D">
        <w:t xml:space="preserve">and establishing fixed asset registers across six provinces. </w:t>
      </w:r>
      <w:r>
        <w:t>The program has improved the</w:t>
      </w:r>
      <w:r w:rsidRPr="00C7422D">
        <w:t xml:space="preserve"> knowledge and skills </w:t>
      </w:r>
      <w:r>
        <w:t>of</w:t>
      </w:r>
      <w:r w:rsidRPr="00C7422D">
        <w:t xml:space="preserve"> financial management </w:t>
      </w:r>
      <w:r w:rsidR="00822915">
        <w:t xml:space="preserve">staff </w:t>
      </w:r>
      <w:r w:rsidRPr="00C7422D">
        <w:t xml:space="preserve">and </w:t>
      </w:r>
      <w:r w:rsidR="00822915">
        <w:t xml:space="preserve">the quality of provincial treasury </w:t>
      </w:r>
      <w:r w:rsidRPr="00C7422D">
        <w:t>reporting</w:t>
      </w:r>
      <w:r>
        <w:t>.</w:t>
      </w:r>
    </w:p>
    <w:p w:rsidR="00F62C71" w:rsidRPr="00C7422D" w:rsidRDefault="00F62C71" w:rsidP="00F62C71">
      <w:pPr>
        <w:pStyle w:val="BodyText"/>
      </w:pPr>
      <w:r w:rsidRPr="00DE27CF">
        <w:lastRenderedPageBreak/>
        <w:t>Support to Treasury resulted in a strong budget process</w:t>
      </w:r>
      <w:r w:rsidR="00162FD2">
        <w:t>,</w:t>
      </w:r>
      <w:r w:rsidRPr="00DE27CF">
        <w:t xml:space="preserve"> improved outreach across national agencies and advice that helped influence </w:t>
      </w:r>
      <w:r w:rsidR="00822915">
        <w:t>m</w:t>
      </w:r>
      <w:r w:rsidRPr="00DE27CF">
        <w:t xml:space="preserve">inisters towards </w:t>
      </w:r>
      <w:r>
        <w:t>a balanced 2010</w:t>
      </w:r>
      <w:r w:rsidR="00162FD2">
        <w:t> </w:t>
      </w:r>
      <w:r w:rsidR="00007034">
        <w:t>n</w:t>
      </w:r>
      <w:r>
        <w:t xml:space="preserve">ational </w:t>
      </w:r>
      <w:r w:rsidR="00007034">
        <w:t>b</w:t>
      </w:r>
      <w:r>
        <w:t>udget.</w:t>
      </w:r>
      <w:r w:rsidRPr="00DE27CF">
        <w:t xml:space="preserve"> </w:t>
      </w:r>
      <w:r>
        <w:t>T</w:t>
      </w:r>
      <w:r w:rsidRPr="00DE27CF">
        <w:t xml:space="preserve">his </w:t>
      </w:r>
      <w:r>
        <w:t xml:space="preserve">effort </w:t>
      </w:r>
      <w:r w:rsidRPr="00DE27CF">
        <w:t xml:space="preserve">was </w:t>
      </w:r>
      <w:r w:rsidRPr="001B2B76">
        <w:t>undermined by the drawing down of expenditure</w:t>
      </w:r>
      <w:r w:rsidRPr="001B2B76">
        <w:rPr>
          <w:lang w:val="en-US"/>
        </w:rPr>
        <w:t xml:space="preserve"> from trust funds</w:t>
      </w:r>
      <w:r w:rsidRPr="00DE27CF">
        <w:rPr>
          <w:lang w:val="en-US"/>
        </w:rPr>
        <w:t>, resulting in a real budget deficit of around 8% of GDP.</w:t>
      </w:r>
    </w:p>
    <w:p w:rsidR="00F62C71" w:rsidRPr="00C7422D" w:rsidRDefault="00F62C71" w:rsidP="00F62C71">
      <w:pPr>
        <w:pStyle w:val="BodyText"/>
      </w:pPr>
      <w:r w:rsidRPr="00C7422D">
        <w:t xml:space="preserve">A new intergovernmental financing regime, developed through seven years of AusAID assistance to the National and Economic Fiscal Commission, </w:t>
      </w:r>
      <w:r w:rsidR="00D2496B">
        <w:t>started</w:t>
      </w:r>
      <w:r w:rsidR="00D2496B" w:rsidRPr="00C7422D">
        <w:t xml:space="preserve"> </w:t>
      </w:r>
      <w:r w:rsidRPr="00C7422D">
        <w:t xml:space="preserve">in 2009. This helped to </w:t>
      </w:r>
      <w:r w:rsidR="000040E2">
        <w:t>increase</w:t>
      </w:r>
      <w:r w:rsidRPr="00C7422D">
        <w:t xml:space="preserve"> service delivery funding to provinces</w:t>
      </w:r>
      <w:r w:rsidR="00917D06">
        <w:t xml:space="preserve"> by 25% </w:t>
      </w:r>
      <w:r w:rsidR="007315FD">
        <w:t>compared with</w:t>
      </w:r>
      <w:r w:rsidRPr="00C7422D">
        <w:t xml:space="preserve"> 2008. </w:t>
      </w:r>
    </w:p>
    <w:p w:rsidR="00F62C71" w:rsidRPr="00C7422D" w:rsidRDefault="00F62C71" w:rsidP="00F62C71">
      <w:pPr>
        <w:pStyle w:val="BodyText"/>
      </w:pPr>
      <w:r>
        <w:t>PNG</w:t>
      </w:r>
      <w:r w:rsidR="00D2496B">
        <w:t>’s</w:t>
      </w:r>
      <w:r>
        <w:t xml:space="preserve"> Department of </w:t>
      </w:r>
      <w:r w:rsidRPr="00C7422D">
        <w:t xml:space="preserve">Finance improved budget </w:t>
      </w:r>
      <w:proofErr w:type="gramStart"/>
      <w:r w:rsidRPr="00C7422D">
        <w:t>processes</w:t>
      </w:r>
      <w:r w:rsidR="000040E2">
        <w:t>,</w:t>
      </w:r>
      <w:proofErr w:type="gramEnd"/>
      <w:r w:rsidR="000040E2">
        <w:t xml:space="preserve"> </w:t>
      </w:r>
      <w:r w:rsidR="000040E2" w:rsidRPr="00035246">
        <w:t>worked better</w:t>
      </w:r>
      <w:r w:rsidRPr="00035246">
        <w:t xml:space="preserve"> with the provinces and reinvigorated the Internal Audit Committee</w:t>
      </w:r>
      <w:r w:rsidRPr="00C7422D">
        <w:t>. In 2009, 70% of the Department of Finance audit plan was completed, a</w:t>
      </w:r>
      <w:r>
        <w:t xml:space="preserve"> strong </w:t>
      </w:r>
      <w:r w:rsidRPr="00C7422D">
        <w:t xml:space="preserve">improvement </w:t>
      </w:r>
      <w:r w:rsidR="00D2496B">
        <w:t>over</w:t>
      </w:r>
      <w:r w:rsidR="00D2496B" w:rsidRPr="00C7422D">
        <w:t xml:space="preserve"> </w:t>
      </w:r>
      <w:r w:rsidRPr="00C7422D">
        <w:t>earlier years.</w:t>
      </w:r>
      <w:r>
        <w:t xml:space="preserve"> </w:t>
      </w:r>
      <w:r w:rsidR="00035246">
        <w:t xml:space="preserve">Two new internal audit committees began operation in 2009, bringing the total number to 19, </w:t>
      </w:r>
      <w:r w:rsidRPr="00C7422D">
        <w:t>and the number of audit committee meetings increased.</w:t>
      </w:r>
    </w:p>
    <w:p w:rsidR="00F62C71" w:rsidRPr="00C7422D" w:rsidRDefault="00F62C71" w:rsidP="00F62C71">
      <w:pPr>
        <w:pStyle w:val="BodyText"/>
      </w:pPr>
      <w:r w:rsidRPr="00C7422D">
        <w:t>The Auditor General’s Office cleared the audit backlogs from 2007 and 2008 and complete</w:t>
      </w:r>
      <w:r w:rsidR="00D2496B">
        <w:t>d the</w:t>
      </w:r>
      <w:r w:rsidRPr="00C7422D">
        <w:t xml:space="preserve"> 2009 audits on time. </w:t>
      </w:r>
      <w:r w:rsidR="000040E2">
        <w:t>It</w:t>
      </w:r>
      <w:r w:rsidRPr="00C7422D">
        <w:t xml:space="preserve"> </w:t>
      </w:r>
      <w:r w:rsidR="00D2496B">
        <w:t>sharpened</w:t>
      </w:r>
      <w:r w:rsidRPr="00C7422D">
        <w:t xml:space="preserve"> its focus on provincial governments, to</w:t>
      </w:r>
      <w:r w:rsidR="000040E2">
        <w:t xml:space="preserve"> help</w:t>
      </w:r>
      <w:r w:rsidRPr="00C7422D">
        <w:t xml:space="preserve"> improve accountability for service delivery at the sub-national level.</w:t>
      </w:r>
      <w:r>
        <w:t xml:space="preserve"> </w:t>
      </w:r>
    </w:p>
    <w:p w:rsidR="00F62C71" w:rsidRDefault="00F62C71" w:rsidP="00F62C71">
      <w:pPr>
        <w:pStyle w:val="BodyText"/>
      </w:pPr>
      <w:r w:rsidRPr="00C7422D">
        <w:t>The Provincial</w:t>
      </w:r>
      <w:r>
        <w:t xml:space="preserve"> </w:t>
      </w:r>
      <w:r w:rsidRPr="00C7422D">
        <w:t xml:space="preserve">Capacity Building Program </w:t>
      </w:r>
      <w:r w:rsidR="000040E2">
        <w:t>continued</w:t>
      </w:r>
      <w:r w:rsidR="000040E2" w:rsidRPr="00C7422D">
        <w:t xml:space="preserve"> </w:t>
      </w:r>
      <w:r w:rsidRPr="00C7422D">
        <w:t xml:space="preserve">improving financial management at the sub-national level in </w:t>
      </w:r>
      <w:r>
        <w:t>p</w:t>
      </w:r>
      <w:r w:rsidRPr="00C7422D">
        <w:t xml:space="preserve">rovincial and </w:t>
      </w:r>
      <w:r>
        <w:t>d</w:t>
      </w:r>
      <w:r w:rsidRPr="00C7422D">
        <w:t xml:space="preserve">istrict </w:t>
      </w:r>
      <w:r w:rsidR="00D2496B">
        <w:t>t</w:t>
      </w:r>
      <w:r w:rsidRPr="00C7422D">
        <w:t>reasuries in six provinces. A backlog of work from 4</w:t>
      </w:r>
      <w:r w:rsidR="00007034">
        <w:t xml:space="preserve"> to </w:t>
      </w:r>
      <w:r w:rsidRPr="00C7422D">
        <w:t>5 years ago was cleared for most supported provinces</w:t>
      </w:r>
      <w:r w:rsidR="00CC28EF">
        <w:t>. T</w:t>
      </w:r>
      <w:r w:rsidRPr="00C7422D">
        <w:t>he average time</w:t>
      </w:r>
      <w:r w:rsidR="00D2496B">
        <w:t xml:space="preserve"> taken</w:t>
      </w:r>
      <w:r w:rsidRPr="00C7422D">
        <w:t xml:space="preserve"> to lodge financial reconciliations for </w:t>
      </w:r>
      <w:r w:rsidRPr="00CC28EF">
        <w:t xml:space="preserve">supported provinces </w:t>
      </w:r>
      <w:r w:rsidR="00D2496B" w:rsidRPr="00CC28EF">
        <w:t xml:space="preserve">was </w:t>
      </w:r>
      <w:r w:rsidRPr="00CC28EF">
        <w:t>2.6 months, compared to an average of 7.4 months</w:t>
      </w:r>
      <w:r w:rsidRPr="00CC28EF">
        <w:rPr>
          <w:vertAlign w:val="superscript"/>
        </w:rPr>
        <w:footnoteReference w:id="10"/>
      </w:r>
      <w:r w:rsidRPr="00CC28EF">
        <w:t xml:space="preserve"> for other provinces.</w:t>
      </w:r>
      <w:r>
        <w:t xml:space="preserve"> </w:t>
      </w:r>
    </w:p>
    <w:p w:rsidR="00F62C71" w:rsidRDefault="00F62C71" w:rsidP="00AD470F">
      <w:pPr>
        <w:pStyle w:val="Heading2"/>
      </w:pPr>
      <w:bookmarkStart w:id="27" w:name="_Toc266959817"/>
      <w:bookmarkStart w:id="28" w:name="_Toc268267519"/>
      <w:bookmarkStart w:id="29" w:name="_Toc360703166"/>
      <w:r>
        <w:t xml:space="preserve">Objective: </w:t>
      </w:r>
      <w:r w:rsidRPr="00C7422D">
        <w:t>Development policy and program formulation based on sound statistics and performance reporting</w:t>
      </w:r>
      <w:bookmarkEnd w:id="27"/>
      <w:bookmarkEnd w:id="28"/>
      <w:bookmarkEnd w:id="29"/>
    </w:p>
    <w:p w:rsidR="00F62C71" w:rsidRPr="00C7422D" w:rsidRDefault="00F62C71" w:rsidP="00F62C71">
      <w:pPr>
        <w:pStyle w:val="BodyText"/>
      </w:pPr>
      <w:r>
        <w:t>Australia</w:t>
      </w:r>
      <w:r w:rsidRPr="00C7422D">
        <w:t xml:space="preserve"> provide</w:t>
      </w:r>
      <w:r>
        <w:t>d</w:t>
      </w:r>
      <w:r w:rsidRPr="00C7422D">
        <w:t xml:space="preserve"> technical assistance and funding to </w:t>
      </w:r>
      <w:r>
        <w:t xml:space="preserve">the </w:t>
      </w:r>
      <w:r w:rsidR="00385581">
        <w:t xml:space="preserve">PNG </w:t>
      </w:r>
      <w:r w:rsidR="00524066">
        <w:t>G</w:t>
      </w:r>
      <w:r>
        <w:t>overnment to</w:t>
      </w:r>
      <w:r w:rsidR="00604AB8">
        <w:t xml:space="preserve"> design a National Statistical Development Strategy, to guide the delivery of</w:t>
      </w:r>
      <w:r w:rsidRPr="00C7422D">
        <w:t xml:space="preserve"> the 2008</w:t>
      </w:r>
      <w:r w:rsidR="00007034">
        <w:t>–</w:t>
      </w:r>
      <w:r w:rsidRPr="00C7422D">
        <w:t>09 Household Income and Expenditure Survey</w:t>
      </w:r>
      <w:r>
        <w:t xml:space="preserve"> and</w:t>
      </w:r>
      <w:r w:rsidR="007315FD">
        <w:t xml:space="preserve"> to</w:t>
      </w:r>
      <w:r w:rsidRPr="00C7422D">
        <w:t xml:space="preserve"> improve</w:t>
      </w:r>
      <w:r w:rsidR="00385581">
        <w:t xml:space="preserve"> the</w:t>
      </w:r>
      <w:r w:rsidRPr="00C7422D">
        <w:t xml:space="preserve"> collection, analys</w:t>
      </w:r>
      <w:r>
        <w:t>i</w:t>
      </w:r>
      <w:r w:rsidRPr="00C7422D">
        <w:t xml:space="preserve">s and use of development data in </w:t>
      </w:r>
      <w:r w:rsidR="00162FD2">
        <w:t xml:space="preserve">formulating </w:t>
      </w:r>
      <w:r w:rsidRPr="00C7422D">
        <w:t>policy</w:t>
      </w:r>
      <w:r>
        <w:t>. Support to</w:t>
      </w:r>
      <w:r w:rsidRPr="00C7422D">
        <w:t xml:space="preserve"> the </w:t>
      </w:r>
      <w:r>
        <w:t xml:space="preserve">planned </w:t>
      </w:r>
      <w:r w:rsidRPr="00C7422D">
        <w:t>2010 National Population Census</w:t>
      </w:r>
      <w:r>
        <w:t xml:space="preserve"> was limited </w:t>
      </w:r>
      <w:r w:rsidR="00604AB8">
        <w:t xml:space="preserve">because </w:t>
      </w:r>
      <w:r>
        <w:t xml:space="preserve">the census </w:t>
      </w:r>
      <w:r w:rsidR="00604AB8">
        <w:t>w</w:t>
      </w:r>
      <w:r>
        <w:t>as deferred until 2011</w:t>
      </w:r>
      <w:r w:rsidRPr="00C7422D">
        <w:t>.</w:t>
      </w:r>
    </w:p>
    <w:p w:rsidR="00F62C71" w:rsidRDefault="00F62C71" w:rsidP="00F62C71">
      <w:pPr>
        <w:pStyle w:val="BodyText"/>
      </w:pPr>
      <w:r>
        <w:t xml:space="preserve">The </w:t>
      </w:r>
      <w:r w:rsidRPr="00C7422D">
        <w:t xml:space="preserve">Household Income and Expenditure Survey completed </w:t>
      </w:r>
      <w:r w:rsidR="00604AB8">
        <w:t>its</w:t>
      </w:r>
      <w:r w:rsidR="00604AB8" w:rsidRPr="00C7422D">
        <w:t xml:space="preserve"> </w:t>
      </w:r>
      <w:r>
        <w:t>sixth</w:t>
      </w:r>
      <w:r w:rsidRPr="00C7422D">
        <w:t xml:space="preserve"> month of data collection </w:t>
      </w:r>
      <w:r w:rsidR="002D516B" w:rsidRPr="002D516B">
        <w:t xml:space="preserve">by </w:t>
      </w:r>
      <w:r w:rsidRPr="002D516B">
        <w:t>March 2010. The National Statistics Office is working to release some preliminary tables.</w:t>
      </w:r>
      <w:r w:rsidRPr="00C7422D">
        <w:t xml:space="preserve"> Timely availability of operational </w:t>
      </w:r>
      <w:r w:rsidRPr="00CC28EF">
        <w:t xml:space="preserve">funds is the </w:t>
      </w:r>
      <w:r w:rsidR="00524066">
        <w:t xml:space="preserve">project’s </w:t>
      </w:r>
      <w:r w:rsidRPr="00CC28EF">
        <w:t xml:space="preserve">biggest challenge, </w:t>
      </w:r>
      <w:r w:rsidR="00846337">
        <w:t xml:space="preserve">costing the project </w:t>
      </w:r>
      <w:r w:rsidRPr="00CC28EF">
        <w:t>three to four months</w:t>
      </w:r>
      <w:r w:rsidR="00A55F8B">
        <w:t xml:space="preserve"> </w:t>
      </w:r>
      <w:r w:rsidR="00846337">
        <w:t xml:space="preserve">of </w:t>
      </w:r>
      <w:r w:rsidR="00846337" w:rsidRPr="00CC28EF">
        <w:t>data collection</w:t>
      </w:r>
      <w:r w:rsidR="00846337">
        <w:t xml:space="preserve"> time</w:t>
      </w:r>
      <w:r w:rsidRPr="00CC28EF">
        <w:t>.</w:t>
      </w:r>
      <w:r w:rsidRPr="00C7422D">
        <w:t xml:space="preserve"> Treasury, </w:t>
      </w:r>
      <w:r w:rsidR="00604AB8">
        <w:t xml:space="preserve">the </w:t>
      </w:r>
      <w:r w:rsidRPr="00C7422D">
        <w:t xml:space="preserve">National Statistics Office, </w:t>
      </w:r>
      <w:r>
        <w:t>f</w:t>
      </w:r>
      <w:r w:rsidRPr="00C7422D">
        <w:t xml:space="preserve">inance </w:t>
      </w:r>
      <w:r>
        <w:t>m</w:t>
      </w:r>
      <w:r w:rsidRPr="00C7422D">
        <w:t xml:space="preserve">anagers, donors and the Central Supply and Tenders Board are working together to </w:t>
      </w:r>
      <w:r w:rsidR="00604AB8">
        <w:t xml:space="preserve">streamline processes and </w:t>
      </w:r>
      <w:r w:rsidR="00524066">
        <w:t>release the</w:t>
      </w:r>
      <w:r w:rsidR="00524066" w:rsidRPr="00C7422D">
        <w:t xml:space="preserve"> </w:t>
      </w:r>
      <w:r w:rsidRPr="00C7422D">
        <w:t>funds</w:t>
      </w:r>
      <w:r w:rsidR="00604AB8">
        <w:t xml:space="preserve"> more quickly.</w:t>
      </w:r>
      <w:r w:rsidRPr="00C7422D">
        <w:t xml:space="preserve"> </w:t>
      </w:r>
    </w:p>
    <w:p w:rsidR="00466423" w:rsidRPr="00466423" w:rsidRDefault="00466423" w:rsidP="00466423">
      <w:pPr>
        <w:pStyle w:val="BodyText"/>
      </w:pPr>
      <w:r w:rsidRPr="00466423">
        <w:t>The Household Income and Expenditure Survey has included a focus on gender equality at all stages, but most significantly in designing the survey to include collection of data on violence against women and children in the home and designing for greater sex disaggregation of data.</w:t>
      </w:r>
    </w:p>
    <w:p w:rsidR="00F62C71" w:rsidRDefault="00AC673A" w:rsidP="00F62C71">
      <w:pPr>
        <w:pStyle w:val="BodyText"/>
      </w:pPr>
      <w:r>
        <w:t>A</w:t>
      </w:r>
      <w:r w:rsidR="002D516B">
        <w:t>nother benefit</w:t>
      </w:r>
      <w:r w:rsidR="00F62C71" w:rsidRPr="00C7422D">
        <w:t xml:space="preserve"> of the Household Income and Expenditure Survey has been </w:t>
      </w:r>
      <w:r w:rsidR="00604AB8">
        <w:t xml:space="preserve">to improve the skills </w:t>
      </w:r>
      <w:r w:rsidR="00F62C71" w:rsidRPr="00C7422D">
        <w:t xml:space="preserve">of National Statistics Office staff </w:t>
      </w:r>
      <w:r w:rsidR="00604AB8">
        <w:t>to collect and manage</w:t>
      </w:r>
      <w:r w:rsidR="00F62C71" w:rsidRPr="00C7422D">
        <w:t xml:space="preserve"> electronic data.</w:t>
      </w:r>
    </w:p>
    <w:p w:rsidR="00F62C71" w:rsidRPr="00C7422D" w:rsidRDefault="00F62C71" w:rsidP="00F62C71">
      <w:pPr>
        <w:pStyle w:val="BodyText"/>
      </w:pPr>
      <w:r w:rsidRPr="00C7422D">
        <w:t xml:space="preserve">The 2006 Demographic </w:t>
      </w:r>
      <w:r w:rsidR="00224A74">
        <w:t xml:space="preserve">and </w:t>
      </w:r>
      <w:r w:rsidRPr="00C7422D">
        <w:t xml:space="preserve">Health Survey </w:t>
      </w:r>
      <w:proofErr w:type="gramStart"/>
      <w:r w:rsidRPr="00C7422D">
        <w:t>was</w:t>
      </w:r>
      <w:proofErr w:type="gramEnd"/>
      <w:r w:rsidRPr="00C7422D">
        <w:t xml:space="preserve"> completed in May 2009. </w:t>
      </w:r>
      <w:r w:rsidR="00604AB8">
        <w:t>W</w:t>
      </w:r>
      <w:r w:rsidRPr="00C7422D">
        <w:t xml:space="preserve">hile conducted outside the timeframe of the partnership program, </w:t>
      </w:r>
      <w:r w:rsidR="00604AB8">
        <w:t xml:space="preserve">it </w:t>
      </w:r>
      <w:r w:rsidRPr="00C7422D">
        <w:t xml:space="preserve">sets the baseline for the next Demographic </w:t>
      </w:r>
      <w:r w:rsidR="00224A74">
        <w:t xml:space="preserve">and </w:t>
      </w:r>
      <w:r w:rsidRPr="00C7422D">
        <w:t>Health Survey</w:t>
      </w:r>
      <w:r>
        <w:t>,</w:t>
      </w:r>
      <w:r w:rsidRPr="00C7422D">
        <w:t xml:space="preserve"> due in 2011. It will be a key achievement if the </w:t>
      </w:r>
      <w:r>
        <w:t>survey</w:t>
      </w:r>
      <w:r w:rsidRPr="00C7422D">
        <w:t xml:space="preserve"> </w:t>
      </w:r>
      <w:r w:rsidRPr="00C7422D">
        <w:lastRenderedPageBreak/>
        <w:t>continues to be conducted and reported</w:t>
      </w:r>
      <w:r w:rsidR="00A55F8B">
        <w:t xml:space="preserve"> </w:t>
      </w:r>
      <w:r w:rsidRPr="00C7422D">
        <w:t xml:space="preserve">every five years. </w:t>
      </w:r>
      <w:r w:rsidR="00A55F8B">
        <w:t>So far</w:t>
      </w:r>
      <w:r w:rsidRPr="00C7422D">
        <w:t xml:space="preserve">, planning and budgeting have not begun for a 2011 start date. </w:t>
      </w:r>
    </w:p>
    <w:p w:rsidR="00F62C71" w:rsidRDefault="00F62C71" w:rsidP="00AD470F">
      <w:pPr>
        <w:pStyle w:val="Heading2"/>
      </w:pPr>
      <w:bookmarkStart w:id="30" w:name="_Toc266959819"/>
      <w:bookmarkStart w:id="31" w:name="_Toc268267520"/>
      <w:bookmarkStart w:id="32" w:name="_Toc360703167"/>
      <w:r>
        <w:t xml:space="preserve">Objective: </w:t>
      </w:r>
      <w:r w:rsidRPr="00F96D6C">
        <w:t xml:space="preserve">Improved ability to provide </w:t>
      </w:r>
      <w:r w:rsidR="00604AB8">
        <w:t>l</w:t>
      </w:r>
      <w:r w:rsidRPr="00F96D6C">
        <w:t xml:space="preserve">aw </w:t>
      </w:r>
      <w:r>
        <w:t>and</w:t>
      </w:r>
      <w:r w:rsidRPr="00F96D6C">
        <w:t xml:space="preserve"> </w:t>
      </w:r>
      <w:r w:rsidR="00604AB8">
        <w:t>j</w:t>
      </w:r>
      <w:r w:rsidRPr="00F96D6C">
        <w:t>ustice services</w:t>
      </w:r>
      <w:bookmarkEnd w:id="30"/>
      <w:bookmarkEnd w:id="31"/>
      <w:bookmarkEnd w:id="32"/>
    </w:p>
    <w:p w:rsidR="00F62C71" w:rsidRDefault="00A24279" w:rsidP="00F62C71">
      <w:pPr>
        <w:pStyle w:val="BodyText"/>
      </w:pPr>
      <w:r>
        <w:t xml:space="preserve">The decline in overall law and order </w:t>
      </w:r>
      <w:r w:rsidR="00A55F8B">
        <w:t>remains</w:t>
      </w:r>
      <w:r>
        <w:t xml:space="preserve"> a serious concern. </w:t>
      </w:r>
      <w:r w:rsidR="00F62C71" w:rsidRPr="00F96D6C">
        <w:t xml:space="preserve">Fear of </w:t>
      </w:r>
      <w:r w:rsidR="00F62C71" w:rsidRPr="00A24279">
        <w:t xml:space="preserve">crime continues to be high and perceptions of corruption and </w:t>
      </w:r>
      <w:r w:rsidR="00A55F8B">
        <w:t xml:space="preserve">the ability of the </w:t>
      </w:r>
      <w:r w:rsidR="00F62C71" w:rsidRPr="00A24279">
        <w:t xml:space="preserve">police </w:t>
      </w:r>
      <w:r w:rsidR="00A55F8B">
        <w:t>to deal with these issues</w:t>
      </w:r>
      <w:r w:rsidR="00A55F8B" w:rsidRPr="00A24279">
        <w:t xml:space="preserve"> </w:t>
      </w:r>
      <w:r w:rsidR="00F62C71" w:rsidRPr="00A24279">
        <w:t>remain</w:t>
      </w:r>
      <w:r w:rsidR="00A55F8B">
        <w:t>s</w:t>
      </w:r>
      <w:r w:rsidR="00F62C71" w:rsidRPr="00A24279">
        <w:t xml:space="preserve"> negative according to crime surveys</w:t>
      </w:r>
      <w:r w:rsidR="00F62C71" w:rsidRPr="00A24279">
        <w:rPr>
          <w:vertAlign w:val="superscript"/>
        </w:rPr>
        <w:footnoteReference w:id="11"/>
      </w:r>
      <w:r w:rsidR="00F62C71" w:rsidRPr="00A24279">
        <w:t xml:space="preserve"> conducted</w:t>
      </w:r>
      <w:r w:rsidR="00A55F8B">
        <w:t xml:space="preserve"> during 2009</w:t>
      </w:r>
      <w:r w:rsidR="00F62C71" w:rsidRPr="00A24279">
        <w:t xml:space="preserve"> in Bougainville (</w:t>
      </w:r>
      <w:proofErr w:type="spellStart"/>
      <w:r w:rsidR="00F62C71" w:rsidRPr="00A24279">
        <w:t>Buka</w:t>
      </w:r>
      <w:proofErr w:type="spellEnd"/>
      <w:r w:rsidR="00F62C71" w:rsidRPr="00A24279">
        <w:t xml:space="preserve"> and </w:t>
      </w:r>
      <w:proofErr w:type="spellStart"/>
      <w:r w:rsidR="00F62C71" w:rsidRPr="00A24279">
        <w:t>Arawa</w:t>
      </w:r>
      <w:proofErr w:type="spellEnd"/>
      <w:r w:rsidR="00F62C71" w:rsidRPr="00A24279">
        <w:t>), Mt</w:t>
      </w:r>
      <w:r w:rsidR="00BF580A" w:rsidRPr="00A24279">
        <w:t> </w:t>
      </w:r>
      <w:r w:rsidR="00F62C71" w:rsidRPr="00A24279">
        <w:t>Hagen and Port Moresby (National</w:t>
      </w:r>
      <w:r w:rsidR="00F62C71">
        <w:t xml:space="preserve"> Capital District</w:t>
      </w:r>
      <w:r w:rsidR="00F62C71" w:rsidRPr="00F96D6C">
        <w:t xml:space="preserve">). </w:t>
      </w:r>
      <w:r w:rsidR="00BF580A">
        <w:t>The</w:t>
      </w:r>
      <w:r w:rsidR="00F62C71" w:rsidRPr="00F96D6C">
        <w:t xml:space="preserve"> lack of reliable statistics makes it difficult to </w:t>
      </w:r>
      <w:r w:rsidR="00BF580A">
        <w:t>judge</w:t>
      </w:r>
      <w:r w:rsidR="00F62C71" w:rsidRPr="00F96D6C">
        <w:t xml:space="preserve"> </w:t>
      </w:r>
      <w:r w:rsidR="00BF580A" w:rsidRPr="00F96D6C">
        <w:t xml:space="preserve">criminal justice </w:t>
      </w:r>
      <w:r w:rsidR="00F62C71" w:rsidRPr="00F96D6C">
        <w:t>trends in PNG</w:t>
      </w:r>
      <w:r w:rsidR="00F62C71">
        <w:t>,</w:t>
      </w:r>
      <w:r w:rsidR="00F62C71" w:rsidRPr="00F96D6C">
        <w:t xml:space="preserve"> </w:t>
      </w:r>
      <w:r>
        <w:t>but</w:t>
      </w:r>
      <w:r w:rsidR="00F62C71" w:rsidRPr="00F96D6C">
        <w:t xml:space="preserve"> violent crime</w:t>
      </w:r>
      <w:r>
        <w:t>—</w:t>
      </w:r>
      <w:r w:rsidR="00F62C71" w:rsidRPr="00F96D6C">
        <w:t>including well-planned and executed robberies of banks and business</w:t>
      </w:r>
      <w:r w:rsidR="00F62C71">
        <w:t>es</w:t>
      </w:r>
      <w:r>
        <w:t>—</w:t>
      </w:r>
      <w:r w:rsidR="00BF580A">
        <w:t>is</w:t>
      </w:r>
      <w:r w:rsidR="00F62C71">
        <w:t xml:space="preserve"> </w:t>
      </w:r>
      <w:r w:rsidR="00F62C71" w:rsidRPr="00F96D6C">
        <w:t>increasing. Kidnapping for ransom is emerging as a problem and domest</w:t>
      </w:r>
      <w:r w:rsidR="00F62C71">
        <w:t>ic and sexual violence continue</w:t>
      </w:r>
      <w:r w:rsidR="00F62C71" w:rsidRPr="00F96D6C">
        <w:t xml:space="preserve"> to be </w:t>
      </w:r>
      <w:r w:rsidR="00F62C71">
        <w:t>endemic</w:t>
      </w:r>
      <w:r w:rsidR="00F62C71" w:rsidRPr="00DE27CF">
        <w:t>.</w:t>
      </w:r>
      <w:r w:rsidR="00F62C71" w:rsidRPr="00F96D6C">
        <w:t xml:space="preserve"> </w:t>
      </w:r>
    </w:p>
    <w:p w:rsidR="00F62C71" w:rsidRPr="00D41B13" w:rsidRDefault="00F62C71" w:rsidP="00F62C71">
      <w:pPr>
        <w:pStyle w:val="BodyText"/>
        <w:rPr>
          <w:lang w:val="en-US"/>
        </w:rPr>
      </w:pPr>
      <w:r>
        <w:rPr>
          <w:lang w:val="en-US"/>
        </w:rPr>
        <w:t>As acknowledged by the PNG Government, t</w:t>
      </w:r>
      <w:r w:rsidRPr="00D41B13">
        <w:rPr>
          <w:lang w:val="en-US"/>
        </w:rPr>
        <w:t xml:space="preserve">he Royal PNG Constabulary and </w:t>
      </w:r>
      <w:r w:rsidR="008277A0">
        <w:rPr>
          <w:lang w:val="en-US"/>
        </w:rPr>
        <w:br/>
      </w:r>
      <w:r w:rsidRPr="00D41B13">
        <w:rPr>
          <w:lang w:val="en-US"/>
        </w:rPr>
        <w:t>Correctional Services are in crisis</w:t>
      </w:r>
      <w:r w:rsidR="00917D06">
        <w:rPr>
          <w:lang w:val="en-US"/>
        </w:rPr>
        <w:t>,</w:t>
      </w:r>
      <w:r w:rsidRPr="00D41B13">
        <w:rPr>
          <w:lang w:val="en-US"/>
        </w:rPr>
        <w:t xml:space="preserve"> with ageing workforces and an inability to deliver services. </w:t>
      </w:r>
      <w:r w:rsidR="008277A0">
        <w:rPr>
          <w:lang w:val="en-US"/>
        </w:rPr>
        <w:br/>
      </w:r>
      <w:r w:rsidRPr="00D41B13">
        <w:rPr>
          <w:lang w:val="en-US"/>
        </w:rPr>
        <w:t>Correctional Services performance was particularly poor in 2009, with prison breakouts continuing to rise and escapee</w:t>
      </w:r>
      <w:r>
        <w:rPr>
          <w:lang w:val="en-US"/>
        </w:rPr>
        <w:t xml:space="preserve"> numbers</w:t>
      </w:r>
      <w:r w:rsidRPr="00D41B13">
        <w:rPr>
          <w:lang w:val="en-US"/>
        </w:rPr>
        <w:t xml:space="preserve"> estimated to be as high as 460 in 2009, representing almost a 100%</w:t>
      </w:r>
      <w:r w:rsidR="008277A0">
        <w:rPr>
          <w:lang w:val="en-US"/>
        </w:rPr>
        <w:t> </w:t>
      </w:r>
      <w:r w:rsidRPr="00D41B13">
        <w:rPr>
          <w:lang w:val="en-US"/>
        </w:rPr>
        <w:t>incre</w:t>
      </w:r>
      <w:r>
        <w:rPr>
          <w:lang w:val="en-US"/>
        </w:rPr>
        <w:t>ase on 2008</w:t>
      </w:r>
      <w:r w:rsidRPr="00D41B13">
        <w:rPr>
          <w:lang w:val="en-US"/>
        </w:rPr>
        <w:t>.</w:t>
      </w:r>
    </w:p>
    <w:p w:rsidR="00F62C71" w:rsidRPr="00F96D6C" w:rsidRDefault="00F62C71" w:rsidP="00F62C71">
      <w:pPr>
        <w:pStyle w:val="BodyText"/>
      </w:pPr>
      <w:r>
        <w:t xml:space="preserve">Australian assistance is helping to improve </w:t>
      </w:r>
      <w:r w:rsidR="00A24279">
        <w:t xml:space="preserve">law and order </w:t>
      </w:r>
      <w:r>
        <w:t xml:space="preserve">in some areas. Australia </w:t>
      </w:r>
      <w:r w:rsidR="00A24279">
        <w:t>is advising on</w:t>
      </w:r>
      <w:r w:rsidRPr="00F96D6C">
        <w:t xml:space="preserve"> the restoration of the rule of law in Bougainville</w:t>
      </w:r>
      <w:r w:rsidR="00A24279">
        <w:t>,</w:t>
      </w:r>
      <w:r w:rsidRPr="00F96D6C">
        <w:t xml:space="preserve"> </w:t>
      </w:r>
      <w:r w:rsidR="002D516B" w:rsidRPr="002D516B">
        <w:t xml:space="preserve">on </w:t>
      </w:r>
      <w:r w:rsidRPr="002D516B">
        <w:t xml:space="preserve">the establishment of </w:t>
      </w:r>
      <w:r w:rsidRPr="008825E2">
        <w:t>law and justice</w:t>
      </w:r>
      <w:r w:rsidR="007315FD" w:rsidRPr="008825E2">
        <w:t xml:space="preserve"> agencies</w:t>
      </w:r>
      <w:r w:rsidR="007315FD" w:rsidRPr="002D516B">
        <w:t xml:space="preserve"> </w:t>
      </w:r>
      <w:r w:rsidRPr="002D516B">
        <w:t xml:space="preserve">and </w:t>
      </w:r>
      <w:r w:rsidR="002D516B" w:rsidRPr="002D516B">
        <w:t xml:space="preserve">on </w:t>
      </w:r>
      <w:r w:rsidR="00F555F6" w:rsidRPr="002D516B">
        <w:t xml:space="preserve">building </w:t>
      </w:r>
      <w:r w:rsidR="008277A0" w:rsidRPr="002D516B">
        <w:t xml:space="preserve">the </w:t>
      </w:r>
      <w:r w:rsidRPr="002D516B">
        <w:t xml:space="preserve">capacity of the </w:t>
      </w:r>
      <w:r w:rsidR="008825E2">
        <w:t xml:space="preserve">Bougainville </w:t>
      </w:r>
      <w:r w:rsidRPr="002D516B">
        <w:t>Law and Justice Division</w:t>
      </w:r>
      <w:r w:rsidRPr="00F96D6C">
        <w:t xml:space="preserve">. </w:t>
      </w:r>
      <w:r w:rsidR="00A24279">
        <w:t>Australian s</w:t>
      </w:r>
      <w:r>
        <w:t>upport for t</w:t>
      </w:r>
      <w:r w:rsidRPr="00F96D6C">
        <w:t xml:space="preserve">he </w:t>
      </w:r>
      <w:proofErr w:type="spellStart"/>
      <w:r w:rsidRPr="00F96D6C">
        <w:t>Buka</w:t>
      </w:r>
      <w:proofErr w:type="spellEnd"/>
      <w:r w:rsidRPr="00F96D6C">
        <w:t xml:space="preserve"> Prison </w:t>
      </w:r>
      <w:r w:rsidR="00CC072A">
        <w:t xml:space="preserve">is resulting in </w:t>
      </w:r>
      <w:r w:rsidRPr="00F96D6C">
        <w:t xml:space="preserve">more secure and humane conditions for prisoners. </w:t>
      </w:r>
      <w:r w:rsidR="00F555F6">
        <w:t xml:space="preserve">Australia assists </w:t>
      </w:r>
      <w:r w:rsidRPr="00F96D6C">
        <w:t>Community Justice Centres on Bougainville, managed by the community for the commun</w:t>
      </w:r>
      <w:r w:rsidRPr="001B2B76">
        <w:t>ity</w:t>
      </w:r>
      <w:r w:rsidR="008277A0" w:rsidRPr="001B2B76">
        <w:t xml:space="preserve">. </w:t>
      </w:r>
      <w:r w:rsidR="00BA3E6E" w:rsidRPr="00BA3E6E">
        <w:t xml:space="preserve">These centres support coordinated judicial circuits and service desks for women, youth, village courts, Community Auxiliary Police, the Council of Elders, counselling </w:t>
      </w:r>
      <w:r w:rsidR="00466423">
        <w:t xml:space="preserve">services and HIV/AIDS support. </w:t>
      </w:r>
    </w:p>
    <w:p w:rsidR="00F62C71" w:rsidRPr="00F96D6C" w:rsidRDefault="00F62C71" w:rsidP="00F62C71">
      <w:pPr>
        <w:pStyle w:val="BodyText"/>
      </w:pPr>
      <w:r>
        <w:t>Australian</w:t>
      </w:r>
      <w:r w:rsidRPr="00F96D6C">
        <w:t xml:space="preserve"> support for the h</w:t>
      </w:r>
      <w:r>
        <w:t>igh</w:t>
      </w:r>
      <w:r w:rsidR="00BF580A">
        <w:t>-</w:t>
      </w:r>
      <w:r>
        <w:t xml:space="preserve">profile </w:t>
      </w:r>
      <w:proofErr w:type="spellStart"/>
      <w:r w:rsidRPr="00BF580A">
        <w:rPr>
          <w:i/>
        </w:rPr>
        <w:t>Yumi</w:t>
      </w:r>
      <w:proofErr w:type="spellEnd"/>
      <w:r w:rsidRPr="00BF580A">
        <w:rPr>
          <w:i/>
        </w:rPr>
        <w:t xml:space="preserve"> </w:t>
      </w:r>
      <w:proofErr w:type="spellStart"/>
      <w:r w:rsidRPr="00BF580A">
        <w:rPr>
          <w:i/>
        </w:rPr>
        <w:t>Lukautim</w:t>
      </w:r>
      <w:proofErr w:type="spellEnd"/>
      <w:r w:rsidRPr="00BF580A">
        <w:rPr>
          <w:i/>
        </w:rPr>
        <w:t xml:space="preserve"> </w:t>
      </w:r>
      <w:proofErr w:type="spellStart"/>
      <w:r w:rsidRPr="00BF580A">
        <w:rPr>
          <w:i/>
        </w:rPr>
        <w:t>Mosbi</w:t>
      </w:r>
      <w:proofErr w:type="spellEnd"/>
      <w:r>
        <w:t xml:space="preserve"> (</w:t>
      </w:r>
      <w:r w:rsidR="00CC072A">
        <w:t>Let’s</w:t>
      </w:r>
      <w:r>
        <w:t xml:space="preserve"> </w:t>
      </w:r>
      <w:r w:rsidR="00CC072A">
        <w:t>l</w:t>
      </w:r>
      <w:r>
        <w:t>ook afte</w:t>
      </w:r>
      <w:r w:rsidR="008825E2">
        <w:t>r</w:t>
      </w:r>
      <w:r w:rsidR="00CC072A">
        <w:t xml:space="preserve"> </w:t>
      </w:r>
      <w:r>
        <w:t xml:space="preserve">Moresby) </w:t>
      </w:r>
      <w:r w:rsidRPr="00F96D6C">
        <w:t xml:space="preserve">program is helping youth find </w:t>
      </w:r>
      <w:r w:rsidR="005246A7">
        <w:t>jobs</w:t>
      </w:r>
      <w:r w:rsidR="00CC28EF">
        <w:t>.</w:t>
      </w:r>
      <w:r w:rsidRPr="00F96D6C">
        <w:t xml:space="preserve"> </w:t>
      </w:r>
      <w:r w:rsidR="00CC28EF">
        <w:t>It is also</w:t>
      </w:r>
      <w:r w:rsidR="00CC28EF" w:rsidRPr="00F96D6C">
        <w:t xml:space="preserve"> </w:t>
      </w:r>
      <w:r w:rsidRPr="00F96D6C">
        <w:t>bringing law and justice agencies</w:t>
      </w:r>
      <w:r w:rsidR="00BA1B01">
        <w:t>,</w:t>
      </w:r>
      <w:r w:rsidRPr="00F96D6C">
        <w:t xml:space="preserve"> </w:t>
      </w:r>
      <w:r>
        <w:t>such as</w:t>
      </w:r>
      <w:r w:rsidRPr="00F96D6C">
        <w:t xml:space="preserve"> the police</w:t>
      </w:r>
      <w:r w:rsidR="00BA1B01">
        <w:t>,</w:t>
      </w:r>
      <w:r w:rsidRPr="00F96D6C">
        <w:t xml:space="preserve"> together with local government, businesses and communities to address law and order concerns. Since 2004</w:t>
      </w:r>
      <w:r w:rsidR="00BF580A">
        <w:t>,</w:t>
      </w:r>
      <w:r w:rsidRPr="00F96D6C">
        <w:t xml:space="preserve"> a total of 3600</w:t>
      </w:r>
      <w:r w:rsidR="005246A7">
        <w:t> </w:t>
      </w:r>
      <w:r w:rsidRPr="00F96D6C">
        <w:t xml:space="preserve">young people from settlements in Port Moresby have volunteered to work with police in the community as part of </w:t>
      </w:r>
      <w:proofErr w:type="spellStart"/>
      <w:r w:rsidRPr="00BF580A">
        <w:rPr>
          <w:i/>
        </w:rPr>
        <w:t>Yumi</w:t>
      </w:r>
      <w:proofErr w:type="spellEnd"/>
      <w:r w:rsidRPr="00BF580A">
        <w:rPr>
          <w:i/>
        </w:rPr>
        <w:t xml:space="preserve"> </w:t>
      </w:r>
      <w:proofErr w:type="spellStart"/>
      <w:r w:rsidRPr="00BF580A">
        <w:rPr>
          <w:i/>
        </w:rPr>
        <w:t>Lukautim</w:t>
      </w:r>
      <w:proofErr w:type="spellEnd"/>
      <w:r w:rsidRPr="00BF580A">
        <w:rPr>
          <w:i/>
        </w:rPr>
        <w:t xml:space="preserve"> </w:t>
      </w:r>
      <w:proofErr w:type="spellStart"/>
      <w:r w:rsidRPr="00BF580A">
        <w:rPr>
          <w:i/>
        </w:rPr>
        <w:t>Mosbi</w:t>
      </w:r>
      <w:proofErr w:type="spellEnd"/>
      <w:r w:rsidRPr="00F96D6C">
        <w:t xml:space="preserve">. </w:t>
      </w:r>
    </w:p>
    <w:p w:rsidR="00F62C71" w:rsidRDefault="00F62C71" w:rsidP="00F62C71">
      <w:pPr>
        <w:pStyle w:val="BodyText"/>
      </w:pPr>
      <w:r w:rsidRPr="00005C66">
        <w:t xml:space="preserve">For many PNG citizens the </w:t>
      </w:r>
      <w:r w:rsidR="00BA1B01">
        <w:t xml:space="preserve">country’s </w:t>
      </w:r>
      <w:r w:rsidRPr="00005C66">
        <w:t>1400 village courts provide the entry level for justice services</w:t>
      </w:r>
      <w:r w:rsidR="00BA1B01">
        <w:t>,</w:t>
      </w:r>
      <w:r w:rsidRPr="00005C66">
        <w:t xml:space="preserve"> and for many th</w:t>
      </w:r>
      <w:r w:rsidR="00BF580A">
        <w:t>is is th</w:t>
      </w:r>
      <w:r w:rsidRPr="00005C66">
        <w:t xml:space="preserve">e only avenue to access justice services. </w:t>
      </w:r>
      <w:r>
        <w:t>The PNG Australia Law and Justice Program</w:t>
      </w:r>
      <w:r w:rsidRPr="00005C66">
        <w:t xml:space="preserve"> </w:t>
      </w:r>
      <w:proofErr w:type="gramStart"/>
      <w:r w:rsidRPr="00005C66">
        <w:t>supports</w:t>
      </w:r>
      <w:proofErr w:type="gramEnd"/>
      <w:r w:rsidRPr="00005C66">
        <w:t xml:space="preserve"> the Village Court</w:t>
      </w:r>
      <w:r w:rsidRPr="00F96D6C">
        <w:t xml:space="preserve"> Secretariat and the rejuvenation of the village court system</w:t>
      </w:r>
      <w:r w:rsidR="00BF580A">
        <w:t>.</w:t>
      </w:r>
      <w:r w:rsidRPr="00AD470F">
        <w:rPr>
          <w:rStyle w:val="FootnoteReference"/>
        </w:rPr>
        <w:footnoteReference w:id="12"/>
      </w:r>
      <w:r w:rsidR="00BF580A">
        <w:t xml:space="preserve"> This includes</w:t>
      </w:r>
      <w:r w:rsidRPr="00F96D6C">
        <w:t xml:space="preserve"> improving information management systems, train</w:t>
      </w:r>
      <w:r w:rsidR="00CC072A">
        <w:t>ing village court officials and</w:t>
      </w:r>
      <w:r w:rsidR="005A5AF5">
        <w:t xml:space="preserve"> </w:t>
      </w:r>
      <w:r w:rsidR="005246A7">
        <w:t xml:space="preserve">incorporating </w:t>
      </w:r>
      <w:r w:rsidRPr="00F96D6C">
        <w:t>issues</w:t>
      </w:r>
      <w:r w:rsidR="005A5AF5">
        <w:t xml:space="preserve"> such as gender equality and HIV/</w:t>
      </w:r>
      <w:r w:rsidR="00BB123F">
        <w:t xml:space="preserve">AIDS </w:t>
      </w:r>
      <w:r w:rsidRPr="00F96D6C">
        <w:t xml:space="preserve">into all village court work. </w:t>
      </w:r>
      <w:r w:rsidRPr="00C16A88">
        <w:t xml:space="preserve">All provinces are recruiting women </w:t>
      </w:r>
      <w:r>
        <w:t xml:space="preserve">to </w:t>
      </w:r>
      <w:r w:rsidRPr="00C16A88">
        <w:t xml:space="preserve">village courts. </w:t>
      </w:r>
    </w:p>
    <w:p w:rsidR="00F62C71" w:rsidRPr="00F96D6C" w:rsidRDefault="00F62C71" w:rsidP="00F62C71">
      <w:pPr>
        <w:pStyle w:val="BodyText"/>
      </w:pPr>
      <w:r w:rsidRPr="00F96D6C">
        <w:t xml:space="preserve">Family and </w:t>
      </w:r>
      <w:r w:rsidR="00BF580A">
        <w:t>s</w:t>
      </w:r>
      <w:r w:rsidRPr="00F96D6C">
        <w:t xml:space="preserve">exual </w:t>
      </w:r>
      <w:r w:rsidR="00BF580A">
        <w:t>v</w:t>
      </w:r>
      <w:r w:rsidRPr="00F96D6C">
        <w:t xml:space="preserve">iolence </w:t>
      </w:r>
      <w:r w:rsidR="00BF580A">
        <w:t>u</w:t>
      </w:r>
      <w:r w:rsidRPr="00F96D6C">
        <w:t xml:space="preserve">nits established during 2009 in </w:t>
      </w:r>
      <w:proofErr w:type="spellStart"/>
      <w:r w:rsidRPr="00F96D6C">
        <w:t>Boroko</w:t>
      </w:r>
      <w:proofErr w:type="spellEnd"/>
      <w:r w:rsidRPr="00F96D6C">
        <w:t xml:space="preserve">, </w:t>
      </w:r>
      <w:proofErr w:type="spellStart"/>
      <w:r w:rsidRPr="00F96D6C">
        <w:t>Waigani</w:t>
      </w:r>
      <w:proofErr w:type="spellEnd"/>
      <w:r w:rsidRPr="00F96D6C">
        <w:t xml:space="preserve"> and </w:t>
      </w:r>
      <w:proofErr w:type="spellStart"/>
      <w:r w:rsidRPr="00F96D6C">
        <w:t>Badili</w:t>
      </w:r>
      <w:proofErr w:type="spellEnd"/>
      <w:r w:rsidRPr="00F96D6C">
        <w:t xml:space="preserve"> </w:t>
      </w:r>
      <w:r w:rsidR="001C023D">
        <w:t>p</w:t>
      </w:r>
      <w:r w:rsidRPr="00F96D6C">
        <w:t>olice</w:t>
      </w:r>
      <w:r w:rsidR="005246A7">
        <w:t> </w:t>
      </w:r>
      <w:r w:rsidR="001C023D">
        <w:t>s</w:t>
      </w:r>
      <w:r w:rsidRPr="00F96D6C">
        <w:t xml:space="preserve">tations are </w:t>
      </w:r>
      <w:r w:rsidR="00BA1B01">
        <w:t>helping</w:t>
      </w:r>
      <w:r w:rsidRPr="00F96D6C">
        <w:t xml:space="preserve"> victims </w:t>
      </w:r>
      <w:proofErr w:type="gramStart"/>
      <w:r w:rsidRPr="00F96D6C">
        <w:t xml:space="preserve">of </w:t>
      </w:r>
      <w:r w:rsidR="00BB123F">
        <w:t xml:space="preserve"> these</w:t>
      </w:r>
      <w:proofErr w:type="gramEnd"/>
      <w:r w:rsidR="00BB123F">
        <w:t xml:space="preserve"> crimes</w:t>
      </w:r>
      <w:r w:rsidRPr="00F96D6C">
        <w:t xml:space="preserve">. The </w:t>
      </w:r>
      <w:r>
        <w:t>u</w:t>
      </w:r>
      <w:r w:rsidRPr="00F96D6C">
        <w:t>nits offer referral</w:t>
      </w:r>
      <w:r w:rsidR="00BB123F">
        <w:t>s</w:t>
      </w:r>
      <w:r w:rsidRPr="00F96D6C">
        <w:t xml:space="preserve"> </w:t>
      </w:r>
      <w:r w:rsidR="00BB123F">
        <w:t xml:space="preserve">for </w:t>
      </w:r>
      <w:r w:rsidRPr="00F96D6C">
        <w:t>victims need</w:t>
      </w:r>
      <w:r w:rsidR="00BA1B01">
        <w:t>ing</w:t>
      </w:r>
      <w:r w:rsidRPr="00F96D6C">
        <w:t xml:space="preserve"> </w:t>
      </w:r>
      <w:r w:rsidR="001C023D">
        <w:t>i</w:t>
      </w:r>
      <w:r w:rsidRPr="00F96D6C">
        <w:t xml:space="preserve">nterim </w:t>
      </w:r>
      <w:r w:rsidR="001C023D">
        <w:t>p</w:t>
      </w:r>
      <w:r w:rsidRPr="00F96D6C">
        <w:t xml:space="preserve">rotection </w:t>
      </w:r>
      <w:r w:rsidR="001C023D">
        <w:t>o</w:t>
      </w:r>
      <w:r w:rsidRPr="00F96D6C">
        <w:t xml:space="preserve">rders, medical services, counselling services and emergency accommodation. </w:t>
      </w:r>
      <w:r>
        <w:t>In 2009, the three units</w:t>
      </w:r>
      <w:r w:rsidRPr="0085009A">
        <w:t xml:space="preserve"> </w:t>
      </w:r>
      <w:r w:rsidR="00BA1B01">
        <w:t>helped</w:t>
      </w:r>
      <w:r w:rsidRPr="0085009A">
        <w:t xml:space="preserve"> </w:t>
      </w:r>
      <w:r w:rsidRPr="0085009A">
        <w:rPr>
          <w:bCs/>
        </w:rPr>
        <w:t>746</w:t>
      </w:r>
      <w:r w:rsidR="00007034">
        <w:rPr>
          <w:bCs/>
        </w:rPr>
        <w:t> </w:t>
      </w:r>
      <w:r w:rsidRPr="0085009A">
        <w:t>pe</w:t>
      </w:r>
      <w:r w:rsidR="00BB123F">
        <w:t>ople</w:t>
      </w:r>
      <w:r w:rsidR="00BA1B01">
        <w:t>. This included referring</w:t>
      </w:r>
      <w:r w:rsidRPr="0085009A">
        <w:t xml:space="preserve"> </w:t>
      </w:r>
      <w:r w:rsidRPr="0085009A">
        <w:rPr>
          <w:bCs/>
        </w:rPr>
        <w:t xml:space="preserve">204 </w:t>
      </w:r>
      <w:r w:rsidR="00BB123F">
        <w:t>people</w:t>
      </w:r>
      <w:r w:rsidR="00BB123F" w:rsidRPr="0085009A">
        <w:t xml:space="preserve"> </w:t>
      </w:r>
      <w:r w:rsidRPr="0085009A">
        <w:t>to welfare, medical and/or legal services and</w:t>
      </w:r>
      <w:r w:rsidR="00BA1B01">
        <w:t xml:space="preserve"> issuing</w:t>
      </w:r>
      <w:r w:rsidRPr="0085009A">
        <w:t xml:space="preserve"> </w:t>
      </w:r>
      <w:r w:rsidRPr="0085009A">
        <w:rPr>
          <w:bCs/>
        </w:rPr>
        <w:t>41</w:t>
      </w:r>
      <w:r w:rsidR="001C023D">
        <w:rPr>
          <w:bCs/>
        </w:rPr>
        <w:t> </w:t>
      </w:r>
      <w:r w:rsidR="001C023D">
        <w:t>i</w:t>
      </w:r>
      <w:r w:rsidRPr="00F96D6C">
        <w:t xml:space="preserve">nterim </w:t>
      </w:r>
      <w:r w:rsidR="001C023D">
        <w:t>p</w:t>
      </w:r>
      <w:r w:rsidRPr="00F96D6C">
        <w:t xml:space="preserve">rotection </w:t>
      </w:r>
      <w:r w:rsidR="001C023D">
        <w:t>o</w:t>
      </w:r>
      <w:r w:rsidRPr="00F96D6C">
        <w:t>rders</w:t>
      </w:r>
      <w:r w:rsidRPr="0085009A">
        <w:t xml:space="preserve">. </w:t>
      </w:r>
      <w:r w:rsidR="001C023D">
        <w:lastRenderedPageBreak/>
        <w:t>These o</w:t>
      </w:r>
      <w:r w:rsidRPr="00F96D6C">
        <w:t>rders</w:t>
      </w:r>
      <w:r w:rsidRPr="0085009A">
        <w:t>, introduced in 2009, provide immediate protection from</w:t>
      </w:r>
      <w:r>
        <w:t xml:space="preserve"> physical or sexual violence and</w:t>
      </w:r>
      <w:r w:rsidRPr="0085009A">
        <w:t xml:space="preserve"> threats or actual damage to property. Guidelines directing proceedings of District Court Magistrates have resulted in the granting of </w:t>
      </w:r>
      <w:r w:rsidRPr="0085009A">
        <w:rPr>
          <w:bCs/>
        </w:rPr>
        <w:t>342</w:t>
      </w:r>
      <w:r w:rsidR="00007034">
        <w:rPr>
          <w:bCs/>
        </w:rPr>
        <w:t> </w:t>
      </w:r>
      <w:r>
        <w:t>orders</w:t>
      </w:r>
      <w:r w:rsidRPr="0085009A">
        <w:t xml:space="preserve">. </w:t>
      </w:r>
      <w:r w:rsidR="001C023D">
        <w:t>Before</w:t>
      </w:r>
      <w:r w:rsidRPr="0085009A">
        <w:t xml:space="preserve"> the </w:t>
      </w:r>
      <w:r w:rsidR="001C023D">
        <w:t>o</w:t>
      </w:r>
      <w:r w:rsidRPr="00F96D6C">
        <w:t>rders</w:t>
      </w:r>
      <w:r w:rsidR="001C023D">
        <w:t xml:space="preserve"> were introduced</w:t>
      </w:r>
      <w:r>
        <w:t>,</w:t>
      </w:r>
      <w:r w:rsidRPr="0085009A">
        <w:t xml:space="preserve"> victims of family or sexual violence or other gender</w:t>
      </w:r>
      <w:r w:rsidR="00BA1B01">
        <w:t>-</w:t>
      </w:r>
      <w:r w:rsidRPr="0085009A">
        <w:t>based crime had no effective legal support.</w:t>
      </w:r>
    </w:p>
    <w:p w:rsidR="00F62C71" w:rsidRDefault="00CC072A" w:rsidP="00F62C71">
      <w:pPr>
        <w:pStyle w:val="BodyText"/>
      </w:pPr>
      <w:r>
        <w:t xml:space="preserve">Australian </w:t>
      </w:r>
      <w:r w:rsidRPr="00F96D6C">
        <w:t xml:space="preserve">advisory support makes a significant contribution to the management and administration of the Law and Justice Division of the Eastern Highlands Provincial Governments and the development of District Peace Management Teams in all districts in Eastern Highlands Province. </w:t>
      </w:r>
      <w:r>
        <w:t xml:space="preserve"> </w:t>
      </w:r>
      <w:r w:rsidR="00007034">
        <w:t>Fifty-two</w:t>
      </w:r>
      <w:r w:rsidR="00F62C71">
        <w:t xml:space="preserve"> of 78</w:t>
      </w:r>
      <w:r w:rsidR="00F62C71" w:rsidRPr="00F96D6C">
        <w:t xml:space="preserve"> tribal fights in Eastern Highlands Province are now dormant or have normalised as a result of a more formal and coordinated approach to mediation and resolution a</w:t>
      </w:r>
      <w:r w:rsidR="005246A7">
        <w:t xml:space="preserve">s well as other </w:t>
      </w:r>
      <w:r w:rsidR="00F62C71" w:rsidRPr="00F96D6C">
        <w:t>improvement</w:t>
      </w:r>
      <w:r w:rsidR="005246A7">
        <w:t>s</w:t>
      </w:r>
      <w:r w:rsidR="00F62C71" w:rsidRPr="00F96D6C">
        <w:t xml:space="preserve"> in law and order. </w:t>
      </w:r>
    </w:p>
    <w:p w:rsidR="00F62C71" w:rsidRDefault="00F62C71" w:rsidP="00AD470F">
      <w:pPr>
        <w:pStyle w:val="Heading2"/>
      </w:pPr>
      <w:bookmarkStart w:id="33" w:name="_Toc266959820"/>
      <w:bookmarkStart w:id="34" w:name="_Toc268267521"/>
      <w:bookmarkStart w:id="35" w:name="_Toc360703168"/>
      <w:r>
        <w:t xml:space="preserve">Objective: </w:t>
      </w:r>
      <w:r w:rsidRPr="00E65677">
        <w:t>Increased workforce skills</w:t>
      </w:r>
      <w:bookmarkEnd w:id="33"/>
      <w:bookmarkEnd w:id="34"/>
      <w:bookmarkEnd w:id="35"/>
    </w:p>
    <w:p w:rsidR="00466423" w:rsidRPr="00466423" w:rsidRDefault="00466423" w:rsidP="00466423">
      <w:pPr>
        <w:pStyle w:val="BodyText"/>
        <w:rPr>
          <w:lang w:val="en-GB"/>
        </w:rPr>
      </w:pPr>
      <w:r w:rsidRPr="00466423">
        <w:rPr>
          <w:lang w:val="en-GB"/>
        </w:rPr>
        <w:t xml:space="preserve">The Australia Pacific Technical College and AusAID scholarships contribute critically required human resource development in PNG, providing high quality graduates with Australian awards at all levels of post-secondary study (vocational, undergraduate, postgraduate and doctoral). </w:t>
      </w:r>
    </w:p>
    <w:p w:rsidR="005246A7" w:rsidRDefault="00F62C71" w:rsidP="00F62C71">
      <w:pPr>
        <w:pStyle w:val="BodyText"/>
      </w:pPr>
      <w:r w:rsidRPr="00E65677">
        <w:t xml:space="preserve">The </w:t>
      </w:r>
      <w:r w:rsidR="00466423" w:rsidRPr="00466423">
        <w:rPr>
          <w:lang w:val="en-GB"/>
        </w:rPr>
        <w:t xml:space="preserve">Australia Pacific Technical College </w:t>
      </w:r>
      <w:r w:rsidR="001C023D">
        <w:t>trains</w:t>
      </w:r>
      <w:r w:rsidRPr="00E65677">
        <w:t xml:space="preserve"> Papua New Guineans in technology trades (automotive, manufacturin</w:t>
      </w:r>
      <w:r>
        <w:t>g, construction and electrical)</w:t>
      </w:r>
      <w:r w:rsidRPr="00E65677">
        <w:t xml:space="preserve"> and in hospitality and tourism. Students graduate with skills of Australian </w:t>
      </w:r>
      <w:r>
        <w:t>standard</w:t>
      </w:r>
      <w:r w:rsidRPr="00E65677">
        <w:t xml:space="preserve"> </w:t>
      </w:r>
      <w:r w:rsidR="00382CE6">
        <w:t>and this is supporting</w:t>
      </w:r>
      <w:r w:rsidRPr="00E65677">
        <w:t xml:space="preserve"> broad</w:t>
      </w:r>
      <w:r w:rsidR="00382CE6">
        <w:t>-</w:t>
      </w:r>
      <w:r w:rsidRPr="00E65677">
        <w:t xml:space="preserve">based economic growth and </w:t>
      </w:r>
      <w:r w:rsidR="00BA1B01">
        <w:t>i</w:t>
      </w:r>
      <w:r w:rsidRPr="00E65677">
        <w:t>ncreased productivity in PNG.</w:t>
      </w:r>
    </w:p>
    <w:p w:rsidR="00F62C71" w:rsidRPr="00E65677" w:rsidRDefault="00F62C71" w:rsidP="00F62C71">
      <w:pPr>
        <w:pStyle w:val="BodyText"/>
      </w:pPr>
      <w:r w:rsidRPr="00E65677">
        <w:t>Australia Pacific Technical College achievements in 2009 include:</w:t>
      </w:r>
    </w:p>
    <w:p w:rsidR="00F62C71" w:rsidRPr="00E65677" w:rsidRDefault="00F62C71" w:rsidP="004C6E54">
      <w:pPr>
        <w:pStyle w:val="ListBullet"/>
        <w:spacing w:before="0"/>
      </w:pPr>
      <w:r w:rsidRPr="00E65677">
        <w:t>239 graduates</w:t>
      </w:r>
    </w:p>
    <w:p w:rsidR="00F62C71" w:rsidRPr="00E65677" w:rsidRDefault="00F62C71" w:rsidP="004C6E54">
      <w:pPr>
        <w:pStyle w:val="ListBullet"/>
        <w:spacing w:before="0"/>
      </w:pPr>
      <w:r w:rsidRPr="00E65677">
        <w:t>123 students on scholarships</w:t>
      </w:r>
    </w:p>
    <w:p w:rsidR="001753C1" w:rsidRDefault="00F62C71" w:rsidP="001753C1">
      <w:pPr>
        <w:pStyle w:val="ListBullet"/>
        <w:spacing w:before="0"/>
      </w:pPr>
      <w:r w:rsidRPr="00E65677">
        <w:t>399 students enrolled</w:t>
      </w:r>
      <w:r w:rsidR="00007034">
        <w:t>.</w:t>
      </w:r>
      <w:r w:rsidRPr="00E65677">
        <w:rPr>
          <w:vertAlign w:val="superscript"/>
        </w:rPr>
        <w:footnoteReference w:id="13"/>
      </w:r>
    </w:p>
    <w:p w:rsidR="001753C1" w:rsidRPr="00E65677" w:rsidRDefault="001753C1" w:rsidP="001753C1">
      <w:pPr>
        <w:pStyle w:val="BodyText"/>
      </w:pPr>
      <w:r w:rsidRPr="00E65677">
        <w:t xml:space="preserve">Under the PNG scholarship program in 2009, 27 </w:t>
      </w:r>
      <w:r>
        <w:t>technical and vocational</w:t>
      </w:r>
      <w:r w:rsidRPr="00E65677">
        <w:t xml:space="preserve"> scholarship awardees successfully completed the</w:t>
      </w:r>
      <w:r>
        <w:t>ir studies and returned to PNG.</w:t>
      </w:r>
    </w:p>
    <w:p w:rsidR="00F62C71" w:rsidRDefault="00F62C71" w:rsidP="00AD470F">
      <w:pPr>
        <w:pStyle w:val="Heading2"/>
      </w:pPr>
      <w:bookmarkStart w:id="36" w:name="_Toc266959821"/>
      <w:bookmarkStart w:id="37" w:name="_Toc268267522"/>
      <w:bookmarkStart w:id="38" w:name="_Toc360703169"/>
      <w:r>
        <w:t>Objective: Men and women, civil society</w:t>
      </w:r>
      <w:r w:rsidRPr="00A46CBC">
        <w:t xml:space="preserve"> and the state working together on issues of public interest, shaping policy, </w:t>
      </w:r>
      <w:r>
        <w:t>allocating resources</w:t>
      </w:r>
      <w:r w:rsidRPr="00A46CBC">
        <w:t xml:space="preserve"> and enabling the exercise of rights</w:t>
      </w:r>
      <w:bookmarkEnd w:id="36"/>
      <w:bookmarkEnd w:id="37"/>
      <w:bookmarkEnd w:id="38"/>
    </w:p>
    <w:p w:rsidR="00F62C71" w:rsidRPr="00CC072A" w:rsidRDefault="00F62C71" w:rsidP="00F62C71">
      <w:pPr>
        <w:pStyle w:val="BodyText"/>
        <w:rPr>
          <w:bCs/>
        </w:rPr>
      </w:pPr>
      <w:r>
        <w:rPr>
          <w:bCs/>
        </w:rPr>
        <w:t>Australian assistance to</w:t>
      </w:r>
      <w:r w:rsidRPr="00A46CBC">
        <w:rPr>
          <w:bCs/>
        </w:rPr>
        <w:t xml:space="preserve"> </w:t>
      </w:r>
      <w:r w:rsidRPr="00CC072A">
        <w:rPr>
          <w:bCs/>
        </w:rPr>
        <w:t xml:space="preserve">the </w:t>
      </w:r>
      <w:r w:rsidRPr="00CC072A">
        <w:t xml:space="preserve">PNG Electoral Commission </w:t>
      </w:r>
      <w:r w:rsidRPr="00CC072A">
        <w:rPr>
          <w:bCs/>
        </w:rPr>
        <w:t xml:space="preserve">is supporting organisational reform, resulting in </w:t>
      </w:r>
      <w:r w:rsidRPr="00CC072A">
        <w:t xml:space="preserve">direct engagement </w:t>
      </w:r>
      <w:r w:rsidR="00382CE6" w:rsidRPr="00CC072A">
        <w:t xml:space="preserve">between the commission and </w:t>
      </w:r>
      <w:r w:rsidRPr="00CC072A">
        <w:t>civil society</w:t>
      </w:r>
      <w:r w:rsidR="00382CE6" w:rsidRPr="00CC072A">
        <w:t>. These</w:t>
      </w:r>
      <w:r w:rsidRPr="00CC072A">
        <w:t xml:space="preserve"> partners </w:t>
      </w:r>
      <w:r w:rsidR="00382CE6" w:rsidRPr="00CC072A">
        <w:t xml:space="preserve">are working </w:t>
      </w:r>
      <w:r w:rsidR="00D72EC1">
        <w:t>to improve</w:t>
      </w:r>
      <w:r w:rsidR="00382CE6" w:rsidRPr="00CC072A">
        <w:t xml:space="preserve"> </w:t>
      </w:r>
      <w:r w:rsidRPr="00CC072A">
        <w:t xml:space="preserve">the electoral process and </w:t>
      </w:r>
      <w:r w:rsidR="00D72EC1">
        <w:t>to develop</w:t>
      </w:r>
      <w:r w:rsidR="00D72EC1" w:rsidRPr="00CC072A">
        <w:t xml:space="preserve"> </w:t>
      </w:r>
      <w:r w:rsidRPr="00CC072A">
        <w:t>a three</w:t>
      </w:r>
      <w:r w:rsidR="00382CE6" w:rsidRPr="00CC072A">
        <w:t>-</w:t>
      </w:r>
      <w:r w:rsidRPr="00CC072A">
        <w:t>year awareness</w:t>
      </w:r>
      <w:r w:rsidR="00D72EC1">
        <w:t>-</w:t>
      </w:r>
      <w:r w:rsidR="00382CE6" w:rsidRPr="00CC072A">
        <w:t>raising</w:t>
      </w:r>
      <w:r w:rsidRPr="00CC072A">
        <w:t xml:space="preserve"> communications strategy. This work </w:t>
      </w:r>
      <w:r w:rsidR="00382CE6" w:rsidRPr="00CC072A">
        <w:t xml:space="preserve">is </w:t>
      </w:r>
      <w:r w:rsidRPr="00CC072A">
        <w:t xml:space="preserve">critical in the lead up to the 2012 national election. </w:t>
      </w:r>
    </w:p>
    <w:p w:rsidR="00CE7F5E" w:rsidRDefault="00CE7F5E" w:rsidP="00CE7F5E">
      <w:pPr>
        <w:pStyle w:val="BodyText"/>
      </w:pPr>
      <w:r w:rsidRPr="00A46CBC">
        <w:rPr>
          <w:bCs/>
        </w:rPr>
        <w:t xml:space="preserve">Support to the PNG National Broadcasting Commission </w:t>
      </w:r>
      <w:r w:rsidR="00AA3BFB">
        <w:rPr>
          <w:bCs/>
        </w:rPr>
        <w:t>led to</w:t>
      </w:r>
      <w:r w:rsidRPr="00A46CBC">
        <w:t xml:space="preserve"> the </w:t>
      </w:r>
      <w:r>
        <w:t xml:space="preserve">establishment of the </w:t>
      </w:r>
      <w:r w:rsidRPr="00A46CBC">
        <w:rPr>
          <w:bCs/>
        </w:rPr>
        <w:t>National Broadcasting Commission</w:t>
      </w:r>
      <w:r w:rsidRPr="00A46CBC">
        <w:t xml:space="preserve"> Board and systems to hold </w:t>
      </w:r>
      <w:r w:rsidRPr="00A46CBC">
        <w:rPr>
          <w:bCs/>
        </w:rPr>
        <w:t>Commission</w:t>
      </w:r>
      <w:r w:rsidRPr="00A46CBC">
        <w:t xml:space="preserve"> management to account; </w:t>
      </w:r>
      <w:r w:rsidRPr="00A46CBC">
        <w:rPr>
          <w:bCs/>
        </w:rPr>
        <w:t>National Broadcasting Commission</w:t>
      </w:r>
      <w:r w:rsidRPr="00A46CBC">
        <w:t xml:space="preserve"> News making more effective use of provincial journalists, with higher expectations of filing rates and more structured feedback</w:t>
      </w:r>
      <w:r>
        <w:t>;</w:t>
      </w:r>
      <w:r w:rsidRPr="00A46CBC">
        <w:t xml:space="preserve"> and </w:t>
      </w:r>
      <w:r>
        <w:t xml:space="preserve">the </w:t>
      </w:r>
      <w:r w:rsidRPr="00A46CBC">
        <w:rPr>
          <w:bCs/>
        </w:rPr>
        <w:t>Commission</w:t>
      </w:r>
      <w:r w:rsidRPr="00A46CBC">
        <w:t xml:space="preserve"> respond</w:t>
      </w:r>
      <w:r>
        <w:t>ing</w:t>
      </w:r>
      <w:r w:rsidRPr="00A46CBC">
        <w:t xml:space="preserve"> strongly to the cholera epidemic with news reports, information programming and </w:t>
      </w:r>
      <w:r>
        <w:t>‘</w:t>
      </w:r>
      <w:r w:rsidRPr="00A46CBC">
        <w:t>spot dramas</w:t>
      </w:r>
      <w:r>
        <w:t>’</w:t>
      </w:r>
      <w:r w:rsidRPr="00A46CBC">
        <w:t xml:space="preserve"> on key themes.  </w:t>
      </w:r>
    </w:p>
    <w:p w:rsidR="00F62C71" w:rsidRPr="00CC072A" w:rsidRDefault="00F62C71" w:rsidP="00F62C71">
      <w:pPr>
        <w:pStyle w:val="BodyText"/>
        <w:rPr>
          <w:bCs/>
        </w:rPr>
      </w:pPr>
      <w:r w:rsidRPr="00CC072A">
        <w:rPr>
          <w:bCs/>
        </w:rPr>
        <w:lastRenderedPageBreak/>
        <w:t xml:space="preserve">Support to </w:t>
      </w:r>
      <w:r w:rsidR="001C023D" w:rsidRPr="00CC072A">
        <w:rPr>
          <w:bCs/>
        </w:rPr>
        <w:t>PNG</w:t>
      </w:r>
      <w:r w:rsidR="00067B10" w:rsidRPr="00CC072A">
        <w:rPr>
          <w:bCs/>
        </w:rPr>
        <w:t>’s</w:t>
      </w:r>
      <w:r w:rsidR="001C023D" w:rsidRPr="00CC072A">
        <w:rPr>
          <w:bCs/>
        </w:rPr>
        <w:t xml:space="preserve"> </w:t>
      </w:r>
      <w:r w:rsidRPr="00CC072A">
        <w:rPr>
          <w:bCs/>
        </w:rPr>
        <w:t xml:space="preserve">Media Council </w:t>
      </w:r>
      <w:r w:rsidR="00067B10" w:rsidRPr="00CC072A">
        <w:rPr>
          <w:bCs/>
        </w:rPr>
        <w:t>is helping to</w:t>
      </w:r>
      <w:r w:rsidRPr="00CC072A">
        <w:rPr>
          <w:bCs/>
        </w:rPr>
        <w:t xml:space="preserve"> address problems of </w:t>
      </w:r>
      <w:r w:rsidR="00382CE6" w:rsidRPr="00CC072A">
        <w:rPr>
          <w:bCs/>
        </w:rPr>
        <w:t xml:space="preserve">media </w:t>
      </w:r>
      <w:r w:rsidRPr="00CC072A">
        <w:rPr>
          <w:bCs/>
        </w:rPr>
        <w:t xml:space="preserve">access, content and voice. </w:t>
      </w:r>
      <w:r w:rsidR="00382CE6" w:rsidRPr="00CC072A">
        <w:rPr>
          <w:bCs/>
        </w:rPr>
        <w:t xml:space="preserve">In 2009, </w:t>
      </w:r>
      <w:r w:rsidR="00772A21" w:rsidRPr="00CC072A">
        <w:rPr>
          <w:bCs/>
        </w:rPr>
        <w:t>the c</w:t>
      </w:r>
      <w:r w:rsidRPr="00CC072A">
        <w:rPr>
          <w:bCs/>
        </w:rPr>
        <w:t>ouncil</w:t>
      </w:r>
      <w:r w:rsidRPr="00CC072A">
        <w:t xml:space="preserve"> </w:t>
      </w:r>
      <w:r w:rsidR="00772A21" w:rsidRPr="00CC072A">
        <w:t xml:space="preserve">held </w:t>
      </w:r>
      <w:r w:rsidRPr="00CC072A">
        <w:t>conferences on subjects such as media freedom and climate change</w:t>
      </w:r>
      <w:r w:rsidR="00772A21" w:rsidRPr="00CC072A">
        <w:t>. These</w:t>
      </w:r>
      <w:r w:rsidRPr="00CC072A">
        <w:t xml:space="preserve"> attracted large audiences, </w:t>
      </w:r>
      <w:r w:rsidR="00772A21" w:rsidRPr="00CC072A">
        <w:t xml:space="preserve">resulted in </w:t>
      </w:r>
      <w:r w:rsidRPr="00CC072A">
        <w:t xml:space="preserve">significant debate and media coverage and </w:t>
      </w:r>
      <w:r w:rsidR="001C023D" w:rsidRPr="00CC072A">
        <w:t xml:space="preserve">helped improve the ability </w:t>
      </w:r>
      <w:r w:rsidRPr="00CC072A">
        <w:t xml:space="preserve">of journalists </w:t>
      </w:r>
      <w:r w:rsidR="001C023D" w:rsidRPr="00CC072A">
        <w:t xml:space="preserve">to report on </w:t>
      </w:r>
      <w:r w:rsidRPr="00CC072A">
        <w:t>issues of importance to PNG’s development.</w:t>
      </w:r>
    </w:p>
    <w:p w:rsidR="00F62C71" w:rsidRPr="00A46CBC" w:rsidRDefault="00F62C71" w:rsidP="00F62C71">
      <w:pPr>
        <w:pStyle w:val="BodyText"/>
        <w:rPr>
          <w:bCs/>
        </w:rPr>
      </w:pPr>
      <w:r w:rsidRPr="00CC072A">
        <w:rPr>
          <w:bCs/>
        </w:rPr>
        <w:t>In 2009</w:t>
      </w:r>
      <w:r w:rsidR="001C023D" w:rsidRPr="00CC072A">
        <w:rPr>
          <w:bCs/>
        </w:rPr>
        <w:t>,</w:t>
      </w:r>
      <w:r w:rsidRPr="00CC072A">
        <w:rPr>
          <w:bCs/>
        </w:rPr>
        <w:t xml:space="preserve"> the Church Partnership Program</w:t>
      </w:r>
      <w:r w:rsidRPr="00CC072A">
        <w:t xml:space="preserve"> supported churches to respond to local development needs and community initiatives. In PNG, churches are </w:t>
      </w:r>
      <w:r w:rsidR="00D72EC1">
        <w:t>major</w:t>
      </w:r>
      <w:r w:rsidR="00D72EC1" w:rsidRPr="00CC072A">
        <w:t xml:space="preserve"> </w:t>
      </w:r>
      <w:r w:rsidRPr="00CC072A">
        <w:t>health and education service providers. The quality and reach of their services to communities equals, and often exceeds, that of government. During 2009</w:t>
      </w:r>
      <w:r w:rsidR="001C023D" w:rsidRPr="00CC072A">
        <w:t>,</w:t>
      </w:r>
      <w:r w:rsidRPr="00CC072A">
        <w:t xml:space="preserve"> Australia helped </w:t>
      </w:r>
      <w:r w:rsidR="00772A21" w:rsidRPr="00CC072A">
        <w:t xml:space="preserve">partnership churches to </w:t>
      </w:r>
      <w:r w:rsidRPr="00CC072A">
        <w:t xml:space="preserve">improve </w:t>
      </w:r>
      <w:r w:rsidR="00772A21" w:rsidRPr="00CC072A">
        <w:t xml:space="preserve">their </w:t>
      </w:r>
      <w:r w:rsidRPr="00CC072A">
        <w:t xml:space="preserve">management and </w:t>
      </w:r>
      <w:r w:rsidRPr="00A46CBC">
        <w:t>capacity</w:t>
      </w:r>
      <w:r w:rsidR="00D72EC1">
        <w:t xml:space="preserve"> for service delivery</w:t>
      </w:r>
      <w:r w:rsidR="00772A21">
        <w:t>. Australia also helped facilitate partnerships</w:t>
      </w:r>
      <w:r w:rsidRPr="00A46CBC">
        <w:t xml:space="preserve"> between and within participating churches</w:t>
      </w:r>
      <w:r>
        <w:t>,</w:t>
      </w:r>
      <w:r w:rsidRPr="00A46CBC">
        <w:t xml:space="preserve"> enhanc</w:t>
      </w:r>
      <w:r>
        <w:t>ing</w:t>
      </w:r>
      <w:r w:rsidRPr="00A46CBC">
        <w:t xml:space="preserve"> their collaboration</w:t>
      </w:r>
      <w:r w:rsidR="00772A21">
        <w:t>. The</w:t>
      </w:r>
      <w:r w:rsidRPr="00A46CBC">
        <w:t xml:space="preserve"> churches’ understanding of development has increased</w:t>
      </w:r>
      <w:r w:rsidR="00772A21">
        <w:t xml:space="preserve"> as a result</w:t>
      </w:r>
      <w:r w:rsidRPr="00A46CBC">
        <w:t xml:space="preserve">. This </w:t>
      </w:r>
      <w:r w:rsidR="00D72EC1">
        <w:t xml:space="preserve">knowledge </w:t>
      </w:r>
      <w:r w:rsidRPr="00A46CBC">
        <w:t xml:space="preserve">has </w:t>
      </w:r>
      <w:r w:rsidR="00772A21">
        <w:t>helped</w:t>
      </w:r>
      <w:r w:rsidRPr="00A46CBC">
        <w:t xml:space="preserve"> churches</w:t>
      </w:r>
      <w:r w:rsidR="00772A21">
        <w:t>—individually and jointly—</w:t>
      </w:r>
      <w:proofErr w:type="gramStart"/>
      <w:r w:rsidRPr="00A46CBC">
        <w:t>deliver</w:t>
      </w:r>
      <w:proofErr w:type="gramEnd"/>
      <w:r w:rsidRPr="00A46CBC">
        <w:t xml:space="preserve"> </w:t>
      </w:r>
      <w:r w:rsidR="00D72EC1">
        <w:t xml:space="preserve">better </w:t>
      </w:r>
      <w:r w:rsidR="001C023D">
        <w:t xml:space="preserve">community-level </w:t>
      </w:r>
      <w:r>
        <w:t>services</w:t>
      </w:r>
      <w:r w:rsidR="00CE7F5E">
        <w:t xml:space="preserve"> </w:t>
      </w:r>
      <w:r w:rsidR="001C023D">
        <w:t>in</w:t>
      </w:r>
      <w:r w:rsidRPr="00A46CBC">
        <w:t xml:space="preserve"> health, HIV/AID</w:t>
      </w:r>
      <w:r>
        <w:t>S and education</w:t>
      </w:r>
      <w:r w:rsidRPr="00A46CBC">
        <w:t>.</w:t>
      </w:r>
    </w:p>
    <w:p w:rsidR="00F62C71" w:rsidRPr="00CC072A" w:rsidRDefault="00F62C71" w:rsidP="00F62C71">
      <w:pPr>
        <w:pStyle w:val="BodyText"/>
      </w:pPr>
      <w:r w:rsidRPr="00CC072A">
        <w:t>Community participation in quality, regular</w:t>
      </w:r>
      <w:r w:rsidR="00D72EC1">
        <w:t>,</w:t>
      </w:r>
      <w:r w:rsidRPr="00CC072A">
        <w:t xml:space="preserve"> sport-based activities has increased under the </w:t>
      </w:r>
      <w:r w:rsidRPr="00CC072A">
        <w:rPr>
          <w:bCs/>
        </w:rPr>
        <w:t>Sport for Development Initiative</w:t>
      </w:r>
      <w:r w:rsidRPr="00CC072A">
        <w:t xml:space="preserve">. Grants have </w:t>
      </w:r>
      <w:r w:rsidR="00772A21" w:rsidRPr="00CC072A">
        <w:t xml:space="preserve">been used to achieve </w:t>
      </w:r>
      <w:r w:rsidRPr="00CC072A">
        <w:t>good outcomes at community level, including reduc</w:t>
      </w:r>
      <w:r w:rsidR="00772A21" w:rsidRPr="00CC072A">
        <w:t>ing</w:t>
      </w:r>
      <w:r w:rsidRPr="00CC072A">
        <w:t xml:space="preserve"> drug and alcohol abuse, </w:t>
      </w:r>
      <w:r w:rsidR="00772A21" w:rsidRPr="00CC072A">
        <w:t>increasing opportunities for women to make money</w:t>
      </w:r>
      <w:r w:rsidRPr="00CC072A">
        <w:t>, improv</w:t>
      </w:r>
      <w:r w:rsidR="00772A21" w:rsidRPr="00CC072A">
        <w:t xml:space="preserve">ing </w:t>
      </w:r>
      <w:r w:rsidRPr="00CC072A">
        <w:t>sporting and organisational skills, improv</w:t>
      </w:r>
      <w:r w:rsidR="00772A21" w:rsidRPr="00CC072A">
        <w:t xml:space="preserve">ing the </w:t>
      </w:r>
      <w:r w:rsidRPr="00CC072A">
        <w:t xml:space="preserve">status of women through active participation </w:t>
      </w:r>
      <w:r w:rsidR="000B6A05" w:rsidRPr="00CC072A">
        <w:t xml:space="preserve">in </w:t>
      </w:r>
      <w:r w:rsidR="00772A21" w:rsidRPr="00CC072A">
        <w:t>sport,</w:t>
      </w:r>
      <w:r w:rsidR="00D72EC1">
        <w:t xml:space="preserve"> </w:t>
      </w:r>
      <w:r w:rsidRPr="00CC072A">
        <w:t>and enhanc</w:t>
      </w:r>
      <w:r w:rsidR="00772A21" w:rsidRPr="00CC072A">
        <w:t>ing</w:t>
      </w:r>
      <w:r w:rsidRPr="00CC072A">
        <w:t xml:space="preserve"> communication and volunteer</w:t>
      </w:r>
      <w:r w:rsidR="00772A21" w:rsidRPr="00CC072A">
        <w:t xml:space="preserve"> activity </w:t>
      </w:r>
      <w:r w:rsidRPr="00CC072A">
        <w:t>at local level</w:t>
      </w:r>
      <w:r w:rsidR="00D72EC1">
        <w:t>s</w:t>
      </w:r>
      <w:r w:rsidRPr="00CC072A">
        <w:t>.</w:t>
      </w:r>
    </w:p>
    <w:p w:rsidR="00F62C71" w:rsidRDefault="00F10CE1" w:rsidP="00F62C71">
      <w:pPr>
        <w:pStyle w:val="BodyText"/>
      </w:pPr>
      <w:r w:rsidRPr="00F10CE1">
        <w:t xml:space="preserve">A pilot project on participatory planning for the </w:t>
      </w:r>
      <w:proofErr w:type="spellStart"/>
      <w:r w:rsidR="00F62C71" w:rsidRPr="00F10CE1">
        <w:t>Bogia</w:t>
      </w:r>
      <w:proofErr w:type="spellEnd"/>
      <w:r w:rsidR="00F62C71" w:rsidRPr="00F10CE1">
        <w:t xml:space="preserve"> Ward helped </w:t>
      </w:r>
      <w:r w:rsidR="00FB4E2A" w:rsidRPr="00F10CE1">
        <w:t xml:space="preserve">develop </w:t>
      </w:r>
      <w:r w:rsidR="00F62C71" w:rsidRPr="00F10CE1">
        <w:t>plan</w:t>
      </w:r>
      <w:r w:rsidR="00FB4E2A" w:rsidRPr="00F10CE1">
        <w:t>s</w:t>
      </w:r>
      <w:r w:rsidRPr="00F10CE1">
        <w:t xml:space="preserve"> for local development activities</w:t>
      </w:r>
      <w:r w:rsidR="00FB4E2A" w:rsidRPr="00F10CE1">
        <w:t xml:space="preserve"> based on</w:t>
      </w:r>
      <w:r w:rsidR="00F62C71" w:rsidRPr="00F10CE1">
        <w:t xml:space="preserve"> genuine community need</w:t>
      </w:r>
      <w:r w:rsidR="000B6A05" w:rsidRPr="00F10CE1">
        <w:t>. On</w:t>
      </w:r>
      <w:r w:rsidR="00F62C71" w:rsidRPr="00F10CE1">
        <w:t xml:space="preserve"> the strength of the</w:t>
      </w:r>
      <w:r w:rsidR="00FB4E2A" w:rsidRPr="00F10CE1">
        <w:t>se</w:t>
      </w:r>
      <w:r w:rsidR="00F62C71" w:rsidRPr="00F10CE1">
        <w:t xml:space="preserve"> </w:t>
      </w:r>
      <w:r w:rsidR="000B6A05" w:rsidRPr="00F10CE1">
        <w:t xml:space="preserve">new </w:t>
      </w:r>
      <w:r w:rsidR="00F62C71" w:rsidRPr="00F10CE1">
        <w:t>plans, the district and local level governments applied for</w:t>
      </w:r>
      <w:r w:rsidR="00FB4E2A" w:rsidRPr="00F10CE1">
        <w:t>,</w:t>
      </w:r>
      <w:r w:rsidR="00F62C71" w:rsidRPr="00F10CE1">
        <w:t xml:space="preserve"> and received</w:t>
      </w:r>
      <w:r w:rsidR="00FB4E2A" w:rsidRPr="00F10CE1">
        <w:t>,</w:t>
      </w:r>
      <w:r w:rsidR="00F62C71" w:rsidRPr="00F10CE1">
        <w:t xml:space="preserve"> donor and PNG </w:t>
      </w:r>
      <w:r w:rsidR="001C023D" w:rsidRPr="00F10CE1">
        <w:t>g</w:t>
      </w:r>
      <w:r w:rsidR="00F62C71" w:rsidRPr="00F10CE1">
        <w:t xml:space="preserve">overnment funding </w:t>
      </w:r>
      <w:r w:rsidR="000B6A05" w:rsidRPr="00F10CE1">
        <w:t xml:space="preserve">for </w:t>
      </w:r>
      <w:r w:rsidR="00F62C71" w:rsidRPr="00F10CE1">
        <w:t>implementation.</w:t>
      </w:r>
    </w:p>
    <w:p w:rsidR="00F62C71" w:rsidRDefault="00F62C71" w:rsidP="00AD470F">
      <w:pPr>
        <w:pStyle w:val="Heading2"/>
      </w:pPr>
      <w:bookmarkStart w:id="39" w:name="_Toc266959822"/>
      <w:bookmarkStart w:id="40" w:name="_Toc268267523"/>
      <w:bookmarkStart w:id="41" w:name="_Toc360703170"/>
      <w:r>
        <w:t xml:space="preserve">Objective: </w:t>
      </w:r>
      <w:r w:rsidRPr="007F126E">
        <w:t>Sustainable and secure improvements in food supply and incomes for smallholders</w:t>
      </w:r>
      <w:bookmarkEnd w:id="39"/>
      <w:bookmarkEnd w:id="40"/>
      <w:bookmarkEnd w:id="41"/>
    </w:p>
    <w:p w:rsidR="00F62C71" w:rsidRPr="000E4A17" w:rsidRDefault="00F62C71" w:rsidP="00F62C71">
      <w:pPr>
        <w:pStyle w:val="BodyText"/>
      </w:pPr>
      <w:r w:rsidRPr="0011245E">
        <w:t>In 2009</w:t>
      </w:r>
      <w:r w:rsidR="001C023D">
        <w:t>,</w:t>
      </w:r>
      <w:r w:rsidRPr="0011245E">
        <w:t xml:space="preserve"> </w:t>
      </w:r>
      <w:r w:rsidR="009555CE" w:rsidRPr="0011245E">
        <w:t xml:space="preserve">through </w:t>
      </w:r>
      <w:r w:rsidR="009555CE">
        <w:t xml:space="preserve">the </w:t>
      </w:r>
      <w:r w:rsidR="009555CE" w:rsidRPr="0011245E">
        <w:t>Agriculture Research Development Support Facility</w:t>
      </w:r>
      <w:r w:rsidR="009555CE">
        <w:t>,</w:t>
      </w:r>
      <w:r w:rsidR="009555CE" w:rsidRPr="0011245E">
        <w:t xml:space="preserve"> </w:t>
      </w:r>
      <w:r w:rsidR="00AA3BFB">
        <w:t>Australia</w:t>
      </w:r>
      <w:r w:rsidRPr="0011245E">
        <w:t xml:space="preserve"> </w:t>
      </w:r>
      <w:r w:rsidR="009555CE">
        <w:t>funded</w:t>
      </w:r>
      <w:r w:rsidR="009555CE" w:rsidRPr="0011245E">
        <w:t xml:space="preserve"> </w:t>
      </w:r>
      <w:r w:rsidRPr="0011245E">
        <w:t>the National Agriculture Research Institute and five other national agriculture research organisations</w:t>
      </w:r>
      <w:r w:rsidR="009555CE">
        <w:t xml:space="preserve">. This </w:t>
      </w:r>
      <w:r w:rsidRPr="0011245E">
        <w:t xml:space="preserve">helped reorient research </w:t>
      </w:r>
      <w:r w:rsidRPr="009E0A91">
        <w:t xml:space="preserve">agendas </w:t>
      </w:r>
      <w:r w:rsidR="000B6A05" w:rsidRPr="009E0A91">
        <w:t xml:space="preserve">from </w:t>
      </w:r>
      <w:r w:rsidRPr="009E0A91">
        <w:t xml:space="preserve">a </w:t>
      </w:r>
      <w:r w:rsidR="000B6A05" w:rsidRPr="009E0A91">
        <w:t xml:space="preserve">purely </w:t>
      </w:r>
      <w:r w:rsidRPr="009E0A91">
        <w:t xml:space="preserve">technology focus to </w:t>
      </w:r>
      <w:r w:rsidR="000B6A05" w:rsidRPr="009E0A91">
        <w:t>one that included</w:t>
      </w:r>
      <w:r w:rsidRPr="009E0A91">
        <w:t xml:space="preserve"> institutional arrangements and policy innovations</w:t>
      </w:r>
      <w:r w:rsidR="009555CE">
        <w:t>,</w:t>
      </w:r>
      <w:r w:rsidRPr="0011245E">
        <w:t xml:space="preserve"> help</w:t>
      </w:r>
      <w:r w:rsidR="009555CE">
        <w:t>ing</w:t>
      </w:r>
      <w:r w:rsidRPr="0011245E">
        <w:t xml:space="preserve"> drive broad-based agricultural development in PNG. </w:t>
      </w:r>
      <w:r>
        <w:t xml:space="preserve">The </w:t>
      </w:r>
      <w:r w:rsidR="000B6A05">
        <w:t>f</w:t>
      </w:r>
      <w:r w:rsidRPr="0011245E">
        <w:t xml:space="preserve">acility has also supported </w:t>
      </w:r>
      <w:r>
        <w:t xml:space="preserve">the </w:t>
      </w:r>
      <w:r w:rsidR="000B6A05">
        <w:t>i</w:t>
      </w:r>
      <w:r w:rsidR="00AA3BFB">
        <w:t>nstitute to pioneer</w:t>
      </w:r>
      <w:r w:rsidR="009555CE">
        <w:t xml:space="preserve"> </w:t>
      </w:r>
      <w:r w:rsidR="00AA3BFB">
        <w:t xml:space="preserve">geographic information </w:t>
      </w:r>
      <w:r w:rsidRPr="0011245E">
        <w:t xml:space="preserve">based planning </w:t>
      </w:r>
      <w:r w:rsidR="003412E6">
        <w:t>which</w:t>
      </w:r>
      <w:r w:rsidRPr="0011245E">
        <w:t xml:space="preserve"> better match</w:t>
      </w:r>
      <w:r w:rsidR="003412E6">
        <w:t>es</w:t>
      </w:r>
      <w:r w:rsidRPr="0011245E">
        <w:t xml:space="preserve"> resource alloca</w:t>
      </w:r>
      <w:r>
        <w:t xml:space="preserve">tion </w:t>
      </w:r>
      <w:r w:rsidR="003412E6">
        <w:t xml:space="preserve">to </w:t>
      </w:r>
      <w:r w:rsidR="00E339D4">
        <w:t xml:space="preserve">clients’ </w:t>
      </w:r>
      <w:r w:rsidRPr="00E339D4">
        <w:t>priority</w:t>
      </w:r>
      <w:r>
        <w:t xml:space="preserve"> needs.</w:t>
      </w:r>
      <w:r w:rsidRPr="0011245E">
        <w:t xml:space="preserve"> </w:t>
      </w:r>
      <w:r>
        <w:t>T</w:t>
      </w:r>
      <w:r w:rsidRPr="0011245E">
        <w:t>he Agricultural Innovations Grant Scheme has supported</w:t>
      </w:r>
      <w:r w:rsidR="004A6F75">
        <w:t xml:space="preserve"> new approaches to </w:t>
      </w:r>
      <w:r w:rsidR="00F147AB">
        <w:t>assis</w:t>
      </w:r>
      <w:r w:rsidR="004A6F75">
        <w:t xml:space="preserve">ting </w:t>
      </w:r>
      <w:r w:rsidR="00F10CE1">
        <w:t>farmers,</w:t>
      </w:r>
      <w:r w:rsidRPr="0011245E">
        <w:t xml:space="preserve"> such as mobile phone-based market information. </w:t>
      </w:r>
      <w:r>
        <w:t xml:space="preserve">The </w:t>
      </w:r>
      <w:r w:rsidRPr="0011245E">
        <w:t>National Agriculture Research Institute is also piloting a</w:t>
      </w:r>
      <w:r w:rsidR="00CE7F5E">
        <w:t xml:space="preserve"> project in partnership with</w:t>
      </w:r>
      <w:r w:rsidRPr="0011245E">
        <w:t xml:space="preserve"> PNG Women in Agriculture and PNG Microfinance to address women’s access to funding for agricultural activities.</w:t>
      </w:r>
    </w:p>
    <w:p w:rsidR="00F62C71" w:rsidRPr="007F126E" w:rsidRDefault="00F62C71" w:rsidP="00F62C71">
      <w:pPr>
        <w:pStyle w:val="BodyText"/>
      </w:pPr>
      <w:r w:rsidRPr="007F126E">
        <w:t xml:space="preserve">An independent evaluation of the </w:t>
      </w:r>
      <w:r>
        <w:t xml:space="preserve">PNG – Australia </w:t>
      </w:r>
      <w:r w:rsidRPr="007F126E">
        <w:t xml:space="preserve">Quarantine Twinning Scheme in </w:t>
      </w:r>
      <w:r>
        <w:t>early 2010</w:t>
      </w:r>
      <w:r w:rsidRPr="007F126E">
        <w:t xml:space="preserve"> found that National Agriculture Quarantine Inspection Authority’s (NAQIA) partnership with </w:t>
      </w:r>
      <w:r w:rsidR="00007034">
        <w:t>the scheme</w:t>
      </w:r>
      <w:r w:rsidR="00007034" w:rsidRPr="007F126E">
        <w:t xml:space="preserve"> </w:t>
      </w:r>
      <w:r w:rsidRPr="007F126E">
        <w:t>strengthened its technical capabilities, but failed to deliver organisational development.</w:t>
      </w:r>
      <w:r>
        <w:t xml:space="preserve"> </w:t>
      </w:r>
      <w:r w:rsidR="00E339D4">
        <w:t>Program success centred on</w:t>
      </w:r>
      <w:r w:rsidRPr="007F126E">
        <w:t xml:space="preserve"> develop</w:t>
      </w:r>
      <w:r w:rsidR="00E339D4">
        <w:t>ing</w:t>
      </w:r>
      <w:r w:rsidRPr="007F126E">
        <w:t xml:space="preserve"> NAQIA</w:t>
      </w:r>
      <w:r w:rsidR="00EE22DF">
        <w:t>’s</w:t>
      </w:r>
      <w:r w:rsidRPr="007F126E">
        <w:t xml:space="preserve"> </w:t>
      </w:r>
      <w:r w:rsidR="00EE22DF">
        <w:t>ability</w:t>
      </w:r>
      <w:r w:rsidR="00EE22DF" w:rsidRPr="007F126E">
        <w:t xml:space="preserve"> </w:t>
      </w:r>
      <w:r w:rsidRPr="007F126E">
        <w:t xml:space="preserve">to carry out technical, service delivery and logistical tasks, </w:t>
      </w:r>
      <w:r w:rsidR="00E339D4" w:rsidRPr="00E339D4">
        <w:t>in the areas of disease and pest control, including for export products.</w:t>
      </w:r>
      <w:r w:rsidR="00E339D4">
        <w:t xml:space="preserve"> </w:t>
      </w:r>
      <w:r w:rsidR="00E339D4" w:rsidRPr="007F126E">
        <w:t xml:space="preserve"> </w:t>
      </w:r>
    </w:p>
    <w:p w:rsidR="00F62C71" w:rsidRDefault="00FB4E2A" w:rsidP="00F62C71">
      <w:pPr>
        <w:pStyle w:val="BodyText"/>
      </w:pPr>
      <w:r>
        <w:t>In 2009, t</w:t>
      </w:r>
      <w:r w:rsidR="00F62C71" w:rsidRPr="007F126E">
        <w:t xml:space="preserve">he </w:t>
      </w:r>
      <w:r w:rsidR="00F62C71" w:rsidRPr="009F09D5">
        <w:t xml:space="preserve">Australian Centre for International Agricultural Research </w:t>
      </w:r>
      <w:r w:rsidR="00F62C71">
        <w:t xml:space="preserve">(ACIAR) </w:t>
      </w:r>
      <w:r w:rsidR="00F62C71" w:rsidRPr="007F126E">
        <w:t xml:space="preserve">portfolio </w:t>
      </w:r>
      <w:r w:rsidR="00F62C71">
        <w:t xml:space="preserve">in PNG </w:t>
      </w:r>
      <w:r w:rsidR="00F62C71" w:rsidRPr="007F126E">
        <w:t>f</w:t>
      </w:r>
      <w:r w:rsidR="00F62C71">
        <w:t xml:space="preserve">ocused on agricultural systems, </w:t>
      </w:r>
      <w:r w:rsidR="00F62C71" w:rsidRPr="007F126E">
        <w:t>in</w:t>
      </w:r>
      <w:r w:rsidR="00F62C71">
        <w:t>cluding post-harvest activities</w:t>
      </w:r>
      <w:r w:rsidR="006A3B50">
        <w:t>;</w:t>
      </w:r>
      <w:r w:rsidR="00F62C71" w:rsidRPr="007F126E">
        <w:t xml:space="preserve"> </w:t>
      </w:r>
      <w:r w:rsidR="006A3B50">
        <w:t xml:space="preserve">the </w:t>
      </w:r>
      <w:r w:rsidR="00F62C71" w:rsidRPr="007F126E">
        <w:t>production and protection of root, horticultural and tree crops</w:t>
      </w:r>
      <w:r w:rsidR="006A3B50">
        <w:t>; and</w:t>
      </w:r>
      <w:r w:rsidR="00F62C71" w:rsidRPr="007F126E">
        <w:t xml:space="preserve"> fisheries and forestry. ACIAR </w:t>
      </w:r>
      <w:r w:rsidR="006A023C">
        <w:t>helped</w:t>
      </w:r>
      <w:r w:rsidR="00A02199">
        <w:t xml:space="preserve"> the</w:t>
      </w:r>
      <w:r w:rsidR="00F62C71" w:rsidRPr="007F126E">
        <w:t xml:space="preserve"> </w:t>
      </w:r>
      <w:r w:rsidR="00F62C71" w:rsidRPr="007F126E">
        <w:lastRenderedPageBreak/>
        <w:t>agricultural sector</w:t>
      </w:r>
      <w:r w:rsidR="006A023C">
        <w:t xml:space="preserve"> become stronger</w:t>
      </w:r>
      <w:r w:rsidR="00F62C71" w:rsidRPr="007F126E">
        <w:t xml:space="preserve"> by supporting postgraduate degrees in Australia and an in-country scholarship scheme at the University of Technology, </w:t>
      </w:r>
      <w:proofErr w:type="spellStart"/>
      <w:r w:rsidR="00F62C71" w:rsidRPr="007F126E">
        <w:t>Lae</w:t>
      </w:r>
      <w:proofErr w:type="spellEnd"/>
      <w:r w:rsidR="00F62C71" w:rsidRPr="007F126E">
        <w:t>, as well as providing targeted activities within projects.</w:t>
      </w:r>
    </w:p>
    <w:p w:rsidR="00F62C71" w:rsidRDefault="00F62C71" w:rsidP="00AD470F">
      <w:pPr>
        <w:pStyle w:val="Heading2"/>
      </w:pPr>
      <w:bookmarkStart w:id="42" w:name="_Toc266959823"/>
      <w:bookmarkStart w:id="43" w:name="_Toc268267524"/>
      <w:bookmarkStart w:id="44" w:name="_Toc360703171"/>
      <w:r>
        <w:t xml:space="preserve">Objective: </w:t>
      </w:r>
      <w:r w:rsidRPr="002A0A39">
        <w:t>A conducive environment for enhanced private sector development</w:t>
      </w:r>
      <w:bookmarkEnd w:id="42"/>
      <w:bookmarkEnd w:id="43"/>
      <w:bookmarkEnd w:id="44"/>
    </w:p>
    <w:p w:rsidR="00F62C71" w:rsidRPr="002A0A39" w:rsidRDefault="00F62C71" w:rsidP="00F62C71">
      <w:pPr>
        <w:pStyle w:val="BodyText"/>
      </w:pPr>
      <w:r w:rsidRPr="002A0A39">
        <w:t xml:space="preserve">In 2009, AusAID </w:t>
      </w:r>
      <w:r>
        <w:t>worked with</w:t>
      </w:r>
      <w:r w:rsidRPr="002A0A39">
        <w:t xml:space="preserve"> key stakeholders </w:t>
      </w:r>
      <w:r>
        <w:t xml:space="preserve">to increase Papua New Guineans’ </w:t>
      </w:r>
      <w:r w:rsidRPr="002A0A39">
        <w:t xml:space="preserve">access to financial services, including microfinance. In collaboration with </w:t>
      </w:r>
      <w:r>
        <w:t xml:space="preserve">the </w:t>
      </w:r>
      <w:r w:rsidR="00CE7F5E">
        <w:t>Asian Development Bank (</w:t>
      </w:r>
      <w:r>
        <w:t>A</w:t>
      </w:r>
      <w:r w:rsidRPr="002A0A39">
        <w:t>DB</w:t>
      </w:r>
      <w:r w:rsidR="00CE7F5E">
        <w:t>)</w:t>
      </w:r>
      <w:r w:rsidRPr="002A0A39">
        <w:t xml:space="preserve">, International Finance Corporation and Institute of National Affairs, AusAID supported two workshops on the PNG microfinance industry and mobile banking. AusAID </w:t>
      </w:r>
      <w:r>
        <w:t>also worked</w:t>
      </w:r>
      <w:r w:rsidRPr="002A0A39">
        <w:t xml:space="preserve"> with </w:t>
      </w:r>
      <w:r w:rsidR="006A023C">
        <w:t xml:space="preserve">the </w:t>
      </w:r>
      <w:r w:rsidRPr="002A0A39">
        <w:t xml:space="preserve">ADB </w:t>
      </w:r>
      <w:r>
        <w:t>to</w:t>
      </w:r>
      <w:r w:rsidR="00CB718F">
        <w:t xml:space="preserve"> </w:t>
      </w:r>
      <w:r w:rsidR="00CB718F" w:rsidRPr="004A6F75">
        <w:t>support</w:t>
      </w:r>
      <w:r w:rsidRPr="004A6F75">
        <w:t xml:space="preserve"> </w:t>
      </w:r>
      <w:r w:rsidR="00E339D4" w:rsidRPr="004A6F75">
        <w:t xml:space="preserve">establishment </w:t>
      </w:r>
      <w:r w:rsidR="00CB718F" w:rsidRPr="004A6F75">
        <w:t>of</w:t>
      </w:r>
      <w:r w:rsidR="00CB718F">
        <w:t xml:space="preserve"> </w:t>
      </w:r>
      <w:r>
        <w:t xml:space="preserve">the </w:t>
      </w:r>
      <w:r w:rsidRPr="002A0A39">
        <w:t xml:space="preserve">Nationwide </w:t>
      </w:r>
      <w:proofErr w:type="spellStart"/>
      <w:r w:rsidRPr="002A0A39">
        <w:t>Microbank</w:t>
      </w:r>
      <w:proofErr w:type="spellEnd"/>
      <w:r w:rsidRPr="002A0A39">
        <w:t xml:space="preserve"> which now has </w:t>
      </w:r>
      <w:r>
        <w:t>nine</w:t>
      </w:r>
      <w:r w:rsidRPr="002A0A39">
        <w:t xml:space="preserve"> branches and a training centre to support other microfinance institutions. </w:t>
      </w:r>
    </w:p>
    <w:p w:rsidR="00F62C71" w:rsidRPr="002A0A39" w:rsidRDefault="00F62C71" w:rsidP="00F62C71">
      <w:pPr>
        <w:pStyle w:val="BodyText"/>
      </w:pPr>
      <w:r>
        <w:t xml:space="preserve">Australia </w:t>
      </w:r>
      <w:r w:rsidR="00821FD7">
        <w:t>helped</w:t>
      </w:r>
      <w:r w:rsidR="00821FD7" w:rsidRPr="002A0A39">
        <w:t xml:space="preserve"> </w:t>
      </w:r>
      <w:r>
        <w:t>PNG</w:t>
      </w:r>
      <w:r w:rsidR="006A3B50">
        <w:t>’s</w:t>
      </w:r>
      <w:r>
        <w:t xml:space="preserve"> </w:t>
      </w:r>
      <w:r w:rsidRPr="002A0A39">
        <w:t xml:space="preserve">Treasury </w:t>
      </w:r>
      <w:r>
        <w:t>reduce impediments</w:t>
      </w:r>
      <w:r w:rsidR="00FB68FB">
        <w:t xml:space="preserve"> to,</w:t>
      </w:r>
      <w:r>
        <w:t xml:space="preserve"> </w:t>
      </w:r>
      <w:r w:rsidR="00FB68FB">
        <w:t xml:space="preserve">and thereby increase, </w:t>
      </w:r>
      <w:r w:rsidR="00FB68FB" w:rsidRPr="002A0A39">
        <w:t>private sector investment</w:t>
      </w:r>
      <w:r w:rsidRPr="002A0A39">
        <w:t xml:space="preserve">. </w:t>
      </w:r>
      <w:r>
        <w:t xml:space="preserve">Areas of assistance </w:t>
      </w:r>
      <w:r w:rsidRPr="002A0A39">
        <w:t>included</w:t>
      </w:r>
      <w:r>
        <w:t>: negotiation</w:t>
      </w:r>
      <w:r w:rsidRPr="002A0A39">
        <w:t xml:space="preserve"> of tax arrangements for the </w:t>
      </w:r>
      <w:r>
        <w:rPr>
          <w:lang w:val="en-US"/>
        </w:rPr>
        <w:t>Liquefied Natural Gas</w:t>
      </w:r>
      <w:r w:rsidRPr="00457324">
        <w:rPr>
          <w:lang w:val="en-US"/>
        </w:rPr>
        <w:t xml:space="preserve"> </w:t>
      </w:r>
      <w:r w:rsidRPr="002A0A39">
        <w:t xml:space="preserve">Project; input into the development of a </w:t>
      </w:r>
      <w:r w:rsidR="00821FD7">
        <w:t>p</w:t>
      </w:r>
      <w:r>
        <w:t>ublic</w:t>
      </w:r>
      <w:r w:rsidR="00821FD7">
        <w:t xml:space="preserve"> – p</w:t>
      </w:r>
      <w:r w:rsidR="006A3B50">
        <w:t>r</w:t>
      </w:r>
      <w:r>
        <w:t xml:space="preserve">ivate </w:t>
      </w:r>
      <w:r w:rsidR="00821FD7">
        <w:t>p</w:t>
      </w:r>
      <w:r>
        <w:t>artnership</w:t>
      </w:r>
      <w:r w:rsidRPr="002A0A39">
        <w:t xml:space="preserve"> policy being promoted by </w:t>
      </w:r>
      <w:r w:rsidR="006A023C">
        <w:t xml:space="preserve">the </w:t>
      </w:r>
      <w:r w:rsidRPr="002A0A39">
        <w:t xml:space="preserve">ADB </w:t>
      </w:r>
      <w:r w:rsidR="00007034">
        <w:t>through</w:t>
      </w:r>
      <w:r w:rsidR="00007034" w:rsidRPr="002A0A39">
        <w:t xml:space="preserve"> </w:t>
      </w:r>
      <w:r w:rsidRPr="002A0A39">
        <w:t xml:space="preserve">the National </w:t>
      </w:r>
      <w:r>
        <w:t>Public-Private Partnership</w:t>
      </w:r>
      <w:r w:rsidRPr="002A0A39">
        <w:t xml:space="preserve"> Taskforce; and promotion of competition benefits </w:t>
      </w:r>
      <w:r w:rsidR="006A3B50">
        <w:t>(</w:t>
      </w:r>
      <w:r w:rsidRPr="002A0A39">
        <w:t xml:space="preserve">through the elimination of </w:t>
      </w:r>
      <w:r>
        <w:t>state owned enterprise</w:t>
      </w:r>
      <w:r w:rsidRPr="002A0A39">
        <w:t xml:space="preserve"> monopolies, especially in the telecommunications and aviation sectors</w:t>
      </w:r>
      <w:r w:rsidR="006A3B50">
        <w:t>)</w:t>
      </w:r>
      <w:r w:rsidRPr="002A0A39">
        <w:t xml:space="preserve">. </w:t>
      </w:r>
    </w:p>
    <w:p w:rsidR="00F147AB" w:rsidRDefault="00F62C71" w:rsidP="00F62C71">
      <w:pPr>
        <w:pStyle w:val="BodyText"/>
      </w:pPr>
      <w:r w:rsidRPr="002A0A39">
        <w:t xml:space="preserve">The Advisory Support Facility </w:t>
      </w:r>
      <w:r>
        <w:t>supported</w:t>
      </w:r>
      <w:r w:rsidRPr="002A0A39">
        <w:t xml:space="preserve"> employment regulation in PNG</w:t>
      </w:r>
      <w:r>
        <w:t xml:space="preserve">, </w:t>
      </w:r>
      <w:r w:rsidR="00F30145">
        <w:t>which is</w:t>
      </w:r>
      <w:r>
        <w:t xml:space="preserve"> helping </w:t>
      </w:r>
      <w:r w:rsidRPr="002A0A39">
        <w:t xml:space="preserve">businesses by improving the foreign work permits system. </w:t>
      </w:r>
    </w:p>
    <w:p w:rsidR="00F62C71" w:rsidRPr="002A0A39" w:rsidRDefault="00F62C71" w:rsidP="00F62C71">
      <w:pPr>
        <w:pStyle w:val="BodyText"/>
      </w:pPr>
      <w:r w:rsidRPr="002A0A39">
        <w:t>AusAID</w:t>
      </w:r>
      <w:r>
        <w:t xml:space="preserve"> is making a modest contribution to</w:t>
      </w:r>
      <w:r w:rsidRPr="002A0A39">
        <w:t xml:space="preserve"> land reform policy development. Australia’s support is progressing slowly </w:t>
      </w:r>
      <w:r w:rsidR="00F30145">
        <w:t xml:space="preserve">because </w:t>
      </w:r>
      <w:r w:rsidRPr="002A0A39">
        <w:t>PNG’s decision</w:t>
      </w:r>
      <w:r w:rsidR="00F30145">
        <w:t xml:space="preserve"> </w:t>
      </w:r>
      <w:r w:rsidRPr="002A0A39">
        <w:t xml:space="preserve">making </w:t>
      </w:r>
      <w:r w:rsidR="00F30145">
        <w:t xml:space="preserve">on land reform issues </w:t>
      </w:r>
      <w:r w:rsidRPr="002A0A39">
        <w:t xml:space="preserve">stalled from 2007 until mid 2009 </w:t>
      </w:r>
      <w:r>
        <w:t>due to</w:t>
      </w:r>
      <w:r w:rsidRPr="002A0A39">
        <w:t xml:space="preserve"> political </w:t>
      </w:r>
      <w:r w:rsidR="00FB68FB">
        <w:t>factors</w:t>
      </w:r>
      <w:r w:rsidRPr="002A0A39">
        <w:t>.</w:t>
      </w:r>
      <w:r>
        <w:t xml:space="preserve"> </w:t>
      </w:r>
      <w:r w:rsidRPr="002A0A39">
        <w:t>During 2009</w:t>
      </w:r>
      <w:r w:rsidR="00821FD7">
        <w:t>,</w:t>
      </w:r>
      <w:r w:rsidRPr="002A0A39">
        <w:t xml:space="preserve"> the PNG Government continued to address land administration</w:t>
      </w:r>
      <w:r w:rsidR="00821FD7">
        <w:t xml:space="preserve"> issues</w:t>
      </w:r>
      <w:r w:rsidRPr="002A0A39">
        <w:t xml:space="preserve">, </w:t>
      </w:r>
      <w:r>
        <w:t>establish</w:t>
      </w:r>
      <w:r w:rsidR="00FB68FB">
        <w:t>ed</w:t>
      </w:r>
      <w:r>
        <w:t xml:space="preserve"> a dispute settlement system</w:t>
      </w:r>
      <w:r w:rsidRPr="002A0A39">
        <w:t xml:space="preserve"> and </w:t>
      </w:r>
      <w:r w:rsidR="00821FD7">
        <w:t>improve</w:t>
      </w:r>
      <w:r w:rsidR="00FB68FB">
        <w:t>d</w:t>
      </w:r>
      <w:r w:rsidRPr="002A0A39">
        <w:t xml:space="preserve"> customary land </w:t>
      </w:r>
      <w:r>
        <w:t xml:space="preserve">administration </w:t>
      </w:r>
      <w:r w:rsidRPr="002A0A39">
        <w:t>through its National Land Development Program</w:t>
      </w:r>
      <w:r w:rsidR="00821FD7">
        <w:t xml:space="preserve">. This is </w:t>
      </w:r>
      <w:r>
        <w:t>increasing</w:t>
      </w:r>
      <w:r w:rsidRPr="002A0A39">
        <w:t xml:space="preserve"> land </w:t>
      </w:r>
      <w:r w:rsidR="00821FD7">
        <w:t>use</w:t>
      </w:r>
      <w:r w:rsidR="00821FD7" w:rsidRPr="002A0A39">
        <w:t xml:space="preserve"> </w:t>
      </w:r>
      <w:r w:rsidRPr="002A0A39">
        <w:t xml:space="preserve">for economic activities. </w:t>
      </w:r>
    </w:p>
    <w:p w:rsidR="00F62C71" w:rsidRDefault="00F62C71" w:rsidP="00AD470F">
      <w:pPr>
        <w:pStyle w:val="Heading2"/>
      </w:pPr>
      <w:bookmarkStart w:id="45" w:name="_Toc266959824"/>
      <w:bookmarkStart w:id="46" w:name="_Toc268267525"/>
      <w:bookmarkStart w:id="47" w:name="_Toc360703172"/>
      <w:r>
        <w:t xml:space="preserve">Objective: </w:t>
      </w:r>
      <w:r w:rsidRPr="00AC066C">
        <w:t>Addressing the causes and mitigating the impacts of climate</w:t>
      </w:r>
      <w:r w:rsidR="00007034">
        <w:t> </w:t>
      </w:r>
      <w:r w:rsidRPr="00AC066C">
        <w:t>change</w:t>
      </w:r>
      <w:bookmarkEnd w:id="45"/>
      <w:bookmarkEnd w:id="46"/>
      <w:bookmarkEnd w:id="47"/>
    </w:p>
    <w:p w:rsidR="00F62C71" w:rsidRPr="00AC066C" w:rsidRDefault="00F62C71" w:rsidP="00F62C71">
      <w:pPr>
        <w:pStyle w:val="BodyText"/>
      </w:pPr>
      <w:r w:rsidRPr="00AC066C">
        <w:t>In 2009</w:t>
      </w:r>
      <w:r w:rsidR="00821FD7">
        <w:t>,</w:t>
      </w:r>
      <w:r w:rsidRPr="00AC066C">
        <w:t xml:space="preserve"> Australia’s contributi</w:t>
      </w:r>
      <w:r>
        <w:t xml:space="preserve">on focused on advisory support, </w:t>
      </w:r>
      <w:r w:rsidRPr="00AC066C">
        <w:t>bo</w:t>
      </w:r>
      <w:r>
        <w:t xml:space="preserve">th technical and institutional, </w:t>
      </w:r>
      <w:r w:rsidRPr="00AC066C">
        <w:t xml:space="preserve">as agreed to by </w:t>
      </w:r>
      <w:r>
        <w:t xml:space="preserve">the </w:t>
      </w:r>
      <w:r w:rsidRPr="00AC066C">
        <w:t>Office of Climate Change and Environmental Sustainability. The most notable achievement of the PNG Government in 2009 was the hostin</w:t>
      </w:r>
      <w:r>
        <w:t>g</w:t>
      </w:r>
      <w:r w:rsidR="00F30145">
        <w:t xml:space="preserve"> in May</w:t>
      </w:r>
      <w:r>
        <w:t xml:space="preserve"> of four regional conferences, </w:t>
      </w:r>
      <w:r w:rsidRPr="00AC066C">
        <w:t xml:space="preserve">in </w:t>
      </w:r>
      <w:proofErr w:type="spellStart"/>
      <w:r w:rsidRPr="00AC066C">
        <w:t>Go</w:t>
      </w:r>
      <w:r>
        <w:t>roka</w:t>
      </w:r>
      <w:proofErr w:type="spellEnd"/>
      <w:r>
        <w:t xml:space="preserve">, </w:t>
      </w:r>
      <w:proofErr w:type="spellStart"/>
      <w:r>
        <w:t>Madang</w:t>
      </w:r>
      <w:proofErr w:type="spellEnd"/>
      <w:r>
        <w:t xml:space="preserve">, </w:t>
      </w:r>
      <w:proofErr w:type="spellStart"/>
      <w:r>
        <w:t>Alotau</w:t>
      </w:r>
      <w:proofErr w:type="spellEnd"/>
      <w:r>
        <w:t xml:space="preserve"> and </w:t>
      </w:r>
      <w:proofErr w:type="spellStart"/>
      <w:r>
        <w:t>Rabaul</w:t>
      </w:r>
      <w:proofErr w:type="spellEnd"/>
      <w:r w:rsidRPr="00AC066C">
        <w:t>. The conferences were an initial step to inform and educate provincial governments, landowners and stakeholder</w:t>
      </w:r>
      <w:r w:rsidR="00CD63E3">
        <w:t>s</w:t>
      </w:r>
      <w:r w:rsidRPr="00AC066C">
        <w:t xml:space="preserve"> on climate change and the PNG Government’s role in climate change </w:t>
      </w:r>
      <w:r w:rsidR="001B2EEC">
        <w:t>mitigation and management</w:t>
      </w:r>
      <w:r w:rsidRPr="00AC066C">
        <w:t>.</w:t>
      </w:r>
    </w:p>
    <w:p w:rsidR="00F62C71" w:rsidRDefault="00F62C71" w:rsidP="00F62C71">
      <w:pPr>
        <w:pStyle w:val="BodyText"/>
      </w:pPr>
      <w:r>
        <w:t>T</w:t>
      </w:r>
      <w:r w:rsidRPr="00AC066C">
        <w:t xml:space="preserve">here is a risk of donors overloading the </w:t>
      </w:r>
      <w:r>
        <w:t xml:space="preserve">Government of </w:t>
      </w:r>
      <w:r w:rsidRPr="00AC066C">
        <w:t>PNG with funding in the field of climate change</w:t>
      </w:r>
      <w:r w:rsidR="00F00A24">
        <w:t>—t</w:t>
      </w:r>
      <w:r w:rsidRPr="00AC066C">
        <w:t>here is a substantial pool of funding available</w:t>
      </w:r>
      <w:r w:rsidR="00F00A24">
        <w:t xml:space="preserve"> but PNG has </w:t>
      </w:r>
      <w:r w:rsidRPr="00AC066C">
        <w:t xml:space="preserve">very little institutional </w:t>
      </w:r>
      <w:r w:rsidR="00F00A24">
        <w:t>ability to process it.</w:t>
      </w:r>
      <w:r w:rsidRPr="00AC066C">
        <w:t xml:space="preserve"> </w:t>
      </w:r>
    </w:p>
    <w:p w:rsidR="00F62C71" w:rsidRPr="00223AEF" w:rsidRDefault="004C6E54" w:rsidP="00F62C71">
      <w:pPr>
        <w:pStyle w:val="Heading1"/>
      </w:pPr>
      <w:bookmarkStart w:id="48" w:name="_Toc360703173"/>
      <w:r>
        <w:t>Next steps</w:t>
      </w:r>
      <w:bookmarkEnd w:id="48"/>
    </w:p>
    <w:p w:rsidR="00A0060A" w:rsidRDefault="00A0060A" w:rsidP="00A0060A">
      <w:pPr>
        <w:pStyle w:val="BodyText"/>
      </w:pPr>
      <w:r w:rsidRPr="00C47AFF">
        <w:t xml:space="preserve">A key focus for the program in 2010 will be responding to the recommendations of the Development Cooperation Treaty Review </w:t>
      </w:r>
      <w:r w:rsidR="00AA3BFB">
        <w:t xml:space="preserve">(the Review) </w:t>
      </w:r>
      <w:r w:rsidRPr="00C47AFF">
        <w:t>which noted real achievements of the aid program in PNG, but also raised important challenges. Significant changes are needed to improve the effectiveness of the aid program and achieve better value for money through the Partnership for Development.</w:t>
      </w:r>
      <w:r>
        <w:t xml:space="preserve"> The </w:t>
      </w:r>
      <w:r w:rsidRPr="00C47AFF">
        <w:t>review identified that the program is too thinly spread</w:t>
      </w:r>
      <w:r>
        <w:t xml:space="preserve">, and </w:t>
      </w:r>
      <w:r w:rsidRPr="00C47AFF">
        <w:lastRenderedPageBreak/>
        <w:t xml:space="preserve">called for substantial change in the Australian aid program, particularly relating to focus and impact. </w:t>
      </w:r>
      <w:r w:rsidR="001B2EEC">
        <w:t>An emerging</w:t>
      </w:r>
      <w:r w:rsidRPr="00C47AFF">
        <w:t xml:space="preserve"> challenge will be </w:t>
      </w:r>
      <w:r w:rsidR="001B2EEC">
        <w:t xml:space="preserve">to </w:t>
      </w:r>
      <w:r w:rsidRPr="00C47AFF">
        <w:t xml:space="preserve">understand and position the program in relation to impacts of the </w:t>
      </w:r>
      <w:r w:rsidRPr="00C47AFF">
        <w:rPr>
          <w:lang w:val="en-US"/>
        </w:rPr>
        <w:t>Liquefied Natural Gas</w:t>
      </w:r>
      <w:r>
        <w:t xml:space="preserve"> P</w:t>
      </w:r>
      <w:r w:rsidRPr="00C47AFF">
        <w:t>roject</w:t>
      </w:r>
      <w:r w:rsidR="001B2EEC">
        <w:t>.</w:t>
      </w:r>
      <w:r w:rsidRPr="00C47AFF">
        <w:t xml:space="preserve"> </w:t>
      </w:r>
      <w:r w:rsidR="001B2EEC">
        <w:t>S</w:t>
      </w:r>
      <w:r w:rsidRPr="00C47AFF">
        <w:t xml:space="preserve">trengthening the quality of dialogue with the </w:t>
      </w:r>
      <w:r>
        <w:t xml:space="preserve">Government of </w:t>
      </w:r>
      <w:r w:rsidRPr="00C47AFF">
        <w:t>PNG</w:t>
      </w:r>
      <w:r w:rsidR="001B2EEC">
        <w:t xml:space="preserve"> is vital</w:t>
      </w:r>
      <w:r w:rsidRPr="00C47AFF">
        <w:t xml:space="preserve">.  </w:t>
      </w:r>
    </w:p>
    <w:p w:rsidR="00A0060A" w:rsidRDefault="00A0060A" w:rsidP="00A0060A">
      <w:pPr>
        <w:pStyle w:val="BodyText"/>
      </w:pPr>
      <w:r>
        <w:t xml:space="preserve">In 2010, </w:t>
      </w:r>
      <w:r w:rsidRPr="00C47AFF">
        <w:t xml:space="preserve">work </w:t>
      </w:r>
      <w:r>
        <w:t xml:space="preserve">is needed </w:t>
      </w:r>
      <w:r w:rsidRPr="00C47AFF">
        <w:t xml:space="preserve">at the strategic level to determine how AusAID will </w:t>
      </w:r>
      <w:r w:rsidR="004A6F75">
        <w:t>proceed on</w:t>
      </w:r>
      <w:r w:rsidRPr="00C47AFF">
        <w:t xml:space="preserve"> the Review recommendations</w:t>
      </w:r>
      <w:r w:rsidR="004A6F75">
        <w:t xml:space="preserve">.  </w:t>
      </w:r>
      <w:r w:rsidRPr="00C47AFF">
        <w:t xml:space="preserve"> </w:t>
      </w:r>
      <w:r w:rsidR="004A6F75">
        <w:t>This response will be determined through close dialogue with</w:t>
      </w:r>
      <w:r w:rsidRPr="00C47AFF">
        <w:t xml:space="preserve"> the GoPNG. Issues for consideration include narrowing </w:t>
      </w:r>
      <w:r w:rsidR="00AA3BFB">
        <w:t xml:space="preserve">the focus </w:t>
      </w:r>
      <w:r w:rsidRPr="00C47AFF">
        <w:t xml:space="preserve">of the program, </w:t>
      </w:r>
      <w:r w:rsidR="00AA3BFB">
        <w:t xml:space="preserve">more targeted </w:t>
      </w:r>
      <w:r w:rsidRPr="00C47AFF">
        <w:t>use of advisers and the role of non-state actors, such as churc</w:t>
      </w:r>
      <w:r>
        <w:t>h</w:t>
      </w:r>
      <w:r w:rsidRPr="00C47AFF">
        <w:t>es and non-government organisations</w:t>
      </w:r>
      <w:r>
        <w:t>,</w:t>
      </w:r>
      <w:r w:rsidRPr="00C47AFF">
        <w:t xml:space="preserve"> in delivering services. </w:t>
      </w:r>
    </w:p>
    <w:p w:rsidR="00A0060A" w:rsidRPr="00C47AFF" w:rsidRDefault="00A0060A" w:rsidP="00A0060A">
      <w:pPr>
        <w:pStyle w:val="BodyText"/>
      </w:pPr>
      <w:r w:rsidRPr="00C47AFF">
        <w:t>In May 2010 the Australian Foreign Minister announced a review</w:t>
      </w:r>
      <w:r>
        <w:t xml:space="preserve"> of advisers working in the PNG P</w:t>
      </w:r>
      <w:r w:rsidRPr="00C47AFF">
        <w:t>rogram. The review of</w:t>
      </w:r>
      <w:r>
        <w:t xml:space="preserve"> technical advisers will allow AusAID and the Government of PNG</w:t>
      </w:r>
      <w:r w:rsidRPr="00C47AFF">
        <w:t xml:space="preserve"> to examine the role they play in the aid program and focus on the contribution they make to development results. </w:t>
      </w:r>
      <w:r>
        <w:t>The</w:t>
      </w:r>
      <w:r w:rsidRPr="00C47AFF">
        <w:t xml:space="preserve"> objective is to ensure that technical advisers represent an effective, value</w:t>
      </w:r>
      <w:r w:rsidR="001A57B3">
        <w:t>-</w:t>
      </w:r>
      <w:r w:rsidRPr="00C47AFF">
        <w:t>for</w:t>
      </w:r>
      <w:r w:rsidR="001A57B3">
        <w:t>-</w:t>
      </w:r>
      <w:r w:rsidRPr="00C47AFF">
        <w:t xml:space="preserve">money response to meeting our partner government needs and priorities. </w:t>
      </w:r>
    </w:p>
    <w:p w:rsidR="00A0060A" w:rsidRDefault="004A6F75" w:rsidP="00A0060A">
      <w:pPr>
        <w:pStyle w:val="BodyText"/>
      </w:pPr>
      <w:r w:rsidRPr="004A6F75">
        <w:t xml:space="preserve">In addition to </w:t>
      </w:r>
      <w:proofErr w:type="gramStart"/>
      <w:r w:rsidRPr="004A6F75">
        <w:t>the</w:t>
      </w:r>
      <w:r w:rsidR="00A0060A" w:rsidRPr="004A6F75">
        <w:t xml:space="preserve">  Development</w:t>
      </w:r>
      <w:proofErr w:type="gramEnd"/>
      <w:r w:rsidR="00A0060A" w:rsidRPr="004A6F75">
        <w:t xml:space="preserve"> Cooperation Treaty Review, other </w:t>
      </w:r>
      <w:r w:rsidRPr="004A6F75">
        <w:t xml:space="preserve">matters for </w:t>
      </w:r>
      <w:r w:rsidR="00A0060A" w:rsidRPr="004A6F75">
        <w:t xml:space="preserve">consideration include </w:t>
      </w:r>
      <w:r w:rsidR="001A57B3" w:rsidRPr="004A6F75">
        <w:t xml:space="preserve">the findings of </w:t>
      </w:r>
      <w:r w:rsidR="00A0060A" w:rsidRPr="004A6F75">
        <w:t>the PNG University System Review, the</w:t>
      </w:r>
      <w:r w:rsidRPr="004A6F75">
        <w:t xml:space="preserve"> development of</w:t>
      </w:r>
      <w:r w:rsidR="00A0060A" w:rsidRPr="004A6F75">
        <w:t xml:space="preserve"> </w:t>
      </w:r>
      <w:r w:rsidR="00F147AB">
        <w:t xml:space="preserve">new </w:t>
      </w:r>
      <w:r w:rsidR="00A0060A" w:rsidRPr="004A6F75">
        <w:t xml:space="preserve">Partnership for Development schedules, and </w:t>
      </w:r>
      <w:r w:rsidRPr="004A6F75">
        <w:t xml:space="preserve">determining </w:t>
      </w:r>
      <w:r w:rsidR="00A0060A" w:rsidRPr="004A6F75">
        <w:t xml:space="preserve">what sectors and types of aid will position the PNG </w:t>
      </w:r>
      <w:r w:rsidR="00AA3BFB" w:rsidRPr="004A6F75">
        <w:t>aid p</w:t>
      </w:r>
      <w:r w:rsidR="00A0060A" w:rsidRPr="004A6F75">
        <w:t>rogram best for scaling up and achieving impact.</w:t>
      </w:r>
    </w:p>
    <w:p w:rsidR="00F62C71" w:rsidRDefault="00F62C71" w:rsidP="002346ED">
      <w:pPr>
        <w:pStyle w:val="BodyText"/>
      </w:pPr>
    </w:p>
    <w:sectPr w:rsidR="00F62C71" w:rsidSect="00E77D0C">
      <w:headerReference w:type="even" r:id="rId16"/>
      <w:headerReference w:type="default" r:id="rId17"/>
      <w:footerReference w:type="even" r:id="rId18"/>
      <w:footerReference w:type="default" r:id="rId19"/>
      <w:footerReference w:type="first" r:id="rId20"/>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6D" w:rsidRDefault="0007396D">
      <w:r>
        <w:separator/>
      </w:r>
    </w:p>
    <w:p w:rsidR="0007396D" w:rsidRDefault="0007396D"/>
  </w:endnote>
  <w:endnote w:type="continuationSeparator" w:id="0">
    <w:p w:rsidR="0007396D" w:rsidRDefault="0007396D">
      <w:r>
        <w:continuationSeparator/>
      </w:r>
    </w:p>
    <w:p w:rsidR="0007396D" w:rsidRDefault="00073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3" w:rsidRPr="00AD612A" w:rsidRDefault="008B3A1B">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3E3" w:rsidRPr="007C1ECE">
      <w:tab/>
    </w:r>
    <w:r w:rsidR="00CD63E3">
      <w:tab/>
    </w:r>
    <w:r w:rsidR="00CD63E3">
      <w:tab/>
    </w:r>
    <w:r w:rsidR="00CD63E3">
      <w:rPr>
        <w:rStyle w:val="PageNumber"/>
      </w:rPr>
      <w:fldChar w:fldCharType="begin"/>
    </w:r>
    <w:r w:rsidR="00CD63E3">
      <w:rPr>
        <w:rStyle w:val="PageNumber"/>
      </w:rPr>
      <w:instrText xml:space="preserve"> PAGE </w:instrText>
    </w:r>
    <w:r w:rsidR="00CD63E3">
      <w:rPr>
        <w:rStyle w:val="PageNumber"/>
      </w:rPr>
      <w:fldChar w:fldCharType="separate"/>
    </w:r>
    <w:r w:rsidR="00CD63E3">
      <w:rPr>
        <w:rStyle w:val="PageNumber"/>
        <w:noProof/>
      </w:rPr>
      <w:t>2</w:t>
    </w:r>
    <w:r w:rsidR="00CD63E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3" w:rsidRPr="004A4B6B" w:rsidRDefault="00CD63E3" w:rsidP="001260C2">
    <w:pPr>
      <w:pStyle w:val="Footer"/>
    </w:pPr>
    <w:r>
      <w:tab/>
    </w:r>
    <w:r>
      <w:fldChar w:fldCharType="begin"/>
    </w:r>
    <w:r>
      <w:instrText xml:space="preserve"> STYLEREF  Title </w:instrText>
    </w:r>
    <w:r w:rsidR="00EC264F">
      <w:fldChar w:fldCharType="separate"/>
    </w:r>
    <w:r w:rsidR="00B05905">
      <w:rPr>
        <w:noProof/>
      </w:rPr>
      <w:t>Papua New Guinea – Australia Development Cooperation Report 2009</w:t>
    </w:r>
    <w:r>
      <w:fldChar w:fldCharType="end"/>
    </w:r>
    <w:r>
      <w:rPr>
        <w:rStyle w:val="PageNumber"/>
      </w:rPr>
      <w:tab/>
    </w:r>
    <w:r>
      <w:rPr>
        <w:rStyle w:val="PageNumber"/>
      </w:rPr>
      <w:tab/>
    </w:r>
    <w:r w:rsidRPr="004A26C9">
      <w:rPr>
        <w:rStyle w:val="PageNumber"/>
      </w:rPr>
      <w:fldChar w:fldCharType="begin"/>
    </w:r>
    <w:r w:rsidRPr="004A26C9">
      <w:rPr>
        <w:rStyle w:val="PageNumber"/>
      </w:rPr>
      <w:instrText xml:space="preserve"> PAGE </w:instrText>
    </w:r>
    <w:r w:rsidRPr="004A26C9">
      <w:rPr>
        <w:rStyle w:val="PageNumber"/>
      </w:rPr>
      <w:fldChar w:fldCharType="separate"/>
    </w:r>
    <w:r w:rsidR="00B05905">
      <w:rPr>
        <w:rStyle w:val="PageNumber"/>
        <w:noProof/>
      </w:rPr>
      <w:t>3</w:t>
    </w:r>
    <w:r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3" w:rsidRDefault="00CD63E3">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B0590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6D" w:rsidRDefault="0007396D" w:rsidP="00D62AA4">
      <w:pPr>
        <w:spacing w:before="60" w:after="40" w:line="180" w:lineRule="exact"/>
      </w:pPr>
      <w:r>
        <w:continuationSeparator/>
      </w:r>
    </w:p>
  </w:footnote>
  <w:footnote w:type="continuationSeparator" w:id="0">
    <w:p w:rsidR="0007396D" w:rsidRDefault="0007396D">
      <w:r>
        <w:continuationSeparator/>
      </w:r>
    </w:p>
    <w:p w:rsidR="0007396D" w:rsidRDefault="0007396D"/>
  </w:footnote>
  <w:footnote w:type="continuationNotice" w:id="1">
    <w:p w:rsidR="0007396D" w:rsidRDefault="0007396D"/>
    <w:p w:rsidR="0007396D" w:rsidRDefault="0007396D"/>
  </w:footnote>
  <w:footnote w:id="2">
    <w:p w:rsidR="00D779E3" w:rsidRPr="006D4B90" w:rsidRDefault="00D779E3" w:rsidP="00D779E3">
      <w:pPr>
        <w:pStyle w:val="FootnoteText"/>
      </w:pPr>
      <w:r>
        <w:rPr>
          <w:rStyle w:val="FootnoteReference"/>
        </w:rPr>
        <w:footnoteRef/>
      </w:r>
      <w:r>
        <w:t xml:space="preserve"> </w:t>
      </w:r>
      <w:r>
        <w:tab/>
      </w:r>
      <w:r w:rsidRPr="006D4B90">
        <w:rPr>
          <w:rStyle w:val="FootnoteTextChar"/>
        </w:rPr>
        <w:t xml:space="preserve">The PNG Liquefied Natural Gas Project is </w:t>
      </w:r>
      <w:r w:rsidR="00846337">
        <w:rPr>
          <w:rStyle w:val="FootnoteTextChar"/>
        </w:rPr>
        <w:t>a joint venture led by Esso Highlands Limited, and</w:t>
      </w:r>
      <w:r w:rsidRPr="006D4B90">
        <w:rPr>
          <w:rStyle w:val="FootnoteTextChar"/>
        </w:rPr>
        <w:t xml:space="preserve"> includes gas production and processing facilities in the Southern Highlands and Western provinces. The project</w:t>
      </w:r>
      <w:r w:rsidR="00846337">
        <w:rPr>
          <w:rStyle w:val="FootnoteTextChar"/>
        </w:rPr>
        <w:t xml:space="preserve">‘s </w:t>
      </w:r>
      <w:r w:rsidRPr="006D4B90">
        <w:rPr>
          <w:rStyle w:val="FootnoteTextChar"/>
        </w:rPr>
        <w:t xml:space="preserve">first deliveries </w:t>
      </w:r>
      <w:r w:rsidR="00846337">
        <w:rPr>
          <w:rStyle w:val="FootnoteTextChar"/>
        </w:rPr>
        <w:t xml:space="preserve">are </w:t>
      </w:r>
      <w:r w:rsidRPr="006D4B90">
        <w:rPr>
          <w:rStyle w:val="FootnoteTextChar"/>
        </w:rPr>
        <w:t>scheduled to begin in 2014</w:t>
      </w:r>
      <w:r w:rsidRPr="006D4B90">
        <w:t xml:space="preserve">. </w:t>
      </w:r>
    </w:p>
    <w:p w:rsidR="00D779E3" w:rsidRDefault="00D779E3">
      <w:pPr>
        <w:pStyle w:val="FootnoteText"/>
      </w:pPr>
    </w:p>
  </w:footnote>
  <w:footnote w:id="3">
    <w:p w:rsidR="00D779E3" w:rsidRPr="00CC7AAA" w:rsidRDefault="00D779E3" w:rsidP="00D779E3">
      <w:pPr>
        <w:pStyle w:val="FootnoteText"/>
        <w:rPr>
          <w:rStyle w:val="FootnoteTextChar"/>
        </w:rPr>
      </w:pPr>
      <w:r>
        <w:rPr>
          <w:rStyle w:val="FootnoteReference"/>
        </w:rPr>
        <w:footnoteRef/>
      </w:r>
      <w:r>
        <w:t xml:space="preserve"> </w:t>
      </w:r>
      <w:r>
        <w:tab/>
      </w:r>
      <w:r w:rsidRPr="00CC7AAA">
        <w:rPr>
          <w:rStyle w:val="FootnoteTextChar"/>
        </w:rPr>
        <w:t>Pacific Islands Forum Secretariat, 2010 Pacific Regional MDG Tracking Report</w:t>
      </w:r>
    </w:p>
    <w:p w:rsidR="00D779E3" w:rsidRDefault="00D779E3">
      <w:pPr>
        <w:pStyle w:val="FootnoteText"/>
      </w:pPr>
    </w:p>
  </w:footnote>
  <w:footnote w:id="4">
    <w:p w:rsidR="00D779E3" w:rsidRPr="00527A6A" w:rsidRDefault="00D779E3" w:rsidP="00B05905">
      <w:pPr>
        <w:pStyle w:val="FootnoteText"/>
        <w:rPr>
          <w:vanish/>
          <w:lang w:val="en"/>
          <w:specVanish/>
        </w:rPr>
      </w:pPr>
      <w:r>
        <w:rPr>
          <w:rStyle w:val="FootnoteReference"/>
        </w:rPr>
        <w:footnoteRef/>
      </w:r>
      <w:r>
        <w:t xml:space="preserve"> </w:t>
      </w:r>
      <w:r>
        <w:tab/>
      </w:r>
      <w:r w:rsidRPr="006D4B90">
        <w:t>The Corruption Perceptions Index ranks countries on the degree to which public officials and politicians are seen to be corrupt.</w:t>
      </w:r>
      <w:r w:rsidRPr="006D4B90">
        <w:br/>
        <w:t>It ranks 180 countries and draws on 14 polls and surveys from 12 independent institutions. It is published annually by</w:t>
      </w:r>
      <w:r>
        <w:t xml:space="preserve"> </w:t>
      </w:r>
      <w:r w:rsidRPr="007F2007">
        <w:t xml:space="preserve">Transparency International, a </w:t>
      </w:r>
      <w:hyperlink r:id="rId1" w:tooltip="Non-governmental organization" w:history="1">
        <w:r w:rsidRPr="007F2007">
          <w:t>non-government organi</w:t>
        </w:r>
        <w:r>
          <w:t>s</w:t>
        </w:r>
        <w:r w:rsidRPr="007F2007">
          <w:t>ation</w:t>
        </w:r>
      </w:hyperlink>
      <w:r w:rsidRPr="007F2007">
        <w:t xml:space="preserve"> </w:t>
      </w:r>
      <w:r>
        <w:t xml:space="preserve">(NGO) </w:t>
      </w:r>
      <w:r w:rsidRPr="007F2007">
        <w:t xml:space="preserve">that monitors </w:t>
      </w:r>
      <w:hyperlink r:id="rId2" w:tooltip="Corporate crime" w:history="1">
        <w:r w:rsidRPr="007F2007">
          <w:t>corporate</w:t>
        </w:r>
      </w:hyperlink>
      <w:r w:rsidRPr="007F2007">
        <w:t xml:space="preserve"> and </w:t>
      </w:r>
      <w:hyperlink r:id="rId3" w:tooltip="Political corruption" w:history="1">
        <w:r w:rsidRPr="007F2007">
          <w:t>political corruption</w:t>
        </w:r>
      </w:hyperlink>
      <w:r w:rsidRPr="007F2007">
        <w:t xml:space="preserve"> in international development.</w:t>
      </w:r>
    </w:p>
    <w:p w:rsidR="00D779E3" w:rsidRPr="00527A6A" w:rsidRDefault="00D779E3" w:rsidP="00D779E3">
      <w:pPr>
        <w:pStyle w:val="FootnoteText"/>
        <w:rPr>
          <w:vanish/>
          <w:lang w:val="en"/>
          <w:specVanish/>
        </w:rPr>
      </w:pPr>
    </w:p>
    <w:p w:rsidR="00D779E3" w:rsidRDefault="00D779E3">
      <w:pPr>
        <w:pStyle w:val="FootnoteText"/>
      </w:pPr>
    </w:p>
  </w:footnote>
  <w:footnote w:id="5">
    <w:p w:rsidR="00D779E3" w:rsidRDefault="00D779E3">
      <w:pPr>
        <w:pStyle w:val="FootnoteText"/>
      </w:pPr>
      <w:r>
        <w:rPr>
          <w:rStyle w:val="FootnoteReference"/>
        </w:rPr>
        <w:footnoteRef/>
      </w:r>
      <w:r>
        <w:t xml:space="preserve"> </w:t>
      </w:r>
      <w:r>
        <w:tab/>
      </w:r>
      <w:r w:rsidRPr="00CC7AAA">
        <w:rPr>
          <w:rStyle w:val="FootnoteTextChar"/>
        </w:rPr>
        <w:t>The total number of entrants six years of age in the preparatory grade, expressed as a percentage of the population aged 6 years of age</w:t>
      </w:r>
      <w:r>
        <w:rPr>
          <w:rStyle w:val="FootnoteTextChar"/>
        </w:rPr>
        <w:t>.</w:t>
      </w:r>
    </w:p>
  </w:footnote>
  <w:footnote w:id="6">
    <w:p w:rsidR="00CD63E3" w:rsidRDefault="00CD63E3" w:rsidP="00F62C71">
      <w:pPr>
        <w:pStyle w:val="FootnoteText"/>
      </w:pPr>
      <w:r>
        <w:rPr>
          <w:rStyle w:val="FootnoteReference"/>
        </w:rPr>
        <w:footnoteRef/>
      </w:r>
      <w:r>
        <w:t xml:space="preserve"> </w:t>
      </w:r>
      <w:r>
        <w:tab/>
      </w:r>
      <w:r w:rsidRPr="001255CA">
        <w:rPr>
          <w:i/>
        </w:rPr>
        <w:t>Health Sector Review</w:t>
      </w:r>
      <w:r>
        <w:t xml:space="preserve"> (2001–09), National Department of Health, May 2009.</w:t>
      </w:r>
    </w:p>
  </w:footnote>
  <w:footnote w:id="7">
    <w:p w:rsidR="00CD63E3" w:rsidRPr="00133D1E" w:rsidRDefault="00CD63E3" w:rsidP="00F62C71">
      <w:pPr>
        <w:autoSpaceDE w:val="0"/>
        <w:autoSpaceDN w:val="0"/>
        <w:adjustRightInd w:val="0"/>
        <w:rPr>
          <w:szCs w:val="20"/>
        </w:rPr>
      </w:pPr>
      <w:r w:rsidRPr="00133D1E">
        <w:rPr>
          <w:rStyle w:val="FootnoteReference"/>
          <w:szCs w:val="20"/>
        </w:rPr>
        <w:footnoteRef/>
      </w:r>
      <w:r>
        <w:rPr>
          <w:szCs w:val="20"/>
        </w:rPr>
        <w:t xml:space="preserve"> </w:t>
      </w:r>
      <w:r>
        <w:rPr>
          <w:szCs w:val="20"/>
        </w:rPr>
        <w:tab/>
      </w:r>
      <w:bookmarkStart w:id="19" w:name="OLE_LINK1"/>
      <w:bookmarkStart w:id="20" w:name="OLE_LINK2"/>
      <w:proofErr w:type="gramStart"/>
      <w:r w:rsidRPr="00B82D04">
        <w:rPr>
          <w:rFonts w:ascii="Franklin Gothic Book" w:hAnsi="Franklin Gothic Book"/>
          <w:sz w:val="14"/>
          <w:szCs w:val="14"/>
        </w:rPr>
        <w:t>United Nations Economic and Social Commission for Asia and the Pacific</w:t>
      </w:r>
      <w:bookmarkEnd w:id="19"/>
      <w:bookmarkEnd w:id="20"/>
      <w:r w:rsidRPr="00623273">
        <w:rPr>
          <w:rFonts w:ascii="Franklin Gothic Book" w:hAnsi="Franklin Gothic Book"/>
          <w:sz w:val="14"/>
          <w:szCs w:val="14"/>
        </w:rPr>
        <w:t xml:space="preserve">, </w:t>
      </w:r>
      <w:r w:rsidRPr="001255CA">
        <w:rPr>
          <w:rFonts w:ascii="Franklin Gothic Book" w:hAnsi="Franklin Gothic Book"/>
          <w:i/>
          <w:sz w:val="14"/>
          <w:szCs w:val="14"/>
        </w:rPr>
        <w:t>Statistical Yearbook for Asia and the Pacific 2008</w:t>
      </w:r>
      <w:r>
        <w:rPr>
          <w:rFonts w:ascii="Franklin Gothic Book" w:hAnsi="Franklin Gothic Book"/>
          <w:sz w:val="14"/>
          <w:szCs w:val="14"/>
        </w:rPr>
        <w:t>.</w:t>
      </w:r>
      <w:proofErr w:type="gramEnd"/>
    </w:p>
  </w:footnote>
  <w:footnote w:id="8">
    <w:p w:rsidR="00CD63E3" w:rsidRDefault="00CD63E3" w:rsidP="00F62C71">
      <w:pPr>
        <w:pStyle w:val="FootnoteText"/>
      </w:pPr>
      <w:r>
        <w:rPr>
          <w:rStyle w:val="FootnoteReference"/>
        </w:rPr>
        <w:footnoteRef/>
      </w:r>
      <w:r>
        <w:t xml:space="preserve"> </w:t>
      </w:r>
      <w:r>
        <w:tab/>
        <w:t>PNG–607–G03–T Grant Performance Report TB Round 6 (updated 6 January 2010).</w:t>
      </w:r>
    </w:p>
  </w:footnote>
  <w:footnote w:id="9">
    <w:p w:rsidR="00CD63E3" w:rsidRPr="00AD470F" w:rsidRDefault="00CD63E3" w:rsidP="00F62C71">
      <w:pPr>
        <w:pStyle w:val="FootnoteText"/>
      </w:pPr>
      <w:r w:rsidRPr="003675D9">
        <w:rPr>
          <w:rStyle w:val="FootnoteReference"/>
        </w:rPr>
        <w:footnoteRef/>
      </w:r>
      <w:r>
        <w:t xml:space="preserve"> </w:t>
      </w:r>
      <w:r>
        <w:tab/>
      </w:r>
      <w:r w:rsidRPr="00AD470F">
        <w:t>Based on the World Health Organi</w:t>
      </w:r>
      <w:r>
        <w:t>z</w:t>
      </w:r>
      <w:r w:rsidRPr="00AD470F">
        <w:t xml:space="preserve">ation eligibility criteria of those who need treatment and who have a CD4 count </w:t>
      </w:r>
      <w:r>
        <w:t xml:space="preserve">of </w:t>
      </w:r>
      <w:r w:rsidRPr="00AD470F">
        <w:t xml:space="preserve">less </w:t>
      </w:r>
      <w:r>
        <w:br/>
      </w:r>
      <w:r w:rsidRPr="00AD470F">
        <w:t xml:space="preserve">than 200. </w:t>
      </w:r>
    </w:p>
  </w:footnote>
  <w:footnote w:id="10">
    <w:p w:rsidR="00CD63E3" w:rsidRPr="00AD470F" w:rsidRDefault="00CD63E3" w:rsidP="00F62C71">
      <w:pPr>
        <w:pStyle w:val="FootnoteText"/>
      </w:pPr>
      <w:r w:rsidRPr="00AD470F">
        <w:rPr>
          <w:rStyle w:val="FootnoteReference"/>
        </w:rPr>
        <w:footnoteRef/>
      </w:r>
      <w:r>
        <w:tab/>
      </w:r>
      <w:proofErr w:type="gramStart"/>
      <w:r w:rsidRPr="00B82D04">
        <w:t>Provincial Capacity Building Pr</w:t>
      </w:r>
      <w:r>
        <w:t>ogram</w:t>
      </w:r>
      <w:r w:rsidRPr="00B82D04">
        <w:t xml:space="preserve"> Phase II 2</w:t>
      </w:r>
      <w:r w:rsidRPr="00AD470F">
        <w:t>008 Assessment Report.</w:t>
      </w:r>
      <w:proofErr w:type="gramEnd"/>
    </w:p>
  </w:footnote>
  <w:footnote w:id="11">
    <w:p w:rsidR="00CD63E3" w:rsidRPr="00AD470F" w:rsidRDefault="00CD63E3" w:rsidP="00F62C71">
      <w:pPr>
        <w:pStyle w:val="FootnoteText"/>
      </w:pPr>
      <w:r w:rsidRPr="00AD470F">
        <w:rPr>
          <w:rStyle w:val="FootnoteReference"/>
        </w:rPr>
        <w:footnoteRef/>
      </w:r>
      <w:r w:rsidRPr="008374C1">
        <w:t xml:space="preserve"> </w:t>
      </w:r>
      <w:r>
        <w:tab/>
      </w:r>
      <w:r w:rsidRPr="00AD470F">
        <w:t xml:space="preserve">Crime surveys are conducted on a regular basis (in 2009 by the </w:t>
      </w:r>
      <w:r w:rsidRPr="00B82D04">
        <w:t>L</w:t>
      </w:r>
      <w:r>
        <w:t>aw and Justice Sector Secretariat</w:t>
      </w:r>
      <w:r w:rsidRPr="00B82D04">
        <w:t>) ac</w:t>
      </w:r>
      <w:r w:rsidRPr="00AD470F">
        <w:t xml:space="preserve">ross </w:t>
      </w:r>
      <w:r>
        <w:t xml:space="preserve">different </w:t>
      </w:r>
      <w:r w:rsidRPr="00AD470F">
        <w:t xml:space="preserve">geographic locations including Port Moresby, Lae, Bougainville, Mt Hagan and </w:t>
      </w:r>
      <w:proofErr w:type="spellStart"/>
      <w:r w:rsidRPr="00AD470F">
        <w:t>Kianantu</w:t>
      </w:r>
      <w:proofErr w:type="spellEnd"/>
      <w:r w:rsidRPr="00AD470F">
        <w:t>.</w:t>
      </w:r>
      <w:r>
        <w:t xml:space="preserve"> </w:t>
      </w:r>
    </w:p>
  </w:footnote>
  <w:footnote w:id="12">
    <w:p w:rsidR="00CD63E3" w:rsidRPr="00844F54" w:rsidRDefault="00CD63E3" w:rsidP="00F62C71">
      <w:pPr>
        <w:pStyle w:val="FootnoteText"/>
        <w:rPr>
          <w:rFonts w:ascii="Times New Roman" w:hAnsi="Times New Roman"/>
          <w:sz w:val="18"/>
          <w:szCs w:val="18"/>
        </w:rPr>
      </w:pPr>
      <w:r w:rsidRPr="008374C1">
        <w:footnoteRef/>
      </w:r>
      <w:r w:rsidRPr="008374C1">
        <w:t xml:space="preserve"> </w:t>
      </w:r>
      <w:r>
        <w:tab/>
      </w:r>
      <w:r w:rsidRPr="008374C1">
        <w:t>The White Paper on Law and Justice in PNG highlights the importance of a revitalised village court system and the need for significant improvements withi</w:t>
      </w:r>
      <w:r>
        <w:t>n</w:t>
      </w:r>
      <w:r w:rsidR="00CC072A">
        <w:t xml:space="preserve"> the operation of these courts.</w:t>
      </w:r>
    </w:p>
  </w:footnote>
  <w:footnote w:id="13">
    <w:p w:rsidR="00CD63E3" w:rsidRDefault="00CD63E3" w:rsidP="00F62C71">
      <w:pPr>
        <w:pStyle w:val="FootnoteText"/>
      </w:pPr>
      <w:r w:rsidRPr="008374C1">
        <w:footnoteRef/>
      </w:r>
      <w:r>
        <w:t xml:space="preserve"> </w:t>
      </w:r>
      <w:r>
        <w:tab/>
      </w:r>
      <w:r w:rsidRPr="008374C1">
        <w:t xml:space="preserve">Total enrolments include scholarships, self sponsored and industry sponsored. Data </w:t>
      </w:r>
      <w:r w:rsidRPr="000A61E6">
        <w:t xml:space="preserve">taken from </w:t>
      </w:r>
      <w:r>
        <w:t xml:space="preserve">the </w:t>
      </w:r>
      <w:r w:rsidRPr="000A61E6">
        <w:t>A</w:t>
      </w:r>
      <w:r>
        <w:t>ustralia Pacific Technical College</w:t>
      </w:r>
      <w:r w:rsidRPr="000A61E6">
        <w:t xml:space="preserve"> </w:t>
      </w:r>
      <w:r>
        <w:t xml:space="preserve">in </w:t>
      </w:r>
      <w:r w:rsidRPr="000A61E6">
        <w:t>PNG u</w:t>
      </w:r>
      <w:r w:rsidRPr="008374C1">
        <w:t>pdate report of February 2010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3" w:rsidRDefault="008B3A1B"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BF" w:rsidRDefault="008B3A1B">
    <w:pPr>
      <w:pStyle w:val="Header"/>
    </w:pPr>
    <w:r>
      <w:rPr>
        <w:noProof/>
        <w:lang w:val="en-US" w:eastAsia="en-US"/>
      </w:rPr>
      <w:drawing>
        <wp:anchor distT="0" distB="0" distL="114300" distR="114300" simplePos="0" relativeHeight="251658752" behindDoc="1" locked="0" layoutInCell="1" allowOverlap="1">
          <wp:simplePos x="0" y="0"/>
          <wp:positionH relativeFrom="page">
            <wp:posOffset>8890</wp:posOffset>
          </wp:positionH>
          <wp:positionV relativeFrom="page">
            <wp:posOffset>26035</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713"/>
    <w:multiLevelType w:val="hybridMultilevel"/>
    <w:tmpl w:val="E4ECCF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1659E4"/>
    <w:multiLevelType w:val="hybridMultilevel"/>
    <w:tmpl w:val="8DE640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C4B5607"/>
    <w:multiLevelType w:val="hybridMultilevel"/>
    <w:tmpl w:val="09B252C0"/>
    <w:lvl w:ilvl="0" w:tplc="04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F264CF"/>
    <w:multiLevelType w:val="multilevel"/>
    <w:tmpl w:val="DD5A44F4"/>
    <w:lvl w:ilvl="0">
      <w:start w:val="1"/>
      <w:numFmt w:val="none"/>
      <w:pStyle w:val="Heading1"/>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CA95AF5"/>
    <w:multiLevelType w:val="multilevel"/>
    <w:tmpl w:val="C3CE69A2"/>
    <w:lvl w:ilvl="0">
      <w:start w:val="1"/>
      <w:numFmt w:val="lowerLetter"/>
      <w:lvlRestart w:val="0"/>
      <w:pStyle w:val="NoteNumber"/>
      <w:lvlText w:val="%1"/>
      <w:lvlJc w:val="left"/>
      <w:pPr>
        <w:tabs>
          <w:tab w:val="num" w:pos="170"/>
        </w:tabs>
        <w:ind w:left="0" w:firstLine="0"/>
      </w:pPr>
      <w:rPr>
        <w:rFonts w:ascii="Franklin Gothic Medium" w:hAnsi="Franklin Gothic Medium"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4"/>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7"/>
  </w:num>
  <w:num w:numId="4">
    <w:abstractNumId w:val="11"/>
  </w:num>
  <w:num w:numId="5">
    <w:abstractNumId w:val="9"/>
  </w:num>
  <w:num w:numId="6">
    <w:abstractNumId w:val="6"/>
  </w:num>
  <w:num w:numId="7">
    <w:abstractNumId w:val="14"/>
  </w:num>
  <w:num w:numId="8">
    <w:abstractNumId w:val="15"/>
  </w:num>
  <w:num w:numId="9">
    <w:abstractNumId w:val="1"/>
  </w:num>
  <w:num w:numId="10">
    <w:abstractNumId w:val="10"/>
  </w:num>
  <w:num w:numId="11">
    <w:abstractNumId w:val="17"/>
  </w:num>
  <w:num w:numId="12">
    <w:abstractNumId w:val="5"/>
  </w:num>
  <w:num w:numId="13">
    <w:abstractNumId w:val="3"/>
  </w:num>
  <w:num w:numId="14">
    <w:abstractNumId w:val="18"/>
  </w:num>
  <w:num w:numId="15">
    <w:abstractNumId w:val="19"/>
  </w:num>
  <w:num w:numId="16">
    <w:abstractNumId w:val="16"/>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049">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49"/>
    <w:rsid w:val="00002939"/>
    <w:rsid w:val="000032C1"/>
    <w:rsid w:val="000040E2"/>
    <w:rsid w:val="00004368"/>
    <w:rsid w:val="000043C8"/>
    <w:rsid w:val="000047AE"/>
    <w:rsid w:val="00007034"/>
    <w:rsid w:val="00011550"/>
    <w:rsid w:val="0001170C"/>
    <w:rsid w:val="00011952"/>
    <w:rsid w:val="000129D7"/>
    <w:rsid w:val="0001356A"/>
    <w:rsid w:val="00014038"/>
    <w:rsid w:val="0001508D"/>
    <w:rsid w:val="00015DBC"/>
    <w:rsid w:val="00016771"/>
    <w:rsid w:val="00016CBA"/>
    <w:rsid w:val="00017D33"/>
    <w:rsid w:val="00017E33"/>
    <w:rsid w:val="000211DA"/>
    <w:rsid w:val="000214E4"/>
    <w:rsid w:val="0002235F"/>
    <w:rsid w:val="00022D41"/>
    <w:rsid w:val="00025458"/>
    <w:rsid w:val="000257E7"/>
    <w:rsid w:val="00030588"/>
    <w:rsid w:val="0003385B"/>
    <w:rsid w:val="00034B41"/>
    <w:rsid w:val="00034E45"/>
    <w:rsid w:val="00035246"/>
    <w:rsid w:val="00035E2A"/>
    <w:rsid w:val="00037673"/>
    <w:rsid w:val="000433AB"/>
    <w:rsid w:val="00044EDD"/>
    <w:rsid w:val="000452A6"/>
    <w:rsid w:val="0004636D"/>
    <w:rsid w:val="00046974"/>
    <w:rsid w:val="000513B2"/>
    <w:rsid w:val="00053BB3"/>
    <w:rsid w:val="00053D8A"/>
    <w:rsid w:val="00054828"/>
    <w:rsid w:val="00055D60"/>
    <w:rsid w:val="00060A32"/>
    <w:rsid w:val="00061389"/>
    <w:rsid w:val="00063C90"/>
    <w:rsid w:val="000655EB"/>
    <w:rsid w:val="00065C12"/>
    <w:rsid w:val="00067B10"/>
    <w:rsid w:val="00067F6E"/>
    <w:rsid w:val="00070BAE"/>
    <w:rsid w:val="00070F05"/>
    <w:rsid w:val="000722A1"/>
    <w:rsid w:val="0007396D"/>
    <w:rsid w:val="00074C9B"/>
    <w:rsid w:val="00074CBE"/>
    <w:rsid w:val="000751BF"/>
    <w:rsid w:val="00075C1B"/>
    <w:rsid w:val="00075E37"/>
    <w:rsid w:val="00075F52"/>
    <w:rsid w:val="000765D3"/>
    <w:rsid w:val="000766F0"/>
    <w:rsid w:val="00076703"/>
    <w:rsid w:val="00076CC3"/>
    <w:rsid w:val="000805B2"/>
    <w:rsid w:val="00082E97"/>
    <w:rsid w:val="000833A0"/>
    <w:rsid w:val="00083F43"/>
    <w:rsid w:val="00084C4D"/>
    <w:rsid w:val="00085585"/>
    <w:rsid w:val="00085E50"/>
    <w:rsid w:val="00086164"/>
    <w:rsid w:val="000863C3"/>
    <w:rsid w:val="00090C8C"/>
    <w:rsid w:val="00092F37"/>
    <w:rsid w:val="00097A76"/>
    <w:rsid w:val="00097E7D"/>
    <w:rsid w:val="000A0794"/>
    <w:rsid w:val="000A2C33"/>
    <w:rsid w:val="000A3437"/>
    <w:rsid w:val="000A4433"/>
    <w:rsid w:val="000A5BCC"/>
    <w:rsid w:val="000A61E6"/>
    <w:rsid w:val="000A7400"/>
    <w:rsid w:val="000A7708"/>
    <w:rsid w:val="000A7AD4"/>
    <w:rsid w:val="000B0232"/>
    <w:rsid w:val="000B108C"/>
    <w:rsid w:val="000B13AB"/>
    <w:rsid w:val="000B146D"/>
    <w:rsid w:val="000B4054"/>
    <w:rsid w:val="000B56CF"/>
    <w:rsid w:val="000B5B55"/>
    <w:rsid w:val="000B5F34"/>
    <w:rsid w:val="000B6330"/>
    <w:rsid w:val="000B6A05"/>
    <w:rsid w:val="000B7FF7"/>
    <w:rsid w:val="000C0125"/>
    <w:rsid w:val="000C0807"/>
    <w:rsid w:val="000C0D83"/>
    <w:rsid w:val="000C45A2"/>
    <w:rsid w:val="000C6046"/>
    <w:rsid w:val="000C6D65"/>
    <w:rsid w:val="000D074E"/>
    <w:rsid w:val="000D2EBF"/>
    <w:rsid w:val="000D32D5"/>
    <w:rsid w:val="000D444F"/>
    <w:rsid w:val="000D47A5"/>
    <w:rsid w:val="000E0333"/>
    <w:rsid w:val="000E08D0"/>
    <w:rsid w:val="000E2E8A"/>
    <w:rsid w:val="000E4D7A"/>
    <w:rsid w:val="000E595E"/>
    <w:rsid w:val="000E5C21"/>
    <w:rsid w:val="000F13F3"/>
    <w:rsid w:val="000F7058"/>
    <w:rsid w:val="000F706A"/>
    <w:rsid w:val="000F7DB9"/>
    <w:rsid w:val="000F7EBB"/>
    <w:rsid w:val="0010001A"/>
    <w:rsid w:val="0010018A"/>
    <w:rsid w:val="001020A5"/>
    <w:rsid w:val="00104CCC"/>
    <w:rsid w:val="001104EF"/>
    <w:rsid w:val="00115A8C"/>
    <w:rsid w:val="00115B84"/>
    <w:rsid w:val="00115D91"/>
    <w:rsid w:val="0011792B"/>
    <w:rsid w:val="001204E2"/>
    <w:rsid w:val="001250BF"/>
    <w:rsid w:val="001255CA"/>
    <w:rsid w:val="001260C2"/>
    <w:rsid w:val="0012732D"/>
    <w:rsid w:val="00127B7F"/>
    <w:rsid w:val="00132188"/>
    <w:rsid w:val="00132E41"/>
    <w:rsid w:val="00135A4C"/>
    <w:rsid w:val="001360A4"/>
    <w:rsid w:val="00136E47"/>
    <w:rsid w:val="00136FF9"/>
    <w:rsid w:val="00137BA1"/>
    <w:rsid w:val="0014049B"/>
    <w:rsid w:val="001415F2"/>
    <w:rsid w:val="00141818"/>
    <w:rsid w:val="0014252B"/>
    <w:rsid w:val="0014282B"/>
    <w:rsid w:val="00142A4D"/>
    <w:rsid w:val="00142E47"/>
    <w:rsid w:val="00143525"/>
    <w:rsid w:val="001436A7"/>
    <w:rsid w:val="00144611"/>
    <w:rsid w:val="0014787F"/>
    <w:rsid w:val="00152D98"/>
    <w:rsid w:val="00153818"/>
    <w:rsid w:val="001564B4"/>
    <w:rsid w:val="00156521"/>
    <w:rsid w:val="00156A18"/>
    <w:rsid w:val="0016217F"/>
    <w:rsid w:val="00162FD2"/>
    <w:rsid w:val="001644AA"/>
    <w:rsid w:val="00165C4D"/>
    <w:rsid w:val="00166BE1"/>
    <w:rsid w:val="001702D7"/>
    <w:rsid w:val="001707ED"/>
    <w:rsid w:val="00170B04"/>
    <w:rsid w:val="00172093"/>
    <w:rsid w:val="0017313D"/>
    <w:rsid w:val="00173BA5"/>
    <w:rsid w:val="001753C1"/>
    <w:rsid w:val="001756DD"/>
    <w:rsid w:val="00175CFE"/>
    <w:rsid w:val="00176846"/>
    <w:rsid w:val="00176B05"/>
    <w:rsid w:val="001772C7"/>
    <w:rsid w:val="00177AE1"/>
    <w:rsid w:val="00180E63"/>
    <w:rsid w:val="00180EC6"/>
    <w:rsid w:val="00182E7D"/>
    <w:rsid w:val="001840DC"/>
    <w:rsid w:val="00184891"/>
    <w:rsid w:val="00184C6E"/>
    <w:rsid w:val="00186D90"/>
    <w:rsid w:val="00187D56"/>
    <w:rsid w:val="00190A25"/>
    <w:rsid w:val="00193384"/>
    <w:rsid w:val="001957F2"/>
    <w:rsid w:val="0019627A"/>
    <w:rsid w:val="001967F2"/>
    <w:rsid w:val="00197485"/>
    <w:rsid w:val="001976CF"/>
    <w:rsid w:val="001A0147"/>
    <w:rsid w:val="001A0233"/>
    <w:rsid w:val="001A0653"/>
    <w:rsid w:val="001A157D"/>
    <w:rsid w:val="001A4314"/>
    <w:rsid w:val="001A4CB0"/>
    <w:rsid w:val="001A4F3D"/>
    <w:rsid w:val="001A57B3"/>
    <w:rsid w:val="001A64D6"/>
    <w:rsid w:val="001A676A"/>
    <w:rsid w:val="001A76CD"/>
    <w:rsid w:val="001A7A00"/>
    <w:rsid w:val="001B0BC3"/>
    <w:rsid w:val="001B11EB"/>
    <w:rsid w:val="001B1559"/>
    <w:rsid w:val="001B2B76"/>
    <w:rsid w:val="001B2EEC"/>
    <w:rsid w:val="001B3A25"/>
    <w:rsid w:val="001B40B6"/>
    <w:rsid w:val="001B7441"/>
    <w:rsid w:val="001B7D36"/>
    <w:rsid w:val="001C023D"/>
    <w:rsid w:val="001C1650"/>
    <w:rsid w:val="001C18A5"/>
    <w:rsid w:val="001C27DD"/>
    <w:rsid w:val="001C2903"/>
    <w:rsid w:val="001C54D5"/>
    <w:rsid w:val="001C557B"/>
    <w:rsid w:val="001C68A6"/>
    <w:rsid w:val="001C6E03"/>
    <w:rsid w:val="001C6E25"/>
    <w:rsid w:val="001C7011"/>
    <w:rsid w:val="001C7FAB"/>
    <w:rsid w:val="001D0D54"/>
    <w:rsid w:val="001D0D75"/>
    <w:rsid w:val="001D21D0"/>
    <w:rsid w:val="001D24B1"/>
    <w:rsid w:val="001D2D04"/>
    <w:rsid w:val="001D3019"/>
    <w:rsid w:val="001D5233"/>
    <w:rsid w:val="001D65A4"/>
    <w:rsid w:val="001E521E"/>
    <w:rsid w:val="001E5458"/>
    <w:rsid w:val="001E61C0"/>
    <w:rsid w:val="001E77A7"/>
    <w:rsid w:val="001E7C2A"/>
    <w:rsid w:val="001F0B60"/>
    <w:rsid w:val="001F0E53"/>
    <w:rsid w:val="001F0E62"/>
    <w:rsid w:val="001F1365"/>
    <w:rsid w:val="001F353B"/>
    <w:rsid w:val="001F39C9"/>
    <w:rsid w:val="001F4CD3"/>
    <w:rsid w:val="001F4E51"/>
    <w:rsid w:val="001F5AA9"/>
    <w:rsid w:val="0020245F"/>
    <w:rsid w:val="002028B6"/>
    <w:rsid w:val="00203160"/>
    <w:rsid w:val="00203E9E"/>
    <w:rsid w:val="0020410B"/>
    <w:rsid w:val="00205AA6"/>
    <w:rsid w:val="0021017E"/>
    <w:rsid w:val="00212975"/>
    <w:rsid w:val="00213176"/>
    <w:rsid w:val="00214C9D"/>
    <w:rsid w:val="002178C9"/>
    <w:rsid w:val="00222F3B"/>
    <w:rsid w:val="00223F47"/>
    <w:rsid w:val="00224A50"/>
    <w:rsid w:val="00224A74"/>
    <w:rsid w:val="0022572C"/>
    <w:rsid w:val="00226029"/>
    <w:rsid w:val="00226880"/>
    <w:rsid w:val="0022688E"/>
    <w:rsid w:val="002274D0"/>
    <w:rsid w:val="00227783"/>
    <w:rsid w:val="00227D6B"/>
    <w:rsid w:val="002305D1"/>
    <w:rsid w:val="00230BD1"/>
    <w:rsid w:val="00230F10"/>
    <w:rsid w:val="00231CB6"/>
    <w:rsid w:val="00232097"/>
    <w:rsid w:val="00233570"/>
    <w:rsid w:val="00233D7A"/>
    <w:rsid w:val="00234583"/>
    <w:rsid w:val="002346ED"/>
    <w:rsid w:val="002348AD"/>
    <w:rsid w:val="00234D37"/>
    <w:rsid w:val="00236C53"/>
    <w:rsid w:val="00237451"/>
    <w:rsid w:val="0024071E"/>
    <w:rsid w:val="00240A07"/>
    <w:rsid w:val="00242D9F"/>
    <w:rsid w:val="00243468"/>
    <w:rsid w:val="0024348E"/>
    <w:rsid w:val="00244F96"/>
    <w:rsid w:val="002452D0"/>
    <w:rsid w:val="0024542D"/>
    <w:rsid w:val="0024630C"/>
    <w:rsid w:val="00246D85"/>
    <w:rsid w:val="00247D70"/>
    <w:rsid w:val="00247F6A"/>
    <w:rsid w:val="002503FC"/>
    <w:rsid w:val="002505BE"/>
    <w:rsid w:val="00250D70"/>
    <w:rsid w:val="002515F6"/>
    <w:rsid w:val="0025173D"/>
    <w:rsid w:val="00252D1B"/>
    <w:rsid w:val="00253146"/>
    <w:rsid w:val="00253B3E"/>
    <w:rsid w:val="00254E43"/>
    <w:rsid w:val="00254E51"/>
    <w:rsid w:val="00257199"/>
    <w:rsid w:val="002600C7"/>
    <w:rsid w:val="00260CE2"/>
    <w:rsid w:val="002621F0"/>
    <w:rsid w:val="0026347A"/>
    <w:rsid w:val="00263B78"/>
    <w:rsid w:val="00266504"/>
    <w:rsid w:val="00266A89"/>
    <w:rsid w:val="00266B56"/>
    <w:rsid w:val="00266C05"/>
    <w:rsid w:val="00267088"/>
    <w:rsid w:val="002702DD"/>
    <w:rsid w:val="00272699"/>
    <w:rsid w:val="0027351E"/>
    <w:rsid w:val="0027441E"/>
    <w:rsid w:val="0027483C"/>
    <w:rsid w:val="0027624F"/>
    <w:rsid w:val="00281D52"/>
    <w:rsid w:val="002820D7"/>
    <w:rsid w:val="002844B3"/>
    <w:rsid w:val="00286E03"/>
    <w:rsid w:val="00287F57"/>
    <w:rsid w:val="00291B3A"/>
    <w:rsid w:val="00292656"/>
    <w:rsid w:val="00292C3C"/>
    <w:rsid w:val="00294AA6"/>
    <w:rsid w:val="00294D4C"/>
    <w:rsid w:val="00295867"/>
    <w:rsid w:val="00296270"/>
    <w:rsid w:val="00296EEE"/>
    <w:rsid w:val="00297DF9"/>
    <w:rsid w:val="002A1D2F"/>
    <w:rsid w:val="002A1DE3"/>
    <w:rsid w:val="002A2305"/>
    <w:rsid w:val="002A477C"/>
    <w:rsid w:val="002A4BB1"/>
    <w:rsid w:val="002A561C"/>
    <w:rsid w:val="002A6CE4"/>
    <w:rsid w:val="002A79FD"/>
    <w:rsid w:val="002B02EA"/>
    <w:rsid w:val="002B1314"/>
    <w:rsid w:val="002B1624"/>
    <w:rsid w:val="002B1B92"/>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5B3F"/>
    <w:rsid w:val="002C7822"/>
    <w:rsid w:val="002C79E4"/>
    <w:rsid w:val="002D468F"/>
    <w:rsid w:val="002D516B"/>
    <w:rsid w:val="002D5DED"/>
    <w:rsid w:val="002D657C"/>
    <w:rsid w:val="002D6E19"/>
    <w:rsid w:val="002D7A0A"/>
    <w:rsid w:val="002E000E"/>
    <w:rsid w:val="002E0115"/>
    <w:rsid w:val="002E1AC2"/>
    <w:rsid w:val="002E2CDD"/>
    <w:rsid w:val="002E499B"/>
    <w:rsid w:val="002E626C"/>
    <w:rsid w:val="002E7F6A"/>
    <w:rsid w:val="002F056E"/>
    <w:rsid w:val="002F1AB4"/>
    <w:rsid w:val="002F1FB7"/>
    <w:rsid w:val="002F3393"/>
    <w:rsid w:val="002F36D2"/>
    <w:rsid w:val="002F3C1A"/>
    <w:rsid w:val="002F3E97"/>
    <w:rsid w:val="002F4300"/>
    <w:rsid w:val="002F489A"/>
    <w:rsid w:val="003023FD"/>
    <w:rsid w:val="0030414F"/>
    <w:rsid w:val="00305213"/>
    <w:rsid w:val="00305565"/>
    <w:rsid w:val="00310C02"/>
    <w:rsid w:val="0031131B"/>
    <w:rsid w:val="003117D9"/>
    <w:rsid w:val="00312B95"/>
    <w:rsid w:val="00312E50"/>
    <w:rsid w:val="003147DD"/>
    <w:rsid w:val="00315D84"/>
    <w:rsid w:val="003161A0"/>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2E6"/>
    <w:rsid w:val="00342A5A"/>
    <w:rsid w:val="00345C2F"/>
    <w:rsid w:val="0034794C"/>
    <w:rsid w:val="00347D10"/>
    <w:rsid w:val="00347E04"/>
    <w:rsid w:val="0035098F"/>
    <w:rsid w:val="003522B0"/>
    <w:rsid w:val="003525D6"/>
    <w:rsid w:val="00352A66"/>
    <w:rsid w:val="00354CF6"/>
    <w:rsid w:val="003557A9"/>
    <w:rsid w:val="0035655A"/>
    <w:rsid w:val="00357879"/>
    <w:rsid w:val="00360C27"/>
    <w:rsid w:val="0036152B"/>
    <w:rsid w:val="00361A07"/>
    <w:rsid w:val="00362300"/>
    <w:rsid w:val="00362945"/>
    <w:rsid w:val="00363DA6"/>
    <w:rsid w:val="003643A3"/>
    <w:rsid w:val="00364555"/>
    <w:rsid w:val="0036493C"/>
    <w:rsid w:val="00365BED"/>
    <w:rsid w:val="00365ECE"/>
    <w:rsid w:val="00366135"/>
    <w:rsid w:val="00366EAE"/>
    <w:rsid w:val="003675D9"/>
    <w:rsid w:val="0037000D"/>
    <w:rsid w:val="003713B1"/>
    <w:rsid w:val="00372980"/>
    <w:rsid w:val="00372C90"/>
    <w:rsid w:val="00373509"/>
    <w:rsid w:val="00373545"/>
    <w:rsid w:val="00373D61"/>
    <w:rsid w:val="00380990"/>
    <w:rsid w:val="003813B0"/>
    <w:rsid w:val="00381894"/>
    <w:rsid w:val="00382BC2"/>
    <w:rsid w:val="00382CE6"/>
    <w:rsid w:val="003840B9"/>
    <w:rsid w:val="003852FD"/>
    <w:rsid w:val="00385581"/>
    <w:rsid w:val="003864C0"/>
    <w:rsid w:val="00386714"/>
    <w:rsid w:val="00386BBA"/>
    <w:rsid w:val="00386D59"/>
    <w:rsid w:val="003870E2"/>
    <w:rsid w:val="003908F2"/>
    <w:rsid w:val="00390D6E"/>
    <w:rsid w:val="0039171C"/>
    <w:rsid w:val="00393475"/>
    <w:rsid w:val="00393C49"/>
    <w:rsid w:val="00395037"/>
    <w:rsid w:val="003950F3"/>
    <w:rsid w:val="00396AAB"/>
    <w:rsid w:val="00396E51"/>
    <w:rsid w:val="00396FEE"/>
    <w:rsid w:val="00397842"/>
    <w:rsid w:val="003A12E4"/>
    <w:rsid w:val="003A1A4E"/>
    <w:rsid w:val="003A1D28"/>
    <w:rsid w:val="003A2AFB"/>
    <w:rsid w:val="003A3E3B"/>
    <w:rsid w:val="003A437D"/>
    <w:rsid w:val="003A5F6E"/>
    <w:rsid w:val="003A6098"/>
    <w:rsid w:val="003B01D4"/>
    <w:rsid w:val="003B0602"/>
    <w:rsid w:val="003B3833"/>
    <w:rsid w:val="003B4C8A"/>
    <w:rsid w:val="003B5B3A"/>
    <w:rsid w:val="003B669E"/>
    <w:rsid w:val="003B6AF8"/>
    <w:rsid w:val="003C4418"/>
    <w:rsid w:val="003D277A"/>
    <w:rsid w:val="003D3401"/>
    <w:rsid w:val="003D3FE8"/>
    <w:rsid w:val="003D41D9"/>
    <w:rsid w:val="003D7C66"/>
    <w:rsid w:val="003E15BE"/>
    <w:rsid w:val="003E4703"/>
    <w:rsid w:val="003E4C57"/>
    <w:rsid w:val="003E4E42"/>
    <w:rsid w:val="003E661A"/>
    <w:rsid w:val="003E6A24"/>
    <w:rsid w:val="003E74A4"/>
    <w:rsid w:val="003F0648"/>
    <w:rsid w:val="003F159A"/>
    <w:rsid w:val="003F2191"/>
    <w:rsid w:val="003F23B0"/>
    <w:rsid w:val="003F291D"/>
    <w:rsid w:val="003F2F80"/>
    <w:rsid w:val="003F4406"/>
    <w:rsid w:val="003F4998"/>
    <w:rsid w:val="003F6535"/>
    <w:rsid w:val="003F7DFD"/>
    <w:rsid w:val="00403EC1"/>
    <w:rsid w:val="00404981"/>
    <w:rsid w:val="00404EA8"/>
    <w:rsid w:val="004069E3"/>
    <w:rsid w:val="00407CFC"/>
    <w:rsid w:val="00410D4E"/>
    <w:rsid w:val="00411191"/>
    <w:rsid w:val="00412989"/>
    <w:rsid w:val="004131F2"/>
    <w:rsid w:val="00414418"/>
    <w:rsid w:val="004146C9"/>
    <w:rsid w:val="00415340"/>
    <w:rsid w:val="00416765"/>
    <w:rsid w:val="004174E5"/>
    <w:rsid w:val="00420072"/>
    <w:rsid w:val="004202ED"/>
    <w:rsid w:val="0042107B"/>
    <w:rsid w:val="0042222F"/>
    <w:rsid w:val="00422524"/>
    <w:rsid w:val="00422662"/>
    <w:rsid w:val="004226D0"/>
    <w:rsid w:val="004229B0"/>
    <w:rsid w:val="00425388"/>
    <w:rsid w:val="00427DB3"/>
    <w:rsid w:val="0043018B"/>
    <w:rsid w:val="004317A4"/>
    <w:rsid w:val="00433FEB"/>
    <w:rsid w:val="00434007"/>
    <w:rsid w:val="004355CE"/>
    <w:rsid w:val="0043622D"/>
    <w:rsid w:val="00440734"/>
    <w:rsid w:val="00442BE6"/>
    <w:rsid w:val="0044452B"/>
    <w:rsid w:val="00445908"/>
    <w:rsid w:val="00446BFE"/>
    <w:rsid w:val="00447F42"/>
    <w:rsid w:val="0045116A"/>
    <w:rsid w:val="00451C77"/>
    <w:rsid w:val="00451E60"/>
    <w:rsid w:val="00452C48"/>
    <w:rsid w:val="00452E9D"/>
    <w:rsid w:val="0045304C"/>
    <w:rsid w:val="004530AC"/>
    <w:rsid w:val="00453EB3"/>
    <w:rsid w:val="00454368"/>
    <w:rsid w:val="004547C0"/>
    <w:rsid w:val="00454AE8"/>
    <w:rsid w:val="004559D3"/>
    <w:rsid w:val="00456D32"/>
    <w:rsid w:val="0045720E"/>
    <w:rsid w:val="00457853"/>
    <w:rsid w:val="00457902"/>
    <w:rsid w:val="00460B25"/>
    <w:rsid w:val="00461933"/>
    <w:rsid w:val="00461AD2"/>
    <w:rsid w:val="00462797"/>
    <w:rsid w:val="00464228"/>
    <w:rsid w:val="00466423"/>
    <w:rsid w:val="00467537"/>
    <w:rsid w:val="0047058E"/>
    <w:rsid w:val="00471026"/>
    <w:rsid w:val="004732C0"/>
    <w:rsid w:val="00473A93"/>
    <w:rsid w:val="00474394"/>
    <w:rsid w:val="004744D3"/>
    <w:rsid w:val="00475EFF"/>
    <w:rsid w:val="00476144"/>
    <w:rsid w:val="0047786B"/>
    <w:rsid w:val="004812D9"/>
    <w:rsid w:val="004822A1"/>
    <w:rsid w:val="00482EF4"/>
    <w:rsid w:val="0048343C"/>
    <w:rsid w:val="00483A17"/>
    <w:rsid w:val="00483DD5"/>
    <w:rsid w:val="004845F1"/>
    <w:rsid w:val="00484BC2"/>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154E"/>
    <w:rsid w:val="004A15DE"/>
    <w:rsid w:val="004A199D"/>
    <w:rsid w:val="004A2EFC"/>
    <w:rsid w:val="004A2F68"/>
    <w:rsid w:val="004A472E"/>
    <w:rsid w:val="004A4B6B"/>
    <w:rsid w:val="004A6F75"/>
    <w:rsid w:val="004B0361"/>
    <w:rsid w:val="004B3904"/>
    <w:rsid w:val="004B42F1"/>
    <w:rsid w:val="004B44A2"/>
    <w:rsid w:val="004B6157"/>
    <w:rsid w:val="004B7492"/>
    <w:rsid w:val="004B7C61"/>
    <w:rsid w:val="004C04BA"/>
    <w:rsid w:val="004C0E63"/>
    <w:rsid w:val="004C3546"/>
    <w:rsid w:val="004C3568"/>
    <w:rsid w:val="004C4638"/>
    <w:rsid w:val="004C5A35"/>
    <w:rsid w:val="004C60B8"/>
    <w:rsid w:val="004C6E54"/>
    <w:rsid w:val="004C7DD7"/>
    <w:rsid w:val="004D18D0"/>
    <w:rsid w:val="004D27D6"/>
    <w:rsid w:val="004D2F5D"/>
    <w:rsid w:val="004D5771"/>
    <w:rsid w:val="004D79AD"/>
    <w:rsid w:val="004E493E"/>
    <w:rsid w:val="004E5E01"/>
    <w:rsid w:val="004E6274"/>
    <w:rsid w:val="004E63CC"/>
    <w:rsid w:val="004F096E"/>
    <w:rsid w:val="004F0BE2"/>
    <w:rsid w:val="004F256B"/>
    <w:rsid w:val="004F4F06"/>
    <w:rsid w:val="004F72C7"/>
    <w:rsid w:val="004F75A1"/>
    <w:rsid w:val="004F79BD"/>
    <w:rsid w:val="00501B0E"/>
    <w:rsid w:val="00502E98"/>
    <w:rsid w:val="005031B6"/>
    <w:rsid w:val="00506BC4"/>
    <w:rsid w:val="00507A63"/>
    <w:rsid w:val="00507D05"/>
    <w:rsid w:val="00510FCB"/>
    <w:rsid w:val="00513602"/>
    <w:rsid w:val="005155D8"/>
    <w:rsid w:val="005157A6"/>
    <w:rsid w:val="00516A57"/>
    <w:rsid w:val="0052067C"/>
    <w:rsid w:val="00522F30"/>
    <w:rsid w:val="00524066"/>
    <w:rsid w:val="005246A7"/>
    <w:rsid w:val="00526128"/>
    <w:rsid w:val="00527A6A"/>
    <w:rsid w:val="00531479"/>
    <w:rsid w:val="005335EE"/>
    <w:rsid w:val="005343DE"/>
    <w:rsid w:val="005348EF"/>
    <w:rsid w:val="005351E9"/>
    <w:rsid w:val="005353FE"/>
    <w:rsid w:val="00536041"/>
    <w:rsid w:val="005363D4"/>
    <w:rsid w:val="005374AC"/>
    <w:rsid w:val="005445D6"/>
    <w:rsid w:val="00545090"/>
    <w:rsid w:val="00546C44"/>
    <w:rsid w:val="005510FE"/>
    <w:rsid w:val="00556B35"/>
    <w:rsid w:val="00561EE2"/>
    <w:rsid w:val="005631AD"/>
    <w:rsid w:val="005639EA"/>
    <w:rsid w:val="00564BCE"/>
    <w:rsid w:val="00565462"/>
    <w:rsid w:val="005663CB"/>
    <w:rsid w:val="005667D5"/>
    <w:rsid w:val="005722A1"/>
    <w:rsid w:val="00572319"/>
    <w:rsid w:val="00572841"/>
    <w:rsid w:val="00573B43"/>
    <w:rsid w:val="00575350"/>
    <w:rsid w:val="00580DC4"/>
    <w:rsid w:val="005811B0"/>
    <w:rsid w:val="0058536F"/>
    <w:rsid w:val="00585433"/>
    <w:rsid w:val="0058729F"/>
    <w:rsid w:val="005879C7"/>
    <w:rsid w:val="005904DF"/>
    <w:rsid w:val="0059107D"/>
    <w:rsid w:val="005910A3"/>
    <w:rsid w:val="00591DD6"/>
    <w:rsid w:val="005925E4"/>
    <w:rsid w:val="00592964"/>
    <w:rsid w:val="00592A30"/>
    <w:rsid w:val="00592A83"/>
    <w:rsid w:val="00593B07"/>
    <w:rsid w:val="00593E3E"/>
    <w:rsid w:val="00593FD1"/>
    <w:rsid w:val="005942EA"/>
    <w:rsid w:val="005943A7"/>
    <w:rsid w:val="00596832"/>
    <w:rsid w:val="00596F5F"/>
    <w:rsid w:val="00597E07"/>
    <w:rsid w:val="005A1052"/>
    <w:rsid w:val="005A341D"/>
    <w:rsid w:val="005A3AA3"/>
    <w:rsid w:val="005A3FE0"/>
    <w:rsid w:val="005A5AF5"/>
    <w:rsid w:val="005B0969"/>
    <w:rsid w:val="005B2981"/>
    <w:rsid w:val="005B522F"/>
    <w:rsid w:val="005B7710"/>
    <w:rsid w:val="005C0B64"/>
    <w:rsid w:val="005C1019"/>
    <w:rsid w:val="005C10C7"/>
    <w:rsid w:val="005C206D"/>
    <w:rsid w:val="005C2830"/>
    <w:rsid w:val="005C2C17"/>
    <w:rsid w:val="005C349D"/>
    <w:rsid w:val="005C4005"/>
    <w:rsid w:val="005C4BD3"/>
    <w:rsid w:val="005C6FD6"/>
    <w:rsid w:val="005C7A9F"/>
    <w:rsid w:val="005D04D8"/>
    <w:rsid w:val="005D0AF9"/>
    <w:rsid w:val="005D1E18"/>
    <w:rsid w:val="005D244B"/>
    <w:rsid w:val="005D2B37"/>
    <w:rsid w:val="005D3CC2"/>
    <w:rsid w:val="005D4715"/>
    <w:rsid w:val="005D6F2C"/>
    <w:rsid w:val="005E0A0B"/>
    <w:rsid w:val="005E1812"/>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4E7D"/>
    <w:rsid w:val="005F5193"/>
    <w:rsid w:val="005F5C10"/>
    <w:rsid w:val="005F5C2F"/>
    <w:rsid w:val="005F710E"/>
    <w:rsid w:val="005F7879"/>
    <w:rsid w:val="006007F6"/>
    <w:rsid w:val="00600A18"/>
    <w:rsid w:val="00600B0F"/>
    <w:rsid w:val="00601D94"/>
    <w:rsid w:val="00602D21"/>
    <w:rsid w:val="00604147"/>
    <w:rsid w:val="00604AB8"/>
    <w:rsid w:val="00605815"/>
    <w:rsid w:val="00605C82"/>
    <w:rsid w:val="0060617B"/>
    <w:rsid w:val="00606D6C"/>
    <w:rsid w:val="00607E92"/>
    <w:rsid w:val="00614A27"/>
    <w:rsid w:val="00615247"/>
    <w:rsid w:val="006155FC"/>
    <w:rsid w:val="00615695"/>
    <w:rsid w:val="006162A7"/>
    <w:rsid w:val="006203BD"/>
    <w:rsid w:val="0062059B"/>
    <w:rsid w:val="006247BA"/>
    <w:rsid w:val="00624A99"/>
    <w:rsid w:val="00624C5C"/>
    <w:rsid w:val="00627E76"/>
    <w:rsid w:val="006323A6"/>
    <w:rsid w:val="00632B1F"/>
    <w:rsid w:val="0063526A"/>
    <w:rsid w:val="00635A99"/>
    <w:rsid w:val="00636A86"/>
    <w:rsid w:val="0064438B"/>
    <w:rsid w:val="00645987"/>
    <w:rsid w:val="0065046E"/>
    <w:rsid w:val="006504EE"/>
    <w:rsid w:val="00650B00"/>
    <w:rsid w:val="0065259E"/>
    <w:rsid w:val="0065282A"/>
    <w:rsid w:val="00652F48"/>
    <w:rsid w:val="006536A9"/>
    <w:rsid w:val="00656919"/>
    <w:rsid w:val="00657C61"/>
    <w:rsid w:val="00657CB6"/>
    <w:rsid w:val="00657E00"/>
    <w:rsid w:val="006613A9"/>
    <w:rsid w:val="006625B4"/>
    <w:rsid w:val="00663F1C"/>
    <w:rsid w:val="006640FE"/>
    <w:rsid w:val="0066681E"/>
    <w:rsid w:val="00670E9C"/>
    <w:rsid w:val="00671255"/>
    <w:rsid w:val="00672BEE"/>
    <w:rsid w:val="00674467"/>
    <w:rsid w:val="0067448D"/>
    <w:rsid w:val="006762E5"/>
    <w:rsid w:val="006764C8"/>
    <w:rsid w:val="006777A0"/>
    <w:rsid w:val="006813C8"/>
    <w:rsid w:val="00681A3E"/>
    <w:rsid w:val="00682A01"/>
    <w:rsid w:val="00682A07"/>
    <w:rsid w:val="00683719"/>
    <w:rsid w:val="00683B97"/>
    <w:rsid w:val="00683CCF"/>
    <w:rsid w:val="00683DC7"/>
    <w:rsid w:val="00683E06"/>
    <w:rsid w:val="006846ED"/>
    <w:rsid w:val="0068568E"/>
    <w:rsid w:val="00685B51"/>
    <w:rsid w:val="00685E07"/>
    <w:rsid w:val="0069068B"/>
    <w:rsid w:val="00691B0D"/>
    <w:rsid w:val="006931D5"/>
    <w:rsid w:val="00694103"/>
    <w:rsid w:val="006974FC"/>
    <w:rsid w:val="00697B6F"/>
    <w:rsid w:val="006A023C"/>
    <w:rsid w:val="006A0482"/>
    <w:rsid w:val="006A0894"/>
    <w:rsid w:val="006A13BF"/>
    <w:rsid w:val="006A3B50"/>
    <w:rsid w:val="006A4046"/>
    <w:rsid w:val="006A508D"/>
    <w:rsid w:val="006A53F6"/>
    <w:rsid w:val="006A7F04"/>
    <w:rsid w:val="006B1DE9"/>
    <w:rsid w:val="006B432F"/>
    <w:rsid w:val="006B69DB"/>
    <w:rsid w:val="006B7C24"/>
    <w:rsid w:val="006B7CF9"/>
    <w:rsid w:val="006C0139"/>
    <w:rsid w:val="006C04BA"/>
    <w:rsid w:val="006C111C"/>
    <w:rsid w:val="006C1AEE"/>
    <w:rsid w:val="006C27E2"/>
    <w:rsid w:val="006C3927"/>
    <w:rsid w:val="006C51F7"/>
    <w:rsid w:val="006C6452"/>
    <w:rsid w:val="006C6761"/>
    <w:rsid w:val="006D0368"/>
    <w:rsid w:val="006D2333"/>
    <w:rsid w:val="006D2DEC"/>
    <w:rsid w:val="006D3DBE"/>
    <w:rsid w:val="006D4B90"/>
    <w:rsid w:val="006D571E"/>
    <w:rsid w:val="006D6CC7"/>
    <w:rsid w:val="006D70CD"/>
    <w:rsid w:val="006D7A77"/>
    <w:rsid w:val="006D7C85"/>
    <w:rsid w:val="006E1CA2"/>
    <w:rsid w:val="006E2C81"/>
    <w:rsid w:val="006E343F"/>
    <w:rsid w:val="006E42F5"/>
    <w:rsid w:val="006E4AA9"/>
    <w:rsid w:val="006E53D1"/>
    <w:rsid w:val="006E6503"/>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10BBA"/>
    <w:rsid w:val="00711B43"/>
    <w:rsid w:val="007122CC"/>
    <w:rsid w:val="0071585E"/>
    <w:rsid w:val="00716799"/>
    <w:rsid w:val="0072229D"/>
    <w:rsid w:val="007315FD"/>
    <w:rsid w:val="00732F05"/>
    <w:rsid w:val="007339FC"/>
    <w:rsid w:val="00733A81"/>
    <w:rsid w:val="0073548A"/>
    <w:rsid w:val="007375CF"/>
    <w:rsid w:val="00737F14"/>
    <w:rsid w:val="00740BD4"/>
    <w:rsid w:val="0074178C"/>
    <w:rsid w:val="007427AE"/>
    <w:rsid w:val="00742F5B"/>
    <w:rsid w:val="0074328B"/>
    <w:rsid w:val="007500A2"/>
    <w:rsid w:val="007513D8"/>
    <w:rsid w:val="00751A18"/>
    <w:rsid w:val="00751E0F"/>
    <w:rsid w:val="0075426C"/>
    <w:rsid w:val="00754B6C"/>
    <w:rsid w:val="007609DE"/>
    <w:rsid w:val="00760D7B"/>
    <w:rsid w:val="00762176"/>
    <w:rsid w:val="0076641D"/>
    <w:rsid w:val="0076664B"/>
    <w:rsid w:val="00766D48"/>
    <w:rsid w:val="007676B4"/>
    <w:rsid w:val="00772A21"/>
    <w:rsid w:val="00773ADD"/>
    <w:rsid w:val="00774FA0"/>
    <w:rsid w:val="0077672E"/>
    <w:rsid w:val="00777A11"/>
    <w:rsid w:val="0078013B"/>
    <w:rsid w:val="00780E9B"/>
    <w:rsid w:val="00784027"/>
    <w:rsid w:val="007848F3"/>
    <w:rsid w:val="00784C7B"/>
    <w:rsid w:val="007850A6"/>
    <w:rsid w:val="007857B4"/>
    <w:rsid w:val="007864C1"/>
    <w:rsid w:val="00786718"/>
    <w:rsid w:val="00791CE4"/>
    <w:rsid w:val="00793190"/>
    <w:rsid w:val="00794312"/>
    <w:rsid w:val="0079518B"/>
    <w:rsid w:val="00797D46"/>
    <w:rsid w:val="007A01CC"/>
    <w:rsid w:val="007A0524"/>
    <w:rsid w:val="007A2597"/>
    <w:rsid w:val="007A25C9"/>
    <w:rsid w:val="007A2D4A"/>
    <w:rsid w:val="007A32BB"/>
    <w:rsid w:val="007A4679"/>
    <w:rsid w:val="007A4C9D"/>
    <w:rsid w:val="007A5DFF"/>
    <w:rsid w:val="007B149E"/>
    <w:rsid w:val="007B19B1"/>
    <w:rsid w:val="007B1D16"/>
    <w:rsid w:val="007B2DB4"/>
    <w:rsid w:val="007B3B56"/>
    <w:rsid w:val="007B403A"/>
    <w:rsid w:val="007B4213"/>
    <w:rsid w:val="007B4677"/>
    <w:rsid w:val="007B497F"/>
    <w:rsid w:val="007B4ED1"/>
    <w:rsid w:val="007B794B"/>
    <w:rsid w:val="007C0DEC"/>
    <w:rsid w:val="007C1ECE"/>
    <w:rsid w:val="007C37C8"/>
    <w:rsid w:val="007C3820"/>
    <w:rsid w:val="007C4C18"/>
    <w:rsid w:val="007D1A32"/>
    <w:rsid w:val="007D3FA4"/>
    <w:rsid w:val="007D5153"/>
    <w:rsid w:val="007D620F"/>
    <w:rsid w:val="007E01E8"/>
    <w:rsid w:val="007E14BD"/>
    <w:rsid w:val="007E31EA"/>
    <w:rsid w:val="007E3969"/>
    <w:rsid w:val="007E3B25"/>
    <w:rsid w:val="007E3B7D"/>
    <w:rsid w:val="007E5A22"/>
    <w:rsid w:val="007E7710"/>
    <w:rsid w:val="007F2007"/>
    <w:rsid w:val="007F2008"/>
    <w:rsid w:val="007F22AC"/>
    <w:rsid w:val="007F29E1"/>
    <w:rsid w:val="007F42E3"/>
    <w:rsid w:val="007F4388"/>
    <w:rsid w:val="007F4788"/>
    <w:rsid w:val="007F618A"/>
    <w:rsid w:val="00800DDE"/>
    <w:rsid w:val="00801104"/>
    <w:rsid w:val="00801432"/>
    <w:rsid w:val="00802290"/>
    <w:rsid w:val="00803305"/>
    <w:rsid w:val="0080375B"/>
    <w:rsid w:val="00803FCC"/>
    <w:rsid w:val="008041F5"/>
    <w:rsid w:val="00804F53"/>
    <w:rsid w:val="0081042F"/>
    <w:rsid w:val="008117A6"/>
    <w:rsid w:val="008120AF"/>
    <w:rsid w:val="008125B6"/>
    <w:rsid w:val="00812625"/>
    <w:rsid w:val="00814DBF"/>
    <w:rsid w:val="00817759"/>
    <w:rsid w:val="00817BEE"/>
    <w:rsid w:val="00817C8F"/>
    <w:rsid w:val="00820982"/>
    <w:rsid w:val="008213C2"/>
    <w:rsid w:val="0082170D"/>
    <w:rsid w:val="0082187A"/>
    <w:rsid w:val="00821FD7"/>
    <w:rsid w:val="00822223"/>
    <w:rsid w:val="00822802"/>
    <w:rsid w:val="00822915"/>
    <w:rsid w:val="00824321"/>
    <w:rsid w:val="00825521"/>
    <w:rsid w:val="008277A0"/>
    <w:rsid w:val="00831989"/>
    <w:rsid w:val="00831EBD"/>
    <w:rsid w:val="00836BE4"/>
    <w:rsid w:val="008378B4"/>
    <w:rsid w:val="00840A1A"/>
    <w:rsid w:val="00840D02"/>
    <w:rsid w:val="008431E0"/>
    <w:rsid w:val="00843A16"/>
    <w:rsid w:val="00844665"/>
    <w:rsid w:val="00845E4B"/>
    <w:rsid w:val="00846337"/>
    <w:rsid w:val="0084641F"/>
    <w:rsid w:val="00846735"/>
    <w:rsid w:val="00846837"/>
    <w:rsid w:val="00846E42"/>
    <w:rsid w:val="00850601"/>
    <w:rsid w:val="00852698"/>
    <w:rsid w:val="008527C1"/>
    <w:rsid w:val="00852948"/>
    <w:rsid w:val="00853065"/>
    <w:rsid w:val="00854598"/>
    <w:rsid w:val="00856BDC"/>
    <w:rsid w:val="00857CBA"/>
    <w:rsid w:val="00861C4F"/>
    <w:rsid w:val="00862D0B"/>
    <w:rsid w:val="00863D30"/>
    <w:rsid w:val="008642DF"/>
    <w:rsid w:val="0086434F"/>
    <w:rsid w:val="00864FC3"/>
    <w:rsid w:val="00865AD8"/>
    <w:rsid w:val="00866CE0"/>
    <w:rsid w:val="00871CF3"/>
    <w:rsid w:val="008721CC"/>
    <w:rsid w:val="00872226"/>
    <w:rsid w:val="0087239F"/>
    <w:rsid w:val="00872B47"/>
    <w:rsid w:val="00874730"/>
    <w:rsid w:val="008751CE"/>
    <w:rsid w:val="00875F84"/>
    <w:rsid w:val="008773C3"/>
    <w:rsid w:val="00877623"/>
    <w:rsid w:val="008824EE"/>
    <w:rsid w:val="008825E2"/>
    <w:rsid w:val="00882B7E"/>
    <w:rsid w:val="00882D96"/>
    <w:rsid w:val="00883EFA"/>
    <w:rsid w:val="00885A80"/>
    <w:rsid w:val="00886771"/>
    <w:rsid w:val="008867F6"/>
    <w:rsid w:val="00887818"/>
    <w:rsid w:val="00892C54"/>
    <w:rsid w:val="00893260"/>
    <w:rsid w:val="00894452"/>
    <w:rsid w:val="008952E6"/>
    <w:rsid w:val="0089533A"/>
    <w:rsid w:val="00896227"/>
    <w:rsid w:val="008A063A"/>
    <w:rsid w:val="008A0CAF"/>
    <w:rsid w:val="008A146D"/>
    <w:rsid w:val="008A3068"/>
    <w:rsid w:val="008A37E3"/>
    <w:rsid w:val="008A5294"/>
    <w:rsid w:val="008A6398"/>
    <w:rsid w:val="008A6CA7"/>
    <w:rsid w:val="008A73CB"/>
    <w:rsid w:val="008A79AF"/>
    <w:rsid w:val="008A7FE6"/>
    <w:rsid w:val="008B02D1"/>
    <w:rsid w:val="008B14A2"/>
    <w:rsid w:val="008B1A8D"/>
    <w:rsid w:val="008B1C28"/>
    <w:rsid w:val="008B31F8"/>
    <w:rsid w:val="008B3A1B"/>
    <w:rsid w:val="008B756C"/>
    <w:rsid w:val="008B7A52"/>
    <w:rsid w:val="008B7F12"/>
    <w:rsid w:val="008C00EC"/>
    <w:rsid w:val="008C0773"/>
    <w:rsid w:val="008C0CE5"/>
    <w:rsid w:val="008C1F78"/>
    <w:rsid w:val="008C4089"/>
    <w:rsid w:val="008C5ABC"/>
    <w:rsid w:val="008C5C88"/>
    <w:rsid w:val="008D095A"/>
    <w:rsid w:val="008D1FCD"/>
    <w:rsid w:val="008D4990"/>
    <w:rsid w:val="008D4E37"/>
    <w:rsid w:val="008D75EB"/>
    <w:rsid w:val="008E0A3D"/>
    <w:rsid w:val="008E0A75"/>
    <w:rsid w:val="008E0EAF"/>
    <w:rsid w:val="008E1805"/>
    <w:rsid w:val="008E6453"/>
    <w:rsid w:val="008F1B4B"/>
    <w:rsid w:val="009027ED"/>
    <w:rsid w:val="00903409"/>
    <w:rsid w:val="00903846"/>
    <w:rsid w:val="0090525F"/>
    <w:rsid w:val="00906059"/>
    <w:rsid w:val="00911B9C"/>
    <w:rsid w:val="00915D0C"/>
    <w:rsid w:val="00917927"/>
    <w:rsid w:val="00917D06"/>
    <w:rsid w:val="009201BE"/>
    <w:rsid w:val="00920B05"/>
    <w:rsid w:val="00924453"/>
    <w:rsid w:val="009254FA"/>
    <w:rsid w:val="00927A4E"/>
    <w:rsid w:val="00932EB4"/>
    <w:rsid w:val="009340B2"/>
    <w:rsid w:val="00934C7F"/>
    <w:rsid w:val="009369AB"/>
    <w:rsid w:val="00936BC3"/>
    <w:rsid w:val="009374CE"/>
    <w:rsid w:val="00940371"/>
    <w:rsid w:val="00940671"/>
    <w:rsid w:val="0094076F"/>
    <w:rsid w:val="00940ECD"/>
    <w:rsid w:val="00941A6A"/>
    <w:rsid w:val="00941BD2"/>
    <w:rsid w:val="00941C25"/>
    <w:rsid w:val="00942B42"/>
    <w:rsid w:val="0094326B"/>
    <w:rsid w:val="0094415E"/>
    <w:rsid w:val="0094416B"/>
    <w:rsid w:val="00946062"/>
    <w:rsid w:val="00946625"/>
    <w:rsid w:val="00950ACD"/>
    <w:rsid w:val="00951733"/>
    <w:rsid w:val="009519FC"/>
    <w:rsid w:val="00952317"/>
    <w:rsid w:val="00953A8D"/>
    <w:rsid w:val="00953FCE"/>
    <w:rsid w:val="00954A12"/>
    <w:rsid w:val="00954BFD"/>
    <w:rsid w:val="009555CE"/>
    <w:rsid w:val="00955652"/>
    <w:rsid w:val="0095692A"/>
    <w:rsid w:val="00957D8E"/>
    <w:rsid w:val="0096040D"/>
    <w:rsid w:val="009606C6"/>
    <w:rsid w:val="00960AA9"/>
    <w:rsid w:val="00960D9D"/>
    <w:rsid w:val="009622C7"/>
    <w:rsid w:val="009663D4"/>
    <w:rsid w:val="00970F6A"/>
    <w:rsid w:val="009712C8"/>
    <w:rsid w:val="0097190C"/>
    <w:rsid w:val="009765DD"/>
    <w:rsid w:val="009775E7"/>
    <w:rsid w:val="0098097B"/>
    <w:rsid w:val="00981906"/>
    <w:rsid w:val="00982E10"/>
    <w:rsid w:val="00985129"/>
    <w:rsid w:val="00985BC6"/>
    <w:rsid w:val="00990CCF"/>
    <w:rsid w:val="009918D7"/>
    <w:rsid w:val="009919C7"/>
    <w:rsid w:val="009932CC"/>
    <w:rsid w:val="00993B9C"/>
    <w:rsid w:val="0099432E"/>
    <w:rsid w:val="0099453D"/>
    <w:rsid w:val="009951C5"/>
    <w:rsid w:val="00996D23"/>
    <w:rsid w:val="00997A92"/>
    <w:rsid w:val="009A0A11"/>
    <w:rsid w:val="009A1504"/>
    <w:rsid w:val="009A1864"/>
    <w:rsid w:val="009A1C69"/>
    <w:rsid w:val="009A28D5"/>
    <w:rsid w:val="009A3393"/>
    <w:rsid w:val="009A4293"/>
    <w:rsid w:val="009A43A3"/>
    <w:rsid w:val="009A5FEB"/>
    <w:rsid w:val="009A7A34"/>
    <w:rsid w:val="009B0288"/>
    <w:rsid w:val="009B077D"/>
    <w:rsid w:val="009B0FA0"/>
    <w:rsid w:val="009B4E38"/>
    <w:rsid w:val="009B5599"/>
    <w:rsid w:val="009B5BD8"/>
    <w:rsid w:val="009C0FD7"/>
    <w:rsid w:val="009C3C8C"/>
    <w:rsid w:val="009C4B4C"/>
    <w:rsid w:val="009C4C54"/>
    <w:rsid w:val="009C4EF3"/>
    <w:rsid w:val="009C4FD2"/>
    <w:rsid w:val="009C50F1"/>
    <w:rsid w:val="009C64DB"/>
    <w:rsid w:val="009C7161"/>
    <w:rsid w:val="009C76C1"/>
    <w:rsid w:val="009D05EC"/>
    <w:rsid w:val="009D11D6"/>
    <w:rsid w:val="009D37B9"/>
    <w:rsid w:val="009D3AF6"/>
    <w:rsid w:val="009D4019"/>
    <w:rsid w:val="009D4FE2"/>
    <w:rsid w:val="009D5493"/>
    <w:rsid w:val="009D628C"/>
    <w:rsid w:val="009D762F"/>
    <w:rsid w:val="009E0A91"/>
    <w:rsid w:val="009E11BA"/>
    <w:rsid w:val="009E141B"/>
    <w:rsid w:val="009E2D6C"/>
    <w:rsid w:val="009E660D"/>
    <w:rsid w:val="009F50D8"/>
    <w:rsid w:val="009F7E80"/>
    <w:rsid w:val="00A0060A"/>
    <w:rsid w:val="00A016B0"/>
    <w:rsid w:val="00A02199"/>
    <w:rsid w:val="00A03535"/>
    <w:rsid w:val="00A045A2"/>
    <w:rsid w:val="00A04B6D"/>
    <w:rsid w:val="00A063CA"/>
    <w:rsid w:val="00A06DD7"/>
    <w:rsid w:val="00A12BCC"/>
    <w:rsid w:val="00A13F8F"/>
    <w:rsid w:val="00A14318"/>
    <w:rsid w:val="00A14F4E"/>
    <w:rsid w:val="00A167FB"/>
    <w:rsid w:val="00A174F5"/>
    <w:rsid w:val="00A20E1D"/>
    <w:rsid w:val="00A241E3"/>
    <w:rsid w:val="00A24279"/>
    <w:rsid w:val="00A32095"/>
    <w:rsid w:val="00A32B3A"/>
    <w:rsid w:val="00A32C7A"/>
    <w:rsid w:val="00A32E70"/>
    <w:rsid w:val="00A33E33"/>
    <w:rsid w:val="00A34D08"/>
    <w:rsid w:val="00A43557"/>
    <w:rsid w:val="00A44D85"/>
    <w:rsid w:val="00A45025"/>
    <w:rsid w:val="00A45844"/>
    <w:rsid w:val="00A51077"/>
    <w:rsid w:val="00A51224"/>
    <w:rsid w:val="00A512CB"/>
    <w:rsid w:val="00A53A6B"/>
    <w:rsid w:val="00A5433B"/>
    <w:rsid w:val="00A54C60"/>
    <w:rsid w:val="00A54E1A"/>
    <w:rsid w:val="00A55441"/>
    <w:rsid w:val="00A55F8B"/>
    <w:rsid w:val="00A56A48"/>
    <w:rsid w:val="00A56DEC"/>
    <w:rsid w:val="00A60B48"/>
    <w:rsid w:val="00A612FF"/>
    <w:rsid w:val="00A614D0"/>
    <w:rsid w:val="00A62BFB"/>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66F"/>
    <w:rsid w:val="00A97BA6"/>
    <w:rsid w:val="00A97C92"/>
    <w:rsid w:val="00AA0797"/>
    <w:rsid w:val="00AA1690"/>
    <w:rsid w:val="00AA2F4F"/>
    <w:rsid w:val="00AA3BFB"/>
    <w:rsid w:val="00AA4BFF"/>
    <w:rsid w:val="00AB0069"/>
    <w:rsid w:val="00AB18A3"/>
    <w:rsid w:val="00AB24E1"/>
    <w:rsid w:val="00AB2AB3"/>
    <w:rsid w:val="00AB3D71"/>
    <w:rsid w:val="00AB6EAC"/>
    <w:rsid w:val="00AC07A4"/>
    <w:rsid w:val="00AC271E"/>
    <w:rsid w:val="00AC673A"/>
    <w:rsid w:val="00AC67A5"/>
    <w:rsid w:val="00AD0EF9"/>
    <w:rsid w:val="00AD1F3F"/>
    <w:rsid w:val="00AD2944"/>
    <w:rsid w:val="00AD35EF"/>
    <w:rsid w:val="00AD470F"/>
    <w:rsid w:val="00AD4A4D"/>
    <w:rsid w:val="00AD57B1"/>
    <w:rsid w:val="00AD612A"/>
    <w:rsid w:val="00AD7A2D"/>
    <w:rsid w:val="00AE2F42"/>
    <w:rsid w:val="00AE33A9"/>
    <w:rsid w:val="00AE4666"/>
    <w:rsid w:val="00AE5255"/>
    <w:rsid w:val="00AF140A"/>
    <w:rsid w:val="00AF1F7E"/>
    <w:rsid w:val="00AF2CDB"/>
    <w:rsid w:val="00AF4251"/>
    <w:rsid w:val="00AF4AEB"/>
    <w:rsid w:val="00AF539D"/>
    <w:rsid w:val="00AF59B9"/>
    <w:rsid w:val="00AF5A5E"/>
    <w:rsid w:val="00AF7241"/>
    <w:rsid w:val="00B001E4"/>
    <w:rsid w:val="00B0153A"/>
    <w:rsid w:val="00B03CE1"/>
    <w:rsid w:val="00B045F0"/>
    <w:rsid w:val="00B04889"/>
    <w:rsid w:val="00B04DC4"/>
    <w:rsid w:val="00B05905"/>
    <w:rsid w:val="00B05CA8"/>
    <w:rsid w:val="00B06013"/>
    <w:rsid w:val="00B06CAC"/>
    <w:rsid w:val="00B07049"/>
    <w:rsid w:val="00B10844"/>
    <w:rsid w:val="00B10F1C"/>
    <w:rsid w:val="00B1380A"/>
    <w:rsid w:val="00B13902"/>
    <w:rsid w:val="00B13FA7"/>
    <w:rsid w:val="00B14244"/>
    <w:rsid w:val="00B1506B"/>
    <w:rsid w:val="00B216C7"/>
    <w:rsid w:val="00B22136"/>
    <w:rsid w:val="00B238AA"/>
    <w:rsid w:val="00B24B2E"/>
    <w:rsid w:val="00B24DB2"/>
    <w:rsid w:val="00B251E2"/>
    <w:rsid w:val="00B25570"/>
    <w:rsid w:val="00B2579E"/>
    <w:rsid w:val="00B25DA5"/>
    <w:rsid w:val="00B260DF"/>
    <w:rsid w:val="00B31660"/>
    <w:rsid w:val="00B32F00"/>
    <w:rsid w:val="00B3394C"/>
    <w:rsid w:val="00B33AC0"/>
    <w:rsid w:val="00B34081"/>
    <w:rsid w:val="00B35386"/>
    <w:rsid w:val="00B356C3"/>
    <w:rsid w:val="00B35BF4"/>
    <w:rsid w:val="00B362C6"/>
    <w:rsid w:val="00B37D2C"/>
    <w:rsid w:val="00B37E3B"/>
    <w:rsid w:val="00B40BE8"/>
    <w:rsid w:val="00B41994"/>
    <w:rsid w:val="00B4236F"/>
    <w:rsid w:val="00B42655"/>
    <w:rsid w:val="00B44BDA"/>
    <w:rsid w:val="00B4503B"/>
    <w:rsid w:val="00B453F2"/>
    <w:rsid w:val="00B460E3"/>
    <w:rsid w:val="00B462E6"/>
    <w:rsid w:val="00B46EBD"/>
    <w:rsid w:val="00B51489"/>
    <w:rsid w:val="00B5163B"/>
    <w:rsid w:val="00B51651"/>
    <w:rsid w:val="00B525EE"/>
    <w:rsid w:val="00B55021"/>
    <w:rsid w:val="00B562C4"/>
    <w:rsid w:val="00B571D5"/>
    <w:rsid w:val="00B57273"/>
    <w:rsid w:val="00B6012E"/>
    <w:rsid w:val="00B60133"/>
    <w:rsid w:val="00B6112C"/>
    <w:rsid w:val="00B61C6C"/>
    <w:rsid w:val="00B622E7"/>
    <w:rsid w:val="00B62C96"/>
    <w:rsid w:val="00B6380C"/>
    <w:rsid w:val="00B63F64"/>
    <w:rsid w:val="00B641A3"/>
    <w:rsid w:val="00B6496F"/>
    <w:rsid w:val="00B64CDD"/>
    <w:rsid w:val="00B6545B"/>
    <w:rsid w:val="00B6556C"/>
    <w:rsid w:val="00B6734D"/>
    <w:rsid w:val="00B67AA9"/>
    <w:rsid w:val="00B72B76"/>
    <w:rsid w:val="00B72CE7"/>
    <w:rsid w:val="00B72F4B"/>
    <w:rsid w:val="00B73DAC"/>
    <w:rsid w:val="00B744B2"/>
    <w:rsid w:val="00B74726"/>
    <w:rsid w:val="00B7597A"/>
    <w:rsid w:val="00B75E8C"/>
    <w:rsid w:val="00B7603F"/>
    <w:rsid w:val="00B76E5E"/>
    <w:rsid w:val="00B77EF4"/>
    <w:rsid w:val="00B8066E"/>
    <w:rsid w:val="00B815E2"/>
    <w:rsid w:val="00B82D04"/>
    <w:rsid w:val="00B846D4"/>
    <w:rsid w:val="00B84A71"/>
    <w:rsid w:val="00B8544D"/>
    <w:rsid w:val="00B871A9"/>
    <w:rsid w:val="00B878CE"/>
    <w:rsid w:val="00B87B22"/>
    <w:rsid w:val="00B87F9C"/>
    <w:rsid w:val="00B906FF"/>
    <w:rsid w:val="00B9211C"/>
    <w:rsid w:val="00B92EEC"/>
    <w:rsid w:val="00B950A5"/>
    <w:rsid w:val="00B97541"/>
    <w:rsid w:val="00BA18F8"/>
    <w:rsid w:val="00BA1B01"/>
    <w:rsid w:val="00BA1CA0"/>
    <w:rsid w:val="00BA3E6E"/>
    <w:rsid w:val="00BA455A"/>
    <w:rsid w:val="00BA5528"/>
    <w:rsid w:val="00BA688E"/>
    <w:rsid w:val="00BB0742"/>
    <w:rsid w:val="00BB123F"/>
    <w:rsid w:val="00BB1B0D"/>
    <w:rsid w:val="00BB3815"/>
    <w:rsid w:val="00BB54F5"/>
    <w:rsid w:val="00BB6818"/>
    <w:rsid w:val="00BC013C"/>
    <w:rsid w:val="00BC01CD"/>
    <w:rsid w:val="00BC0541"/>
    <w:rsid w:val="00BC0C96"/>
    <w:rsid w:val="00BC328D"/>
    <w:rsid w:val="00BC395B"/>
    <w:rsid w:val="00BC3AEC"/>
    <w:rsid w:val="00BC3F67"/>
    <w:rsid w:val="00BC45BA"/>
    <w:rsid w:val="00BC5F4E"/>
    <w:rsid w:val="00BC5FDE"/>
    <w:rsid w:val="00BC7047"/>
    <w:rsid w:val="00BC7297"/>
    <w:rsid w:val="00BC72EA"/>
    <w:rsid w:val="00BD0099"/>
    <w:rsid w:val="00BD0240"/>
    <w:rsid w:val="00BD0822"/>
    <w:rsid w:val="00BD1E79"/>
    <w:rsid w:val="00BD2C19"/>
    <w:rsid w:val="00BD4EBF"/>
    <w:rsid w:val="00BD5E01"/>
    <w:rsid w:val="00BD799F"/>
    <w:rsid w:val="00BE0125"/>
    <w:rsid w:val="00BE0A98"/>
    <w:rsid w:val="00BE1867"/>
    <w:rsid w:val="00BE5C25"/>
    <w:rsid w:val="00BE5FB6"/>
    <w:rsid w:val="00BE7034"/>
    <w:rsid w:val="00BE7602"/>
    <w:rsid w:val="00BE79DB"/>
    <w:rsid w:val="00BF11D7"/>
    <w:rsid w:val="00BF467C"/>
    <w:rsid w:val="00BF580A"/>
    <w:rsid w:val="00BF59B0"/>
    <w:rsid w:val="00BF7D62"/>
    <w:rsid w:val="00C0130E"/>
    <w:rsid w:val="00C0272E"/>
    <w:rsid w:val="00C02B41"/>
    <w:rsid w:val="00C04D36"/>
    <w:rsid w:val="00C04DB4"/>
    <w:rsid w:val="00C05EB3"/>
    <w:rsid w:val="00C06FCE"/>
    <w:rsid w:val="00C07C03"/>
    <w:rsid w:val="00C10747"/>
    <w:rsid w:val="00C10EB5"/>
    <w:rsid w:val="00C12025"/>
    <w:rsid w:val="00C133C8"/>
    <w:rsid w:val="00C1447E"/>
    <w:rsid w:val="00C15F7E"/>
    <w:rsid w:val="00C20EC9"/>
    <w:rsid w:val="00C21159"/>
    <w:rsid w:val="00C21650"/>
    <w:rsid w:val="00C265C0"/>
    <w:rsid w:val="00C27482"/>
    <w:rsid w:val="00C27872"/>
    <w:rsid w:val="00C30595"/>
    <w:rsid w:val="00C30AAD"/>
    <w:rsid w:val="00C311B3"/>
    <w:rsid w:val="00C33D9D"/>
    <w:rsid w:val="00C35637"/>
    <w:rsid w:val="00C36AC4"/>
    <w:rsid w:val="00C418FA"/>
    <w:rsid w:val="00C44424"/>
    <w:rsid w:val="00C44FA7"/>
    <w:rsid w:val="00C472A4"/>
    <w:rsid w:val="00C5076B"/>
    <w:rsid w:val="00C537EB"/>
    <w:rsid w:val="00C61A21"/>
    <w:rsid w:val="00C6248E"/>
    <w:rsid w:val="00C62EDF"/>
    <w:rsid w:val="00C630B4"/>
    <w:rsid w:val="00C654F4"/>
    <w:rsid w:val="00C66654"/>
    <w:rsid w:val="00C6721C"/>
    <w:rsid w:val="00C706EC"/>
    <w:rsid w:val="00C71F95"/>
    <w:rsid w:val="00C72C64"/>
    <w:rsid w:val="00C73585"/>
    <w:rsid w:val="00C73C0D"/>
    <w:rsid w:val="00C7436B"/>
    <w:rsid w:val="00C7586A"/>
    <w:rsid w:val="00C76480"/>
    <w:rsid w:val="00C77547"/>
    <w:rsid w:val="00C778E6"/>
    <w:rsid w:val="00C81E07"/>
    <w:rsid w:val="00C82E8A"/>
    <w:rsid w:val="00C8388D"/>
    <w:rsid w:val="00C839A9"/>
    <w:rsid w:val="00C83FB4"/>
    <w:rsid w:val="00C849C6"/>
    <w:rsid w:val="00C85D6A"/>
    <w:rsid w:val="00C874E9"/>
    <w:rsid w:val="00C9040A"/>
    <w:rsid w:val="00C90AFC"/>
    <w:rsid w:val="00C90E49"/>
    <w:rsid w:val="00C92B91"/>
    <w:rsid w:val="00C93692"/>
    <w:rsid w:val="00C94693"/>
    <w:rsid w:val="00C94898"/>
    <w:rsid w:val="00CA2D32"/>
    <w:rsid w:val="00CA3FE6"/>
    <w:rsid w:val="00CA6414"/>
    <w:rsid w:val="00CA74DC"/>
    <w:rsid w:val="00CB2AB7"/>
    <w:rsid w:val="00CB570E"/>
    <w:rsid w:val="00CB718F"/>
    <w:rsid w:val="00CC0083"/>
    <w:rsid w:val="00CC072A"/>
    <w:rsid w:val="00CC27F3"/>
    <w:rsid w:val="00CC28EF"/>
    <w:rsid w:val="00CC3194"/>
    <w:rsid w:val="00CC3562"/>
    <w:rsid w:val="00CC4D63"/>
    <w:rsid w:val="00CC5E5B"/>
    <w:rsid w:val="00CC61A5"/>
    <w:rsid w:val="00CC772A"/>
    <w:rsid w:val="00CC7E08"/>
    <w:rsid w:val="00CD14DB"/>
    <w:rsid w:val="00CD63E3"/>
    <w:rsid w:val="00CD6D72"/>
    <w:rsid w:val="00CE0348"/>
    <w:rsid w:val="00CE2E0F"/>
    <w:rsid w:val="00CE5FE4"/>
    <w:rsid w:val="00CE6283"/>
    <w:rsid w:val="00CE67AA"/>
    <w:rsid w:val="00CE6F33"/>
    <w:rsid w:val="00CE73B5"/>
    <w:rsid w:val="00CE791D"/>
    <w:rsid w:val="00CE79D7"/>
    <w:rsid w:val="00CE7CE3"/>
    <w:rsid w:val="00CE7F5E"/>
    <w:rsid w:val="00CF2071"/>
    <w:rsid w:val="00CF244E"/>
    <w:rsid w:val="00CF278D"/>
    <w:rsid w:val="00CF2FE9"/>
    <w:rsid w:val="00CF37C7"/>
    <w:rsid w:val="00CF3CF8"/>
    <w:rsid w:val="00CF474D"/>
    <w:rsid w:val="00CF5A64"/>
    <w:rsid w:val="00CF6622"/>
    <w:rsid w:val="00CF749A"/>
    <w:rsid w:val="00D0089A"/>
    <w:rsid w:val="00D014C7"/>
    <w:rsid w:val="00D01548"/>
    <w:rsid w:val="00D04D5F"/>
    <w:rsid w:val="00D04DD6"/>
    <w:rsid w:val="00D04DFA"/>
    <w:rsid w:val="00D0597F"/>
    <w:rsid w:val="00D05F35"/>
    <w:rsid w:val="00D06393"/>
    <w:rsid w:val="00D06E5E"/>
    <w:rsid w:val="00D06F79"/>
    <w:rsid w:val="00D10597"/>
    <w:rsid w:val="00D120A3"/>
    <w:rsid w:val="00D13288"/>
    <w:rsid w:val="00D1584B"/>
    <w:rsid w:val="00D20601"/>
    <w:rsid w:val="00D219E9"/>
    <w:rsid w:val="00D2205B"/>
    <w:rsid w:val="00D23418"/>
    <w:rsid w:val="00D24606"/>
    <w:rsid w:val="00D2496B"/>
    <w:rsid w:val="00D25C72"/>
    <w:rsid w:val="00D2620A"/>
    <w:rsid w:val="00D3056A"/>
    <w:rsid w:val="00D3064D"/>
    <w:rsid w:val="00D30AED"/>
    <w:rsid w:val="00D30F84"/>
    <w:rsid w:val="00D31091"/>
    <w:rsid w:val="00D31C16"/>
    <w:rsid w:val="00D33CFE"/>
    <w:rsid w:val="00D33DDE"/>
    <w:rsid w:val="00D34DA4"/>
    <w:rsid w:val="00D35C1D"/>
    <w:rsid w:val="00D3752F"/>
    <w:rsid w:val="00D37EDF"/>
    <w:rsid w:val="00D40DDE"/>
    <w:rsid w:val="00D42D78"/>
    <w:rsid w:val="00D43970"/>
    <w:rsid w:val="00D43CA5"/>
    <w:rsid w:val="00D44CA5"/>
    <w:rsid w:val="00D462F2"/>
    <w:rsid w:val="00D46E12"/>
    <w:rsid w:val="00D50734"/>
    <w:rsid w:val="00D507C0"/>
    <w:rsid w:val="00D513CC"/>
    <w:rsid w:val="00D5172A"/>
    <w:rsid w:val="00D56435"/>
    <w:rsid w:val="00D5678C"/>
    <w:rsid w:val="00D5732B"/>
    <w:rsid w:val="00D607BE"/>
    <w:rsid w:val="00D62755"/>
    <w:rsid w:val="00D62AA4"/>
    <w:rsid w:val="00D6318F"/>
    <w:rsid w:val="00D650BB"/>
    <w:rsid w:val="00D6540A"/>
    <w:rsid w:val="00D70107"/>
    <w:rsid w:val="00D70438"/>
    <w:rsid w:val="00D717AD"/>
    <w:rsid w:val="00D720AD"/>
    <w:rsid w:val="00D72D1D"/>
    <w:rsid w:val="00D72EC1"/>
    <w:rsid w:val="00D74A18"/>
    <w:rsid w:val="00D74D3E"/>
    <w:rsid w:val="00D757C6"/>
    <w:rsid w:val="00D75C41"/>
    <w:rsid w:val="00D76D79"/>
    <w:rsid w:val="00D779E3"/>
    <w:rsid w:val="00D80529"/>
    <w:rsid w:val="00D80F78"/>
    <w:rsid w:val="00D81AC3"/>
    <w:rsid w:val="00D81C59"/>
    <w:rsid w:val="00D82A5B"/>
    <w:rsid w:val="00D84637"/>
    <w:rsid w:val="00D8473B"/>
    <w:rsid w:val="00D85780"/>
    <w:rsid w:val="00D917DB"/>
    <w:rsid w:val="00D925AA"/>
    <w:rsid w:val="00D9283D"/>
    <w:rsid w:val="00D930DD"/>
    <w:rsid w:val="00D9341C"/>
    <w:rsid w:val="00D94A39"/>
    <w:rsid w:val="00D94B7D"/>
    <w:rsid w:val="00DA0B1A"/>
    <w:rsid w:val="00DA1560"/>
    <w:rsid w:val="00DA3176"/>
    <w:rsid w:val="00DA4C44"/>
    <w:rsid w:val="00DA4C48"/>
    <w:rsid w:val="00DA4E21"/>
    <w:rsid w:val="00DA50CF"/>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4100"/>
    <w:rsid w:val="00DD76A4"/>
    <w:rsid w:val="00DD7C65"/>
    <w:rsid w:val="00DE03E4"/>
    <w:rsid w:val="00DE1134"/>
    <w:rsid w:val="00DE1AEB"/>
    <w:rsid w:val="00DE2247"/>
    <w:rsid w:val="00DE2A34"/>
    <w:rsid w:val="00DE37AE"/>
    <w:rsid w:val="00DE4732"/>
    <w:rsid w:val="00DE6668"/>
    <w:rsid w:val="00DE6987"/>
    <w:rsid w:val="00DE7339"/>
    <w:rsid w:val="00DF1246"/>
    <w:rsid w:val="00DF254B"/>
    <w:rsid w:val="00DF30C0"/>
    <w:rsid w:val="00DF4E84"/>
    <w:rsid w:val="00E0080A"/>
    <w:rsid w:val="00E00F31"/>
    <w:rsid w:val="00E02242"/>
    <w:rsid w:val="00E0300E"/>
    <w:rsid w:val="00E04AE0"/>
    <w:rsid w:val="00E06487"/>
    <w:rsid w:val="00E070D0"/>
    <w:rsid w:val="00E11517"/>
    <w:rsid w:val="00E11900"/>
    <w:rsid w:val="00E12834"/>
    <w:rsid w:val="00E1309D"/>
    <w:rsid w:val="00E13727"/>
    <w:rsid w:val="00E15630"/>
    <w:rsid w:val="00E17AB3"/>
    <w:rsid w:val="00E20254"/>
    <w:rsid w:val="00E2048B"/>
    <w:rsid w:val="00E209F0"/>
    <w:rsid w:val="00E21100"/>
    <w:rsid w:val="00E219EB"/>
    <w:rsid w:val="00E22C13"/>
    <w:rsid w:val="00E23129"/>
    <w:rsid w:val="00E25045"/>
    <w:rsid w:val="00E2677C"/>
    <w:rsid w:val="00E26D83"/>
    <w:rsid w:val="00E271CD"/>
    <w:rsid w:val="00E27A1E"/>
    <w:rsid w:val="00E306E9"/>
    <w:rsid w:val="00E307DC"/>
    <w:rsid w:val="00E323CF"/>
    <w:rsid w:val="00E334B9"/>
    <w:rsid w:val="00E33905"/>
    <w:rsid w:val="00E339D4"/>
    <w:rsid w:val="00E342D1"/>
    <w:rsid w:val="00E34B96"/>
    <w:rsid w:val="00E37502"/>
    <w:rsid w:val="00E40127"/>
    <w:rsid w:val="00E43074"/>
    <w:rsid w:val="00E431C8"/>
    <w:rsid w:val="00E44926"/>
    <w:rsid w:val="00E44E09"/>
    <w:rsid w:val="00E45D53"/>
    <w:rsid w:val="00E46DBD"/>
    <w:rsid w:val="00E46E7C"/>
    <w:rsid w:val="00E514A6"/>
    <w:rsid w:val="00E51708"/>
    <w:rsid w:val="00E51729"/>
    <w:rsid w:val="00E51D0A"/>
    <w:rsid w:val="00E528D3"/>
    <w:rsid w:val="00E53139"/>
    <w:rsid w:val="00E53A8F"/>
    <w:rsid w:val="00E5435E"/>
    <w:rsid w:val="00E55369"/>
    <w:rsid w:val="00E55A81"/>
    <w:rsid w:val="00E56450"/>
    <w:rsid w:val="00E56DA8"/>
    <w:rsid w:val="00E60ACC"/>
    <w:rsid w:val="00E60C4B"/>
    <w:rsid w:val="00E60E21"/>
    <w:rsid w:val="00E61E53"/>
    <w:rsid w:val="00E644F7"/>
    <w:rsid w:val="00E6570E"/>
    <w:rsid w:val="00E66638"/>
    <w:rsid w:val="00E6706E"/>
    <w:rsid w:val="00E71380"/>
    <w:rsid w:val="00E7211D"/>
    <w:rsid w:val="00E754C2"/>
    <w:rsid w:val="00E757CA"/>
    <w:rsid w:val="00E75D48"/>
    <w:rsid w:val="00E76750"/>
    <w:rsid w:val="00E773CD"/>
    <w:rsid w:val="00E774C9"/>
    <w:rsid w:val="00E77D0C"/>
    <w:rsid w:val="00E80964"/>
    <w:rsid w:val="00E80CAF"/>
    <w:rsid w:val="00E83D43"/>
    <w:rsid w:val="00E841A6"/>
    <w:rsid w:val="00E84BCB"/>
    <w:rsid w:val="00E85905"/>
    <w:rsid w:val="00E85D20"/>
    <w:rsid w:val="00E87C0D"/>
    <w:rsid w:val="00E901B2"/>
    <w:rsid w:val="00E90DC4"/>
    <w:rsid w:val="00E9163F"/>
    <w:rsid w:val="00E91CB7"/>
    <w:rsid w:val="00E955B0"/>
    <w:rsid w:val="00E956E8"/>
    <w:rsid w:val="00EA022D"/>
    <w:rsid w:val="00EA0AF7"/>
    <w:rsid w:val="00EA0D10"/>
    <w:rsid w:val="00EA0F2C"/>
    <w:rsid w:val="00EA19CB"/>
    <w:rsid w:val="00EA2C8F"/>
    <w:rsid w:val="00EA5045"/>
    <w:rsid w:val="00EA5D64"/>
    <w:rsid w:val="00EA613A"/>
    <w:rsid w:val="00EA6A8C"/>
    <w:rsid w:val="00EB0FA9"/>
    <w:rsid w:val="00EB1B26"/>
    <w:rsid w:val="00EB2AD1"/>
    <w:rsid w:val="00EB2F9F"/>
    <w:rsid w:val="00EB3067"/>
    <w:rsid w:val="00EB353E"/>
    <w:rsid w:val="00EB3AA1"/>
    <w:rsid w:val="00EB56E0"/>
    <w:rsid w:val="00EB5DDF"/>
    <w:rsid w:val="00EB6E66"/>
    <w:rsid w:val="00EC0129"/>
    <w:rsid w:val="00EC264F"/>
    <w:rsid w:val="00EC3CEC"/>
    <w:rsid w:val="00EC4625"/>
    <w:rsid w:val="00ED139E"/>
    <w:rsid w:val="00ED1759"/>
    <w:rsid w:val="00ED27A5"/>
    <w:rsid w:val="00ED3ECB"/>
    <w:rsid w:val="00ED445D"/>
    <w:rsid w:val="00ED461C"/>
    <w:rsid w:val="00ED5E2B"/>
    <w:rsid w:val="00EE01C2"/>
    <w:rsid w:val="00EE22DF"/>
    <w:rsid w:val="00EE2FEA"/>
    <w:rsid w:val="00EE37A2"/>
    <w:rsid w:val="00EE3B12"/>
    <w:rsid w:val="00EE5AF3"/>
    <w:rsid w:val="00EE5E91"/>
    <w:rsid w:val="00EE5F8C"/>
    <w:rsid w:val="00EE60CA"/>
    <w:rsid w:val="00EE6B1D"/>
    <w:rsid w:val="00EE73BC"/>
    <w:rsid w:val="00EE7AC8"/>
    <w:rsid w:val="00EF00AA"/>
    <w:rsid w:val="00EF3996"/>
    <w:rsid w:val="00F0026A"/>
    <w:rsid w:val="00F00A24"/>
    <w:rsid w:val="00F021E7"/>
    <w:rsid w:val="00F026C1"/>
    <w:rsid w:val="00F039D1"/>
    <w:rsid w:val="00F05BEC"/>
    <w:rsid w:val="00F05D0F"/>
    <w:rsid w:val="00F05DB4"/>
    <w:rsid w:val="00F06754"/>
    <w:rsid w:val="00F10CE1"/>
    <w:rsid w:val="00F13358"/>
    <w:rsid w:val="00F1456D"/>
    <w:rsid w:val="00F147AB"/>
    <w:rsid w:val="00F14DA0"/>
    <w:rsid w:val="00F15387"/>
    <w:rsid w:val="00F15D8B"/>
    <w:rsid w:val="00F15F46"/>
    <w:rsid w:val="00F17D58"/>
    <w:rsid w:val="00F228F5"/>
    <w:rsid w:val="00F23FD4"/>
    <w:rsid w:val="00F24143"/>
    <w:rsid w:val="00F241BE"/>
    <w:rsid w:val="00F24962"/>
    <w:rsid w:val="00F25038"/>
    <w:rsid w:val="00F2683A"/>
    <w:rsid w:val="00F2735C"/>
    <w:rsid w:val="00F30145"/>
    <w:rsid w:val="00F30D2E"/>
    <w:rsid w:val="00F3124A"/>
    <w:rsid w:val="00F31D41"/>
    <w:rsid w:val="00F34539"/>
    <w:rsid w:val="00F35005"/>
    <w:rsid w:val="00F359FB"/>
    <w:rsid w:val="00F364CB"/>
    <w:rsid w:val="00F36E13"/>
    <w:rsid w:val="00F37601"/>
    <w:rsid w:val="00F4058E"/>
    <w:rsid w:val="00F4132A"/>
    <w:rsid w:val="00F4220F"/>
    <w:rsid w:val="00F423B8"/>
    <w:rsid w:val="00F43F58"/>
    <w:rsid w:val="00F4425D"/>
    <w:rsid w:val="00F45507"/>
    <w:rsid w:val="00F46014"/>
    <w:rsid w:val="00F468AE"/>
    <w:rsid w:val="00F47124"/>
    <w:rsid w:val="00F47670"/>
    <w:rsid w:val="00F47BD7"/>
    <w:rsid w:val="00F51371"/>
    <w:rsid w:val="00F51AF6"/>
    <w:rsid w:val="00F551E9"/>
    <w:rsid w:val="00F555F6"/>
    <w:rsid w:val="00F55A95"/>
    <w:rsid w:val="00F56113"/>
    <w:rsid w:val="00F5640F"/>
    <w:rsid w:val="00F56735"/>
    <w:rsid w:val="00F56B3A"/>
    <w:rsid w:val="00F57A78"/>
    <w:rsid w:val="00F60975"/>
    <w:rsid w:val="00F60F94"/>
    <w:rsid w:val="00F615F9"/>
    <w:rsid w:val="00F62055"/>
    <w:rsid w:val="00F620BE"/>
    <w:rsid w:val="00F62C71"/>
    <w:rsid w:val="00F64DC5"/>
    <w:rsid w:val="00F73938"/>
    <w:rsid w:val="00F73E87"/>
    <w:rsid w:val="00F74224"/>
    <w:rsid w:val="00F747A9"/>
    <w:rsid w:val="00F76696"/>
    <w:rsid w:val="00F766D7"/>
    <w:rsid w:val="00F77295"/>
    <w:rsid w:val="00F77A84"/>
    <w:rsid w:val="00F80438"/>
    <w:rsid w:val="00F83320"/>
    <w:rsid w:val="00F866F7"/>
    <w:rsid w:val="00F87855"/>
    <w:rsid w:val="00F87905"/>
    <w:rsid w:val="00F91A0D"/>
    <w:rsid w:val="00F9229E"/>
    <w:rsid w:val="00F92724"/>
    <w:rsid w:val="00F92A12"/>
    <w:rsid w:val="00F9427F"/>
    <w:rsid w:val="00F942E2"/>
    <w:rsid w:val="00F9523B"/>
    <w:rsid w:val="00F9546E"/>
    <w:rsid w:val="00F9560B"/>
    <w:rsid w:val="00F95755"/>
    <w:rsid w:val="00F95846"/>
    <w:rsid w:val="00F96E67"/>
    <w:rsid w:val="00F96E92"/>
    <w:rsid w:val="00FA0700"/>
    <w:rsid w:val="00FA13CB"/>
    <w:rsid w:val="00FA2BE9"/>
    <w:rsid w:val="00FA31AE"/>
    <w:rsid w:val="00FA4FCD"/>
    <w:rsid w:val="00FA6E1C"/>
    <w:rsid w:val="00FB1DA4"/>
    <w:rsid w:val="00FB2973"/>
    <w:rsid w:val="00FB42CF"/>
    <w:rsid w:val="00FB4E2A"/>
    <w:rsid w:val="00FB511E"/>
    <w:rsid w:val="00FB68FB"/>
    <w:rsid w:val="00FB7B5E"/>
    <w:rsid w:val="00FC07DD"/>
    <w:rsid w:val="00FC2B86"/>
    <w:rsid w:val="00FC48B5"/>
    <w:rsid w:val="00FC4CA2"/>
    <w:rsid w:val="00FC6FF3"/>
    <w:rsid w:val="00FC7629"/>
    <w:rsid w:val="00FC7B2A"/>
    <w:rsid w:val="00FD360A"/>
    <w:rsid w:val="00FD3D67"/>
    <w:rsid w:val="00FD4F5A"/>
    <w:rsid w:val="00FD536A"/>
    <w:rsid w:val="00FD74FF"/>
    <w:rsid w:val="00FE3CEC"/>
    <w:rsid w:val="00FE3FC6"/>
    <w:rsid w:val="00FE4145"/>
    <w:rsid w:val="00FE5F2D"/>
    <w:rsid w:val="00FE607C"/>
    <w:rsid w:val="00FE6A1F"/>
    <w:rsid w:val="00FE743E"/>
    <w:rsid w:val="00FF04FB"/>
    <w:rsid w:val="00FF0810"/>
    <w:rsid w:val="00FF11E6"/>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32D"/>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0F705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0F705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locked/>
    <w:rsid w:val="00F62C71"/>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CharChar9">
    <w:name w:val=" Char Char9"/>
    <w:locked/>
    <w:rsid w:val="003675D9"/>
    <w:rPr>
      <w:rFonts w:ascii="Georgia" w:hAnsi="Georgia"/>
      <w:sz w:val="19"/>
      <w:szCs w:val="19"/>
      <w:lang w:val="en-AU" w:eastAsia="en-AU" w:bidi="ar-SA"/>
    </w:rPr>
  </w:style>
  <w:style w:type="character" w:customStyle="1" w:styleId="CommentTextChar">
    <w:name w:val="Comment Text Char"/>
    <w:link w:val="CommentText"/>
    <w:semiHidden/>
    <w:rsid w:val="003675D9"/>
    <w:rPr>
      <w:rFonts w:ascii="Calibri" w:hAnsi="Calibri"/>
      <w:sz w:val="18"/>
      <w:szCs w:val="18"/>
      <w:lang w:val="en-AU" w:eastAsia="en-AU" w:bidi="ar-SA"/>
    </w:rPr>
  </w:style>
  <w:style w:type="paragraph" w:styleId="NormalWeb">
    <w:name w:val="Normal (Web)"/>
    <w:basedOn w:val="Normal"/>
    <w:rsid w:val="005155D8"/>
    <w:pPr>
      <w:spacing w:before="100" w:beforeAutospacing="1" w:after="100" w:afterAutospacing="1"/>
    </w:pPr>
    <w:rPr>
      <w:sz w:val="24"/>
    </w:rPr>
  </w:style>
  <w:style w:type="character" w:customStyle="1" w:styleId="TraceyMcMartin">
    <w:name w:val="Tracey McMartin"/>
    <w:semiHidden/>
    <w:rsid w:val="00BA3E6E"/>
    <w:rPr>
      <w:rFonts w:ascii="Calibri" w:hAnsi="Calibri"/>
      <w:b w:val="0"/>
      <w:bCs w:val="0"/>
      <w:i w:val="0"/>
      <w:iCs w:val="0"/>
      <w:strike w:val="0"/>
      <w:color w:val="000080"/>
      <w:sz w:val="22"/>
      <w:szCs w:val="22"/>
      <w:u w:val="none"/>
    </w:rPr>
  </w:style>
  <w:style w:type="paragraph" w:styleId="TOCHeading">
    <w:name w:val="TOC Heading"/>
    <w:basedOn w:val="Heading1"/>
    <w:next w:val="Normal"/>
    <w:uiPriority w:val="39"/>
    <w:semiHidden/>
    <w:unhideWhenUsed/>
    <w:qFormat/>
    <w:rsid w:val="007427AE"/>
    <w:pPr>
      <w:keepLines/>
      <w:numPr>
        <w:numId w:val="0"/>
      </w:numPr>
      <w:spacing w:before="480" w:after="0" w:line="276" w:lineRule="auto"/>
      <w:outlineLvl w:val="9"/>
    </w:pPr>
    <w:rPr>
      <w:rFonts w:ascii="Cambria" w:eastAsia="MS Gothic" w:hAnsi="Cambria"/>
      <w:b/>
      <w:bCs/>
      <w:color w:val="365F91"/>
      <w:kern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32D"/>
    <w:rPr>
      <w:szCs w:val="24"/>
      <w:lang w:val="en-AU" w:eastAsia="en-AU"/>
    </w:rPr>
  </w:style>
  <w:style w:type="paragraph" w:styleId="Heading1">
    <w:name w:val="heading 1"/>
    <w:basedOn w:val="Normal"/>
    <w:next w:val="BodyText"/>
    <w:qFormat/>
    <w:rsid w:val="00A612FF"/>
    <w:pPr>
      <w:keepNext/>
      <w:numPr>
        <w:numId w:val="7"/>
      </w:numPr>
      <w:spacing w:before="460" w:after="100" w:line="320" w:lineRule="atLeast"/>
      <w:ind w:left="0"/>
      <w:outlineLvl w:val="0"/>
    </w:pPr>
    <w:rPr>
      <w:rFonts w:ascii="Franklin Gothic Demi" w:hAnsi="Franklin Gothic Demi"/>
      <w:color w:val="AD495D"/>
      <w:kern w:val="28"/>
      <w:sz w:val="28"/>
      <w:szCs w:val="28"/>
    </w:rPr>
  </w:style>
  <w:style w:type="paragraph" w:styleId="Heading2">
    <w:name w:val="heading 2"/>
    <w:basedOn w:val="Heading1"/>
    <w:next w:val="BodyText"/>
    <w:qFormat/>
    <w:rsid w:val="00A66E8A"/>
    <w:pPr>
      <w:numPr>
        <w:ilvl w:val="1"/>
      </w:numPr>
      <w:spacing w:before="380" w:after="0" w:line="280" w:lineRule="atLeast"/>
      <w:ind w:left="0"/>
      <w:outlineLvl w:val="1"/>
    </w:pPr>
    <w:rPr>
      <w:rFonts w:ascii="Franklin Gothic Medium" w:hAnsi="Franklin Gothic Medium"/>
      <w:color w:val="5A9A98"/>
      <w:sz w:val="24"/>
      <w:szCs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0F705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0F705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FootnoteTextChar">
    <w:name w:val="Footnote Text Char"/>
    <w:link w:val="FootnoteText"/>
    <w:locked/>
    <w:rsid w:val="00F62C71"/>
    <w:rPr>
      <w:rFonts w:ascii="Franklin Gothic Book" w:hAnsi="Franklin Gothic Book"/>
      <w:sz w:val="14"/>
      <w:szCs w:val="14"/>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CharChar9">
    <w:name w:val=" Char Char9"/>
    <w:locked/>
    <w:rsid w:val="003675D9"/>
    <w:rPr>
      <w:rFonts w:ascii="Georgia" w:hAnsi="Georgia"/>
      <w:sz w:val="19"/>
      <w:szCs w:val="19"/>
      <w:lang w:val="en-AU" w:eastAsia="en-AU" w:bidi="ar-SA"/>
    </w:rPr>
  </w:style>
  <w:style w:type="character" w:customStyle="1" w:styleId="CommentTextChar">
    <w:name w:val="Comment Text Char"/>
    <w:link w:val="CommentText"/>
    <w:semiHidden/>
    <w:rsid w:val="003675D9"/>
    <w:rPr>
      <w:rFonts w:ascii="Calibri" w:hAnsi="Calibri"/>
      <w:sz w:val="18"/>
      <w:szCs w:val="18"/>
      <w:lang w:val="en-AU" w:eastAsia="en-AU" w:bidi="ar-SA"/>
    </w:rPr>
  </w:style>
  <w:style w:type="paragraph" w:styleId="NormalWeb">
    <w:name w:val="Normal (Web)"/>
    <w:basedOn w:val="Normal"/>
    <w:rsid w:val="005155D8"/>
    <w:pPr>
      <w:spacing w:before="100" w:beforeAutospacing="1" w:after="100" w:afterAutospacing="1"/>
    </w:pPr>
    <w:rPr>
      <w:sz w:val="24"/>
    </w:rPr>
  </w:style>
  <w:style w:type="character" w:customStyle="1" w:styleId="TraceyMcMartin">
    <w:name w:val="Tracey McMartin"/>
    <w:semiHidden/>
    <w:rsid w:val="00BA3E6E"/>
    <w:rPr>
      <w:rFonts w:ascii="Calibri" w:hAnsi="Calibri"/>
      <w:b w:val="0"/>
      <w:bCs w:val="0"/>
      <w:i w:val="0"/>
      <w:iCs w:val="0"/>
      <w:strike w:val="0"/>
      <w:color w:val="000080"/>
      <w:sz w:val="22"/>
      <w:szCs w:val="22"/>
      <w:u w:val="none"/>
    </w:rPr>
  </w:style>
  <w:style w:type="paragraph" w:styleId="TOCHeading">
    <w:name w:val="TOC Heading"/>
    <w:basedOn w:val="Heading1"/>
    <w:next w:val="Normal"/>
    <w:uiPriority w:val="39"/>
    <w:semiHidden/>
    <w:unhideWhenUsed/>
    <w:qFormat/>
    <w:rsid w:val="007427AE"/>
    <w:pPr>
      <w:keepLines/>
      <w:numPr>
        <w:numId w:val="0"/>
      </w:numPr>
      <w:spacing w:before="480" w:after="0" w:line="276" w:lineRule="auto"/>
      <w:outlineLvl w:val="9"/>
    </w:pPr>
    <w:rPr>
      <w:rFonts w:ascii="Cambria" w:eastAsia="MS Gothic" w:hAnsi="Cambria"/>
      <w:b/>
      <w:bCs/>
      <w:color w:val="365F91"/>
      <w:kern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3432">
      <w:bodyDiv w:val="1"/>
      <w:marLeft w:val="0"/>
      <w:marRight w:val="0"/>
      <w:marTop w:val="0"/>
      <w:marBottom w:val="0"/>
      <w:divBdr>
        <w:top w:val="none" w:sz="0" w:space="0" w:color="auto"/>
        <w:left w:val="none" w:sz="0" w:space="0" w:color="auto"/>
        <w:bottom w:val="none" w:sz="0" w:space="0" w:color="auto"/>
        <w:right w:val="none" w:sz="0" w:space="0" w:color="auto"/>
      </w:divBdr>
      <w:divsChild>
        <w:div w:id="695540184">
          <w:marLeft w:val="0"/>
          <w:marRight w:val="0"/>
          <w:marTop w:val="0"/>
          <w:marBottom w:val="0"/>
          <w:divBdr>
            <w:top w:val="none" w:sz="0" w:space="0" w:color="auto"/>
            <w:left w:val="none" w:sz="0" w:space="0" w:color="auto"/>
            <w:bottom w:val="none" w:sz="0" w:space="0" w:color="auto"/>
            <w:right w:val="none" w:sz="0" w:space="0" w:color="auto"/>
          </w:divBdr>
        </w:div>
      </w:divsChild>
    </w:div>
    <w:div w:id="119034273">
      <w:bodyDiv w:val="1"/>
      <w:marLeft w:val="0"/>
      <w:marRight w:val="0"/>
      <w:marTop w:val="0"/>
      <w:marBottom w:val="0"/>
      <w:divBdr>
        <w:top w:val="none" w:sz="0" w:space="0" w:color="auto"/>
        <w:left w:val="none" w:sz="0" w:space="0" w:color="auto"/>
        <w:bottom w:val="none" w:sz="0" w:space="0" w:color="auto"/>
        <w:right w:val="none" w:sz="0" w:space="0" w:color="auto"/>
      </w:divBdr>
      <w:divsChild>
        <w:div w:id="666980147">
          <w:marLeft w:val="0"/>
          <w:marRight w:val="0"/>
          <w:marTop w:val="0"/>
          <w:marBottom w:val="0"/>
          <w:divBdr>
            <w:top w:val="none" w:sz="0" w:space="0" w:color="auto"/>
            <w:left w:val="none" w:sz="0" w:space="0" w:color="auto"/>
            <w:bottom w:val="none" w:sz="0" w:space="0" w:color="auto"/>
            <w:right w:val="none" w:sz="0" w:space="0" w:color="auto"/>
          </w:divBdr>
          <w:divsChild>
            <w:div w:id="1968849088">
              <w:marLeft w:val="0"/>
              <w:marRight w:val="0"/>
              <w:marTop w:val="0"/>
              <w:marBottom w:val="0"/>
              <w:divBdr>
                <w:top w:val="none" w:sz="0" w:space="0" w:color="auto"/>
                <w:left w:val="none" w:sz="0" w:space="0" w:color="auto"/>
                <w:bottom w:val="none" w:sz="0" w:space="0" w:color="auto"/>
                <w:right w:val="none" w:sz="0" w:space="0" w:color="auto"/>
              </w:divBdr>
              <w:divsChild>
                <w:div w:id="692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ata.worldbank.org/indicator/NY.GNP.PCAP.PP.CD"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Political_corruption" TargetMode="External"/><Relationship Id="rId2" Type="http://schemas.openxmlformats.org/officeDocument/2006/relationships/hyperlink" Target="http://en.wikipedia.org/wiki/Corporate_crime" TargetMode="External"/><Relationship Id="rId1" Type="http://schemas.openxmlformats.org/officeDocument/2006/relationships/hyperlink" Target="http://en.wikipedia.org/wiki/Non-governmental_organiz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APPR%20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B01E23-FD24-4EC0-98B0-78F34622DF15}"/>
</file>

<file path=customXml/itemProps2.xml><?xml version="1.0" encoding="utf-8"?>
<ds:datastoreItem xmlns:ds="http://schemas.openxmlformats.org/officeDocument/2006/customXml" ds:itemID="{6FED4469-89C7-47F1-9A3A-5B0A8F2AB664}"/>
</file>

<file path=customXml/itemProps3.xml><?xml version="1.0" encoding="utf-8"?>
<ds:datastoreItem xmlns:ds="http://schemas.openxmlformats.org/officeDocument/2006/customXml" ds:itemID="{F8A04B0B-85AC-4E92-83B0-5F7E2D3E0490}"/>
</file>

<file path=customXml/itemProps4.xml><?xml version="1.0" encoding="utf-8"?>
<ds:datastoreItem xmlns:ds="http://schemas.openxmlformats.org/officeDocument/2006/customXml" ds:itemID="{CDA822AF-B8F3-4211-8D11-5857F34ED543}"/>
</file>

<file path=customXml/itemProps5.xml><?xml version="1.0" encoding="utf-8"?>
<ds:datastoreItem xmlns:ds="http://schemas.openxmlformats.org/officeDocument/2006/customXml" ds:itemID="{A8D674BB-C729-403E-985A-461AB1342A78}"/>
</file>

<file path=docProps/app.xml><?xml version="1.0" encoding="utf-8"?>
<Properties xmlns="http://schemas.openxmlformats.org/officeDocument/2006/extended-properties" xmlns:vt="http://schemas.openxmlformats.org/officeDocument/2006/docPropsVTypes">
  <Template>APPR 2009.dot</Template>
  <TotalTime>2</TotalTime>
  <Pages>14</Pages>
  <Words>5969</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APPR 2009</vt:lpstr>
    </vt:vector>
  </TitlesOfParts>
  <Company/>
  <LinksUpToDate>false</LinksUpToDate>
  <CharactersWithSpaces>39914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2009</dc:title>
  <dc:creator>AusAID</dc:creator>
  <cp:lastModifiedBy>Muhammad Khattab</cp:lastModifiedBy>
  <cp:revision>3</cp:revision>
  <cp:lastPrinted>2011-01-18T06:39:00Z</cp:lastPrinted>
  <dcterms:created xsi:type="dcterms:W3CDTF">2013-07-04T10:13:00Z</dcterms:created>
  <dcterms:modified xsi:type="dcterms:W3CDTF">2013-07-04T10:15:00Z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112400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