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styles.xml" ContentType="application/vnd.openxmlformats-officedocument.wordprocessingml.style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6157" w:rsidRPr="00E77D0C" w:rsidRDefault="004F457D">
      <w:pPr>
        <w:pStyle w:val="Title"/>
        <w:tabs>
          <w:tab w:val="right" w:pos="7938"/>
        </w:tabs>
      </w:pPr>
      <w:r>
        <w:rPr>
          <w:noProof/>
          <w:lang w:val="en-US" w:eastAsia="en-US"/>
        </w:rPr>
        <w:drawing>
          <wp:anchor distT="0" distB="0" distL="114300" distR="114300" simplePos="0" relativeHeight="251657728" behindDoc="1" locked="0" layoutInCell="1" allowOverlap="1">
            <wp:simplePos x="0" y="0"/>
            <wp:positionH relativeFrom="page">
              <wp:posOffset>0</wp:posOffset>
            </wp:positionH>
            <wp:positionV relativeFrom="page">
              <wp:posOffset>0</wp:posOffset>
            </wp:positionV>
            <wp:extent cx="7560310" cy="3024505"/>
            <wp:effectExtent l="0" t="0" r="2540" b="4445"/>
            <wp:wrapNone/>
            <wp:docPr id="12" name="Picture 3" descr="Australian Government AusAI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ustralian Government AusAID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60310" cy="3024505"/>
                    </a:xfrm>
                    <a:prstGeom prst="rect">
                      <a:avLst/>
                    </a:prstGeom>
                    <a:noFill/>
                    <a:ln>
                      <a:noFill/>
                    </a:ln>
                  </pic:spPr>
                </pic:pic>
              </a:graphicData>
            </a:graphic>
            <wp14:sizeRelH relativeFrom="page">
              <wp14:pctWidth>0</wp14:pctWidth>
            </wp14:sizeRelH>
            <wp14:sizeRelV relativeFrom="page">
              <wp14:pctHeight>0</wp14:pctHeight>
            </wp14:sizeRelV>
          </wp:anchor>
        </w:drawing>
      </w:r>
      <w:smartTag w:uri="urn:schemas-microsoft-com:office:smarttags" w:element="country-region">
        <w:smartTag w:uri="urn:schemas-microsoft-com:office:smarttags" w:element="place">
          <w:r w:rsidR="000D7A85">
            <w:t>Kiribati</w:t>
          </w:r>
        </w:smartTag>
      </w:smartTag>
      <w:r w:rsidR="000D7A85">
        <w:t xml:space="preserve"> Partnership Report 2009</w:t>
      </w:r>
    </w:p>
    <w:p w:rsidR="009D5229" w:rsidRDefault="00A65DCA" w:rsidP="009D5229">
      <w:pPr>
        <w:pStyle w:val="Date"/>
      </w:pPr>
      <w:r>
        <w:t>August 2010</w:t>
      </w:r>
    </w:p>
    <w:p w:rsidR="006F1248" w:rsidRDefault="005A517D" w:rsidP="009D5229">
      <w:pPr>
        <w:pStyle w:val="Date"/>
      </w:pPr>
      <w:r>
        <w:t xml:space="preserve"> </w:t>
      </w:r>
    </w:p>
    <w:p w:rsidR="007E749A" w:rsidRDefault="007E749A">
      <w:pPr>
        <w:pStyle w:val="TOCHeading"/>
      </w:pPr>
      <w:r>
        <w:t>Contents</w:t>
      </w:r>
    </w:p>
    <w:p w:rsidR="007E749A" w:rsidRDefault="007E749A">
      <w:pPr>
        <w:pStyle w:val="TOC1"/>
        <w:rPr>
          <w:rFonts w:ascii="Calibri" w:hAnsi="Calibri" w:cs="Arial"/>
          <w:noProof/>
          <w:color w:val="auto"/>
          <w:sz w:val="22"/>
          <w:szCs w:val="22"/>
          <w:lang w:val="en-US" w:eastAsia="en-US"/>
        </w:rPr>
      </w:pPr>
      <w:r>
        <w:fldChar w:fldCharType="begin"/>
      </w:r>
      <w:r>
        <w:instrText xml:space="preserve"> TOC \o "1-3" \h \z \u </w:instrText>
      </w:r>
      <w:r>
        <w:fldChar w:fldCharType="separate"/>
      </w:r>
      <w:hyperlink w:anchor="_Toc360718760" w:history="1">
        <w:r w:rsidRPr="002C536F">
          <w:rPr>
            <w:rStyle w:val="Hyperlink"/>
            <w:noProof/>
          </w:rPr>
          <w:t>Context</w:t>
        </w:r>
        <w:r>
          <w:rPr>
            <w:noProof/>
            <w:webHidden/>
          </w:rPr>
          <w:tab/>
        </w:r>
        <w:r>
          <w:rPr>
            <w:noProof/>
            <w:webHidden/>
          </w:rPr>
          <w:fldChar w:fldCharType="begin"/>
        </w:r>
        <w:r>
          <w:rPr>
            <w:noProof/>
            <w:webHidden/>
          </w:rPr>
          <w:instrText xml:space="preserve"> PAGEREF _Toc360718760 \h </w:instrText>
        </w:r>
        <w:r>
          <w:rPr>
            <w:noProof/>
            <w:webHidden/>
          </w:rPr>
        </w:r>
        <w:r>
          <w:rPr>
            <w:noProof/>
            <w:webHidden/>
          </w:rPr>
          <w:fldChar w:fldCharType="separate"/>
        </w:r>
        <w:r>
          <w:rPr>
            <w:noProof/>
            <w:webHidden/>
          </w:rPr>
          <w:t>1</w:t>
        </w:r>
        <w:r>
          <w:rPr>
            <w:noProof/>
            <w:webHidden/>
          </w:rPr>
          <w:fldChar w:fldCharType="end"/>
        </w:r>
      </w:hyperlink>
    </w:p>
    <w:p w:rsidR="007E749A" w:rsidRDefault="007E749A">
      <w:pPr>
        <w:pStyle w:val="TOC2"/>
        <w:rPr>
          <w:rFonts w:ascii="Calibri" w:hAnsi="Calibri" w:cs="Arial"/>
          <w:noProof/>
          <w:color w:val="auto"/>
          <w:sz w:val="22"/>
          <w:szCs w:val="22"/>
          <w:lang w:val="en-US" w:eastAsia="en-US"/>
        </w:rPr>
      </w:pPr>
      <w:hyperlink w:anchor="_Toc360718761" w:history="1">
        <w:r w:rsidRPr="002C536F">
          <w:rPr>
            <w:rStyle w:val="Hyperlink"/>
            <w:noProof/>
          </w:rPr>
          <w:t>Social vulne</w:t>
        </w:r>
        <w:r w:rsidRPr="002C536F">
          <w:rPr>
            <w:rStyle w:val="Hyperlink"/>
            <w:noProof/>
          </w:rPr>
          <w:t>r</w:t>
        </w:r>
        <w:r w:rsidRPr="002C536F">
          <w:rPr>
            <w:rStyle w:val="Hyperlink"/>
            <w:noProof/>
          </w:rPr>
          <w:t>abilities</w:t>
        </w:r>
        <w:r>
          <w:rPr>
            <w:noProof/>
            <w:webHidden/>
          </w:rPr>
          <w:tab/>
        </w:r>
        <w:r>
          <w:rPr>
            <w:noProof/>
            <w:webHidden/>
          </w:rPr>
          <w:fldChar w:fldCharType="begin"/>
        </w:r>
        <w:r>
          <w:rPr>
            <w:noProof/>
            <w:webHidden/>
          </w:rPr>
          <w:instrText xml:space="preserve"> PAGEREF _Toc360718761 \h </w:instrText>
        </w:r>
        <w:r>
          <w:rPr>
            <w:noProof/>
            <w:webHidden/>
          </w:rPr>
        </w:r>
        <w:r>
          <w:rPr>
            <w:noProof/>
            <w:webHidden/>
          </w:rPr>
          <w:fldChar w:fldCharType="separate"/>
        </w:r>
        <w:r>
          <w:rPr>
            <w:noProof/>
            <w:webHidden/>
          </w:rPr>
          <w:t>1</w:t>
        </w:r>
        <w:r>
          <w:rPr>
            <w:noProof/>
            <w:webHidden/>
          </w:rPr>
          <w:fldChar w:fldCharType="end"/>
        </w:r>
      </w:hyperlink>
    </w:p>
    <w:p w:rsidR="007E749A" w:rsidRDefault="007E749A">
      <w:pPr>
        <w:pStyle w:val="TOC2"/>
        <w:rPr>
          <w:rFonts w:ascii="Calibri" w:hAnsi="Calibri" w:cs="Arial"/>
          <w:noProof/>
          <w:color w:val="auto"/>
          <w:sz w:val="22"/>
          <w:szCs w:val="22"/>
          <w:lang w:val="en-US" w:eastAsia="en-US"/>
        </w:rPr>
      </w:pPr>
      <w:hyperlink w:anchor="_Toc360718762" w:history="1">
        <w:r w:rsidRPr="002C536F">
          <w:rPr>
            <w:rStyle w:val="Hyperlink"/>
            <w:noProof/>
          </w:rPr>
          <w:t>Environmental vulnerabilities</w:t>
        </w:r>
        <w:r>
          <w:rPr>
            <w:noProof/>
            <w:webHidden/>
          </w:rPr>
          <w:tab/>
        </w:r>
        <w:r>
          <w:rPr>
            <w:noProof/>
            <w:webHidden/>
          </w:rPr>
          <w:fldChar w:fldCharType="begin"/>
        </w:r>
        <w:r>
          <w:rPr>
            <w:noProof/>
            <w:webHidden/>
          </w:rPr>
          <w:instrText xml:space="preserve"> PAGEREF _Toc360718762 \h </w:instrText>
        </w:r>
        <w:r>
          <w:rPr>
            <w:noProof/>
            <w:webHidden/>
          </w:rPr>
        </w:r>
        <w:r>
          <w:rPr>
            <w:noProof/>
            <w:webHidden/>
          </w:rPr>
          <w:fldChar w:fldCharType="separate"/>
        </w:r>
        <w:r>
          <w:rPr>
            <w:noProof/>
            <w:webHidden/>
          </w:rPr>
          <w:t>2</w:t>
        </w:r>
        <w:r>
          <w:rPr>
            <w:noProof/>
            <w:webHidden/>
          </w:rPr>
          <w:fldChar w:fldCharType="end"/>
        </w:r>
      </w:hyperlink>
    </w:p>
    <w:p w:rsidR="007E749A" w:rsidRDefault="007E749A">
      <w:pPr>
        <w:pStyle w:val="TOC2"/>
        <w:rPr>
          <w:rFonts w:ascii="Calibri" w:hAnsi="Calibri" w:cs="Arial"/>
          <w:noProof/>
          <w:color w:val="auto"/>
          <w:sz w:val="22"/>
          <w:szCs w:val="22"/>
          <w:lang w:val="en-US" w:eastAsia="en-US"/>
        </w:rPr>
      </w:pPr>
      <w:hyperlink w:anchor="_Toc360718763" w:history="1">
        <w:r w:rsidRPr="002C536F">
          <w:rPr>
            <w:rStyle w:val="Hyperlink"/>
            <w:noProof/>
          </w:rPr>
          <w:t>Economic vulnerabilities</w:t>
        </w:r>
        <w:r>
          <w:rPr>
            <w:noProof/>
            <w:webHidden/>
          </w:rPr>
          <w:tab/>
        </w:r>
        <w:r>
          <w:rPr>
            <w:noProof/>
            <w:webHidden/>
          </w:rPr>
          <w:fldChar w:fldCharType="begin"/>
        </w:r>
        <w:r>
          <w:rPr>
            <w:noProof/>
            <w:webHidden/>
          </w:rPr>
          <w:instrText xml:space="preserve"> PAGEREF _Toc360718763 \h </w:instrText>
        </w:r>
        <w:r>
          <w:rPr>
            <w:noProof/>
            <w:webHidden/>
          </w:rPr>
        </w:r>
        <w:r>
          <w:rPr>
            <w:noProof/>
            <w:webHidden/>
          </w:rPr>
          <w:fldChar w:fldCharType="separate"/>
        </w:r>
        <w:r>
          <w:rPr>
            <w:noProof/>
            <w:webHidden/>
          </w:rPr>
          <w:t>2</w:t>
        </w:r>
        <w:r>
          <w:rPr>
            <w:noProof/>
            <w:webHidden/>
          </w:rPr>
          <w:fldChar w:fldCharType="end"/>
        </w:r>
      </w:hyperlink>
    </w:p>
    <w:p w:rsidR="007E749A" w:rsidRDefault="007E749A">
      <w:pPr>
        <w:pStyle w:val="TOC2"/>
        <w:rPr>
          <w:rFonts w:ascii="Calibri" w:hAnsi="Calibri" w:cs="Arial"/>
          <w:noProof/>
          <w:color w:val="auto"/>
          <w:sz w:val="22"/>
          <w:szCs w:val="22"/>
          <w:lang w:val="en-US" w:eastAsia="en-US"/>
        </w:rPr>
      </w:pPr>
      <w:hyperlink w:anchor="_Toc360718764" w:history="1">
        <w:r w:rsidRPr="002C536F">
          <w:rPr>
            <w:rStyle w:val="Hyperlink"/>
            <w:noProof/>
          </w:rPr>
          <w:t>Public sector constraints</w:t>
        </w:r>
        <w:r>
          <w:rPr>
            <w:noProof/>
            <w:webHidden/>
          </w:rPr>
          <w:tab/>
        </w:r>
        <w:r>
          <w:rPr>
            <w:noProof/>
            <w:webHidden/>
          </w:rPr>
          <w:fldChar w:fldCharType="begin"/>
        </w:r>
        <w:r>
          <w:rPr>
            <w:noProof/>
            <w:webHidden/>
          </w:rPr>
          <w:instrText xml:space="preserve"> PAGEREF _Toc360718764 \h </w:instrText>
        </w:r>
        <w:r>
          <w:rPr>
            <w:noProof/>
            <w:webHidden/>
          </w:rPr>
        </w:r>
        <w:r>
          <w:rPr>
            <w:noProof/>
            <w:webHidden/>
          </w:rPr>
          <w:fldChar w:fldCharType="separate"/>
        </w:r>
        <w:r>
          <w:rPr>
            <w:noProof/>
            <w:webHidden/>
          </w:rPr>
          <w:t>2</w:t>
        </w:r>
        <w:r>
          <w:rPr>
            <w:noProof/>
            <w:webHidden/>
          </w:rPr>
          <w:fldChar w:fldCharType="end"/>
        </w:r>
      </w:hyperlink>
    </w:p>
    <w:p w:rsidR="007E749A" w:rsidRDefault="007E749A">
      <w:pPr>
        <w:pStyle w:val="TOC2"/>
        <w:rPr>
          <w:rFonts w:ascii="Calibri" w:hAnsi="Calibri" w:cs="Arial"/>
          <w:noProof/>
          <w:color w:val="auto"/>
          <w:sz w:val="22"/>
          <w:szCs w:val="22"/>
          <w:lang w:val="en-US" w:eastAsia="en-US"/>
        </w:rPr>
      </w:pPr>
      <w:hyperlink w:anchor="_Toc360718765" w:history="1">
        <w:r w:rsidRPr="002C536F">
          <w:rPr>
            <w:rStyle w:val="Hyperlink"/>
            <w:noProof/>
          </w:rPr>
          <w:t>Education constraints</w:t>
        </w:r>
        <w:r>
          <w:rPr>
            <w:noProof/>
            <w:webHidden/>
          </w:rPr>
          <w:tab/>
        </w:r>
        <w:r>
          <w:rPr>
            <w:noProof/>
            <w:webHidden/>
          </w:rPr>
          <w:fldChar w:fldCharType="begin"/>
        </w:r>
        <w:r>
          <w:rPr>
            <w:noProof/>
            <w:webHidden/>
          </w:rPr>
          <w:instrText xml:space="preserve"> PAGEREF _Toc360718765 \h </w:instrText>
        </w:r>
        <w:r>
          <w:rPr>
            <w:noProof/>
            <w:webHidden/>
          </w:rPr>
        </w:r>
        <w:r>
          <w:rPr>
            <w:noProof/>
            <w:webHidden/>
          </w:rPr>
          <w:fldChar w:fldCharType="separate"/>
        </w:r>
        <w:r>
          <w:rPr>
            <w:noProof/>
            <w:webHidden/>
          </w:rPr>
          <w:t>2</w:t>
        </w:r>
        <w:r>
          <w:rPr>
            <w:noProof/>
            <w:webHidden/>
          </w:rPr>
          <w:fldChar w:fldCharType="end"/>
        </w:r>
      </w:hyperlink>
    </w:p>
    <w:p w:rsidR="007E749A" w:rsidRDefault="007E749A">
      <w:pPr>
        <w:pStyle w:val="TOC2"/>
        <w:rPr>
          <w:rFonts w:ascii="Calibri" w:hAnsi="Calibri" w:cs="Arial"/>
          <w:noProof/>
          <w:color w:val="auto"/>
          <w:sz w:val="22"/>
          <w:szCs w:val="22"/>
          <w:lang w:val="en-US" w:eastAsia="en-US"/>
        </w:rPr>
      </w:pPr>
      <w:hyperlink w:anchor="_Toc360718766" w:history="1">
        <w:r w:rsidRPr="002C536F">
          <w:rPr>
            <w:rStyle w:val="Hyperlink"/>
            <w:noProof/>
          </w:rPr>
          <w:t>Progress on the Millennium Development Goals</w:t>
        </w:r>
        <w:r>
          <w:rPr>
            <w:noProof/>
            <w:webHidden/>
          </w:rPr>
          <w:tab/>
        </w:r>
        <w:r>
          <w:rPr>
            <w:noProof/>
            <w:webHidden/>
          </w:rPr>
          <w:fldChar w:fldCharType="begin"/>
        </w:r>
        <w:r>
          <w:rPr>
            <w:noProof/>
            <w:webHidden/>
          </w:rPr>
          <w:instrText xml:space="preserve"> PAGEREF _Toc360718766 \h </w:instrText>
        </w:r>
        <w:r>
          <w:rPr>
            <w:noProof/>
            <w:webHidden/>
          </w:rPr>
        </w:r>
        <w:r>
          <w:rPr>
            <w:noProof/>
            <w:webHidden/>
          </w:rPr>
          <w:fldChar w:fldCharType="separate"/>
        </w:r>
        <w:r>
          <w:rPr>
            <w:noProof/>
            <w:webHidden/>
          </w:rPr>
          <w:t>3</w:t>
        </w:r>
        <w:r>
          <w:rPr>
            <w:noProof/>
            <w:webHidden/>
          </w:rPr>
          <w:fldChar w:fldCharType="end"/>
        </w:r>
      </w:hyperlink>
    </w:p>
    <w:p w:rsidR="007E749A" w:rsidRDefault="007E749A">
      <w:pPr>
        <w:pStyle w:val="TOC2"/>
        <w:rPr>
          <w:rFonts w:ascii="Calibri" w:hAnsi="Calibri" w:cs="Arial"/>
          <w:noProof/>
          <w:color w:val="auto"/>
          <w:sz w:val="22"/>
          <w:szCs w:val="22"/>
          <w:lang w:val="en-US" w:eastAsia="en-US"/>
        </w:rPr>
      </w:pPr>
      <w:hyperlink w:anchor="_Toc360718767" w:history="1">
        <w:r w:rsidRPr="002C536F">
          <w:rPr>
            <w:rStyle w:val="Hyperlink"/>
            <w:noProof/>
          </w:rPr>
          <w:t>Development environment</w:t>
        </w:r>
        <w:r>
          <w:rPr>
            <w:noProof/>
            <w:webHidden/>
          </w:rPr>
          <w:tab/>
        </w:r>
        <w:r>
          <w:rPr>
            <w:noProof/>
            <w:webHidden/>
          </w:rPr>
          <w:fldChar w:fldCharType="begin"/>
        </w:r>
        <w:r>
          <w:rPr>
            <w:noProof/>
            <w:webHidden/>
          </w:rPr>
          <w:instrText xml:space="preserve"> PAGEREF _Toc360718767 \h </w:instrText>
        </w:r>
        <w:r>
          <w:rPr>
            <w:noProof/>
            <w:webHidden/>
          </w:rPr>
        </w:r>
        <w:r>
          <w:rPr>
            <w:noProof/>
            <w:webHidden/>
          </w:rPr>
          <w:fldChar w:fldCharType="separate"/>
        </w:r>
        <w:r>
          <w:rPr>
            <w:noProof/>
            <w:webHidden/>
          </w:rPr>
          <w:t>3</w:t>
        </w:r>
        <w:r>
          <w:rPr>
            <w:noProof/>
            <w:webHidden/>
          </w:rPr>
          <w:fldChar w:fldCharType="end"/>
        </w:r>
      </w:hyperlink>
    </w:p>
    <w:p w:rsidR="007E749A" w:rsidRDefault="007E749A">
      <w:pPr>
        <w:pStyle w:val="TOC1"/>
        <w:rPr>
          <w:rFonts w:ascii="Calibri" w:hAnsi="Calibri" w:cs="Arial"/>
          <w:noProof/>
          <w:color w:val="auto"/>
          <w:sz w:val="22"/>
          <w:szCs w:val="22"/>
          <w:lang w:val="en-US" w:eastAsia="en-US"/>
        </w:rPr>
      </w:pPr>
      <w:hyperlink w:anchor="_Toc360718768" w:history="1">
        <w:r w:rsidRPr="002C536F">
          <w:rPr>
            <w:rStyle w:val="Hyperlink"/>
            <w:noProof/>
          </w:rPr>
          <w:t>Results of the Kiribati program</w:t>
        </w:r>
        <w:r>
          <w:rPr>
            <w:noProof/>
            <w:webHidden/>
          </w:rPr>
          <w:tab/>
        </w:r>
        <w:r>
          <w:rPr>
            <w:noProof/>
            <w:webHidden/>
          </w:rPr>
          <w:fldChar w:fldCharType="begin"/>
        </w:r>
        <w:r>
          <w:rPr>
            <w:noProof/>
            <w:webHidden/>
          </w:rPr>
          <w:instrText xml:space="preserve"> PAGEREF _Toc360718768 \h </w:instrText>
        </w:r>
        <w:r>
          <w:rPr>
            <w:noProof/>
            <w:webHidden/>
          </w:rPr>
        </w:r>
        <w:r>
          <w:rPr>
            <w:noProof/>
            <w:webHidden/>
          </w:rPr>
          <w:fldChar w:fldCharType="separate"/>
        </w:r>
        <w:r>
          <w:rPr>
            <w:noProof/>
            <w:webHidden/>
          </w:rPr>
          <w:t>3</w:t>
        </w:r>
        <w:r>
          <w:rPr>
            <w:noProof/>
            <w:webHidden/>
          </w:rPr>
          <w:fldChar w:fldCharType="end"/>
        </w:r>
      </w:hyperlink>
    </w:p>
    <w:p w:rsidR="007E749A" w:rsidRDefault="007E749A">
      <w:pPr>
        <w:pStyle w:val="TOC2"/>
        <w:rPr>
          <w:rFonts w:ascii="Calibri" w:hAnsi="Calibri" w:cs="Arial"/>
          <w:noProof/>
          <w:color w:val="auto"/>
          <w:sz w:val="22"/>
          <w:szCs w:val="22"/>
          <w:lang w:val="en-US" w:eastAsia="en-US"/>
        </w:rPr>
      </w:pPr>
      <w:hyperlink w:anchor="_Toc360718769" w:history="1">
        <w:r w:rsidRPr="002C536F">
          <w:rPr>
            <w:rStyle w:val="Hyperlink"/>
            <w:noProof/>
          </w:rPr>
          <w:t>Overall progress</w:t>
        </w:r>
        <w:r>
          <w:rPr>
            <w:noProof/>
            <w:webHidden/>
          </w:rPr>
          <w:tab/>
        </w:r>
        <w:r>
          <w:rPr>
            <w:noProof/>
            <w:webHidden/>
          </w:rPr>
          <w:fldChar w:fldCharType="begin"/>
        </w:r>
        <w:r>
          <w:rPr>
            <w:noProof/>
            <w:webHidden/>
          </w:rPr>
          <w:instrText xml:space="preserve"> PAGEREF _Toc360718769 \h </w:instrText>
        </w:r>
        <w:r>
          <w:rPr>
            <w:noProof/>
            <w:webHidden/>
          </w:rPr>
        </w:r>
        <w:r>
          <w:rPr>
            <w:noProof/>
            <w:webHidden/>
          </w:rPr>
          <w:fldChar w:fldCharType="separate"/>
        </w:r>
        <w:r>
          <w:rPr>
            <w:noProof/>
            <w:webHidden/>
          </w:rPr>
          <w:t>3</w:t>
        </w:r>
        <w:r>
          <w:rPr>
            <w:noProof/>
            <w:webHidden/>
          </w:rPr>
          <w:fldChar w:fldCharType="end"/>
        </w:r>
      </w:hyperlink>
    </w:p>
    <w:p w:rsidR="007E749A" w:rsidRDefault="007E749A">
      <w:pPr>
        <w:pStyle w:val="TOC2"/>
        <w:rPr>
          <w:rFonts w:ascii="Calibri" w:hAnsi="Calibri" w:cs="Arial"/>
          <w:noProof/>
          <w:color w:val="auto"/>
          <w:sz w:val="22"/>
          <w:szCs w:val="22"/>
          <w:lang w:val="en-US" w:eastAsia="en-US"/>
        </w:rPr>
      </w:pPr>
      <w:hyperlink w:anchor="_Toc360718770" w:history="1">
        <w:r w:rsidRPr="002C536F">
          <w:rPr>
            <w:rStyle w:val="Hyperlink"/>
            <w:noProof/>
          </w:rPr>
          <w:t>Key results and successes against priority outcomes</w:t>
        </w:r>
        <w:r>
          <w:rPr>
            <w:noProof/>
            <w:webHidden/>
          </w:rPr>
          <w:tab/>
        </w:r>
        <w:r>
          <w:rPr>
            <w:noProof/>
            <w:webHidden/>
          </w:rPr>
          <w:fldChar w:fldCharType="begin"/>
        </w:r>
        <w:r>
          <w:rPr>
            <w:noProof/>
            <w:webHidden/>
          </w:rPr>
          <w:instrText xml:space="preserve"> PAGEREF _Toc360718770 \h </w:instrText>
        </w:r>
        <w:r>
          <w:rPr>
            <w:noProof/>
            <w:webHidden/>
          </w:rPr>
        </w:r>
        <w:r>
          <w:rPr>
            <w:noProof/>
            <w:webHidden/>
          </w:rPr>
          <w:fldChar w:fldCharType="separate"/>
        </w:r>
        <w:r>
          <w:rPr>
            <w:noProof/>
            <w:webHidden/>
          </w:rPr>
          <w:t>4</w:t>
        </w:r>
        <w:r>
          <w:rPr>
            <w:noProof/>
            <w:webHidden/>
          </w:rPr>
          <w:fldChar w:fldCharType="end"/>
        </w:r>
      </w:hyperlink>
    </w:p>
    <w:p w:rsidR="007E749A" w:rsidRDefault="007E749A">
      <w:pPr>
        <w:pStyle w:val="TOC2"/>
        <w:rPr>
          <w:rFonts w:ascii="Calibri" w:hAnsi="Calibri" w:cs="Arial"/>
          <w:noProof/>
          <w:color w:val="auto"/>
          <w:sz w:val="22"/>
          <w:szCs w:val="22"/>
          <w:lang w:val="en-US" w:eastAsia="en-US"/>
        </w:rPr>
      </w:pPr>
      <w:hyperlink w:anchor="_Toc360718771" w:history="1">
        <w:r w:rsidRPr="002C536F">
          <w:rPr>
            <w:rStyle w:val="Hyperlink"/>
            <w:noProof/>
          </w:rPr>
          <w:t>Priority outcome 1: Basic education</w:t>
        </w:r>
        <w:r>
          <w:rPr>
            <w:noProof/>
            <w:webHidden/>
          </w:rPr>
          <w:tab/>
        </w:r>
        <w:r>
          <w:rPr>
            <w:noProof/>
            <w:webHidden/>
          </w:rPr>
          <w:fldChar w:fldCharType="begin"/>
        </w:r>
        <w:r>
          <w:rPr>
            <w:noProof/>
            <w:webHidden/>
          </w:rPr>
          <w:instrText xml:space="preserve"> PAGEREF _Toc360718771 \h </w:instrText>
        </w:r>
        <w:r>
          <w:rPr>
            <w:noProof/>
            <w:webHidden/>
          </w:rPr>
        </w:r>
        <w:r>
          <w:rPr>
            <w:noProof/>
            <w:webHidden/>
          </w:rPr>
          <w:fldChar w:fldCharType="separate"/>
        </w:r>
        <w:r>
          <w:rPr>
            <w:noProof/>
            <w:webHidden/>
          </w:rPr>
          <w:t>5</w:t>
        </w:r>
        <w:r>
          <w:rPr>
            <w:noProof/>
            <w:webHidden/>
          </w:rPr>
          <w:fldChar w:fldCharType="end"/>
        </w:r>
      </w:hyperlink>
    </w:p>
    <w:p w:rsidR="007E749A" w:rsidRDefault="007E749A">
      <w:pPr>
        <w:pStyle w:val="TOC2"/>
        <w:rPr>
          <w:rFonts w:ascii="Calibri" w:hAnsi="Calibri" w:cs="Arial"/>
          <w:noProof/>
          <w:color w:val="auto"/>
          <w:sz w:val="22"/>
          <w:szCs w:val="22"/>
          <w:lang w:val="en-US" w:eastAsia="en-US"/>
        </w:rPr>
      </w:pPr>
      <w:hyperlink w:anchor="_Toc360718772" w:history="1">
        <w:r w:rsidRPr="002C536F">
          <w:rPr>
            <w:rStyle w:val="Hyperlink"/>
            <w:noProof/>
          </w:rPr>
          <w:t>Priority outcome 2: Workforce skills development</w:t>
        </w:r>
        <w:r>
          <w:rPr>
            <w:noProof/>
            <w:webHidden/>
          </w:rPr>
          <w:tab/>
        </w:r>
        <w:r>
          <w:rPr>
            <w:noProof/>
            <w:webHidden/>
          </w:rPr>
          <w:fldChar w:fldCharType="begin"/>
        </w:r>
        <w:r>
          <w:rPr>
            <w:noProof/>
            <w:webHidden/>
          </w:rPr>
          <w:instrText xml:space="preserve"> PAGEREF _Toc360718772 \h </w:instrText>
        </w:r>
        <w:r>
          <w:rPr>
            <w:noProof/>
            <w:webHidden/>
          </w:rPr>
        </w:r>
        <w:r>
          <w:rPr>
            <w:noProof/>
            <w:webHidden/>
          </w:rPr>
          <w:fldChar w:fldCharType="separate"/>
        </w:r>
        <w:r>
          <w:rPr>
            <w:noProof/>
            <w:webHidden/>
          </w:rPr>
          <w:t>6</w:t>
        </w:r>
        <w:r>
          <w:rPr>
            <w:noProof/>
            <w:webHidden/>
          </w:rPr>
          <w:fldChar w:fldCharType="end"/>
        </w:r>
      </w:hyperlink>
    </w:p>
    <w:p w:rsidR="007E749A" w:rsidRDefault="007E749A">
      <w:pPr>
        <w:pStyle w:val="TOC2"/>
        <w:rPr>
          <w:rFonts w:ascii="Calibri" w:hAnsi="Calibri" w:cs="Arial"/>
          <w:noProof/>
          <w:color w:val="auto"/>
          <w:sz w:val="22"/>
          <w:szCs w:val="22"/>
          <w:lang w:val="en-US" w:eastAsia="en-US"/>
        </w:rPr>
      </w:pPr>
      <w:hyperlink w:anchor="_Toc360718773" w:history="1">
        <w:r w:rsidRPr="002C536F">
          <w:rPr>
            <w:rStyle w:val="Hyperlink"/>
            <w:noProof/>
          </w:rPr>
          <w:t>Priority outcome 3: Growth and economic management</w:t>
        </w:r>
        <w:r>
          <w:rPr>
            <w:noProof/>
            <w:webHidden/>
          </w:rPr>
          <w:tab/>
        </w:r>
        <w:r>
          <w:rPr>
            <w:noProof/>
            <w:webHidden/>
          </w:rPr>
          <w:fldChar w:fldCharType="begin"/>
        </w:r>
        <w:r>
          <w:rPr>
            <w:noProof/>
            <w:webHidden/>
          </w:rPr>
          <w:instrText xml:space="preserve"> PAGEREF _Toc360718773 \h </w:instrText>
        </w:r>
        <w:r>
          <w:rPr>
            <w:noProof/>
            <w:webHidden/>
          </w:rPr>
        </w:r>
        <w:r>
          <w:rPr>
            <w:noProof/>
            <w:webHidden/>
          </w:rPr>
          <w:fldChar w:fldCharType="separate"/>
        </w:r>
        <w:r>
          <w:rPr>
            <w:noProof/>
            <w:webHidden/>
          </w:rPr>
          <w:t>7</w:t>
        </w:r>
        <w:r>
          <w:rPr>
            <w:noProof/>
            <w:webHidden/>
          </w:rPr>
          <w:fldChar w:fldCharType="end"/>
        </w:r>
      </w:hyperlink>
    </w:p>
    <w:p w:rsidR="007E749A" w:rsidRDefault="007E749A">
      <w:pPr>
        <w:pStyle w:val="TOC2"/>
        <w:rPr>
          <w:rFonts w:ascii="Calibri" w:hAnsi="Calibri" w:cs="Arial"/>
          <w:noProof/>
          <w:color w:val="auto"/>
          <w:sz w:val="22"/>
          <w:szCs w:val="22"/>
          <w:lang w:val="en-US" w:eastAsia="en-US"/>
        </w:rPr>
      </w:pPr>
      <w:hyperlink w:anchor="_Toc360718774" w:history="1">
        <w:r w:rsidRPr="002C536F">
          <w:rPr>
            <w:rStyle w:val="Hyperlink"/>
            <w:noProof/>
          </w:rPr>
          <w:t>Priority: Reduced vulnerability</w:t>
        </w:r>
        <w:r>
          <w:rPr>
            <w:noProof/>
            <w:webHidden/>
          </w:rPr>
          <w:tab/>
        </w:r>
        <w:r>
          <w:rPr>
            <w:noProof/>
            <w:webHidden/>
          </w:rPr>
          <w:fldChar w:fldCharType="begin"/>
        </w:r>
        <w:r>
          <w:rPr>
            <w:noProof/>
            <w:webHidden/>
          </w:rPr>
          <w:instrText xml:space="preserve"> PAGEREF _Toc360718774 \h </w:instrText>
        </w:r>
        <w:r>
          <w:rPr>
            <w:noProof/>
            <w:webHidden/>
          </w:rPr>
        </w:r>
        <w:r>
          <w:rPr>
            <w:noProof/>
            <w:webHidden/>
          </w:rPr>
          <w:fldChar w:fldCharType="separate"/>
        </w:r>
        <w:r>
          <w:rPr>
            <w:noProof/>
            <w:webHidden/>
          </w:rPr>
          <w:t>8</w:t>
        </w:r>
        <w:r>
          <w:rPr>
            <w:noProof/>
            <w:webHidden/>
          </w:rPr>
          <w:fldChar w:fldCharType="end"/>
        </w:r>
      </w:hyperlink>
    </w:p>
    <w:p w:rsidR="007E749A" w:rsidRDefault="007E749A">
      <w:pPr>
        <w:pStyle w:val="TOC3"/>
        <w:rPr>
          <w:rFonts w:ascii="Calibri" w:hAnsi="Calibri" w:cs="Arial"/>
          <w:noProof/>
          <w:sz w:val="22"/>
          <w:szCs w:val="22"/>
          <w:lang w:val="en-US" w:eastAsia="en-US"/>
        </w:rPr>
      </w:pPr>
      <w:hyperlink w:anchor="_Toc360718775" w:history="1">
        <w:r w:rsidRPr="002C536F">
          <w:rPr>
            <w:rStyle w:val="Hyperlink"/>
            <w:noProof/>
          </w:rPr>
          <w:t>Hea</w:t>
        </w:r>
        <w:r w:rsidRPr="002C536F">
          <w:rPr>
            <w:rStyle w:val="Hyperlink"/>
            <w:noProof/>
          </w:rPr>
          <w:t>l</w:t>
        </w:r>
        <w:r w:rsidRPr="002C536F">
          <w:rPr>
            <w:rStyle w:val="Hyperlink"/>
            <w:noProof/>
          </w:rPr>
          <w:t>th</w:t>
        </w:r>
        <w:r>
          <w:rPr>
            <w:noProof/>
            <w:webHidden/>
          </w:rPr>
          <w:tab/>
        </w:r>
        <w:r>
          <w:rPr>
            <w:noProof/>
            <w:webHidden/>
          </w:rPr>
          <w:fldChar w:fldCharType="begin"/>
        </w:r>
        <w:r>
          <w:rPr>
            <w:noProof/>
            <w:webHidden/>
          </w:rPr>
          <w:instrText xml:space="preserve"> PAGEREF _Toc360718775 \h </w:instrText>
        </w:r>
        <w:r>
          <w:rPr>
            <w:noProof/>
            <w:webHidden/>
          </w:rPr>
        </w:r>
        <w:r>
          <w:rPr>
            <w:noProof/>
            <w:webHidden/>
          </w:rPr>
          <w:fldChar w:fldCharType="separate"/>
        </w:r>
        <w:r>
          <w:rPr>
            <w:noProof/>
            <w:webHidden/>
          </w:rPr>
          <w:t>8</w:t>
        </w:r>
        <w:r>
          <w:rPr>
            <w:noProof/>
            <w:webHidden/>
          </w:rPr>
          <w:fldChar w:fldCharType="end"/>
        </w:r>
      </w:hyperlink>
    </w:p>
    <w:p w:rsidR="007E749A" w:rsidRDefault="007E749A">
      <w:pPr>
        <w:pStyle w:val="TOC3"/>
        <w:rPr>
          <w:rFonts w:ascii="Calibri" w:hAnsi="Calibri" w:cs="Arial"/>
          <w:noProof/>
          <w:sz w:val="22"/>
          <w:szCs w:val="22"/>
          <w:lang w:val="en-US" w:eastAsia="en-US"/>
        </w:rPr>
      </w:pPr>
      <w:hyperlink w:anchor="_Toc360718776" w:history="1">
        <w:r w:rsidRPr="002C536F">
          <w:rPr>
            <w:rStyle w:val="Hyperlink"/>
            <w:noProof/>
          </w:rPr>
          <w:t>At-risk populations</w:t>
        </w:r>
        <w:r>
          <w:rPr>
            <w:noProof/>
            <w:webHidden/>
          </w:rPr>
          <w:tab/>
        </w:r>
        <w:r>
          <w:rPr>
            <w:noProof/>
            <w:webHidden/>
          </w:rPr>
          <w:fldChar w:fldCharType="begin"/>
        </w:r>
        <w:r>
          <w:rPr>
            <w:noProof/>
            <w:webHidden/>
          </w:rPr>
          <w:instrText xml:space="preserve"> PAGEREF _Toc360718776 \h </w:instrText>
        </w:r>
        <w:r>
          <w:rPr>
            <w:noProof/>
            <w:webHidden/>
          </w:rPr>
        </w:r>
        <w:r>
          <w:rPr>
            <w:noProof/>
            <w:webHidden/>
          </w:rPr>
          <w:fldChar w:fldCharType="separate"/>
        </w:r>
        <w:r>
          <w:rPr>
            <w:noProof/>
            <w:webHidden/>
          </w:rPr>
          <w:t>9</w:t>
        </w:r>
        <w:r>
          <w:rPr>
            <w:noProof/>
            <w:webHidden/>
          </w:rPr>
          <w:fldChar w:fldCharType="end"/>
        </w:r>
      </w:hyperlink>
    </w:p>
    <w:p w:rsidR="007E749A" w:rsidRDefault="007E749A">
      <w:pPr>
        <w:pStyle w:val="TOC3"/>
        <w:rPr>
          <w:rFonts w:ascii="Calibri" w:hAnsi="Calibri" w:cs="Arial"/>
          <w:noProof/>
          <w:sz w:val="22"/>
          <w:szCs w:val="22"/>
          <w:lang w:val="en-US" w:eastAsia="en-US"/>
        </w:rPr>
      </w:pPr>
      <w:hyperlink w:anchor="_Toc360718777" w:history="1">
        <w:r w:rsidRPr="002C536F">
          <w:rPr>
            <w:rStyle w:val="Hyperlink"/>
            <w:noProof/>
          </w:rPr>
          <w:t>Climate change</w:t>
        </w:r>
        <w:r>
          <w:rPr>
            <w:noProof/>
            <w:webHidden/>
          </w:rPr>
          <w:tab/>
        </w:r>
        <w:r>
          <w:rPr>
            <w:noProof/>
            <w:webHidden/>
          </w:rPr>
          <w:fldChar w:fldCharType="begin"/>
        </w:r>
        <w:r>
          <w:rPr>
            <w:noProof/>
            <w:webHidden/>
          </w:rPr>
          <w:instrText xml:space="preserve"> PAGEREF _Toc360718777 \h </w:instrText>
        </w:r>
        <w:r>
          <w:rPr>
            <w:noProof/>
            <w:webHidden/>
          </w:rPr>
        </w:r>
        <w:r>
          <w:rPr>
            <w:noProof/>
            <w:webHidden/>
          </w:rPr>
          <w:fldChar w:fldCharType="separate"/>
        </w:r>
        <w:r>
          <w:rPr>
            <w:noProof/>
            <w:webHidden/>
          </w:rPr>
          <w:t>9</w:t>
        </w:r>
        <w:r>
          <w:rPr>
            <w:noProof/>
            <w:webHidden/>
          </w:rPr>
          <w:fldChar w:fldCharType="end"/>
        </w:r>
      </w:hyperlink>
    </w:p>
    <w:p w:rsidR="007E749A" w:rsidRDefault="007E749A">
      <w:pPr>
        <w:pStyle w:val="TOC1"/>
        <w:rPr>
          <w:rFonts w:ascii="Calibri" w:hAnsi="Calibri" w:cs="Arial"/>
          <w:noProof/>
          <w:color w:val="auto"/>
          <w:sz w:val="22"/>
          <w:szCs w:val="22"/>
          <w:lang w:val="en-US" w:eastAsia="en-US"/>
        </w:rPr>
      </w:pPr>
      <w:hyperlink w:anchor="_Toc360718778" w:history="1">
        <w:r w:rsidRPr="002C536F">
          <w:rPr>
            <w:rStyle w:val="Hyperlink"/>
            <w:noProof/>
          </w:rPr>
          <w:t>Quality of aid activities</w:t>
        </w:r>
        <w:r>
          <w:rPr>
            <w:noProof/>
            <w:webHidden/>
          </w:rPr>
          <w:tab/>
        </w:r>
        <w:r>
          <w:rPr>
            <w:noProof/>
            <w:webHidden/>
          </w:rPr>
          <w:fldChar w:fldCharType="begin"/>
        </w:r>
        <w:r>
          <w:rPr>
            <w:noProof/>
            <w:webHidden/>
          </w:rPr>
          <w:instrText xml:space="preserve"> PAGEREF _Toc360718778 \h </w:instrText>
        </w:r>
        <w:r>
          <w:rPr>
            <w:noProof/>
            <w:webHidden/>
          </w:rPr>
        </w:r>
        <w:r>
          <w:rPr>
            <w:noProof/>
            <w:webHidden/>
          </w:rPr>
          <w:fldChar w:fldCharType="separate"/>
        </w:r>
        <w:r>
          <w:rPr>
            <w:noProof/>
            <w:webHidden/>
          </w:rPr>
          <w:t>9</w:t>
        </w:r>
        <w:r>
          <w:rPr>
            <w:noProof/>
            <w:webHidden/>
          </w:rPr>
          <w:fldChar w:fldCharType="end"/>
        </w:r>
      </w:hyperlink>
    </w:p>
    <w:p w:rsidR="007E749A" w:rsidRDefault="007E749A">
      <w:pPr>
        <w:pStyle w:val="TOC2"/>
        <w:rPr>
          <w:rFonts w:ascii="Calibri" w:hAnsi="Calibri" w:cs="Arial"/>
          <w:noProof/>
          <w:color w:val="auto"/>
          <w:sz w:val="22"/>
          <w:szCs w:val="22"/>
          <w:lang w:val="en-US" w:eastAsia="en-US"/>
        </w:rPr>
      </w:pPr>
      <w:hyperlink w:anchor="_Toc360718779" w:history="1">
        <w:r w:rsidRPr="002C536F">
          <w:rPr>
            <w:rStyle w:val="Hyperlink"/>
            <w:noProof/>
          </w:rPr>
          <w:t>The bilateral relationship</w:t>
        </w:r>
        <w:r>
          <w:rPr>
            <w:noProof/>
            <w:webHidden/>
          </w:rPr>
          <w:tab/>
        </w:r>
        <w:r>
          <w:rPr>
            <w:noProof/>
            <w:webHidden/>
          </w:rPr>
          <w:fldChar w:fldCharType="begin"/>
        </w:r>
        <w:r>
          <w:rPr>
            <w:noProof/>
            <w:webHidden/>
          </w:rPr>
          <w:instrText xml:space="preserve"> PAGEREF _Toc360718779 \h </w:instrText>
        </w:r>
        <w:r>
          <w:rPr>
            <w:noProof/>
            <w:webHidden/>
          </w:rPr>
        </w:r>
        <w:r>
          <w:rPr>
            <w:noProof/>
            <w:webHidden/>
          </w:rPr>
          <w:fldChar w:fldCharType="separate"/>
        </w:r>
        <w:r>
          <w:rPr>
            <w:noProof/>
            <w:webHidden/>
          </w:rPr>
          <w:t>9</w:t>
        </w:r>
        <w:r>
          <w:rPr>
            <w:noProof/>
            <w:webHidden/>
          </w:rPr>
          <w:fldChar w:fldCharType="end"/>
        </w:r>
      </w:hyperlink>
    </w:p>
    <w:p w:rsidR="007E749A" w:rsidRDefault="007E749A">
      <w:pPr>
        <w:pStyle w:val="TOC2"/>
        <w:rPr>
          <w:rFonts w:ascii="Calibri" w:hAnsi="Calibri" w:cs="Arial"/>
          <w:noProof/>
          <w:color w:val="auto"/>
          <w:sz w:val="22"/>
          <w:szCs w:val="22"/>
          <w:lang w:val="en-US" w:eastAsia="en-US"/>
        </w:rPr>
      </w:pPr>
      <w:hyperlink w:anchor="_Toc360718780" w:history="1">
        <w:r w:rsidRPr="002C536F">
          <w:rPr>
            <w:rStyle w:val="Hyperlink"/>
            <w:noProof/>
          </w:rPr>
          <w:t>Towards real development outcomes: clarity over strategy</w:t>
        </w:r>
        <w:r>
          <w:rPr>
            <w:noProof/>
            <w:webHidden/>
          </w:rPr>
          <w:tab/>
        </w:r>
        <w:r>
          <w:rPr>
            <w:noProof/>
            <w:webHidden/>
          </w:rPr>
          <w:fldChar w:fldCharType="begin"/>
        </w:r>
        <w:r>
          <w:rPr>
            <w:noProof/>
            <w:webHidden/>
          </w:rPr>
          <w:instrText xml:space="preserve"> PAGEREF _Toc360718780 \h </w:instrText>
        </w:r>
        <w:r>
          <w:rPr>
            <w:noProof/>
            <w:webHidden/>
          </w:rPr>
        </w:r>
        <w:r>
          <w:rPr>
            <w:noProof/>
            <w:webHidden/>
          </w:rPr>
          <w:fldChar w:fldCharType="separate"/>
        </w:r>
        <w:r>
          <w:rPr>
            <w:noProof/>
            <w:webHidden/>
          </w:rPr>
          <w:t>10</w:t>
        </w:r>
        <w:r>
          <w:rPr>
            <w:noProof/>
            <w:webHidden/>
          </w:rPr>
          <w:fldChar w:fldCharType="end"/>
        </w:r>
      </w:hyperlink>
    </w:p>
    <w:p w:rsidR="007E749A" w:rsidRDefault="007E749A">
      <w:pPr>
        <w:pStyle w:val="TOC2"/>
        <w:rPr>
          <w:rFonts w:ascii="Calibri" w:hAnsi="Calibri" w:cs="Arial"/>
          <w:noProof/>
          <w:color w:val="auto"/>
          <w:sz w:val="22"/>
          <w:szCs w:val="22"/>
          <w:lang w:val="en-US" w:eastAsia="en-US"/>
        </w:rPr>
      </w:pPr>
      <w:hyperlink w:anchor="_Toc360718781" w:history="1">
        <w:r w:rsidRPr="002C536F">
          <w:rPr>
            <w:rStyle w:val="Hyperlink"/>
            <w:noProof/>
          </w:rPr>
          <w:t>Technical assistance</w:t>
        </w:r>
        <w:r>
          <w:rPr>
            <w:noProof/>
            <w:webHidden/>
          </w:rPr>
          <w:tab/>
        </w:r>
        <w:r>
          <w:rPr>
            <w:noProof/>
            <w:webHidden/>
          </w:rPr>
          <w:fldChar w:fldCharType="begin"/>
        </w:r>
        <w:r>
          <w:rPr>
            <w:noProof/>
            <w:webHidden/>
          </w:rPr>
          <w:instrText xml:space="preserve"> PAGEREF _Toc360718781 \h </w:instrText>
        </w:r>
        <w:r>
          <w:rPr>
            <w:noProof/>
            <w:webHidden/>
          </w:rPr>
        </w:r>
        <w:r>
          <w:rPr>
            <w:noProof/>
            <w:webHidden/>
          </w:rPr>
          <w:fldChar w:fldCharType="separate"/>
        </w:r>
        <w:r>
          <w:rPr>
            <w:noProof/>
            <w:webHidden/>
          </w:rPr>
          <w:t>10</w:t>
        </w:r>
        <w:r>
          <w:rPr>
            <w:noProof/>
            <w:webHidden/>
          </w:rPr>
          <w:fldChar w:fldCharType="end"/>
        </w:r>
      </w:hyperlink>
    </w:p>
    <w:p w:rsidR="007E749A" w:rsidRDefault="007E749A">
      <w:pPr>
        <w:pStyle w:val="TOC2"/>
        <w:rPr>
          <w:rFonts w:ascii="Calibri" w:hAnsi="Calibri" w:cs="Arial"/>
          <w:noProof/>
          <w:color w:val="auto"/>
          <w:sz w:val="22"/>
          <w:szCs w:val="22"/>
          <w:lang w:val="en-US" w:eastAsia="en-US"/>
        </w:rPr>
      </w:pPr>
      <w:hyperlink w:anchor="_Toc360718782" w:history="1">
        <w:r w:rsidRPr="002C536F">
          <w:rPr>
            <w:rStyle w:val="Hyperlink"/>
            <w:noProof/>
          </w:rPr>
          <w:t>Use of government systems</w:t>
        </w:r>
        <w:r>
          <w:rPr>
            <w:noProof/>
            <w:webHidden/>
          </w:rPr>
          <w:tab/>
        </w:r>
        <w:r>
          <w:rPr>
            <w:noProof/>
            <w:webHidden/>
          </w:rPr>
          <w:fldChar w:fldCharType="begin"/>
        </w:r>
        <w:r>
          <w:rPr>
            <w:noProof/>
            <w:webHidden/>
          </w:rPr>
          <w:instrText xml:space="preserve"> PAGEREF _Toc360718782 \h </w:instrText>
        </w:r>
        <w:r>
          <w:rPr>
            <w:noProof/>
            <w:webHidden/>
          </w:rPr>
        </w:r>
        <w:r>
          <w:rPr>
            <w:noProof/>
            <w:webHidden/>
          </w:rPr>
          <w:fldChar w:fldCharType="separate"/>
        </w:r>
        <w:r>
          <w:rPr>
            <w:noProof/>
            <w:webHidden/>
          </w:rPr>
          <w:t>11</w:t>
        </w:r>
        <w:r>
          <w:rPr>
            <w:noProof/>
            <w:webHidden/>
          </w:rPr>
          <w:fldChar w:fldCharType="end"/>
        </w:r>
      </w:hyperlink>
    </w:p>
    <w:p w:rsidR="007E749A" w:rsidRDefault="007E749A">
      <w:pPr>
        <w:pStyle w:val="TOC2"/>
        <w:rPr>
          <w:rFonts w:ascii="Calibri" w:hAnsi="Calibri" w:cs="Arial"/>
          <w:noProof/>
          <w:color w:val="auto"/>
          <w:sz w:val="22"/>
          <w:szCs w:val="22"/>
          <w:lang w:val="en-US" w:eastAsia="en-US"/>
        </w:rPr>
      </w:pPr>
      <w:hyperlink w:anchor="_Toc360718783" w:history="1">
        <w:r w:rsidRPr="002C536F">
          <w:rPr>
            <w:rStyle w:val="Hyperlink"/>
            <w:noProof/>
          </w:rPr>
          <w:t>Donor harmonisation and coordination</w:t>
        </w:r>
        <w:r>
          <w:rPr>
            <w:noProof/>
            <w:webHidden/>
          </w:rPr>
          <w:tab/>
        </w:r>
        <w:r>
          <w:rPr>
            <w:noProof/>
            <w:webHidden/>
          </w:rPr>
          <w:fldChar w:fldCharType="begin"/>
        </w:r>
        <w:r>
          <w:rPr>
            <w:noProof/>
            <w:webHidden/>
          </w:rPr>
          <w:instrText xml:space="preserve"> PAGEREF _Toc360718783 \h </w:instrText>
        </w:r>
        <w:r>
          <w:rPr>
            <w:noProof/>
            <w:webHidden/>
          </w:rPr>
        </w:r>
        <w:r>
          <w:rPr>
            <w:noProof/>
            <w:webHidden/>
          </w:rPr>
          <w:fldChar w:fldCharType="separate"/>
        </w:r>
        <w:r>
          <w:rPr>
            <w:noProof/>
            <w:webHidden/>
          </w:rPr>
          <w:t>11</w:t>
        </w:r>
        <w:r>
          <w:rPr>
            <w:noProof/>
            <w:webHidden/>
          </w:rPr>
          <w:fldChar w:fldCharType="end"/>
        </w:r>
      </w:hyperlink>
    </w:p>
    <w:p w:rsidR="007E749A" w:rsidRDefault="007E749A">
      <w:pPr>
        <w:pStyle w:val="TOC2"/>
        <w:rPr>
          <w:rFonts w:ascii="Calibri" w:hAnsi="Calibri" w:cs="Arial"/>
          <w:noProof/>
          <w:color w:val="auto"/>
          <w:sz w:val="22"/>
          <w:szCs w:val="22"/>
          <w:lang w:val="en-US" w:eastAsia="en-US"/>
        </w:rPr>
      </w:pPr>
      <w:hyperlink w:anchor="_Toc360718784" w:history="1">
        <w:r w:rsidRPr="002C536F">
          <w:rPr>
            <w:rStyle w:val="Hyperlink"/>
            <w:noProof/>
          </w:rPr>
          <w:t>Challenges and management consequences</w:t>
        </w:r>
        <w:r>
          <w:rPr>
            <w:noProof/>
            <w:webHidden/>
          </w:rPr>
          <w:tab/>
        </w:r>
        <w:r>
          <w:rPr>
            <w:noProof/>
            <w:webHidden/>
          </w:rPr>
          <w:fldChar w:fldCharType="begin"/>
        </w:r>
        <w:r>
          <w:rPr>
            <w:noProof/>
            <w:webHidden/>
          </w:rPr>
          <w:instrText xml:space="preserve"> PAGEREF _Toc360718784 \h </w:instrText>
        </w:r>
        <w:r>
          <w:rPr>
            <w:noProof/>
            <w:webHidden/>
          </w:rPr>
        </w:r>
        <w:r>
          <w:rPr>
            <w:noProof/>
            <w:webHidden/>
          </w:rPr>
          <w:fldChar w:fldCharType="separate"/>
        </w:r>
        <w:r>
          <w:rPr>
            <w:noProof/>
            <w:webHidden/>
          </w:rPr>
          <w:t>12</w:t>
        </w:r>
        <w:r>
          <w:rPr>
            <w:noProof/>
            <w:webHidden/>
          </w:rPr>
          <w:fldChar w:fldCharType="end"/>
        </w:r>
      </w:hyperlink>
    </w:p>
    <w:p w:rsidR="007E749A" w:rsidRDefault="007E749A">
      <w:r>
        <w:fldChar w:fldCharType="end"/>
      </w:r>
    </w:p>
    <w:p w:rsidR="00AD5AB0" w:rsidRDefault="00076D81" w:rsidP="00A65DCA">
      <w:pPr>
        <w:pStyle w:val="BodyText"/>
        <w:rPr>
          <w:rFonts w:cs="Arial"/>
        </w:rPr>
      </w:pPr>
      <w:r w:rsidRPr="006A1943">
        <w:lastRenderedPageBreak/>
        <w:t xml:space="preserve">This </w:t>
      </w:r>
      <w:r>
        <w:t xml:space="preserve">is the </w:t>
      </w:r>
      <w:r w:rsidR="00B539F3">
        <w:t xml:space="preserve">first report on the </w:t>
      </w:r>
      <w:smartTag w:uri="urn:schemas-microsoft-com:office:smarttags" w:element="place">
        <w:smartTag w:uri="urn:schemas-microsoft-com:office:smarttags" w:element="country-region">
          <w:r w:rsidR="006D6A9D">
            <w:t>Kiribati</w:t>
          </w:r>
        </w:smartTag>
      </w:smartTag>
      <w:r w:rsidR="00C23D29">
        <w:t xml:space="preserve"> –</w:t>
      </w:r>
      <w:r w:rsidR="006D6A9D">
        <w:t xml:space="preserve"> Australia P</w:t>
      </w:r>
      <w:r w:rsidR="00B539F3">
        <w:t xml:space="preserve">artnership for </w:t>
      </w:r>
      <w:r w:rsidR="006D6A9D">
        <w:t>D</w:t>
      </w:r>
      <w:r w:rsidR="00B539F3">
        <w:t xml:space="preserve">evelopment. </w:t>
      </w:r>
      <w:r w:rsidR="007F68DD">
        <w:t>S</w:t>
      </w:r>
      <w:r w:rsidR="00B539F3">
        <w:t xml:space="preserve">igned in January 2009, </w:t>
      </w:r>
      <w:r w:rsidR="007F68DD">
        <w:t xml:space="preserve">the </w:t>
      </w:r>
      <w:r w:rsidR="006D6A9D">
        <w:t>P</w:t>
      </w:r>
      <w:r w:rsidR="007F68DD">
        <w:t xml:space="preserve">artnership </w:t>
      </w:r>
      <w:r w:rsidR="00B539F3">
        <w:t xml:space="preserve">is designed to help </w:t>
      </w:r>
      <w:smartTag w:uri="urn:schemas-microsoft-com:office:smarttags" w:element="place">
        <w:smartTag w:uri="urn:schemas-microsoft-com:office:smarttags" w:element="country-region">
          <w:r w:rsidR="00B539F3">
            <w:t>Kiribati</w:t>
          </w:r>
        </w:smartTag>
      </w:smartTag>
      <w:r w:rsidR="00B539F3">
        <w:t xml:space="preserve"> build a well-</w:t>
      </w:r>
      <w:r w:rsidR="00A65DCA" w:rsidRPr="00A65DCA">
        <w:rPr>
          <w:rFonts w:cs="Arial"/>
        </w:rPr>
        <w:t xml:space="preserve">functioning </w:t>
      </w:r>
      <w:r w:rsidR="00D6256D">
        <w:rPr>
          <w:rFonts w:cs="Arial"/>
        </w:rPr>
        <w:t>g</w:t>
      </w:r>
      <w:r w:rsidR="00A65DCA" w:rsidRPr="00A65DCA">
        <w:rPr>
          <w:rFonts w:cs="Arial"/>
        </w:rPr>
        <w:t xml:space="preserve">overnment and public service capable of delivering core government services. </w:t>
      </w:r>
      <w:r w:rsidR="00B539F3">
        <w:rPr>
          <w:rFonts w:cs="Arial"/>
        </w:rPr>
        <w:t xml:space="preserve">Through the </w:t>
      </w:r>
      <w:r w:rsidR="006D6A9D">
        <w:rPr>
          <w:rFonts w:cs="Arial"/>
        </w:rPr>
        <w:t>P</w:t>
      </w:r>
      <w:r w:rsidR="00B539F3">
        <w:rPr>
          <w:rFonts w:cs="Arial"/>
        </w:rPr>
        <w:t>artnership, the Australian Government</w:t>
      </w:r>
      <w:r w:rsidR="00C23D29">
        <w:rPr>
          <w:rFonts w:cs="Arial"/>
        </w:rPr>
        <w:t>—</w:t>
      </w:r>
      <w:r w:rsidR="00B539F3">
        <w:rPr>
          <w:rFonts w:cs="Arial"/>
        </w:rPr>
        <w:t>primarily through the Australian Agency for International Development (AusAID)</w:t>
      </w:r>
      <w:r w:rsidR="003D51CF">
        <w:rPr>
          <w:rFonts w:cs="Arial"/>
        </w:rPr>
        <w:t>—</w:t>
      </w:r>
      <w:r w:rsidR="00B539F3">
        <w:rPr>
          <w:rFonts w:cs="Arial"/>
        </w:rPr>
        <w:t>will also help</w:t>
      </w:r>
      <w:r w:rsidR="003D51CF">
        <w:rPr>
          <w:rFonts w:cs="Arial"/>
        </w:rPr>
        <w:t xml:space="preserve"> the</w:t>
      </w:r>
      <w:r w:rsidR="00A65DCA" w:rsidRPr="00A65DCA">
        <w:rPr>
          <w:rFonts w:cs="Arial"/>
        </w:rPr>
        <w:t xml:space="preserve"> </w:t>
      </w:r>
      <w:r w:rsidR="00C23D29">
        <w:rPr>
          <w:rFonts w:cs="Arial"/>
        </w:rPr>
        <w:t xml:space="preserve">Government of </w:t>
      </w:r>
      <w:r w:rsidR="00D6256D">
        <w:rPr>
          <w:rFonts w:cs="Arial"/>
        </w:rPr>
        <w:t>Kiribati</w:t>
      </w:r>
      <w:r w:rsidR="00AD5AB0">
        <w:rPr>
          <w:rFonts w:cs="Arial"/>
        </w:rPr>
        <w:t xml:space="preserve"> </w:t>
      </w:r>
      <w:r w:rsidR="00C23D29">
        <w:rPr>
          <w:rFonts w:cs="Arial"/>
        </w:rPr>
        <w:t>(GOK)</w:t>
      </w:r>
      <w:r w:rsidR="003D51CF">
        <w:rPr>
          <w:rFonts w:cs="Arial"/>
        </w:rPr>
        <w:t xml:space="preserve"> </w:t>
      </w:r>
      <w:r w:rsidR="00AD5AB0">
        <w:rPr>
          <w:rFonts w:cs="Arial"/>
        </w:rPr>
        <w:t xml:space="preserve">develop long-term solutions for the social, environmental and economic challenges </w:t>
      </w:r>
      <w:r w:rsidR="006D6A9D">
        <w:rPr>
          <w:rFonts w:cs="Arial"/>
        </w:rPr>
        <w:t xml:space="preserve">it </w:t>
      </w:r>
      <w:r w:rsidR="00AD5AB0">
        <w:rPr>
          <w:rFonts w:cs="Arial"/>
        </w:rPr>
        <w:t xml:space="preserve">faces. </w:t>
      </w:r>
    </w:p>
    <w:p w:rsidR="0042107B" w:rsidRPr="00D51197" w:rsidRDefault="00AD5AB0" w:rsidP="00D51197">
      <w:pPr>
        <w:pStyle w:val="Heading1"/>
        <w:ind w:left="0"/>
      </w:pPr>
      <w:bookmarkStart w:id="0" w:name="_Toc360718760"/>
      <w:r>
        <w:t>C</w:t>
      </w:r>
      <w:r w:rsidR="0042107B" w:rsidRPr="006D2DEC">
        <w:t>ontext</w:t>
      </w:r>
      <w:bookmarkEnd w:id="0"/>
    </w:p>
    <w:p w:rsidR="00076D81" w:rsidRDefault="00AD5AB0" w:rsidP="006F1248">
      <w:pPr>
        <w:pStyle w:val="BodyText"/>
      </w:pPr>
      <w:r>
        <w:t xml:space="preserve">The Partnership </w:t>
      </w:r>
      <w:r w:rsidR="006D6A9D">
        <w:t xml:space="preserve">for Development </w:t>
      </w:r>
      <w:r>
        <w:t xml:space="preserve">is </w:t>
      </w:r>
      <w:r w:rsidR="00076D81">
        <w:t>the</w:t>
      </w:r>
      <w:r>
        <w:t xml:space="preserve"> foundation upon which </w:t>
      </w:r>
      <w:smartTag w:uri="urn:schemas-microsoft-com:office:smarttags" w:element="country-region">
        <w:r>
          <w:t>Australia</w:t>
        </w:r>
      </w:smartTag>
      <w:r>
        <w:t xml:space="preserve"> and </w:t>
      </w:r>
      <w:smartTag w:uri="urn:schemas-microsoft-com:office:smarttags" w:element="country-region">
        <w:r>
          <w:t>Kiribati</w:t>
        </w:r>
      </w:smartTag>
      <w:r>
        <w:t xml:space="preserve"> work together to tackle the challenges</w:t>
      </w:r>
      <w:r w:rsidR="00C23D29">
        <w:t xml:space="preserve"> </w:t>
      </w:r>
      <w:smartTag w:uri="urn:schemas-microsoft-com:office:smarttags" w:element="place">
        <w:smartTag w:uri="urn:schemas-microsoft-com:office:smarttags" w:element="country-region">
          <w:r w:rsidR="00C23D29">
            <w:t>Kiribati</w:t>
          </w:r>
        </w:smartTag>
      </w:smartTag>
      <w:r w:rsidR="00C23D29">
        <w:t xml:space="preserve"> faces</w:t>
      </w:r>
      <w:r w:rsidR="003D51CF">
        <w:t>.</w:t>
      </w:r>
      <w:r w:rsidR="000E5503">
        <w:t xml:space="preserve"> </w:t>
      </w:r>
      <w:r w:rsidR="00076D81">
        <w:t>It covers a range of programs, some underway and some yet to start. Many of these programs are long term (spanning 10 years).</w:t>
      </w:r>
    </w:p>
    <w:p w:rsidR="00D51197" w:rsidRPr="00D51197" w:rsidRDefault="00A65DCA" w:rsidP="006F1248">
      <w:pPr>
        <w:pStyle w:val="BodyText"/>
      </w:pPr>
      <w:r w:rsidRPr="00D51197">
        <w:t>The GOK</w:t>
      </w:r>
      <w:r w:rsidR="00C23D29">
        <w:t>’s</w:t>
      </w:r>
      <w:r w:rsidRPr="00D51197">
        <w:t xml:space="preserve"> </w:t>
      </w:r>
      <w:r w:rsidR="00E34CC2">
        <w:t xml:space="preserve">ability </w:t>
      </w:r>
      <w:r w:rsidRPr="00D51197">
        <w:t xml:space="preserve">to progress development outcomes is constrained, with public </w:t>
      </w:r>
      <w:r w:rsidR="00E34CC2">
        <w:t>servants</w:t>
      </w:r>
      <w:r w:rsidRPr="00D51197">
        <w:t xml:space="preserve"> struggling with </w:t>
      </w:r>
      <w:r w:rsidRPr="00885788">
        <w:t>workloads a</w:t>
      </w:r>
      <w:r w:rsidR="00885788" w:rsidRPr="00885788">
        <w:t>nd</w:t>
      </w:r>
      <w:r w:rsidRPr="00885788">
        <w:t xml:space="preserve"> donor requirements.</w:t>
      </w:r>
      <w:r w:rsidRPr="00D51197">
        <w:t xml:space="preserve"> </w:t>
      </w:r>
    </w:p>
    <w:p w:rsidR="00D51197" w:rsidRPr="00A65DCA" w:rsidRDefault="00C23D29" w:rsidP="006F1248">
      <w:pPr>
        <w:pStyle w:val="BodyText"/>
      </w:pPr>
      <w:smartTag w:uri="urn:schemas-microsoft-com:office:smarttags" w:element="place">
        <w:smartTag w:uri="urn:schemas-microsoft-com:office:smarttags" w:element="country-region">
          <w:r>
            <w:t>Kiribati</w:t>
          </w:r>
        </w:smartTag>
      </w:smartTag>
      <w:r w:rsidR="003D51CF">
        <w:t xml:space="preserve"> faces growing</w:t>
      </w:r>
      <w:r w:rsidR="00A65DCA" w:rsidRPr="00A65DCA">
        <w:t xml:space="preserve"> environmental threats</w:t>
      </w:r>
      <w:r w:rsidR="003D51CF">
        <w:t xml:space="preserve">—such as </w:t>
      </w:r>
      <w:r w:rsidR="00A65DCA" w:rsidRPr="00A65DCA">
        <w:t>sea level rise</w:t>
      </w:r>
      <w:r w:rsidR="00D6256D">
        <w:t xml:space="preserve"> and</w:t>
      </w:r>
      <w:r w:rsidR="00A65DCA" w:rsidRPr="00A65DCA">
        <w:t xml:space="preserve"> degradation of fresh water sources</w:t>
      </w:r>
      <w:r w:rsidR="000E5503">
        <w:t>—</w:t>
      </w:r>
      <w:r w:rsidR="003D51CF">
        <w:t xml:space="preserve">which are </w:t>
      </w:r>
      <w:r w:rsidR="00A65DCA" w:rsidRPr="00A65DCA">
        <w:t xml:space="preserve">redirecting </w:t>
      </w:r>
      <w:r w:rsidR="007F68DD">
        <w:t>the</w:t>
      </w:r>
      <w:r>
        <w:t xml:space="preserve"> nation’s</w:t>
      </w:r>
      <w:r w:rsidR="007F68DD">
        <w:t xml:space="preserve"> already-</w:t>
      </w:r>
      <w:r w:rsidR="00A65DCA" w:rsidRPr="00A65DCA">
        <w:t>limited human, financial and political resources away from</w:t>
      </w:r>
      <w:r w:rsidR="007F68DD">
        <w:t xml:space="preserve"> providing</w:t>
      </w:r>
      <w:r w:rsidR="00A65DCA" w:rsidRPr="00A65DCA">
        <w:t xml:space="preserve"> basic services. </w:t>
      </w:r>
      <w:r w:rsidR="00B02AFD">
        <w:t>In addition, p</w:t>
      </w:r>
      <w:r w:rsidR="00A65DCA" w:rsidRPr="00A65DCA">
        <w:t xml:space="preserve">oor and declining education standards </w:t>
      </w:r>
      <w:r>
        <w:t xml:space="preserve">are </w:t>
      </w:r>
      <w:r w:rsidR="00AC19BD">
        <w:t>imped</w:t>
      </w:r>
      <w:r>
        <w:t>ing</w:t>
      </w:r>
      <w:r w:rsidR="00E34CC2" w:rsidRPr="00A65DCA">
        <w:t xml:space="preserve"> </w:t>
      </w:r>
      <w:r w:rsidR="00A65DCA" w:rsidRPr="00A65DCA">
        <w:t xml:space="preserve">efforts to improve </w:t>
      </w:r>
      <w:r w:rsidR="00D6256D">
        <w:t>workforce</w:t>
      </w:r>
      <w:r w:rsidR="00D6256D" w:rsidRPr="00A65DCA">
        <w:t xml:space="preserve"> </w:t>
      </w:r>
      <w:r w:rsidR="00A65DCA" w:rsidRPr="00A65DCA">
        <w:t xml:space="preserve">productivity and strengthen </w:t>
      </w:r>
      <w:r>
        <w:br/>
      </w:r>
      <w:r w:rsidR="00A65DCA" w:rsidRPr="00A65DCA">
        <w:t>I-Kiribati</w:t>
      </w:r>
      <w:r w:rsidR="00D6256D">
        <w:t>’s</w:t>
      </w:r>
      <w:r>
        <w:t> </w:t>
      </w:r>
      <w:r w:rsidR="00D6256D">
        <w:t>competitiveness</w:t>
      </w:r>
      <w:r w:rsidR="00A65DCA" w:rsidRPr="00A65DCA">
        <w:t xml:space="preserve"> in international labour markets. </w:t>
      </w:r>
    </w:p>
    <w:p w:rsidR="000E5503" w:rsidRDefault="000E5503" w:rsidP="006F1248">
      <w:pPr>
        <w:pStyle w:val="BodyText"/>
      </w:pPr>
      <w:r>
        <w:t xml:space="preserve">Under the </w:t>
      </w:r>
      <w:r w:rsidR="006D6A9D">
        <w:t>P</w:t>
      </w:r>
      <w:r>
        <w:t>artnership, t</w:t>
      </w:r>
      <w:r w:rsidR="00E34CC2">
        <w:t xml:space="preserve">he aid program </w:t>
      </w:r>
      <w:r w:rsidR="00B02AFD">
        <w:t>saw</w:t>
      </w:r>
      <w:r w:rsidR="00076D81">
        <w:t xml:space="preserve"> some success in 2009</w:t>
      </w:r>
      <w:r>
        <w:t xml:space="preserve">, and </w:t>
      </w:r>
      <w:r w:rsidR="00B02AFD">
        <w:t>AusAID learned</w:t>
      </w:r>
      <w:r>
        <w:t xml:space="preserve"> a great deal about the scale of the challenges involved and the institutional, organisational and financial requirements needed to respond. </w:t>
      </w:r>
      <w:r w:rsidR="00F45220">
        <w:t xml:space="preserve">A main lesson was the </w:t>
      </w:r>
      <w:r w:rsidR="002B4B0B" w:rsidRPr="00D51197">
        <w:t xml:space="preserve">need to seek new ways to position the aid program and its implementation, </w:t>
      </w:r>
      <w:r w:rsidR="001B386A">
        <w:t xml:space="preserve">such </w:t>
      </w:r>
      <w:r w:rsidR="00C23D29">
        <w:t>that it help</w:t>
      </w:r>
      <w:r w:rsidR="001B386A">
        <w:t>s</w:t>
      </w:r>
      <w:r w:rsidR="00C23D29">
        <w:t xml:space="preserve"> </w:t>
      </w:r>
      <w:r w:rsidR="002B4B0B" w:rsidRPr="00D51197">
        <w:t xml:space="preserve">GOK </w:t>
      </w:r>
      <w:r w:rsidR="001B386A">
        <w:t xml:space="preserve">to address the underlying constraints to </w:t>
      </w:r>
      <w:r w:rsidR="009043BD">
        <w:t>development</w:t>
      </w:r>
      <w:r w:rsidR="00A163A9">
        <w:t xml:space="preserve"> it faces</w:t>
      </w:r>
      <w:r w:rsidR="009043BD">
        <w:t xml:space="preserve"> </w:t>
      </w:r>
      <w:r w:rsidR="002B4B0B" w:rsidRPr="00D51197">
        <w:t>more coherently.</w:t>
      </w:r>
    </w:p>
    <w:p w:rsidR="00A65DCA" w:rsidRPr="00D51197" w:rsidRDefault="00A65DCA" w:rsidP="006F1248">
      <w:pPr>
        <w:pStyle w:val="Heading2"/>
        <w:ind w:left="0"/>
      </w:pPr>
      <w:bookmarkStart w:id="1" w:name="_Toc360718761"/>
      <w:r w:rsidRPr="00D51197">
        <w:t xml:space="preserve">Social </w:t>
      </w:r>
      <w:r w:rsidR="00E34CC2">
        <w:t>v</w:t>
      </w:r>
      <w:r w:rsidRPr="00D51197">
        <w:t>ulnerabilities</w:t>
      </w:r>
      <w:bookmarkEnd w:id="1"/>
    </w:p>
    <w:p w:rsidR="00F10B0B" w:rsidRDefault="00E34CC2" w:rsidP="006F1248">
      <w:pPr>
        <w:pStyle w:val="BodyText"/>
      </w:pPr>
      <w:r>
        <w:t xml:space="preserve">More and more, </w:t>
      </w:r>
      <w:smartTag w:uri="urn:schemas-microsoft-com:office:smarttags" w:element="country-region">
        <w:r w:rsidR="00885788">
          <w:t>Kiribati</w:t>
        </w:r>
      </w:smartTag>
      <w:r w:rsidR="00885788">
        <w:t xml:space="preserve">’s </w:t>
      </w:r>
      <w:r>
        <w:t>b</w:t>
      </w:r>
      <w:r w:rsidR="00A65DCA" w:rsidRPr="00D51197">
        <w:t xml:space="preserve">asic infrastructure </w:t>
      </w:r>
      <w:r>
        <w:t>cannot</w:t>
      </w:r>
      <w:r w:rsidR="00A65DCA" w:rsidRPr="00D51197">
        <w:t xml:space="preserve"> support the </w:t>
      </w:r>
      <w:r>
        <w:t>number</w:t>
      </w:r>
      <w:r w:rsidRPr="00D51197">
        <w:t xml:space="preserve"> </w:t>
      </w:r>
      <w:r w:rsidR="00A65DCA" w:rsidRPr="00D51197">
        <w:t xml:space="preserve">of people living in </w:t>
      </w:r>
      <w:smartTag w:uri="urn:schemas-microsoft-com:office:smarttags" w:element="place">
        <w:r w:rsidR="00A65DCA" w:rsidRPr="00D51197">
          <w:t>South Tarawa</w:t>
        </w:r>
      </w:smartTag>
      <w:r w:rsidR="00A65DCA" w:rsidRPr="00D51197">
        <w:t xml:space="preserve">. </w:t>
      </w:r>
      <w:r w:rsidR="00300573">
        <w:t xml:space="preserve">About </w:t>
      </w:r>
      <w:r w:rsidR="00A65DCA" w:rsidRPr="00D51197">
        <w:t>43</w:t>
      </w:r>
      <w:r w:rsidR="00D6256D">
        <w:t>%</w:t>
      </w:r>
      <w:r w:rsidR="00A65DCA" w:rsidRPr="00D51197">
        <w:t xml:space="preserve"> of </w:t>
      </w:r>
      <w:r w:rsidR="00885788">
        <w:t xml:space="preserve">the </w:t>
      </w:r>
      <w:r w:rsidR="00A65DCA" w:rsidRPr="00D51197">
        <w:t xml:space="preserve">population </w:t>
      </w:r>
      <w:r w:rsidR="00885788">
        <w:t>lives</w:t>
      </w:r>
      <w:r w:rsidR="00A65DCA" w:rsidRPr="00D51197">
        <w:t xml:space="preserve"> there and the density (2500</w:t>
      </w:r>
      <w:r w:rsidR="00B449E9">
        <w:t> </w:t>
      </w:r>
      <w:r w:rsidR="00A65DCA" w:rsidRPr="00D51197">
        <w:t>persons per</w:t>
      </w:r>
      <w:r w:rsidR="00B449E9">
        <w:t> </w:t>
      </w:r>
      <w:r w:rsidR="00A65DCA" w:rsidRPr="00D51197">
        <w:t>km</w:t>
      </w:r>
      <w:r w:rsidR="00A65DCA" w:rsidRPr="00104A51">
        <w:rPr>
          <w:vertAlign w:val="superscript"/>
        </w:rPr>
        <w:t>2</w:t>
      </w:r>
      <w:r w:rsidR="00A65DCA" w:rsidRPr="00D51197">
        <w:t xml:space="preserve">) is about 20 times the national level. </w:t>
      </w:r>
      <w:r w:rsidR="00DD2E73">
        <w:t>Indeed, t</w:t>
      </w:r>
      <w:r w:rsidR="00A65DCA" w:rsidRPr="00D51197">
        <w:t xml:space="preserve">he </w:t>
      </w:r>
      <w:r w:rsidR="00DD2E73">
        <w:t>population living on</w:t>
      </w:r>
      <w:r w:rsidR="00A65DCA" w:rsidRPr="00D51197">
        <w:t xml:space="preserve"> </w:t>
      </w:r>
      <w:proofErr w:type="spellStart"/>
      <w:r w:rsidR="00A65DCA" w:rsidRPr="00D51197">
        <w:t>Betio</w:t>
      </w:r>
      <w:proofErr w:type="spellEnd"/>
      <w:r w:rsidR="00F10B0B">
        <w:t xml:space="preserve"> islet</w:t>
      </w:r>
      <w:r w:rsidR="00A65DCA" w:rsidRPr="00D51197">
        <w:t xml:space="preserve"> </w:t>
      </w:r>
      <w:r w:rsidR="00DD2E73">
        <w:t>is</w:t>
      </w:r>
      <w:r w:rsidR="00DD2E73" w:rsidRPr="00D51197">
        <w:t xml:space="preserve"> </w:t>
      </w:r>
      <w:r w:rsidR="00A65DCA" w:rsidRPr="00D51197">
        <w:t>a</w:t>
      </w:r>
      <w:r w:rsidR="00DD2E73">
        <w:t>s</w:t>
      </w:r>
      <w:r w:rsidR="00A65DCA" w:rsidRPr="00D51197">
        <w:t xml:space="preserve"> dens</w:t>
      </w:r>
      <w:r w:rsidR="00DD2E73">
        <w:t>e as</w:t>
      </w:r>
      <w:r w:rsidR="009043BD">
        <w:t xml:space="preserve"> in</w:t>
      </w:r>
      <w:r w:rsidR="00A65DCA" w:rsidRPr="00D51197">
        <w:t xml:space="preserve"> some major Asian cities.</w:t>
      </w:r>
    </w:p>
    <w:p w:rsidR="00D51197" w:rsidRPr="00D51197" w:rsidRDefault="00A65DCA" w:rsidP="006F1248">
      <w:pPr>
        <w:pStyle w:val="BodyText"/>
      </w:pPr>
      <w:r w:rsidRPr="00D51197">
        <w:t xml:space="preserve">In </w:t>
      </w:r>
      <w:smartTag w:uri="urn:schemas-microsoft-com:office:smarttags" w:element="place">
        <w:r w:rsidR="00DD2E73" w:rsidRPr="00D51197">
          <w:t>South Tarawa</w:t>
        </w:r>
      </w:smartTag>
      <w:r w:rsidR="00DD2E73">
        <w:t xml:space="preserve">’s </w:t>
      </w:r>
      <w:r w:rsidRPr="00D51197">
        <w:t>urban areas</w:t>
      </w:r>
      <w:r w:rsidR="00B449E9">
        <w:t>,</w:t>
      </w:r>
      <w:r w:rsidRPr="00D51197">
        <w:t xml:space="preserve"> basic sanitation and water</w:t>
      </w:r>
      <w:r w:rsidR="00F10B0B">
        <w:t xml:space="preserve"> </w:t>
      </w:r>
      <w:r w:rsidRPr="00D51197">
        <w:t>infrastructure is poor. Overcrowding in these undeveloped conditions accelerat</w:t>
      </w:r>
      <w:r w:rsidR="00B449E9">
        <w:t>es</w:t>
      </w:r>
      <w:r w:rsidRPr="00D51197">
        <w:t xml:space="preserve"> the spread of disease, including tuberculosis</w:t>
      </w:r>
      <w:r w:rsidR="0090308A">
        <w:t xml:space="preserve"> (TB)</w:t>
      </w:r>
      <w:r w:rsidRPr="00D51197">
        <w:t xml:space="preserve">, diarrhoea, pneumonia and respiratory illnesses. The </w:t>
      </w:r>
      <w:r w:rsidR="00885788">
        <w:t xml:space="preserve">urban </w:t>
      </w:r>
      <w:r w:rsidRPr="00D51197">
        <w:t xml:space="preserve">population continues to grow </w:t>
      </w:r>
      <w:r w:rsidR="00885788">
        <w:t>from</w:t>
      </w:r>
      <w:r w:rsidR="00885788" w:rsidRPr="00D51197">
        <w:t xml:space="preserve"> </w:t>
      </w:r>
      <w:r w:rsidRPr="00D51197">
        <w:t>high birth rates and internal migration. Formal law and justice institutions struggl</w:t>
      </w:r>
      <w:r w:rsidR="00885788">
        <w:t>e</w:t>
      </w:r>
      <w:r w:rsidRPr="00D51197">
        <w:t xml:space="preserve"> to respond</w:t>
      </w:r>
      <w:r w:rsidR="00F10B0B">
        <w:t xml:space="preserve"> to a range of issues, including the effects of unemployment</w:t>
      </w:r>
      <w:r w:rsidR="001D4370">
        <w:t xml:space="preserve"> and</w:t>
      </w:r>
      <w:r w:rsidR="00F10B0B">
        <w:t xml:space="preserve"> alcoholism</w:t>
      </w:r>
      <w:r w:rsidR="006D6A9D">
        <w:t>, particularly as</w:t>
      </w:r>
      <w:r w:rsidR="00F10B0B">
        <w:t xml:space="preserve"> </w:t>
      </w:r>
      <w:r w:rsidRPr="00D51197">
        <w:t xml:space="preserve">traditional family </w:t>
      </w:r>
      <w:r w:rsidR="006D6A9D">
        <w:t xml:space="preserve">structures </w:t>
      </w:r>
      <w:r w:rsidRPr="00D51197">
        <w:t xml:space="preserve">break down. </w:t>
      </w:r>
    </w:p>
    <w:p w:rsidR="00A65DCA" w:rsidRPr="00D51197" w:rsidRDefault="00A65DCA" w:rsidP="00D51197">
      <w:pPr>
        <w:pStyle w:val="Heading2"/>
        <w:ind w:left="0"/>
      </w:pPr>
      <w:bookmarkStart w:id="2" w:name="_Toc360718762"/>
      <w:r w:rsidRPr="00D51197">
        <w:t xml:space="preserve">Environmental </w:t>
      </w:r>
      <w:r w:rsidR="00E34CC2">
        <w:t>v</w:t>
      </w:r>
      <w:r w:rsidRPr="00D51197">
        <w:t>ulnerabilities</w:t>
      </w:r>
      <w:bookmarkEnd w:id="2"/>
    </w:p>
    <w:p w:rsidR="00D51197" w:rsidRPr="00D51197" w:rsidRDefault="002A5188" w:rsidP="006F1248">
      <w:pPr>
        <w:pStyle w:val="BodyText"/>
      </w:pPr>
      <w:smartTag w:uri="urn:schemas-microsoft-com:office:smarttags" w:element="place">
        <w:smartTag w:uri="urn:schemas-microsoft-com:office:smarttags" w:element="country-region">
          <w:r w:rsidRPr="00D51197">
            <w:t>Kiribati</w:t>
          </w:r>
        </w:smartTag>
      </w:smartTag>
      <w:r w:rsidRPr="00D51197">
        <w:t xml:space="preserve"> is very vulnerable to impacts on its environment and the </w:t>
      </w:r>
      <w:r w:rsidR="009043BD">
        <w:t xml:space="preserve">limited </w:t>
      </w:r>
      <w:r w:rsidRPr="00D51197">
        <w:t xml:space="preserve">environmental resources </w:t>
      </w:r>
      <w:r w:rsidR="009043BD">
        <w:t>available to</w:t>
      </w:r>
      <w:r w:rsidRPr="00D51197">
        <w:t xml:space="preserve"> sustain its population. High population growth, the dependency on marine resources and accelerating co</w:t>
      </w:r>
      <w:r w:rsidR="001D4370">
        <w:t xml:space="preserve">astal erosion are </w:t>
      </w:r>
      <w:r w:rsidR="009043BD">
        <w:t>exacerbating</w:t>
      </w:r>
      <w:r w:rsidR="001B386A">
        <w:t xml:space="preserve"> that vulnerability.</w:t>
      </w:r>
      <w:r w:rsidR="009043BD">
        <w:t xml:space="preserve"> </w:t>
      </w:r>
      <w:r w:rsidR="0006442B">
        <w:br/>
      </w:r>
      <w:r w:rsidR="001B386A">
        <w:t>T</w:t>
      </w:r>
      <w:r w:rsidR="009043BD">
        <w:t>h</w:t>
      </w:r>
      <w:r w:rsidR="001B386A">
        <w:t>e</w:t>
      </w:r>
      <w:r w:rsidR="009043BD">
        <w:t xml:space="preserve"> </w:t>
      </w:r>
      <w:r w:rsidR="001D4370">
        <w:t xml:space="preserve">main </w:t>
      </w:r>
      <w:r w:rsidRPr="00D51197">
        <w:t xml:space="preserve">environmental </w:t>
      </w:r>
      <w:r w:rsidR="009043BD">
        <w:t xml:space="preserve">issues </w:t>
      </w:r>
      <w:r w:rsidR="001B386A">
        <w:t>are</w:t>
      </w:r>
      <w:r w:rsidRPr="00D51197">
        <w:t xml:space="preserve"> increasing sea levels and more frequent king tide events. </w:t>
      </w:r>
      <w:r w:rsidR="00B66F88">
        <w:t>R</w:t>
      </w:r>
      <w:r w:rsidR="00A65DCA" w:rsidRPr="00D51197">
        <w:t>ising sea levels</w:t>
      </w:r>
      <w:r w:rsidR="00F4448B">
        <w:t>,</w:t>
      </w:r>
      <w:r w:rsidR="00B66F88">
        <w:t xml:space="preserve"> coupled with population pressures</w:t>
      </w:r>
      <w:r w:rsidR="00F4448B">
        <w:t>,</w:t>
      </w:r>
      <w:r w:rsidR="00A65DCA" w:rsidRPr="00D51197">
        <w:t xml:space="preserve"> </w:t>
      </w:r>
      <w:r w:rsidR="009043BD">
        <w:t xml:space="preserve">is </w:t>
      </w:r>
      <w:r w:rsidR="00774286">
        <w:t>put</w:t>
      </w:r>
      <w:r w:rsidR="009043BD">
        <w:t>ting</w:t>
      </w:r>
      <w:r w:rsidR="00A65DCA" w:rsidRPr="00D51197">
        <w:t xml:space="preserve"> water supplies at risk of permanent contamination and depletion. In the outer islands, rising salinity from over usage of the water lens</w:t>
      </w:r>
      <w:r w:rsidR="00B449E9">
        <w:t xml:space="preserve"> </w:t>
      </w:r>
      <w:r w:rsidR="00A65DCA" w:rsidRPr="00D51197">
        <w:t>and sea wate</w:t>
      </w:r>
      <w:r w:rsidR="00A65DCA" w:rsidRPr="0091515D">
        <w:t>r inundations from high</w:t>
      </w:r>
      <w:r w:rsidR="00F10B0B">
        <w:t xml:space="preserve"> </w:t>
      </w:r>
      <w:proofErr w:type="gramStart"/>
      <w:r w:rsidR="00F10B0B">
        <w:t>tides</w:t>
      </w:r>
      <w:r w:rsidR="00B449E9">
        <w:t>,</w:t>
      </w:r>
      <w:proofErr w:type="gramEnd"/>
      <w:r w:rsidR="00A65DCA" w:rsidRPr="0091515D">
        <w:t xml:space="preserve"> </w:t>
      </w:r>
      <w:r w:rsidR="001D4370">
        <w:t xml:space="preserve">is </w:t>
      </w:r>
      <w:r w:rsidR="00A65DCA" w:rsidRPr="0091515D">
        <w:t>destroy</w:t>
      </w:r>
      <w:r w:rsidR="001D4370">
        <w:t>ing</w:t>
      </w:r>
      <w:r w:rsidR="00A65DCA" w:rsidRPr="0091515D">
        <w:t xml:space="preserve"> crops. In parts of </w:t>
      </w:r>
      <w:smartTag w:uri="urn:schemas-microsoft-com:office:smarttags" w:element="place">
        <w:smartTag w:uri="urn:schemas-microsoft-com:office:smarttags" w:element="country-region">
          <w:r w:rsidR="00A65DCA" w:rsidRPr="0091515D">
            <w:lastRenderedPageBreak/>
            <w:t>Kiribati</w:t>
          </w:r>
        </w:smartTag>
      </w:smartTag>
      <w:r w:rsidR="00A65DCA" w:rsidRPr="0091515D">
        <w:t xml:space="preserve">, local fish </w:t>
      </w:r>
      <w:r w:rsidR="0091515D" w:rsidRPr="0091515D">
        <w:t xml:space="preserve">supplies </w:t>
      </w:r>
      <w:r w:rsidR="00A65DCA" w:rsidRPr="0091515D">
        <w:t xml:space="preserve">are being </w:t>
      </w:r>
      <w:r w:rsidR="0091515D" w:rsidRPr="0091515D">
        <w:t xml:space="preserve">diminished </w:t>
      </w:r>
      <w:r w:rsidR="00A65DCA" w:rsidRPr="0091515D">
        <w:t xml:space="preserve">by reef destruction. </w:t>
      </w:r>
      <w:r w:rsidR="0091515D" w:rsidRPr="0091515D">
        <w:t>H</w:t>
      </w:r>
      <w:r w:rsidR="00A65DCA" w:rsidRPr="0091515D">
        <w:t>eavy rainfall</w:t>
      </w:r>
      <w:r w:rsidR="00774286">
        <w:t>,</w:t>
      </w:r>
      <w:r w:rsidR="00A65DCA" w:rsidRPr="0091515D">
        <w:t xml:space="preserve"> combine</w:t>
      </w:r>
      <w:r w:rsidR="0091515D" w:rsidRPr="0091515D">
        <w:t>d with poor infrastructure</w:t>
      </w:r>
      <w:r w:rsidR="00774286">
        <w:t>,</w:t>
      </w:r>
      <w:r w:rsidR="0091515D" w:rsidRPr="0091515D">
        <w:t xml:space="preserve"> </w:t>
      </w:r>
      <w:r w:rsidR="009043BD">
        <w:t xml:space="preserve">is </w:t>
      </w:r>
      <w:r w:rsidR="00A65DCA" w:rsidRPr="0091515D">
        <w:t>reduc</w:t>
      </w:r>
      <w:r w:rsidR="009043BD">
        <w:t>ing</w:t>
      </w:r>
      <w:r w:rsidR="006D6A9D">
        <w:t xml:space="preserve"> the reliability of</w:t>
      </w:r>
      <w:r w:rsidR="00A65DCA" w:rsidRPr="0091515D">
        <w:t xml:space="preserve"> air and land transport.</w:t>
      </w:r>
      <w:r w:rsidR="00A65DCA" w:rsidRPr="00D51197">
        <w:t xml:space="preserve"> </w:t>
      </w:r>
    </w:p>
    <w:p w:rsidR="00A65DCA" w:rsidRPr="001E1E97" w:rsidRDefault="00A65DCA" w:rsidP="00D51197">
      <w:pPr>
        <w:pStyle w:val="Heading2"/>
        <w:ind w:left="0"/>
        <w:rPr>
          <w:rFonts w:ascii="Tahoma" w:hAnsi="Tahoma" w:cs="Tahoma"/>
          <w:szCs w:val="20"/>
        </w:rPr>
      </w:pPr>
      <w:bookmarkStart w:id="3" w:name="_Toc360718763"/>
      <w:r w:rsidRPr="00D51197">
        <w:t xml:space="preserve">Economic </w:t>
      </w:r>
      <w:r w:rsidR="00B66F88">
        <w:t>v</w:t>
      </w:r>
      <w:r w:rsidRPr="00D51197">
        <w:t>ulnerabilities</w:t>
      </w:r>
      <w:bookmarkEnd w:id="3"/>
    </w:p>
    <w:p w:rsidR="00A65DCA" w:rsidRPr="00B74771" w:rsidRDefault="00A65DCA" w:rsidP="006F1248">
      <w:pPr>
        <w:pStyle w:val="BodyText"/>
      </w:pPr>
      <w:r w:rsidRPr="00B74771">
        <w:t xml:space="preserve">Real per capita </w:t>
      </w:r>
      <w:r w:rsidR="00774286">
        <w:t>g</w:t>
      </w:r>
      <w:r w:rsidR="00B66F88">
        <w:t xml:space="preserve">ross </w:t>
      </w:r>
      <w:r w:rsidR="00774286">
        <w:t>d</w:t>
      </w:r>
      <w:r w:rsidR="00B66F88">
        <w:t xml:space="preserve">omestic </w:t>
      </w:r>
      <w:r w:rsidR="00774286">
        <w:t>p</w:t>
      </w:r>
      <w:r w:rsidR="00B66F88">
        <w:t>roduct (G</w:t>
      </w:r>
      <w:r w:rsidRPr="00B74771">
        <w:t>DP</w:t>
      </w:r>
      <w:r w:rsidR="00B66F88">
        <w:t>)</w:t>
      </w:r>
      <w:r w:rsidRPr="00B74771">
        <w:t xml:space="preserve"> </w:t>
      </w:r>
      <w:r w:rsidR="0091515D">
        <w:t>is</w:t>
      </w:r>
      <w:r w:rsidR="0091515D" w:rsidRPr="00B74771">
        <w:t xml:space="preserve"> </w:t>
      </w:r>
      <w:r w:rsidRPr="00B74771">
        <w:t>US</w:t>
      </w:r>
      <w:r w:rsidR="00B66F88">
        <w:t>$</w:t>
      </w:r>
      <w:r w:rsidRPr="00B74771">
        <w:t>482</w:t>
      </w:r>
      <w:r w:rsidR="0091515D">
        <w:t>,</w:t>
      </w:r>
      <w:r w:rsidRPr="00B74771">
        <w:t xml:space="preserve"> the lowest in the region. </w:t>
      </w:r>
      <w:r w:rsidR="00774286">
        <w:t xml:space="preserve">Government expenditure drives the economy, with </w:t>
      </w:r>
      <w:r w:rsidRPr="00B74771">
        <w:t>the public sector account</w:t>
      </w:r>
      <w:r w:rsidR="00774286">
        <w:t>ing</w:t>
      </w:r>
      <w:r w:rsidRPr="00B74771">
        <w:t xml:space="preserve"> for 50</w:t>
      </w:r>
      <w:r w:rsidR="00B33EA0">
        <w:t>%</w:t>
      </w:r>
      <w:r w:rsidRPr="00B74771">
        <w:t xml:space="preserve"> of GDP and provid</w:t>
      </w:r>
      <w:r w:rsidR="00774286">
        <w:t>ing</w:t>
      </w:r>
      <w:r w:rsidRPr="00B74771">
        <w:t xml:space="preserve"> around two-thirds </w:t>
      </w:r>
      <w:r w:rsidRPr="00B470E4">
        <w:t xml:space="preserve">of formal </w:t>
      </w:r>
      <w:r w:rsidR="009A5576">
        <w:t xml:space="preserve">paid </w:t>
      </w:r>
      <w:r w:rsidRPr="00B74771">
        <w:t>employment</w:t>
      </w:r>
      <w:r w:rsidR="00774286">
        <w:t>. However, this presents s</w:t>
      </w:r>
      <w:r w:rsidRPr="00B74771">
        <w:t>ignificant fiscal risks. Public</w:t>
      </w:r>
      <w:r w:rsidR="009A5576">
        <w:t>-run enterprises dominate</w:t>
      </w:r>
      <w:r w:rsidR="00B449E9">
        <w:t xml:space="preserve"> the</w:t>
      </w:r>
      <w:r w:rsidRPr="00B74771">
        <w:t xml:space="preserve"> service sector</w:t>
      </w:r>
      <w:r w:rsidR="00104A51">
        <w:t>,</w:t>
      </w:r>
      <w:r w:rsidRPr="00B74771">
        <w:t xml:space="preserve"> and poor</w:t>
      </w:r>
      <w:r w:rsidR="00E96B1E">
        <w:t>-</w:t>
      </w:r>
      <w:r w:rsidRPr="00B74771">
        <w:t xml:space="preserve">quality </w:t>
      </w:r>
      <w:r w:rsidR="00D93CF9">
        <w:t xml:space="preserve">public-run </w:t>
      </w:r>
      <w:r w:rsidRPr="00B74771">
        <w:t xml:space="preserve">infrastructure and services </w:t>
      </w:r>
      <w:r w:rsidR="00774286">
        <w:t xml:space="preserve">make </w:t>
      </w:r>
      <w:r w:rsidR="009A5576">
        <w:t xml:space="preserve">it </w:t>
      </w:r>
      <w:r w:rsidRPr="00B74771">
        <w:t>difficult for private</w:t>
      </w:r>
      <w:r w:rsidR="009A5576">
        <w:t>-run</w:t>
      </w:r>
      <w:r w:rsidRPr="00B74771">
        <w:t xml:space="preserve"> enterprises</w:t>
      </w:r>
      <w:r w:rsidR="009A5576">
        <w:t xml:space="preserve"> to operate</w:t>
      </w:r>
      <w:r w:rsidRPr="00B74771">
        <w:t>.</w:t>
      </w:r>
    </w:p>
    <w:p w:rsidR="00A65DCA" w:rsidRPr="007C4075" w:rsidRDefault="00711574" w:rsidP="006F1248">
      <w:pPr>
        <w:pStyle w:val="BodyText"/>
      </w:pPr>
      <w:r>
        <w:t>T</w:t>
      </w:r>
      <w:r w:rsidR="00A65DCA" w:rsidRPr="007C4075">
        <w:t>he</w:t>
      </w:r>
      <w:r w:rsidR="00774286">
        <w:t xml:space="preserve"> value of the</w:t>
      </w:r>
      <w:r w:rsidR="00A65DCA" w:rsidRPr="007C4075">
        <w:t xml:space="preserve"> Revenue Equalisation Reserve Fund</w:t>
      </w:r>
      <w:r w:rsidR="00104A51">
        <w:t xml:space="preserve"> </w:t>
      </w:r>
      <w:r w:rsidR="00A65DCA" w:rsidRPr="007C4075">
        <w:t xml:space="preserve">and Kiribati Provident Fund </w:t>
      </w:r>
      <w:r w:rsidR="00774286">
        <w:t>declined</w:t>
      </w:r>
      <w:r w:rsidR="00A65DCA" w:rsidRPr="007C4075">
        <w:t xml:space="preserve"> </w:t>
      </w:r>
      <w:r w:rsidR="00774286">
        <w:t>significantly</w:t>
      </w:r>
      <w:r w:rsidR="00A65DCA" w:rsidRPr="007C4075">
        <w:t xml:space="preserve"> in 2008</w:t>
      </w:r>
      <w:r w:rsidRPr="007C4075">
        <w:t>,</w:t>
      </w:r>
      <w:r>
        <w:t xml:space="preserve"> but </w:t>
      </w:r>
      <w:r w:rsidR="00A65DCA" w:rsidRPr="007C4075">
        <w:t>this</w:t>
      </w:r>
      <w:r w:rsidR="00B449E9">
        <w:t xml:space="preserve"> rate</w:t>
      </w:r>
      <w:r w:rsidR="00A65DCA" w:rsidRPr="007C4075">
        <w:t xml:space="preserve"> slowed</w:t>
      </w:r>
      <w:r>
        <w:t xml:space="preserve"> in 2009</w:t>
      </w:r>
      <w:r w:rsidR="00A65DCA" w:rsidRPr="007C4075">
        <w:t xml:space="preserve">. </w:t>
      </w:r>
      <w:r w:rsidR="00B449E9">
        <w:t>R</w:t>
      </w:r>
      <w:r w:rsidR="00A65DCA" w:rsidRPr="007C4075">
        <w:t xml:space="preserve">emittances from seafarers remained at 2008 levels, </w:t>
      </w:r>
      <w:r w:rsidR="00B449E9">
        <w:t xml:space="preserve">but </w:t>
      </w:r>
      <w:r w:rsidR="00A65DCA" w:rsidRPr="007C4075">
        <w:t xml:space="preserve">international employment opportunities </w:t>
      </w:r>
      <w:r w:rsidR="00B449E9">
        <w:t>decreased (</w:t>
      </w:r>
      <w:r w:rsidR="00A65DCA" w:rsidRPr="007C4075">
        <w:t>from 100</w:t>
      </w:r>
      <w:r w:rsidR="00E96B1E">
        <w:t>%</w:t>
      </w:r>
      <w:r w:rsidR="00A65DCA" w:rsidRPr="007C4075">
        <w:t xml:space="preserve"> in 2007</w:t>
      </w:r>
      <w:r w:rsidR="0006442B">
        <w:br/>
      </w:r>
      <w:r w:rsidR="00A65DCA" w:rsidRPr="007C4075">
        <w:t>to</w:t>
      </w:r>
      <w:r w:rsidR="0006442B">
        <w:t> </w:t>
      </w:r>
      <w:r w:rsidR="00B449E9">
        <w:t>0</w:t>
      </w:r>
      <w:r w:rsidR="00CF3830">
        <w:t> </w:t>
      </w:r>
      <w:r w:rsidR="00A65DCA" w:rsidRPr="007C4075">
        <w:t>in 2009</w:t>
      </w:r>
      <w:r w:rsidR="00B449E9">
        <w:t>)</w:t>
      </w:r>
      <w:r w:rsidR="00A65DCA" w:rsidRPr="007C4075">
        <w:t>.</w:t>
      </w:r>
    </w:p>
    <w:p w:rsidR="00A65DCA" w:rsidRPr="001E1E97" w:rsidRDefault="00A65DCA" w:rsidP="00D51197">
      <w:pPr>
        <w:pStyle w:val="Heading2"/>
        <w:ind w:left="0"/>
        <w:rPr>
          <w:rFonts w:ascii="Tahoma" w:hAnsi="Tahoma" w:cs="Tahoma"/>
          <w:szCs w:val="20"/>
        </w:rPr>
      </w:pPr>
      <w:bookmarkStart w:id="4" w:name="_Toc360718764"/>
      <w:r w:rsidRPr="00D51197">
        <w:t xml:space="preserve">Public </w:t>
      </w:r>
      <w:r w:rsidR="00E96B1E">
        <w:t>s</w:t>
      </w:r>
      <w:r w:rsidRPr="00D51197">
        <w:t xml:space="preserve">ector </w:t>
      </w:r>
      <w:r w:rsidR="00E96B1E">
        <w:t>c</w:t>
      </w:r>
      <w:r w:rsidRPr="00D51197">
        <w:t>onstraints</w:t>
      </w:r>
      <w:bookmarkEnd w:id="4"/>
    </w:p>
    <w:p w:rsidR="00A65DCA" w:rsidRPr="007C4075" w:rsidRDefault="009D3747" w:rsidP="006F1248">
      <w:pPr>
        <w:pStyle w:val="BodyText"/>
      </w:pPr>
      <w:r>
        <w:t>A</w:t>
      </w:r>
      <w:r w:rsidR="00A65DCA" w:rsidRPr="007C4075">
        <w:t>ppoint</w:t>
      </w:r>
      <w:r>
        <w:t>ing</w:t>
      </w:r>
      <w:r w:rsidR="00A65DCA" w:rsidRPr="007C4075">
        <w:t xml:space="preserve"> competent</w:t>
      </w:r>
      <w:r w:rsidR="004A24AA">
        <w:t>,</w:t>
      </w:r>
      <w:r w:rsidR="00A65DCA" w:rsidRPr="007C4075">
        <w:t xml:space="preserve"> energetic leaders to key positions in the past few years reflects </w:t>
      </w:r>
      <w:r w:rsidR="004A24AA">
        <w:t>GOK</w:t>
      </w:r>
      <w:r w:rsidR="00D11B26">
        <w:t>’</w:t>
      </w:r>
      <w:r w:rsidR="004A24AA">
        <w:t xml:space="preserve">s priority </w:t>
      </w:r>
      <w:r w:rsidR="006D6A9D">
        <w:t xml:space="preserve">to </w:t>
      </w:r>
      <w:r w:rsidR="004A24AA">
        <w:t>revitalis</w:t>
      </w:r>
      <w:r w:rsidR="006D6A9D">
        <w:t>e</w:t>
      </w:r>
      <w:r w:rsidR="004A24AA">
        <w:t xml:space="preserve"> </w:t>
      </w:r>
      <w:r w:rsidR="00A65DCA" w:rsidRPr="007C4075">
        <w:t xml:space="preserve">the public service. </w:t>
      </w:r>
      <w:r w:rsidR="004A24AA">
        <w:t>Despite this,</w:t>
      </w:r>
      <w:r w:rsidR="00A65DCA" w:rsidRPr="007C4075">
        <w:t xml:space="preserve"> the public service </w:t>
      </w:r>
      <w:r>
        <w:t>remained</w:t>
      </w:r>
      <w:r w:rsidR="00A65DCA" w:rsidRPr="007C4075">
        <w:t xml:space="preserve"> constrained </w:t>
      </w:r>
      <w:r w:rsidR="00E96B1E">
        <w:t>from</w:t>
      </w:r>
      <w:r w:rsidR="00E96B1E" w:rsidRPr="007C4075">
        <w:t xml:space="preserve"> </w:t>
      </w:r>
      <w:r w:rsidR="00A65DCA" w:rsidRPr="007C4075">
        <w:t>mak</w:t>
      </w:r>
      <w:r w:rsidR="00E96B1E">
        <w:t>ing</w:t>
      </w:r>
      <w:r w:rsidR="00A65DCA" w:rsidRPr="007C4075">
        <w:t xml:space="preserve"> sustained improvements to </w:t>
      </w:r>
      <w:r w:rsidR="00E96B1E">
        <w:t>basic service</w:t>
      </w:r>
      <w:r w:rsidR="00E96B1E" w:rsidRPr="007C4075">
        <w:t xml:space="preserve"> </w:t>
      </w:r>
      <w:r w:rsidR="00A65DCA" w:rsidRPr="007C4075">
        <w:t>delivery</w:t>
      </w:r>
      <w:r w:rsidR="00E96B1E">
        <w:t xml:space="preserve"> and driving </w:t>
      </w:r>
      <w:r w:rsidR="00A65DCA" w:rsidRPr="007C4075">
        <w:t>reforms.</w:t>
      </w:r>
      <w:r w:rsidR="00A65DCA" w:rsidRPr="00B74771">
        <w:t xml:space="preserve"> </w:t>
      </w:r>
      <w:r w:rsidR="004A24AA">
        <w:t>It</w:t>
      </w:r>
      <w:r w:rsidR="00A65DCA" w:rsidRPr="007C4075">
        <w:t xml:space="preserve"> is over-staffed, </w:t>
      </w:r>
      <w:r w:rsidR="004A24AA">
        <w:t>and grapple</w:t>
      </w:r>
      <w:r>
        <w:t>s</w:t>
      </w:r>
      <w:r w:rsidR="004A24AA">
        <w:t xml:space="preserve"> with</w:t>
      </w:r>
      <w:r w:rsidR="00A65DCA" w:rsidRPr="007C4075">
        <w:t xml:space="preserve"> high</w:t>
      </w:r>
      <w:r w:rsidR="00961748" w:rsidRPr="00961748">
        <w:t xml:space="preserve"> </w:t>
      </w:r>
      <w:r w:rsidR="00961748" w:rsidRPr="007C4075">
        <w:t>staff</w:t>
      </w:r>
      <w:r w:rsidR="00A65DCA" w:rsidRPr="007C4075">
        <w:t xml:space="preserve"> turnover and skill gaps in strategic areas. </w:t>
      </w:r>
      <w:r w:rsidR="004A24AA">
        <w:t>A</w:t>
      </w:r>
      <w:r w:rsidR="00A65DCA" w:rsidRPr="007C4075">
        <w:t xml:space="preserve">ccountability and communication between and within government agencies needs to be </w:t>
      </w:r>
      <w:r w:rsidR="004A24AA">
        <w:t>improved</w:t>
      </w:r>
      <w:r w:rsidR="00A65DCA" w:rsidRPr="007C4075">
        <w:t>.</w:t>
      </w:r>
    </w:p>
    <w:p w:rsidR="00A65DCA" w:rsidRPr="007C4075" w:rsidRDefault="00A65DCA" w:rsidP="006F1248">
      <w:pPr>
        <w:pStyle w:val="BodyText"/>
      </w:pPr>
      <w:r w:rsidRPr="007C4075">
        <w:t xml:space="preserve">While progress </w:t>
      </w:r>
      <w:r w:rsidR="004A24AA">
        <w:t>continued to be made in 2009</w:t>
      </w:r>
      <w:r w:rsidRPr="007C4075">
        <w:t xml:space="preserve"> </w:t>
      </w:r>
      <w:r w:rsidR="00E96B1E">
        <w:t>to</w:t>
      </w:r>
      <w:r w:rsidR="00E96B1E" w:rsidRPr="007C4075">
        <w:t xml:space="preserve"> </w:t>
      </w:r>
      <w:r w:rsidRPr="007C4075">
        <w:t>strengthen</w:t>
      </w:r>
      <w:r w:rsidR="00E96B1E">
        <w:t xml:space="preserve"> </w:t>
      </w:r>
      <w:r w:rsidRPr="007C4075">
        <w:t xml:space="preserve">operational planning and performance </w:t>
      </w:r>
      <w:r w:rsidRPr="00961748">
        <w:t>reporting, this has been</w:t>
      </w:r>
      <w:r w:rsidR="004A24AA">
        <w:t xml:space="preserve"> mostly</w:t>
      </w:r>
      <w:r w:rsidRPr="00961748">
        <w:t xml:space="preserve"> in response to donor demand for greater scrutiny of budget processes</w:t>
      </w:r>
      <w:r w:rsidR="004A24AA">
        <w:t>, not in response to the need to make government more efficient.</w:t>
      </w:r>
    </w:p>
    <w:p w:rsidR="00A65DCA" w:rsidRPr="00D51197" w:rsidRDefault="00A65DCA" w:rsidP="00D51197">
      <w:pPr>
        <w:pStyle w:val="Heading2"/>
        <w:ind w:left="0"/>
      </w:pPr>
      <w:bookmarkStart w:id="5" w:name="_Toc360718765"/>
      <w:r w:rsidRPr="00D51197">
        <w:t xml:space="preserve">Education </w:t>
      </w:r>
      <w:r w:rsidR="00E96B1E">
        <w:t>c</w:t>
      </w:r>
      <w:r w:rsidRPr="00D51197">
        <w:t>onstraints</w:t>
      </w:r>
      <w:bookmarkEnd w:id="5"/>
    </w:p>
    <w:p w:rsidR="00A65DCA" w:rsidRPr="00B909E6" w:rsidRDefault="00D11B26" w:rsidP="006F1248">
      <w:pPr>
        <w:pStyle w:val="BodyText"/>
      </w:pPr>
      <w:smartTag w:uri="urn:schemas-microsoft-com:office:smarttags" w:element="place">
        <w:smartTag w:uri="urn:schemas-microsoft-com:office:smarttags" w:element="country-region">
          <w:r>
            <w:t>Kiribati</w:t>
          </w:r>
        </w:smartTag>
      </w:smartTag>
      <w:r>
        <w:t>’s b</w:t>
      </w:r>
      <w:r w:rsidR="00A65DCA" w:rsidRPr="00B876CB">
        <w:t xml:space="preserve">asic education standards </w:t>
      </w:r>
      <w:r>
        <w:t>remain</w:t>
      </w:r>
      <w:r w:rsidR="00104A51" w:rsidRPr="00B876CB">
        <w:t xml:space="preserve"> poor.</w:t>
      </w:r>
      <w:r w:rsidR="00A65DCA" w:rsidRPr="00B876CB">
        <w:t xml:space="preserve"> </w:t>
      </w:r>
      <w:r w:rsidR="00B909E6" w:rsidRPr="00B876CB">
        <w:t xml:space="preserve">Enrolment rates for students </w:t>
      </w:r>
      <w:r>
        <w:t>declined</w:t>
      </w:r>
      <w:r w:rsidR="00E96B1E">
        <w:t xml:space="preserve"> in 2009</w:t>
      </w:r>
      <w:r w:rsidR="00B909E6" w:rsidRPr="00B876CB">
        <w:t xml:space="preserve">. </w:t>
      </w:r>
      <w:r w:rsidR="00A65DCA" w:rsidRPr="00B876CB">
        <w:t>Results from the 2009</w:t>
      </w:r>
      <w:r w:rsidR="00B74771" w:rsidRPr="00B876CB">
        <w:t xml:space="preserve"> Standard Tests of Achievement </w:t>
      </w:r>
      <w:r w:rsidR="00A65DCA" w:rsidRPr="00B876CB">
        <w:t>in</w:t>
      </w:r>
      <w:r w:rsidR="00104A51" w:rsidRPr="00B876CB">
        <w:t>dicate</w:t>
      </w:r>
      <w:r w:rsidR="00A65DCA" w:rsidRPr="00B876CB">
        <w:t xml:space="preserve"> </w:t>
      </w:r>
      <w:r w:rsidR="00B909E6" w:rsidRPr="00B876CB">
        <w:t xml:space="preserve">that much less than half of primary school students have satisfactory literacy and numeracy skills. </w:t>
      </w:r>
      <w:r>
        <w:t>In English, s</w:t>
      </w:r>
      <w:r w:rsidR="00A65DCA" w:rsidRPr="00B876CB">
        <w:t>tudents are well below the Pacific regional average</w:t>
      </w:r>
      <w:r>
        <w:t>, with only 12%</w:t>
      </w:r>
      <w:r w:rsidR="00975119">
        <w:t> </w:t>
      </w:r>
      <w:r>
        <w:t>to</w:t>
      </w:r>
      <w:r w:rsidR="00975119">
        <w:t> </w:t>
      </w:r>
      <w:r>
        <w:t xml:space="preserve">14% passing the </w:t>
      </w:r>
      <w:smartTag w:uri="urn:schemas-microsoft-com:office:smarttags" w:element="place">
        <w:smartTag w:uri="urn:schemas-microsoft-com:office:smarttags" w:element="PlaceType">
          <w:r>
            <w:t>University</w:t>
          </w:r>
        </w:smartTag>
        <w:r>
          <w:t xml:space="preserve"> of </w:t>
        </w:r>
        <w:smartTag w:uri="urn:schemas-microsoft-com:office:smarttags" w:element="PlaceName">
          <w:r>
            <w:t>South Pacific English</w:t>
          </w:r>
        </w:smartTag>
      </w:smartTag>
      <w:r>
        <w:t xml:space="preserve"> language test between 2005 and 2007</w:t>
      </w:r>
      <w:r w:rsidR="00A65DCA" w:rsidRPr="00B909E6">
        <w:t xml:space="preserve">. In mathematics, </w:t>
      </w:r>
      <w:smartTag w:uri="urn:schemas-microsoft-com:office:smarttags" w:element="place">
        <w:smartTag w:uri="urn:schemas-microsoft-com:office:smarttags" w:element="country-region">
          <w:r w:rsidR="00A65DCA" w:rsidRPr="00B909E6">
            <w:t>Kiribati</w:t>
          </w:r>
        </w:smartTag>
      </w:smartTag>
      <w:r w:rsidR="00A65DCA" w:rsidRPr="00B909E6">
        <w:t xml:space="preserve"> students used to perform at or above regional levels, but scores are now declining. </w:t>
      </w:r>
    </w:p>
    <w:p w:rsidR="00A65DCA" w:rsidRPr="006F1248" w:rsidRDefault="00A65DCA" w:rsidP="00D51197">
      <w:pPr>
        <w:pStyle w:val="Heading2"/>
        <w:ind w:left="0"/>
      </w:pPr>
      <w:bookmarkStart w:id="6" w:name="_Toc360718766"/>
      <w:r w:rsidRPr="00D51197">
        <w:t>Progress on the Millennium Development Goals</w:t>
      </w:r>
      <w:bookmarkEnd w:id="6"/>
    </w:p>
    <w:p w:rsidR="0067293C" w:rsidRDefault="00A65DCA" w:rsidP="006F1248">
      <w:pPr>
        <w:pStyle w:val="BodyText"/>
      </w:pPr>
      <w:r w:rsidRPr="007C4075">
        <w:t xml:space="preserve">Where information exists on progress against the Millennium Development Goals (MDGs), </w:t>
      </w:r>
      <w:smartTag w:uri="urn:schemas-microsoft-com:office:smarttags" w:element="place">
        <w:smartTag w:uri="urn:schemas-microsoft-com:office:smarttags" w:element="country-region">
          <w:r w:rsidRPr="007C4075">
            <w:t>Kiribati</w:t>
          </w:r>
        </w:smartTag>
      </w:smartTag>
      <w:r w:rsidR="00ED0066">
        <w:t>—on</w:t>
      </w:r>
      <w:r w:rsidRPr="007C4075">
        <w:t xml:space="preserve"> the whole</w:t>
      </w:r>
      <w:r w:rsidR="00ED0066">
        <w:t>—is not</w:t>
      </w:r>
      <w:r w:rsidRPr="007C4075">
        <w:t xml:space="preserve"> performing </w:t>
      </w:r>
      <w:r w:rsidR="00ED0066">
        <w:t>as</w:t>
      </w:r>
      <w:r w:rsidR="00ED0066" w:rsidRPr="007C4075">
        <w:t xml:space="preserve"> </w:t>
      </w:r>
      <w:r w:rsidRPr="007C4075">
        <w:t xml:space="preserve">well </w:t>
      </w:r>
      <w:r w:rsidR="00ED0066">
        <w:t>as</w:t>
      </w:r>
      <w:r w:rsidRPr="007C4075">
        <w:t xml:space="preserve"> other Pacific small islands states. In 2007, GOK reported it would </w:t>
      </w:r>
      <w:r w:rsidR="0067293C">
        <w:t>not likely</w:t>
      </w:r>
      <w:r w:rsidRPr="007C4075">
        <w:t xml:space="preserve"> achieve </w:t>
      </w:r>
      <w:r w:rsidR="0090308A">
        <w:t xml:space="preserve">the </w:t>
      </w:r>
      <w:r w:rsidRPr="007C4075">
        <w:t>MDGs for poverty and hunger, gender equality, HIV/AIDS, and environmental sustainability.</w:t>
      </w:r>
    </w:p>
    <w:p w:rsidR="00A65DCA" w:rsidRPr="007C4075" w:rsidRDefault="00975119" w:rsidP="006F1248">
      <w:pPr>
        <w:pStyle w:val="BodyText"/>
      </w:pPr>
      <w:r>
        <w:t>Some p</w:t>
      </w:r>
      <w:r w:rsidR="0067293C">
        <w:t xml:space="preserve">rogress has been </w:t>
      </w:r>
      <w:proofErr w:type="gramStart"/>
      <w:r w:rsidR="0067293C">
        <w:t>made,</w:t>
      </w:r>
      <w:proofErr w:type="gramEnd"/>
      <w:r w:rsidR="0067293C">
        <w:t xml:space="preserve"> however, with GOK reporting i</w:t>
      </w:r>
      <w:r w:rsidR="00A65DCA" w:rsidRPr="007C4075">
        <w:t>t should reach child mortality and maternal health</w:t>
      </w:r>
      <w:r w:rsidR="009D3747">
        <w:t xml:space="preserve"> MDGs</w:t>
      </w:r>
      <w:r w:rsidR="00A65DCA" w:rsidRPr="007C4075">
        <w:t>. GOK</w:t>
      </w:r>
      <w:r w:rsidR="009D3747">
        <w:t xml:space="preserve"> has also</w:t>
      </w:r>
      <w:r w:rsidR="00A65DCA" w:rsidRPr="007C4075">
        <w:t xml:space="preserve"> reported </w:t>
      </w:r>
      <w:r w:rsidR="0067293C">
        <w:t xml:space="preserve">it </w:t>
      </w:r>
      <w:r w:rsidR="009D3747">
        <w:t>will</w:t>
      </w:r>
      <w:r w:rsidR="00A65DCA" w:rsidRPr="007C4075">
        <w:t xml:space="preserve"> likely achieve universal primary education, </w:t>
      </w:r>
      <w:r w:rsidR="009D3747">
        <w:t>although in</w:t>
      </w:r>
      <w:r w:rsidR="00A65DCA" w:rsidRPr="007C4075">
        <w:t xml:space="preserve"> 2009</w:t>
      </w:r>
      <w:r w:rsidR="009D3747">
        <w:t xml:space="preserve"> primary school</w:t>
      </w:r>
      <w:r w:rsidR="00A65DCA" w:rsidRPr="007C4075">
        <w:t xml:space="preserve"> enrolments decreased to 87</w:t>
      </w:r>
      <w:r w:rsidR="00ED0066">
        <w:t>%</w:t>
      </w:r>
      <w:r w:rsidR="00A65DCA" w:rsidRPr="007C4075">
        <w:t xml:space="preserve"> from 93</w:t>
      </w:r>
      <w:r w:rsidR="00ED0066">
        <w:t>%</w:t>
      </w:r>
      <w:r w:rsidR="00A65DCA" w:rsidRPr="007C4075">
        <w:t xml:space="preserve"> in 2008</w:t>
      </w:r>
      <w:r w:rsidR="009D3747">
        <w:t>.</w:t>
      </w:r>
      <w:r w:rsidR="00A65DCA" w:rsidRPr="007C4075">
        <w:t xml:space="preserve"> Few other data are available on MDG progress since 2007.</w:t>
      </w:r>
    </w:p>
    <w:p w:rsidR="00A65DCA" w:rsidRPr="001E1E97" w:rsidRDefault="00A65DCA" w:rsidP="00D51197">
      <w:pPr>
        <w:pStyle w:val="Heading2"/>
        <w:ind w:left="0"/>
        <w:rPr>
          <w:rFonts w:ascii="Tahoma" w:hAnsi="Tahoma" w:cs="Tahoma"/>
          <w:szCs w:val="20"/>
        </w:rPr>
      </w:pPr>
      <w:bookmarkStart w:id="7" w:name="_Toc360718767"/>
      <w:r w:rsidRPr="00D51197">
        <w:lastRenderedPageBreak/>
        <w:t xml:space="preserve">Development </w:t>
      </w:r>
      <w:r w:rsidR="00ED0066">
        <w:t>e</w:t>
      </w:r>
      <w:r w:rsidRPr="00D51197">
        <w:t>nvironment</w:t>
      </w:r>
      <w:bookmarkEnd w:id="7"/>
    </w:p>
    <w:p w:rsidR="00B24E8B" w:rsidRDefault="00975119" w:rsidP="006F1248">
      <w:pPr>
        <w:pStyle w:val="BodyText"/>
      </w:pPr>
      <w:r>
        <w:t>A</w:t>
      </w:r>
      <w:r w:rsidR="00A65DCA" w:rsidRPr="00B74771">
        <w:t>round 20</w:t>
      </w:r>
      <w:r w:rsidR="00ED0066">
        <w:t> </w:t>
      </w:r>
      <w:r w:rsidR="00A65DCA" w:rsidRPr="00B74771">
        <w:t>donors work</w:t>
      </w:r>
      <w:r w:rsidR="009D3747">
        <w:t xml:space="preserve"> in </w:t>
      </w:r>
      <w:smartTag w:uri="urn:schemas-microsoft-com:office:smarttags" w:element="place">
        <w:smartTag w:uri="urn:schemas-microsoft-com:office:smarttags" w:element="country-region">
          <w:r w:rsidR="009D3747">
            <w:t>Kiribati</w:t>
          </w:r>
        </w:smartTag>
      </w:smartTag>
      <w:r w:rsidR="00A65DCA" w:rsidRPr="00B74771">
        <w:t>. In 2010,</w:t>
      </w:r>
      <w:r w:rsidR="001D4370">
        <w:t xml:space="preserve"> bilateral</w:t>
      </w:r>
      <w:r w:rsidR="00A65DCA" w:rsidRPr="00B74771">
        <w:t xml:space="preserve"> donor resources made up about 36</w:t>
      </w:r>
      <w:r w:rsidR="00ED0066">
        <w:t>%</w:t>
      </w:r>
      <w:r w:rsidR="0006442B">
        <w:t> </w:t>
      </w:r>
      <w:r w:rsidR="00A65DCA" w:rsidRPr="00B74771">
        <w:t>(A</w:t>
      </w:r>
      <w:r w:rsidR="00ED0066">
        <w:t>$</w:t>
      </w:r>
      <w:r w:rsidR="00A65DCA" w:rsidRPr="00B74771">
        <w:t>49</w:t>
      </w:r>
      <w:r w:rsidR="00ED0066">
        <w:t> </w:t>
      </w:r>
      <w:r w:rsidR="00A65DCA" w:rsidRPr="00B74771">
        <w:t>million) of total GOK expenditure.</w:t>
      </w:r>
      <w:r>
        <w:t xml:space="preserve"> </w:t>
      </w:r>
      <w:smartTag w:uri="urn:schemas-microsoft-com:office:smarttags" w:element="place">
        <w:smartTag w:uri="urn:schemas-microsoft-com:office:smarttags" w:element="country-region">
          <w:r w:rsidR="00A65DCA" w:rsidRPr="00B74771">
            <w:t>Australia</w:t>
          </w:r>
        </w:smartTag>
      </w:smartTag>
      <w:r w:rsidR="00A65DCA" w:rsidRPr="00B74771">
        <w:t xml:space="preserve"> is the largest </w:t>
      </w:r>
      <w:r w:rsidR="0067293C">
        <w:t xml:space="preserve">aid </w:t>
      </w:r>
      <w:r w:rsidR="00A65DCA" w:rsidRPr="00B74771">
        <w:t>donor</w:t>
      </w:r>
      <w:r>
        <w:t>,</w:t>
      </w:r>
      <w:r w:rsidR="00A65DCA" w:rsidRPr="00B74771">
        <w:t xml:space="preserve"> with </w:t>
      </w:r>
      <w:r w:rsidR="002A5188">
        <w:t xml:space="preserve">total official development assistance estimated at </w:t>
      </w:r>
      <w:proofErr w:type="gramStart"/>
      <w:r w:rsidR="00A65DCA" w:rsidRPr="00B74771">
        <w:t>A</w:t>
      </w:r>
      <w:r w:rsidR="00ED0066">
        <w:t>$</w:t>
      </w:r>
      <w:proofErr w:type="gramEnd"/>
      <w:r w:rsidR="00A65DCA" w:rsidRPr="00B74771">
        <w:t>23.9</w:t>
      </w:r>
      <w:r w:rsidR="00ED0066">
        <w:t> </w:t>
      </w:r>
      <w:r w:rsidR="00A65DCA" w:rsidRPr="00B74771">
        <w:t>million</w:t>
      </w:r>
      <w:r w:rsidR="0067293C">
        <w:t xml:space="preserve"> </w:t>
      </w:r>
      <w:r w:rsidR="00A65DCA" w:rsidRPr="00B74771">
        <w:t>(2010</w:t>
      </w:r>
      <w:r w:rsidR="00CF3830">
        <w:t>–</w:t>
      </w:r>
      <w:r w:rsidR="002A5188">
        <w:t>11</w:t>
      </w:r>
      <w:r w:rsidR="00A65DCA" w:rsidRPr="00B74771">
        <w:t>)</w:t>
      </w:r>
      <w:r w:rsidR="00CF3830">
        <w:t>, an increase of</w:t>
      </w:r>
      <w:r w:rsidR="00A65DCA" w:rsidRPr="00B74771">
        <w:t xml:space="preserve"> 9</w:t>
      </w:r>
      <w:r w:rsidR="00ED0066">
        <w:t>%</w:t>
      </w:r>
      <w:r w:rsidR="00A65DCA" w:rsidRPr="00B74771">
        <w:t xml:space="preserve"> over the 2009</w:t>
      </w:r>
      <w:r w:rsidR="00ED0066">
        <w:t>–</w:t>
      </w:r>
      <w:r w:rsidR="00A65DCA" w:rsidRPr="00B74771">
        <w:t xml:space="preserve">10 budget. </w:t>
      </w:r>
      <w:r w:rsidR="00B24E8B">
        <w:t xml:space="preserve">Estimated bilateral </w:t>
      </w:r>
      <w:r w:rsidR="002A5188">
        <w:t>development assistance to</w:t>
      </w:r>
      <w:r w:rsidR="00B24E8B">
        <w:t xml:space="preserve"> </w:t>
      </w:r>
      <w:smartTag w:uri="urn:schemas-microsoft-com:office:smarttags" w:element="place">
        <w:smartTag w:uri="urn:schemas-microsoft-com:office:smarttags" w:element="country-region">
          <w:r w:rsidR="00B24E8B">
            <w:t>Kiribati</w:t>
          </w:r>
        </w:smartTag>
      </w:smartTag>
      <w:r w:rsidR="00B24E8B">
        <w:t xml:space="preserve"> in 2009–10 is in Table 1.</w:t>
      </w:r>
    </w:p>
    <w:p w:rsidR="00D04B3F" w:rsidRDefault="00D04B3F" w:rsidP="00D04B3F">
      <w:pPr>
        <w:pStyle w:val="Caption"/>
      </w:pPr>
      <w:r>
        <w:t xml:space="preserve">Table </w:t>
      </w:r>
      <w:fldSimple w:instr=" SEQ Table \* MERGEFORMAT ">
        <w:r w:rsidR="001E4FE0">
          <w:rPr>
            <w:noProof/>
          </w:rPr>
          <w:t>1</w:t>
        </w:r>
      </w:fldSimple>
      <w:r>
        <w:t xml:space="preserve">: Estimated bilateral </w:t>
      </w:r>
      <w:r w:rsidR="002A5188">
        <w:t xml:space="preserve">development assistance to </w:t>
      </w:r>
      <w:smartTag w:uri="urn:schemas-microsoft-com:office:smarttags" w:element="place">
        <w:smartTag w:uri="urn:schemas-microsoft-com:office:smarttags" w:element="country-region">
          <w:r>
            <w:t>Kiribati</w:t>
          </w:r>
        </w:smartTag>
      </w:smartTag>
      <w:r>
        <w:t xml:space="preserve"> in 2009</w:t>
      </w:r>
      <w:r w:rsidR="00ED0066">
        <w:t>–</w:t>
      </w:r>
      <w:r>
        <w:t>10</w:t>
      </w:r>
    </w:p>
    <w:tbl>
      <w:tblPr>
        <w:tblW w:w="7938" w:type="dxa"/>
        <w:tblInd w:w="57" w:type="dxa"/>
        <w:tblLayout w:type="fixed"/>
        <w:tblLook w:val="01E0" w:firstRow="1" w:lastRow="1" w:firstColumn="1" w:lastColumn="1" w:noHBand="0" w:noVBand="0"/>
      </w:tblPr>
      <w:tblGrid>
        <w:gridCol w:w="4536"/>
        <w:gridCol w:w="1134"/>
        <w:gridCol w:w="2268"/>
      </w:tblGrid>
      <w:tr w:rsidR="00D04B3F" w:rsidRPr="002D48ED" w:rsidTr="007E749A">
        <w:trPr>
          <w:cantSplit/>
          <w:tblHeader/>
        </w:trPr>
        <w:tc>
          <w:tcPr>
            <w:tcW w:w="4536" w:type="dxa"/>
            <w:tcBorders>
              <w:top w:val="single" w:sz="12" w:space="0" w:color="auto"/>
              <w:bottom w:val="single" w:sz="2" w:space="0" w:color="auto"/>
            </w:tcBorders>
          </w:tcPr>
          <w:p w:rsidR="00D04B3F" w:rsidRPr="00A2123C" w:rsidRDefault="00D04B3F" w:rsidP="007E749A">
            <w:pPr>
              <w:pStyle w:val="TableDataColumnHeading"/>
              <w:jc w:val="left"/>
            </w:pPr>
            <w:r w:rsidRPr="00A2123C">
              <w:t>Sector</w:t>
            </w:r>
          </w:p>
        </w:tc>
        <w:tc>
          <w:tcPr>
            <w:tcW w:w="1134" w:type="dxa"/>
            <w:tcBorders>
              <w:top w:val="single" w:sz="12" w:space="0" w:color="auto"/>
              <w:bottom w:val="single" w:sz="2" w:space="0" w:color="auto"/>
            </w:tcBorders>
          </w:tcPr>
          <w:p w:rsidR="00D04B3F" w:rsidRPr="00A2123C" w:rsidRDefault="00D04B3F" w:rsidP="006F1248">
            <w:pPr>
              <w:pStyle w:val="TableDataColumnHeading"/>
            </w:pPr>
            <w:r w:rsidRPr="00A2123C">
              <w:t>$ million</w:t>
            </w:r>
          </w:p>
        </w:tc>
        <w:tc>
          <w:tcPr>
            <w:tcW w:w="2268" w:type="dxa"/>
            <w:tcBorders>
              <w:top w:val="single" w:sz="12" w:space="0" w:color="auto"/>
              <w:bottom w:val="single" w:sz="2" w:space="0" w:color="auto"/>
            </w:tcBorders>
          </w:tcPr>
          <w:p w:rsidR="00D04B3F" w:rsidRPr="00A2123C" w:rsidRDefault="00D04B3F" w:rsidP="006F1248">
            <w:pPr>
              <w:pStyle w:val="TableDataColumnHeading"/>
            </w:pPr>
            <w:r w:rsidRPr="00A2123C">
              <w:t>% of bilateral program</w:t>
            </w:r>
          </w:p>
        </w:tc>
      </w:tr>
      <w:tr w:rsidR="00D04B3F" w:rsidTr="007E749A">
        <w:trPr>
          <w:cantSplit/>
        </w:trPr>
        <w:tc>
          <w:tcPr>
            <w:tcW w:w="4536" w:type="dxa"/>
            <w:tcBorders>
              <w:top w:val="single" w:sz="2" w:space="0" w:color="auto"/>
            </w:tcBorders>
          </w:tcPr>
          <w:p w:rsidR="00D04B3F" w:rsidRPr="00072093" w:rsidRDefault="001D4370" w:rsidP="007E749A">
            <w:pPr>
              <w:pStyle w:val="TableDataEntries"/>
              <w:jc w:val="left"/>
            </w:pPr>
            <w:r>
              <w:t>Basic e</w:t>
            </w:r>
            <w:r w:rsidR="00D04B3F" w:rsidRPr="00072093">
              <w:t>ducation</w:t>
            </w:r>
          </w:p>
        </w:tc>
        <w:tc>
          <w:tcPr>
            <w:tcW w:w="1134" w:type="dxa"/>
            <w:tcBorders>
              <w:top w:val="single" w:sz="2" w:space="0" w:color="auto"/>
            </w:tcBorders>
            <w:vAlign w:val="bottom"/>
          </w:tcPr>
          <w:p w:rsidR="00D04B3F" w:rsidRPr="00A2123C" w:rsidRDefault="00D04B3F" w:rsidP="006F1248">
            <w:pPr>
              <w:pStyle w:val="TableDataEntries"/>
            </w:pPr>
            <w:r w:rsidRPr="00A2123C">
              <w:t>2.9</w:t>
            </w:r>
          </w:p>
        </w:tc>
        <w:tc>
          <w:tcPr>
            <w:tcW w:w="2268" w:type="dxa"/>
            <w:tcBorders>
              <w:top w:val="single" w:sz="2" w:space="0" w:color="auto"/>
            </w:tcBorders>
          </w:tcPr>
          <w:p w:rsidR="00D04B3F" w:rsidRPr="00072093" w:rsidRDefault="00D04B3F" w:rsidP="006F1248">
            <w:pPr>
              <w:pStyle w:val="TableDataEntries"/>
            </w:pPr>
            <w:r>
              <w:t>22</w:t>
            </w:r>
          </w:p>
        </w:tc>
      </w:tr>
      <w:tr w:rsidR="00D04B3F" w:rsidTr="007E749A">
        <w:trPr>
          <w:cantSplit/>
        </w:trPr>
        <w:tc>
          <w:tcPr>
            <w:tcW w:w="4536" w:type="dxa"/>
          </w:tcPr>
          <w:p w:rsidR="00D04B3F" w:rsidRPr="00072093" w:rsidRDefault="00D04B3F" w:rsidP="007E749A">
            <w:pPr>
              <w:pStyle w:val="TableDataEntries"/>
              <w:jc w:val="left"/>
            </w:pPr>
            <w:r w:rsidRPr="00072093">
              <w:t xml:space="preserve">Workforce </w:t>
            </w:r>
            <w:r w:rsidR="00ED0066">
              <w:t>s</w:t>
            </w:r>
            <w:r w:rsidRPr="00072093">
              <w:t xml:space="preserve">kills </w:t>
            </w:r>
            <w:r w:rsidR="00ED0066">
              <w:t>d</w:t>
            </w:r>
            <w:r w:rsidRPr="00072093">
              <w:t>evelopment</w:t>
            </w:r>
          </w:p>
        </w:tc>
        <w:tc>
          <w:tcPr>
            <w:tcW w:w="1134" w:type="dxa"/>
            <w:vAlign w:val="bottom"/>
          </w:tcPr>
          <w:p w:rsidR="00D04B3F" w:rsidRPr="00A2123C" w:rsidRDefault="00D04B3F" w:rsidP="006F1248">
            <w:pPr>
              <w:pStyle w:val="TableDataEntries"/>
            </w:pPr>
            <w:r w:rsidRPr="00A2123C">
              <w:t>5.6</w:t>
            </w:r>
          </w:p>
        </w:tc>
        <w:tc>
          <w:tcPr>
            <w:tcW w:w="2268" w:type="dxa"/>
          </w:tcPr>
          <w:p w:rsidR="00D04B3F" w:rsidRPr="00072093" w:rsidRDefault="00D04B3F" w:rsidP="006F1248">
            <w:pPr>
              <w:pStyle w:val="TableDataEntries"/>
            </w:pPr>
            <w:r>
              <w:t>42</w:t>
            </w:r>
          </w:p>
        </w:tc>
      </w:tr>
      <w:tr w:rsidR="00D04B3F" w:rsidTr="007E749A">
        <w:trPr>
          <w:cantSplit/>
        </w:trPr>
        <w:tc>
          <w:tcPr>
            <w:tcW w:w="4536" w:type="dxa"/>
          </w:tcPr>
          <w:p w:rsidR="00D04B3F" w:rsidRPr="00072093" w:rsidRDefault="00D04B3F" w:rsidP="007E749A">
            <w:pPr>
              <w:pStyle w:val="TableDataEntries"/>
              <w:jc w:val="left"/>
            </w:pPr>
            <w:r>
              <w:t xml:space="preserve">Growth and </w:t>
            </w:r>
            <w:r w:rsidR="00ED0066">
              <w:t>e</w:t>
            </w:r>
            <w:r>
              <w:t xml:space="preserve">conomic </w:t>
            </w:r>
            <w:r w:rsidR="00ED0066">
              <w:t>m</w:t>
            </w:r>
            <w:r>
              <w:t>anagement</w:t>
            </w:r>
          </w:p>
        </w:tc>
        <w:tc>
          <w:tcPr>
            <w:tcW w:w="1134" w:type="dxa"/>
            <w:vAlign w:val="bottom"/>
          </w:tcPr>
          <w:p w:rsidR="00D04B3F" w:rsidRPr="00A2123C" w:rsidRDefault="00D04B3F" w:rsidP="006F1248">
            <w:pPr>
              <w:pStyle w:val="TableDataEntries"/>
            </w:pPr>
            <w:r w:rsidRPr="00A2123C">
              <w:t>2.0</w:t>
            </w:r>
          </w:p>
        </w:tc>
        <w:tc>
          <w:tcPr>
            <w:tcW w:w="2268" w:type="dxa"/>
          </w:tcPr>
          <w:p w:rsidR="00D04B3F" w:rsidRPr="00072093" w:rsidRDefault="00D04B3F" w:rsidP="006F1248">
            <w:pPr>
              <w:pStyle w:val="TableDataEntries"/>
            </w:pPr>
            <w:r>
              <w:t>15</w:t>
            </w:r>
          </w:p>
        </w:tc>
      </w:tr>
      <w:tr w:rsidR="00A2123C" w:rsidTr="007E749A">
        <w:trPr>
          <w:cantSplit/>
        </w:trPr>
        <w:tc>
          <w:tcPr>
            <w:tcW w:w="4536" w:type="dxa"/>
          </w:tcPr>
          <w:p w:rsidR="00A2123C" w:rsidRPr="00072093" w:rsidRDefault="00A2123C" w:rsidP="007E749A">
            <w:pPr>
              <w:pStyle w:val="TableDataEntries"/>
              <w:jc w:val="left"/>
            </w:pPr>
            <w:r>
              <w:t>Reduc</w:t>
            </w:r>
            <w:r w:rsidR="00261151">
              <w:t>ed</w:t>
            </w:r>
            <w:r>
              <w:t xml:space="preserve"> vulnerabilities</w:t>
            </w:r>
          </w:p>
        </w:tc>
        <w:tc>
          <w:tcPr>
            <w:tcW w:w="1134" w:type="dxa"/>
            <w:vAlign w:val="bottom"/>
          </w:tcPr>
          <w:p w:rsidR="00A2123C" w:rsidRPr="00A2123C" w:rsidRDefault="00A2123C" w:rsidP="006F1248">
            <w:pPr>
              <w:pStyle w:val="TableDataEntries"/>
            </w:pPr>
            <w:r>
              <w:t>0</w:t>
            </w:r>
            <w:r w:rsidRPr="00A2123C">
              <w:t>.6</w:t>
            </w:r>
          </w:p>
        </w:tc>
        <w:tc>
          <w:tcPr>
            <w:tcW w:w="2268" w:type="dxa"/>
          </w:tcPr>
          <w:p w:rsidR="00A2123C" w:rsidRPr="00072093" w:rsidRDefault="00073DD4" w:rsidP="006F1248">
            <w:pPr>
              <w:pStyle w:val="TableDataEntries"/>
            </w:pPr>
            <w:r>
              <w:t xml:space="preserve">  </w:t>
            </w:r>
            <w:r w:rsidR="00A2123C">
              <w:t>5</w:t>
            </w:r>
          </w:p>
        </w:tc>
      </w:tr>
      <w:tr w:rsidR="00A2123C" w:rsidTr="007E749A">
        <w:trPr>
          <w:cantSplit/>
        </w:trPr>
        <w:tc>
          <w:tcPr>
            <w:tcW w:w="4536" w:type="dxa"/>
            <w:tcBorders>
              <w:bottom w:val="single" w:sz="2" w:space="0" w:color="auto"/>
            </w:tcBorders>
          </w:tcPr>
          <w:p w:rsidR="00A2123C" w:rsidRPr="00072093" w:rsidRDefault="00A2123C" w:rsidP="007E749A">
            <w:pPr>
              <w:pStyle w:val="TableDataEntries"/>
              <w:jc w:val="left"/>
            </w:pPr>
            <w:r>
              <w:t xml:space="preserve">Other </w:t>
            </w:r>
          </w:p>
        </w:tc>
        <w:tc>
          <w:tcPr>
            <w:tcW w:w="1134" w:type="dxa"/>
            <w:tcBorders>
              <w:bottom w:val="single" w:sz="2" w:space="0" w:color="auto"/>
            </w:tcBorders>
            <w:vAlign w:val="bottom"/>
          </w:tcPr>
          <w:p w:rsidR="00A2123C" w:rsidRPr="00A2123C" w:rsidRDefault="00A2123C" w:rsidP="006F1248">
            <w:pPr>
              <w:pStyle w:val="TableDataEntries"/>
            </w:pPr>
            <w:r w:rsidRPr="00A2123C">
              <w:t>2.1</w:t>
            </w:r>
          </w:p>
        </w:tc>
        <w:tc>
          <w:tcPr>
            <w:tcW w:w="2268" w:type="dxa"/>
            <w:tcBorders>
              <w:bottom w:val="single" w:sz="2" w:space="0" w:color="auto"/>
            </w:tcBorders>
          </w:tcPr>
          <w:p w:rsidR="00A2123C" w:rsidRPr="00072093" w:rsidRDefault="00A2123C" w:rsidP="006F1248">
            <w:pPr>
              <w:pStyle w:val="TableDataEntries"/>
            </w:pPr>
            <w:r>
              <w:t>16</w:t>
            </w:r>
          </w:p>
        </w:tc>
      </w:tr>
      <w:tr w:rsidR="00A2123C" w:rsidTr="007E749A">
        <w:trPr>
          <w:cantSplit/>
        </w:trPr>
        <w:tc>
          <w:tcPr>
            <w:tcW w:w="4536" w:type="dxa"/>
            <w:tcBorders>
              <w:top w:val="single" w:sz="2" w:space="0" w:color="auto"/>
              <w:bottom w:val="single" w:sz="12" w:space="0" w:color="auto"/>
            </w:tcBorders>
          </w:tcPr>
          <w:p w:rsidR="00A2123C" w:rsidRPr="00A23258" w:rsidRDefault="00A2123C" w:rsidP="007E749A">
            <w:pPr>
              <w:pStyle w:val="TableDataEntries"/>
              <w:jc w:val="left"/>
            </w:pPr>
            <w:r w:rsidRPr="00A23258">
              <w:t>Total</w:t>
            </w:r>
          </w:p>
        </w:tc>
        <w:tc>
          <w:tcPr>
            <w:tcW w:w="1134" w:type="dxa"/>
            <w:tcBorders>
              <w:top w:val="single" w:sz="2" w:space="0" w:color="auto"/>
              <w:bottom w:val="single" w:sz="12" w:space="0" w:color="auto"/>
            </w:tcBorders>
            <w:vAlign w:val="bottom"/>
          </w:tcPr>
          <w:p w:rsidR="00A2123C" w:rsidRPr="00A23258" w:rsidRDefault="00A2123C" w:rsidP="006F1248">
            <w:pPr>
              <w:pStyle w:val="TableDataEntries"/>
            </w:pPr>
            <w:r w:rsidRPr="00A23258">
              <w:t>13.2</w:t>
            </w:r>
          </w:p>
        </w:tc>
        <w:tc>
          <w:tcPr>
            <w:tcW w:w="2268" w:type="dxa"/>
            <w:tcBorders>
              <w:top w:val="single" w:sz="2" w:space="0" w:color="auto"/>
              <w:bottom w:val="single" w:sz="12" w:space="0" w:color="auto"/>
            </w:tcBorders>
          </w:tcPr>
          <w:p w:rsidR="00A2123C" w:rsidRPr="00A23258" w:rsidRDefault="00A2123C" w:rsidP="006F1248">
            <w:pPr>
              <w:pStyle w:val="TableDataEntries"/>
            </w:pPr>
            <w:r w:rsidRPr="00A23258">
              <w:t>100</w:t>
            </w:r>
          </w:p>
        </w:tc>
      </w:tr>
    </w:tbl>
    <w:p w:rsidR="00B74771" w:rsidRDefault="00B74771" w:rsidP="006F1248">
      <w:pPr>
        <w:pStyle w:val="Heading1"/>
        <w:spacing w:after="0"/>
        <w:ind w:left="0"/>
      </w:pPr>
      <w:bookmarkStart w:id="8" w:name="_Toc360718768"/>
      <w:r>
        <w:t xml:space="preserve">Results of the </w:t>
      </w:r>
      <w:smartTag w:uri="urn:schemas-microsoft-com:office:smarttags" w:element="place">
        <w:smartTag w:uri="urn:schemas-microsoft-com:office:smarttags" w:element="country-region">
          <w:r>
            <w:t>Kiribati</w:t>
          </w:r>
        </w:smartTag>
      </w:smartTag>
      <w:r>
        <w:t xml:space="preserve"> program</w:t>
      </w:r>
      <w:bookmarkEnd w:id="8"/>
    </w:p>
    <w:p w:rsidR="00B74771" w:rsidRPr="00B74771" w:rsidRDefault="00B74771" w:rsidP="006F1248">
      <w:pPr>
        <w:pStyle w:val="Heading2"/>
        <w:spacing w:before="200"/>
        <w:ind w:left="0"/>
      </w:pPr>
      <w:bookmarkStart w:id="9" w:name="_Toc360718769"/>
      <w:r w:rsidRPr="00B74771">
        <w:t>O</w:t>
      </w:r>
      <w:bookmarkStart w:id="10" w:name="Overall"/>
      <w:bookmarkEnd w:id="10"/>
      <w:r w:rsidRPr="00B74771">
        <w:t xml:space="preserve">verall </w:t>
      </w:r>
      <w:r w:rsidR="00EF1F59">
        <w:t>p</w:t>
      </w:r>
      <w:r w:rsidRPr="00B74771">
        <w:t>rogress</w:t>
      </w:r>
      <w:bookmarkEnd w:id="9"/>
    </w:p>
    <w:p w:rsidR="00C31F24" w:rsidRDefault="00B74771" w:rsidP="009B13C0">
      <w:pPr>
        <w:pStyle w:val="BodyText"/>
      </w:pPr>
      <w:r w:rsidRPr="00B74771">
        <w:t xml:space="preserve">Progress </w:t>
      </w:r>
      <w:r w:rsidR="00975119">
        <w:t>against the program</w:t>
      </w:r>
      <w:r w:rsidR="006930C8">
        <w:t>’</w:t>
      </w:r>
      <w:r w:rsidR="00975119">
        <w:t xml:space="preserve">s </w:t>
      </w:r>
      <w:r w:rsidR="00C31F24">
        <w:t>mutually-agreed</w:t>
      </w:r>
      <w:r w:rsidR="00975119">
        <w:t xml:space="preserve"> </w:t>
      </w:r>
      <w:r w:rsidR="009A5576">
        <w:t xml:space="preserve">priority outcomes </w:t>
      </w:r>
      <w:r w:rsidR="00975119">
        <w:t xml:space="preserve">in 2009 are in Table 2. </w:t>
      </w:r>
      <w:r w:rsidR="0006442B">
        <w:br/>
      </w:r>
      <w:r w:rsidR="00975119">
        <w:t>The ratings</w:t>
      </w:r>
      <w:r w:rsidRPr="00B74771">
        <w:t xml:space="preserve"> are based on </w:t>
      </w:r>
      <w:r w:rsidR="002441E9">
        <w:t xml:space="preserve">early indications </w:t>
      </w:r>
      <w:r w:rsidR="00975119">
        <w:t>that the</w:t>
      </w:r>
      <w:r w:rsidR="009A5576">
        <w:t>se outcomes</w:t>
      </w:r>
      <w:r w:rsidR="00975119">
        <w:t xml:space="preserve"> </w:t>
      </w:r>
      <w:r w:rsidR="00C31F24">
        <w:t>wil</w:t>
      </w:r>
      <w:r w:rsidR="0059480C">
        <w:t>l likely</w:t>
      </w:r>
      <w:r w:rsidR="00C31F24">
        <w:t xml:space="preserve"> be met</w:t>
      </w:r>
      <w:r w:rsidR="00A21BFC">
        <w:t>. The</w:t>
      </w:r>
      <w:r w:rsidR="00817C59">
        <w:t>y</w:t>
      </w:r>
      <w:r w:rsidRPr="00B74771">
        <w:t xml:space="preserve"> take into account </w:t>
      </w:r>
      <w:r w:rsidR="00C31F24">
        <w:t>the views and</w:t>
      </w:r>
      <w:r w:rsidR="002441E9">
        <w:t xml:space="preserve"> assessments</w:t>
      </w:r>
      <w:r w:rsidRPr="00B74771">
        <w:t xml:space="preserve"> </w:t>
      </w:r>
      <w:r w:rsidR="00C31F24">
        <w:t>of</w:t>
      </w:r>
      <w:r w:rsidRPr="00B74771">
        <w:t xml:space="preserve"> </w:t>
      </w:r>
      <w:smartTag w:uri="urn:schemas-microsoft-com:office:smarttags" w:element="country-region">
        <w:r w:rsidRPr="00B74771">
          <w:t>Australia</w:t>
        </w:r>
      </w:smartTag>
      <w:r w:rsidRPr="00B74771">
        <w:t xml:space="preserve">, </w:t>
      </w:r>
      <w:smartTag w:uri="urn:schemas-microsoft-com:office:smarttags" w:element="place">
        <w:smartTag w:uri="urn:schemas-microsoft-com:office:smarttags" w:element="country-region">
          <w:r w:rsidRPr="00B74771">
            <w:t>Kiribati</w:t>
          </w:r>
        </w:smartTag>
      </w:smartTag>
      <w:r w:rsidRPr="00B74771">
        <w:t xml:space="preserve"> and the other donor partner</w:t>
      </w:r>
      <w:r w:rsidR="0086696D">
        <w:t>. A</w:t>
      </w:r>
      <w:r w:rsidR="00D636AF">
        <w:t xml:space="preserve">t the </w:t>
      </w:r>
      <w:r w:rsidR="0086696D" w:rsidRPr="00A23258">
        <w:t xml:space="preserve">2010 </w:t>
      </w:r>
      <w:smartTag w:uri="urn:schemas-microsoft-com:office:smarttags" w:element="place">
        <w:smartTag w:uri="urn:schemas-microsoft-com:office:smarttags" w:element="country-region">
          <w:r w:rsidR="0086696D" w:rsidRPr="00A23258">
            <w:t>Kiribati</w:t>
          </w:r>
        </w:smartTag>
      </w:smartTag>
      <w:r w:rsidR="0086696D">
        <w:t xml:space="preserve"> – </w:t>
      </w:r>
      <w:r w:rsidR="0086696D" w:rsidRPr="00A23258">
        <w:t>Australia Partnership Talks</w:t>
      </w:r>
      <w:r w:rsidR="0086696D">
        <w:t xml:space="preserve">, AusAID agreed </w:t>
      </w:r>
      <w:r w:rsidR="00D636AF">
        <w:t xml:space="preserve">to </w:t>
      </w:r>
      <w:r w:rsidR="0086696D">
        <w:t xml:space="preserve">continue to </w:t>
      </w:r>
      <w:r w:rsidR="00D636AF">
        <w:t xml:space="preserve">focus on these </w:t>
      </w:r>
      <w:r w:rsidR="0086696D">
        <w:t>p</w:t>
      </w:r>
      <w:r w:rsidR="00D636AF">
        <w:t>riorit</w:t>
      </w:r>
      <w:r w:rsidR="0086696D">
        <w:t>y outcome areas for the next</w:t>
      </w:r>
      <w:r w:rsidR="00D636AF">
        <w:t xml:space="preserve"> 12 months at least</w:t>
      </w:r>
      <w:r w:rsidR="0086696D">
        <w:t>.</w:t>
      </w:r>
      <w:r w:rsidR="00D636AF">
        <w:t xml:space="preserve"> AusAID will also continue to investigate new areas of need and support these through regional and multilateral organisations</w:t>
      </w:r>
      <w:r w:rsidR="0086696D">
        <w:t>.</w:t>
      </w:r>
      <w:r w:rsidRPr="00B74771">
        <w:t xml:space="preserve"> </w:t>
      </w:r>
    </w:p>
    <w:p w:rsidR="00B74771" w:rsidRPr="00BC51AA" w:rsidRDefault="00B74771" w:rsidP="009B13C0">
      <w:pPr>
        <w:pStyle w:val="BodyText"/>
      </w:pPr>
      <w:r w:rsidRPr="00B74771">
        <w:t xml:space="preserve">All </w:t>
      </w:r>
      <w:r w:rsidR="009A5576">
        <w:t>priority outcomes</w:t>
      </w:r>
      <w:r w:rsidR="009A5576" w:rsidRPr="00B74771">
        <w:t xml:space="preserve"> </w:t>
      </w:r>
      <w:r w:rsidR="001D4370">
        <w:t xml:space="preserve">are </w:t>
      </w:r>
      <w:r w:rsidR="00EF1F59">
        <w:t xml:space="preserve">rated </w:t>
      </w:r>
      <w:r w:rsidR="006930C8">
        <w:t>‘</w:t>
      </w:r>
      <w:r w:rsidRPr="00B74771">
        <w:t>partly achieved</w:t>
      </w:r>
      <w:r w:rsidR="006930C8">
        <w:t>’</w:t>
      </w:r>
      <w:r w:rsidR="00C31F24">
        <w:t xml:space="preserve"> in 2009</w:t>
      </w:r>
      <w:r w:rsidRPr="00B74771">
        <w:t xml:space="preserve">. </w:t>
      </w:r>
      <w:r w:rsidR="00C31F24">
        <w:t>While</w:t>
      </w:r>
      <w:r w:rsidRPr="00B74771">
        <w:t xml:space="preserve"> considerable design work has been undertaken to ensure</w:t>
      </w:r>
      <w:r w:rsidR="00C31F24">
        <w:t xml:space="preserve"> </w:t>
      </w:r>
      <w:r w:rsidRPr="00B74771">
        <w:t>effectiveness of programs</w:t>
      </w:r>
      <w:r w:rsidR="00C31F24">
        <w:t xml:space="preserve">, progress was affected by the constraints faced by </w:t>
      </w:r>
      <w:smartTag w:uri="urn:schemas-microsoft-com:office:smarttags" w:element="place">
        <w:smartTag w:uri="urn:schemas-microsoft-com:office:smarttags" w:element="country-region">
          <w:r w:rsidR="00C31F24">
            <w:t>Kiribati</w:t>
          </w:r>
        </w:smartTag>
      </w:smartTag>
      <w:r w:rsidR="00C31F24">
        <w:t>, which could</w:t>
      </w:r>
      <w:r w:rsidRPr="00B74771">
        <w:t xml:space="preserve"> </w:t>
      </w:r>
      <w:r w:rsidR="00EF1F59">
        <w:t>get worse</w:t>
      </w:r>
      <w:r w:rsidRPr="00B74771">
        <w:t xml:space="preserve">, not </w:t>
      </w:r>
      <w:r w:rsidR="00EF1F59">
        <w:t>better</w:t>
      </w:r>
      <w:r w:rsidRPr="00B74771">
        <w:t>, in the short</w:t>
      </w:r>
      <w:r w:rsidR="00DD255A">
        <w:t xml:space="preserve"> to medium </w:t>
      </w:r>
      <w:r w:rsidRPr="00B74771">
        <w:t>term.</w:t>
      </w:r>
    </w:p>
    <w:p w:rsidR="00B74771" w:rsidRDefault="00B74771" w:rsidP="00B74771">
      <w:pPr>
        <w:pStyle w:val="Caption"/>
      </w:pPr>
      <w:r>
        <w:t xml:space="preserve">Table </w:t>
      </w:r>
      <w:r w:rsidR="00A2123C">
        <w:t>2</w:t>
      </w:r>
      <w:r>
        <w:t xml:space="preserve">: Ratings of the program’s progress </w:t>
      </w:r>
      <w:r w:rsidR="00E56DB2">
        <w:t xml:space="preserve">against </w:t>
      </w:r>
      <w:r w:rsidR="009A5576">
        <w:t xml:space="preserve">priority outcomes </w:t>
      </w:r>
      <w:r>
        <w:t>in 2009</w:t>
      </w:r>
    </w:p>
    <w:tbl>
      <w:tblPr>
        <w:tblW w:w="7938" w:type="dxa"/>
        <w:tblInd w:w="57" w:type="dxa"/>
        <w:tblLayout w:type="fixed"/>
        <w:tblLook w:val="01E0" w:firstRow="1" w:lastRow="1" w:firstColumn="1" w:lastColumn="1" w:noHBand="0" w:noVBand="0"/>
      </w:tblPr>
      <w:tblGrid>
        <w:gridCol w:w="6606"/>
        <w:gridCol w:w="1332"/>
      </w:tblGrid>
      <w:tr w:rsidR="00B74771" w:rsidRPr="009B13C0">
        <w:trPr>
          <w:cantSplit/>
          <w:tblHeader/>
        </w:trPr>
        <w:tc>
          <w:tcPr>
            <w:tcW w:w="6606" w:type="dxa"/>
            <w:tcBorders>
              <w:top w:val="single" w:sz="12" w:space="0" w:color="auto"/>
              <w:bottom w:val="single" w:sz="2" w:space="0" w:color="auto"/>
            </w:tcBorders>
            <w:shd w:val="clear" w:color="auto" w:fill="auto"/>
            <w:tcMar>
              <w:left w:w="57" w:type="dxa"/>
              <w:right w:w="57" w:type="dxa"/>
            </w:tcMar>
          </w:tcPr>
          <w:p w:rsidR="00B74771" w:rsidRPr="009B13C0" w:rsidRDefault="009A5576" w:rsidP="003A7AD5">
            <w:pPr>
              <w:pStyle w:val="TableTextColumnHeading"/>
              <w:keepNext/>
            </w:pPr>
            <w:r w:rsidRPr="009B13C0">
              <w:t>Priority outcomes</w:t>
            </w:r>
          </w:p>
        </w:tc>
        <w:tc>
          <w:tcPr>
            <w:tcW w:w="1332" w:type="dxa"/>
            <w:tcBorders>
              <w:top w:val="single" w:sz="12" w:space="0" w:color="auto"/>
              <w:bottom w:val="single" w:sz="2" w:space="0" w:color="auto"/>
            </w:tcBorders>
            <w:shd w:val="clear" w:color="auto" w:fill="auto"/>
            <w:tcMar>
              <w:left w:w="57" w:type="dxa"/>
              <w:right w:w="57" w:type="dxa"/>
            </w:tcMar>
          </w:tcPr>
          <w:p w:rsidR="00B74771" w:rsidRPr="009B13C0" w:rsidRDefault="00B74771" w:rsidP="003A7AD5">
            <w:pPr>
              <w:pStyle w:val="TableTextColumnHeading"/>
              <w:keepNext/>
              <w:jc w:val="center"/>
            </w:pPr>
            <w:r w:rsidRPr="009B13C0">
              <w:t>Rating in 2009</w:t>
            </w:r>
          </w:p>
        </w:tc>
      </w:tr>
      <w:tr w:rsidR="00B74771" w:rsidRPr="00D81B5B">
        <w:trPr>
          <w:cantSplit/>
        </w:trPr>
        <w:tc>
          <w:tcPr>
            <w:tcW w:w="6606" w:type="dxa"/>
            <w:tcBorders>
              <w:top w:val="single" w:sz="2" w:space="0" w:color="auto"/>
            </w:tcBorders>
            <w:tcMar>
              <w:left w:w="57" w:type="dxa"/>
              <w:right w:w="57" w:type="dxa"/>
            </w:tcMar>
            <w:vAlign w:val="center"/>
          </w:tcPr>
          <w:p w:rsidR="00B74771" w:rsidRPr="0058729F" w:rsidRDefault="00B74771" w:rsidP="003A7AD5">
            <w:pPr>
              <w:pStyle w:val="TableListNumber"/>
              <w:keepNext/>
            </w:pPr>
            <w:r w:rsidRPr="00136E68">
              <w:t xml:space="preserve">Improved standards in </w:t>
            </w:r>
            <w:r w:rsidR="00EF1F59">
              <w:t>b</w:t>
            </w:r>
            <w:r w:rsidRPr="00BC51AA">
              <w:t xml:space="preserve">asic </w:t>
            </w:r>
            <w:r w:rsidR="00EF1F59">
              <w:t>e</w:t>
            </w:r>
            <w:r w:rsidRPr="00BC51AA">
              <w:t>ducation</w:t>
            </w:r>
            <w:r w:rsidRPr="00136E68">
              <w:t>, both access and quality.</w:t>
            </w:r>
          </w:p>
        </w:tc>
        <w:tc>
          <w:tcPr>
            <w:tcW w:w="1332" w:type="dxa"/>
            <w:tcBorders>
              <w:top w:val="single" w:sz="2" w:space="0" w:color="auto"/>
            </w:tcBorders>
            <w:shd w:val="clear" w:color="auto" w:fill="auto"/>
            <w:tcMar>
              <w:left w:w="57" w:type="dxa"/>
              <w:right w:w="57" w:type="dxa"/>
            </w:tcMar>
            <w:vAlign w:val="center"/>
          </w:tcPr>
          <w:p w:rsidR="00B74771" w:rsidRPr="0058729F" w:rsidRDefault="004F457D" w:rsidP="003A7AD5">
            <w:pPr>
              <w:pStyle w:val="Ratingbullet"/>
              <w:keepNext/>
              <w:spacing w:before="80" w:after="80"/>
            </w:pPr>
            <w:r>
              <w:rPr>
                <w:noProof/>
                <w:lang w:val="en-US"/>
              </w:rPr>
              <mc:AlternateContent>
                <mc:Choice Requires="wps">
                  <w:drawing>
                    <wp:anchor distT="0" distB="0" distL="114300" distR="114300" simplePos="0" relativeHeight="251661824" behindDoc="0" locked="0" layoutInCell="1" allowOverlap="1">
                      <wp:simplePos x="0" y="0"/>
                      <wp:positionH relativeFrom="column">
                        <wp:posOffset>328295</wp:posOffset>
                      </wp:positionH>
                      <wp:positionV relativeFrom="paragraph">
                        <wp:posOffset>932180</wp:posOffset>
                      </wp:positionV>
                      <wp:extent cx="120650" cy="138430"/>
                      <wp:effectExtent l="0" t="0" r="0" b="0"/>
                      <wp:wrapNone/>
                      <wp:docPr id="11" name="Rectangle 7" descr="Yellow"/>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0" cy="138430"/>
                              </a:xfrm>
                              <a:prstGeom prst="rect">
                                <a:avLst/>
                              </a:prstGeom>
                              <a:solidFill>
                                <a:srgbClr val="FFC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6" alt="Yellow" style="position:absolute;margin-left:25.85pt;margin-top:73.4pt;width:9.5pt;height:10.9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VpYiAIAAAoFAAAOAAAAZHJzL2Uyb0RvYy54bWysVE2P0zAQvSPxHyzfu/nY9CPRpqulSxDS&#10;AisWDhxd22ksHNvYbtMF8d8ZO23pgpAQ4pJ4PJ7xm3lvfHW97yXaceuEVjXOLlKMuKKaCbWp8ccP&#10;zWSBkfNEMSK14jV+5A5fL58/uxpMxXPdacm4RZBEuWowNe68N1WSONrxnrgLbbgCZ6ttTzyYdpMw&#10;SwbI3sskT9NZMmjLjNWUOwe7t6MTL2P+tuXUv2tbxz2SNQZsPn5t/K7DN1lekWpjiekEPcAg/4Ci&#10;J0LBpadUt8QTtLXit1S9oFY73foLqvtEt62gPNYA1WTpL9U8dMTwWAs0x5lTm9z/S0vf7u4tEgy4&#10;yzBSpAeO3kPXiNpIjuYYMe4o9OsTl1IPoV2DcRVEPZh7Gwp25k7Tzw4pveogiN9Yq4eOEwYgs3A+&#10;eRIQDAehaD280QwuI1uvY+f2re1DQugJ2keCHk8E8b1HFDazPJ1NgUYKruxyUVxGAhNSHYONdf4V&#10;1z0KixpbqCQmJ7s75wMYUh2PRPBaCtYIKaNhN+uVtGhHQCtNs0rTY3Z3fkyqcFjpEDZmHHcAI9wR&#10;fAFt5P5bmeVF+iIvJ81sMZ8UTTGdlPN0MUmz8kU5S4uyuG2+B4BZUXWCMa7uhOJHHWbF3/F8mIhR&#10;QVGJaKhxOc2nsfYn6N15kVDhH4rshYexlKKv8eJ0iFSB15eKQdmk8kTIcZ08hR+7DD04/mNXogoC&#10;8aOA1po9ggisBpKAT3hAYNFp+xWjAYaxxu7LlliOkXytQEhlVhRheqNRTOc5GPbcsz73EEUhVY09&#10;RuNy5ceJ3xorNh3clMXGKH0D4mtFFEYQ5ojqIFkYuFjB4XEIE31ux1M/n7DlDwAAAP//AwBQSwME&#10;FAAGAAgAAAAhAH6mfwTeAAAACQEAAA8AAABkcnMvZG93bnJldi54bWxMj8FOwzAQRO9I/IO1SNyo&#10;nQjSKo1TIQQ9ISoChx6deJtExOsQu23g61lOcNzZ0cybYjO7QZxwCr0nDclCgUBqvO2p1fD+9nSz&#10;AhGiIWsGT6jhCwNsysuLwuTWn+kVT1VsBYdQyI2GLsYxlzI0HToTFn5E4t/BT85EPqdW2smcOdwN&#10;MlUqk870xA2dGfGhw+ajOjoN6XO63/rHbf9d7yn59C87VY07ra+v5vs1iIhz/DPDLz6jQ8lMtT+S&#10;DWLQcJcs2cn6bcYT2LBULNQsZKsMZFnI/wvKHwAAAP//AwBQSwECLQAUAAYACAAAACEAtoM4kv4A&#10;AADhAQAAEwAAAAAAAAAAAAAAAAAAAAAAW0NvbnRlbnRfVHlwZXNdLnhtbFBLAQItABQABgAIAAAA&#10;IQA4/SH/1gAAAJQBAAALAAAAAAAAAAAAAAAAAC8BAABfcmVscy8ucmVsc1BLAQItABQABgAIAAAA&#10;IQAdfVpYiAIAAAoFAAAOAAAAAAAAAAAAAAAAAC4CAABkcnMvZTJvRG9jLnhtbFBLAQItABQABgAI&#10;AAAAIQB+pn8E3gAAAAkBAAAPAAAAAAAAAAAAAAAAAOIEAABkcnMvZG93bnJldi54bWxQSwUGAAAA&#10;AAQABADzAAAA7QUAAAAA&#10;" fillcolor="#ffc000" stroked="f"/>
                  </w:pict>
                </mc:Fallback>
              </mc:AlternateContent>
            </w:r>
            <w:r>
              <w:rPr>
                <w:noProof/>
                <w:lang w:val="en-US"/>
              </w:rPr>
              <mc:AlternateContent>
                <mc:Choice Requires="wps">
                  <w:drawing>
                    <wp:anchor distT="0" distB="0" distL="114300" distR="114300" simplePos="0" relativeHeight="251660800" behindDoc="0" locked="0" layoutInCell="1" allowOverlap="1">
                      <wp:simplePos x="0" y="0"/>
                      <wp:positionH relativeFrom="column">
                        <wp:posOffset>330835</wp:posOffset>
                      </wp:positionH>
                      <wp:positionV relativeFrom="paragraph">
                        <wp:posOffset>630555</wp:posOffset>
                      </wp:positionV>
                      <wp:extent cx="120650" cy="138430"/>
                      <wp:effectExtent l="0" t="0" r="4445" b="0"/>
                      <wp:wrapNone/>
                      <wp:docPr id="10" name="Rectangle 6" descr="Yellow"/>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0" cy="138430"/>
                              </a:xfrm>
                              <a:prstGeom prst="rect">
                                <a:avLst/>
                              </a:prstGeom>
                              <a:solidFill>
                                <a:srgbClr val="FFC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6" alt="Yellow" style="position:absolute;margin-left:26.05pt;margin-top:49.65pt;width:9.5pt;height:10.9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CLFiAIAAAoFAAAOAAAAZHJzL2Uyb0RvYy54bWysVN9v0zAQfkfif7D83uXH0q6Jlk5bRxDS&#10;gInBA4+u7TQWjm1st+mG+N85O23pQEgI8ZL4fL7zd99958urXS/RllsntKpxdpZixBXVTKh1jT99&#10;bCZzjJwnihGpFa/xI3f4avHyxeVgKp7rTkvGLYIkylWDqXHnvamSxNGO98SdacMVOFtte+LBtOuE&#10;WTJA9l4meZrOkkFbZqym3DnYvR2deBHzty2n/n3bOu6RrDFg8/Fr43cVvsniklRrS0wn6B4G+QcU&#10;PREKLj2muiWeoI0Vv6XqBbXa6dafUd0num0F5bEGqCZLf6nmoSOGx1qAHGeONLn/l5a+295bJBj0&#10;DuhRpIcefQDWiFpLjmYYMe4o8PWZS6mHQNdgXAVRD+behoKdudP0i0NKLzsI4tfW6qHjhAHILJxP&#10;ngUEw0EoWg1vNYPLyMbryNyutX1ICJygXWzQ47FBfOcRhc0sT2dTwEnBlZ3Pi/PYwIRUh2BjnX/N&#10;dY/CosYWKonJyfbO+QCGVIcjEbyWgjVCymjY9WopLdoS0ErTLNP0kN2dHpMqHFY6hI0Zxx3ACHcE&#10;X0Abe/+tzPIivcnLSTObX0yKpphOyot0Pkmz8qacpUVZ3DbfA8CsqDrBGFd3QvGDDrPi7/q8n4hR&#10;QVGJaKhxOc2nsfZn6N1pkVDhH4rshYexlKKv8fx4iFShr68Ug7JJ5YmQ4zp5Dj+yDBwc/pGVqILQ&#10;+FFAK80eQQRWQ5Ogn/CAwKLT9gmjAYaxxu7rhliOkXyjQEhlVhRheqNRTC9yMOypZ3XqIYpCqhp7&#10;jMbl0o8TvzFWrDu4KYvEKH0N4mtFFEYQ5ohqL1kYuFjB/nEIE31qx1M/n7DFDwAAAP//AwBQSwME&#10;FAAGAAgAAAAhAH0LF4DeAAAACAEAAA8AAABkcnMvZG93bnJldi54bWxMj81OwzAQhO9IfQdrK3Gj&#10;Toz4aYhTVQh6QlQEDj068ZJExOs0dtvA07M9wW1H82l2Jl9NrhdHHEPnSUO6SEAg1d521Gj4eH++&#10;ugcRoiFrek+o4RsDrIrZRW4y60/0hscyNoJDKGRGQxvjkEkZ6hadCQs/ILH36UdnIsuxkXY0Jw53&#10;vVRJciud6Yg/tGbAxxbrr/LgNKgXtdv4p033U+0o3fvXbVIOW60v59P6AUTEKf7BcK7P1aHgTpU/&#10;kA2i13CjUiY1LJfXINi/S1lXzCk+ZJHL/wOKXwAAAP//AwBQSwECLQAUAAYACAAAACEAtoM4kv4A&#10;AADhAQAAEwAAAAAAAAAAAAAAAAAAAAAAW0NvbnRlbnRfVHlwZXNdLnhtbFBLAQItABQABgAIAAAA&#10;IQA4/SH/1gAAAJQBAAALAAAAAAAAAAAAAAAAAC8BAABfcmVscy8ucmVsc1BLAQItABQABgAIAAAA&#10;IQBzlCLFiAIAAAoFAAAOAAAAAAAAAAAAAAAAAC4CAABkcnMvZTJvRG9jLnhtbFBLAQItABQABgAI&#10;AAAAIQB9CxeA3gAAAAgBAAAPAAAAAAAAAAAAAAAAAOIEAABkcnMvZG93bnJldi54bWxQSwUGAAAA&#10;AAQABADzAAAA7QUAAAAA&#10;" fillcolor="#ffc000" stroked="f"/>
                  </w:pict>
                </mc:Fallback>
              </mc:AlternateContent>
            </w:r>
            <w:r>
              <w:rPr>
                <w:noProof/>
                <w:lang w:val="en-US"/>
              </w:rPr>
              <mc:AlternateContent>
                <mc:Choice Requires="wps">
                  <w:drawing>
                    <wp:anchor distT="0" distB="0" distL="114300" distR="114300" simplePos="0" relativeHeight="251659776" behindDoc="0" locked="0" layoutInCell="1" allowOverlap="1">
                      <wp:simplePos x="0" y="0"/>
                      <wp:positionH relativeFrom="column">
                        <wp:posOffset>328295</wp:posOffset>
                      </wp:positionH>
                      <wp:positionV relativeFrom="paragraph">
                        <wp:posOffset>311785</wp:posOffset>
                      </wp:positionV>
                      <wp:extent cx="120650" cy="138430"/>
                      <wp:effectExtent l="0" t="4445" r="0" b="0"/>
                      <wp:wrapNone/>
                      <wp:docPr id="9" name="Rectangle 5" descr="Yellow"/>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0" cy="138430"/>
                              </a:xfrm>
                              <a:prstGeom prst="rect">
                                <a:avLst/>
                              </a:prstGeom>
                              <a:solidFill>
                                <a:srgbClr val="FFC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alt="Yellow" style="position:absolute;margin-left:25.85pt;margin-top:24.55pt;width:9.5pt;height:10.9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3TVihwIAAAkFAAAOAAAAZHJzL2Uyb0RvYy54bWysVN9v0zAQfkfif7D83uXH0q6Jlk5bRxDS&#10;gInBA4+u7TQWjm1st+mG+N85O23pQEgI8ZL4fL7zd/d958urXS/RllsntKpxdpZixBXVTKh1jT99&#10;bCZzjJwnihGpFa/xI3f4avHyxeVgKp7rTkvGLYIkylWDqXHnvamSxNGO98SdacMVOFtte+LBtOuE&#10;WTJA9l4meZrOkkFbZqym3DnYvR2deBHzty2n/n3bOu6RrDFg8/Fr43cVvsniklRrS0wn6B4G+QcU&#10;PREKLj2muiWeoI0Vv6XqBbXa6dafUd0num0F5bEGqCZLf6nmoSOGx1qgOc4c2+T+X1r6bntvkWA1&#10;LjFSpAeKPkDTiFpLjqYYMe4otOszl1IPoVuDcRUEPZh7G+p15k7TLw4pvewgiF9bq4eOEwYYs3A+&#10;eRYQDAehaDW81QwuIxuvY+N2re1DQmgJ2kV+Ho/88J1HFDazPJ1NgUUKrux8XpxH/hJSHYKNdf41&#10;1z0KixpbqCQmJ9s75wMYUh2ORPBaCtYIKaNh16ultGhLQCpNs0zTQ3Z3ekyqcFjpEDZmHHcAI9wR&#10;fAFtpP5bmeVFepOXk2Y2v5gUTTGdlBfpfJJm5U05S4uyuG2+B4BZUXWCMa7uhOIHGWbF39G8H4hR&#10;QFGIaAA6p/k01v4MvTstEir8Q5G98DCVUvQ1nh8PkSrw+koxKJtUngg5rpPn8GOXoQeHf+xKVEEg&#10;fhTQSrNHEIHVQBLwCe8HLDptnzAaYBZr7L5uiOUYyTcKhFRmRRGGNxrF9CIHw556VqceoiikqrHH&#10;aFwu/TjwG2PFuoObstgYpa9BfK2IwgjCHFHtJQvzFivYvw1hoE/teOrnC7b4AQAA//8DAFBLAwQU&#10;AAYACAAAACEARIYcvNwAAAAHAQAADwAAAGRycy9kb3ducmV2LnhtbEyOwU7DMBBE70j8g7VI3Kid&#10;CChN41QIQU+IisChRyfeJhHxOsRuG/h6tid6Go1mNPPy1eR6ccAxdJ40JDMFAqn2tqNGw+fHy80D&#10;iBANWdN7Qg0/GGBVXF7kJrP+SO94KGMjeIRCZjS0MQ6ZlKFu0Zkw8wMSZzs/OhPZjo20oznyuOtl&#10;qtS9dKYjfmjNgE8t1l/l3mlIX9Pt2j+vu99qS8m3f9uocthofX01PS5BRJzifxlO+IwOBTNVfk82&#10;iF7DXTLnpobbRQKC87liX510AbLI5Tl/8QcAAP//AwBQSwECLQAUAAYACAAAACEAtoM4kv4AAADh&#10;AQAAEwAAAAAAAAAAAAAAAAAAAAAAW0NvbnRlbnRfVHlwZXNdLnhtbFBLAQItABQABgAIAAAAIQA4&#10;/SH/1gAAAJQBAAALAAAAAAAAAAAAAAAAAC8BAABfcmVscy8ucmVsc1BLAQItABQABgAIAAAAIQAB&#10;3TVihwIAAAkFAAAOAAAAAAAAAAAAAAAAAC4CAABkcnMvZTJvRG9jLnhtbFBLAQItABQABgAIAAAA&#10;IQBEhhy83AAAAAcBAAAPAAAAAAAAAAAAAAAAAOEEAABkcnMvZG93bnJldi54bWxQSwUGAAAAAAQA&#10;BADzAAAA6gUAAAAA&#10;" fillcolor="#ffc000" stroked="f"/>
                  </w:pict>
                </mc:Fallback>
              </mc:AlternateContent>
            </w:r>
            <w:r>
              <w:rPr>
                <w:noProof/>
                <w:lang w:val="en-US"/>
              </w:rPr>
              <mc:AlternateContent>
                <mc:Choice Requires="wps">
                  <w:drawing>
                    <wp:inline distT="0" distB="0" distL="0" distR="0">
                      <wp:extent cx="120650" cy="138430"/>
                      <wp:effectExtent l="0" t="0" r="0" b="0"/>
                      <wp:docPr id="8" name="Rectangle 4" descr="Yellow"/>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0" cy="138430"/>
                              </a:xfrm>
                              <a:prstGeom prst="rect">
                                <a:avLst/>
                              </a:prstGeom>
                              <a:solidFill>
                                <a:srgbClr val="FFC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4" o:spid="_x0000_s1026" alt="Yellow" style="width:9.5pt;height:10.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E3/hwIAAAkFAAAOAAAAZHJzL2Uyb0RvYy54bWysVN9v0zAQfkfif7D83uXH0q6Jlk5bRxDS&#10;gInBA4+u7TQWjm1st+mG+N85O23pQEgI8ZL4fL7zd/d958urXS/RllsntKpxdpZixBXVTKh1jT99&#10;bCZzjJwnihGpFa/xI3f4avHyxeVgKp7rTkvGLYIkylWDqXHnvamSxNGO98SdacMVOFtte+LBtOuE&#10;WTJA9l4meZrOkkFbZqym3DnYvR2deBHzty2n/n3bOu6RrDFg8/Fr43cVvsniklRrS0wn6B4G+QcU&#10;PREKLj2muiWeoI0Vv6XqBbXa6dafUd0num0F5bEGqCZLf6nmoSOGx1qgOc4c2+T+X1r6bntvkWA1&#10;BqIU6YGiD9A0otaSowIjxh2Fdn3mUuohdGswroKgB3NvQ73O3Gn6xSGllx0E8Wtr9dBxwgBjFs4n&#10;zwKC4SAUrYa3msFlZON1bNyutX1ICC1Bu8jP45EfvvOIwmaWp7MpsEjBlZ3Pi/PIX0KqQ7Cxzr/m&#10;ukdhUWMLlcTkZHvnfABDqsORCF5LwRohZTTserWUFm0JSKVplml6yO5Oj0kVDisdwsaM4w5ghDuC&#10;L6CN1H8rs7xIb/Jy0szmF5OiKaaT8iKdT9KsvClnaVEWt833ADArqk4wxtWdUPwgw6z4O5r3AzEK&#10;KAoRDTUup/k01v4MvTstEir8Q5G98DCVUvQgi+MhUgVeXykGZZPKEyHHdfIcfuwy9ODwj12JKgjE&#10;jwJaafYIIrAaSAI+4f2ARaftE0YDzGKN3dcNsRwj+UaBkMqsKMLwRqOYXuRg2FPP6tRDFIVUNfYY&#10;jculHwd+Y6xYd3BTFhuj9DWIrxVRGEGYI6q9ZGHeYgX7tyEM9KkdT/18wRY/AAAA//8DAFBLAwQU&#10;AAYACAAAACEAqiQEb9gAAAADAQAADwAAAGRycy9kb3ducmV2LnhtbEyPsU7DQAyGdyTe4WQkNnpJ&#10;BlRCLhVC0AlRERg6XnJuEjVnh9y1DTw9Lgssln791ufPxWr2gzriFHomA+kiAYXUsOupNfDx/nyz&#10;BBWiJWcHJjTwhQFW5eVFYXPHJ3rDYxVbJRAKuTXQxTjmWoemQ2/Dgkck6XY8eRslTq12kz0J3A86&#10;S5Jb7W1PcqGzIz522OyrgzeQvWTbNT+t++96S+knv26SatwYc301P9yDijjHv2U464s6lOJU84Fc&#10;UIMBeST+znN3J6kWbroEXRb6v3v5AwAA//8DAFBLAQItABQABgAIAAAAIQC2gziS/gAAAOEBAAAT&#10;AAAAAAAAAAAAAAAAAAAAAABbQ29udGVudF9UeXBlc10ueG1sUEsBAi0AFAAGAAgAAAAhADj9If/W&#10;AAAAlAEAAAsAAAAAAAAAAAAAAAAALwEAAF9yZWxzLy5yZWxzUEsBAi0AFAAGAAgAAAAhAG80Tf+H&#10;AgAACQUAAA4AAAAAAAAAAAAAAAAALgIAAGRycy9lMm9Eb2MueG1sUEsBAi0AFAAGAAgAAAAhAKok&#10;BG/YAAAAAwEAAA8AAAAAAAAAAAAAAAAA4QQAAGRycy9kb3ducmV2LnhtbFBLBQYAAAAABAAEAPMA&#10;AADmBQAAAAA=&#10;" fillcolor="#ffc000" stroked="f">
                      <w10:anchorlock/>
                    </v:rect>
                  </w:pict>
                </mc:Fallback>
              </mc:AlternateContent>
            </w:r>
          </w:p>
        </w:tc>
      </w:tr>
      <w:tr w:rsidR="00B74771" w:rsidRPr="00D81B5B">
        <w:trPr>
          <w:cantSplit/>
        </w:trPr>
        <w:tc>
          <w:tcPr>
            <w:tcW w:w="6606" w:type="dxa"/>
            <w:tcMar>
              <w:left w:w="57" w:type="dxa"/>
              <w:right w:w="57" w:type="dxa"/>
            </w:tcMar>
            <w:vAlign w:val="center"/>
          </w:tcPr>
          <w:p w:rsidR="00B74771" w:rsidRPr="0058729F" w:rsidRDefault="00B74771" w:rsidP="009B13C0">
            <w:pPr>
              <w:pStyle w:val="TableListNumber"/>
            </w:pPr>
            <w:r w:rsidRPr="00136E68">
              <w:t xml:space="preserve">Provide opportunities for people to </w:t>
            </w:r>
            <w:r w:rsidRPr="00E10711">
              <w:t>develop</w:t>
            </w:r>
            <w:r w:rsidRPr="00136E68">
              <w:t xml:space="preserve"> their </w:t>
            </w:r>
            <w:r w:rsidR="00EF1F59">
              <w:t>w</w:t>
            </w:r>
            <w:r w:rsidRPr="00BC51AA">
              <w:t xml:space="preserve">orkforce </w:t>
            </w:r>
            <w:r w:rsidR="00EF1F59">
              <w:t>s</w:t>
            </w:r>
            <w:r w:rsidRPr="00BC51AA">
              <w:t>kills</w:t>
            </w:r>
            <w:r w:rsidRPr="00136E68">
              <w:t xml:space="preserve"> in areas of industry demand</w:t>
            </w:r>
            <w:r w:rsidR="00611254">
              <w:t xml:space="preserve">, </w:t>
            </w:r>
            <w:r w:rsidRPr="00136E68">
              <w:t>domestically and abroad.</w:t>
            </w:r>
          </w:p>
        </w:tc>
        <w:tc>
          <w:tcPr>
            <w:tcW w:w="1332" w:type="dxa"/>
            <w:shd w:val="clear" w:color="auto" w:fill="auto"/>
            <w:tcMar>
              <w:left w:w="57" w:type="dxa"/>
              <w:right w:w="57" w:type="dxa"/>
            </w:tcMar>
            <w:vAlign w:val="center"/>
          </w:tcPr>
          <w:p w:rsidR="00B74771" w:rsidRPr="0058729F" w:rsidRDefault="00B74771" w:rsidP="00BC51AA">
            <w:pPr>
              <w:pStyle w:val="Ratingbullet"/>
              <w:spacing w:before="80" w:after="80"/>
            </w:pPr>
          </w:p>
        </w:tc>
      </w:tr>
      <w:tr w:rsidR="00B74771" w:rsidRPr="00D81B5B">
        <w:trPr>
          <w:cantSplit/>
        </w:trPr>
        <w:tc>
          <w:tcPr>
            <w:tcW w:w="6606" w:type="dxa"/>
            <w:tcMar>
              <w:left w:w="57" w:type="dxa"/>
              <w:right w:w="57" w:type="dxa"/>
            </w:tcMar>
            <w:vAlign w:val="center"/>
          </w:tcPr>
          <w:p w:rsidR="00B74771" w:rsidRPr="0058729F" w:rsidRDefault="00B74771" w:rsidP="009B13C0">
            <w:pPr>
              <w:pStyle w:val="TableListNumber"/>
            </w:pPr>
            <w:r w:rsidRPr="00136E68">
              <w:t xml:space="preserve">Strengthen </w:t>
            </w:r>
            <w:r w:rsidR="00EF1F59">
              <w:t>e</w:t>
            </w:r>
            <w:r w:rsidR="00EF1F59" w:rsidRPr="00BC51AA">
              <w:t xml:space="preserve">conomic </w:t>
            </w:r>
            <w:r w:rsidR="00EF1F59">
              <w:t>m</w:t>
            </w:r>
            <w:r w:rsidRPr="00BC51AA">
              <w:t>anagement</w:t>
            </w:r>
            <w:r w:rsidRPr="00136E68">
              <w:t xml:space="preserve"> in support of mutually agreed G</w:t>
            </w:r>
            <w:r w:rsidR="00EF1F59">
              <w:t>OK</w:t>
            </w:r>
            <w:r w:rsidRPr="00136E68">
              <w:t xml:space="preserve">-led </w:t>
            </w:r>
            <w:r w:rsidR="00D93CF9">
              <w:br/>
            </w:r>
            <w:r w:rsidRPr="00136E68">
              <w:t>economic reforms.</w:t>
            </w:r>
          </w:p>
        </w:tc>
        <w:tc>
          <w:tcPr>
            <w:tcW w:w="1332" w:type="dxa"/>
            <w:shd w:val="clear" w:color="auto" w:fill="auto"/>
            <w:tcMar>
              <w:left w:w="57" w:type="dxa"/>
              <w:right w:w="57" w:type="dxa"/>
            </w:tcMar>
            <w:vAlign w:val="center"/>
          </w:tcPr>
          <w:p w:rsidR="00B74771" w:rsidRPr="0058729F" w:rsidRDefault="00B74771" w:rsidP="00BC51AA">
            <w:pPr>
              <w:pStyle w:val="Ratingbullet"/>
              <w:spacing w:before="80" w:after="80"/>
            </w:pPr>
          </w:p>
        </w:tc>
      </w:tr>
      <w:tr w:rsidR="00B74771" w:rsidRPr="00D81B5B">
        <w:trPr>
          <w:cantSplit/>
        </w:trPr>
        <w:tc>
          <w:tcPr>
            <w:tcW w:w="6606" w:type="dxa"/>
            <w:tcBorders>
              <w:bottom w:val="single" w:sz="12" w:space="0" w:color="auto"/>
            </w:tcBorders>
            <w:shd w:val="clear" w:color="auto" w:fill="auto"/>
            <w:tcMar>
              <w:left w:w="57" w:type="dxa"/>
              <w:right w:w="57" w:type="dxa"/>
            </w:tcMar>
            <w:vAlign w:val="center"/>
          </w:tcPr>
          <w:p w:rsidR="00B74771" w:rsidRPr="00D81B5B" w:rsidRDefault="00B74771" w:rsidP="009B13C0">
            <w:pPr>
              <w:pStyle w:val="TableListNumber"/>
            </w:pPr>
            <w:r w:rsidRPr="00136E68">
              <w:t xml:space="preserve">Strengthen partnerships with regional and multilateral agencies to </w:t>
            </w:r>
            <w:r w:rsidRPr="00E10711">
              <w:t>reduce</w:t>
            </w:r>
            <w:r w:rsidRPr="00BC51AA">
              <w:t xml:space="preserve"> </w:t>
            </w:r>
            <w:r w:rsidR="00A2123C">
              <w:t>v</w:t>
            </w:r>
            <w:r w:rsidRPr="00BC51AA">
              <w:t>ulnerability</w:t>
            </w:r>
            <w:r w:rsidRPr="00136E68">
              <w:t xml:space="preserve"> in health, environmental and social services.</w:t>
            </w:r>
          </w:p>
        </w:tc>
        <w:tc>
          <w:tcPr>
            <w:tcW w:w="1332" w:type="dxa"/>
            <w:tcBorders>
              <w:bottom w:val="single" w:sz="12" w:space="0" w:color="auto"/>
            </w:tcBorders>
            <w:shd w:val="clear" w:color="auto" w:fill="auto"/>
            <w:tcMar>
              <w:left w:w="57" w:type="dxa"/>
              <w:right w:w="57" w:type="dxa"/>
            </w:tcMar>
            <w:vAlign w:val="center"/>
          </w:tcPr>
          <w:p w:rsidR="00B74771" w:rsidRPr="0058729F" w:rsidRDefault="00B74771" w:rsidP="00BC51AA">
            <w:pPr>
              <w:pStyle w:val="Ratingbullet"/>
              <w:spacing w:before="80" w:after="80"/>
            </w:pPr>
          </w:p>
        </w:tc>
      </w:tr>
    </w:tbl>
    <w:p w:rsidR="00B74771" w:rsidRDefault="00B74771" w:rsidP="00FF1302">
      <w:pPr>
        <w:pStyle w:val="Note"/>
        <w:keepNext/>
      </w:pPr>
      <w:r w:rsidRPr="00D33DDE">
        <w:t xml:space="preserve">Note: </w:t>
      </w:r>
    </w:p>
    <w:p w:rsidR="00B74771" w:rsidRPr="006D2818" w:rsidRDefault="004F457D" w:rsidP="00FF1302">
      <w:pPr>
        <w:pStyle w:val="Note"/>
        <w:keepNext/>
        <w:spacing w:before="0"/>
      </w:pPr>
      <w:r>
        <w:rPr>
          <w:rFonts w:ascii="Arial Unicode MS" w:eastAsia="Arial Unicode MS" w:hAnsi="Arial Unicode MS" w:cs="Arial Unicode MS"/>
          <w:noProof/>
          <w:lang w:val="en-US"/>
        </w:rPr>
        <mc:AlternateContent>
          <mc:Choice Requires="wps">
            <w:drawing>
              <wp:inline distT="0" distB="0" distL="0" distR="0">
                <wp:extent cx="109855" cy="100330"/>
                <wp:effectExtent l="0" t="0" r="4445" b="0"/>
                <wp:docPr id="7" name="Rectangle 8" descr="Yellow"/>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855" cy="100330"/>
                        </a:xfrm>
                        <a:prstGeom prst="rect">
                          <a:avLst/>
                        </a:prstGeom>
                        <a:solidFill>
                          <a:srgbClr val="FFC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8" o:spid="_x0000_s1026" alt="Yellow" style="width:8.65pt;height:7.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F5EhwIAAAkFAAAOAAAAZHJzL2Uyb0RvYy54bWysVFFv0zAQfkfiP1h+75J06dpETaetJQhp&#10;wMTggUfXdhoLxza223RD/HfOTls6EBJCvCQ+n+/8fXffeX697yTaceuEVhXOLlKMuKKaCbWp8KeP&#10;9WiGkfNEMSK14hV+5A5fL16+mPem5GPdasm4RZBEubI3FW69N2WSONryjrgLbbgCZ6NtRzyYdpMw&#10;S3rI3slknKZXSa8tM1ZT7hzsrgYnXsT8TcOpf980jnskKwzYfPza+F2Hb7KYk3JjiWkFPcAg/4Ci&#10;I0LBpadUK+IJ2lrxW6pOUKudbvwF1V2im0ZQHjkAmyz9hc1DSwyPXKA4zpzK5P5fWvpud2+RYBWe&#10;YqRIBy36AEUjaiM5gt4x7iiU6zOXUvehWr1xJQQ9mHsb+Dpzp+kXh5RethDEb6zVfcsJA4xZOJ88&#10;CwiGg1C07t9qBpeRrdexcPvGdiEhlATtY38eT/3he48obGZpMZtMMKLgytL08jL2LyHlMdhY519z&#10;3aGwqLAFJjE52d05H8CQ8ngkgtdSsFpIGQ27WS+lRTsCUqnrZZoes7vzY1KFw0qHsCHjsAMY4Y7g&#10;C2hj678V2ThPb8fFqL6aTUd5nU9GxTSdjdKsuC2u0rzIV/X3ADDLy1YwxtWdUPwowyz/uzYfBmIQ&#10;UBQi6itcTMaTyP0ZendOEhj+gWQnPEylFF2FZ6dDpAx9faUY0CalJ0IO6+Q5/FhlqMHxH6sSVRAa&#10;PwhordkjiMBqaBJMJbwfsGi1fcKoh1mssPu6JZZjJN8oEFKR5XkY3mjkk+kYDHvuWZ97iKKQqsIe&#10;o2G59MPAb40VmxZuymJhlL4B8TUiCiMIc0B1kCzMW2RweBvCQJ/b8dTPF2zxAwAA//8DAFBLAwQU&#10;AAYACAAAACEAdYZw4doAAAADAQAADwAAAGRycy9kb3ducmV2LnhtbEyPQU/DMAyF70j8h8hI3Fi6&#10;ImDqmk4IwU6IibLDjm5j2orGLk22FX49GRe4+Ml61nuf89XkenWg0XfCBuazBBRxLbbjxsD27elq&#10;AcoHZIu9MBn4Ig+r4vwsx8zKkV/pUIZGxRD2GRpoQxgyrX3dkkM/k4E4eu8yOgxxHRttRzzGcNfr&#10;NElutcOOY0OLAz20VH+Ue2cgfU53a3lcd9/Vjuef8rJJymFjzOXFdL8EFWgKf8dwwo/oUESmSvZs&#10;veoNxEfC7zx5d9egqqg3C9BFrv+zFz8AAAD//wMAUEsBAi0AFAAGAAgAAAAhALaDOJL+AAAA4QEA&#10;ABMAAAAAAAAAAAAAAAAAAAAAAFtDb250ZW50X1R5cGVzXS54bWxQSwECLQAUAAYACAAAACEAOP0h&#10;/9YAAACUAQAACwAAAAAAAAAAAAAAAAAvAQAAX3JlbHMvLnJlbHNQSwECLQAUAAYACAAAACEA6xhe&#10;RIcCAAAJBQAADgAAAAAAAAAAAAAAAAAuAgAAZHJzL2Uyb0RvYy54bWxQSwECLQAUAAYACAAAACEA&#10;dYZw4doAAAADAQAADwAAAAAAAAAAAAAAAADhBAAAZHJzL2Rvd25yZXYueG1sUEsFBgAAAAAEAAQA&#10;8wAAAOgFAAAAAA==&#10;" fillcolor="#ffc000" stroked="f">
                <w10:anchorlock/>
              </v:rect>
            </w:pict>
          </mc:Fallback>
        </mc:AlternateContent>
      </w:r>
      <w:r w:rsidR="00B74771">
        <w:rPr>
          <w:rFonts w:ascii="Arial Unicode MS" w:eastAsia="Arial Unicode MS" w:hAnsi="Arial Unicode MS" w:cs="Arial Unicode MS"/>
        </w:rPr>
        <w:t> </w:t>
      </w:r>
      <w:r w:rsidR="00B74771" w:rsidRPr="006D2818">
        <w:t>The objective will be fully achieved within the timeframe of the strategy.</w:t>
      </w:r>
    </w:p>
    <w:p w:rsidR="00B74771" w:rsidRPr="006D2818" w:rsidRDefault="004F457D" w:rsidP="00FF1302">
      <w:pPr>
        <w:pStyle w:val="Note"/>
        <w:keepNext/>
        <w:spacing w:before="0"/>
      </w:pPr>
      <w:r>
        <w:rPr>
          <w:rFonts w:ascii="Arial Unicode MS" w:eastAsia="Arial Unicode MS" w:hAnsi="Arial Unicode MS" w:cs="Arial Unicode MS"/>
          <w:noProof/>
          <w:lang w:val="en-US"/>
        </w:rPr>
        <mc:AlternateContent>
          <mc:Choice Requires="wps">
            <w:drawing>
              <wp:inline distT="0" distB="0" distL="0" distR="0">
                <wp:extent cx="109855" cy="90805"/>
                <wp:effectExtent l="0" t="0" r="4445" b="4445"/>
                <wp:docPr id="6" name="Rectangle 9" descr="Ambe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855" cy="90805"/>
                        </a:xfrm>
                        <a:prstGeom prst="rect">
                          <a:avLst/>
                        </a:prstGeom>
                        <a:solidFill>
                          <a:schemeClr val="accent6">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9" o:spid="_x0000_s1026" alt="Amber" style="width:8.6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Rf7oQIAAEIFAAAOAAAAZHJzL2Uyb0RvYy54bWysVF1v0zAUfUfiP1h+75JUaddES6d9UIQ0&#10;YGLwA1zbaSz8EWy36Zj471zfrKWDF4ToQ+p7bd97zvGxLy73RpOd9EE529DiLKdEWu6EspuGfvm8&#10;miwoCZFZwbSzsqGPMtDL5etXF0Nfy6nrnBbSEyhiQz30De1i7OssC7yThoUz10sLk63zhkUI/SYT&#10;ng1Q3ehsmufzbHBe9N5xGQJkb8dJusT6bSt5/Ni2QUaiGwrYIn49ftfpmy0vWL3xrO8Uf4bB/gGF&#10;YcpC02OpWxYZ2Xr1RymjuHfBtfGMO5O5tlVcIgdgU+S/sXnoWC+RC4gT+qNM4f+V5R92954o0dA5&#10;JZYZOKJPIBqzGy1JRYmQgYNcV2YtfRJr6EMNex76e5/ohv7O8a+BWHfTwR555b0bOskEQCzS+uzF&#10;hhQE2ErWw3snoBfbRoe67VtvUkFQhOzxeB6PxyP3kXBIFnm1mM0o4TBV5Yt8hg1Yfdjb+xDfSmdI&#10;GjTUAw+szXZ3ISYsrD4sQexOK7FSWmOQDCdvtCc7BlZhnEsb57hdbw2AHfNFnn6jayAP3hrzmIL6&#10;6NtUBruF0w7apj7WpY4jmDED7ABemks80TNPVTEt8+tpNVnNF+eTclXOJtV5vpjkRXVdzfOyKm9X&#10;PxK4oqw7JYS0d8rKg3+L8u/88XyTRuehg8kAys6mM+T9An3wm/VRHRThSPmUpFERrrNWpqGLE6mS&#10;I95YAbRZHZnS4zh7CR8lAw0O/6gK+idZZrTe2olHsI93cL5wneHhgUHn/HdKBrjEDQ3ftsxLSvQ7&#10;CxasirJMtx6DcnY+hcCfzqxPZ5jlUKqhkZJxeBPHl2Lbe7XpoFOBwlh3BbZtFXoqWXpEBbhTABcV&#10;GTw/KuklOI1x1a+nb/kTAAD//wMAUEsDBBQABgAIAAAAIQAabXgY2wAAAAMBAAAPAAAAZHJzL2Rv&#10;d25yZXYueG1sTI9BT8MwDIXvSPyHyEjcWDqKxlSaTgg0wQmxUU1wyxqvqUicqvG2wq8n4wIXP1nP&#10;eu9zuRi9EwccYhdIwXSSgUBqgumoVVC/La/mICJrMtoFQgVfGGFRnZ+VujDhSCs8rLkVKYRioRVY&#10;5r6QMjYWvY6T0CMlbxcGrzmtQyvNoI8p3Dt5nWUz6XVHqcHqHh8sNp/rvVfwvnsM+eajjk/f/NLO&#10;nq1b1q9TpS4vxvs7EIwj/x3DCT+hQ5WYtmFPJgqnID3Cv/Pk3eYgtklvcpBVKf+zVz8AAAD//wMA&#10;UEsBAi0AFAAGAAgAAAAhALaDOJL+AAAA4QEAABMAAAAAAAAAAAAAAAAAAAAAAFtDb250ZW50X1R5&#10;cGVzXS54bWxQSwECLQAUAAYACAAAACEAOP0h/9YAAACUAQAACwAAAAAAAAAAAAAAAAAvAQAAX3Jl&#10;bHMvLnJlbHNQSwECLQAUAAYACAAAACEASH0X+6ECAABCBQAADgAAAAAAAAAAAAAAAAAuAgAAZHJz&#10;L2Uyb0RvYy54bWxQSwECLQAUAAYACAAAACEAGm14GNsAAAADAQAADwAAAAAAAAAAAAAAAAD7BAAA&#10;ZHJzL2Rvd25yZXYueG1sUEsFBgAAAAAEAAQA8wAAAAMGAAAAAA==&#10;" fillcolor="#f79646 [3209]" stroked="f">
                <w10:anchorlock/>
              </v:rect>
            </w:pict>
          </mc:Fallback>
        </mc:AlternateContent>
      </w:r>
      <w:r w:rsidR="00B74771">
        <w:rPr>
          <w:rFonts w:ascii="Arial Unicode MS" w:eastAsia="Arial Unicode MS" w:hAnsi="Arial Unicode MS" w:cs="Arial Unicode MS"/>
        </w:rPr>
        <w:t> </w:t>
      </w:r>
      <w:r w:rsidR="00B74771" w:rsidRPr="006D2818">
        <w:t>The objective will be partly achieved within the timeframe of the strategy.</w:t>
      </w:r>
    </w:p>
    <w:p w:rsidR="00FF5B06" w:rsidRDefault="004F457D" w:rsidP="00FF1302">
      <w:pPr>
        <w:pStyle w:val="Note"/>
        <w:spacing w:before="0"/>
      </w:pPr>
      <w:r>
        <w:rPr>
          <w:rFonts w:ascii="Arial Unicode MS" w:eastAsia="Arial Unicode MS" w:hAnsi="Arial Unicode MS" w:cs="Arial Unicode MS"/>
          <w:noProof/>
          <w:lang w:val="en-US"/>
        </w:rPr>
        <mc:AlternateContent>
          <mc:Choice Requires="wps">
            <w:drawing>
              <wp:inline distT="0" distB="0" distL="0" distR="0">
                <wp:extent cx="109855" cy="90805"/>
                <wp:effectExtent l="0" t="0" r="4445" b="4445"/>
                <wp:docPr id="5" name="Rectangle 10" descr="Red"/>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855" cy="90805"/>
                        </a:xfrm>
                        <a:prstGeom prst="rect">
                          <a:avLst/>
                        </a:prstGeom>
                        <a:solidFill>
                          <a:srgbClr val="C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10" o:spid="_x0000_s1026" alt="Red" style="width:8.6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kaqgwIAAAYFAAAOAAAAZHJzL2Uyb0RvYy54bWysVFFv0zAQfkfiP1h+75JUSdtES6etowip&#10;wLTBD3Btp7FwbGO7TcvEf+fstKUDHhCiD64v5zt/9913vr7ZdxLtuHVCqxpnVylGXFHNhNrU+POn&#10;5WiGkfNEMSK14jU+cIdv5q9fXfem4mPdasm4RZBEuao3NW69N1WSONryjrgrbbgCZ6NtRzyYdpMw&#10;S3rI3slknKaTpNeWGaspdw6+3g9OPI/5m4ZT/7FpHPdI1hiw+bjauK7DmsyvSbWxxLSCHmGQf0DR&#10;EaHg0nOqe+IJ2lrxW6pOUKudbvwV1V2im0ZQHmuAarL0l2qeWmJ4rAXIceZMk/t/aemH3YNFgtW4&#10;wEiRDlr0CKQRtZEcZcAY444CX4+cBa564yoIeTIPNlTrzErTLw4pvWghhN9aq/uWEwYIs3A+eREQ&#10;DAehaN2/1wyuIluvI237xnYhIRCC9rE7h3N3+N4jCh+ztJwVgJKCq0xnaREvINUp1ljn33LdobCp&#10;sYUyYm6yWzkfsJDqdCRi11KwpZAyGnazXkiLdgR0skjD75jdXR6TKhxWOoQNGYcvABHuCL4ANvb9&#10;uczGeXo3LkfLyWw6ypd5MSqn6WyUZuVdOUnzMr9ffg8As7xqBWNcrYTiJw1m+d/1+DgNg3qiClEP&#10;9BTjItb+Ar27LDLW+MciO+FhJKXoajw7M0Gq0NY3ikHZpPJEyGGfvIQfWQYOTv+RlSiC0PdBP2vN&#10;DqABq6FJIDB4PGDTavsNox4Gscbu65ZYjpF8p0BHZZbnYXKjkRfTMRj20rO+9BBFIVWNPUbDduGH&#10;ad8aKzYt3JRFYpS+Be01Igoj6HJAdVQsDFus4PgwhGm+tOOpn8/X/AcAAAD//wMAUEsDBBQABgAI&#10;AAAAIQBB0ofp2wAAAAMBAAAPAAAAZHJzL2Rvd25yZXYueG1sTI9BS8NAEIXvgv9hGcGL2I2tqMRs&#10;ShAVT5ZWBb1tsmMSkp0N2Wmb/nunXvQyj+EN732TLSffqx2OsQ1k4GqWgEKqgmupNvD+9nR5Byqy&#10;JWf7QGjggBGW+elJZlMX9rTG3YZrJSEUU2ugYR5SrWPVoLdxFgYk8b7D6C3LOtbajXYv4b7X8yS5&#10;0d62JA2NHfChwarbbL2B8qVLukc+zOt18fyBn8WrXn1dGHN+NhX3oBgn/juGI76gQy5MZdiSi6o3&#10;II/w7zx6twtQpej1AnSe6f/s+Q8AAAD//wMAUEsBAi0AFAAGAAgAAAAhALaDOJL+AAAA4QEAABMA&#10;AAAAAAAAAAAAAAAAAAAAAFtDb250ZW50X1R5cGVzXS54bWxQSwECLQAUAAYACAAAACEAOP0h/9YA&#10;AACUAQAACwAAAAAAAAAAAAAAAAAvAQAAX3JlbHMvLnJlbHNQSwECLQAUAAYACAAAACEA4zJGqoMC&#10;AAAGBQAADgAAAAAAAAAAAAAAAAAuAgAAZHJzL2Uyb0RvYy54bWxQSwECLQAUAAYACAAAACEAQdKH&#10;6dsAAAADAQAADwAAAAAAAAAAAAAAAADdBAAAZHJzL2Rvd25yZXYueG1sUEsFBgAAAAAEAAQA8wAA&#10;AOUFAAAAAA==&#10;" fillcolor="#c00000" stroked="f">
                <w10:anchorlock/>
              </v:rect>
            </w:pict>
          </mc:Fallback>
        </mc:AlternateContent>
      </w:r>
      <w:r w:rsidR="00B74771">
        <w:rPr>
          <w:rFonts w:ascii="Arial Unicode MS" w:eastAsia="Arial Unicode MS" w:hAnsi="Arial Unicode MS" w:cs="Arial Unicode MS"/>
        </w:rPr>
        <w:t> </w:t>
      </w:r>
      <w:r w:rsidR="00B74771" w:rsidRPr="006D2818">
        <w:t>The objective is unlikely to be achieved within the timeframe of the strategy.</w:t>
      </w:r>
    </w:p>
    <w:p w:rsidR="00BC51AA" w:rsidRPr="00BC51AA" w:rsidRDefault="00BC51AA" w:rsidP="009B13C0">
      <w:pPr>
        <w:pStyle w:val="Heading2"/>
        <w:numPr>
          <w:ilvl w:val="0"/>
          <w:numId w:val="0"/>
        </w:numPr>
      </w:pPr>
      <w:bookmarkStart w:id="11" w:name="_Toc360718770"/>
      <w:r w:rsidRPr="00BC51AA">
        <w:lastRenderedPageBreak/>
        <w:t>K</w:t>
      </w:r>
      <w:bookmarkStart w:id="12" w:name="KeyResults"/>
      <w:bookmarkEnd w:id="12"/>
      <w:r w:rsidRPr="00BC51AA">
        <w:t xml:space="preserve">ey results and successes </w:t>
      </w:r>
      <w:r w:rsidR="009A5576">
        <w:t>against priority outcomes</w:t>
      </w:r>
      <w:bookmarkEnd w:id="11"/>
    </w:p>
    <w:p w:rsidR="00BC51AA" w:rsidRPr="008F7E66" w:rsidRDefault="00223CB1" w:rsidP="009B13C0">
      <w:pPr>
        <w:pStyle w:val="ListBullet"/>
        <w:spacing w:before="160"/>
      </w:pPr>
      <w:r>
        <w:rPr>
          <w:b/>
        </w:rPr>
        <w:t>Strengthened relationship</w:t>
      </w:r>
      <w:r>
        <w:t>—t</w:t>
      </w:r>
      <w:r w:rsidR="00BC51AA" w:rsidRPr="008F7E66">
        <w:t xml:space="preserve">he Partnership for Development strengthened </w:t>
      </w:r>
      <w:smartTag w:uri="urn:schemas-microsoft-com:office:smarttags" w:element="place">
        <w:smartTag w:uri="urn:schemas-microsoft-com:office:smarttags" w:element="country-region">
          <w:r>
            <w:t>Australia</w:t>
          </w:r>
        </w:smartTag>
      </w:smartTag>
      <w:r w:rsidR="006930C8">
        <w:t>’</w:t>
      </w:r>
      <w:r>
        <w:t xml:space="preserve">s </w:t>
      </w:r>
      <w:r w:rsidR="00BC51AA" w:rsidRPr="008F7E66">
        <w:t>relationship with GOK at senior level</w:t>
      </w:r>
      <w:r w:rsidR="002441E9">
        <w:t>s</w:t>
      </w:r>
      <w:r w:rsidR="00BC51AA" w:rsidRPr="008F7E66">
        <w:t xml:space="preserve"> and enhanced </w:t>
      </w:r>
      <w:r>
        <w:t xml:space="preserve">important policy </w:t>
      </w:r>
      <w:r w:rsidR="0090308A">
        <w:t>discussions</w:t>
      </w:r>
      <w:r w:rsidR="00BC51AA" w:rsidRPr="008F7E66">
        <w:t xml:space="preserve">. </w:t>
      </w:r>
      <w:r>
        <w:t>C</w:t>
      </w:r>
      <w:r w:rsidR="00BC51AA" w:rsidRPr="008F7E66">
        <w:t>onsiderable effort</w:t>
      </w:r>
      <w:r>
        <w:t xml:space="preserve"> went </w:t>
      </w:r>
      <w:r w:rsidR="00BC51AA" w:rsidRPr="008F7E66">
        <w:t xml:space="preserve">into </w:t>
      </w:r>
      <w:r w:rsidR="00A918D9">
        <w:t>promoting harmonisation of</w:t>
      </w:r>
      <w:r w:rsidR="00A918D9" w:rsidRPr="008F7E66">
        <w:t xml:space="preserve"> </w:t>
      </w:r>
      <w:r w:rsidR="00BC51AA" w:rsidRPr="008F7E66">
        <w:t xml:space="preserve">donor programs. </w:t>
      </w:r>
    </w:p>
    <w:p w:rsidR="00BC51AA" w:rsidRPr="008F7E66" w:rsidRDefault="00223CB1" w:rsidP="009B13C0">
      <w:pPr>
        <w:pStyle w:val="ListBullet"/>
      </w:pPr>
      <w:r>
        <w:rPr>
          <w:b/>
        </w:rPr>
        <w:t>I</w:t>
      </w:r>
      <w:r w:rsidR="00BC51AA" w:rsidRPr="008F7E66">
        <w:rPr>
          <w:b/>
        </w:rPr>
        <w:t>mprove</w:t>
      </w:r>
      <w:r>
        <w:rPr>
          <w:b/>
        </w:rPr>
        <w:t>d</w:t>
      </w:r>
      <w:r w:rsidR="00BC51AA" w:rsidRPr="008F7E66">
        <w:rPr>
          <w:b/>
        </w:rPr>
        <w:t xml:space="preserve"> </w:t>
      </w:r>
      <w:r w:rsidR="00A918D9" w:rsidRPr="00A918D9">
        <w:rPr>
          <w:b/>
        </w:rPr>
        <w:t>efficiency</w:t>
      </w:r>
      <w:r w:rsidR="00A918D9">
        <w:rPr>
          <w:b/>
        </w:rPr>
        <w:t xml:space="preserve"> of</w:t>
      </w:r>
      <w:r w:rsidR="00A918D9" w:rsidRPr="008F7E66">
        <w:t xml:space="preserve"> </w:t>
      </w:r>
      <w:r w:rsidR="00BC51AA" w:rsidRPr="008F7E66">
        <w:rPr>
          <w:b/>
        </w:rPr>
        <w:t>aid delivery</w:t>
      </w:r>
      <w:r>
        <w:t>—</w:t>
      </w:r>
      <w:r w:rsidR="00817C59">
        <w:t>efficiency was improved by</w:t>
      </w:r>
      <w:r w:rsidR="00A918D9">
        <w:t xml:space="preserve"> reshaping and streamlining</w:t>
      </w:r>
      <w:r w:rsidR="00A918D9" w:rsidRPr="008F7E66">
        <w:t xml:space="preserve"> </w:t>
      </w:r>
      <w:r w:rsidR="00A918D9">
        <w:t xml:space="preserve">the aid </w:t>
      </w:r>
      <w:r w:rsidR="00A918D9" w:rsidRPr="008F7E66">
        <w:t xml:space="preserve">program </w:t>
      </w:r>
      <w:r w:rsidR="00A918D9">
        <w:t xml:space="preserve">to </w:t>
      </w:r>
      <w:smartTag w:uri="urn:schemas-microsoft-com:office:smarttags" w:element="place">
        <w:smartTag w:uri="urn:schemas-microsoft-com:office:smarttags" w:element="country-region">
          <w:r w:rsidR="00A918D9">
            <w:t>Kiribati</w:t>
          </w:r>
        </w:smartTag>
      </w:smartTag>
      <w:r w:rsidR="00A918D9">
        <w:t xml:space="preserve">, </w:t>
      </w:r>
      <w:r w:rsidR="00A918D9" w:rsidRPr="008F7E66">
        <w:t xml:space="preserve">including </w:t>
      </w:r>
      <w:r w:rsidR="00817C59">
        <w:t xml:space="preserve">through </w:t>
      </w:r>
      <w:r w:rsidR="00A918D9" w:rsidRPr="008F7E66">
        <w:t xml:space="preserve">redefining roles and responsibilities of </w:t>
      </w:r>
      <w:r w:rsidR="00096629">
        <w:t xml:space="preserve">AusAID </w:t>
      </w:r>
      <w:r w:rsidR="00A918D9" w:rsidRPr="008F7E66">
        <w:t>staff, rational</w:t>
      </w:r>
      <w:r w:rsidR="00A918D9">
        <w:t>ising work programs and reducing</w:t>
      </w:r>
      <w:r w:rsidR="00A918D9" w:rsidRPr="008F7E66">
        <w:t xml:space="preserve"> the impact of discrete funding requests. </w:t>
      </w:r>
      <w:r w:rsidR="00BC51AA" w:rsidRPr="008F7E66">
        <w:t xml:space="preserve"> </w:t>
      </w:r>
    </w:p>
    <w:p w:rsidR="00BC51AA" w:rsidRPr="008F7E66" w:rsidRDefault="00223CB1" w:rsidP="009B13C0">
      <w:pPr>
        <w:pStyle w:val="ListBullet"/>
      </w:pPr>
      <w:r>
        <w:rPr>
          <w:b/>
        </w:rPr>
        <w:t>Improved English language proficiency</w:t>
      </w:r>
      <w:r>
        <w:t>—</w:t>
      </w:r>
      <w:r w:rsidR="00BC51AA" w:rsidRPr="008F7E66">
        <w:t>80</w:t>
      </w:r>
      <w:r w:rsidR="0090308A">
        <w:t>%</w:t>
      </w:r>
      <w:r w:rsidR="00BC51AA" w:rsidRPr="008F7E66">
        <w:t xml:space="preserve"> of teachers and education personnel have now</w:t>
      </w:r>
      <w:r w:rsidR="003D62B1">
        <w:t xml:space="preserve"> had their</w:t>
      </w:r>
      <w:r w:rsidR="00BC51AA" w:rsidRPr="008F7E66">
        <w:t xml:space="preserve"> English language proficiency</w:t>
      </w:r>
      <w:r w:rsidR="003D62B1">
        <w:t xml:space="preserve"> tested</w:t>
      </w:r>
      <w:r w:rsidR="00BC51AA" w:rsidRPr="008F7E66">
        <w:t xml:space="preserve">. The </w:t>
      </w:r>
      <w:r w:rsidR="00F16FE6" w:rsidRPr="008F7E66">
        <w:t>results</w:t>
      </w:r>
      <w:r w:rsidR="00F16FE6">
        <w:t xml:space="preserve"> </w:t>
      </w:r>
      <w:r w:rsidR="00BC51AA" w:rsidRPr="008F7E66">
        <w:t>are being used to reshape English language training and curriculum. This is important, as poor English is a key impediment to I-Kiribati gaining scholarships or employment in the region.</w:t>
      </w:r>
    </w:p>
    <w:p w:rsidR="00BC51AA" w:rsidRPr="008F7E66" w:rsidRDefault="00586AD4" w:rsidP="009B13C0">
      <w:pPr>
        <w:pStyle w:val="ListBullet"/>
      </w:pPr>
      <w:r>
        <w:rPr>
          <w:b/>
        </w:rPr>
        <w:t>Increased qualified educators</w:t>
      </w:r>
      <w:r>
        <w:t>—t</w:t>
      </w:r>
      <w:r w:rsidR="00BC51AA" w:rsidRPr="008F7E66">
        <w:t xml:space="preserve">hrough the </w:t>
      </w:r>
      <w:smartTag w:uri="urn:schemas-microsoft-com:office:smarttags" w:element="country-region">
        <w:r w:rsidR="00BC51AA" w:rsidRPr="008F7E66">
          <w:t>Australia</w:t>
        </w:r>
      </w:smartTag>
      <w:r w:rsidR="00A163A9">
        <w:t xml:space="preserve"> – </w:t>
      </w:r>
      <w:smartTag w:uri="urn:schemas-microsoft-com:office:smarttags" w:element="place">
        <w:smartTag w:uri="urn:schemas-microsoft-com:office:smarttags" w:element="PlaceName">
          <w:r w:rsidR="00BC51AA" w:rsidRPr="008F7E66">
            <w:t>Pacific</w:t>
          </w:r>
        </w:smartTag>
        <w:r w:rsidR="00BC51AA" w:rsidRPr="008F7E66">
          <w:t xml:space="preserve"> </w:t>
        </w:r>
        <w:smartTag w:uri="urn:schemas-microsoft-com:office:smarttags" w:element="PlaceName">
          <w:r w:rsidR="00BC51AA" w:rsidRPr="008F7E66">
            <w:t>Technical</w:t>
          </w:r>
        </w:smartTag>
        <w:r w:rsidR="00BC51AA" w:rsidRPr="008F7E66">
          <w:t xml:space="preserve"> </w:t>
        </w:r>
        <w:smartTag w:uri="urn:schemas-microsoft-com:office:smarttags" w:element="PlaceType">
          <w:r w:rsidR="00BC51AA" w:rsidRPr="008F7E66">
            <w:t>College</w:t>
          </w:r>
        </w:smartTag>
      </w:smartTag>
      <w:r w:rsidR="00BC51AA" w:rsidRPr="008F7E66">
        <w:t>, 20</w:t>
      </w:r>
      <w:r>
        <w:t> </w:t>
      </w:r>
      <w:r w:rsidR="00BC51AA" w:rsidRPr="008F7E66">
        <w:t xml:space="preserve">teachers graduated with Australian-standard </w:t>
      </w:r>
      <w:r w:rsidR="002441E9">
        <w:t xml:space="preserve">teaching </w:t>
      </w:r>
      <w:r w:rsidR="00BC51AA" w:rsidRPr="008F7E66">
        <w:t xml:space="preserve">certificates, significantly increasing the </w:t>
      </w:r>
      <w:r>
        <w:t>number</w:t>
      </w:r>
      <w:r w:rsidR="00BC51AA" w:rsidRPr="008F7E66">
        <w:t xml:space="preserve"> of qualified technical and vocational educators at the Kiribati Institute of Technology.</w:t>
      </w:r>
    </w:p>
    <w:p w:rsidR="00BC51AA" w:rsidRPr="008F7E66" w:rsidRDefault="00586AD4" w:rsidP="009B13C0">
      <w:pPr>
        <w:pStyle w:val="ListBullet"/>
      </w:pPr>
      <w:r>
        <w:rPr>
          <w:b/>
        </w:rPr>
        <w:t>Improved taxation and customs compliance</w:t>
      </w:r>
      <w:r>
        <w:t>—</w:t>
      </w:r>
      <w:r w:rsidR="00096629">
        <w:t xml:space="preserve">advisory </w:t>
      </w:r>
      <w:r>
        <w:t>s</w:t>
      </w:r>
      <w:r w:rsidR="00BC51AA" w:rsidRPr="008F7E66">
        <w:t>upport enabled GOK to maintain revenue levels from import</w:t>
      </w:r>
      <w:r w:rsidR="007748BA">
        <w:t xml:space="preserve"> </w:t>
      </w:r>
      <w:r w:rsidR="007748BA" w:rsidRPr="008F7E66">
        <w:t xml:space="preserve">duties </w:t>
      </w:r>
      <w:r w:rsidR="007748BA">
        <w:t>in 2009</w:t>
      </w:r>
      <w:r w:rsidR="00BC51AA" w:rsidRPr="008F7E66">
        <w:t xml:space="preserve"> through increased efficiency and improved collection processes</w:t>
      </w:r>
      <w:r>
        <w:t xml:space="preserve">, </w:t>
      </w:r>
      <w:r w:rsidR="00BC51AA" w:rsidRPr="008F7E66">
        <w:t>despite reduced overall trade flows.</w:t>
      </w:r>
    </w:p>
    <w:p w:rsidR="00BC51AA" w:rsidRPr="008F7E66" w:rsidRDefault="00586AD4" w:rsidP="009B13C0">
      <w:pPr>
        <w:pStyle w:val="ListBullet"/>
      </w:pPr>
      <w:r>
        <w:rPr>
          <w:b/>
        </w:rPr>
        <w:t>Reduction in</w:t>
      </w:r>
      <w:r w:rsidR="00BC51AA" w:rsidRPr="008F7E66">
        <w:rPr>
          <w:b/>
        </w:rPr>
        <w:t xml:space="preserve"> </w:t>
      </w:r>
      <w:r w:rsidR="0090308A">
        <w:rPr>
          <w:b/>
        </w:rPr>
        <w:t>TB</w:t>
      </w:r>
      <w:r>
        <w:t>—the number of TB</w:t>
      </w:r>
      <w:r w:rsidR="00BC51AA" w:rsidRPr="008F7E66">
        <w:t xml:space="preserve"> cases</w:t>
      </w:r>
      <w:r>
        <w:t xml:space="preserve"> reduced</w:t>
      </w:r>
      <w:r w:rsidR="00551029">
        <w:t xml:space="preserve"> </w:t>
      </w:r>
      <w:r w:rsidR="00BC51AA" w:rsidRPr="008F7E66">
        <w:t>from 745 in 2007 to 248 in 2009</w:t>
      </w:r>
      <w:r>
        <w:t xml:space="preserve">, thanks to the work of </w:t>
      </w:r>
      <w:r w:rsidR="00BC51AA" w:rsidRPr="008F7E66">
        <w:t>the Australian-supported Secretariat of the Pacific Community’s TB</w:t>
      </w:r>
      <w:r w:rsidR="00A21BFC">
        <w:t> </w:t>
      </w:r>
      <w:r w:rsidR="00BC51AA" w:rsidRPr="008F7E66">
        <w:t xml:space="preserve">Program. </w:t>
      </w:r>
      <w:smartTag w:uri="urn:schemas-microsoft-com:office:smarttags" w:element="place">
        <w:smartTag w:uri="urn:schemas-microsoft-com:office:smarttags" w:element="country-region">
          <w:r w:rsidR="00BC51AA" w:rsidRPr="008F7E66">
            <w:t>Kiribati</w:t>
          </w:r>
        </w:smartTag>
      </w:smartTag>
      <w:r w:rsidR="00BC51AA" w:rsidRPr="008F7E66">
        <w:t xml:space="preserve">’s first TB laboratory </w:t>
      </w:r>
      <w:r w:rsidR="00B836EA">
        <w:t>was</w:t>
      </w:r>
      <w:r w:rsidR="00BC51AA" w:rsidRPr="008F7E66">
        <w:t xml:space="preserve"> built, enabling early diagnosis of drug</w:t>
      </w:r>
      <w:r w:rsidR="00B836EA">
        <w:t>-</w:t>
      </w:r>
      <w:r w:rsidR="00BC51AA" w:rsidRPr="008F7E66">
        <w:t>resistant strains of TB in-country for the first time.</w:t>
      </w:r>
    </w:p>
    <w:p w:rsidR="00BC51AA" w:rsidRPr="00BC51AA" w:rsidRDefault="0006442B" w:rsidP="009B13C0">
      <w:pPr>
        <w:pStyle w:val="Heading2"/>
        <w:ind w:left="0"/>
      </w:pPr>
      <w:r>
        <w:br w:type="page"/>
      </w:r>
      <w:bookmarkStart w:id="13" w:name="_Toc360718771"/>
      <w:r w:rsidR="00BC51AA" w:rsidRPr="00BC51AA">
        <w:lastRenderedPageBreak/>
        <w:t xml:space="preserve">Priority </w:t>
      </w:r>
      <w:r w:rsidR="00261151">
        <w:t>o</w:t>
      </w:r>
      <w:r w:rsidR="00261151" w:rsidRPr="00BC51AA">
        <w:t xml:space="preserve">utcome </w:t>
      </w:r>
      <w:r w:rsidR="00BC51AA" w:rsidRPr="00BC51AA">
        <w:t>1</w:t>
      </w:r>
      <w:bookmarkStart w:id="14" w:name="OC1"/>
      <w:bookmarkEnd w:id="14"/>
      <w:r w:rsidR="00BC51AA" w:rsidRPr="00BC51AA">
        <w:t xml:space="preserve">: </w:t>
      </w:r>
      <w:r w:rsidR="00261151">
        <w:t>B</w:t>
      </w:r>
      <w:r w:rsidR="00BC51AA" w:rsidRPr="00BC51AA">
        <w:t xml:space="preserve">asic </w:t>
      </w:r>
      <w:r w:rsidR="00B836EA">
        <w:t>ed</w:t>
      </w:r>
      <w:r w:rsidR="00BC51AA" w:rsidRPr="00BC51AA">
        <w:t>ucation</w:t>
      </w:r>
      <w:bookmarkEnd w:id="13"/>
      <w:r w:rsidR="00BC51AA" w:rsidRPr="00BC51AA">
        <w:t xml:space="preserve"> </w:t>
      </w:r>
    </w:p>
    <w:p w:rsidR="00BC51AA" w:rsidRPr="008F7E66" w:rsidRDefault="009B13C0" w:rsidP="005A517D">
      <w:pPr>
        <w:pStyle w:val="P"/>
        <w:ind w:left="1420" w:hanging="1420"/>
      </w:pPr>
      <w:r>
        <w:rPr>
          <w:b/>
        </w:rPr>
        <w:t>Commitment:</w:t>
      </w:r>
      <w:r w:rsidR="00BC51AA" w:rsidRPr="008F7E66">
        <w:rPr>
          <w:b/>
        </w:rPr>
        <w:tab/>
      </w:r>
      <w:r w:rsidR="00BC51AA" w:rsidRPr="008F7E66">
        <w:t xml:space="preserve">Support efforts to achieve improved standards </w:t>
      </w:r>
      <w:r w:rsidR="00224B34">
        <w:t>in</w:t>
      </w:r>
      <w:r w:rsidR="00BC51AA" w:rsidRPr="008F7E66">
        <w:t xml:space="preserve"> basic education, both access and quality (MDG 2)</w:t>
      </w:r>
    </w:p>
    <w:p w:rsidR="00BC51AA" w:rsidRPr="008F7E66" w:rsidRDefault="00BC51AA" w:rsidP="005A517D">
      <w:pPr>
        <w:pStyle w:val="P"/>
        <w:ind w:left="0"/>
      </w:pPr>
      <w:r w:rsidRPr="008F7E66">
        <w:rPr>
          <w:b/>
        </w:rPr>
        <w:t>Targets:</w:t>
      </w:r>
      <w:r w:rsidRPr="008F7E66">
        <w:rPr>
          <w:b/>
        </w:rPr>
        <w:tab/>
      </w:r>
      <w:r w:rsidRPr="008F7E66">
        <w:t>Improve the literacy and numeracy of school-age children</w:t>
      </w:r>
    </w:p>
    <w:p w:rsidR="008F7E66" w:rsidRPr="008F7E66" w:rsidRDefault="00BC51AA" w:rsidP="005A517D">
      <w:pPr>
        <w:pStyle w:val="P"/>
      </w:pPr>
      <w:r w:rsidRPr="008F7E66">
        <w:t xml:space="preserve">Increased net enrolment rate for boys and girls at all levels of the </w:t>
      </w:r>
      <w:r w:rsidR="006930C8">
        <w:br/>
      </w:r>
      <w:r w:rsidRPr="008F7E66">
        <w:t>education system</w:t>
      </w:r>
    </w:p>
    <w:p w:rsidR="005A517D" w:rsidRPr="008F7E66" w:rsidRDefault="00BC51AA" w:rsidP="005A517D">
      <w:pPr>
        <w:pStyle w:val="P"/>
      </w:pPr>
      <w:r w:rsidRPr="008F7E66">
        <w:t>Verification and analysis of Kiribati Education Management Information System data, reported annually to key stakeholders</w:t>
      </w:r>
    </w:p>
    <w:p w:rsidR="00BC51AA" w:rsidRDefault="00BC51AA" w:rsidP="007A7558">
      <w:pPr>
        <w:pStyle w:val="BodyText"/>
        <w:spacing w:before="240"/>
      </w:pPr>
      <w:r w:rsidRPr="008F7E66">
        <w:t xml:space="preserve">Efforts to improve the standard of basic education over the past few years have been impeded by </w:t>
      </w:r>
      <w:r w:rsidR="00A21BFC">
        <w:t>GOK</w:t>
      </w:r>
      <w:r w:rsidR="0059480C">
        <w:t>’</w:t>
      </w:r>
      <w:r w:rsidR="00A21BFC">
        <w:t xml:space="preserve">s </w:t>
      </w:r>
      <w:r w:rsidRPr="008F7E66">
        <w:t xml:space="preserve">capacity constraints and poorly coordinated donor programs which have competed for scarce </w:t>
      </w:r>
      <w:r w:rsidR="001B386A">
        <w:t xml:space="preserve">GOK </w:t>
      </w:r>
      <w:r w:rsidRPr="008F7E66">
        <w:t>resources. A</w:t>
      </w:r>
      <w:r w:rsidR="001D4370">
        <w:t xml:space="preserve">ustralian support for education </w:t>
      </w:r>
      <w:r w:rsidR="00AD362A">
        <w:t xml:space="preserve">over this time has been delivered through </w:t>
      </w:r>
      <w:r w:rsidR="006A23D3">
        <w:t>stand</w:t>
      </w:r>
      <w:r w:rsidR="006930C8">
        <w:t>-a</w:t>
      </w:r>
      <w:r w:rsidR="006A23D3">
        <w:t>lone activities</w:t>
      </w:r>
      <w:r w:rsidR="001D4370">
        <w:t>, which</w:t>
      </w:r>
      <w:r w:rsidR="007748BA">
        <w:t>—</w:t>
      </w:r>
      <w:r w:rsidR="001D4370">
        <w:t xml:space="preserve">while </w:t>
      </w:r>
      <w:r w:rsidRPr="008F7E66">
        <w:t>deliver</w:t>
      </w:r>
      <w:r w:rsidR="00AD362A">
        <w:t>ing</w:t>
      </w:r>
      <w:r w:rsidR="006930C8">
        <w:t xml:space="preserve"> </w:t>
      </w:r>
      <w:r w:rsidR="001D4370">
        <w:t xml:space="preserve">on </w:t>
      </w:r>
      <w:r w:rsidR="008D27E6">
        <w:t>specified</w:t>
      </w:r>
      <w:r w:rsidRPr="008F7E66">
        <w:t xml:space="preserve"> outputs</w:t>
      </w:r>
      <w:r w:rsidR="007748BA">
        <w:t>—</w:t>
      </w:r>
      <w:r w:rsidR="001D4370">
        <w:t xml:space="preserve"> made</w:t>
      </w:r>
      <w:r w:rsidR="006A23D3">
        <w:t xml:space="preserve"> no</w:t>
      </w:r>
      <w:r w:rsidRPr="008F7E66">
        <w:t xml:space="preserve"> </w:t>
      </w:r>
      <w:r w:rsidR="006930C8">
        <w:t>overall</w:t>
      </w:r>
      <w:r w:rsidRPr="008F7E66">
        <w:t xml:space="preserve"> contribution to improving education standards. Recognising </w:t>
      </w:r>
      <w:r w:rsidR="00DD6CB5">
        <w:t>this</w:t>
      </w:r>
      <w:r w:rsidRPr="008F7E66">
        <w:t xml:space="preserve">, </w:t>
      </w:r>
      <w:smartTag w:uri="urn:schemas-microsoft-com:office:smarttags" w:element="place">
        <w:smartTag w:uri="urn:schemas-microsoft-com:office:smarttags" w:element="country-region">
          <w:r w:rsidRPr="008F7E66">
            <w:t>Australia</w:t>
          </w:r>
        </w:smartTag>
      </w:smartTag>
      <w:r w:rsidRPr="008F7E66">
        <w:t xml:space="preserve"> led a design process</w:t>
      </w:r>
      <w:r w:rsidR="00DD6CB5">
        <w:t xml:space="preserve"> in 2009</w:t>
      </w:r>
      <w:r w:rsidRPr="008F7E66">
        <w:t xml:space="preserve"> involving major donors and the Ministry of Education to develop a single education </w:t>
      </w:r>
      <w:r w:rsidR="00FA2CAD">
        <w:t xml:space="preserve">aid </w:t>
      </w:r>
      <w:r w:rsidRPr="008F7E66">
        <w:t xml:space="preserve">program. </w:t>
      </w:r>
      <w:r w:rsidR="00096629">
        <w:t>Th</w:t>
      </w:r>
      <w:r w:rsidR="001B386A">
        <w:t>is</w:t>
      </w:r>
      <w:r w:rsidR="00096629">
        <w:t xml:space="preserve"> has been </w:t>
      </w:r>
      <w:r w:rsidR="001D4370">
        <w:t xml:space="preserve">slow and </w:t>
      </w:r>
      <w:r w:rsidR="00096629">
        <w:t>time consuming</w:t>
      </w:r>
      <w:r w:rsidR="007748BA">
        <w:t>,</w:t>
      </w:r>
      <w:r w:rsidR="00096629">
        <w:t xml:space="preserve"> but c</w:t>
      </w:r>
      <w:r w:rsidRPr="008F7E66">
        <w:t xml:space="preserve">ommitment </w:t>
      </w:r>
      <w:r w:rsidR="006938AF">
        <w:t>to implementation</w:t>
      </w:r>
      <w:r w:rsidR="00FA2CAD">
        <w:t xml:space="preserve"> is strong</w:t>
      </w:r>
      <w:r w:rsidR="006938AF">
        <w:t xml:space="preserve"> </w:t>
      </w:r>
      <w:r w:rsidRPr="008F7E66">
        <w:t xml:space="preserve">and progress </w:t>
      </w:r>
      <w:r w:rsidR="00841F5D">
        <w:t>continues to be</w:t>
      </w:r>
      <w:r w:rsidRPr="008F7E66">
        <w:t xml:space="preserve"> made. </w:t>
      </w:r>
    </w:p>
    <w:p w:rsidR="00CF6C1B" w:rsidRDefault="00CF6C1B" w:rsidP="00CF6C1B">
      <w:pPr>
        <w:pStyle w:val="BodyText"/>
      </w:pPr>
      <w:r w:rsidRPr="00B876CB">
        <w:t xml:space="preserve">Results from the Standard Tests of Achievement for </w:t>
      </w:r>
      <w:smartTag w:uri="urn:schemas-microsoft-com:office:smarttags" w:element="place">
        <w:smartTag w:uri="urn:schemas-microsoft-com:office:smarttags" w:element="country-region">
          <w:r w:rsidRPr="00B876CB">
            <w:t>Kiribati</w:t>
          </w:r>
        </w:smartTag>
      </w:smartTag>
      <w:r w:rsidRPr="00B876CB">
        <w:t xml:space="preserve"> for 2009 indicate literacy and numeracy levels </w:t>
      </w:r>
      <w:r>
        <w:t>remained</w:t>
      </w:r>
      <w:r w:rsidRPr="00B876CB">
        <w:t xml:space="preserve"> poor </w:t>
      </w:r>
      <w:r>
        <w:t>among</w:t>
      </w:r>
      <w:r w:rsidRPr="00B876CB">
        <w:t xml:space="preserve"> primary school children</w:t>
      </w:r>
      <w:r w:rsidR="00186453">
        <w:t xml:space="preserve"> (Table </w:t>
      </w:r>
      <w:r w:rsidR="00A54134">
        <w:t>3</w:t>
      </w:r>
      <w:r w:rsidR="00186453">
        <w:t>)</w:t>
      </w:r>
      <w:r w:rsidRPr="00B876CB">
        <w:t xml:space="preserve">. </w:t>
      </w:r>
    </w:p>
    <w:p w:rsidR="007E01DF" w:rsidRDefault="007E01DF" w:rsidP="007E01DF">
      <w:pPr>
        <w:pStyle w:val="Caption"/>
        <w:rPr>
          <w:rFonts w:ascii="Georgia" w:hAnsi="Georgia" w:cs="Arial"/>
        </w:rPr>
      </w:pPr>
      <w:r w:rsidRPr="006C2AA3">
        <w:t xml:space="preserve">Table </w:t>
      </w:r>
      <w:r w:rsidR="00A54134">
        <w:t>3</w:t>
      </w:r>
      <w:r w:rsidRPr="006C2AA3">
        <w:t xml:space="preserve">: Primary </w:t>
      </w:r>
      <w:r>
        <w:t>s</w:t>
      </w:r>
      <w:r w:rsidRPr="006C2AA3">
        <w:t xml:space="preserve">chool students with satisfactory (or above) </w:t>
      </w:r>
      <w:r>
        <w:t>l</w:t>
      </w:r>
      <w:r w:rsidRPr="006C2AA3">
        <w:t xml:space="preserve">iteracy and </w:t>
      </w:r>
      <w:r>
        <w:t>n</w:t>
      </w:r>
      <w:r w:rsidRPr="006C2AA3">
        <w:t>umeracy skills</w:t>
      </w:r>
    </w:p>
    <w:tbl>
      <w:tblPr>
        <w:tblW w:w="7938"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85"/>
        <w:gridCol w:w="1020"/>
        <w:gridCol w:w="1020"/>
        <w:gridCol w:w="1019"/>
        <w:gridCol w:w="236"/>
        <w:gridCol w:w="1019"/>
        <w:gridCol w:w="1019"/>
        <w:gridCol w:w="1020"/>
      </w:tblGrid>
      <w:tr w:rsidR="007A5153" w:rsidRPr="007E749A" w:rsidTr="007E749A">
        <w:trPr>
          <w:cantSplit/>
          <w:trHeight w:val="450"/>
          <w:tblHeader/>
        </w:trPr>
        <w:tc>
          <w:tcPr>
            <w:tcW w:w="1586" w:type="dxa"/>
            <w:tcBorders>
              <w:top w:val="single" w:sz="12" w:space="0" w:color="auto"/>
              <w:left w:val="nil"/>
              <w:bottom w:val="nil"/>
              <w:right w:val="nil"/>
            </w:tcBorders>
          </w:tcPr>
          <w:p w:rsidR="007E01DF" w:rsidRPr="00613907" w:rsidRDefault="007E01DF" w:rsidP="007E749A">
            <w:pPr>
              <w:pStyle w:val="TableDataColumnHeading"/>
              <w:jc w:val="left"/>
            </w:pPr>
          </w:p>
        </w:tc>
        <w:tc>
          <w:tcPr>
            <w:tcW w:w="3058" w:type="dxa"/>
            <w:gridSpan w:val="3"/>
            <w:tcBorders>
              <w:top w:val="single" w:sz="12" w:space="0" w:color="auto"/>
              <w:left w:val="nil"/>
              <w:bottom w:val="single" w:sz="2" w:space="0" w:color="auto"/>
              <w:right w:val="nil"/>
            </w:tcBorders>
          </w:tcPr>
          <w:p w:rsidR="007E01DF" w:rsidRPr="00613907" w:rsidRDefault="007E01DF" w:rsidP="007E749A">
            <w:pPr>
              <w:pStyle w:val="TableDataColumnHeading"/>
              <w:jc w:val="center"/>
            </w:pPr>
            <w:r>
              <w:t>Year 4</w:t>
            </w:r>
          </w:p>
        </w:tc>
        <w:tc>
          <w:tcPr>
            <w:tcW w:w="236" w:type="dxa"/>
            <w:tcBorders>
              <w:top w:val="single" w:sz="12" w:space="0" w:color="auto"/>
              <w:left w:val="nil"/>
              <w:bottom w:val="nil"/>
              <w:right w:val="nil"/>
            </w:tcBorders>
          </w:tcPr>
          <w:p w:rsidR="007E01DF" w:rsidRDefault="007E01DF" w:rsidP="007E0699">
            <w:pPr>
              <w:pStyle w:val="TableDataColumnHeading"/>
            </w:pPr>
          </w:p>
        </w:tc>
        <w:tc>
          <w:tcPr>
            <w:tcW w:w="3058" w:type="dxa"/>
            <w:gridSpan w:val="3"/>
            <w:tcBorders>
              <w:top w:val="single" w:sz="12" w:space="0" w:color="auto"/>
              <w:left w:val="nil"/>
              <w:bottom w:val="single" w:sz="2" w:space="0" w:color="auto"/>
              <w:right w:val="nil"/>
            </w:tcBorders>
          </w:tcPr>
          <w:p w:rsidR="007E01DF" w:rsidRPr="00613907" w:rsidRDefault="007E01DF" w:rsidP="007E749A">
            <w:pPr>
              <w:pStyle w:val="TableDataColumnHeading"/>
              <w:jc w:val="center"/>
            </w:pPr>
            <w:r>
              <w:t>Year 6</w:t>
            </w:r>
          </w:p>
        </w:tc>
      </w:tr>
      <w:tr w:rsidR="007A5153" w:rsidRPr="007E749A" w:rsidTr="007E749A">
        <w:trPr>
          <w:cantSplit/>
          <w:trHeight w:val="450"/>
          <w:tblHeader/>
        </w:trPr>
        <w:tc>
          <w:tcPr>
            <w:tcW w:w="1586" w:type="dxa"/>
            <w:tcBorders>
              <w:top w:val="nil"/>
              <w:left w:val="nil"/>
              <w:bottom w:val="nil"/>
              <w:right w:val="nil"/>
            </w:tcBorders>
          </w:tcPr>
          <w:p w:rsidR="007E01DF" w:rsidRPr="00613907" w:rsidRDefault="007E01DF" w:rsidP="007E749A">
            <w:pPr>
              <w:pStyle w:val="TableDataColumnHeading"/>
              <w:jc w:val="left"/>
            </w:pPr>
            <w:r w:rsidRPr="00613907">
              <w:t>Subject</w:t>
            </w:r>
          </w:p>
        </w:tc>
        <w:tc>
          <w:tcPr>
            <w:tcW w:w="1020" w:type="dxa"/>
            <w:tcBorders>
              <w:top w:val="single" w:sz="2" w:space="0" w:color="auto"/>
              <w:left w:val="nil"/>
              <w:bottom w:val="nil"/>
              <w:right w:val="nil"/>
            </w:tcBorders>
          </w:tcPr>
          <w:p w:rsidR="007E01DF" w:rsidRPr="00613907" w:rsidRDefault="007E01DF" w:rsidP="007E749A">
            <w:pPr>
              <w:pStyle w:val="TableDataColumnHeading"/>
              <w:jc w:val="center"/>
            </w:pPr>
            <w:r>
              <w:t>2004</w:t>
            </w:r>
          </w:p>
        </w:tc>
        <w:tc>
          <w:tcPr>
            <w:tcW w:w="1020" w:type="dxa"/>
            <w:tcBorders>
              <w:top w:val="single" w:sz="2" w:space="0" w:color="auto"/>
              <w:left w:val="nil"/>
              <w:bottom w:val="nil"/>
              <w:right w:val="nil"/>
            </w:tcBorders>
          </w:tcPr>
          <w:p w:rsidR="007E01DF" w:rsidRPr="00613907" w:rsidRDefault="007E01DF" w:rsidP="007E749A">
            <w:pPr>
              <w:pStyle w:val="TableDataColumnHeading"/>
              <w:jc w:val="center"/>
            </w:pPr>
            <w:r>
              <w:t>2007</w:t>
            </w:r>
          </w:p>
        </w:tc>
        <w:tc>
          <w:tcPr>
            <w:tcW w:w="1019" w:type="dxa"/>
            <w:tcBorders>
              <w:top w:val="single" w:sz="2" w:space="0" w:color="auto"/>
              <w:left w:val="nil"/>
              <w:bottom w:val="nil"/>
              <w:right w:val="nil"/>
            </w:tcBorders>
          </w:tcPr>
          <w:p w:rsidR="007E01DF" w:rsidRPr="00613907" w:rsidRDefault="007E01DF" w:rsidP="007E749A">
            <w:pPr>
              <w:pStyle w:val="TableDataColumnHeading"/>
              <w:jc w:val="center"/>
            </w:pPr>
            <w:r>
              <w:t>2009</w:t>
            </w:r>
          </w:p>
        </w:tc>
        <w:tc>
          <w:tcPr>
            <w:tcW w:w="236" w:type="dxa"/>
            <w:tcBorders>
              <w:top w:val="nil"/>
              <w:left w:val="nil"/>
              <w:bottom w:val="nil"/>
              <w:right w:val="nil"/>
            </w:tcBorders>
          </w:tcPr>
          <w:p w:rsidR="007E01DF" w:rsidRDefault="007E01DF" w:rsidP="007E0699">
            <w:pPr>
              <w:pStyle w:val="TableDataColumnHeading"/>
            </w:pPr>
          </w:p>
        </w:tc>
        <w:tc>
          <w:tcPr>
            <w:tcW w:w="1019" w:type="dxa"/>
            <w:tcBorders>
              <w:top w:val="single" w:sz="2" w:space="0" w:color="auto"/>
              <w:left w:val="nil"/>
              <w:bottom w:val="nil"/>
              <w:right w:val="nil"/>
            </w:tcBorders>
          </w:tcPr>
          <w:p w:rsidR="007E01DF" w:rsidRPr="00613907" w:rsidRDefault="007E01DF" w:rsidP="007E749A">
            <w:pPr>
              <w:pStyle w:val="TableDataColumnHeading"/>
              <w:jc w:val="center"/>
            </w:pPr>
            <w:r>
              <w:t>2004</w:t>
            </w:r>
          </w:p>
        </w:tc>
        <w:tc>
          <w:tcPr>
            <w:tcW w:w="1019" w:type="dxa"/>
            <w:tcBorders>
              <w:top w:val="single" w:sz="2" w:space="0" w:color="auto"/>
              <w:left w:val="nil"/>
              <w:bottom w:val="nil"/>
              <w:right w:val="nil"/>
            </w:tcBorders>
          </w:tcPr>
          <w:p w:rsidR="007E01DF" w:rsidRPr="00613907" w:rsidRDefault="007E01DF" w:rsidP="007E749A">
            <w:pPr>
              <w:pStyle w:val="TableDataColumnHeading"/>
              <w:jc w:val="center"/>
            </w:pPr>
            <w:r>
              <w:t>2007</w:t>
            </w:r>
          </w:p>
        </w:tc>
        <w:tc>
          <w:tcPr>
            <w:tcW w:w="1019" w:type="dxa"/>
            <w:tcBorders>
              <w:top w:val="single" w:sz="2" w:space="0" w:color="auto"/>
              <w:left w:val="nil"/>
              <w:bottom w:val="nil"/>
              <w:right w:val="nil"/>
            </w:tcBorders>
          </w:tcPr>
          <w:p w:rsidR="007E01DF" w:rsidRPr="00613907" w:rsidRDefault="007E01DF" w:rsidP="007E749A">
            <w:pPr>
              <w:pStyle w:val="TableDataColumnHeading"/>
              <w:jc w:val="center"/>
            </w:pPr>
            <w:r>
              <w:t>2009</w:t>
            </w:r>
          </w:p>
        </w:tc>
      </w:tr>
      <w:tr w:rsidR="007A5153" w:rsidRPr="007E749A" w:rsidTr="007E749A">
        <w:trPr>
          <w:cantSplit/>
          <w:trHeight w:val="450"/>
        </w:trPr>
        <w:tc>
          <w:tcPr>
            <w:tcW w:w="1586" w:type="dxa"/>
            <w:tcBorders>
              <w:top w:val="single" w:sz="2" w:space="0" w:color="auto"/>
              <w:left w:val="nil"/>
              <w:bottom w:val="nil"/>
              <w:right w:val="nil"/>
            </w:tcBorders>
          </w:tcPr>
          <w:p w:rsidR="007E01DF" w:rsidRPr="00613907" w:rsidRDefault="007E01DF" w:rsidP="007E749A">
            <w:pPr>
              <w:pStyle w:val="TableDataEntries"/>
              <w:jc w:val="left"/>
            </w:pPr>
            <w:r>
              <w:t>English</w:t>
            </w:r>
          </w:p>
        </w:tc>
        <w:tc>
          <w:tcPr>
            <w:tcW w:w="1020" w:type="dxa"/>
            <w:tcBorders>
              <w:top w:val="single" w:sz="2" w:space="0" w:color="auto"/>
              <w:left w:val="nil"/>
              <w:bottom w:val="nil"/>
              <w:right w:val="nil"/>
            </w:tcBorders>
          </w:tcPr>
          <w:p w:rsidR="007E01DF" w:rsidRPr="00613907" w:rsidRDefault="007E01DF" w:rsidP="007E749A">
            <w:pPr>
              <w:pStyle w:val="TableDataEntries"/>
              <w:jc w:val="center"/>
            </w:pPr>
            <w:r>
              <w:t>26%</w:t>
            </w:r>
          </w:p>
        </w:tc>
        <w:tc>
          <w:tcPr>
            <w:tcW w:w="1020" w:type="dxa"/>
            <w:tcBorders>
              <w:top w:val="single" w:sz="2" w:space="0" w:color="auto"/>
              <w:left w:val="nil"/>
              <w:bottom w:val="nil"/>
              <w:right w:val="nil"/>
            </w:tcBorders>
          </w:tcPr>
          <w:p w:rsidR="007E01DF" w:rsidRPr="00613907" w:rsidRDefault="007E01DF" w:rsidP="007E749A">
            <w:pPr>
              <w:pStyle w:val="TableDataEntries"/>
              <w:jc w:val="center"/>
            </w:pPr>
            <w:r>
              <w:t>29%</w:t>
            </w:r>
          </w:p>
        </w:tc>
        <w:tc>
          <w:tcPr>
            <w:tcW w:w="1019" w:type="dxa"/>
            <w:tcBorders>
              <w:top w:val="single" w:sz="2" w:space="0" w:color="auto"/>
              <w:left w:val="nil"/>
              <w:bottom w:val="nil"/>
              <w:right w:val="nil"/>
            </w:tcBorders>
          </w:tcPr>
          <w:p w:rsidR="007E01DF" w:rsidRPr="00613907" w:rsidRDefault="007E01DF" w:rsidP="007E749A">
            <w:pPr>
              <w:pStyle w:val="TableDataEntries"/>
              <w:jc w:val="center"/>
            </w:pPr>
            <w:r>
              <w:t>31%</w:t>
            </w:r>
          </w:p>
        </w:tc>
        <w:tc>
          <w:tcPr>
            <w:tcW w:w="236" w:type="dxa"/>
            <w:tcBorders>
              <w:top w:val="single" w:sz="2" w:space="0" w:color="auto"/>
              <w:left w:val="nil"/>
              <w:bottom w:val="nil"/>
              <w:right w:val="nil"/>
            </w:tcBorders>
          </w:tcPr>
          <w:p w:rsidR="007E01DF" w:rsidRDefault="007E01DF" w:rsidP="007E0699">
            <w:pPr>
              <w:pStyle w:val="TableDataEntries"/>
            </w:pPr>
          </w:p>
        </w:tc>
        <w:tc>
          <w:tcPr>
            <w:tcW w:w="1019" w:type="dxa"/>
            <w:tcBorders>
              <w:top w:val="single" w:sz="2" w:space="0" w:color="auto"/>
              <w:left w:val="nil"/>
              <w:bottom w:val="nil"/>
              <w:right w:val="nil"/>
            </w:tcBorders>
          </w:tcPr>
          <w:p w:rsidR="007E01DF" w:rsidRPr="00613907" w:rsidRDefault="007E01DF" w:rsidP="007E749A">
            <w:pPr>
              <w:pStyle w:val="TableDataEntries"/>
              <w:jc w:val="center"/>
            </w:pPr>
            <w:r>
              <w:t>14%</w:t>
            </w:r>
          </w:p>
        </w:tc>
        <w:tc>
          <w:tcPr>
            <w:tcW w:w="1019" w:type="dxa"/>
            <w:tcBorders>
              <w:top w:val="single" w:sz="2" w:space="0" w:color="auto"/>
              <w:left w:val="nil"/>
              <w:bottom w:val="nil"/>
              <w:right w:val="nil"/>
            </w:tcBorders>
          </w:tcPr>
          <w:p w:rsidR="007E01DF" w:rsidRPr="00613907" w:rsidRDefault="007E01DF" w:rsidP="007E749A">
            <w:pPr>
              <w:pStyle w:val="TableDataEntries"/>
              <w:jc w:val="center"/>
            </w:pPr>
            <w:r>
              <w:t>14%</w:t>
            </w:r>
          </w:p>
        </w:tc>
        <w:tc>
          <w:tcPr>
            <w:tcW w:w="1019" w:type="dxa"/>
            <w:tcBorders>
              <w:top w:val="single" w:sz="2" w:space="0" w:color="auto"/>
              <w:left w:val="nil"/>
              <w:bottom w:val="nil"/>
              <w:right w:val="nil"/>
            </w:tcBorders>
          </w:tcPr>
          <w:p w:rsidR="007E01DF" w:rsidRPr="00613907" w:rsidRDefault="007E01DF" w:rsidP="007E749A">
            <w:pPr>
              <w:pStyle w:val="TableDataEntries"/>
              <w:jc w:val="center"/>
            </w:pPr>
            <w:r>
              <w:t>33%</w:t>
            </w:r>
          </w:p>
        </w:tc>
      </w:tr>
      <w:tr w:rsidR="007A5153" w:rsidRPr="007E749A" w:rsidTr="007E749A">
        <w:trPr>
          <w:cantSplit/>
          <w:trHeight w:val="450"/>
        </w:trPr>
        <w:tc>
          <w:tcPr>
            <w:tcW w:w="1586" w:type="dxa"/>
            <w:tcBorders>
              <w:top w:val="nil"/>
              <w:left w:val="nil"/>
              <w:bottom w:val="nil"/>
              <w:right w:val="nil"/>
            </w:tcBorders>
          </w:tcPr>
          <w:p w:rsidR="007E01DF" w:rsidRPr="00613907" w:rsidRDefault="007E01DF" w:rsidP="007E749A">
            <w:pPr>
              <w:pStyle w:val="TableDataEntries"/>
              <w:jc w:val="left"/>
            </w:pPr>
            <w:r>
              <w:t>Kiribati</w:t>
            </w:r>
          </w:p>
        </w:tc>
        <w:tc>
          <w:tcPr>
            <w:tcW w:w="1020" w:type="dxa"/>
            <w:tcBorders>
              <w:top w:val="nil"/>
              <w:left w:val="nil"/>
              <w:bottom w:val="nil"/>
              <w:right w:val="nil"/>
            </w:tcBorders>
          </w:tcPr>
          <w:p w:rsidR="007E01DF" w:rsidRPr="00613907" w:rsidRDefault="007E01DF" w:rsidP="007E749A">
            <w:pPr>
              <w:pStyle w:val="TableDataEntries"/>
              <w:jc w:val="center"/>
            </w:pPr>
            <w:r>
              <w:t>75%</w:t>
            </w:r>
          </w:p>
        </w:tc>
        <w:tc>
          <w:tcPr>
            <w:tcW w:w="1020" w:type="dxa"/>
            <w:tcBorders>
              <w:top w:val="nil"/>
              <w:left w:val="nil"/>
              <w:bottom w:val="nil"/>
              <w:right w:val="nil"/>
            </w:tcBorders>
          </w:tcPr>
          <w:p w:rsidR="007E01DF" w:rsidRPr="00613907" w:rsidRDefault="007E01DF" w:rsidP="007E749A">
            <w:pPr>
              <w:pStyle w:val="TableDataEntries"/>
              <w:jc w:val="center"/>
            </w:pPr>
            <w:r>
              <w:t>49%</w:t>
            </w:r>
          </w:p>
        </w:tc>
        <w:tc>
          <w:tcPr>
            <w:tcW w:w="1019" w:type="dxa"/>
            <w:tcBorders>
              <w:top w:val="nil"/>
              <w:left w:val="nil"/>
              <w:bottom w:val="nil"/>
              <w:right w:val="nil"/>
            </w:tcBorders>
          </w:tcPr>
          <w:p w:rsidR="007E01DF" w:rsidRPr="00613907" w:rsidRDefault="007E01DF" w:rsidP="007E749A">
            <w:pPr>
              <w:pStyle w:val="TableDataEntries"/>
              <w:jc w:val="center"/>
            </w:pPr>
            <w:r>
              <w:t>62%</w:t>
            </w:r>
          </w:p>
        </w:tc>
        <w:tc>
          <w:tcPr>
            <w:tcW w:w="236" w:type="dxa"/>
            <w:tcBorders>
              <w:top w:val="nil"/>
              <w:left w:val="nil"/>
              <w:bottom w:val="nil"/>
              <w:right w:val="nil"/>
            </w:tcBorders>
          </w:tcPr>
          <w:p w:rsidR="007E01DF" w:rsidRDefault="007E01DF" w:rsidP="007E0699">
            <w:pPr>
              <w:pStyle w:val="TableDataEntries"/>
            </w:pPr>
          </w:p>
        </w:tc>
        <w:tc>
          <w:tcPr>
            <w:tcW w:w="1019" w:type="dxa"/>
            <w:tcBorders>
              <w:top w:val="nil"/>
              <w:left w:val="nil"/>
              <w:bottom w:val="nil"/>
              <w:right w:val="nil"/>
            </w:tcBorders>
          </w:tcPr>
          <w:p w:rsidR="007E01DF" w:rsidRPr="00613907" w:rsidRDefault="007E01DF" w:rsidP="007E749A">
            <w:pPr>
              <w:pStyle w:val="TableDataEntries"/>
              <w:jc w:val="center"/>
            </w:pPr>
            <w:r>
              <w:t>62%</w:t>
            </w:r>
          </w:p>
        </w:tc>
        <w:tc>
          <w:tcPr>
            <w:tcW w:w="1019" w:type="dxa"/>
            <w:tcBorders>
              <w:top w:val="nil"/>
              <w:left w:val="nil"/>
              <w:bottom w:val="nil"/>
              <w:right w:val="nil"/>
            </w:tcBorders>
          </w:tcPr>
          <w:p w:rsidR="007E01DF" w:rsidRPr="00613907" w:rsidRDefault="007E01DF" w:rsidP="007E749A">
            <w:pPr>
              <w:pStyle w:val="TableDataEntries"/>
              <w:jc w:val="center"/>
            </w:pPr>
            <w:r>
              <w:t>50%</w:t>
            </w:r>
          </w:p>
        </w:tc>
        <w:tc>
          <w:tcPr>
            <w:tcW w:w="1019" w:type="dxa"/>
            <w:tcBorders>
              <w:top w:val="nil"/>
              <w:left w:val="nil"/>
              <w:bottom w:val="nil"/>
              <w:right w:val="nil"/>
            </w:tcBorders>
          </w:tcPr>
          <w:p w:rsidR="007E01DF" w:rsidRPr="00613907" w:rsidRDefault="007E01DF" w:rsidP="007E749A">
            <w:pPr>
              <w:pStyle w:val="TableDataEntries"/>
              <w:jc w:val="center"/>
            </w:pPr>
            <w:r>
              <w:t>56%</w:t>
            </w:r>
          </w:p>
        </w:tc>
      </w:tr>
      <w:tr w:rsidR="007A5153" w:rsidRPr="007E749A" w:rsidTr="007E749A">
        <w:trPr>
          <w:cantSplit/>
          <w:trHeight w:val="450"/>
        </w:trPr>
        <w:tc>
          <w:tcPr>
            <w:tcW w:w="1586" w:type="dxa"/>
            <w:tcBorders>
              <w:top w:val="nil"/>
              <w:left w:val="nil"/>
              <w:bottom w:val="single" w:sz="12" w:space="0" w:color="auto"/>
              <w:right w:val="nil"/>
            </w:tcBorders>
          </w:tcPr>
          <w:p w:rsidR="007E01DF" w:rsidRPr="00613907" w:rsidRDefault="007E01DF" w:rsidP="007E749A">
            <w:pPr>
              <w:pStyle w:val="TableDataEntries"/>
              <w:jc w:val="left"/>
            </w:pPr>
            <w:r>
              <w:t>Numeracy</w:t>
            </w:r>
          </w:p>
        </w:tc>
        <w:tc>
          <w:tcPr>
            <w:tcW w:w="1020" w:type="dxa"/>
            <w:tcBorders>
              <w:top w:val="nil"/>
              <w:left w:val="nil"/>
              <w:bottom w:val="single" w:sz="12" w:space="0" w:color="auto"/>
              <w:right w:val="nil"/>
            </w:tcBorders>
          </w:tcPr>
          <w:p w:rsidR="007E01DF" w:rsidRPr="00613907" w:rsidRDefault="007E01DF" w:rsidP="007E749A">
            <w:pPr>
              <w:pStyle w:val="TableDataEntries"/>
              <w:jc w:val="center"/>
            </w:pPr>
            <w:r>
              <w:t>40%</w:t>
            </w:r>
          </w:p>
        </w:tc>
        <w:tc>
          <w:tcPr>
            <w:tcW w:w="1020" w:type="dxa"/>
            <w:tcBorders>
              <w:top w:val="nil"/>
              <w:left w:val="nil"/>
              <w:bottom w:val="single" w:sz="12" w:space="0" w:color="auto"/>
              <w:right w:val="nil"/>
            </w:tcBorders>
          </w:tcPr>
          <w:p w:rsidR="007E01DF" w:rsidRPr="00613907" w:rsidRDefault="007E01DF" w:rsidP="007E749A">
            <w:pPr>
              <w:pStyle w:val="TableDataEntries"/>
              <w:jc w:val="center"/>
            </w:pPr>
            <w:r>
              <w:t>27%</w:t>
            </w:r>
          </w:p>
        </w:tc>
        <w:tc>
          <w:tcPr>
            <w:tcW w:w="1019" w:type="dxa"/>
            <w:tcBorders>
              <w:top w:val="nil"/>
              <w:left w:val="nil"/>
              <w:bottom w:val="single" w:sz="12" w:space="0" w:color="auto"/>
              <w:right w:val="nil"/>
            </w:tcBorders>
          </w:tcPr>
          <w:p w:rsidR="007E01DF" w:rsidRPr="00613907" w:rsidRDefault="007E01DF" w:rsidP="007E749A">
            <w:pPr>
              <w:pStyle w:val="TableDataEntries"/>
              <w:jc w:val="center"/>
            </w:pPr>
            <w:r>
              <w:t>35%</w:t>
            </w:r>
          </w:p>
        </w:tc>
        <w:tc>
          <w:tcPr>
            <w:tcW w:w="236" w:type="dxa"/>
            <w:tcBorders>
              <w:top w:val="nil"/>
              <w:left w:val="nil"/>
              <w:bottom w:val="single" w:sz="12" w:space="0" w:color="auto"/>
              <w:right w:val="nil"/>
            </w:tcBorders>
          </w:tcPr>
          <w:p w:rsidR="007E01DF" w:rsidRDefault="007E01DF" w:rsidP="007E0699">
            <w:pPr>
              <w:pStyle w:val="TableDataEntries"/>
            </w:pPr>
          </w:p>
        </w:tc>
        <w:tc>
          <w:tcPr>
            <w:tcW w:w="1019" w:type="dxa"/>
            <w:tcBorders>
              <w:top w:val="nil"/>
              <w:left w:val="nil"/>
              <w:bottom w:val="single" w:sz="12" w:space="0" w:color="auto"/>
              <w:right w:val="nil"/>
            </w:tcBorders>
          </w:tcPr>
          <w:p w:rsidR="007E01DF" w:rsidRPr="00613907" w:rsidRDefault="007E01DF" w:rsidP="007E749A">
            <w:pPr>
              <w:pStyle w:val="TableDataEntries"/>
              <w:jc w:val="center"/>
            </w:pPr>
            <w:r>
              <w:t>25%</w:t>
            </w:r>
          </w:p>
        </w:tc>
        <w:tc>
          <w:tcPr>
            <w:tcW w:w="1019" w:type="dxa"/>
            <w:tcBorders>
              <w:top w:val="nil"/>
              <w:left w:val="nil"/>
              <w:bottom w:val="single" w:sz="12" w:space="0" w:color="auto"/>
              <w:right w:val="nil"/>
            </w:tcBorders>
          </w:tcPr>
          <w:p w:rsidR="007E01DF" w:rsidRPr="00613907" w:rsidRDefault="007E01DF" w:rsidP="007E749A">
            <w:pPr>
              <w:pStyle w:val="TableDataEntries"/>
              <w:jc w:val="center"/>
            </w:pPr>
            <w:r>
              <w:t>18%</w:t>
            </w:r>
          </w:p>
        </w:tc>
        <w:tc>
          <w:tcPr>
            <w:tcW w:w="1019" w:type="dxa"/>
            <w:tcBorders>
              <w:top w:val="nil"/>
              <w:left w:val="nil"/>
              <w:bottom w:val="single" w:sz="12" w:space="0" w:color="auto"/>
              <w:right w:val="nil"/>
            </w:tcBorders>
          </w:tcPr>
          <w:p w:rsidR="007E01DF" w:rsidRPr="00613907" w:rsidRDefault="007E01DF" w:rsidP="007E749A">
            <w:pPr>
              <w:pStyle w:val="TableDataEntries"/>
              <w:jc w:val="center"/>
            </w:pPr>
            <w:r>
              <w:t>17%</w:t>
            </w:r>
          </w:p>
        </w:tc>
      </w:tr>
    </w:tbl>
    <w:p w:rsidR="009D5229" w:rsidRDefault="009D5229" w:rsidP="00CF6C1B">
      <w:pPr>
        <w:pStyle w:val="BodyText"/>
      </w:pPr>
    </w:p>
    <w:p w:rsidR="00BC51AA" w:rsidRPr="008F7E66" w:rsidRDefault="00BC51AA" w:rsidP="00CF6C1B">
      <w:pPr>
        <w:pStyle w:val="BodyText"/>
      </w:pPr>
      <w:bookmarkStart w:id="15" w:name="_GoBack"/>
      <w:bookmarkEnd w:id="15"/>
      <w:r w:rsidRPr="00B876CB">
        <w:t xml:space="preserve">In 2009, work </w:t>
      </w:r>
      <w:r w:rsidR="006A23D3">
        <w:t>began</w:t>
      </w:r>
      <w:r w:rsidR="006A23D3" w:rsidRPr="00B876CB">
        <w:t xml:space="preserve"> </w:t>
      </w:r>
      <w:r w:rsidRPr="00B876CB">
        <w:t xml:space="preserve">to improve the </w:t>
      </w:r>
      <w:r w:rsidR="00FA2CAD">
        <w:t>ability</w:t>
      </w:r>
      <w:r w:rsidRPr="00B876CB">
        <w:t xml:space="preserve"> of </w:t>
      </w:r>
      <w:r w:rsidRPr="008F7E66">
        <w:t>teachers to</w:t>
      </w:r>
      <w:r w:rsidR="00FA2CAD">
        <w:t xml:space="preserve"> speak and teach English</w:t>
      </w:r>
      <w:r w:rsidR="00A21BFC">
        <w:t>.</w:t>
      </w:r>
      <w:r w:rsidRPr="008F7E66">
        <w:t xml:space="preserve"> </w:t>
      </w:r>
      <w:r w:rsidR="00F10B1B">
        <w:t xml:space="preserve">Eighty </w:t>
      </w:r>
      <w:r w:rsidR="0006442B">
        <w:br/>
      </w:r>
      <w:r w:rsidRPr="008F7E66">
        <w:t xml:space="preserve">per cent (1275) of teachers and education personnel have now been tested </w:t>
      </w:r>
      <w:r w:rsidR="00036B51">
        <w:t>for</w:t>
      </w:r>
      <w:r w:rsidRPr="008F7E66">
        <w:t xml:space="preserve"> proficiency. </w:t>
      </w:r>
      <w:r w:rsidR="00880F52">
        <w:t>E</w:t>
      </w:r>
      <w:r w:rsidRPr="008F7E66">
        <w:t>ncouraging results</w:t>
      </w:r>
      <w:r w:rsidR="00880F52">
        <w:t xml:space="preserve"> also c</w:t>
      </w:r>
      <w:r w:rsidR="00036B51">
        <w:t>a</w:t>
      </w:r>
      <w:r w:rsidR="00880F52">
        <w:t>me</w:t>
      </w:r>
      <w:r w:rsidRPr="008F7E66">
        <w:t xml:space="preserve"> from a pilot</w:t>
      </w:r>
      <w:r w:rsidR="006938AF">
        <w:t xml:space="preserve"> </w:t>
      </w:r>
      <w:r w:rsidR="00036B51">
        <w:t>testing</w:t>
      </w:r>
      <w:r w:rsidR="00880F52">
        <w:t xml:space="preserve"> </w:t>
      </w:r>
      <w:r w:rsidR="006938AF">
        <w:t>an</w:t>
      </w:r>
      <w:r w:rsidRPr="008F7E66">
        <w:t xml:space="preserve"> intensive language training program for teachers. After only 13 weeks, nearly two-thirds </w:t>
      </w:r>
      <w:r w:rsidR="006938AF">
        <w:t>had</w:t>
      </w:r>
      <w:r w:rsidRPr="008F7E66">
        <w:t xml:space="preserve"> improved their English </w:t>
      </w:r>
      <w:r w:rsidR="00036B51">
        <w:t>with</w:t>
      </w:r>
      <w:r w:rsidRPr="008F7E66">
        <w:t xml:space="preserve"> about one-quarter </w:t>
      </w:r>
      <w:r w:rsidR="00036B51">
        <w:t>at a</w:t>
      </w:r>
      <w:r w:rsidRPr="008F7E66">
        <w:t xml:space="preserve"> significant </w:t>
      </w:r>
      <w:r w:rsidR="00036B51">
        <w:t>level</w:t>
      </w:r>
      <w:r w:rsidRPr="008F7E66">
        <w:t xml:space="preserve">. </w:t>
      </w:r>
      <w:r w:rsidR="00731624">
        <w:t>Pilot results</w:t>
      </w:r>
      <w:r w:rsidRPr="008F7E66">
        <w:t xml:space="preserve"> will be used to reshape English language training. </w:t>
      </w:r>
    </w:p>
    <w:p w:rsidR="00BC51AA" w:rsidRPr="008F7E66" w:rsidRDefault="00BC51AA" w:rsidP="0067092B">
      <w:pPr>
        <w:pStyle w:val="BodyText"/>
      </w:pPr>
      <w:r w:rsidRPr="008F7E66">
        <w:t>Net enrolments in primary schools decreased from 93</w:t>
      </w:r>
      <w:r w:rsidR="008369B9">
        <w:t>%</w:t>
      </w:r>
      <w:r w:rsidRPr="008F7E66">
        <w:t xml:space="preserve"> in 2008 to 87</w:t>
      </w:r>
      <w:r w:rsidR="008369B9">
        <w:t>%</w:t>
      </w:r>
      <w:r w:rsidRPr="008F7E66">
        <w:t xml:space="preserve"> in 2009. </w:t>
      </w:r>
      <w:r w:rsidR="00731624">
        <w:t>A</w:t>
      </w:r>
      <w:r w:rsidRPr="008F7E66">
        <w:t xml:space="preserve">ttendance </w:t>
      </w:r>
      <w:r w:rsidR="00A21BFC">
        <w:t>is</w:t>
      </w:r>
      <w:r w:rsidR="00880F52">
        <w:t xml:space="preserve"> dropping </w:t>
      </w:r>
      <w:r w:rsidR="00731624">
        <w:t xml:space="preserve">for </w:t>
      </w:r>
      <w:r w:rsidR="007748BA">
        <w:t xml:space="preserve">several </w:t>
      </w:r>
      <w:r w:rsidR="00731624">
        <w:t>reasons including</w:t>
      </w:r>
      <w:r w:rsidR="006938AF">
        <w:t xml:space="preserve"> the </w:t>
      </w:r>
      <w:r w:rsidRPr="008F7E66">
        <w:t>high cost of transport and school materials</w:t>
      </w:r>
      <w:r w:rsidR="00F31DEA">
        <w:t>,</w:t>
      </w:r>
      <w:r w:rsidRPr="008F7E66">
        <w:t xml:space="preserve"> a</w:t>
      </w:r>
      <w:r w:rsidR="00A21BFC">
        <w:t>nd</w:t>
      </w:r>
      <w:r w:rsidRPr="008F7E66">
        <w:t xml:space="preserve"> </w:t>
      </w:r>
      <w:r w:rsidR="004C2A95">
        <w:t>poor and unsafe</w:t>
      </w:r>
      <w:r w:rsidRPr="008F7E66">
        <w:t xml:space="preserve"> facilities. With </w:t>
      </w:r>
      <w:smartTag w:uri="urn:schemas-microsoft-com:office:smarttags" w:element="place">
        <w:smartTag w:uri="urn:schemas-microsoft-com:office:smarttags" w:element="country-region">
          <w:r w:rsidRPr="008F7E66">
            <w:t>Australia</w:t>
          </w:r>
        </w:smartTag>
      </w:smartTag>
      <w:r w:rsidRPr="008F7E66">
        <w:t>’s support, the Ministry of Education</w:t>
      </w:r>
      <w:r w:rsidR="00731624">
        <w:t xml:space="preserve"> in 2009</w:t>
      </w:r>
      <w:r w:rsidRPr="008F7E66">
        <w:t xml:space="preserve"> assessed the condition of primary education facilities</w:t>
      </w:r>
      <w:r w:rsidR="00880F52">
        <w:t>. The results inform</w:t>
      </w:r>
      <w:r w:rsidR="00D40209">
        <w:t>ed</w:t>
      </w:r>
      <w:r w:rsidR="00880F52">
        <w:t xml:space="preserve"> the development of</w:t>
      </w:r>
      <w:r w:rsidRPr="008F7E66">
        <w:t xml:space="preserve"> a </w:t>
      </w:r>
      <w:r w:rsidR="00880F52">
        <w:t xml:space="preserve">GOK </w:t>
      </w:r>
      <w:r w:rsidRPr="008F7E66">
        <w:t>Facilities Management Plan</w:t>
      </w:r>
      <w:r w:rsidR="00880F52">
        <w:t>, which will</w:t>
      </w:r>
      <w:r w:rsidRPr="008F7E66">
        <w:t xml:space="preserve"> guide the rehabilitation and construction of all </w:t>
      </w:r>
      <w:r w:rsidR="004F2140">
        <w:t>p</w:t>
      </w:r>
      <w:r w:rsidRPr="008F7E66">
        <w:t xml:space="preserve">rimary </w:t>
      </w:r>
      <w:r w:rsidR="00880F52">
        <w:t>s</w:t>
      </w:r>
      <w:r w:rsidRPr="008F7E66">
        <w:t>chools</w:t>
      </w:r>
      <w:r w:rsidR="00880F52">
        <w:t xml:space="preserve">. </w:t>
      </w:r>
      <w:smartTag w:uri="urn:schemas-microsoft-com:office:smarttags" w:element="place">
        <w:smartTag w:uri="urn:schemas-microsoft-com:office:smarttags" w:element="country-region">
          <w:r w:rsidR="00880F52">
            <w:t>A</w:t>
          </w:r>
          <w:r w:rsidRPr="008F7E66">
            <w:t>ustralia</w:t>
          </w:r>
        </w:smartTag>
      </w:smartTag>
      <w:r w:rsidRPr="008F7E66">
        <w:t xml:space="preserve"> </w:t>
      </w:r>
      <w:r w:rsidR="00880F52">
        <w:t>and the United Nations Children’s Fund</w:t>
      </w:r>
      <w:r w:rsidR="00880F52" w:rsidRPr="008F7E66">
        <w:t xml:space="preserve"> </w:t>
      </w:r>
      <w:r w:rsidRPr="008F7E66">
        <w:t>ha</w:t>
      </w:r>
      <w:r w:rsidR="00880F52">
        <w:t>ve</w:t>
      </w:r>
      <w:r w:rsidRPr="008F7E66">
        <w:t xml:space="preserve"> committed to </w:t>
      </w:r>
      <w:r w:rsidR="00096629">
        <w:t xml:space="preserve">fund </w:t>
      </w:r>
      <w:r w:rsidR="00880F52">
        <w:t>this</w:t>
      </w:r>
      <w:r w:rsidR="00A36CC1">
        <w:t xml:space="preserve"> initiative</w:t>
      </w:r>
      <w:r w:rsidRPr="008F7E66">
        <w:t xml:space="preserve"> over the </w:t>
      </w:r>
      <w:r w:rsidR="00096629">
        <w:t>next</w:t>
      </w:r>
      <w:r w:rsidR="00096629" w:rsidRPr="008F7E66">
        <w:t xml:space="preserve"> </w:t>
      </w:r>
      <w:r w:rsidRPr="008F7E66">
        <w:t>10 years.</w:t>
      </w:r>
    </w:p>
    <w:p w:rsidR="00BC51AA" w:rsidRDefault="000E68B0" w:rsidP="0067092B">
      <w:pPr>
        <w:pStyle w:val="BodyText"/>
      </w:pPr>
      <w:r>
        <w:lastRenderedPageBreak/>
        <w:t>T</w:t>
      </w:r>
      <w:r w:rsidR="00BC51AA" w:rsidRPr="008F7E66">
        <w:t xml:space="preserve">raining senior </w:t>
      </w:r>
      <w:r w:rsidR="00841F5D">
        <w:t xml:space="preserve">Ministry of Education </w:t>
      </w:r>
      <w:r w:rsidR="00BC51AA" w:rsidRPr="008F7E66">
        <w:t xml:space="preserve">officials </w:t>
      </w:r>
      <w:r w:rsidR="00411ADD">
        <w:t>to analyse</w:t>
      </w:r>
      <w:r w:rsidR="00BC51AA" w:rsidRPr="008F7E66">
        <w:t xml:space="preserve"> Kiribati Education Management Information System</w:t>
      </w:r>
      <w:r w:rsidR="00411ADD">
        <w:t xml:space="preserve"> data</w:t>
      </w:r>
      <w:r w:rsidR="00A36CC1">
        <w:t>—reported to stakeholders annually—</w:t>
      </w:r>
      <w:r w:rsidR="00BC51AA" w:rsidRPr="008F7E66">
        <w:t>is improving decision making</w:t>
      </w:r>
      <w:r w:rsidR="00A36CC1">
        <w:t xml:space="preserve">, although </w:t>
      </w:r>
      <w:r w:rsidR="00411ADD">
        <w:t>further</w:t>
      </w:r>
      <w:r w:rsidR="00A36CC1">
        <w:t xml:space="preserve"> improvement</w:t>
      </w:r>
      <w:r w:rsidR="00411ADD">
        <w:t xml:space="preserve"> is</w:t>
      </w:r>
      <w:r w:rsidR="00A36CC1">
        <w:t xml:space="preserve"> needed. </w:t>
      </w:r>
      <w:r w:rsidR="00F31DEA" w:rsidRPr="00A23258">
        <w:t xml:space="preserve">In 2010, the </w:t>
      </w:r>
      <w:r w:rsidR="004F2140">
        <w:t>system</w:t>
      </w:r>
      <w:r w:rsidR="00F31DEA" w:rsidRPr="00A23258">
        <w:t xml:space="preserve"> will be assessed</w:t>
      </w:r>
      <w:r w:rsidR="00BC51AA" w:rsidRPr="00A23258">
        <w:t>.</w:t>
      </w:r>
    </w:p>
    <w:p w:rsidR="001F7CB3" w:rsidRPr="00A23258" w:rsidRDefault="001F7CB3" w:rsidP="0067092B">
      <w:pPr>
        <w:pStyle w:val="BodyText"/>
      </w:pPr>
      <w:r w:rsidRPr="00A23258">
        <w:t xml:space="preserve">At the 2010 Partnership Talks, AusAID agreed to work with GOK to </w:t>
      </w:r>
      <w:r w:rsidR="001B386A">
        <w:t xml:space="preserve">conduct analysis to </w:t>
      </w:r>
      <w:r w:rsidRPr="00A23258">
        <w:t xml:space="preserve">better understand the basis for recent improvements in English literacy rates, as well as the continuing decline in numeracy skills in primary school students and declining net enrolment rates. GOK agreed to prioritise filling a number of vacancies in </w:t>
      </w:r>
      <w:r w:rsidR="00657ADE">
        <w:t>the Ministry of Education</w:t>
      </w:r>
      <w:r w:rsidRPr="00A23258">
        <w:t>.</w:t>
      </w:r>
    </w:p>
    <w:p w:rsidR="00BC51AA" w:rsidRPr="00BC51AA" w:rsidRDefault="00BC51AA" w:rsidP="008F7E66">
      <w:pPr>
        <w:pStyle w:val="Heading2"/>
        <w:ind w:left="0"/>
      </w:pPr>
      <w:bookmarkStart w:id="16" w:name="_Toc360718772"/>
      <w:r w:rsidRPr="00BC51AA">
        <w:t xml:space="preserve">Priority </w:t>
      </w:r>
      <w:r w:rsidR="00261151">
        <w:t>o</w:t>
      </w:r>
      <w:r w:rsidR="00261151" w:rsidRPr="00BC51AA">
        <w:t xml:space="preserve">utcome </w:t>
      </w:r>
      <w:r w:rsidRPr="00BC51AA">
        <w:t>2</w:t>
      </w:r>
      <w:bookmarkStart w:id="17" w:name="OC2"/>
      <w:bookmarkEnd w:id="17"/>
      <w:r w:rsidRPr="00BC51AA">
        <w:t xml:space="preserve">: Workforce </w:t>
      </w:r>
      <w:r w:rsidR="00FA67C7">
        <w:t>s</w:t>
      </w:r>
      <w:r w:rsidRPr="00BC51AA">
        <w:t xml:space="preserve">kills </w:t>
      </w:r>
      <w:r w:rsidR="00FA67C7">
        <w:t>d</w:t>
      </w:r>
      <w:r w:rsidRPr="00BC51AA">
        <w:t>evelopment</w:t>
      </w:r>
      <w:bookmarkEnd w:id="16"/>
    </w:p>
    <w:p w:rsidR="00BC51AA" w:rsidRPr="008F7E66" w:rsidRDefault="00BC51AA" w:rsidP="005A517D">
      <w:pPr>
        <w:pStyle w:val="P"/>
        <w:ind w:left="1420" w:hanging="1420"/>
        <w:rPr>
          <w:b/>
        </w:rPr>
      </w:pPr>
      <w:r w:rsidRPr="008F7E66">
        <w:rPr>
          <w:b/>
        </w:rPr>
        <w:t>Commitment:</w:t>
      </w:r>
      <w:r w:rsidRPr="008F7E66">
        <w:rPr>
          <w:b/>
        </w:rPr>
        <w:tab/>
      </w:r>
      <w:r w:rsidRPr="008F7E66">
        <w:t>Provide opportunities for people to develop their workforce skills in areas of industry demand</w:t>
      </w:r>
      <w:r w:rsidR="00611254">
        <w:t>,</w:t>
      </w:r>
      <w:r w:rsidRPr="008F7E66">
        <w:t xml:space="preserve"> domestically and abroad (MDG 1)</w:t>
      </w:r>
    </w:p>
    <w:p w:rsidR="00BC51AA" w:rsidRPr="008F7E66" w:rsidRDefault="0067092B" w:rsidP="005A517D">
      <w:pPr>
        <w:pStyle w:val="P"/>
        <w:ind w:hanging="851"/>
      </w:pPr>
      <w:r>
        <w:rPr>
          <w:b/>
        </w:rPr>
        <w:t>Targets:</w:t>
      </w:r>
      <w:r w:rsidR="00BC51AA" w:rsidRPr="008F7E66">
        <w:rPr>
          <w:b/>
        </w:rPr>
        <w:tab/>
      </w:r>
      <w:r w:rsidR="00BC51AA" w:rsidRPr="008F7E66">
        <w:t>Increasing each year the proportion of 16</w:t>
      </w:r>
      <w:r w:rsidR="00FA67C7">
        <w:t xml:space="preserve"> to </w:t>
      </w:r>
      <w:r w:rsidR="00BC51AA" w:rsidRPr="008F7E66">
        <w:t xml:space="preserve">24 year olds completing technical and vocational education and training courses which </w:t>
      </w:r>
      <w:proofErr w:type="gramStart"/>
      <w:r w:rsidR="00BC51AA" w:rsidRPr="008F7E66">
        <w:t>are</w:t>
      </w:r>
      <w:proofErr w:type="gramEnd"/>
      <w:r w:rsidR="00BC51AA" w:rsidRPr="008F7E66">
        <w:t xml:space="preserve"> themselves, or articulate to, internationally recognised qualifications</w:t>
      </w:r>
    </w:p>
    <w:p w:rsidR="00BC51AA" w:rsidRPr="008F7E66" w:rsidRDefault="00BC51AA" w:rsidP="005A517D">
      <w:pPr>
        <w:pStyle w:val="P"/>
      </w:pPr>
      <w:r w:rsidRPr="008F7E66">
        <w:tab/>
        <w:t>Increasing completion rates for I-Kiribati studying at (other) tertiary institutions</w:t>
      </w:r>
    </w:p>
    <w:p w:rsidR="00BC51AA" w:rsidRPr="008F7E66" w:rsidRDefault="00BC51AA" w:rsidP="005A517D">
      <w:pPr>
        <w:pStyle w:val="P"/>
      </w:pPr>
      <w:r w:rsidRPr="008F7E66">
        <w:tab/>
        <w:t>Increasing the proportion of 16</w:t>
      </w:r>
      <w:r w:rsidR="00FA67C7">
        <w:t xml:space="preserve"> to </w:t>
      </w:r>
      <w:r w:rsidRPr="008F7E66">
        <w:t>24 year olds who complete a post-schoo</w:t>
      </w:r>
      <w:r w:rsidR="00F74F88">
        <w:t xml:space="preserve">l English as a </w:t>
      </w:r>
      <w:r w:rsidR="00DC4FDA">
        <w:t>s</w:t>
      </w:r>
      <w:r w:rsidR="00F74F88">
        <w:t xml:space="preserve">econd </w:t>
      </w:r>
      <w:r w:rsidR="00DC4FDA">
        <w:t>l</w:t>
      </w:r>
      <w:r w:rsidR="00F74F88">
        <w:t>anguage</w:t>
      </w:r>
      <w:r w:rsidRPr="008F7E66">
        <w:t xml:space="preserve"> course</w:t>
      </w:r>
      <w:r w:rsidR="00611254">
        <w:t xml:space="preserve"> each year</w:t>
      </w:r>
    </w:p>
    <w:p w:rsidR="00BC51AA" w:rsidRPr="008F7E66" w:rsidRDefault="00BC51AA" w:rsidP="005A517D">
      <w:pPr>
        <w:pStyle w:val="P"/>
      </w:pPr>
      <w:r w:rsidRPr="008F7E66">
        <w:tab/>
        <w:t xml:space="preserve">Increasing the number of I-Kiribati workers accessing employment </w:t>
      </w:r>
      <w:r w:rsidR="00973301">
        <w:br/>
      </w:r>
      <w:r w:rsidRPr="008F7E66">
        <w:t>opportunities abroad</w:t>
      </w:r>
    </w:p>
    <w:p w:rsidR="00284798" w:rsidRDefault="00BC51AA" w:rsidP="0067092B">
      <w:pPr>
        <w:pStyle w:val="BodyText"/>
        <w:spacing w:before="240"/>
      </w:pPr>
      <w:r w:rsidRPr="008F7E66">
        <w:t>Workforce skills development</w:t>
      </w:r>
      <w:r w:rsidR="00E54999">
        <w:t>, particularly technical vocational,</w:t>
      </w:r>
      <w:r w:rsidRPr="008F7E66">
        <w:t xml:space="preserve"> is a new focus for GOK. </w:t>
      </w:r>
      <w:r w:rsidR="00E54999">
        <w:t xml:space="preserve">Traditionally, </w:t>
      </w:r>
      <w:r w:rsidRPr="008F7E66">
        <w:t xml:space="preserve">Australian support </w:t>
      </w:r>
      <w:r w:rsidR="00FA67C7">
        <w:t>addressed</w:t>
      </w:r>
      <w:r w:rsidRPr="008F7E66">
        <w:t xml:space="preserve"> critical human resource gaps in the public sector. </w:t>
      </w:r>
      <w:r w:rsidR="00E54999">
        <w:t xml:space="preserve">More recently, </w:t>
      </w:r>
      <w:r w:rsidR="00611254">
        <w:t>including in 2009, support</w:t>
      </w:r>
      <w:r w:rsidRPr="008F7E66">
        <w:t xml:space="preserve"> </w:t>
      </w:r>
      <w:r w:rsidR="008A2402">
        <w:t>has concentrated</w:t>
      </w:r>
      <w:r w:rsidRPr="008F7E66">
        <w:t xml:space="preserve"> on</w:t>
      </w:r>
      <w:r w:rsidR="00611254">
        <w:t xml:space="preserve"> improving</w:t>
      </w:r>
      <w:r w:rsidR="008D27E6">
        <w:t xml:space="preserve"> the standards of technical skills domestically and</w:t>
      </w:r>
      <w:r w:rsidRPr="008F7E66">
        <w:t xml:space="preserve"> skilling-up I-Kiribati to be competitive international</w:t>
      </w:r>
      <w:r w:rsidR="008D27E6">
        <w:t>ly</w:t>
      </w:r>
      <w:r w:rsidRPr="008F7E66">
        <w:t xml:space="preserve">. </w:t>
      </w:r>
      <w:r w:rsidR="00973301">
        <w:br/>
      </w:r>
      <w:r w:rsidR="00611254">
        <w:t>This includes through technical vocational scholarships.</w:t>
      </w:r>
      <w:r w:rsidR="00465BD1">
        <w:t xml:space="preserve"> </w:t>
      </w:r>
      <w:r w:rsidR="00973301">
        <w:t xml:space="preserve">In the past, </w:t>
      </w:r>
      <w:r w:rsidR="00465BD1" w:rsidRPr="008F7E66">
        <w:t>A</w:t>
      </w:r>
      <w:r w:rsidR="00465BD1">
        <w:t xml:space="preserve">ustralian support for </w:t>
      </w:r>
      <w:r w:rsidR="00465BD1" w:rsidRPr="008F7E66">
        <w:t>technical and vocational education and training</w:t>
      </w:r>
      <w:r w:rsidR="00465BD1">
        <w:t xml:space="preserve"> (TVET) </w:t>
      </w:r>
      <w:r w:rsidR="00973301">
        <w:t>was</w:t>
      </w:r>
      <w:r w:rsidR="00465BD1">
        <w:t xml:space="preserve"> delivered through stand-alone activities. These </w:t>
      </w:r>
      <w:r w:rsidRPr="008F7E66">
        <w:t xml:space="preserve">delivered </w:t>
      </w:r>
      <w:r w:rsidR="00465BD1">
        <w:t xml:space="preserve">on </w:t>
      </w:r>
      <w:r w:rsidRPr="008F7E66">
        <w:t xml:space="preserve">specified </w:t>
      </w:r>
      <w:proofErr w:type="gramStart"/>
      <w:r w:rsidRPr="008F7E66">
        <w:t>out</w:t>
      </w:r>
      <w:r w:rsidR="000B65D6">
        <w:t>put</w:t>
      </w:r>
      <w:r w:rsidRPr="008F7E66">
        <w:t>s,</w:t>
      </w:r>
      <w:proofErr w:type="gramEnd"/>
      <w:r w:rsidRPr="008F7E66">
        <w:t xml:space="preserve"> </w:t>
      </w:r>
      <w:r w:rsidR="00465BD1">
        <w:t xml:space="preserve">however </w:t>
      </w:r>
      <w:r w:rsidRPr="008F7E66">
        <w:t>their contribution to</w:t>
      </w:r>
      <w:r w:rsidR="00411ADD">
        <w:t xml:space="preserve"> the overall development of </w:t>
      </w:r>
      <w:r w:rsidRPr="008F7E66">
        <w:t xml:space="preserve">workforce skills cannot be quantified. </w:t>
      </w:r>
    </w:p>
    <w:p w:rsidR="00BC51AA" w:rsidRPr="008F7E66" w:rsidRDefault="004C2A95" w:rsidP="0067092B">
      <w:pPr>
        <w:pStyle w:val="BodyText"/>
      </w:pPr>
      <w:r>
        <w:t>A</w:t>
      </w:r>
      <w:r w:rsidR="00BC51AA" w:rsidRPr="008F7E66">
        <w:t xml:space="preserve"> new</w:t>
      </w:r>
      <w:r w:rsidR="00FE636B">
        <w:t xml:space="preserve"> </w:t>
      </w:r>
      <w:r w:rsidR="00AC3333">
        <w:t>TVET</w:t>
      </w:r>
      <w:r w:rsidR="00BC51AA" w:rsidRPr="008F7E66">
        <w:t xml:space="preserve"> program</w:t>
      </w:r>
      <w:r w:rsidR="00411ADD">
        <w:t xml:space="preserve">, working through </w:t>
      </w:r>
      <w:r w:rsidR="00BC51AA" w:rsidRPr="008F7E66">
        <w:t xml:space="preserve">the Ministry of Labour and the Kiribati Institute of Technology </w:t>
      </w:r>
      <w:r w:rsidR="00F74F88">
        <w:t>(KIT)</w:t>
      </w:r>
      <w:r w:rsidR="00411ADD">
        <w:t>,</w:t>
      </w:r>
      <w:r w:rsidR="00BC51AA" w:rsidRPr="008F7E66">
        <w:t xml:space="preserve"> will strengthen the </w:t>
      </w:r>
      <w:r w:rsidR="00465BD1">
        <w:t xml:space="preserve">TVET </w:t>
      </w:r>
      <w:r w:rsidR="00BC51AA" w:rsidRPr="008F7E66">
        <w:t>sector and improv</w:t>
      </w:r>
      <w:r w:rsidR="00411ADD">
        <w:t>e training</w:t>
      </w:r>
      <w:r w:rsidR="00BC51AA" w:rsidRPr="008F7E66">
        <w:t xml:space="preserve"> quality.</w:t>
      </w:r>
    </w:p>
    <w:p w:rsidR="00BC51AA" w:rsidRPr="008F7E66" w:rsidRDefault="004C2A95" w:rsidP="0067092B">
      <w:pPr>
        <w:pStyle w:val="BodyText"/>
      </w:pPr>
      <w:r>
        <w:t xml:space="preserve">In 2009, </w:t>
      </w:r>
      <w:smartTag w:uri="urn:schemas-microsoft-com:office:smarttags" w:element="place">
        <w:smartTag w:uri="urn:schemas-microsoft-com:office:smarttags" w:element="country-region">
          <w:r w:rsidR="00BC51AA" w:rsidRPr="008F7E66">
            <w:t>Australia</w:t>
          </w:r>
        </w:smartTag>
      </w:smartTag>
      <w:r w:rsidR="00BC51AA" w:rsidRPr="008F7E66">
        <w:t xml:space="preserve"> </w:t>
      </w:r>
      <w:r>
        <w:t xml:space="preserve">continued </w:t>
      </w:r>
      <w:r w:rsidR="00411ADD">
        <w:t>providing</w:t>
      </w:r>
      <w:r w:rsidR="00BC51AA" w:rsidRPr="008F7E66">
        <w:t xml:space="preserve"> scholarships</w:t>
      </w:r>
      <w:r w:rsidR="00FA67C7">
        <w:t xml:space="preserve"> to </w:t>
      </w:r>
      <w:r w:rsidR="00FA67C7" w:rsidRPr="008F7E66">
        <w:t>I-Kiribati students</w:t>
      </w:r>
      <w:r w:rsidR="00BC51AA" w:rsidRPr="008F7E66">
        <w:t>, particularly in technical vocational studies</w:t>
      </w:r>
      <w:r w:rsidR="00FA67C7">
        <w:t>.</w:t>
      </w:r>
      <w:r w:rsidR="00BC51AA" w:rsidRPr="008F7E66">
        <w:t xml:space="preserve"> However, regional scholarship students continue</w:t>
      </w:r>
      <w:r>
        <w:t>d</w:t>
      </w:r>
      <w:r w:rsidR="00BC51AA" w:rsidRPr="008F7E66">
        <w:t xml:space="preserve"> to drop</w:t>
      </w:r>
      <w:r w:rsidR="00FA67C7">
        <w:t xml:space="preserve"> </w:t>
      </w:r>
      <w:r w:rsidR="00BC51AA" w:rsidRPr="008F7E66">
        <w:t xml:space="preserve">out </w:t>
      </w:r>
      <w:r w:rsidR="00FA67C7">
        <w:t>in high numbers</w:t>
      </w:r>
      <w:r w:rsidR="00BC51AA" w:rsidRPr="008F7E66">
        <w:t>, due to low English language literacy</w:t>
      </w:r>
      <w:r w:rsidR="008A2402">
        <w:t>, low</w:t>
      </w:r>
      <w:r w:rsidR="00BC51AA" w:rsidRPr="008F7E66">
        <w:t xml:space="preserve"> academic preparation and social adjustment</w:t>
      </w:r>
      <w:r w:rsidR="00FA67C7">
        <w:t xml:space="preserve"> issues</w:t>
      </w:r>
      <w:r w:rsidR="00BC51AA" w:rsidRPr="008F7E66">
        <w:t xml:space="preserve">. Efforts to </w:t>
      </w:r>
      <w:r w:rsidR="00FA67C7">
        <w:t>increase</w:t>
      </w:r>
      <w:r w:rsidR="00FA67C7" w:rsidRPr="008F7E66">
        <w:t xml:space="preserve"> </w:t>
      </w:r>
      <w:r w:rsidR="00BC51AA" w:rsidRPr="008F7E66">
        <w:t xml:space="preserve">completion rates </w:t>
      </w:r>
      <w:r w:rsidR="00FA67C7">
        <w:t>continued</w:t>
      </w:r>
      <w:r w:rsidR="00BC51AA" w:rsidRPr="008F7E66">
        <w:t xml:space="preserve">, but </w:t>
      </w:r>
      <w:r>
        <w:t>are</w:t>
      </w:r>
      <w:r w:rsidR="00BC51AA" w:rsidRPr="008F7E66">
        <w:t xml:space="preserve"> unlikely to radically </w:t>
      </w:r>
      <w:r w:rsidR="00FA67C7">
        <w:t>improve</w:t>
      </w:r>
      <w:r w:rsidR="00FA67C7" w:rsidRPr="008F7E66">
        <w:t xml:space="preserve"> </w:t>
      </w:r>
      <w:r w:rsidR="008A2402">
        <w:t>without better</w:t>
      </w:r>
      <w:r w:rsidR="008A2402" w:rsidRPr="008F7E66">
        <w:t xml:space="preserve"> </w:t>
      </w:r>
      <w:r w:rsidR="00BC51AA" w:rsidRPr="008F7E66">
        <w:t>English language standards and academic preparation. Increasing the proportion of 16</w:t>
      </w:r>
      <w:r w:rsidR="00024923">
        <w:t xml:space="preserve"> to </w:t>
      </w:r>
      <w:r w:rsidR="00BC51AA" w:rsidRPr="008F7E66">
        <w:t xml:space="preserve">24 year olds who complete post-school English as a </w:t>
      </w:r>
      <w:r w:rsidR="00FA67C7">
        <w:t>s</w:t>
      </w:r>
      <w:r w:rsidR="00BC51AA" w:rsidRPr="008F7E66">
        <w:t xml:space="preserve">econd </w:t>
      </w:r>
      <w:r w:rsidR="00FA67C7">
        <w:t>l</w:t>
      </w:r>
      <w:r w:rsidR="00BC51AA" w:rsidRPr="008F7E66">
        <w:t>anguage courses will be addressed under the new</w:t>
      </w:r>
      <w:r w:rsidR="00AC3333">
        <w:t xml:space="preserve"> TVET</w:t>
      </w:r>
      <w:r w:rsidR="00BC51AA" w:rsidRPr="008F7E66">
        <w:t xml:space="preserve"> program.</w:t>
      </w:r>
    </w:p>
    <w:p w:rsidR="00F74F88" w:rsidRPr="00634CBB" w:rsidRDefault="001B386A" w:rsidP="0067092B">
      <w:pPr>
        <w:pStyle w:val="BodyText"/>
      </w:pPr>
      <w:r>
        <w:t>To avoid these high failure rates u</w:t>
      </w:r>
      <w:r w:rsidR="00721DCB">
        <w:t>nder the Kiribati Australia Nursing Initiative</w:t>
      </w:r>
      <w:r w:rsidR="00721DCB" w:rsidRPr="007A4348">
        <w:t>,</w:t>
      </w:r>
      <w:r w:rsidR="00721DCB">
        <w:t xml:space="preserve"> </w:t>
      </w:r>
      <w:r w:rsidR="00721DCB" w:rsidRPr="007A4348">
        <w:t xml:space="preserve">students </w:t>
      </w:r>
      <w:r w:rsidR="00721DCB">
        <w:t>have undertaken</w:t>
      </w:r>
      <w:r w:rsidR="00721DCB" w:rsidRPr="007A4348">
        <w:t xml:space="preserve"> rigorous preparatory programs, both to improve their English language </w:t>
      </w:r>
      <w:r w:rsidR="00721DCB">
        <w:t xml:space="preserve">and </w:t>
      </w:r>
      <w:r w:rsidR="00721DCB" w:rsidRPr="007A4348">
        <w:t xml:space="preserve">their academic preparation. </w:t>
      </w:r>
      <w:r w:rsidR="00F74F88">
        <w:t>This has resulted in high pass rates, with 90</w:t>
      </w:r>
      <w:r w:rsidR="00024923">
        <w:t>%</w:t>
      </w:r>
      <w:r w:rsidR="00F74F88">
        <w:t xml:space="preserve"> of the first cohort achieving their Diploma of Nursing in 2009</w:t>
      </w:r>
      <w:r w:rsidR="00F74F88" w:rsidRPr="007A4348">
        <w:t xml:space="preserve">. </w:t>
      </w:r>
    </w:p>
    <w:p w:rsidR="00BC51AA" w:rsidRPr="008F7E66" w:rsidRDefault="0006442B" w:rsidP="0067092B">
      <w:pPr>
        <w:pStyle w:val="BodyText"/>
      </w:pPr>
      <w:r>
        <w:br w:type="page"/>
      </w:r>
      <w:r w:rsidR="00442A8F">
        <w:lastRenderedPageBreak/>
        <w:t xml:space="preserve">In 2009, </w:t>
      </w:r>
      <w:smartTag w:uri="urn:schemas-microsoft-com:office:smarttags" w:element="place">
        <w:smartTag w:uri="urn:schemas-microsoft-com:office:smarttags" w:element="country-region">
          <w:r w:rsidR="00BC51AA" w:rsidRPr="008F7E66">
            <w:t>Australia</w:t>
          </w:r>
        </w:smartTag>
      </w:smartTag>
      <w:r w:rsidR="00BC51AA" w:rsidRPr="008F7E66">
        <w:t xml:space="preserve"> and </w:t>
      </w:r>
      <w:r w:rsidR="00DB6882">
        <w:t xml:space="preserve">the New Zealand Agency for International Development </w:t>
      </w:r>
      <w:r w:rsidR="00BC51AA" w:rsidRPr="008F7E66">
        <w:t>helped upgrade equipment at the Marine Training Centre</w:t>
      </w:r>
      <w:r w:rsidR="0012597F">
        <w:t xml:space="preserve"> so</w:t>
      </w:r>
      <w:r w:rsidR="00BC51AA" w:rsidRPr="008F7E66">
        <w:t xml:space="preserve"> the 150 students continue to be trained to international standards. Graduate seafarers’ remittances contribute</w:t>
      </w:r>
      <w:r w:rsidR="004C2A95">
        <w:t>d</w:t>
      </w:r>
      <w:r w:rsidR="00BC51AA" w:rsidRPr="008F7E66">
        <w:t xml:space="preserve"> significantly to national economic development</w:t>
      </w:r>
      <w:r w:rsidR="00657ADE">
        <w:t xml:space="preserve"> ($10</w:t>
      </w:r>
      <w:r w:rsidR="00F50EAD">
        <w:t> </w:t>
      </w:r>
      <w:r w:rsidR="00657ADE">
        <w:t>million annually or 15% of GDP)</w:t>
      </w:r>
      <w:r w:rsidR="00BC51AA" w:rsidRPr="008F7E66">
        <w:t>.</w:t>
      </w:r>
    </w:p>
    <w:p w:rsidR="00BC51AA" w:rsidRPr="008F7E66" w:rsidRDefault="00BC51AA" w:rsidP="0067092B">
      <w:pPr>
        <w:pStyle w:val="BodyText"/>
      </w:pPr>
      <w:r w:rsidRPr="008F7E66">
        <w:t xml:space="preserve">Through the </w:t>
      </w:r>
      <w:smartTag w:uri="urn:schemas-microsoft-com:office:smarttags" w:element="country-region">
        <w:r w:rsidRPr="008F7E66">
          <w:t>Australia</w:t>
        </w:r>
      </w:smartTag>
      <w:r w:rsidR="00A163A9">
        <w:t xml:space="preserve"> – </w:t>
      </w:r>
      <w:smartTag w:uri="urn:schemas-microsoft-com:office:smarttags" w:element="place">
        <w:smartTag w:uri="urn:schemas-microsoft-com:office:smarttags" w:element="PlaceName">
          <w:r w:rsidRPr="008F7E66">
            <w:t>Pacific</w:t>
          </w:r>
        </w:smartTag>
        <w:r w:rsidRPr="008F7E66">
          <w:t xml:space="preserve"> </w:t>
        </w:r>
        <w:smartTag w:uri="urn:schemas-microsoft-com:office:smarttags" w:element="PlaceName">
          <w:r w:rsidRPr="008F7E66">
            <w:t>Technical</w:t>
          </w:r>
        </w:smartTag>
        <w:r w:rsidRPr="008F7E66">
          <w:t xml:space="preserve"> </w:t>
        </w:r>
        <w:smartTag w:uri="urn:schemas-microsoft-com:office:smarttags" w:element="PlaceType">
          <w:r w:rsidRPr="008F7E66">
            <w:t>College</w:t>
          </w:r>
        </w:smartTag>
      </w:smartTag>
      <w:r w:rsidRPr="008F7E66">
        <w:t xml:space="preserve">, 20 teachers graduated with Australian-standard certificates in training and assessment, increasing the proportion of qualified technical and vocational educators at KIT. </w:t>
      </w:r>
    </w:p>
    <w:p w:rsidR="00FC32D1" w:rsidRDefault="00BC51AA" w:rsidP="0067092B">
      <w:pPr>
        <w:pStyle w:val="BodyText"/>
      </w:pPr>
      <w:smartTag w:uri="urn:schemas-microsoft-com:office:smarttags" w:element="place">
        <w:smartTag w:uri="urn:schemas-microsoft-com:office:smarttags" w:element="country-region">
          <w:r w:rsidRPr="008F7E66">
            <w:t>Australia</w:t>
          </w:r>
        </w:smartTag>
      </w:smartTag>
      <w:r w:rsidRPr="008F7E66">
        <w:t xml:space="preserve"> </w:t>
      </w:r>
      <w:r w:rsidR="00442A8F">
        <w:t>offered</w:t>
      </w:r>
      <w:r w:rsidRPr="008F7E66">
        <w:t xml:space="preserve"> </w:t>
      </w:r>
      <w:r w:rsidR="0059480C">
        <w:t>some</w:t>
      </w:r>
      <w:r w:rsidRPr="008F7E66">
        <w:t xml:space="preserve"> I-Kiribati work under the Pacific Seasonal Workers Scheme, </w:t>
      </w:r>
      <w:r w:rsidR="0006442B">
        <w:br/>
      </w:r>
      <w:r w:rsidR="00442A8F">
        <w:t>even though</w:t>
      </w:r>
      <w:r w:rsidR="00442A8F" w:rsidRPr="008F7E66">
        <w:t xml:space="preserve"> </w:t>
      </w:r>
      <w:r w:rsidRPr="008F7E66">
        <w:t xml:space="preserve">the impact of the global </w:t>
      </w:r>
      <w:r w:rsidR="00FC32D1">
        <w:t>economic crisis</w:t>
      </w:r>
      <w:r w:rsidRPr="008F7E66">
        <w:t xml:space="preserve"> </w:t>
      </w:r>
      <w:r w:rsidR="00442A8F">
        <w:t xml:space="preserve">had </w:t>
      </w:r>
      <w:r w:rsidRPr="008F7E66">
        <w:t xml:space="preserve">reduced demand for pickers. </w:t>
      </w:r>
    </w:p>
    <w:p w:rsidR="00BC51AA" w:rsidRPr="00A23258" w:rsidRDefault="00BC51AA" w:rsidP="0067092B">
      <w:pPr>
        <w:pStyle w:val="BodyText"/>
      </w:pPr>
      <w:r w:rsidRPr="008F7E66">
        <w:t xml:space="preserve">The </w:t>
      </w:r>
      <w:r w:rsidR="00FC32D1">
        <w:t>crisis</w:t>
      </w:r>
      <w:r w:rsidRPr="008F7E66">
        <w:t xml:space="preserve"> </w:t>
      </w:r>
      <w:r w:rsidR="00442A8F">
        <w:t>also affected</w:t>
      </w:r>
      <w:r w:rsidRPr="008F7E66">
        <w:t xml:space="preserve"> international employment opportunities for seafarers</w:t>
      </w:r>
      <w:r w:rsidR="0059480C">
        <w:t xml:space="preserve"> </w:t>
      </w:r>
      <w:r w:rsidR="0006442B">
        <w:br/>
      </w:r>
      <w:r w:rsidR="0059480C">
        <w:t>(</w:t>
      </w:r>
      <w:r w:rsidRPr="008F7E66">
        <w:t>100</w:t>
      </w:r>
      <w:r w:rsidR="00DB6882">
        <w:t>%</w:t>
      </w:r>
      <w:r w:rsidRPr="008F7E66">
        <w:t xml:space="preserve"> employment in 2007 to </w:t>
      </w:r>
      <w:r w:rsidR="0059480C">
        <w:t>0</w:t>
      </w:r>
      <w:r w:rsidRPr="008F7E66">
        <w:t xml:space="preserve"> in 2009</w:t>
      </w:r>
      <w:r w:rsidR="0059480C">
        <w:t>)</w:t>
      </w:r>
      <w:r w:rsidR="00FC32D1">
        <w:t xml:space="preserve"> graduating from the Marine Training Centre</w:t>
      </w:r>
      <w:r w:rsidRPr="008F7E66">
        <w:t xml:space="preserve">. </w:t>
      </w:r>
      <w:smartTag w:uri="urn:schemas-microsoft-com:office:smarttags" w:element="place">
        <w:smartTag w:uri="urn:schemas-microsoft-com:office:smarttags" w:element="country-region">
          <w:r w:rsidRPr="008F7E66">
            <w:t>Australia</w:t>
          </w:r>
        </w:smartTag>
      </w:smartTag>
      <w:r w:rsidRPr="008F7E66">
        <w:t xml:space="preserve"> </w:t>
      </w:r>
      <w:r w:rsidR="00AF07D1">
        <w:t xml:space="preserve">continues to </w:t>
      </w:r>
      <w:r w:rsidR="00FC32D1">
        <w:t>seek</w:t>
      </w:r>
      <w:r w:rsidRPr="008F7E66">
        <w:t xml:space="preserve"> </w:t>
      </w:r>
      <w:r w:rsidR="00AF07D1">
        <w:t>ways</w:t>
      </w:r>
      <w:r w:rsidR="00AF07D1" w:rsidRPr="008F7E66">
        <w:t xml:space="preserve"> </w:t>
      </w:r>
      <w:r w:rsidRPr="008F7E66">
        <w:t xml:space="preserve">to increase employment rates. </w:t>
      </w:r>
      <w:r w:rsidR="00AF07D1">
        <w:t>In 2009, t</w:t>
      </w:r>
      <w:r w:rsidRPr="008F7E66">
        <w:t>his included produc</w:t>
      </w:r>
      <w:r w:rsidR="00AF07D1">
        <w:t>ing a</w:t>
      </w:r>
      <w:r w:rsidRPr="008F7E66">
        <w:t xml:space="preserve"> promotional video </w:t>
      </w:r>
      <w:r w:rsidR="00721DCB">
        <w:t>for</w:t>
      </w:r>
      <w:r w:rsidR="00721DCB" w:rsidRPr="008F7E66">
        <w:t xml:space="preserve"> </w:t>
      </w:r>
      <w:r w:rsidRPr="008F7E66">
        <w:t>distribut</w:t>
      </w:r>
      <w:r w:rsidR="00AF07D1">
        <w:t>i</w:t>
      </w:r>
      <w:r w:rsidR="00721DCB">
        <w:t>on</w:t>
      </w:r>
      <w:r w:rsidR="00AF07D1">
        <w:t xml:space="preserve"> </w:t>
      </w:r>
      <w:r w:rsidRPr="008F7E66">
        <w:t xml:space="preserve">to international </w:t>
      </w:r>
      <w:r w:rsidRPr="00A23258">
        <w:t xml:space="preserve">shipping companies in </w:t>
      </w:r>
      <w:smartTag w:uri="urn:schemas-microsoft-com:office:smarttags" w:element="place">
        <w:r w:rsidRPr="00A23258">
          <w:t>Europe</w:t>
        </w:r>
      </w:smartTag>
      <w:r w:rsidRPr="00A23258">
        <w:t>.</w:t>
      </w:r>
    </w:p>
    <w:p w:rsidR="00C830FB" w:rsidRPr="0067092B" w:rsidRDefault="00ED6C00" w:rsidP="0067092B">
      <w:pPr>
        <w:pStyle w:val="BodyText"/>
        <w:rPr>
          <w:rFonts w:cs="Arial"/>
        </w:rPr>
      </w:pPr>
      <w:r w:rsidRPr="00A23258">
        <w:rPr>
          <w:rFonts w:cs="Arial"/>
        </w:rPr>
        <w:t xml:space="preserve">At the </w:t>
      </w:r>
      <w:r w:rsidR="00AF07D1">
        <w:rPr>
          <w:rFonts w:cs="Arial"/>
        </w:rPr>
        <w:t>20</w:t>
      </w:r>
      <w:r w:rsidR="008A2402">
        <w:rPr>
          <w:rFonts w:cs="Arial"/>
        </w:rPr>
        <w:t>10</w:t>
      </w:r>
      <w:r w:rsidR="00AF07D1">
        <w:rPr>
          <w:rFonts w:cs="Arial"/>
        </w:rPr>
        <w:t xml:space="preserve"> </w:t>
      </w:r>
      <w:r w:rsidRPr="008A2402">
        <w:rPr>
          <w:rFonts w:cs="Arial"/>
        </w:rPr>
        <w:t>Partnership Talks,</w:t>
      </w:r>
      <w:r w:rsidRPr="00A23258">
        <w:rPr>
          <w:rFonts w:cs="Arial"/>
        </w:rPr>
        <w:t xml:space="preserve"> </w:t>
      </w:r>
      <w:r w:rsidR="00C830FB" w:rsidRPr="00A23258">
        <w:rPr>
          <w:rFonts w:cs="Arial"/>
        </w:rPr>
        <w:t>G</w:t>
      </w:r>
      <w:r w:rsidR="00F74F88" w:rsidRPr="00A23258">
        <w:rPr>
          <w:rFonts w:cs="Arial"/>
        </w:rPr>
        <w:t>O</w:t>
      </w:r>
      <w:r w:rsidR="00C830FB" w:rsidRPr="00A23258">
        <w:rPr>
          <w:rFonts w:cs="Arial"/>
        </w:rPr>
        <w:t xml:space="preserve">K </w:t>
      </w:r>
      <w:r w:rsidRPr="00A23258">
        <w:rPr>
          <w:rFonts w:cs="Arial"/>
        </w:rPr>
        <w:t xml:space="preserve">agreed </w:t>
      </w:r>
      <w:r w:rsidR="00C830FB" w:rsidRPr="00A23258">
        <w:rPr>
          <w:rFonts w:cs="Arial"/>
        </w:rPr>
        <w:t>t</w:t>
      </w:r>
      <w:r w:rsidR="00FC32D1">
        <w:rPr>
          <w:rFonts w:cs="Arial"/>
        </w:rPr>
        <w:t>o make recruiting</w:t>
      </w:r>
      <w:r w:rsidR="00C830FB" w:rsidRPr="00A23258">
        <w:rPr>
          <w:rFonts w:cs="Arial"/>
        </w:rPr>
        <w:t xml:space="preserve"> senior personnel at KIT</w:t>
      </w:r>
      <w:r w:rsidR="00FC32D1">
        <w:rPr>
          <w:rFonts w:cs="Arial"/>
        </w:rPr>
        <w:t xml:space="preserve"> a priority</w:t>
      </w:r>
      <w:r w:rsidR="00BF7641" w:rsidRPr="00A23258">
        <w:rPr>
          <w:rFonts w:cs="Arial"/>
          <w:i/>
        </w:rPr>
        <w:t>.</w:t>
      </w:r>
      <w:r w:rsidR="00C830FB" w:rsidRPr="00A23258">
        <w:rPr>
          <w:rFonts w:cs="Arial"/>
        </w:rPr>
        <w:t xml:space="preserve"> AusAID</w:t>
      </w:r>
      <w:r w:rsidRPr="00A23258">
        <w:rPr>
          <w:rFonts w:cs="Arial"/>
        </w:rPr>
        <w:t xml:space="preserve"> agreed </w:t>
      </w:r>
      <w:r w:rsidR="00C830FB" w:rsidRPr="00A23258">
        <w:rPr>
          <w:rFonts w:cs="Arial"/>
        </w:rPr>
        <w:t>to</w:t>
      </w:r>
      <w:r w:rsidR="00FC0BC0">
        <w:rPr>
          <w:rFonts w:cs="Arial"/>
        </w:rPr>
        <w:t xml:space="preserve"> </w:t>
      </w:r>
      <w:r w:rsidR="00C830FB" w:rsidRPr="00A23258">
        <w:rPr>
          <w:rStyle w:val="ListBulletChar"/>
        </w:rPr>
        <w:t xml:space="preserve">liaise with </w:t>
      </w:r>
      <w:smartTag w:uri="urn:schemas-microsoft-com:office:smarttags" w:element="place">
        <w:smartTag w:uri="urn:schemas-microsoft-com:office:smarttags" w:element="country-region">
          <w:r w:rsidR="00C830FB" w:rsidRPr="00A23258">
            <w:rPr>
              <w:rStyle w:val="ListBulletChar"/>
            </w:rPr>
            <w:t>Australia</w:t>
          </w:r>
        </w:smartTag>
      </w:smartTag>
      <w:r w:rsidR="00C830FB" w:rsidRPr="00A23258">
        <w:rPr>
          <w:rStyle w:val="ListBulletChar"/>
        </w:rPr>
        <w:t xml:space="preserve">’s Immigration Department to ensure </w:t>
      </w:r>
      <w:r w:rsidR="00F74F88" w:rsidRPr="00A23258">
        <w:rPr>
          <w:rStyle w:val="ListBulletChar"/>
        </w:rPr>
        <w:t>scholarship</w:t>
      </w:r>
      <w:r w:rsidR="00C830FB" w:rsidRPr="00A23258">
        <w:rPr>
          <w:rStyle w:val="ListBulletChar"/>
        </w:rPr>
        <w:t xml:space="preserve"> students</w:t>
      </w:r>
      <w:r w:rsidR="00F74F88" w:rsidRPr="00A23258">
        <w:rPr>
          <w:rStyle w:val="ListBulletChar"/>
        </w:rPr>
        <w:t xml:space="preserve"> under the </w:t>
      </w:r>
      <w:r w:rsidR="00680FFE" w:rsidRPr="00A23258">
        <w:rPr>
          <w:rStyle w:val="ListBulletChar"/>
        </w:rPr>
        <w:t xml:space="preserve">Kiribati Australia </w:t>
      </w:r>
      <w:r w:rsidR="00F74F88" w:rsidRPr="00A23258">
        <w:rPr>
          <w:rStyle w:val="ListBulletChar"/>
        </w:rPr>
        <w:t>Nursing Initiative</w:t>
      </w:r>
      <w:r w:rsidR="00C830FB" w:rsidRPr="00A23258">
        <w:rPr>
          <w:rStyle w:val="ListBulletChar"/>
        </w:rPr>
        <w:t xml:space="preserve"> are on correct visas</w:t>
      </w:r>
      <w:r w:rsidR="00FC0BC0">
        <w:rPr>
          <w:rStyle w:val="ListBulletChar"/>
        </w:rPr>
        <w:t>. AusAID</w:t>
      </w:r>
      <w:r w:rsidR="00F50EAD" w:rsidRPr="00F50EAD">
        <w:rPr>
          <w:rStyle w:val="ListBulletChar"/>
        </w:rPr>
        <w:t xml:space="preserve"> </w:t>
      </w:r>
      <w:r w:rsidR="00F50EAD">
        <w:rPr>
          <w:rStyle w:val="ListBulletChar"/>
        </w:rPr>
        <w:t>also</w:t>
      </w:r>
      <w:r w:rsidR="00FC0BC0">
        <w:rPr>
          <w:rStyle w:val="ListBulletChar"/>
        </w:rPr>
        <w:t xml:space="preserve"> agreed </w:t>
      </w:r>
      <w:r w:rsidR="00FE636B">
        <w:rPr>
          <w:rStyle w:val="ListBulletChar"/>
        </w:rPr>
        <w:t xml:space="preserve">to </w:t>
      </w:r>
      <w:r w:rsidR="00C830FB" w:rsidRPr="00A23258">
        <w:rPr>
          <w:rStyle w:val="ListBulletChar"/>
        </w:rPr>
        <w:t xml:space="preserve">strengthen </w:t>
      </w:r>
      <w:r w:rsidRPr="00A23258">
        <w:rPr>
          <w:rStyle w:val="ListBulletChar"/>
        </w:rPr>
        <w:t xml:space="preserve">links between KIT and </w:t>
      </w:r>
      <w:r w:rsidR="00FC32D1">
        <w:rPr>
          <w:rStyle w:val="ListBulletChar"/>
        </w:rPr>
        <w:t xml:space="preserve">the </w:t>
      </w:r>
      <w:smartTag w:uri="urn:schemas-microsoft-com:office:smarttags" w:element="country-region">
        <w:r w:rsidRPr="00A23258">
          <w:rPr>
            <w:rStyle w:val="ListBulletChar"/>
          </w:rPr>
          <w:t>A</w:t>
        </w:r>
        <w:r w:rsidR="00870E98">
          <w:rPr>
            <w:rStyle w:val="ListBulletChar"/>
          </w:rPr>
          <w:t>ustralia</w:t>
        </w:r>
      </w:smartTag>
      <w:r w:rsidR="00A163A9">
        <w:rPr>
          <w:rStyle w:val="ListBulletChar"/>
        </w:rPr>
        <w:t xml:space="preserve"> – </w:t>
      </w:r>
      <w:smartTag w:uri="urn:schemas-microsoft-com:office:smarttags" w:element="PlaceName">
        <w:r w:rsidR="00870E98">
          <w:rPr>
            <w:rStyle w:val="ListBulletChar"/>
          </w:rPr>
          <w:t>Pacific</w:t>
        </w:r>
      </w:smartTag>
      <w:r w:rsidR="00870E98">
        <w:rPr>
          <w:rStyle w:val="ListBulletChar"/>
        </w:rPr>
        <w:t xml:space="preserve"> </w:t>
      </w:r>
      <w:smartTag w:uri="urn:schemas-microsoft-com:office:smarttags" w:element="PlaceName">
        <w:r w:rsidR="00870E98">
          <w:rPr>
            <w:rStyle w:val="ListBulletChar"/>
          </w:rPr>
          <w:t>Technical</w:t>
        </w:r>
      </w:smartTag>
      <w:r w:rsidR="00870E98">
        <w:rPr>
          <w:rStyle w:val="ListBulletChar"/>
        </w:rPr>
        <w:t xml:space="preserve"> </w:t>
      </w:r>
      <w:smartTag w:uri="urn:schemas-microsoft-com:office:smarttags" w:element="PlaceType">
        <w:r w:rsidR="00870E98">
          <w:rPr>
            <w:rStyle w:val="ListBulletChar"/>
          </w:rPr>
          <w:t>College</w:t>
        </w:r>
      </w:smartTag>
      <w:r w:rsidR="00A67C8D" w:rsidRPr="00A23258">
        <w:rPr>
          <w:rStyle w:val="ListBulletChar"/>
        </w:rPr>
        <w:t xml:space="preserve"> </w:t>
      </w:r>
      <w:r w:rsidR="00E629E9" w:rsidRPr="00A23258">
        <w:rPr>
          <w:rStyle w:val="ListBulletChar"/>
        </w:rPr>
        <w:t xml:space="preserve">to ensure </w:t>
      </w:r>
      <w:smartTag w:uri="urn:schemas-microsoft-com:office:smarttags" w:element="place">
        <w:smartTag w:uri="urn:schemas-microsoft-com:office:smarttags" w:element="country-region">
          <w:r w:rsidR="00E629E9" w:rsidRPr="00A23258">
            <w:rPr>
              <w:rStyle w:val="ListBulletChar"/>
            </w:rPr>
            <w:t>Kiribati</w:t>
          </w:r>
        </w:smartTag>
      </w:smartTag>
      <w:r w:rsidR="00E629E9" w:rsidRPr="00A23258">
        <w:rPr>
          <w:rStyle w:val="ListBulletChar"/>
        </w:rPr>
        <w:t xml:space="preserve">, </w:t>
      </w:r>
      <w:r w:rsidR="00A67C8D" w:rsidRPr="00A23258">
        <w:rPr>
          <w:rStyle w:val="ListBulletChar"/>
        </w:rPr>
        <w:t xml:space="preserve">as a non-campus country, </w:t>
      </w:r>
      <w:r w:rsidR="00E629E9" w:rsidRPr="00A23258">
        <w:rPr>
          <w:rStyle w:val="ListBulletChar"/>
        </w:rPr>
        <w:t xml:space="preserve">has </w:t>
      </w:r>
      <w:r w:rsidR="0020798A" w:rsidRPr="00A23258">
        <w:rPr>
          <w:rStyle w:val="ListBulletChar"/>
        </w:rPr>
        <w:t>equitable</w:t>
      </w:r>
      <w:r w:rsidR="00E629E9" w:rsidRPr="00A23258">
        <w:rPr>
          <w:rStyle w:val="ListBulletChar"/>
        </w:rPr>
        <w:t xml:space="preserve"> access to technical and vocation education and training opportunities</w:t>
      </w:r>
      <w:r w:rsidR="00721DCB">
        <w:rPr>
          <w:rStyle w:val="ListBulletChar"/>
        </w:rPr>
        <w:t>.</w:t>
      </w:r>
      <w:r w:rsidR="00FC0BC0">
        <w:rPr>
          <w:rStyle w:val="ListBulletChar"/>
        </w:rPr>
        <w:t xml:space="preserve"> </w:t>
      </w:r>
      <w:r w:rsidR="00721DCB">
        <w:rPr>
          <w:rStyle w:val="ListBulletChar"/>
        </w:rPr>
        <w:t>A</w:t>
      </w:r>
      <w:r w:rsidR="00FE636B">
        <w:rPr>
          <w:rStyle w:val="ListBulletChar"/>
        </w:rPr>
        <w:t>s well</w:t>
      </w:r>
      <w:r w:rsidR="00721DCB">
        <w:rPr>
          <w:rStyle w:val="ListBulletChar"/>
        </w:rPr>
        <w:t>, AusAID agreed</w:t>
      </w:r>
      <w:r w:rsidR="00FE636B">
        <w:rPr>
          <w:rStyle w:val="ListBulletChar"/>
        </w:rPr>
        <w:t xml:space="preserve"> to </w:t>
      </w:r>
      <w:r w:rsidR="00E629E9" w:rsidRPr="00A23258">
        <w:rPr>
          <w:rStyle w:val="ListBulletChar"/>
        </w:rPr>
        <w:t xml:space="preserve">ensure </w:t>
      </w:r>
      <w:r w:rsidR="00FC32D1">
        <w:rPr>
          <w:rStyle w:val="ListBulletChar"/>
        </w:rPr>
        <w:t>that</w:t>
      </w:r>
      <w:r w:rsidR="00E629E9" w:rsidRPr="00A23258">
        <w:rPr>
          <w:rStyle w:val="ListBulletChar"/>
        </w:rPr>
        <w:t xml:space="preserve"> work </w:t>
      </w:r>
      <w:r w:rsidR="00FC32D1">
        <w:rPr>
          <w:rStyle w:val="ListBulletChar"/>
        </w:rPr>
        <w:t xml:space="preserve">on improving the </w:t>
      </w:r>
      <w:r w:rsidR="00BF7641" w:rsidRPr="00A23258">
        <w:rPr>
          <w:rStyle w:val="ListBulletChar"/>
        </w:rPr>
        <w:t xml:space="preserve">English proficiency </w:t>
      </w:r>
      <w:r w:rsidR="00956757" w:rsidRPr="00A23258">
        <w:rPr>
          <w:rStyle w:val="ListBulletChar"/>
        </w:rPr>
        <w:t>of teachers</w:t>
      </w:r>
      <w:r w:rsidR="00956757" w:rsidRPr="00A23258">
        <w:rPr>
          <w:rFonts w:cs="Arial"/>
          <w:i/>
        </w:rPr>
        <w:t xml:space="preserve"> </w:t>
      </w:r>
      <w:r w:rsidR="00956757" w:rsidRPr="00A23258">
        <w:rPr>
          <w:rStyle w:val="ListBulletChar"/>
        </w:rPr>
        <w:t>builds on</w:t>
      </w:r>
      <w:r w:rsidR="00E629E9" w:rsidRPr="00A23258">
        <w:rPr>
          <w:rStyle w:val="ListBulletChar"/>
        </w:rPr>
        <w:t xml:space="preserve"> similar </w:t>
      </w:r>
      <w:r w:rsidR="00BF7641" w:rsidRPr="00A23258">
        <w:rPr>
          <w:rStyle w:val="ListBulletChar"/>
        </w:rPr>
        <w:t xml:space="preserve">work </w:t>
      </w:r>
      <w:r w:rsidR="00956757" w:rsidRPr="00A23258">
        <w:rPr>
          <w:rStyle w:val="ListBulletChar"/>
        </w:rPr>
        <w:t>in primary and secondary education</w:t>
      </w:r>
      <w:r w:rsidR="00C30616" w:rsidRPr="00A23258">
        <w:rPr>
          <w:rStyle w:val="ListBulletChar"/>
        </w:rPr>
        <w:t xml:space="preserve"> under the Australian basic education program</w:t>
      </w:r>
      <w:r w:rsidR="0034020A" w:rsidRPr="00A23258">
        <w:rPr>
          <w:rFonts w:cs="Arial"/>
        </w:rPr>
        <w:t>.</w:t>
      </w:r>
    </w:p>
    <w:p w:rsidR="00BC51AA" w:rsidRPr="00BC51AA" w:rsidRDefault="00BC51AA" w:rsidP="008F7E66">
      <w:pPr>
        <w:pStyle w:val="Heading2"/>
        <w:ind w:left="0"/>
      </w:pPr>
      <w:bookmarkStart w:id="18" w:name="_Toc360718773"/>
      <w:r w:rsidRPr="00BC51AA">
        <w:t xml:space="preserve">Priority </w:t>
      </w:r>
      <w:r w:rsidR="007A228A">
        <w:t>o</w:t>
      </w:r>
      <w:r w:rsidRPr="00BC51AA">
        <w:t>utcome 3</w:t>
      </w:r>
      <w:bookmarkStart w:id="19" w:name="OC3"/>
      <w:bookmarkEnd w:id="19"/>
      <w:r w:rsidRPr="00BC51AA">
        <w:t xml:space="preserve">: </w:t>
      </w:r>
      <w:r w:rsidR="00261151">
        <w:t>G</w:t>
      </w:r>
      <w:r w:rsidRPr="00BC51AA">
        <w:t xml:space="preserve">rowth and </w:t>
      </w:r>
      <w:r w:rsidR="007A228A">
        <w:t>e</w:t>
      </w:r>
      <w:r w:rsidRPr="00BC51AA">
        <w:t xml:space="preserve">conomic </w:t>
      </w:r>
      <w:r w:rsidR="007A228A">
        <w:t>m</w:t>
      </w:r>
      <w:r w:rsidRPr="00BC51AA">
        <w:t>anagement</w:t>
      </w:r>
      <w:bookmarkEnd w:id="18"/>
    </w:p>
    <w:p w:rsidR="00BC51AA" w:rsidRPr="0092498F" w:rsidRDefault="00BC51AA" w:rsidP="005A517D">
      <w:pPr>
        <w:pStyle w:val="P"/>
        <w:ind w:left="1420" w:hanging="1420"/>
      </w:pPr>
      <w:r w:rsidRPr="0092498F">
        <w:rPr>
          <w:b/>
        </w:rPr>
        <w:t>Commitment</w:t>
      </w:r>
      <w:r w:rsidR="0067092B" w:rsidRPr="0092498F">
        <w:rPr>
          <w:b/>
        </w:rPr>
        <w:t>:</w:t>
      </w:r>
      <w:r w:rsidR="0067092B">
        <w:rPr>
          <w:b/>
        </w:rPr>
        <w:tab/>
      </w:r>
      <w:r w:rsidRPr="0092498F">
        <w:t>Strengthen economic management in support of mutually agreed Government of Kiribati-led economic reforms (MDG</w:t>
      </w:r>
      <w:r w:rsidR="00AF07D1">
        <w:t>s</w:t>
      </w:r>
      <w:r w:rsidRPr="0092498F">
        <w:t xml:space="preserve"> 1 and 8)</w:t>
      </w:r>
    </w:p>
    <w:p w:rsidR="0092498F" w:rsidRDefault="00BC51AA" w:rsidP="005A517D">
      <w:pPr>
        <w:pStyle w:val="P"/>
        <w:ind w:hanging="851"/>
        <w:rPr>
          <w:b/>
        </w:rPr>
      </w:pPr>
      <w:r w:rsidRPr="0092498F">
        <w:rPr>
          <w:b/>
        </w:rPr>
        <w:t>Targets</w:t>
      </w:r>
      <w:r w:rsidR="0067092B" w:rsidRPr="0092498F">
        <w:rPr>
          <w:b/>
        </w:rPr>
        <w:t>:</w:t>
      </w:r>
      <w:r w:rsidR="0067092B">
        <w:rPr>
          <w:b/>
        </w:rPr>
        <w:tab/>
      </w:r>
      <w:r w:rsidRPr="0092498F">
        <w:t xml:space="preserve">Decreased gap between Government of Kiribati current expenditure and </w:t>
      </w:r>
      <w:r w:rsidR="007025DB">
        <w:br/>
      </w:r>
      <w:r w:rsidRPr="0092498F">
        <w:t>(non-external grant) revenue</w:t>
      </w:r>
      <w:r w:rsidRPr="0092498F">
        <w:rPr>
          <w:b/>
        </w:rPr>
        <w:t xml:space="preserve"> </w:t>
      </w:r>
    </w:p>
    <w:p w:rsidR="00BC51AA" w:rsidRPr="0092498F" w:rsidRDefault="00BC51AA" w:rsidP="005A517D">
      <w:pPr>
        <w:pStyle w:val="P"/>
      </w:pPr>
      <w:r w:rsidRPr="0092498F">
        <w:t xml:space="preserve">Decline in general public expenditure as a percentage of GDP </w:t>
      </w:r>
    </w:p>
    <w:p w:rsidR="00BC51AA" w:rsidRPr="0092498F" w:rsidRDefault="00BC51AA" w:rsidP="005A517D">
      <w:pPr>
        <w:pStyle w:val="P"/>
      </w:pPr>
      <w:r w:rsidRPr="0092498F">
        <w:t xml:space="preserve">Increased and sustainable revenue flows to </w:t>
      </w:r>
      <w:smartTag w:uri="urn:schemas-microsoft-com:office:smarttags" w:element="place">
        <w:smartTag w:uri="urn:schemas-microsoft-com:office:smarttags" w:element="country-region">
          <w:r w:rsidRPr="0092498F">
            <w:t>Kiribati</w:t>
          </w:r>
        </w:smartTag>
      </w:smartTag>
      <w:r w:rsidRPr="0092498F">
        <w:t xml:space="preserve"> from fisheries </w:t>
      </w:r>
    </w:p>
    <w:p w:rsidR="00C03AD9" w:rsidRDefault="00FC0BC0" w:rsidP="00190F7D">
      <w:pPr>
        <w:pStyle w:val="BodyText"/>
        <w:spacing w:before="240"/>
      </w:pPr>
      <w:r w:rsidRPr="0092498F">
        <w:t>Work to improve growth and strengthen economic management has in the past focused on address</w:t>
      </w:r>
      <w:r w:rsidR="00FE636B">
        <w:t>ing</w:t>
      </w:r>
      <w:r w:rsidRPr="0092498F">
        <w:t xml:space="preserve"> skill gaps and strengthen</w:t>
      </w:r>
      <w:r w:rsidR="00FE636B">
        <w:t>ing</w:t>
      </w:r>
      <w:r w:rsidRPr="0092498F">
        <w:t xml:space="preserve"> government processes. </w:t>
      </w:r>
      <w:r>
        <w:t xml:space="preserve">This </w:t>
      </w:r>
      <w:r w:rsidRPr="0092498F">
        <w:t xml:space="preserve">had some success in improving the performance of individual ministries, but </w:t>
      </w:r>
      <w:r w:rsidR="00F50EAD">
        <w:t xml:space="preserve">it </w:t>
      </w:r>
      <w:r>
        <w:t>did not translate</w:t>
      </w:r>
      <w:r w:rsidRPr="0092498F">
        <w:t xml:space="preserve"> into broader </w:t>
      </w:r>
      <w:r w:rsidR="0006442B">
        <w:br/>
      </w:r>
      <w:r w:rsidRPr="0092498F">
        <w:t xml:space="preserve">public sector reforms. </w:t>
      </w:r>
      <w:r w:rsidR="00BC51AA" w:rsidRPr="0092498F">
        <w:t xml:space="preserve">Progress </w:t>
      </w:r>
      <w:r w:rsidR="00FB4E0C">
        <w:t xml:space="preserve">has often </w:t>
      </w:r>
      <w:r w:rsidR="0059480C">
        <w:t>be</w:t>
      </w:r>
      <w:r w:rsidR="00FB4E0C">
        <w:t>en</w:t>
      </w:r>
      <w:r w:rsidR="00BC51AA" w:rsidRPr="0092498F">
        <w:t xml:space="preserve"> slow and hard won, as </w:t>
      </w:r>
      <w:r w:rsidR="00710273">
        <w:t>not all</w:t>
      </w:r>
      <w:r w:rsidR="00710273" w:rsidRPr="0092498F">
        <w:t xml:space="preserve"> </w:t>
      </w:r>
      <w:r w:rsidR="00BC51AA" w:rsidRPr="0092498F">
        <w:t xml:space="preserve">ministries </w:t>
      </w:r>
      <w:r w:rsidR="007008B7">
        <w:t>are</w:t>
      </w:r>
      <w:r w:rsidR="00BC51AA" w:rsidRPr="0092498F">
        <w:t xml:space="preserve"> involved </w:t>
      </w:r>
      <w:r w:rsidR="00710273">
        <w:t>and/or</w:t>
      </w:r>
      <w:r w:rsidR="00710273" w:rsidRPr="0092498F">
        <w:t xml:space="preserve"> </w:t>
      </w:r>
      <w:r w:rsidR="00BC51AA" w:rsidRPr="0092498F">
        <w:t xml:space="preserve">there </w:t>
      </w:r>
      <w:r w:rsidR="007008B7">
        <w:t>is</w:t>
      </w:r>
      <w:r w:rsidR="00BC51AA" w:rsidRPr="0092498F">
        <w:t xml:space="preserve"> limited capacity to absorb reforms. </w:t>
      </w:r>
      <w:smartTag w:uri="urn:schemas-microsoft-com:office:smarttags" w:element="place">
        <w:smartTag w:uri="urn:schemas-microsoft-com:office:smarttags" w:element="country-region">
          <w:r w:rsidR="00657ADE">
            <w:t>Australia</w:t>
          </w:r>
        </w:smartTag>
      </w:smartTag>
      <w:r w:rsidR="00657ADE">
        <w:t xml:space="preserve"> aims to</w:t>
      </w:r>
      <w:r w:rsidR="00BC51AA" w:rsidRPr="0092498F">
        <w:t xml:space="preserve"> address these issues </w:t>
      </w:r>
      <w:r w:rsidR="00657ADE">
        <w:t xml:space="preserve">in future programs </w:t>
      </w:r>
      <w:r w:rsidR="007008B7">
        <w:t>by</w:t>
      </w:r>
      <w:r w:rsidR="00BC51AA" w:rsidRPr="0092498F">
        <w:t xml:space="preserve"> working directly with higher levels of government to </w:t>
      </w:r>
      <w:r w:rsidR="0006442B">
        <w:br/>
      </w:r>
      <w:r w:rsidR="00BC51AA" w:rsidRPr="0092498F">
        <w:t>support change.</w:t>
      </w:r>
    </w:p>
    <w:p w:rsidR="00BC51AA" w:rsidRPr="0092498F" w:rsidRDefault="00C03AD9" w:rsidP="00190F7D">
      <w:pPr>
        <w:pStyle w:val="BodyText"/>
      </w:pPr>
      <w:r>
        <w:t xml:space="preserve">In 2009, </w:t>
      </w:r>
      <w:proofErr w:type="spellStart"/>
      <w:r>
        <w:t>AusAID</w:t>
      </w:r>
      <w:proofErr w:type="spellEnd"/>
      <w:r>
        <w:t xml:space="preserve"> </w:t>
      </w:r>
      <w:r w:rsidR="00BC51AA" w:rsidRPr="0092498F">
        <w:t>worked closely with the Asian Development Bank (ADB)</w:t>
      </w:r>
      <w:r>
        <w:t>—</w:t>
      </w:r>
      <w:r w:rsidRPr="0092498F">
        <w:t>the lead donor on public financial management and public enterprise reform</w:t>
      </w:r>
      <w:r>
        <w:t>—</w:t>
      </w:r>
      <w:r w:rsidR="00BC51AA" w:rsidRPr="0092498F">
        <w:t xml:space="preserve">to support </w:t>
      </w:r>
      <w:r>
        <w:t>its</w:t>
      </w:r>
      <w:r w:rsidRPr="0092498F">
        <w:t xml:space="preserve"> </w:t>
      </w:r>
      <w:r w:rsidR="00BC51AA" w:rsidRPr="0092498F">
        <w:t>work in this sector.</w:t>
      </w:r>
      <w:r>
        <w:t xml:space="preserve"> This </w:t>
      </w:r>
      <w:r w:rsidR="00BC51AA" w:rsidRPr="0092498F">
        <w:t xml:space="preserve">is </w:t>
      </w:r>
      <w:r>
        <w:t>helping</w:t>
      </w:r>
      <w:r w:rsidRPr="0092498F">
        <w:t xml:space="preserve"> </w:t>
      </w:r>
      <w:r w:rsidR="00BC51AA" w:rsidRPr="0092498F">
        <w:t>the</w:t>
      </w:r>
      <w:r>
        <w:t xml:space="preserve"> ADB</w:t>
      </w:r>
      <w:r w:rsidR="00BC51AA" w:rsidRPr="0092498F">
        <w:t xml:space="preserve"> </w:t>
      </w:r>
      <w:r w:rsidR="007008B7">
        <w:t xml:space="preserve">to </w:t>
      </w:r>
      <w:r w:rsidR="00657ADE">
        <w:t xml:space="preserve">expand </w:t>
      </w:r>
      <w:r w:rsidR="00F50EAD">
        <w:t>its</w:t>
      </w:r>
      <w:r w:rsidR="00657ADE">
        <w:t xml:space="preserve"> work to</w:t>
      </w:r>
      <w:r w:rsidR="00BC51AA" w:rsidRPr="0092498F">
        <w:t xml:space="preserve"> reduce government expenditure.</w:t>
      </w:r>
      <w:r w:rsidR="00A069C2">
        <w:t xml:space="preserve"> </w:t>
      </w:r>
      <w:r w:rsidR="00BC51AA" w:rsidRPr="0092498F">
        <w:t>In 2009</w:t>
      </w:r>
      <w:r w:rsidR="00A069C2">
        <w:t xml:space="preserve"> </w:t>
      </w:r>
      <w:r w:rsidR="007008B7">
        <w:t xml:space="preserve">the </w:t>
      </w:r>
      <w:r w:rsidR="00BC51AA" w:rsidRPr="0092498F">
        <w:t xml:space="preserve">ADB helped GOK </w:t>
      </w:r>
      <w:r w:rsidR="007008B7">
        <w:t xml:space="preserve">prepare </w:t>
      </w:r>
      <w:r w:rsidR="0059480C">
        <w:t>its</w:t>
      </w:r>
      <w:r w:rsidR="007008B7">
        <w:t xml:space="preserve"> </w:t>
      </w:r>
      <w:r w:rsidR="00BC51AA" w:rsidRPr="0092498F">
        <w:t xml:space="preserve">budget and </w:t>
      </w:r>
      <w:r w:rsidR="007008B7">
        <w:t xml:space="preserve">conduct </w:t>
      </w:r>
      <w:r w:rsidR="00BC51AA" w:rsidRPr="0092498F">
        <w:t xml:space="preserve">a Public Expenditure and Financial Accountability (PEFA) assessment. Based on </w:t>
      </w:r>
      <w:r w:rsidR="007008B7">
        <w:t>PEFA</w:t>
      </w:r>
      <w:r w:rsidRPr="0092498F">
        <w:t xml:space="preserve"> </w:t>
      </w:r>
      <w:r w:rsidR="00BC51AA" w:rsidRPr="0092498F">
        <w:t xml:space="preserve">findings, GOK is prioritising reform actions and </w:t>
      </w:r>
      <w:r w:rsidR="00657ADE">
        <w:t xml:space="preserve">will </w:t>
      </w:r>
      <w:r w:rsidR="00BC51AA" w:rsidRPr="0092498F">
        <w:t>implement the</w:t>
      </w:r>
      <w:r>
        <w:t>m</w:t>
      </w:r>
      <w:r w:rsidR="00BC51AA" w:rsidRPr="0092498F">
        <w:t xml:space="preserve"> with </w:t>
      </w:r>
      <w:r w:rsidR="00657ADE">
        <w:t xml:space="preserve">donor </w:t>
      </w:r>
      <w:r w:rsidR="00BC51AA" w:rsidRPr="0092498F">
        <w:t xml:space="preserve">support. </w:t>
      </w:r>
    </w:p>
    <w:p w:rsidR="00BC51AA" w:rsidRPr="0092498F" w:rsidRDefault="00657ADE" w:rsidP="00190F7D">
      <w:pPr>
        <w:pStyle w:val="BodyText"/>
      </w:pPr>
      <w:r>
        <w:lastRenderedPageBreak/>
        <w:t>Australian advisory s</w:t>
      </w:r>
      <w:r w:rsidR="00BC51AA" w:rsidRPr="0092498F">
        <w:t>upport</w:t>
      </w:r>
      <w:r w:rsidR="0059480C">
        <w:t xml:space="preserve"> during the year</w:t>
      </w:r>
      <w:r w:rsidR="00BC51AA" w:rsidRPr="0092498F">
        <w:t xml:space="preserve"> </w:t>
      </w:r>
      <w:r w:rsidR="00C537B9">
        <w:t>helped</w:t>
      </w:r>
      <w:r w:rsidR="00F3192E">
        <w:t xml:space="preserve"> make</w:t>
      </w:r>
      <w:r w:rsidR="00BC51AA" w:rsidRPr="0092498F">
        <w:t xml:space="preserve"> the domestic air service, Air</w:t>
      </w:r>
      <w:r w:rsidR="00F50EAD">
        <w:t> </w:t>
      </w:r>
      <w:smartTag w:uri="urn:schemas-microsoft-com:office:smarttags" w:element="place">
        <w:smartTag w:uri="urn:schemas-microsoft-com:office:smarttags" w:element="country-region">
          <w:r w:rsidR="00BC51AA" w:rsidRPr="0092498F">
            <w:t>Kiribati</w:t>
          </w:r>
        </w:smartTag>
      </w:smartTag>
      <w:r w:rsidR="00BC51AA" w:rsidRPr="0092498F">
        <w:t xml:space="preserve">, </w:t>
      </w:r>
      <w:r w:rsidR="007008B7">
        <w:t xml:space="preserve">more efficient, reliable and safe which, in turn, </w:t>
      </w:r>
      <w:r w:rsidR="00BC51AA" w:rsidRPr="0092498F">
        <w:t>improv</w:t>
      </w:r>
      <w:r w:rsidR="0059480C">
        <w:t>ed</w:t>
      </w:r>
      <w:r w:rsidR="00BC51AA" w:rsidRPr="0092498F">
        <w:t xml:space="preserve"> </w:t>
      </w:r>
      <w:r w:rsidR="00C03AD9">
        <w:t>its</w:t>
      </w:r>
      <w:r w:rsidR="00C03AD9" w:rsidRPr="0092498F">
        <w:t xml:space="preserve"> </w:t>
      </w:r>
      <w:r w:rsidR="00BC51AA" w:rsidRPr="0092498F">
        <w:t>financial position. Since 2008, Air</w:t>
      </w:r>
      <w:r w:rsidR="00F50EAD">
        <w:t> </w:t>
      </w:r>
      <w:smartTag w:uri="urn:schemas-microsoft-com:office:smarttags" w:element="place">
        <w:smartTag w:uri="urn:schemas-microsoft-com:office:smarttags" w:element="country-region">
          <w:r w:rsidR="00BC51AA" w:rsidRPr="0092498F">
            <w:t>Kiribati</w:t>
          </w:r>
        </w:smartTag>
      </w:smartTag>
      <w:r w:rsidR="00BC51AA" w:rsidRPr="0092498F">
        <w:t xml:space="preserve"> has not</w:t>
      </w:r>
      <w:r w:rsidR="00F3192E">
        <w:t xml:space="preserve"> had to receive</w:t>
      </w:r>
      <w:r w:rsidR="00BC51AA" w:rsidRPr="0092498F">
        <w:t xml:space="preserve"> subsidies from </w:t>
      </w:r>
      <w:r w:rsidR="0059480C">
        <w:t>GOK</w:t>
      </w:r>
      <w:r w:rsidR="00F3192E">
        <w:t xml:space="preserve">. By 2010 </w:t>
      </w:r>
      <w:r w:rsidR="00C03AD9">
        <w:t>it</w:t>
      </w:r>
      <w:r w:rsidR="00BC51AA" w:rsidRPr="0092498F">
        <w:t xml:space="preserve"> </w:t>
      </w:r>
      <w:r w:rsidR="00F3192E">
        <w:t xml:space="preserve">had </w:t>
      </w:r>
      <w:r w:rsidR="00C03AD9">
        <w:t>made a</w:t>
      </w:r>
      <w:r w:rsidR="00BC51AA" w:rsidRPr="0092498F">
        <w:t xml:space="preserve"> small profit. </w:t>
      </w:r>
    </w:p>
    <w:p w:rsidR="00FE636B" w:rsidRPr="0092498F" w:rsidRDefault="00BC51AA" w:rsidP="00190F7D">
      <w:pPr>
        <w:pStyle w:val="BodyText"/>
      </w:pPr>
      <w:r w:rsidRPr="0092498F">
        <w:t xml:space="preserve">Support to strengthen taxation and customs compliance </w:t>
      </w:r>
      <w:r w:rsidR="00C537B9">
        <w:t>enabled</w:t>
      </w:r>
      <w:r w:rsidRPr="0092498F">
        <w:t xml:space="preserve"> GOK </w:t>
      </w:r>
      <w:r w:rsidR="00C537B9">
        <w:t xml:space="preserve">to </w:t>
      </w:r>
      <w:r w:rsidRPr="0092498F">
        <w:t>increas</w:t>
      </w:r>
      <w:r w:rsidR="00C537B9">
        <w:t xml:space="preserve">e </w:t>
      </w:r>
      <w:r w:rsidRPr="0092498F">
        <w:t>revenue from company tax (by about A</w:t>
      </w:r>
      <w:r w:rsidR="007A228A">
        <w:t>$</w:t>
      </w:r>
      <w:r w:rsidRPr="0092498F">
        <w:t>1</w:t>
      </w:r>
      <w:r w:rsidR="00C537B9">
        <w:t> </w:t>
      </w:r>
      <w:r w:rsidRPr="0092498F">
        <w:t>million) and import duties (by about A</w:t>
      </w:r>
      <w:r w:rsidR="007A228A">
        <w:t>$</w:t>
      </w:r>
      <w:r w:rsidRPr="0092498F">
        <w:t>700</w:t>
      </w:r>
      <w:r w:rsidR="00C537B9">
        <w:t> </w:t>
      </w:r>
      <w:r w:rsidRPr="0092498F">
        <w:t xml:space="preserve">000) despite a difficult economic climate. </w:t>
      </w:r>
      <w:r w:rsidR="00FE636B" w:rsidRPr="0092498F">
        <w:t>W</w:t>
      </w:r>
      <w:r w:rsidR="00FE636B">
        <w:t>ork has also begun</w:t>
      </w:r>
      <w:r w:rsidR="009B1EF0">
        <w:t>,</w:t>
      </w:r>
      <w:r w:rsidR="00FE636B">
        <w:t xml:space="preserve"> in coordination with the I</w:t>
      </w:r>
      <w:r w:rsidR="009B1EF0">
        <w:t>nternational Monetary Fund,</w:t>
      </w:r>
      <w:r w:rsidR="00FE636B">
        <w:t xml:space="preserve"> to </w:t>
      </w:r>
      <w:r w:rsidR="00FE636B" w:rsidRPr="0092498F">
        <w:t xml:space="preserve">review the Revenue Equalisation Reserve Fund. </w:t>
      </w:r>
      <w:r w:rsidR="001B386A">
        <w:t>Australian s</w:t>
      </w:r>
      <w:r w:rsidR="00FE636B" w:rsidRPr="0092498F">
        <w:t>upport to the Auditor General’s office has also enabled them to clear a backlog of audits including long overdue audits of public enterprises.</w:t>
      </w:r>
    </w:p>
    <w:p w:rsidR="00BC51AA" w:rsidRPr="00A23258" w:rsidRDefault="00BC51AA" w:rsidP="001A1BF2">
      <w:pPr>
        <w:pStyle w:val="BodyText"/>
      </w:pPr>
      <w:r w:rsidRPr="001A1BF2">
        <w:rPr>
          <w:rStyle w:val="BodyTextChar"/>
          <w:rFonts w:cs="Arial"/>
        </w:rPr>
        <w:t>W</w:t>
      </w:r>
      <w:r w:rsidRPr="0092498F">
        <w:t xml:space="preserve">ork with the Ministry of Fisheries </w:t>
      </w:r>
      <w:r w:rsidR="00657ADE">
        <w:t>aims to</w:t>
      </w:r>
      <w:r w:rsidR="00657ADE" w:rsidRPr="0092498F">
        <w:t xml:space="preserve"> </w:t>
      </w:r>
      <w:r w:rsidRPr="0092498F">
        <w:t>increas</w:t>
      </w:r>
      <w:r w:rsidR="00657ADE">
        <w:t>e and promote</w:t>
      </w:r>
      <w:r w:rsidRPr="0092498F">
        <w:t xml:space="preserve"> </w:t>
      </w:r>
      <w:r w:rsidR="00145FD8">
        <w:t xml:space="preserve">more </w:t>
      </w:r>
      <w:r w:rsidRPr="0092498F">
        <w:t xml:space="preserve">sustainable revenue flows from </w:t>
      </w:r>
      <w:smartTag w:uri="urn:schemas-microsoft-com:office:smarttags" w:element="place">
        <w:smartTag w:uri="urn:schemas-microsoft-com:office:smarttags" w:element="country-region">
          <w:r w:rsidRPr="0092498F">
            <w:t>Kiribati</w:t>
          </w:r>
        </w:smartTag>
      </w:smartTag>
      <w:r w:rsidRPr="0092498F">
        <w:t xml:space="preserve"> marine resources</w:t>
      </w:r>
      <w:r w:rsidR="00A069C2">
        <w:t>.</w:t>
      </w:r>
      <w:r w:rsidRPr="0092498F">
        <w:t xml:space="preserve"> Fishing licence fees</w:t>
      </w:r>
      <w:r w:rsidR="00C537B9">
        <w:t>,</w:t>
      </w:r>
      <w:r w:rsidRPr="0092498F">
        <w:t xml:space="preserve"> declining since 2001 </w:t>
      </w:r>
      <w:r w:rsidR="00145FD8">
        <w:t>(</w:t>
      </w:r>
      <w:r w:rsidRPr="0092498F">
        <w:t xml:space="preserve">when </w:t>
      </w:r>
      <w:r w:rsidR="00145FD8">
        <w:t>they</w:t>
      </w:r>
      <w:r w:rsidRPr="0092498F">
        <w:t xml:space="preserve"> were around A</w:t>
      </w:r>
      <w:r w:rsidR="00BE1FBF">
        <w:t>$</w:t>
      </w:r>
      <w:r w:rsidRPr="0092498F">
        <w:t>46</w:t>
      </w:r>
      <w:r w:rsidR="00BE1FBF">
        <w:t> </w:t>
      </w:r>
      <w:r w:rsidRPr="0092498F">
        <w:t>million</w:t>
      </w:r>
      <w:r w:rsidR="00145FD8">
        <w:t>)</w:t>
      </w:r>
      <w:r w:rsidR="00C537B9">
        <w:t>, improved</w:t>
      </w:r>
      <w:r w:rsidRPr="0092498F">
        <w:t xml:space="preserve">. </w:t>
      </w:r>
      <w:smartTag w:uri="urn:schemas-microsoft-com:office:smarttags" w:element="place">
        <w:smartTag w:uri="urn:schemas-microsoft-com:office:smarttags" w:element="country-region">
          <w:r w:rsidR="00C537B9">
            <w:t>Australia</w:t>
          </w:r>
        </w:smartTag>
      </w:smartTag>
      <w:r w:rsidR="00D71EA0">
        <w:t>’</w:t>
      </w:r>
      <w:r w:rsidR="00C537B9">
        <w:t>s</w:t>
      </w:r>
      <w:r w:rsidRPr="0092498F">
        <w:t xml:space="preserve"> work with Fisheries </w:t>
      </w:r>
      <w:r w:rsidR="00380D72">
        <w:t xml:space="preserve">in 2009 </w:t>
      </w:r>
      <w:r w:rsidR="00A069C2">
        <w:t>led to</w:t>
      </w:r>
      <w:r w:rsidR="00A069C2" w:rsidRPr="0092498F">
        <w:t xml:space="preserve"> </w:t>
      </w:r>
      <w:r w:rsidR="00C537B9">
        <w:t xml:space="preserve">new </w:t>
      </w:r>
      <w:r w:rsidRPr="0092498F">
        <w:t>guidelines</w:t>
      </w:r>
      <w:r w:rsidR="00A069C2">
        <w:t xml:space="preserve"> </w:t>
      </w:r>
      <w:r w:rsidRPr="0092498F">
        <w:t>for licensing and joint ventures, a</w:t>
      </w:r>
      <w:r w:rsidR="00C537B9">
        <w:t>nd</w:t>
      </w:r>
      <w:r w:rsidRPr="0092498F">
        <w:t xml:space="preserve"> strengthen</w:t>
      </w:r>
      <w:r w:rsidR="003858C6">
        <w:t>ed</w:t>
      </w:r>
      <w:r w:rsidRPr="0092498F">
        <w:t xml:space="preserve"> penalties and fisheries surveillance. </w:t>
      </w:r>
      <w:r w:rsidR="00C537B9">
        <w:t>S</w:t>
      </w:r>
      <w:r w:rsidRPr="0092498F">
        <w:t xml:space="preserve">upport for </w:t>
      </w:r>
      <w:r w:rsidR="00C537B9">
        <w:t>r</w:t>
      </w:r>
      <w:r w:rsidRPr="0092498F">
        <w:t xml:space="preserve">egional institutions is promoting the fishing sector </w:t>
      </w:r>
      <w:r w:rsidR="003858C6">
        <w:t>by</w:t>
      </w:r>
      <w:r w:rsidRPr="00A23258">
        <w:t xml:space="preserve"> formalis</w:t>
      </w:r>
      <w:r w:rsidR="003858C6">
        <w:t>ing</w:t>
      </w:r>
      <w:r w:rsidRPr="00A23258">
        <w:t xml:space="preserve"> </w:t>
      </w:r>
      <w:smartTag w:uri="urn:schemas-microsoft-com:office:smarttags" w:element="place">
        <w:smartTag w:uri="urn:schemas-microsoft-com:office:smarttags" w:element="country-region">
          <w:r w:rsidR="00C537B9">
            <w:t>Kiribati</w:t>
          </w:r>
        </w:smartTag>
      </w:smartTag>
      <w:r w:rsidR="00D71EA0">
        <w:t>’</w:t>
      </w:r>
      <w:r w:rsidR="00C537B9">
        <w:t>s</w:t>
      </w:r>
      <w:r w:rsidRPr="00A23258">
        <w:t xml:space="preserve"> exclusive economic zone and strengthen</w:t>
      </w:r>
      <w:r w:rsidR="003858C6">
        <w:t>ing</w:t>
      </w:r>
      <w:r w:rsidRPr="00A23258">
        <w:t xml:space="preserve"> small island shipping.</w:t>
      </w:r>
    </w:p>
    <w:p w:rsidR="004842DD" w:rsidRPr="00A23258" w:rsidRDefault="00ED6C00" w:rsidP="00190F7D">
      <w:pPr>
        <w:pStyle w:val="BodyText"/>
      </w:pPr>
      <w:r w:rsidRPr="00A23258">
        <w:t xml:space="preserve">At </w:t>
      </w:r>
      <w:r w:rsidRPr="00FB7466">
        <w:t>the Partnership Talks,</w:t>
      </w:r>
      <w:r w:rsidRPr="00A23258">
        <w:t xml:space="preserve"> AusAID agreed to</w:t>
      </w:r>
      <w:r w:rsidR="00EB3693" w:rsidRPr="00A23258">
        <w:t xml:space="preserve"> promote</w:t>
      </w:r>
      <w:r w:rsidR="00AC3333">
        <w:t>:</w:t>
      </w:r>
      <w:r w:rsidR="005B0E72" w:rsidRPr="00A23258">
        <w:t xml:space="preserve"> </w:t>
      </w:r>
      <w:r w:rsidR="00FF2271">
        <w:t>the need to link</w:t>
      </w:r>
      <w:r w:rsidR="00C830FB" w:rsidRPr="00A23258">
        <w:t xml:space="preserve"> </w:t>
      </w:r>
      <w:smartTag w:uri="urn:schemas-microsoft-com:office:smarttags" w:element="place">
        <w:smartTag w:uri="urn:schemas-microsoft-com:office:smarttags" w:element="country-region">
          <w:r w:rsidR="00FF2271">
            <w:t>Australia</w:t>
          </w:r>
        </w:smartTag>
      </w:smartTag>
      <w:r w:rsidR="00FF2271">
        <w:t>’s</w:t>
      </w:r>
      <w:r w:rsidR="00FF2271" w:rsidRPr="00A23258">
        <w:t xml:space="preserve"> </w:t>
      </w:r>
      <w:r w:rsidR="00C830FB" w:rsidRPr="00A23258">
        <w:t xml:space="preserve">Security </w:t>
      </w:r>
      <w:r w:rsidR="00FB7466">
        <w:t>Partne</w:t>
      </w:r>
      <w:r w:rsidR="00FB7466" w:rsidRPr="00D636AF">
        <w:t xml:space="preserve">rship </w:t>
      </w:r>
      <w:r w:rsidR="00FF2271" w:rsidRPr="00D636AF">
        <w:t>(</w:t>
      </w:r>
      <w:r w:rsidR="00FF2271">
        <w:t>D</w:t>
      </w:r>
      <w:r w:rsidR="00D636AF">
        <w:t>epartment of Foreign Affairs and Trade</w:t>
      </w:r>
      <w:r w:rsidR="00FF2271">
        <w:t>) with</w:t>
      </w:r>
      <w:r w:rsidR="00FF2271" w:rsidRPr="00A23258">
        <w:t xml:space="preserve"> </w:t>
      </w:r>
      <w:r w:rsidR="00FB7466">
        <w:t xml:space="preserve">the </w:t>
      </w:r>
      <w:r w:rsidR="00C830FB" w:rsidRPr="00A23258">
        <w:t>Development Partnership</w:t>
      </w:r>
      <w:r w:rsidR="00FF2271">
        <w:t xml:space="preserve"> (AusAID)</w:t>
      </w:r>
      <w:r w:rsidR="00956757" w:rsidRPr="00A23258">
        <w:t xml:space="preserve"> </w:t>
      </w:r>
      <w:r w:rsidR="00261151">
        <w:t>i</w:t>
      </w:r>
      <w:r w:rsidR="00956757" w:rsidRPr="00A23258">
        <w:t>n</w:t>
      </w:r>
      <w:r w:rsidR="00261151">
        <w:t xml:space="preserve"> the areas of</w:t>
      </w:r>
      <w:r w:rsidR="00956757" w:rsidRPr="00A23258">
        <w:t xml:space="preserve"> </w:t>
      </w:r>
      <w:r w:rsidR="00A67C8D" w:rsidRPr="00A23258">
        <w:t>fisheries and climate change</w:t>
      </w:r>
      <w:r w:rsidR="00FB7466">
        <w:t>;</w:t>
      </w:r>
      <w:r w:rsidR="005B0E72" w:rsidRPr="00A23258">
        <w:t xml:space="preserve"> </w:t>
      </w:r>
      <w:r w:rsidR="00C521AB" w:rsidRPr="00A23258">
        <w:t xml:space="preserve">use of </w:t>
      </w:r>
      <w:r w:rsidR="00956757" w:rsidRPr="00A23258">
        <w:t xml:space="preserve">partner </w:t>
      </w:r>
      <w:r w:rsidR="00C521AB" w:rsidRPr="00A23258">
        <w:t>government systems among regional organisations</w:t>
      </w:r>
      <w:r w:rsidR="00FB7466">
        <w:t>;</w:t>
      </w:r>
      <w:r w:rsidR="00956757" w:rsidRPr="00A23258">
        <w:t xml:space="preserve"> </w:t>
      </w:r>
      <w:r w:rsidR="00AC3333">
        <w:t xml:space="preserve">and </w:t>
      </w:r>
      <w:r w:rsidR="00A67C8D" w:rsidRPr="00A23258">
        <w:t xml:space="preserve">better sharing of data </w:t>
      </w:r>
      <w:r w:rsidR="005B0E72" w:rsidRPr="00A23258">
        <w:t xml:space="preserve">with </w:t>
      </w:r>
      <w:r w:rsidR="00A67C8D" w:rsidRPr="00A23258">
        <w:t>donors</w:t>
      </w:r>
      <w:r w:rsidR="00956757" w:rsidRPr="00A23258">
        <w:t xml:space="preserve"> to reduce </w:t>
      </w:r>
      <w:r w:rsidR="00FB7466">
        <w:t xml:space="preserve">GOK’s </w:t>
      </w:r>
      <w:r w:rsidR="005B0E72" w:rsidRPr="00A23258">
        <w:t>administrative burden</w:t>
      </w:r>
      <w:r w:rsidR="00514B02" w:rsidRPr="00A23258">
        <w:t>.</w:t>
      </w:r>
      <w:r w:rsidR="00AC3333">
        <w:t xml:space="preserve"> </w:t>
      </w:r>
      <w:r w:rsidR="00C830FB" w:rsidRPr="00A23258">
        <w:t>G</w:t>
      </w:r>
      <w:r w:rsidR="00EE5B00" w:rsidRPr="00A23258">
        <w:t>O</w:t>
      </w:r>
      <w:r w:rsidR="00C830FB" w:rsidRPr="00A23258">
        <w:t xml:space="preserve">K </w:t>
      </w:r>
      <w:r w:rsidR="00EB3693" w:rsidRPr="00A23258">
        <w:t xml:space="preserve">and AusAID </w:t>
      </w:r>
      <w:r w:rsidR="00AC3333">
        <w:t xml:space="preserve">also </w:t>
      </w:r>
      <w:r w:rsidR="0003483B" w:rsidRPr="00A23258">
        <w:t>committed</w:t>
      </w:r>
      <w:r w:rsidRPr="00A23258">
        <w:t xml:space="preserve"> </w:t>
      </w:r>
      <w:r w:rsidR="00C830FB" w:rsidRPr="00A23258">
        <w:t>t</w:t>
      </w:r>
      <w:r w:rsidR="004314C3" w:rsidRPr="00A23258">
        <w:t>o</w:t>
      </w:r>
      <w:r w:rsidR="005B0E72" w:rsidRPr="00A23258">
        <w:t xml:space="preserve"> </w:t>
      </w:r>
      <w:r w:rsidR="0003483B" w:rsidRPr="00A23258">
        <w:t xml:space="preserve">maintaining a strong </w:t>
      </w:r>
      <w:r w:rsidR="00EB3693" w:rsidRPr="00A23258">
        <w:t xml:space="preserve">relationship with other </w:t>
      </w:r>
      <w:r w:rsidR="0003483B" w:rsidRPr="00A23258">
        <w:t>donors (ADB</w:t>
      </w:r>
      <w:r w:rsidR="00981ADC" w:rsidRPr="00A23258">
        <w:t>,</w:t>
      </w:r>
      <w:r w:rsidR="0003483B" w:rsidRPr="00A23258">
        <w:t xml:space="preserve"> E</w:t>
      </w:r>
      <w:r w:rsidR="00BE1FBF">
        <w:t>uropean Union</w:t>
      </w:r>
      <w:r w:rsidR="00981ADC" w:rsidRPr="00A23258">
        <w:t xml:space="preserve"> and I</w:t>
      </w:r>
      <w:r w:rsidR="00BE1FBF">
        <w:t>nternational Monetary Fund</w:t>
      </w:r>
      <w:r w:rsidR="0003483B" w:rsidRPr="00A23258">
        <w:t>)</w:t>
      </w:r>
      <w:r w:rsidR="00EB3693" w:rsidRPr="00A23258">
        <w:t xml:space="preserve"> to </w:t>
      </w:r>
      <w:r w:rsidR="0003483B" w:rsidRPr="00A23258">
        <w:t>support p</w:t>
      </w:r>
      <w:r w:rsidR="00EB3693" w:rsidRPr="00A23258">
        <w:t xml:space="preserve">ublic </w:t>
      </w:r>
      <w:r w:rsidR="0003483B" w:rsidRPr="00A23258">
        <w:t>f</w:t>
      </w:r>
      <w:r w:rsidR="00EB3693" w:rsidRPr="00A23258">
        <w:t xml:space="preserve">inancial </w:t>
      </w:r>
      <w:r w:rsidR="0003483B" w:rsidRPr="00A23258">
        <w:t>m</w:t>
      </w:r>
      <w:r w:rsidR="00EB3693" w:rsidRPr="00A23258">
        <w:t>anagement</w:t>
      </w:r>
      <w:r w:rsidR="0003483B" w:rsidRPr="00A23258">
        <w:t xml:space="preserve"> </w:t>
      </w:r>
      <w:r w:rsidR="004314C3" w:rsidRPr="00A23258">
        <w:t xml:space="preserve">and public sector </w:t>
      </w:r>
      <w:r w:rsidR="0003483B" w:rsidRPr="00A23258">
        <w:t>reforms</w:t>
      </w:r>
      <w:r w:rsidR="004314C3" w:rsidRPr="00A23258">
        <w:t>,</w:t>
      </w:r>
      <w:r w:rsidR="00EB3693" w:rsidRPr="00A23258">
        <w:t xml:space="preserve"> and</w:t>
      </w:r>
      <w:r w:rsidR="0003483B" w:rsidRPr="00A23258">
        <w:t xml:space="preserve"> </w:t>
      </w:r>
      <w:r w:rsidR="00C830FB" w:rsidRPr="00A23258">
        <w:t xml:space="preserve">continue to </w:t>
      </w:r>
      <w:r w:rsidR="0003483B" w:rsidRPr="00A23258">
        <w:t>review the</w:t>
      </w:r>
      <w:r w:rsidR="00C830FB" w:rsidRPr="00A23258">
        <w:t xml:space="preserve"> pace of reforms</w:t>
      </w:r>
      <w:r w:rsidR="004842DD" w:rsidRPr="00A23258">
        <w:t>.</w:t>
      </w:r>
    </w:p>
    <w:p w:rsidR="00BC51AA" w:rsidRPr="00BC51AA" w:rsidRDefault="00261151" w:rsidP="008F7E66">
      <w:pPr>
        <w:pStyle w:val="Heading2"/>
        <w:ind w:left="0"/>
      </w:pPr>
      <w:bookmarkStart w:id="20" w:name="_Toc360718774"/>
      <w:r>
        <w:t>P</w:t>
      </w:r>
      <w:r w:rsidR="00D636AF">
        <w:t>riority: Reduced vulnerability</w:t>
      </w:r>
      <w:bookmarkStart w:id="21" w:name="Vulnerability"/>
      <w:bookmarkEnd w:id="20"/>
      <w:bookmarkEnd w:id="21"/>
    </w:p>
    <w:p w:rsidR="00BC51AA" w:rsidRPr="00BC51AA" w:rsidRDefault="00190F7D" w:rsidP="005A517D">
      <w:pPr>
        <w:pStyle w:val="P"/>
        <w:ind w:left="1136" w:hanging="1136"/>
      </w:pPr>
      <w:r>
        <w:rPr>
          <w:b/>
        </w:rPr>
        <w:t>Objective:</w:t>
      </w:r>
      <w:r w:rsidR="00BC51AA" w:rsidRPr="00BC51AA">
        <w:rPr>
          <w:b/>
        </w:rPr>
        <w:tab/>
      </w:r>
      <w:r w:rsidR="00BC51AA" w:rsidRPr="00BC51AA">
        <w:t xml:space="preserve">Reducing vulnerability that undermines key areas of economic and social development, including </w:t>
      </w:r>
      <w:r w:rsidR="00D71EA0">
        <w:t xml:space="preserve">health, </w:t>
      </w:r>
      <w:r w:rsidR="00BC51AA" w:rsidRPr="00BC51AA">
        <w:t>at-risk populations</w:t>
      </w:r>
      <w:r w:rsidR="00D71EA0">
        <w:t xml:space="preserve"> (</w:t>
      </w:r>
      <w:r w:rsidR="00BC51AA" w:rsidRPr="00BC51AA">
        <w:t>such as mothers and children</w:t>
      </w:r>
      <w:r w:rsidR="00D71EA0">
        <w:t>) and climate change</w:t>
      </w:r>
      <w:r w:rsidR="00BC51AA" w:rsidRPr="00BC51AA">
        <w:t xml:space="preserve"> (MDG</w:t>
      </w:r>
      <w:r w:rsidR="00BE1FBF">
        <w:t>s</w:t>
      </w:r>
      <w:r w:rsidR="00BC51AA" w:rsidRPr="00BC51AA">
        <w:t xml:space="preserve"> 4, 5 and 7) </w:t>
      </w:r>
    </w:p>
    <w:p w:rsidR="007E1144" w:rsidRPr="007E1144" w:rsidRDefault="007E1144" w:rsidP="00190F7D">
      <w:pPr>
        <w:pStyle w:val="BodyText"/>
        <w:spacing w:before="240"/>
      </w:pPr>
      <w:r w:rsidRPr="00BC51AA">
        <w:t xml:space="preserve">While not a </w:t>
      </w:r>
      <w:r w:rsidR="004F7A91">
        <w:t>p</w:t>
      </w:r>
      <w:r w:rsidRPr="00BC51AA">
        <w:t xml:space="preserve">artnership priority outcome, </w:t>
      </w:r>
      <w:r w:rsidR="001B386A">
        <w:t xml:space="preserve">Australian </w:t>
      </w:r>
      <w:r w:rsidRPr="00BC51AA">
        <w:t xml:space="preserve">support for </w:t>
      </w:r>
      <w:r w:rsidR="004F7A91">
        <w:t>v</w:t>
      </w:r>
      <w:r w:rsidRPr="00BC51AA">
        <w:t xml:space="preserve">ulnerability </w:t>
      </w:r>
      <w:r w:rsidR="004F7A91">
        <w:t>r</w:t>
      </w:r>
      <w:r w:rsidRPr="00BC51AA">
        <w:t xml:space="preserve">eduction complements work under the Partnership. </w:t>
      </w:r>
      <w:r w:rsidR="001B386A">
        <w:t>Australian funding</w:t>
      </w:r>
      <w:r w:rsidRPr="00BC51AA">
        <w:t xml:space="preserve"> is focused on supporting </w:t>
      </w:r>
      <w:smartTag w:uri="urn:schemas-microsoft-com:office:smarttags" w:element="country-region">
        <w:r w:rsidRPr="00BC51AA">
          <w:t>Kiribati</w:t>
        </w:r>
      </w:smartTag>
      <w:r w:rsidRPr="00BC51AA">
        <w:t xml:space="preserve"> to progress key MDGs and </w:t>
      </w:r>
      <w:r w:rsidR="004F7A91">
        <w:t xml:space="preserve">it </w:t>
      </w:r>
      <w:r w:rsidRPr="00BC51AA">
        <w:t xml:space="preserve">supports the work of multilateral and regional organisations in </w:t>
      </w:r>
      <w:smartTag w:uri="urn:schemas-microsoft-com:office:smarttags" w:element="place">
        <w:smartTag w:uri="urn:schemas-microsoft-com:office:smarttags" w:element="country-region">
          <w:r w:rsidRPr="00BC51AA">
            <w:t>Kiribati</w:t>
          </w:r>
        </w:smartTag>
      </w:smartTag>
      <w:r w:rsidRPr="00BC51AA">
        <w:t>.</w:t>
      </w:r>
    </w:p>
    <w:p w:rsidR="004314C3" w:rsidRPr="004314C3" w:rsidRDefault="004314C3" w:rsidP="00BE48AA">
      <w:pPr>
        <w:pStyle w:val="Heading3"/>
      </w:pPr>
      <w:bookmarkStart w:id="22" w:name="_Toc360718775"/>
      <w:r w:rsidRPr="004314C3">
        <w:t>Health</w:t>
      </w:r>
      <w:bookmarkEnd w:id="22"/>
    </w:p>
    <w:p w:rsidR="00BC51AA" w:rsidRPr="0092498F" w:rsidRDefault="00BC51AA" w:rsidP="00BE48AA">
      <w:pPr>
        <w:pStyle w:val="BodyText"/>
      </w:pPr>
      <w:r w:rsidRPr="0092498F">
        <w:t>Support to other donor activities in th</w:t>
      </w:r>
      <w:r w:rsidR="003858C6">
        <w:t>is</w:t>
      </w:r>
      <w:r w:rsidRPr="0092498F">
        <w:t xml:space="preserve"> sector is </w:t>
      </w:r>
      <w:r w:rsidR="00541DB8">
        <w:t xml:space="preserve">helping </w:t>
      </w:r>
      <w:smartTag w:uri="urn:schemas-microsoft-com:office:smarttags" w:element="place">
        <w:smartTag w:uri="urn:schemas-microsoft-com:office:smarttags" w:element="country-region">
          <w:r w:rsidR="00541DB8">
            <w:t>Kiribati</w:t>
          </w:r>
        </w:smartTag>
      </w:smartTag>
      <w:r w:rsidR="00541DB8">
        <w:t xml:space="preserve"> move</w:t>
      </w:r>
      <w:r w:rsidR="00541DB8" w:rsidRPr="0092498F">
        <w:t xml:space="preserve"> </w:t>
      </w:r>
      <w:r w:rsidRPr="0092498F">
        <w:t>towards health MDG</w:t>
      </w:r>
      <w:r w:rsidR="0006442B">
        <w:t> </w:t>
      </w:r>
      <w:r w:rsidRPr="0092498F">
        <w:t xml:space="preserve">goals. </w:t>
      </w:r>
      <w:r w:rsidR="004314C3">
        <w:t>To date</w:t>
      </w:r>
      <w:r w:rsidRPr="0092498F">
        <w:t xml:space="preserve">, work has largely </w:t>
      </w:r>
      <w:r w:rsidR="00541DB8">
        <w:t>responded</w:t>
      </w:r>
      <w:r w:rsidRPr="0092498F">
        <w:t xml:space="preserve"> to specific issues, rather than </w:t>
      </w:r>
      <w:r w:rsidR="00541DB8">
        <w:t>forming</w:t>
      </w:r>
      <w:r w:rsidR="00541DB8" w:rsidRPr="0092498F">
        <w:t xml:space="preserve"> </w:t>
      </w:r>
      <w:r w:rsidRPr="0092498F">
        <w:t>part of a strategic</w:t>
      </w:r>
      <w:r w:rsidR="003858C6">
        <w:t xml:space="preserve"> health</w:t>
      </w:r>
      <w:r w:rsidRPr="0092498F">
        <w:t xml:space="preserve"> program. </w:t>
      </w:r>
      <w:r w:rsidR="007E1144">
        <w:t xml:space="preserve">As well, there has been no commitment from </w:t>
      </w:r>
      <w:r w:rsidR="00EB790D" w:rsidRPr="0092498F">
        <w:t xml:space="preserve">GOK to </w:t>
      </w:r>
      <w:r w:rsidR="00A40D7A">
        <w:t xml:space="preserve">sustain achievements from </w:t>
      </w:r>
      <w:r w:rsidR="007E1144">
        <w:t xml:space="preserve">donor </w:t>
      </w:r>
      <w:r w:rsidR="00A40D7A">
        <w:t>activities</w:t>
      </w:r>
      <w:r w:rsidR="004F7A91">
        <w:t xml:space="preserve"> in the health sector</w:t>
      </w:r>
      <w:r w:rsidR="00A40D7A">
        <w:t>. Bu</w:t>
      </w:r>
      <w:r w:rsidR="00EB790D" w:rsidRPr="0092498F">
        <w:t xml:space="preserve">dget cuts in 2010 resulted in family planning and immunisation programs not being funded. </w:t>
      </w:r>
    </w:p>
    <w:p w:rsidR="00BC51AA" w:rsidRPr="00BC51AA" w:rsidRDefault="00BC51AA" w:rsidP="00BE48AA">
      <w:pPr>
        <w:pStyle w:val="BodyText"/>
      </w:pPr>
      <w:smartTag w:uri="urn:schemas-microsoft-com:office:smarttags" w:element="place">
        <w:smartTag w:uri="urn:schemas-microsoft-com:office:smarttags" w:element="country-region">
          <w:r w:rsidRPr="00BC51AA">
            <w:t>Kiribati</w:t>
          </w:r>
        </w:smartTag>
      </w:smartTag>
      <w:r w:rsidRPr="00BC51AA">
        <w:t xml:space="preserve"> has the highest prevalence of TB in the Pacific. </w:t>
      </w:r>
      <w:smartTag w:uri="urn:schemas-microsoft-com:office:smarttags" w:element="country-region">
        <w:r w:rsidR="002C63E5">
          <w:t>Australia</w:t>
        </w:r>
      </w:smartTag>
      <w:r w:rsidR="000572D7">
        <w:t>’</w:t>
      </w:r>
      <w:r w:rsidR="002C63E5">
        <w:t>s</w:t>
      </w:r>
      <w:r w:rsidRPr="00BC51AA">
        <w:t xml:space="preserve"> support to the </w:t>
      </w:r>
      <w:r w:rsidR="005A6121" w:rsidRPr="005A6121">
        <w:t>Secretariat of the Pacific Community’s</w:t>
      </w:r>
      <w:r w:rsidRPr="00BC51AA">
        <w:t xml:space="preserve"> TB</w:t>
      </w:r>
      <w:r w:rsidR="00AC3333">
        <w:t xml:space="preserve"> Epidemic Control</w:t>
      </w:r>
      <w:r w:rsidRPr="00BC51AA">
        <w:t xml:space="preserve"> Program reduced cases from 745</w:t>
      </w:r>
      <w:r w:rsidR="003858C6">
        <w:t xml:space="preserve"> (</w:t>
      </w:r>
      <w:r w:rsidRPr="00BC51AA">
        <w:t>2007</w:t>
      </w:r>
      <w:r w:rsidR="003858C6">
        <w:t xml:space="preserve">) </w:t>
      </w:r>
      <w:r w:rsidRPr="00BC51AA">
        <w:t>to 248</w:t>
      </w:r>
      <w:r w:rsidR="00234A93">
        <w:t> </w:t>
      </w:r>
      <w:r w:rsidR="003858C6">
        <w:t>(</w:t>
      </w:r>
      <w:r w:rsidRPr="00BC51AA">
        <w:t>2009</w:t>
      </w:r>
      <w:r w:rsidR="003858C6">
        <w:t>) and</w:t>
      </w:r>
      <w:r w:rsidR="005A6121">
        <w:t xml:space="preserve"> </w:t>
      </w:r>
      <w:r w:rsidR="003858C6">
        <w:t>saw</w:t>
      </w:r>
      <w:r w:rsidR="005A6121">
        <w:t xml:space="preserve"> </w:t>
      </w:r>
      <w:smartTag w:uri="urn:schemas-microsoft-com:office:smarttags" w:element="place">
        <w:smartTag w:uri="urn:schemas-microsoft-com:office:smarttags" w:element="country-region">
          <w:r w:rsidRPr="00BC51AA">
            <w:t>Kiribati</w:t>
          </w:r>
        </w:smartTag>
      </w:smartTag>
      <w:r w:rsidRPr="00BC51AA">
        <w:t>’s first TB laboratory</w:t>
      </w:r>
      <w:r w:rsidR="003858C6">
        <w:t xml:space="preserve"> built</w:t>
      </w:r>
      <w:r w:rsidRPr="00BC51AA">
        <w:t xml:space="preserve">, enabling early diagnosis. </w:t>
      </w:r>
      <w:r w:rsidR="003858C6">
        <w:t>The program will be extended.</w:t>
      </w:r>
      <w:r w:rsidRPr="00BC51AA">
        <w:t xml:space="preserve"> </w:t>
      </w:r>
    </w:p>
    <w:p w:rsidR="00BC51AA" w:rsidRPr="00BC51AA" w:rsidRDefault="00BC51AA" w:rsidP="00BE48AA">
      <w:pPr>
        <w:pStyle w:val="BodyText"/>
      </w:pPr>
      <w:r w:rsidRPr="00BC51AA">
        <w:t xml:space="preserve">Through a joint </w:t>
      </w:r>
      <w:r w:rsidR="0033283A">
        <w:t xml:space="preserve">Australian </w:t>
      </w:r>
      <w:r w:rsidR="00E571D3">
        <w:t xml:space="preserve">program with the </w:t>
      </w:r>
      <w:r w:rsidR="00655649">
        <w:t>United Nations Populations Fund</w:t>
      </w:r>
      <w:r w:rsidRPr="00BC51AA">
        <w:t>, around 11</w:t>
      </w:r>
      <w:r w:rsidR="00655649">
        <w:t> </w:t>
      </w:r>
      <w:r w:rsidRPr="00BC51AA">
        <w:t>600</w:t>
      </w:r>
      <w:r w:rsidR="003858C6">
        <w:t> </w:t>
      </w:r>
      <w:r w:rsidRPr="00BC51AA">
        <w:t>women and children are benefiting from access to emergency obstetric care equipment, supplies and drugs</w:t>
      </w:r>
      <w:r w:rsidR="00AC3333">
        <w:t xml:space="preserve"> (funded by Australia)</w:t>
      </w:r>
      <w:r w:rsidRPr="00BC51AA">
        <w:t xml:space="preserve"> in 75</w:t>
      </w:r>
      <w:r w:rsidR="003858C6">
        <w:t> </w:t>
      </w:r>
      <w:r w:rsidRPr="00BC51AA">
        <w:t>health centres and clinics on 17</w:t>
      </w:r>
      <w:r w:rsidR="00234A93">
        <w:t> </w:t>
      </w:r>
      <w:r w:rsidRPr="00BC51AA">
        <w:t>islands</w:t>
      </w:r>
      <w:r w:rsidR="00E571D3">
        <w:t xml:space="preserve"> </w:t>
      </w:r>
      <w:r w:rsidR="00AC3333">
        <w:t>(</w:t>
      </w:r>
      <w:r w:rsidR="00E571D3">
        <w:t xml:space="preserve">built </w:t>
      </w:r>
      <w:r w:rsidR="00B876CB">
        <w:lastRenderedPageBreak/>
        <w:t>through funding</w:t>
      </w:r>
      <w:r w:rsidR="00E571D3">
        <w:t xml:space="preserve"> by the E</w:t>
      </w:r>
      <w:r w:rsidR="00655649">
        <w:t>uropean Union</w:t>
      </w:r>
      <w:r w:rsidR="00AC3333">
        <w:t>)</w:t>
      </w:r>
      <w:r w:rsidRPr="00BC51AA">
        <w:t xml:space="preserve">. In addition, </w:t>
      </w:r>
      <w:smartTag w:uri="urn:schemas-microsoft-com:office:smarttags" w:element="country-region">
        <w:r w:rsidR="0033283A">
          <w:t>Australia</w:t>
        </w:r>
      </w:smartTag>
      <w:r w:rsidR="0033283A">
        <w:t>’s</w:t>
      </w:r>
      <w:r w:rsidRPr="00BC51AA">
        <w:t xml:space="preserve"> funding </w:t>
      </w:r>
      <w:r w:rsidR="002C63E5">
        <w:t>has helped increase the number of</w:t>
      </w:r>
      <w:r w:rsidRPr="00BC51AA">
        <w:t xml:space="preserve"> sexual health peer educators and renovate health centres in secondary schools and in </w:t>
      </w:r>
      <w:smartTag w:uri="urn:schemas-microsoft-com:office:smarttags" w:element="place">
        <w:r w:rsidRPr="00BC51AA">
          <w:t>South Tarawa</w:t>
        </w:r>
      </w:smartTag>
      <w:r w:rsidR="002C63E5">
        <w:t>. This has</w:t>
      </w:r>
      <w:r w:rsidRPr="00BC51AA">
        <w:t xml:space="preserve"> increase</w:t>
      </w:r>
      <w:r w:rsidR="002C63E5">
        <w:t>d</w:t>
      </w:r>
      <w:r w:rsidRPr="00BC51AA">
        <w:t xml:space="preserve"> the number of teenagers </w:t>
      </w:r>
      <w:r w:rsidR="00E72318">
        <w:t>using</w:t>
      </w:r>
      <w:r w:rsidR="00E72318" w:rsidRPr="00BC51AA">
        <w:t xml:space="preserve"> </w:t>
      </w:r>
      <w:r w:rsidRPr="00BC51AA">
        <w:t>these services.</w:t>
      </w:r>
    </w:p>
    <w:p w:rsidR="00BC51AA" w:rsidRPr="00BC51AA" w:rsidRDefault="0033283A" w:rsidP="00BE48AA">
      <w:pPr>
        <w:pStyle w:val="BodyText"/>
      </w:pPr>
      <w:smartTag w:uri="urn:schemas-microsoft-com:office:smarttags" w:element="country-region">
        <w:r>
          <w:t>Australia</w:t>
        </w:r>
      </w:smartTag>
      <w:r>
        <w:t>’s s</w:t>
      </w:r>
      <w:r w:rsidR="00BC51AA" w:rsidRPr="00BC51AA">
        <w:t xml:space="preserve">upport for </w:t>
      </w:r>
      <w:smartTag w:uri="urn:schemas-microsoft-com:office:smarttags" w:element="place">
        <w:smartTag w:uri="urn:schemas-microsoft-com:office:smarttags" w:element="country-region">
          <w:r w:rsidR="00EE0F60">
            <w:t>Kiribati</w:t>
          </w:r>
        </w:smartTag>
      </w:smartTag>
      <w:r w:rsidR="00EE0F60">
        <w:t>’s</w:t>
      </w:r>
      <w:r w:rsidR="00EE0F60" w:rsidRPr="00BC51AA">
        <w:t xml:space="preserve"> </w:t>
      </w:r>
      <w:r w:rsidR="00BC51AA" w:rsidRPr="00BC51AA">
        <w:t xml:space="preserve">School &amp; Centre for Children with Special Needs is </w:t>
      </w:r>
      <w:r w:rsidR="002C63E5">
        <w:t>giving</w:t>
      </w:r>
      <w:r w:rsidR="00BC51AA" w:rsidRPr="00BC51AA">
        <w:t xml:space="preserve"> better access to education for 80</w:t>
      </w:r>
      <w:r w:rsidR="003858C6">
        <w:t> </w:t>
      </w:r>
      <w:r w:rsidR="00BC51AA" w:rsidRPr="00BC51AA">
        <w:t>children</w:t>
      </w:r>
      <w:r w:rsidR="00F30B1D">
        <w:t xml:space="preserve"> with disability</w:t>
      </w:r>
      <w:r w:rsidR="002C63E5">
        <w:t>,</w:t>
      </w:r>
      <w:r w:rsidR="00BC51AA" w:rsidRPr="00BC51AA">
        <w:t xml:space="preserve"> improv</w:t>
      </w:r>
      <w:r w:rsidR="00EE0F60">
        <w:t>ing</w:t>
      </w:r>
      <w:r w:rsidR="00BC51AA" w:rsidRPr="00BC51AA">
        <w:t xml:space="preserve"> the quality and relevance of schooling for children with disability and provid</w:t>
      </w:r>
      <w:r w:rsidR="00EE0F60">
        <w:t>ing</w:t>
      </w:r>
      <w:r w:rsidR="00BC51AA" w:rsidRPr="00BC51AA">
        <w:t xml:space="preserve"> longer</w:t>
      </w:r>
      <w:r w:rsidR="00F30B1D">
        <w:t>-</w:t>
      </w:r>
      <w:r w:rsidR="00BC51AA" w:rsidRPr="00BC51AA">
        <w:t xml:space="preserve">term funding assurance. </w:t>
      </w:r>
    </w:p>
    <w:p w:rsidR="004314C3" w:rsidRPr="004314C3" w:rsidRDefault="00D71EA0" w:rsidP="00BE48AA">
      <w:pPr>
        <w:pStyle w:val="Heading3"/>
      </w:pPr>
      <w:bookmarkStart w:id="23" w:name="_Toc360718776"/>
      <w:r>
        <w:t>At-risk populations</w:t>
      </w:r>
      <w:bookmarkEnd w:id="23"/>
    </w:p>
    <w:p w:rsidR="00BC51AA" w:rsidRPr="00BC51AA" w:rsidRDefault="00D71EA0" w:rsidP="00BE48AA">
      <w:pPr>
        <w:pStyle w:val="BodyText"/>
      </w:pPr>
      <w:r>
        <w:t xml:space="preserve">While not a designated </w:t>
      </w:r>
      <w:r w:rsidR="006D6A9D">
        <w:t>P</w:t>
      </w:r>
      <w:r>
        <w:t xml:space="preserve">artnership priority, the vulnerability of at-risk populations—specifically women and children—is important. </w:t>
      </w:r>
      <w:smartTag w:uri="urn:schemas-microsoft-com:office:smarttags" w:element="place">
        <w:smartTag w:uri="urn:schemas-microsoft-com:office:smarttags" w:element="country-region">
          <w:r w:rsidR="002C63E5">
            <w:t>Australia</w:t>
          </w:r>
        </w:smartTag>
      </w:smartTag>
      <w:r w:rsidR="000572D7">
        <w:t>’</w:t>
      </w:r>
      <w:r w:rsidR="002C63E5">
        <w:t>s</w:t>
      </w:r>
      <w:r w:rsidR="00BC51AA" w:rsidRPr="00BC51AA">
        <w:t xml:space="preserve"> support for a S</w:t>
      </w:r>
      <w:r w:rsidR="00EE0F60">
        <w:t>ecretariat of the Pacific Community</w:t>
      </w:r>
      <w:r w:rsidR="00BC51AA" w:rsidRPr="00BC51AA">
        <w:t xml:space="preserve"> study provided new data on the prevalence of violence against women and children. </w:t>
      </w:r>
      <w:r w:rsidR="002C63E5">
        <w:t xml:space="preserve">In 2009, </w:t>
      </w:r>
      <w:r w:rsidR="00BC51AA" w:rsidRPr="00BC51AA">
        <w:t xml:space="preserve">Cabinet approved a 10-year </w:t>
      </w:r>
      <w:r w:rsidR="00F30B1D">
        <w:t>n</w:t>
      </w:r>
      <w:r w:rsidR="00BC51AA" w:rsidRPr="00BC51AA">
        <w:t xml:space="preserve">ational </w:t>
      </w:r>
      <w:r w:rsidR="00F30B1D">
        <w:t>a</w:t>
      </w:r>
      <w:r w:rsidR="00BC51AA" w:rsidRPr="00BC51AA">
        <w:t xml:space="preserve">ction </w:t>
      </w:r>
      <w:r w:rsidR="00F30B1D">
        <w:t>p</w:t>
      </w:r>
      <w:r w:rsidR="00BC51AA" w:rsidRPr="00BC51AA">
        <w:t>lan to reduce the prevalence of gender</w:t>
      </w:r>
      <w:r w:rsidR="00EE0F60">
        <w:t>-</w:t>
      </w:r>
      <w:r w:rsidR="00BC51AA" w:rsidRPr="00BC51AA">
        <w:t xml:space="preserve">based violence and </w:t>
      </w:r>
      <w:smartTag w:uri="urn:schemas-microsoft-com:office:smarttags" w:element="place">
        <w:smartTag w:uri="urn:schemas-microsoft-com:office:smarttags" w:element="country-region">
          <w:r w:rsidR="00BC51AA" w:rsidRPr="00BC51AA">
            <w:t>Kiribati</w:t>
          </w:r>
        </w:smartTag>
      </w:smartTag>
      <w:r w:rsidR="00BC51AA" w:rsidRPr="00BC51AA">
        <w:t xml:space="preserve"> </w:t>
      </w:r>
      <w:r w:rsidR="00AC3333">
        <w:t xml:space="preserve">is </w:t>
      </w:r>
      <w:r w:rsidR="002C63E5">
        <w:t>respond</w:t>
      </w:r>
      <w:r w:rsidR="00AC3333">
        <w:t>ing</w:t>
      </w:r>
      <w:r w:rsidR="00BC51AA" w:rsidRPr="00BC51AA">
        <w:t xml:space="preserve"> to high rates of domestic violence with new legislation, improve</w:t>
      </w:r>
      <w:r w:rsidR="003858C6">
        <w:t>d</w:t>
      </w:r>
      <w:r w:rsidR="00BC51AA" w:rsidRPr="00BC51AA">
        <w:t xml:space="preserve"> public education and </w:t>
      </w:r>
      <w:r w:rsidR="002C63E5">
        <w:t>improved</w:t>
      </w:r>
      <w:r w:rsidR="00BC51AA" w:rsidRPr="00BC51AA">
        <w:t xml:space="preserve"> services.</w:t>
      </w:r>
    </w:p>
    <w:p w:rsidR="00BC51AA" w:rsidRPr="00BC51AA" w:rsidRDefault="00BC51AA" w:rsidP="00BE48AA">
      <w:pPr>
        <w:pStyle w:val="BodyText"/>
      </w:pPr>
      <w:smartTag w:uri="urn:schemas-microsoft-com:office:smarttags" w:element="place">
        <w:smartTag w:uri="urn:schemas-microsoft-com:office:smarttags" w:element="country-region">
          <w:r w:rsidRPr="00BC51AA">
            <w:t>Australia</w:t>
          </w:r>
        </w:smartTag>
      </w:smartTag>
      <w:r w:rsidRPr="00BC51AA">
        <w:t xml:space="preserve"> </w:t>
      </w:r>
      <w:r w:rsidR="002C63E5">
        <w:t xml:space="preserve">continued to </w:t>
      </w:r>
      <w:r w:rsidRPr="00BC51AA">
        <w:t>support UNICEF’s regional Child Protection Program</w:t>
      </w:r>
      <w:r w:rsidR="003A6DB3">
        <w:t>, which</w:t>
      </w:r>
      <w:r w:rsidRPr="00BC51AA">
        <w:t xml:space="preserve"> provide</w:t>
      </w:r>
      <w:r w:rsidR="00EE0F60">
        <w:t>s</w:t>
      </w:r>
      <w:r w:rsidRPr="00BC51AA">
        <w:t xml:space="preserve"> a safer environment for children </w:t>
      </w:r>
      <w:r w:rsidR="003A6DB3">
        <w:t>by</w:t>
      </w:r>
      <w:r w:rsidRPr="00BC51AA">
        <w:t xml:space="preserve"> strengthening legislation</w:t>
      </w:r>
      <w:r w:rsidR="00234A93">
        <w:t xml:space="preserve"> and</w:t>
      </w:r>
      <w:r w:rsidRPr="00BC51AA">
        <w:t xml:space="preserve"> raising awareness of international obligations to protect children (particularly within the justice system). </w:t>
      </w:r>
      <w:r w:rsidR="007846F3">
        <w:t>M</w:t>
      </w:r>
      <w:r w:rsidRPr="00BC51AA">
        <w:t>agistrates have reported a decline in the number of adolescents entering the criminal justice system, due to new youth diversion practices.</w:t>
      </w:r>
    </w:p>
    <w:p w:rsidR="004314C3" w:rsidRPr="004314C3" w:rsidRDefault="004314C3" w:rsidP="00BE48AA">
      <w:pPr>
        <w:pStyle w:val="Heading3"/>
      </w:pPr>
      <w:bookmarkStart w:id="24" w:name="_Toc360718777"/>
      <w:r w:rsidRPr="004314C3">
        <w:t xml:space="preserve">Climate </w:t>
      </w:r>
      <w:r w:rsidR="00F30B1D">
        <w:t>c</w:t>
      </w:r>
      <w:r w:rsidRPr="004314C3">
        <w:t>hange</w:t>
      </w:r>
      <w:bookmarkEnd w:id="24"/>
    </w:p>
    <w:p w:rsidR="003B708B" w:rsidRPr="00A23258" w:rsidRDefault="00BC51AA" w:rsidP="00BE48AA">
      <w:pPr>
        <w:pStyle w:val="BodyText"/>
        <w:rPr>
          <w:i/>
        </w:rPr>
      </w:pPr>
      <w:r w:rsidRPr="0092498F">
        <w:t>Under the Kiribati Adaptation Program II (implemented by the World Bank), Australian funds are helping to protect the quality of scarce freshwater supplies. Population pressures and associated pollution of grou</w:t>
      </w:r>
      <w:r w:rsidRPr="00A23258">
        <w:t>ndwater, a</w:t>
      </w:r>
      <w:r w:rsidR="00EE0F60">
        <w:t>s well as</w:t>
      </w:r>
      <w:r w:rsidRPr="00A23258">
        <w:t xml:space="preserve"> salt-water intrusion, are putting water supplies at risk. </w:t>
      </w:r>
      <w:r w:rsidR="00EE0F60">
        <w:t>Through the</w:t>
      </w:r>
      <w:r w:rsidR="00EE0F60" w:rsidRPr="00A23258">
        <w:t xml:space="preserve"> </w:t>
      </w:r>
      <w:r w:rsidRPr="00A23258">
        <w:t>project</w:t>
      </w:r>
      <w:r w:rsidR="007846F3">
        <w:t>,</w:t>
      </w:r>
      <w:r w:rsidR="00EE0F60">
        <w:t xml:space="preserve"> </w:t>
      </w:r>
      <w:r w:rsidR="00EE0F60" w:rsidRPr="00A23258">
        <w:t>hydrological data</w:t>
      </w:r>
      <w:r w:rsidRPr="00A23258">
        <w:t xml:space="preserve"> has </w:t>
      </w:r>
      <w:r w:rsidR="00EE0F60">
        <w:t xml:space="preserve">been </w:t>
      </w:r>
      <w:r w:rsidRPr="00A23258">
        <w:t>produced</w:t>
      </w:r>
      <w:r w:rsidR="007846F3">
        <w:t>,</w:t>
      </w:r>
      <w:r w:rsidRPr="00A23258">
        <w:t xml:space="preserve"> analysed</w:t>
      </w:r>
      <w:r w:rsidR="007846F3">
        <w:t xml:space="preserve"> and</w:t>
      </w:r>
      <w:r w:rsidR="00EE0F60">
        <w:t xml:space="preserve"> used to inform</w:t>
      </w:r>
      <w:r w:rsidRPr="00A23258">
        <w:t xml:space="preserve"> changes in environmental policy, land use planning and sanitation in </w:t>
      </w:r>
      <w:smartTag w:uri="urn:schemas-microsoft-com:office:smarttags" w:element="place">
        <w:r w:rsidRPr="00A23258">
          <w:t>Tarawa</w:t>
        </w:r>
      </w:smartTag>
      <w:r w:rsidRPr="00A23258">
        <w:t>.</w:t>
      </w:r>
      <w:r w:rsidR="003B708B" w:rsidRPr="00A23258">
        <w:rPr>
          <w:i/>
        </w:rPr>
        <w:t xml:space="preserve"> </w:t>
      </w:r>
    </w:p>
    <w:p w:rsidR="00C830FB" w:rsidRDefault="00C830FB" w:rsidP="00BE48AA">
      <w:pPr>
        <w:pStyle w:val="Heading1"/>
        <w:spacing w:after="0"/>
        <w:ind w:left="0"/>
      </w:pPr>
      <w:bookmarkStart w:id="25" w:name="_Toc360718778"/>
      <w:r>
        <w:t>Q</w:t>
      </w:r>
      <w:r w:rsidRPr="00C07044">
        <w:t xml:space="preserve">uality of </w:t>
      </w:r>
      <w:r>
        <w:t>aid a</w:t>
      </w:r>
      <w:r w:rsidRPr="00C07044">
        <w:t>ctivities</w:t>
      </w:r>
      <w:bookmarkEnd w:id="25"/>
    </w:p>
    <w:p w:rsidR="00BC51AA" w:rsidRPr="00C830FB" w:rsidRDefault="00BC51AA" w:rsidP="00BE48AA">
      <w:pPr>
        <w:pStyle w:val="Heading2"/>
        <w:spacing w:before="200"/>
        <w:ind w:left="0"/>
      </w:pPr>
      <w:bookmarkStart w:id="26" w:name="_Toc360718779"/>
      <w:r w:rsidRPr="00C830FB">
        <w:t xml:space="preserve">The </w:t>
      </w:r>
      <w:r w:rsidR="00744446">
        <w:t xml:space="preserve">bilateral </w:t>
      </w:r>
      <w:r w:rsidRPr="00C830FB">
        <w:t>relationship</w:t>
      </w:r>
      <w:bookmarkEnd w:id="26"/>
    </w:p>
    <w:p w:rsidR="00BC51AA" w:rsidRPr="00A23258" w:rsidRDefault="00BC51AA" w:rsidP="00BE48AA">
      <w:pPr>
        <w:pStyle w:val="BodyText"/>
      </w:pPr>
      <w:r w:rsidRPr="00C830FB">
        <w:t xml:space="preserve">The bilateral relationship </w:t>
      </w:r>
      <w:r w:rsidR="00165A8B" w:rsidRPr="00C830FB">
        <w:t>ha</w:t>
      </w:r>
      <w:r w:rsidR="001B386A">
        <w:t>s</w:t>
      </w:r>
      <w:r w:rsidR="00165A8B" w:rsidRPr="00C830FB">
        <w:t xml:space="preserve"> </w:t>
      </w:r>
      <w:r w:rsidRPr="00C830FB">
        <w:t xml:space="preserve">deepened and matured over the life of the </w:t>
      </w:r>
      <w:r w:rsidR="00165A8B">
        <w:t>P</w:t>
      </w:r>
      <w:r w:rsidRPr="00C830FB">
        <w:t>artnership</w:t>
      </w:r>
      <w:r w:rsidR="00D05514" w:rsidRPr="00C830FB">
        <w:t>, with AusAID’s greater focus on key government priorities appreciated</w:t>
      </w:r>
      <w:r w:rsidRPr="00C830FB">
        <w:t xml:space="preserve">. There </w:t>
      </w:r>
      <w:r w:rsidR="003858C6">
        <w:t>was informative, frank and constructive</w:t>
      </w:r>
      <w:r w:rsidRPr="00C830FB">
        <w:t xml:space="preserve"> </w:t>
      </w:r>
      <w:r w:rsidR="003B7C35">
        <w:t>discussion</w:t>
      </w:r>
      <w:r w:rsidR="003B7C35" w:rsidRPr="00C830FB">
        <w:t xml:space="preserve"> </w:t>
      </w:r>
      <w:r w:rsidR="003858C6">
        <w:t xml:space="preserve">and consultation </w:t>
      </w:r>
      <w:r w:rsidRPr="00C830FB">
        <w:t>on implementation matters</w:t>
      </w:r>
      <w:r w:rsidR="007846F3">
        <w:t xml:space="preserve"> </w:t>
      </w:r>
      <w:r w:rsidRPr="00C830FB">
        <w:t>lead</w:t>
      </w:r>
      <w:r w:rsidR="007846F3">
        <w:t xml:space="preserve">ing </w:t>
      </w:r>
      <w:r w:rsidRPr="00C830FB">
        <w:t>up to the Partnership Talks</w:t>
      </w:r>
      <w:r w:rsidR="003B7C35">
        <w:t>—</w:t>
      </w:r>
      <w:r w:rsidR="003B7C35" w:rsidRPr="00C830FB">
        <w:t xml:space="preserve">on </w:t>
      </w:r>
      <w:r w:rsidR="003B7C35" w:rsidRPr="00A23258">
        <w:t xml:space="preserve">higher-level issues </w:t>
      </w:r>
      <w:r w:rsidR="00BA78F3">
        <w:t>not</w:t>
      </w:r>
      <w:r w:rsidR="003B7C35" w:rsidRPr="00A23258">
        <w:t xml:space="preserve"> often given a platform</w:t>
      </w:r>
      <w:r w:rsidRPr="00A23258">
        <w:t>.</w:t>
      </w:r>
    </w:p>
    <w:p w:rsidR="001B0D8C" w:rsidRPr="00A23258" w:rsidRDefault="001B0D8C" w:rsidP="00BE48AA">
      <w:pPr>
        <w:pStyle w:val="BodyText"/>
      </w:pPr>
      <w:r w:rsidRPr="00A23258">
        <w:rPr>
          <w:rFonts w:cs="Arial"/>
        </w:rPr>
        <w:t xml:space="preserve">At the </w:t>
      </w:r>
      <w:r w:rsidR="003858C6">
        <w:rPr>
          <w:rFonts w:cs="Arial"/>
        </w:rPr>
        <w:t>t</w:t>
      </w:r>
      <w:r w:rsidRPr="00A23258">
        <w:rPr>
          <w:rFonts w:cs="Arial"/>
        </w:rPr>
        <w:t xml:space="preserve">alks, it was agreed </w:t>
      </w:r>
      <w:r w:rsidR="003858C6">
        <w:rPr>
          <w:rFonts w:cs="Arial"/>
        </w:rPr>
        <w:t>to enhance</w:t>
      </w:r>
      <w:r w:rsidRPr="00A23258">
        <w:rPr>
          <w:rFonts w:cs="Arial"/>
        </w:rPr>
        <w:t xml:space="preserve"> </w:t>
      </w:r>
      <w:r w:rsidRPr="00A23258">
        <w:t xml:space="preserve">policy </w:t>
      </w:r>
      <w:r w:rsidR="003B7C35">
        <w:t>discussions</w:t>
      </w:r>
      <w:r w:rsidR="003B7C35" w:rsidRPr="00A23258">
        <w:t xml:space="preserve"> </w:t>
      </w:r>
      <w:r w:rsidRPr="00A23258">
        <w:t>between the</w:t>
      </w:r>
      <w:r w:rsidR="00BA78F3">
        <w:t xml:space="preserve"> two governments</w:t>
      </w:r>
      <w:r w:rsidRPr="00A23258">
        <w:t xml:space="preserve"> through </w:t>
      </w:r>
      <w:r w:rsidRPr="00A23258">
        <w:rPr>
          <w:rFonts w:cs="Arial"/>
        </w:rPr>
        <w:t xml:space="preserve">greater AusAID </w:t>
      </w:r>
      <w:r w:rsidR="00BA78F3">
        <w:t>involvement</w:t>
      </w:r>
      <w:r w:rsidRPr="00A23258">
        <w:t xml:space="preserve"> in </w:t>
      </w:r>
      <w:smartTag w:uri="urn:schemas-microsoft-com:office:smarttags" w:element="place">
        <w:smartTag w:uri="urn:schemas-microsoft-com:office:smarttags" w:element="country-region">
          <w:r w:rsidR="00BA78F3">
            <w:t>Kiribati</w:t>
          </w:r>
        </w:smartTag>
      </w:smartTag>
      <w:r w:rsidR="000572D7">
        <w:t>’</w:t>
      </w:r>
      <w:r w:rsidR="00BA78F3">
        <w:t>s</w:t>
      </w:r>
      <w:r w:rsidRPr="00A23258">
        <w:t xml:space="preserve"> budgetary process and </w:t>
      </w:r>
      <w:r w:rsidR="003B7C35">
        <w:t>m</w:t>
      </w:r>
      <w:r w:rsidRPr="00A23258">
        <w:t xml:space="preserve">inistry </w:t>
      </w:r>
      <w:r w:rsidR="003B7C35">
        <w:t>o</w:t>
      </w:r>
      <w:r w:rsidRPr="00A23258">
        <w:t xml:space="preserve">perational </w:t>
      </w:r>
      <w:r w:rsidR="003B7C35">
        <w:t>p</w:t>
      </w:r>
      <w:r w:rsidRPr="00A23258">
        <w:t>lan</w:t>
      </w:r>
      <w:r w:rsidR="00BA78F3">
        <w:t xml:space="preserve"> development</w:t>
      </w:r>
      <w:r w:rsidRPr="00A23258">
        <w:t xml:space="preserve">. AusAID </w:t>
      </w:r>
      <w:r w:rsidR="003858C6">
        <w:t>will</w:t>
      </w:r>
      <w:r w:rsidRPr="00A23258">
        <w:t xml:space="preserve"> </w:t>
      </w:r>
      <w:r w:rsidR="00BA78F3">
        <w:t>also regularly update</w:t>
      </w:r>
      <w:r w:rsidRPr="00A23258">
        <w:t xml:space="preserve"> GOK on program expenditure</w:t>
      </w:r>
      <w:r w:rsidR="00BA78F3">
        <w:t>,</w:t>
      </w:r>
      <w:r w:rsidRPr="00A23258">
        <w:t xml:space="preserve"> to ensure full and effective </w:t>
      </w:r>
      <w:r w:rsidR="003B7C35">
        <w:t>use</w:t>
      </w:r>
      <w:r w:rsidR="003B7C35" w:rsidRPr="00A23258">
        <w:t xml:space="preserve"> </w:t>
      </w:r>
      <w:r w:rsidRPr="00A23258">
        <w:t>of funds.</w:t>
      </w:r>
    </w:p>
    <w:p w:rsidR="00BC51AA" w:rsidRPr="00C830FB" w:rsidRDefault="00BC51AA" w:rsidP="00C830FB">
      <w:pPr>
        <w:pStyle w:val="Heading2"/>
        <w:ind w:left="0"/>
      </w:pPr>
      <w:bookmarkStart w:id="27" w:name="_Toc360718780"/>
      <w:r w:rsidRPr="00C830FB">
        <w:t xml:space="preserve">Towards real development outcomes: </w:t>
      </w:r>
      <w:smartTag w:uri="urn:schemas-microsoft-com:office:smarttags" w:element="PersonName">
        <w:r w:rsidRPr="00C830FB">
          <w:t>clarity</w:t>
        </w:r>
      </w:smartTag>
      <w:r w:rsidRPr="00C830FB">
        <w:t xml:space="preserve"> over strategy</w:t>
      </w:r>
      <w:bookmarkEnd w:id="27"/>
    </w:p>
    <w:p w:rsidR="00BC51AA" w:rsidRPr="00C830FB" w:rsidRDefault="00BA78F3" w:rsidP="00BE48AA">
      <w:pPr>
        <w:pStyle w:val="BodyText"/>
      </w:pPr>
      <w:r>
        <w:t>T</w:t>
      </w:r>
      <w:r w:rsidR="00BC51AA" w:rsidRPr="00C830FB">
        <w:t>he</w:t>
      </w:r>
      <w:r w:rsidR="00406327">
        <w:t xml:space="preserve"> Partnership Talks </w:t>
      </w:r>
      <w:r w:rsidR="00D05514" w:rsidRPr="00C830FB">
        <w:t xml:space="preserve">focused on the extent to which </w:t>
      </w:r>
      <w:smartTag w:uri="urn:schemas-microsoft-com:office:smarttags" w:element="country-region">
        <w:r w:rsidR="001B386A">
          <w:t>Australia</w:t>
        </w:r>
      </w:smartTag>
      <w:r w:rsidR="001B386A">
        <w:t xml:space="preserve"> and </w:t>
      </w:r>
      <w:smartTag w:uri="urn:schemas-microsoft-com:office:smarttags" w:element="place">
        <w:smartTag w:uri="urn:schemas-microsoft-com:office:smarttags" w:element="country-region">
          <w:r w:rsidR="001B386A">
            <w:t>Kiribati</w:t>
          </w:r>
        </w:smartTag>
      </w:smartTag>
      <w:r w:rsidR="001B386A">
        <w:t xml:space="preserve"> </w:t>
      </w:r>
      <w:r w:rsidR="00D05514" w:rsidRPr="00C830FB">
        <w:t xml:space="preserve">are on track </w:t>
      </w:r>
      <w:r w:rsidR="0006442B">
        <w:br/>
      </w:r>
      <w:r w:rsidR="00D05514" w:rsidRPr="00C830FB">
        <w:t xml:space="preserve">to achieve agreed priority outcomes within the current </w:t>
      </w:r>
      <w:r w:rsidR="00234A93">
        <w:t>10</w:t>
      </w:r>
      <w:r w:rsidR="00D05514" w:rsidRPr="00C830FB">
        <w:t xml:space="preserve">-year planning period of </w:t>
      </w:r>
      <w:r w:rsidR="0006442B">
        <w:br/>
      </w:r>
      <w:r w:rsidR="00D05514" w:rsidRPr="00C830FB">
        <w:t>the Partnership</w:t>
      </w:r>
      <w:r w:rsidR="00BC51AA" w:rsidRPr="00C830FB">
        <w:t>.</w:t>
      </w:r>
    </w:p>
    <w:p w:rsidR="00BC51AA" w:rsidRPr="00C830FB" w:rsidRDefault="00BA78F3" w:rsidP="00A16C78">
      <w:pPr>
        <w:pStyle w:val="BodyText"/>
      </w:pPr>
      <w:r>
        <w:t>At the talks, some</w:t>
      </w:r>
      <w:r w:rsidR="00BC51AA" w:rsidRPr="00C830FB">
        <w:t xml:space="preserve"> </w:t>
      </w:r>
      <w:r w:rsidR="000572D7">
        <w:t xml:space="preserve">participants </w:t>
      </w:r>
      <w:r w:rsidR="003858C6">
        <w:t>questioned</w:t>
      </w:r>
      <w:r>
        <w:t xml:space="preserve"> </w:t>
      </w:r>
      <w:r w:rsidR="00BC51AA" w:rsidRPr="00C830FB">
        <w:t xml:space="preserve">the extent to which donors </w:t>
      </w:r>
      <w:r w:rsidR="003858C6">
        <w:t>are</w:t>
      </w:r>
      <w:r w:rsidR="00406327">
        <w:t xml:space="preserve"> </w:t>
      </w:r>
      <w:r w:rsidR="00BC51AA" w:rsidRPr="00C830FB">
        <w:t xml:space="preserve">tackling </w:t>
      </w:r>
      <w:smartTag w:uri="urn:schemas-microsoft-com:office:smarttags" w:element="place">
        <w:smartTag w:uri="urn:schemas-microsoft-com:office:smarttags" w:element="country-region">
          <w:r w:rsidR="003858C6">
            <w:t>Kiribati</w:t>
          </w:r>
        </w:smartTag>
      </w:smartTag>
      <w:r w:rsidR="00B04784">
        <w:t>’</w:t>
      </w:r>
      <w:r w:rsidR="003858C6">
        <w:t>s</w:t>
      </w:r>
      <w:r w:rsidR="00BC51AA" w:rsidRPr="00C830FB">
        <w:t xml:space="preserve"> constraints</w:t>
      </w:r>
      <w:r w:rsidR="000572D7">
        <w:t>. Some expressed frustration</w:t>
      </w:r>
      <w:r w:rsidR="00BC51AA" w:rsidRPr="00C830FB">
        <w:t xml:space="preserve"> </w:t>
      </w:r>
      <w:r w:rsidR="00D05514" w:rsidRPr="00C830FB">
        <w:t xml:space="preserve">with the inefficiencies, high transactions costs </w:t>
      </w:r>
      <w:r w:rsidR="00D05514" w:rsidRPr="00C830FB">
        <w:lastRenderedPageBreak/>
        <w:t>(particularly in terms of counterpart staff time) and lack of sustainability of much of the donor effort</w:t>
      </w:r>
      <w:r w:rsidR="00406327">
        <w:t>. T</w:t>
      </w:r>
      <w:r w:rsidR="003E4B7C">
        <w:t>echnical assistance (T</w:t>
      </w:r>
      <w:r w:rsidR="00406327">
        <w:t>A</w:t>
      </w:r>
      <w:r w:rsidR="003E4B7C">
        <w:t>)</w:t>
      </w:r>
      <w:r w:rsidR="000572D7">
        <w:t xml:space="preserve"> was also raised, as was</w:t>
      </w:r>
      <w:r w:rsidR="00406327">
        <w:t xml:space="preserve"> </w:t>
      </w:r>
      <w:r w:rsidR="00B04784">
        <w:t>the</w:t>
      </w:r>
      <w:r w:rsidR="00BC51AA" w:rsidRPr="00C830FB">
        <w:t xml:space="preserve"> separation between </w:t>
      </w:r>
      <w:r w:rsidR="00406327">
        <w:t>a</w:t>
      </w:r>
      <w:r w:rsidR="00406327" w:rsidRPr="00C830FB">
        <w:t xml:space="preserve"> </w:t>
      </w:r>
      <w:r w:rsidR="00BC51AA" w:rsidRPr="00C830FB">
        <w:t>donor’s ‘project’ and the government’s ‘program’.</w:t>
      </w:r>
    </w:p>
    <w:p w:rsidR="00BC51AA" w:rsidRPr="00C830FB" w:rsidRDefault="00406327" w:rsidP="00A16C78">
      <w:pPr>
        <w:pStyle w:val="BodyText"/>
      </w:pPr>
      <w:r w:rsidRPr="00C830FB">
        <w:t>Th</w:t>
      </w:r>
      <w:r>
        <w:t>ese concerns</w:t>
      </w:r>
      <w:r w:rsidRPr="00C830FB">
        <w:t xml:space="preserve"> </w:t>
      </w:r>
      <w:r w:rsidR="00BC51AA" w:rsidRPr="00C830FB">
        <w:t>led to</w:t>
      </w:r>
      <w:r w:rsidR="000572D7">
        <w:t xml:space="preserve"> substantial</w:t>
      </w:r>
      <w:r w:rsidR="00BC51AA" w:rsidRPr="00C830FB">
        <w:t xml:space="preserve"> discussion around strategy</w:t>
      </w:r>
      <w:r w:rsidR="00F30B1D">
        <w:t>—</w:t>
      </w:r>
      <w:r w:rsidR="00BC51AA" w:rsidRPr="00C830FB">
        <w:t xml:space="preserve">‘doing the right thing in the right place at the right time’ to achieve higher-level development objectives. </w:t>
      </w:r>
      <w:r>
        <w:t>It</w:t>
      </w:r>
      <w:r w:rsidRPr="00C830FB">
        <w:t xml:space="preserve"> </w:t>
      </w:r>
      <w:r w:rsidR="00BC51AA" w:rsidRPr="00C830FB">
        <w:t>was agree</w:t>
      </w:r>
      <w:r>
        <w:t>d</w:t>
      </w:r>
      <w:r w:rsidR="00BC51AA" w:rsidRPr="00C830FB">
        <w:t xml:space="preserve"> that:</w:t>
      </w:r>
    </w:p>
    <w:p w:rsidR="00BC51AA" w:rsidRPr="00C830FB" w:rsidRDefault="000572D7" w:rsidP="00A16C78">
      <w:pPr>
        <w:pStyle w:val="ListNumber"/>
      </w:pPr>
      <w:r>
        <w:t>GOK</w:t>
      </w:r>
      <w:r w:rsidR="00BC51AA" w:rsidRPr="00C830FB">
        <w:t xml:space="preserve"> needs to </w:t>
      </w:r>
      <w:r>
        <w:t xml:space="preserve">more clearly </w:t>
      </w:r>
      <w:r w:rsidR="00BC51AA" w:rsidRPr="00C830FB">
        <w:t xml:space="preserve">articulate </w:t>
      </w:r>
      <w:r>
        <w:t>its</w:t>
      </w:r>
      <w:r w:rsidR="00BC51AA" w:rsidRPr="00C830FB">
        <w:t xml:space="preserve"> strategies for </w:t>
      </w:r>
      <w:r>
        <w:t>taking</w:t>
      </w:r>
      <w:r w:rsidR="00BC51AA" w:rsidRPr="00C830FB">
        <w:t xml:space="preserve"> forward the Kiribati Development Plan, particularly at ministry-level, accepting that</w:t>
      </w:r>
      <w:r w:rsidR="00B04784">
        <w:t xml:space="preserve"> this</w:t>
      </w:r>
      <w:r w:rsidR="00BC51AA" w:rsidRPr="00C830FB">
        <w:t xml:space="preserve"> </w:t>
      </w:r>
      <w:r>
        <w:t>requires</w:t>
      </w:r>
      <w:r w:rsidR="00BC51AA" w:rsidRPr="00C830FB">
        <w:t xml:space="preserve"> making difficult policy and public expenditure choices</w:t>
      </w:r>
      <w:r>
        <w:t xml:space="preserve"> and</w:t>
      </w:r>
      <w:r w:rsidR="00406327" w:rsidRPr="00C830FB">
        <w:t xml:space="preserve"> </w:t>
      </w:r>
      <w:r w:rsidR="00234A93">
        <w:t xml:space="preserve">ensuring </w:t>
      </w:r>
      <w:r w:rsidR="00BC51AA" w:rsidRPr="00C830FB">
        <w:t>better aid coordination. Not all ministries have coherent sector plans</w:t>
      </w:r>
      <w:r w:rsidR="00406327">
        <w:t xml:space="preserve"> </w:t>
      </w:r>
      <w:r w:rsidR="00BC51AA" w:rsidRPr="00C830FB">
        <w:t xml:space="preserve">or </w:t>
      </w:r>
      <w:r>
        <w:t>understand</w:t>
      </w:r>
      <w:r w:rsidR="00BC51AA" w:rsidRPr="00C830FB">
        <w:t xml:space="preserve"> the</w:t>
      </w:r>
      <w:r>
        <w:t xml:space="preserve"> challenge</w:t>
      </w:r>
      <w:r w:rsidR="00B04784">
        <w:t>s</w:t>
      </w:r>
      <w:r>
        <w:t xml:space="preserve"> so GOK asked for help</w:t>
      </w:r>
      <w:r w:rsidR="00BC51AA" w:rsidRPr="00C830FB">
        <w:t xml:space="preserve">. </w:t>
      </w:r>
      <w:r w:rsidR="00391333">
        <w:t>It was agreed that s</w:t>
      </w:r>
      <w:r w:rsidR="00452E10">
        <w:t>trategies</w:t>
      </w:r>
      <w:r w:rsidR="00BC51AA" w:rsidRPr="00C830FB">
        <w:t xml:space="preserve"> need to </w:t>
      </w:r>
      <w:r w:rsidR="00391333">
        <w:t xml:space="preserve">be </w:t>
      </w:r>
      <w:r w:rsidR="003E4B7C">
        <w:t xml:space="preserve">based on </w:t>
      </w:r>
      <w:r w:rsidR="00391333">
        <w:t xml:space="preserve">more than the </w:t>
      </w:r>
      <w:r w:rsidR="00BC51AA" w:rsidRPr="00C830FB">
        <w:t xml:space="preserve">familiar </w:t>
      </w:r>
      <w:r w:rsidR="0095313F">
        <w:t>‘</w:t>
      </w:r>
      <w:r w:rsidR="00BC51AA" w:rsidRPr="00C830FB">
        <w:t>externally-conceived lists of projects</w:t>
      </w:r>
      <w:r w:rsidR="0095313F">
        <w:t>’</w:t>
      </w:r>
      <w:r w:rsidR="00391333">
        <w:t>. They need to</w:t>
      </w:r>
      <w:r w:rsidR="00BC51AA" w:rsidRPr="00C830FB">
        <w:t xml:space="preserve"> articulate</w:t>
      </w:r>
      <w:r w:rsidR="00391333">
        <w:t>:</w:t>
      </w:r>
      <w:r w:rsidR="00BC51AA" w:rsidRPr="00C830FB">
        <w:t xml:space="preserve"> what change is needed in policy, regulation, public investment and expenditure</w:t>
      </w:r>
      <w:r w:rsidR="00452E10">
        <w:t>; what</w:t>
      </w:r>
      <w:r w:rsidR="00BC51AA" w:rsidRPr="00C830FB">
        <w:t xml:space="preserve"> approaches</w:t>
      </w:r>
      <w:r w:rsidR="00452E10">
        <w:t xml:space="preserve"> are needed for</w:t>
      </w:r>
      <w:r w:rsidR="00BC51AA" w:rsidRPr="00C830FB">
        <w:t xml:space="preserve"> service delivery</w:t>
      </w:r>
      <w:r w:rsidR="00452E10">
        <w:t xml:space="preserve">; </w:t>
      </w:r>
      <w:r w:rsidR="00391333">
        <w:t xml:space="preserve">and </w:t>
      </w:r>
      <w:r w:rsidR="00452E10">
        <w:t>how implementation</w:t>
      </w:r>
      <w:r w:rsidR="00BC51AA" w:rsidRPr="00C830FB">
        <w:t xml:space="preserve"> will be funded.</w:t>
      </w:r>
    </w:p>
    <w:p w:rsidR="00BC51AA" w:rsidRPr="00C830FB" w:rsidRDefault="00452E10" w:rsidP="00A16C78">
      <w:pPr>
        <w:pStyle w:val="ListNumber"/>
      </w:pPr>
      <w:r>
        <w:t>D</w:t>
      </w:r>
      <w:r w:rsidR="00BC51AA" w:rsidRPr="00C830FB">
        <w:t xml:space="preserve">onors need to </w:t>
      </w:r>
      <w:r>
        <w:t>build</w:t>
      </w:r>
      <w:r w:rsidRPr="00C830FB">
        <w:t xml:space="preserve"> </w:t>
      </w:r>
      <w:r w:rsidR="00BC51AA" w:rsidRPr="00C830FB">
        <w:t xml:space="preserve">a more robust understanding of government policy and strategy, </w:t>
      </w:r>
      <w:r w:rsidR="00391333">
        <w:t>to</w:t>
      </w:r>
      <w:r>
        <w:t xml:space="preserve"> better align and support work</w:t>
      </w:r>
      <w:r w:rsidR="00BC51AA" w:rsidRPr="00C830FB">
        <w:t xml:space="preserve">. </w:t>
      </w:r>
      <w:r>
        <w:t>This</w:t>
      </w:r>
      <w:r w:rsidRPr="00C830FB">
        <w:t xml:space="preserve"> </w:t>
      </w:r>
      <w:r w:rsidR="00BC51AA" w:rsidRPr="00C830FB">
        <w:t xml:space="preserve">requires </w:t>
      </w:r>
      <w:r w:rsidR="00391333">
        <w:t>GOK</w:t>
      </w:r>
      <w:r w:rsidRPr="00C830FB">
        <w:t xml:space="preserve"> </w:t>
      </w:r>
      <w:r w:rsidR="00BC51AA" w:rsidRPr="00C830FB">
        <w:t>to be transparent</w:t>
      </w:r>
      <w:r>
        <w:t xml:space="preserve"> about</w:t>
      </w:r>
      <w:r w:rsidR="00BC51AA" w:rsidRPr="00C830FB">
        <w:t xml:space="preserve"> and communicat</w:t>
      </w:r>
      <w:r>
        <w:t>e</w:t>
      </w:r>
      <w:r w:rsidR="00BC51AA" w:rsidRPr="00C830FB">
        <w:t xml:space="preserve"> strategy, internally and externally</w:t>
      </w:r>
      <w:r>
        <w:t>. It also requires</w:t>
      </w:r>
      <w:r w:rsidR="00BC51AA" w:rsidRPr="00C830FB">
        <w:t xml:space="preserve"> donors to invest in a level and quality of </w:t>
      </w:r>
      <w:r>
        <w:t>discussion</w:t>
      </w:r>
      <w:r w:rsidRPr="00C830FB">
        <w:t xml:space="preserve"> </w:t>
      </w:r>
      <w:r w:rsidR="00BC51AA" w:rsidRPr="00C830FB">
        <w:t xml:space="preserve">and co-analysis that will allow them to follow </w:t>
      </w:r>
      <w:r w:rsidR="00D93CF9">
        <w:br/>
      </w:r>
      <w:r w:rsidR="0063062A">
        <w:t>the strategy</w:t>
      </w:r>
      <w:r w:rsidR="00BC51AA" w:rsidRPr="00C830FB">
        <w:t xml:space="preserve">. </w:t>
      </w:r>
    </w:p>
    <w:p w:rsidR="00BC51AA" w:rsidRPr="00C830FB" w:rsidRDefault="00452E10" w:rsidP="00A16C78">
      <w:pPr>
        <w:pStyle w:val="ListNumber"/>
      </w:pPr>
      <w:r>
        <w:t>D</w:t>
      </w:r>
      <w:r w:rsidR="00BC51AA" w:rsidRPr="00C830FB">
        <w:t>onors need to move more quickly</w:t>
      </w:r>
      <w:r>
        <w:t xml:space="preserve"> </w:t>
      </w:r>
      <w:r w:rsidR="00391333">
        <w:t>to</w:t>
      </w:r>
      <w:r w:rsidR="00BC51AA" w:rsidRPr="00C830FB">
        <w:t xml:space="preserve"> translat</w:t>
      </w:r>
      <w:r w:rsidR="00391333">
        <w:t>e</w:t>
      </w:r>
      <w:r w:rsidR="00BC51AA" w:rsidRPr="00C830FB">
        <w:t xml:space="preserve"> plans into on</w:t>
      </w:r>
      <w:r w:rsidR="00391333">
        <w:t>-</w:t>
      </w:r>
      <w:r w:rsidR="00BC51AA" w:rsidRPr="00C830FB">
        <w:t>the</w:t>
      </w:r>
      <w:r w:rsidR="00391333">
        <w:t>-</w:t>
      </w:r>
      <w:r w:rsidR="00BC51AA" w:rsidRPr="00C830FB">
        <w:t>ground</w:t>
      </w:r>
      <w:r w:rsidR="00391333">
        <w:t xml:space="preserve"> </w:t>
      </w:r>
      <w:r w:rsidR="00BC51AA" w:rsidRPr="00C830FB">
        <w:t xml:space="preserve">action, </w:t>
      </w:r>
      <w:r w:rsidR="0006442B">
        <w:br/>
      </w:r>
      <w:r>
        <w:t>while</w:t>
      </w:r>
      <w:r w:rsidRPr="00C830FB">
        <w:t xml:space="preserve"> </w:t>
      </w:r>
      <w:r w:rsidR="00BC51AA" w:rsidRPr="00C830FB">
        <w:t>recognising the constraint</w:t>
      </w:r>
      <w:r>
        <w:t xml:space="preserve">s </w:t>
      </w:r>
      <w:r w:rsidR="0063062A" w:rsidRPr="00C830FB">
        <w:t>that G</w:t>
      </w:r>
      <w:r w:rsidR="0063062A">
        <w:t>O</w:t>
      </w:r>
      <w:r w:rsidR="0063062A" w:rsidRPr="00C830FB">
        <w:t xml:space="preserve">K faces in </w:t>
      </w:r>
      <w:r w:rsidR="00BC51AA" w:rsidRPr="00C830FB">
        <w:t>managing and following multiple</w:t>
      </w:r>
      <w:r w:rsidR="00391333">
        <w:t>-</w:t>
      </w:r>
      <w:r w:rsidR="00BC51AA" w:rsidRPr="00C830FB">
        <w:t>donor programs.</w:t>
      </w:r>
    </w:p>
    <w:p w:rsidR="00BC51AA" w:rsidRPr="00C830FB" w:rsidRDefault="00BC51AA" w:rsidP="00A16C78">
      <w:pPr>
        <w:pStyle w:val="BodyText"/>
      </w:pPr>
      <w:r w:rsidRPr="00C830FB">
        <w:t xml:space="preserve">But </w:t>
      </w:r>
      <w:r w:rsidR="00452E10">
        <w:t xml:space="preserve">moving towards real development outcomes </w:t>
      </w:r>
      <w:r w:rsidR="00F30B1D">
        <w:t>is not</w:t>
      </w:r>
      <w:r w:rsidR="00452E10">
        <w:t>,</w:t>
      </w:r>
      <w:r w:rsidR="00F30B1D" w:rsidRPr="00C830FB">
        <w:t xml:space="preserve"> </w:t>
      </w:r>
      <w:r w:rsidRPr="00C830FB">
        <w:t xml:space="preserve">and </w:t>
      </w:r>
      <w:r w:rsidR="00F30B1D">
        <w:t>cannot</w:t>
      </w:r>
      <w:r w:rsidR="00F30B1D" w:rsidRPr="00C830FB">
        <w:t xml:space="preserve"> </w:t>
      </w:r>
      <w:r w:rsidR="00452E10">
        <w:t xml:space="preserve">be, </w:t>
      </w:r>
      <w:r w:rsidRPr="00C830FB">
        <w:t xml:space="preserve">all about government. </w:t>
      </w:r>
      <w:r w:rsidR="00391333">
        <w:t xml:space="preserve">At the talks, </w:t>
      </w:r>
      <w:r w:rsidRPr="00C830FB">
        <w:t>G</w:t>
      </w:r>
      <w:r w:rsidR="00F44AAF">
        <w:t>O</w:t>
      </w:r>
      <w:r w:rsidRPr="00C830FB">
        <w:t xml:space="preserve">K </w:t>
      </w:r>
      <w:r w:rsidR="00672F25">
        <w:t>stressed</w:t>
      </w:r>
      <w:r w:rsidRPr="00C830FB">
        <w:t xml:space="preserve"> the role </w:t>
      </w:r>
      <w:r w:rsidR="00391333">
        <w:t xml:space="preserve">that </w:t>
      </w:r>
      <w:r w:rsidRPr="00C830FB">
        <w:t>civil society</w:t>
      </w:r>
      <w:r w:rsidR="00F44AAF">
        <w:t>,</w:t>
      </w:r>
      <w:r w:rsidRPr="00C830FB">
        <w:t xml:space="preserve"> in particular</w:t>
      </w:r>
      <w:r w:rsidR="00F44AAF">
        <w:t>,</w:t>
      </w:r>
      <w:r w:rsidRPr="00C830FB">
        <w:t xml:space="preserve"> plays in shaping </w:t>
      </w:r>
      <w:smartTag w:uri="urn:schemas-microsoft-com:office:smarttags" w:element="place">
        <w:smartTag w:uri="urn:schemas-microsoft-com:office:smarttags" w:element="country-region">
          <w:r w:rsidRPr="00C830FB">
            <w:t>Kiribati</w:t>
          </w:r>
        </w:smartTag>
      </w:smartTag>
      <w:r w:rsidRPr="00C830FB">
        <w:t xml:space="preserve"> society and development outcomes. </w:t>
      </w:r>
      <w:r w:rsidR="00391333">
        <w:t>It was agreed to be more strategic in working with</w:t>
      </w:r>
      <w:r w:rsidRPr="00C830FB">
        <w:t xml:space="preserve"> </w:t>
      </w:r>
      <w:r w:rsidR="00744446">
        <w:t>civil society, as well as</w:t>
      </w:r>
      <w:r w:rsidRPr="00C830FB">
        <w:t xml:space="preserve"> </w:t>
      </w:r>
      <w:r w:rsidR="003E4B7C">
        <w:t xml:space="preserve">with </w:t>
      </w:r>
      <w:r w:rsidRPr="00C830FB">
        <w:t>the private sector</w:t>
      </w:r>
      <w:r w:rsidR="00744446">
        <w:t>.</w:t>
      </w:r>
      <w:r w:rsidRPr="00C830FB">
        <w:t xml:space="preserve"> (</w:t>
      </w:r>
      <w:r w:rsidR="00744446">
        <w:t xml:space="preserve">Note: </w:t>
      </w:r>
      <w:r w:rsidRPr="00C830FB">
        <w:t>This may be relevan</w:t>
      </w:r>
      <w:r w:rsidR="00672F25">
        <w:t>t</w:t>
      </w:r>
      <w:r w:rsidRPr="00C830FB">
        <w:t xml:space="preserve"> </w:t>
      </w:r>
      <w:r w:rsidR="00672F25">
        <w:t>to</w:t>
      </w:r>
      <w:r w:rsidRPr="00C830FB">
        <w:t xml:space="preserve"> some key </w:t>
      </w:r>
      <w:r w:rsidR="00165A8B">
        <w:t>P</w:t>
      </w:r>
      <w:r w:rsidRPr="00C830FB">
        <w:t>artnership areas, including</w:t>
      </w:r>
      <w:r w:rsidR="00744446">
        <w:t xml:space="preserve"> </w:t>
      </w:r>
      <w:r w:rsidRPr="00C830FB">
        <w:t>education and</w:t>
      </w:r>
      <w:r w:rsidR="00672F25">
        <w:t xml:space="preserve"> </w:t>
      </w:r>
      <w:r w:rsidRPr="00C830FB">
        <w:t>social, human and environmental vulnerabilities.)</w:t>
      </w:r>
    </w:p>
    <w:p w:rsidR="00BC51AA" w:rsidRPr="00C830FB" w:rsidRDefault="00BC51AA" w:rsidP="00C830FB">
      <w:pPr>
        <w:pStyle w:val="Heading2"/>
        <w:ind w:left="0"/>
      </w:pPr>
      <w:bookmarkStart w:id="28" w:name="_Toc360718781"/>
      <w:r w:rsidRPr="00C830FB">
        <w:t xml:space="preserve">Technical </w:t>
      </w:r>
      <w:r w:rsidR="00F30B1D">
        <w:t>a</w:t>
      </w:r>
      <w:r w:rsidRPr="00C830FB">
        <w:t>ssistance</w:t>
      </w:r>
      <w:bookmarkEnd w:id="28"/>
    </w:p>
    <w:p w:rsidR="00BC51AA" w:rsidRPr="00C830FB" w:rsidRDefault="00672F25" w:rsidP="00A16C78">
      <w:pPr>
        <w:pStyle w:val="BodyText"/>
      </w:pPr>
      <w:r>
        <w:t xml:space="preserve">Throughout the Partnership Talks, </w:t>
      </w:r>
      <w:r w:rsidR="00BC51AA" w:rsidRPr="00C830FB">
        <w:t>G</w:t>
      </w:r>
      <w:r w:rsidR="00744446">
        <w:t>O</w:t>
      </w:r>
      <w:r w:rsidR="00BC51AA" w:rsidRPr="00C830FB">
        <w:t xml:space="preserve">K raised the issue of TA, generally expressing reservations about </w:t>
      </w:r>
      <w:r w:rsidR="00BF2E41">
        <w:t>high levels</w:t>
      </w:r>
      <w:r w:rsidR="0063062A">
        <w:t>,</w:t>
      </w:r>
      <w:r w:rsidR="00B04784">
        <w:t xml:space="preserve"> as well as </w:t>
      </w:r>
      <w:r w:rsidR="00BF2E41">
        <w:t xml:space="preserve">how </w:t>
      </w:r>
      <w:r w:rsidR="00B04784">
        <w:t>TA</w:t>
      </w:r>
      <w:r w:rsidR="00BF2E41">
        <w:t xml:space="preserve"> has been provided and whether </w:t>
      </w:r>
      <w:r>
        <w:t>it</w:t>
      </w:r>
      <w:r w:rsidR="00B04784">
        <w:t>s</w:t>
      </w:r>
      <w:r w:rsidR="00BF2E41">
        <w:t xml:space="preserve"> benefits are sustainable.</w:t>
      </w:r>
      <w:r w:rsidR="00BC51AA" w:rsidRPr="00C830FB">
        <w:t xml:space="preserve"> </w:t>
      </w:r>
      <w:r>
        <w:t>It was agreed</w:t>
      </w:r>
      <w:r w:rsidR="00BC51AA" w:rsidRPr="00C830FB">
        <w:t xml:space="preserve"> that TA is </w:t>
      </w:r>
      <w:r>
        <w:t>still</w:t>
      </w:r>
      <w:r w:rsidR="00BC51AA" w:rsidRPr="00C830FB">
        <w:t xml:space="preserve"> needed</w:t>
      </w:r>
      <w:r w:rsidR="0095313F">
        <w:t xml:space="preserve">, but that </w:t>
      </w:r>
      <w:r w:rsidR="00BC51AA" w:rsidRPr="00C830FB">
        <w:t xml:space="preserve">it needs to be </w:t>
      </w:r>
      <w:r>
        <w:t>re-</w:t>
      </w:r>
      <w:r w:rsidR="00BC51AA" w:rsidRPr="00C830FB">
        <w:t>configured.</w:t>
      </w:r>
    </w:p>
    <w:p w:rsidR="009D7F02" w:rsidRDefault="00BC51AA" w:rsidP="00A16C78">
      <w:pPr>
        <w:pStyle w:val="BodyText"/>
      </w:pPr>
      <w:r w:rsidRPr="00C830FB">
        <w:t xml:space="preserve">A critical </w:t>
      </w:r>
      <w:r w:rsidR="00BF2E41">
        <w:t>concern</w:t>
      </w:r>
      <w:r w:rsidR="00BF2E41" w:rsidRPr="00C830FB">
        <w:t xml:space="preserve"> </w:t>
      </w:r>
      <w:r w:rsidRPr="00C830FB">
        <w:t>is th</w:t>
      </w:r>
      <w:r w:rsidR="00BF2E41">
        <w:t>at</w:t>
      </w:r>
      <w:r w:rsidRPr="00C830FB">
        <w:t xml:space="preserve"> high levels of TA make demands on limited counterpart capacity, </w:t>
      </w:r>
      <w:r w:rsidR="001F1633">
        <w:t>but</w:t>
      </w:r>
      <w:r w:rsidR="001F1633" w:rsidRPr="00C830FB">
        <w:t xml:space="preserve"> </w:t>
      </w:r>
      <w:r w:rsidRPr="00C830FB">
        <w:t xml:space="preserve">the input </w:t>
      </w:r>
      <w:r w:rsidR="001F1633">
        <w:t>is</w:t>
      </w:r>
      <w:r w:rsidRPr="00C830FB">
        <w:t xml:space="preserve"> ‘advice’ rather than ‘getting a job done’ or </w:t>
      </w:r>
      <w:r w:rsidR="001F1633">
        <w:t>building sustained capacity</w:t>
      </w:r>
      <w:r w:rsidRPr="00C830FB">
        <w:t>. Too little attention has been paid to embedding new systems and approaches introduced by TA</w:t>
      </w:r>
      <w:r w:rsidR="009D7F02">
        <w:t>.</w:t>
      </w:r>
    </w:p>
    <w:p w:rsidR="00BC51AA" w:rsidRPr="00C830FB" w:rsidRDefault="00334083" w:rsidP="00A16C78">
      <w:pPr>
        <w:pStyle w:val="BodyText"/>
      </w:pPr>
      <w:r>
        <w:t xml:space="preserve">At the talks, </w:t>
      </w:r>
      <w:r w:rsidR="00BC51AA" w:rsidRPr="00C830FB">
        <w:t>G</w:t>
      </w:r>
      <w:r w:rsidR="00672F25">
        <w:t>OK</w:t>
      </w:r>
      <w:r w:rsidR="00BC51AA" w:rsidRPr="00C830FB">
        <w:t xml:space="preserve"> </w:t>
      </w:r>
      <w:r w:rsidR="00672F25">
        <w:t>pointed to</w:t>
      </w:r>
      <w:r w:rsidR="00BC51AA" w:rsidRPr="00C830FB">
        <w:t xml:space="preserve"> the significant pool of able and experienced I-Kiribati </w:t>
      </w:r>
      <w:r w:rsidR="001F1633">
        <w:t>who</w:t>
      </w:r>
      <w:r w:rsidR="001F1633" w:rsidRPr="00C830FB">
        <w:t xml:space="preserve"> </w:t>
      </w:r>
      <w:r w:rsidR="00BC51AA" w:rsidRPr="00C830FB">
        <w:t>could be employed more o</w:t>
      </w:r>
      <w:r w:rsidR="00C80BAC">
        <w:t>ften on donor-funded programs</w:t>
      </w:r>
      <w:r w:rsidR="0063062A">
        <w:t xml:space="preserve"> (with</w:t>
      </w:r>
      <w:r w:rsidR="00C80BAC">
        <w:t xml:space="preserve"> </w:t>
      </w:r>
      <w:r w:rsidR="0063062A">
        <w:t>t</w:t>
      </w:r>
      <w:r w:rsidR="00BC51AA" w:rsidRPr="00C830FB">
        <w:t>he retirement</w:t>
      </w:r>
      <w:r w:rsidR="00C80BAC">
        <w:t xml:space="preserve"> age for public servants </w:t>
      </w:r>
      <w:r w:rsidR="0063062A">
        <w:t xml:space="preserve">being </w:t>
      </w:r>
      <w:r w:rsidR="00C80BAC">
        <w:t>50</w:t>
      </w:r>
      <w:r w:rsidR="0063062A">
        <w:t>)</w:t>
      </w:r>
      <w:r w:rsidR="00C80BAC">
        <w:t>.</w:t>
      </w:r>
      <w:r w:rsidR="00B04784">
        <w:t xml:space="preserve"> </w:t>
      </w:r>
      <w:r w:rsidR="0063062A">
        <w:t>It was</w:t>
      </w:r>
      <w:r w:rsidR="00BC51AA" w:rsidRPr="00C830FB">
        <w:t xml:space="preserve"> concluded that the choice and </w:t>
      </w:r>
      <w:r w:rsidR="001F1633">
        <w:t>method</w:t>
      </w:r>
      <w:r w:rsidR="001F1633" w:rsidRPr="00C830FB">
        <w:t xml:space="preserve"> </w:t>
      </w:r>
      <w:r w:rsidR="00BC51AA" w:rsidRPr="00C830FB">
        <w:t xml:space="preserve">of TA needs to be better targeted to the task: </w:t>
      </w:r>
      <w:r w:rsidR="001F1633">
        <w:t>multiple</w:t>
      </w:r>
      <w:r w:rsidR="001F1633" w:rsidRPr="00C830FB">
        <w:t xml:space="preserve"> </w:t>
      </w:r>
      <w:r w:rsidR="00BC51AA" w:rsidRPr="00C830FB">
        <w:t>short-term visits by</w:t>
      </w:r>
      <w:r w:rsidR="001F1633">
        <w:t xml:space="preserve"> a technical </w:t>
      </w:r>
      <w:r w:rsidR="00EF102D">
        <w:t>consultant</w:t>
      </w:r>
      <w:r w:rsidR="001F1633">
        <w:t xml:space="preserve"> to</w:t>
      </w:r>
      <w:r w:rsidR="00BC51AA" w:rsidRPr="00C830FB">
        <w:t xml:space="preserve"> build knowledge </w:t>
      </w:r>
      <w:r w:rsidR="00EF05F3">
        <w:br/>
      </w:r>
      <w:r w:rsidR="001F1633">
        <w:t>in</w:t>
      </w:r>
      <w:r w:rsidR="001F1633" w:rsidRPr="00C830FB">
        <w:t xml:space="preserve"> </w:t>
      </w:r>
      <w:smartTag w:uri="urn:schemas-microsoft-com:office:smarttags" w:element="place">
        <w:smartTag w:uri="urn:schemas-microsoft-com:office:smarttags" w:element="country-region">
          <w:r w:rsidR="00BC51AA" w:rsidRPr="00C830FB">
            <w:t>Kiribati</w:t>
          </w:r>
        </w:smartTag>
      </w:smartTag>
      <w:r w:rsidR="00BC51AA" w:rsidRPr="00C830FB">
        <w:t xml:space="preserve"> may be more valuable</w:t>
      </w:r>
      <w:r>
        <w:t xml:space="preserve"> than</w:t>
      </w:r>
      <w:r w:rsidR="00BC51AA" w:rsidRPr="00C830FB">
        <w:t>, and create less dependency</w:t>
      </w:r>
      <w:r>
        <w:t xml:space="preserve"> on</w:t>
      </w:r>
      <w:r w:rsidR="00BC51AA" w:rsidRPr="00C830FB">
        <w:t xml:space="preserve">, long-term resident TA. Locally-recruited </w:t>
      </w:r>
      <w:r w:rsidR="001F1633">
        <w:t>experts</w:t>
      </w:r>
      <w:r w:rsidR="001F1633" w:rsidRPr="00C830FB">
        <w:t xml:space="preserve"> </w:t>
      </w:r>
      <w:r w:rsidR="00BC51AA" w:rsidRPr="00C830FB">
        <w:t xml:space="preserve">may be more appropriate for some tasks. Sometimes </w:t>
      </w:r>
      <w:r w:rsidR="00EF102D">
        <w:t xml:space="preserve">consultants </w:t>
      </w:r>
      <w:r w:rsidR="00EF05F3">
        <w:br/>
      </w:r>
      <w:r w:rsidR="00EF102D">
        <w:t>are</w:t>
      </w:r>
      <w:r w:rsidR="00BC51AA" w:rsidRPr="00C830FB">
        <w:t xml:space="preserve"> needed to ‘advise’, but often </w:t>
      </w:r>
      <w:r w:rsidR="00EF102D">
        <w:t>they are</w:t>
      </w:r>
      <w:r w:rsidR="00EF102D" w:rsidRPr="00C830FB">
        <w:t xml:space="preserve"> </w:t>
      </w:r>
      <w:r w:rsidR="00BC51AA" w:rsidRPr="00C830FB">
        <w:t>needed to ‘do’ (</w:t>
      </w:r>
      <w:r w:rsidR="00EF102D">
        <w:t xml:space="preserve">perform more of </w:t>
      </w:r>
      <w:r w:rsidR="00BC51AA" w:rsidRPr="00C830FB">
        <w:t xml:space="preserve">a staffing </w:t>
      </w:r>
      <w:r w:rsidR="00EF05F3">
        <w:br/>
      </w:r>
      <w:r w:rsidR="00BC51AA" w:rsidRPr="00C830FB">
        <w:t>assistance role).</w:t>
      </w:r>
    </w:p>
    <w:p w:rsidR="00BC51AA" w:rsidRPr="00A23258" w:rsidRDefault="00BC51AA" w:rsidP="00A16C78">
      <w:pPr>
        <w:pStyle w:val="BodyText"/>
      </w:pPr>
      <w:r w:rsidRPr="00C830FB">
        <w:t>TA</w:t>
      </w:r>
      <w:r w:rsidR="00EF102D">
        <w:t xml:space="preserve"> also must </w:t>
      </w:r>
      <w:r w:rsidRPr="00C830FB">
        <w:t>be accountable to the ministry in</w:t>
      </w:r>
      <w:r w:rsidR="00EF102D">
        <w:t>volved,</w:t>
      </w:r>
      <w:r w:rsidRPr="00C830FB">
        <w:t xml:space="preserve"> and G</w:t>
      </w:r>
      <w:r w:rsidR="00EF102D">
        <w:t>O</w:t>
      </w:r>
      <w:r w:rsidRPr="00C830FB">
        <w:t xml:space="preserve">K </w:t>
      </w:r>
      <w:r w:rsidR="00EF102D">
        <w:t>should</w:t>
      </w:r>
      <w:r w:rsidRPr="00C830FB">
        <w:t xml:space="preserve"> be consulted on the choice and selection of TA. </w:t>
      </w:r>
      <w:r w:rsidR="00EF102D">
        <w:t>I</w:t>
      </w:r>
      <w:r w:rsidRPr="00C830FB">
        <w:t xml:space="preserve">n the same context, AusAID highlighted how </w:t>
      </w:r>
      <w:r w:rsidR="00EF102D">
        <w:t>quality</w:t>
      </w:r>
      <w:r w:rsidR="00EF102D" w:rsidRPr="00C830FB">
        <w:t xml:space="preserve"> </w:t>
      </w:r>
      <w:r w:rsidRPr="00C830FB">
        <w:t>consultants are in demand and</w:t>
      </w:r>
      <w:r w:rsidR="00672F25">
        <w:t xml:space="preserve"> need to be sourced reasonably</w:t>
      </w:r>
      <w:r w:rsidRPr="00A23258">
        <w:t xml:space="preserve"> quickly.</w:t>
      </w:r>
    </w:p>
    <w:p w:rsidR="000A5807" w:rsidRPr="00A23258" w:rsidRDefault="00EE5B00" w:rsidP="00A16C78">
      <w:pPr>
        <w:pStyle w:val="BodyText"/>
      </w:pPr>
      <w:r w:rsidRPr="00A23258">
        <w:rPr>
          <w:rFonts w:cs="Arial"/>
        </w:rPr>
        <w:lastRenderedPageBreak/>
        <w:t>At the Partnership Talks, AusAID agreed</w:t>
      </w:r>
      <w:r w:rsidR="00974E73" w:rsidRPr="00A23258">
        <w:rPr>
          <w:rFonts w:cs="Arial"/>
        </w:rPr>
        <w:t xml:space="preserve">, as part of </w:t>
      </w:r>
      <w:r w:rsidR="00DA4A65">
        <w:rPr>
          <w:rFonts w:cs="Arial"/>
        </w:rPr>
        <w:t>its Technical</w:t>
      </w:r>
      <w:r w:rsidR="00974E73" w:rsidRPr="00A23258">
        <w:rPr>
          <w:rFonts w:cs="Arial"/>
        </w:rPr>
        <w:t xml:space="preserve"> </w:t>
      </w:r>
      <w:r w:rsidR="00974E73" w:rsidRPr="00A23258">
        <w:t xml:space="preserve">Adviser </w:t>
      </w:r>
      <w:r w:rsidR="000A5807" w:rsidRPr="00A23258">
        <w:t>Review</w:t>
      </w:r>
      <w:r w:rsidR="00974E73" w:rsidRPr="00A23258">
        <w:t xml:space="preserve">, to </w:t>
      </w:r>
      <w:r w:rsidR="000A5807" w:rsidRPr="00A23258">
        <w:t xml:space="preserve">reassess options for </w:t>
      </w:r>
      <w:r w:rsidR="00EF102D">
        <w:t>TA and</w:t>
      </w:r>
      <w:r w:rsidR="000A5807" w:rsidRPr="00A23258">
        <w:t xml:space="preserve"> </w:t>
      </w:r>
      <w:r w:rsidR="00974E73" w:rsidRPr="00A23258">
        <w:t xml:space="preserve">consider using </w:t>
      </w:r>
      <w:r w:rsidR="000A5807" w:rsidRPr="00A23258">
        <w:t xml:space="preserve">retired </w:t>
      </w:r>
      <w:smartTag w:uri="urn:schemas-microsoft-com:office:smarttags" w:element="country-region">
        <w:r w:rsidR="00974E73" w:rsidRPr="00A23258">
          <w:t>Kiribati</w:t>
        </w:r>
      </w:smartTag>
      <w:r w:rsidR="00974E73" w:rsidRPr="00A23258">
        <w:t xml:space="preserve"> </w:t>
      </w:r>
      <w:r w:rsidR="000A5807" w:rsidRPr="00A23258">
        <w:t>public servants, twinning arrangements, more flexible approaches to long</w:t>
      </w:r>
      <w:r w:rsidR="00EF102D">
        <w:t>-</w:t>
      </w:r>
      <w:r w:rsidR="000A5807" w:rsidRPr="00A23258">
        <w:t>term and short</w:t>
      </w:r>
      <w:r w:rsidR="00EF102D">
        <w:t>-</w:t>
      </w:r>
      <w:r w:rsidR="000A5807" w:rsidRPr="00A23258">
        <w:t>term local and international TA</w:t>
      </w:r>
      <w:r w:rsidR="00974E73" w:rsidRPr="00A23258">
        <w:t>,</w:t>
      </w:r>
      <w:r w:rsidR="000A5807" w:rsidRPr="00A23258">
        <w:t xml:space="preserve"> and</w:t>
      </w:r>
      <w:r w:rsidR="00974E73" w:rsidRPr="00A23258">
        <w:t xml:space="preserve"> </w:t>
      </w:r>
      <w:r w:rsidR="00EF102D">
        <w:t>helping</w:t>
      </w:r>
      <w:r w:rsidR="00EF102D" w:rsidRPr="00A23258">
        <w:t xml:space="preserve"> </w:t>
      </w:r>
      <w:smartTag w:uri="urn:schemas-microsoft-com:office:smarttags" w:element="place">
        <w:smartTag w:uri="urn:schemas-microsoft-com:office:smarttags" w:element="country-region">
          <w:r w:rsidR="000A5807" w:rsidRPr="00A23258">
            <w:t>Kiribati</w:t>
          </w:r>
        </w:smartTag>
      </w:smartTag>
      <w:r w:rsidR="000A5807" w:rsidRPr="00A23258">
        <w:t xml:space="preserve"> build its own local pool of </w:t>
      </w:r>
      <w:r w:rsidR="00EF102D">
        <w:t xml:space="preserve">TA </w:t>
      </w:r>
      <w:r w:rsidR="000A5807" w:rsidRPr="00A23258">
        <w:t>consultants.</w:t>
      </w:r>
    </w:p>
    <w:p w:rsidR="00BC51AA" w:rsidRPr="00C830FB" w:rsidRDefault="00BC51AA" w:rsidP="00C830FB">
      <w:pPr>
        <w:pStyle w:val="Heading2"/>
        <w:ind w:left="0"/>
      </w:pPr>
      <w:bookmarkStart w:id="29" w:name="_Toc360718782"/>
      <w:r w:rsidRPr="00C830FB">
        <w:t>Use of government systems</w:t>
      </w:r>
      <w:bookmarkEnd w:id="29"/>
    </w:p>
    <w:p w:rsidR="00BC51AA" w:rsidRPr="00C830FB" w:rsidRDefault="00E812E2" w:rsidP="00A16C78">
      <w:pPr>
        <w:pStyle w:val="BodyText"/>
      </w:pPr>
      <w:r>
        <w:t xml:space="preserve">GOK </w:t>
      </w:r>
      <w:r w:rsidR="00323E07">
        <w:t>m</w:t>
      </w:r>
      <w:r w:rsidR="00BC51AA" w:rsidRPr="00C830FB">
        <w:t xml:space="preserve">inistries </w:t>
      </w:r>
      <w:r w:rsidR="00623FA5">
        <w:t xml:space="preserve">are </w:t>
      </w:r>
      <w:r w:rsidR="00DC0281">
        <w:t>seek</w:t>
      </w:r>
      <w:r w:rsidR="00623FA5">
        <w:t>ing</w:t>
      </w:r>
      <w:r w:rsidR="00DC0281" w:rsidRPr="00C830FB">
        <w:t xml:space="preserve"> </w:t>
      </w:r>
      <w:r w:rsidR="00BC51AA" w:rsidRPr="00C830FB">
        <w:t>greater flexibility and reduced transaction costs in allocati</w:t>
      </w:r>
      <w:r w:rsidR="00323E07">
        <w:t>ng</w:t>
      </w:r>
      <w:r w:rsidR="00BC51AA" w:rsidRPr="00C830FB">
        <w:t xml:space="preserve"> aid flows, and look</w:t>
      </w:r>
      <w:r w:rsidR="00623FA5">
        <w:t>ing</w:t>
      </w:r>
      <w:r w:rsidR="00BC51AA" w:rsidRPr="00C830FB">
        <w:t xml:space="preserve"> forward to greater use of government systems over time. </w:t>
      </w:r>
      <w:r w:rsidR="009E2F85">
        <w:t>They</w:t>
      </w:r>
      <w:r w:rsidR="00323E07">
        <w:t xml:space="preserve"> also</w:t>
      </w:r>
      <w:r w:rsidR="00BC51AA" w:rsidRPr="00C830FB">
        <w:t xml:space="preserve"> </w:t>
      </w:r>
      <w:r w:rsidR="009E2F85">
        <w:t>want</w:t>
      </w:r>
      <w:r w:rsidR="00BC51AA" w:rsidRPr="00C830FB">
        <w:t xml:space="preserve"> the support of development partners </w:t>
      </w:r>
      <w:r w:rsidR="009E2F85">
        <w:t xml:space="preserve">to </w:t>
      </w:r>
      <w:r w:rsidR="00BC51AA" w:rsidRPr="00C830FB">
        <w:t>strengthen</w:t>
      </w:r>
      <w:r w:rsidR="009E2F85">
        <w:t xml:space="preserve"> government</w:t>
      </w:r>
      <w:r w:rsidR="00BC51AA" w:rsidRPr="00C830FB">
        <w:t xml:space="preserve"> systems.</w:t>
      </w:r>
    </w:p>
    <w:p w:rsidR="00BC51AA" w:rsidRPr="00C830FB" w:rsidRDefault="009E2F85" w:rsidP="00A16C78">
      <w:pPr>
        <w:pStyle w:val="BodyText"/>
      </w:pPr>
      <w:r>
        <w:t>T</w:t>
      </w:r>
      <w:r w:rsidR="00BC51AA" w:rsidRPr="00C830FB">
        <w:t xml:space="preserve">he </w:t>
      </w:r>
      <w:r w:rsidR="00323E07">
        <w:t>Partnership Talks also explored</w:t>
      </w:r>
      <w:r w:rsidR="00BC51AA" w:rsidRPr="00C830FB">
        <w:t xml:space="preserve"> the trust and confidence in decision</w:t>
      </w:r>
      <w:r w:rsidR="00F30B1D">
        <w:t xml:space="preserve"> </w:t>
      </w:r>
      <w:r w:rsidR="00BC51AA" w:rsidRPr="00C830FB">
        <w:t xml:space="preserve">making and strategy donors </w:t>
      </w:r>
      <w:r>
        <w:t>need if they are</w:t>
      </w:r>
      <w:r w:rsidR="00BC51AA" w:rsidRPr="00C830FB">
        <w:t xml:space="preserve"> to relinquish exclusive control of funds. This relates to the need </w:t>
      </w:r>
      <w:r>
        <w:t>for continued</w:t>
      </w:r>
      <w:r w:rsidR="00BC51AA" w:rsidRPr="00C830FB">
        <w:t xml:space="preserve"> policy </w:t>
      </w:r>
      <w:r w:rsidR="00763A8D">
        <w:t>discussions</w:t>
      </w:r>
      <w:r w:rsidR="00763A8D" w:rsidRPr="00C830FB">
        <w:t xml:space="preserve"> </w:t>
      </w:r>
      <w:r w:rsidR="00BC51AA" w:rsidRPr="00C830FB">
        <w:t xml:space="preserve">between government and development partners, and </w:t>
      </w:r>
      <w:smartTag w:uri="urn:schemas-microsoft-com:office:smarttags" w:element="PersonName">
        <w:r w:rsidR="00BC51AA" w:rsidRPr="00C830FB">
          <w:t>clarity</w:t>
        </w:r>
      </w:smartTag>
      <w:r w:rsidR="00BC51AA" w:rsidRPr="00C830FB">
        <w:t xml:space="preserve"> over </w:t>
      </w:r>
      <w:r w:rsidR="00E812E2">
        <w:t>GOK</w:t>
      </w:r>
      <w:r w:rsidR="00323E07" w:rsidRPr="00C830FB">
        <w:t xml:space="preserve"> </w:t>
      </w:r>
      <w:r w:rsidR="00BC51AA" w:rsidRPr="00C830FB">
        <w:t>plans and public expenditure choices.</w:t>
      </w:r>
      <w:r w:rsidR="00323E07">
        <w:t xml:space="preserve"> </w:t>
      </w:r>
      <w:r w:rsidR="00BC51AA" w:rsidRPr="00C830FB">
        <w:t xml:space="preserve">The incentive funds allocated on the basis of performance in the fisheries sector </w:t>
      </w:r>
      <w:r>
        <w:t>is</w:t>
      </w:r>
      <w:r w:rsidR="00BC51AA" w:rsidRPr="00C830FB">
        <w:t xml:space="preserve"> an example of </w:t>
      </w:r>
      <w:r w:rsidR="00323E07">
        <w:t xml:space="preserve">well-received </w:t>
      </w:r>
      <w:r w:rsidR="00BC51AA" w:rsidRPr="00C830FB">
        <w:t>progress towards this end.</w:t>
      </w:r>
    </w:p>
    <w:p w:rsidR="009513C7" w:rsidRPr="00A23258" w:rsidRDefault="009513C7" w:rsidP="00A16C78">
      <w:pPr>
        <w:pStyle w:val="BodyText"/>
      </w:pPr>
      <w:r w:rsidRPr="00A23258">
        <w:rPr>
          <w:rFonts w:cs="Arial"/>
        </w:rPr>
        <w:t xml:space="preserve">At the Partnership Talks, </w:t>
      </w:r>
      <w:r w:rsidRPr="00A23258">
        <w:t xml:space="preserve">GOK reiterated its commitment to improve transparency and accountability of systems to meet donor requirements for funding. </w:t>
      </w:r>
      <w:r w:rsidR="009E2F85">
        <w:t>It</w:t>
      </w:r>
      <w:r w:rsidRPr="00A23258">
        <w:t xml:space="preserve"> outlined the steps </w:t>
      </w:r>
      <w:r w:rsidR="009E2F85">
        <w:t>being</w:t>
      </w:r>
      <w:r w:rsidRPr="00A23258">
        <w:t xml:space="preserve"> tak</w:t>
      </w:r>
      <w:r w:rsidR="009E2F85">
        <w:t>en</w:t>
      </w:r>
      <w:r w:rsidRPr="00A23258">
        <w:t xml:space="preserve"> to implement</w:t>
      </w:r>
      <w:r w:rsidR="00323E07">
        <w:t xml:space="preserve"> the</w:t>
      </w:r>
      <w:r w:rsidRPr="00A23258">
        <w:t xml:space="preserve"> recommendations </w:t>
      </w:r>
      <w:r w:rsidR="00323E07">
        <w:t>of</w:t>
      </w:r>
      <w:r w:rsidRPr="00A23258">
        <w:t xml:space="preserve"> the </w:t>
      </w:r>
      <w:r w:rsidR="009E2F85">
        <w:rPr>
          <w:rFonts w:cs="Arial"/>
        </w:rPr>
        <w:t>PEFA assessment</w:t>
      </w:r>
      <w:r w:rsidR="007A228A">
        <w:t xml:space="preserve">. </w:t>
      </w:r>
      <w:r w:rsidRPr="00A23258">
        <w:t xml:space="preserve">AusAID committed to working with GOK </w:t>
      </w:r>
      <w:r w:rsidR="0033283A" w:rsidRPr="00A23258">
        <w:t>to implement</w:t>
      </w:r>
      <w:r w:rsidRPr="00A23258">
        <w:t xml:space="preserve"> programs</w:t>
      </w:r>
      <w:r w:rsidR="00323E07">
        <w:t xml:space="preserve"> </w:t>
      </w:r>
      <w:r w:rsidR="009E2F85">
        <w:t>so t</w:t>
      </w:r>
      <w:r w:rsidR="00323E07">
        <w:t>hat</w:t>
      </w:r>
      <w:r w:rsidRPr="00A23258">
        <w:t xml:space="preserve"> </w:t>
      </w:r>
      <w:r w:rsidR="00623FA5">
        <w:t xml:space="preserve">the </w:t>
      </w:r>
      <w:r w:rsidRPr="00A23258">
        <w:t>use of GOK systems</w:t>
      </w:r>
      <w:r w:rsidR="00323E07">
        <w:t xml:space="preserve"> is maximised </w:t>
      </w:r>
      <w:r w:rsidR="009E2F85">
        <w:t>at the same time as</w:t>
      </w:r>
      <w:r w:rsidRPr="00A23258">
        <w:t xml:space="preserve"> </w:t>
      </w:r>
      <w:r w:rsidR="00323E07">
        <w:t>A</w:t>
      </w:r>
      <w:r w:rsidRPr="00A23258">
        <w:t>ustralian Government fiduciary and legislative requirements</w:t>
      </w:r>
      <w:r w:rsidR="00323E07">
        <w:t xml:space="preserve"> are met</w:t>
      </w:r>
      <w:r w:rsidRPr="00A23258">
        <w:t>.</w:t>
      </w:r>
    </w:p>
    <w:p w:rsidR="00BC51AA" w:rsidRDefault="00BC51AA" w:rsidP="00A16C78">
      <w:pPr>
        <w:pStyle w:val="BodyText"/>
      </w:pPr>
      <w:r w:rsidRPr="00A23258">
        <w:t>Both G</w:t>
      </w:r>
      <w:r w:rsidR="00C521AB" w:rsidRPr="00A23258">
        <w:t>O</w:t>
      </w:r>
      <w:r w:rsidRPr="00A23258">
        <w:t xml:space="preserve">K and AusAID acknowledged the centrality of </w:t>
      </w:r>
      <w:r w:rsidR="001B0D8C" w:rsidRPr="00A23258">
        <w:t>public enterprise</w:t>
      </w:r>
      <w:r w:rsidRPr="00A23258">
        <w:t xml:space="preserve"> reform to growth and economic management. AusAID highlighted</w:t>
      </w:r>
      <w:r w:rsidR="0033283A" w:rsidRPr="00A23258">
        <w:t xml:space="preserve"> that</w:t>
      </w:r>
      <w:r w:rsidRPr="00A23258">
        <w:t xml:space="preserve"> </w:t>
      </w:r>
      <w:r w:rsidR="0033283A" w:rsidRPr="00A23258">
        <w:t xml:space="preserve">the </w:t>
      </w:r>
      <w:r w:rsidRPr="00A23258">
        <w:t xml:space="preserve">economic inefficiencies associated with </w:t>
      </w:r>
      <w:r w:rsidR="001B0D8C" w:rsidRPr="00A23258">
        <w:t xml:space="preserve">public enterprises </w:t>
      </w:r>
      <w:r w:rsidR="001D6E50">
        <w:t>is</w:t>
      </w:r>
      <w:r w:rsidR="001D6E50" w:rsidRPr="00A23258">
        <w:t xml:space="preserve"> </w:t>
      </w:r>
      <w:r w:rsidR="0033283A" w:rsidRPr="00A23258">
        <w:t>a</w:t>
      </w:r>
      <w:r w:rsidRPr="00A23258">
        <w:t xml:space="preserve"> major impediment to donor</w:t>
      </w:r>
      <w:r w:rsidR="0095313F">
        <w:t>s</w:t>
      </w:r>
      <w:r w:rsidRPr="00A23258">
        <w:t xml:space="preserve"> mov</w:t>
      </w:r>
      <w:r w:rsidR="001D6E50">
        <w:t>ing</w:t>
      </w:r>
      <w:r w:rsidRPr="00A23258">
        <w:t xml:space="preserve"> towards budget-based</w:t>
      </w:r>
      <w:r w:rsidRPr="00C830FB">
        <w:t xml:space="preserve"> models for channelling aid flows. </w:t>
      </w:r>
      <w:r w:rsidR="0095313F">
        <w:t>It was agreed to</w:t>
      </w:r>
      <w:r w:rsidRPr="00C830FB">
        <w:t xml:space="preserve"> move forward on the </w:t>
      </w:r>
      <w:r w:rsidR="00DC0281">
        <w:t>public</w:t>
      </w:r>
      <w:r w:rsidR="001D6E50" w:rsidRPr="001D6E50">
        <w:t xml:space="preserve"> </w:t>
      </w:r>
      <w:r w:rsidR="00DC0281">
        <w:t>e</w:t>
      </w:r>
      <w:r w:rsidR="001D6E50" w:rsidRPr="001D6E50">
        <w:t>nterprise</w:t>
      </w:r>
      <w:r w:rsidR="00DC0281">
        <w:t xml:space="preserve"> reform</w:t>
      </w:r>
      <w:r w:rsidRPr="00C830FB">
        <w:t xml:space="preserve"> agenda.</w:t>
      </w:r>
    </w:p>
    <w:p w:rsidR="00BC51AA" w:rsidRPr="00C830FB" w:rsidRDefault="00BC51AA" w:rsidP="00C830FB">
      <w:pPr>
        <w:pStyle w:val="Heading2"/>
        <w:ind w:left="0"/>
      </w:pPr>
      <w:bookmarkStart w:id="30" w:name="_Toc360718783"/>
      <w:r w:rsidRPr="00C830FB">
        <w:t>Donor harmonisation and coordination</w:t>
      </w:r>
      <w:bookmarkEnd w:id="30"/>
    </w:p>
    <w:p w:rsidR="000A5807" w:rsidRDefault="0095313F" w:rsidP="00A16C78">
      <w:pPr>
        <w:pStyle w:val="BodyText"/>
      </w:pPr>
      <w:r>
        <w:t>The i</w:t>
      </w:r>
      <w:r w:rsidR="00BC51AA" w:rsidRPr="00C830FB">
        <w:t xml:space="preserve">nefficiencies </w:t>
      </w:r>
      <w:r w:rsidR="001D6E50">
        <w:t>inherent in dealing with</w:t>
      </w:r>
      <w:r w:rsidR="00BC51AA" w:rsidRPr="00C830FB">
        <w:t xml:space="preserve"> multiple donor programs and approache</w:t>
      </w:r>
      <w:r>
        <w:t>s continued to have</w:t>
      </w:r>
      <w:r w:rsidR="001D6E50">
        <w:t xml:space="preserve"> a negative impact</w:t>
      </w:r>
      <w:r w:rsidR="00BC51AA" w:rsidRPr="00C830FB">
        <w:t xml:space="preserve"> on </w:t>
      </w:r>
      <w:r>
        <w:t>GOK’s</w:t>
      </w:r>
      <w:r w:rsidR="001D6E50" w:rsidRPr="00C830FB">
        <w:t xml:space="preserve"> </w:t>
      </w:r>
      <w:r w:rsidR="00BC51AA" w:rsidRPr="00C830FB">
        <w:t>already over-stretched</w:t>
      </w:r>
      <w:r w:rsidR="001D6E50">
        <w:t xml:space="preserve"> </w:t>
      </w:r>
      <w:r w:rsidR="00BC51AA" w:rsidRPr="00C830FB">
        <w:t xml:space="preserve">administration. </w:t>
      </w:r>
      <w:r>
        <w:t>B</w:t>
      </w:r>
      <w:r w:rsidR="00BC51AA" w:rsidRPr="00C830FB">
        <w:t xml:space="preserve">etter </w:t>
      </w:r>
      <w:r w:rsidR="001D6E50">
        <w:t xml:space="preserve">coordinated and </w:t>
      </w:r>
      <w:r>
        <w:t>greater</w:t>
      </w:r>
      <w:r w:rsidR="001D6E50">
        <w:t xml:space="preserve"> </w:t>
      </w:r>
      <w:r w:rsidR="00BC51AA" w:rsidRPr="00C830FB">
        <w:t>harmon</w:t>
      </w:r>
      <w:r w:rsidR="001D6E50">
        <w:t>y</w:t>
      </w:r>
      <w:r>
        <w:t xml:space="preserve"> is needed</w:t>
      </w:r>
      <w:r w:rsidR="00BC51AA" w:rsidRPr="00C830FB">
        <w:t xml:space="preserve">. </w:t>
      </w:r>
      <w:r>
        <w:t>At the Partnership Talks, s</w:t>
      </w:r>
      <w:r w:rsidR="00BC51AA" w:rsidRPr="00C830FB">
        <w:t>ome</w:t>
      </w:r>
      <w:r>
        <w:t xml:space="preserve"> GOK</w:t>
      </w:r>
      <w:r w:rsidR="00BC51AA" w:rsidRPr="00C830FB">
        <w:t xml:space="preserve"> ministries suggested </w:t>
      </w:r>
      <w:smartTag w:uri="urn:schemas-microsoft-com:office:smarttags" w:element="place">
        <w:smartTag w:uri="urn:schemas-microsoft-com:office:smarttags" w:element="country-region">
          <w:r w:rsidR="00BC51AA" w:rsidRPr="00C830FB">
            <w:t>Australia</w:t>
          </w:r>
        </w:smartTag>
      </w:smartTag>
      <w:r w:rsidR="00BC51AA" w:rsidRPr="00C830FB">
        <w:t xml:space="preserve"> could or should assume more of a leadership role in </w:t>
      </w:r>
      <w:r w:rsidR="001D6E50">
        <w:t>this area</w:t>
      </w:r>
      <w:r w:rsidR="00BC51AA" w:rsidRPr="00C830FB">
        <w:t xml:space="preserve">. </w:t>
      </w:r>
      <w:r>
        <w:t>T</w:t>
      </w:r>
      <w:r w:rsidR="00BC51AA" w:rsidRPr="00C830FB">
        <w:t>he</w:t>
      </w:r>
      <w:r w:rsidR="001D6E50">
        <w:t xml:space="preserve"> </w:t>
      </w:r>
      <w:r>
        <w:t>t</w:t>
      </w:r>
      <w:r w:rsidR="001D6E50">
        <w:t>alks</w:t>
      </w:r>
      <w:r w:rsidR="00BC51AA" w:rsidRPr="00C830FB">
        <w:t xml:space="preserve"> also </w:t>
      </w:r>
      <w:r w:rsidR="001D6E50">
        <w:t>stressed</w:t>
      </w:r>
      <w:r w:rsidR="001D6E50" w:rsidRPr="00C830FB">
        <w:t xml:space="preserve"> </w:t>
      </w:r>
      <w:r w:rsidR="00BC51AA" w:rsidRPr="00C830FB">
        <w:t xml:space="preserve">that donor coordination is most effective when led by government, with government articulating priorities and harnessing a coherent donor response. </w:t>
      </w:r>
      <w:r w:rsidR="001D6E50">
        <w:t>This</w:t>
      </w:r>
      <w:r w:rsidR="00BC51AA" w:rsidRPr="00C830FB">
        <w:t xml:space="preserve">, too, may be an area </w:t>
      </w:r>
      <w:r w:rsidR="001D6E50">
        <w:t>in</w:t>
      </w:r>
      <w:r w:rsidR="001D6E50" w:rsidRPr="00C830FB">
        <w:t xml:space="preserve"> </w:t>
      </w:r>
      <w:r w:rsidR="00BC51AA" w:rsidRPr="00C830FB">
        <w:t>which AusAID c</w:t>
      </w:r>
      <w:r w:rsidR="001D6E50">
        <w:t>an</w:t>
      </w:r>
      <w:r w:rsidR="00BC51AA" w:rsidRPr="00C830FB">
        <w:t xml:space="preserve"> provide support.</w:t>
      </w:r>
    </w:p>
    <w:p w:rsidR="009E0E50" w:rsidRDefault="009E0E50" w:rsidP="009E0E50">
      <w:pPr>
        <w:pStyle w:val="Heading2"/>
        <w:numPr>
          <w:ilvl w:val="0"/>
          <w:numId w:val="0"/>
        </w:numPr>
      </w:pPr>
      <w:bookmarkStart w:id="31" w:name="_Toc360718784"/>
      <w:r>
        <w:t xml:space="preserve">Challenges and </w:t>
      </w:r>
      <w:r w:rsidR="00763A8D">
        <w:t>m</w:t>
      </w:r>
      <w:r>
        <w:t>anagement consequences</w:t>
      </w:r>
      <w:bookmarkEnd w:id="31"/>
    </w:p>
    <w:p w:rsidR="002F328D" w:rsidRDefault="009E0E50" w:rsidP="00A16C78">
      <w:pPr>
        <w:pStyle w:val="BodyText"/>
      </w:pPr>
      <w:smartTag w:uri="urn:schemas-microsoft-com:office:smarttags" w:element="place">
        <w:smartTag w:uri="urn:schemas-microsoft-com:office:smarttags" w:element="country-region">
          <w:r w:rsidRPr="00E03182">
            <w:t>Kiribati</w:t>
          </w:r>
        </w:smartTag>
      </w:smartTag>
      <w:r w:rsidRPr="00E03182">
        <w:t xml:space="preserve"> faces difficult short</w:t>
      </w:r>
      <w:r w:rsidR="001D6E50">
        <w:t>-</w:t>
      </w:r>
      <w:r w:rsidRPr="00E03182">
        <w:t xml:space="preserve"> and long</w:t>
      </w:r>
      <w:r w:rsidR="001D6E50">
        <w:t>-</w:t>
      </w:r>
      <w:r w:rsidRPr="00E03182">
        <w:t xml:space="preserve">term challenges to achieving sustainable </w:t>
      </w:r>
      <w:r w:rsidR="007F68DD">
        <w:t>development</w:t>
      </w:r>
      <w:r w:rsidRPr="00E03182">
        <w:t>. Over the past 12</w:t>
      </w:r>
      <w:r w:rsidR="00B04784">
        <w:t> </w:t>
      </w:r>
      <w:r w:rsidRPr="00E03182">
        <w:t xml:space="preserve">months the aid program has gained further insight into the scale and complexity of these challenges as programming and policy engagement shifted towards more direct support to </w:t>
      </w:r>
      <w:r>
        <w:t>GOK</w:t>
      </w:r>
      <w:r w:rsidRPr="00E03182">
        <w:t xml:space="preserve"> under the Partnership</w:t>
      </w:r>
      <w:r w:rsidR="002F328D">
        <w:t xml:space="preserve"> for Development</w:t>
      </w:r>
      <w:r w:rsidRPr="00E03182">
        <w:t xml:space="preserve">. </w:t>
      </w:r>
    </w:p>
    <w:p w:rsidR="007F68DD" w:rsidRDefault="009E0E50" w:rsidP="00A16C78">
      <w:pPr>
        <w:pStyle w:val="BodyText"/>
      </w:pPr>
      <w:smartTag w:uri="urn:schemas-microsoft-com:office:smarttags" w:element="place">
        <w:smartTag w:uri="urn:schemas-microsoft-com:office:smarttags" w:element="country-region">
          <w:r w:rsidRPr="00E03182">
            <w:t>Kiribati</w:t>
          </w:r>
        </w:smartTag>
      </w:smartTag>
      <w:r w:rsidRPr="00E03182">
        <w:t xml:space="preserve">’s capacity to </w:t>
      </w:r>
      <w:r>
        <w:t>address</w:t>
      </w:r>
      <w:r w:rsidRPr="00E03182">
        <w:t xml:space="preserve"> </w:t>
      </w:r>
      <w:r w:rsidR="0095313F">
        <w:t>its c</w:t>
      </w:r>
      <w:r w:rsidRPr="00E03182">
        <w:t>hallenges require</w:t>
      </w:r>
      <w:r>
        <w:t>s</w:t>
      </w:r>
      <w:r w:rsidRPr="00E03182">
        <w:t xml:space="preserve"> a </w:t>
      </w:r>
      <w:r>
        <w:t xml:space="preserve">fundamental </w:t>
      </w:r>
      <w:r w:rsidRPr="00E03182">
        <w:t xml:space="preserve">rethink about how development partners support the country. </w:t>
      </w:r>
      <w:smartTag w:uri="urn:schemas-microsoft-com:office:smarttags" w:element="country-region">
        <w:r w:rsidRPr="00E03182">
          <w:t>Australia</w:t>
        </w:r>
      </w:smartTag>
      <w:r w:rsidR="002F328D">
        <w:t>, as</w:t>
      </w:r>
      <w:r w:rsidRPr="00E03182">
        <w:t xml:space="preserve"> a major development partner to </w:t>
      </w:r>
      <w:smartTag w:uri="urn:schemas-microsoft-com:office:smarttags" w:element="place">
        <w:smartTag w:uri="urn:schemas-microsoft-com:office:smarttags" w:element="country-region">
          <w:r w:rsidRPr="00E03182">
            <w:t>Kiribati</w:t>
          </w:r>
        </w:smartTag>
      </w:smartTag>
      <w:r w:rsidR="002F328D">
        <w:t>,</w:t>
      </w:r>
      <w:r w:rsidRPr="00E03182">
        <w:t xml:space="preserve"> </w:t>
      </w:r>
      <w:r w:rsidR="002F328D">
        <w:t>can</w:t>
      </w:r>
      <w:r w:rsidRPr="00E03182">
        <w:t xml:space="preserve"> influence the way </w:t>
      </w:r>
      <w:r w:rsidR="007F68DD">
        <w:t>GOK</w:t>
      </w:r>
      <w:r w:rsidR="002F328D" w:rsidRPr="00E03182">
        <w:t xml:space="preserve"> </w:t>
      </w:r>
      <w:r w:rsidRPr="00E03182">
        <w:t>and other development partners conceptualise and respond to the</w:t>
      </w:r>
      <w:r w:rsidR="002F328D">
        <w:t xml:space="preserve"> </w:t>
      </w:r>
      <w:r w:rsidRPr="00E03182">
        <w:t xml:space="preserve">challenges. </w:t>
      </w:r>
      <w:r w:rsidR="007F68DD">
        <w:t>However, t</w:t>
      </w:r>
      <w:r w:rsidRPr="00E03182">
        <w:t xml:space="preserve">his will require </w:t>
      </w:r>
      <w:r w:rsidR="002F328D">
        <w:t>accepting</w:t>
      </w:r>
      <w:r w:rsidRPr="00E03182">
        <w:t xml:space="preserve"> new and possibly very different approaches</w:t>
      </w:r>
      <w:r w:rsidR="002F328D">
        <w:t xml:space="preserve">, </w:t>
      </w:r>
      <w:r w:rsidRPr="00E03182">
        <w:t xml:space="preserve">given </w:t>
      </w:r>
      <w:smartTag w:uri="urn:schemas-microsoft-com:office:smarttags" w:element="place">
        <w:smartTag w:uri="urn:schemas-microsoft-com:office:smarttags" w:element="country-region">
          <w:r w:rsidR="002F328D">
            <w:t>Kiribati</w:t>
          </w:r>
        </w:smartTag>
      </w:smartTag>
      <w:r w:rsidR="002F328D">
        <w:t xml:space="preserve">’s </w:t>
      </w:r>
      <w:r>
        <w:t>limited economic self reliance.</w:t>
      </w:r>
      <w:r w:rsidRPr="00E03182">
        <w:t xml:space="preserve"> </w:t>
      </w:r>
    </w:p>
    <w:p w:rsidR="004C7DD7" w:rsidRPr="00A510DA" w:rsidRDefault="007F68DD" w:rsidP="00A16C78">
      <w:pPr>
        <w:pStyle w:val="BodyText"/>
      </w:pPr>
      <w:smartTag w:uri="urn:schemas-microsoft-com:office:smarttags" w:element="place">
        <w:smartTag w:uri="urn:schemas-microsoft-com:office:smarttags" w:element="country-region">
          <w:r>
            <w:t>Kiribati</w:t>
          </w:r>
        </w:smartTag>
      </w:smartTag>
      <w:r w:rsidR="0059480C">
        <w:t>’</w:t>
      </w:r>
      <w:r>
        <w:t>s</w:t>
      </w:r>
      <w:r w:rsidR="009E0E50" w:rsidRPr="00E03182">
        <w:t xml:space="preserve"> prospects will not be improved through </w:t>
      </w:r>
      <w:r w:rsidR="009E0E50">
        <w:t>development assistance</w:t>
      </w:r>
      <w:r w:rsidR="009E0E50" w:rsidRPr="00E03182">
        <w:t xml:space="preserve"> alone. </w:t>
      </w:r>
      <w:r>
        <w:t>Therefore,</w:t>
      </w:r>
      <w:r w:rsidR="00A510DA" w:rsidRPr="00E03182">
        <w:t xml:space="preserve"> </w:t>
      </w:r>
      <w:smartTag w:uri="urn:schemas-microsoft-com:office:smarttags" w:element="place">
        <w:smartTag w:uri="urn:schemas-microsoft-com:office:smarttags" w:element="country-region">
          <w:r w:rsidR="00A510DA" w:rsidRPr="00E03182">
            <w:t>Australia</w:t>
          </w:r>
        </w:smartTag>
      </w:smartTag>
      <w:r w:rsidR="00A510DA" w:rsidRPr="00E03182">
        <w:t xml:space="preserve"> will need to consider more intensive engagement</w:t>
      </w:r>
      <w:r w:rsidR="00DC0281">
        <w:t xml:space="preserve"> </w:t>
      </w:r>
      <w:r w:rsidR="00DC0281" w:rsidRPr="00E03182">
        <w:t xml:space="preserve">by </w:t>
      </w:r>
      <w:r w:rsidR="00623FA5">
        <w:t>national and state and territory</w:t>
      </w:r>
      <w:r w:rsidR="00DC0281" w:rsidRPr="00E03182">
        <w:t xml:space="preserve"> </w:t>
      </w:r>
      <w:r w:rsidR="00DC0281" w:rsidRPr="00E03182">
        <w:lastRenderedPageBreak/>
        <w:t>agencies</w:t>
      </w:r>
      <w:r w:rsidR="00A510DA" w:rsidRPr="00E03182">
        <w:t xml:space="preserve"> in supporting </w:t>
      </w:r>
      <w:r>
        <w:t>the country</w:t>
      </w:r>
      <w:r w:rsidR="00A510DA" w:rsidRPr="00E03182">
        <w:t xml:space="preserve">, including </w:t>
      </w:r>
      <w:r w:rsidR="002F328D">
        <w:t>in</w:t>
      </w:r>
      <w:r w:rsidR="002F328D" w:rsidRPr="00E03182">
        <w:t xml:space="preserve"> </w:t>
      </w:r>
      <w:r w:rsidR="00A510DA" w:rsidRPr="00E03182">
        <w:t>areas not traditionally part of the development agenda, such as immigration.</w:t>
      </w:r>
    </w:p>
    <w:sectPr w:rsidR="004C7DD7" w:rsidRPr="00A510DA" w:rsidSect="00E77D0C">
      <w:headerReference w:type="even" r:id="rId9"/>
      <w:headerReference w:type="default" r:id="rId10"/>
      <w:footerReference w:type="even" r:id="rId11"/>
      <w:footerReference w:type="default" r:id="rId12"/>
      <w:headerReference w:type="first" r:id="rId13"/>
      <w:footerReference w:type="first" r:id="rId14"/>
      <w:pgSz w:w="11907" w:h="16840" w:code="9"/>
      <w:pgMar w:top="2381" w:right="2155" w:bottom="851" w:left="1814" w:header="851" w:footer="34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2431" w:rsidRDefault="00ED2431">
      <w:r>
        <w:separator/>
      </w:r>
    </w:p>
    <w:p w:rsidR="00ED2431" w:rsidRDefault="00ED2431"/>
  </w:endnote>
  <w:endnote w:type="continuationSeparator" w:id="0">
    <w:p w:rsidR="00ED2431" w:rsidRDefault="00ED2431">
      <w:r>
        <w:continuationSeparator/>
      </w:r>
    </w:p>
    <w:p w:rsidR="00ED2431" w:rsidRDefault="00ED243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font292">
    <w:altName w:val="Times New Roman"/>
    <w:panose1 w:val="00000000000000000000"/>
    <w:charset w:val="00"/>
    <w:family w:val="auto"/>
    <w:notTrueType/>
    <w:pitch w:val="default"/>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Arial Bold">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7F60" w:rsidRPr="00AD612A" w:rsidRDefault="004F457D">
    <w:pPr>
      <w:pStyle w:val="Footer"/>
    </w:pPr>
    <w:r>
      <w:rPr>
        <w:noProof/>
        <w:color w:val="54534A"/>
        <w:lang w:val="en-US" w:eastAsia="en-US"/>
      </w:rPr>
      <w:drawing>
        <wp:anchor distT="0" distB="0" distL="114300" distR="114300" simplePos="0" relativeHeight="251656192" behindDoc="1" locked="0" layoutInCell="0" allowOverlap="1">
          <wp:simplePos x="0" y="0"/>
          <wp:positionH relativeFrom="page">
            <wp:posOffset>0</wp:posOffset>
          </wp:positionH>
          <wp:positionV relativeFrom="page">
            <wp:posOffset>8821420</wp:posOffset>
          </wp:positionV>
          <wp:extent cx="396240" cy="1508125"/>
          <wp:effectExtent l="0" t="0" r="3810" b="0"/>
          <wp:wrapNone/>
          <wp:docPr id="1" name="Picture 1" descr="AusAID_MDG_2_factsheet_ww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usAID_MDG_2_factsheet_ww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6240" cy="1508125"/>
                  </a:xfrm>
                  <a:prstGeom prst="rect">
                    <a:avLst/>
                  </a:prstGeom>
                  <a:noFill/>
                  <a:ln>
                    <a:noFill/>
                  </a:ln>
                </pic:spPr>
              </pic:pic>
            </a:graphicData>
          </a:graphic>
          <wp14:sizeRelH relativeFrom="page">
            <wp14:pctWidth>0</wp14:pctWidth>
          </wp14:sizeRelH>
          <wp14:sizeRelV relativeFrom="page">
            <wp14:pctHeight>0</wp14:pctHeight>
          </wp14:sizeRelV>
        </wp:anchor>
      </w:drawing>
    </w:r>
    <w:r w:rsidR="00217F60" w:rsidRPr="007C1ECE">
      <w:tab/>
    </w:r>
    <w:r w:rsidR="00217F60">
      <w:tab/>
    </w:r>
    <w:r w:rsidR="00217F60">
      <w:tab/>
    </w:r>
    <w:r w:rsidR="00217F60">
      <w:rPr>
        <w:rStyle w:val="PageNumber"/>
      </w:rPr>
      <w:fldChar w:fldCharType="begin"/>
    </w:r>
    <w:r w:rsidR="00217F60">
      <w:rPr>
        <w:rStyle w:val="PageNumber"/>
      </w:rPr>
      <w:instrText xml:space="preserve"> PAGE </w:instrText>
    </w:r>
    <w:r w:rsidR="00217F60">
      <w:rPr>
        <w:rStyle w:val="PageNumber"/>
      </w:rPr>
      <w:fldChar w:fldCharType="separate"/>
    </w:r>
    <w:r w:rsidR="00217F60">
      <w:rPr>
        <w:rStyle w:val="PageNumber"/>
        <w:noProof/>
      </w:rPr>
      <w:t>2</w:t>
    </w:r>
    <w:r w:rsidR="00217F60">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7F60" w:rsidRPr="004A4B6B" w:rsidRDefault="00217F60" w:rsidP="001260C2">
    <w:pPr>
      <w:pStyle w:val="Footer"/>
    </w:pPr>
    <w:r>
      <w:tab/>
    </w:r>
    <w:r>
      <w:fldChar w:fldCharType="begin"/>
    </w:r>
    <w:r>
      <w:instrText xml:space="preserve"> STYLEREF  Title </w:instrText>
    </w:r>
    <w:r>
      <w:fldChar w:fldCharType="separate"/>
    </w:r>
    <w:r w:rsidR="009D5229">
      <w:rPr>
        <w:noProof/>
      </w:rPr>
      <w:t>Kiribati Partnership Report 2009</w:t>
    </w:r>
    <w:r>
      <w:fldChar w:fldCharType="end"/>
    </w:r>
    <w:r>
      <w:rPr>
        <w:rStyle w:val="PageNumber"/>
      </w:rPr>
      <w:tab/>
    </w:r>
    <w:r>
      <w:rPr>
        <w:rStyle w:val="PageNumber"/>
      </w:rPr>
      <w:tab/>
    </w:r>
    <w:r w:rsidRPr="004A26C9">
      <w:rPr>
        <w:rStyle w:val="PageNumber"/>
      </w:rPr>
      <w:fldChar w:fldCharType="begin"/>
    </w:r>
    <w:r w:rsidRPr="004A26C9">
      <w:rPr>
        <w:rStyle w:val="PageNumber"/>
      </w:rPr>
      <w:instrText xml:space="preserve"> PAGE </w:instrText>
    </w:r>
    <w:r w:rsidRPr="004A26C9">
      <w:rPr>
        <w:rStyle w:val="PageNumber"/>
      </w:rPr>
      <w:fldChar w:fldCharType="separate"/>
    </w:r>
    <w:r w:rsidR="009D5229">
      <w:rPr>
        <w:rStyle w:val="PageNumber"/>
        <w:noProof/>
      </w:rPr>
      <w:t>7</w:t>
    </w:r>
    <w:r w:rsidRPr="004A26C9">
      <w:rPr>
        <w:rStyle w:val="PageNumber"/>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7F60" w:rsidRDefault="00217F60">
    <w:pPr>
      <w:pStyle w:val="Footer"/>
    </w:pPr>
    <w:r>
      <w:tab/>
    </w:r>
    <w:r>
      <w:tab/>
    </w:r>
    <w:r>
      <w:tab/>
    </w:r>
    <w:r>
      <w:rPr>
        <w:rStyle w:val="PageNumber"/>
      </w:rPr>
      <w:fldChar w:fldCharType="begin"/>
    </w:r>
    <w:r>
      <w:rPr>
        <w:rStyle w:val="PageNumber"/>
      </w:rPr>
      <w:instrText xml:space="preserve"> PAGE </w:instrText>
    </w:r>
    <w:r>
      <w:rPr>
        <w:rStyle w:val="PageNumber"/>
      </w:rPr>
      <w:fldChar w:fldCharType="separate"/>
    </w:r>
    <w:r w:rsidR="009D5229">
      <w:rPr>
        <w:rStyle w:val="PageNumber"/>
        <w:noProof/>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2431" w:rsidRDefault="00ED2431" w:rsidP="00D62AA4">
      <w:pPr>
        <w:spacing w:before="60" w:after="40" w:line="180" w:lineRule="exact"/>
      </w:pPr>
      <w:r>
        <w:continuationSeparator/>
      </w:r>
    </w:p>
  </w:footnote>
  <w:footnote w:type="continuationSeparator" w:id="0">
    <w:p w:rsidR="00ED2431" w:rsidRDefault="00ED2431">
      <w:r>
        <w:continuationSeparator/>
      </w:r>
    </w:p>
    <w:p w:rsidR="00ED2431" w:rsidRDefault="00ED2431"/>
  </w:footnote>
  <w:footnote w:type="continuationNotice" w:id="1">
    <w:p w:rsidR="00ED2431" w:rsidRDefault="00ED2431"/>
    <w:p w:rsidR="00ED2431" w:rsidRDefault="00ED243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7F60" w:rsidRDefault="004F457D" w:rsidP="00B7603F">
    <w:pPr>
      <w:pStyle w:val="Header"/>
      <w:jc w:val="left"/>
    </w:pPr>
    <w:r>
      <w:rPr>
        <w:noProof/>
        <w:lang w:val="en-US" w:eastAsia="en-US"/>
      </w:rPr>
      <w:drawing>
        <wp:anchor distT="0" distB="0" distL="114300" distR="114300" simplePos="0" relativeHeight="251657216" behindDoc="1" locked="0" layoutInCell="1" allowOverlap="1">
          <wp:simplePos x="0" y="0"/>
          <wp:positionH relativeFrom="page">
            <wp:posOffset>0</wp:posOffset>
          </wp:positionH>
          <wp:positionV relativeFrom="page">
            <wp:posOffset>0</wp:posOffset>
          </wp:positionV>
          <wp:extent cx="7560310" cy="10694035"/>
          <wp:effectExtent l="0" t="0" r="2540" b="0"/>
          <wp:wrapNone/>
          <wp:docPr id="2" name="Picture 2" descr="AusAID_facsheet_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usAID_facsheet_D2"/>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7560310" cy="1069403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7F60" w:rsidRDefault="004F457D">
    <w:pPr>
      <w:pStyle w:val="Header"/>
    </w:pPr>
    <w:r>
      <w:rPr>
        <w:noProof/>
        <w:lang w:val="en-US" w:eastAsia="en-US"/>
      </w:rPr>
      <w:drawing>
        <wp:anchor distT="0" distB="0" distL="114300" distR="114300" simplePos="0" relativeHeight="251658240" behindDoc="1" locked="0" layoutInCell="1" allowOverlap="1">
          <wp:simplePos x="0" y="0"/>
          <wp:positionH relativeFrom="page">
            <wp:posOffset>0</wp:posOffset>
          </wp:positionH>
          <wp:positionV relativeFrom="page">
            <wp:posOffset>0</wp:posOffset>
          </wp:positionV>
          <wp:extent cx="7560310" cy="10694035"/>
          <wp:effectExtent l="0" t="0" r="2540" b="0"/>
          <wp:wrapNone/>
          <wp:docPr id="3" name="Picture 3" descr="AusAID_facsheet_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usAID_facsheet_D2"/>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7560310" cy="1069403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7F60" w:rsidRDefault="004F457D">
    <w:pPr>
      <w:pStyle w:val="Header"/>
    </w:pPr>
    <w:r>
      <w:rPr>
        <w:noProof/>
        <w:lang w:val="en-US" w:eastAsia="en-US"/>
      </w:rPr>
      <w:drawing>
        <wp:anchor distT="0" distB="0" distL="114300" distR="114300" simplePos="0" relativeHeight="251659264" behindDoc="1" locked="0" layoutInCell="1" allowOverlap="1">
          <wp:simplePos x="0" y="0"/>
          <wp:positionH relativeFrom="page">
            <wp:posOffset>0</wp:posOffset>
          </wp:positionH>
          <wp:positionV relativeFrom="page">
            <wp:posOffset>0</wp:posOffset>
          </wp:positionV>
          <wp:extent cx="7560310" cy="10694035"/>
          <wp:effectExtent l="0" t="0" r="2540" b="0"/>
          <wp:wrapNone/>
          <wp:docPr id="4" name="Picture 4" descr="AusAID_facsheet_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usAID_facsheet_D2"/>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7560310" cy="1069403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310FD4"/>
    <w:multiLevelType w:val="hybridMultilevel"/>
    <w:tmpl w:val="F83CDA08"/>
    <w:lvl w:ilvl="0" w:tplc="DB6678E8">
      <w:start w:val="1"/>
      <w:numFmt w:val="bullet"/>
      <w:lvlText w:val="&gt;"/>
      <w:lvlJc w:val="left"/>
      <w:pPr>
        <w:tabs>
          <w:tab w:val="num" w:pos="284"/>
        </w:tabs>
        <w:ind w:left="284" w:hanging="284"/>
      </w:pPr>
      <w:rPr>
        <w:rFonts w:ascii="font292" w:hAnsi="font292" w:hint="default"/>
        <w:color w:val="0000FF"/>
        <w:position w:val="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4621CE7"/>
    <w:multiLevelType w:val="hybridMultilevel"/>
    <w:tmpl w:val="0D18B67E"/>
    <w:lvl w:ilvl="0" w:tplc="ACFA6F56">
      <w:start w:val="1"/>
      <w:numFmt w:val="bullet"/>
      <w:pStyle w:val="TableListBullet2"/>
      <w:lvlText w:val="–"/>
      <w:lvlJc w:val="left"/>
      <w:pPr>
        <w:tabs>
          <w:tab w:val="num" w:pos="454"/>
        </w:tabs>
        <w:ind w:left="454" w:hanging="227"/>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77B7DD8"/>
    <w:multiLevelType w:val="hybridMultilevel"/>
    <w:tmpl w:val="3EA6F6DE"/>
    <w:lvl w:ilvl="0">
      <w:start w:val="1"/>
      <w:numFmt w:val="lowerLetter"/>
      <w:pStyle w:val="TableListNumber2"/>
      <w:lvlText w:val="%1."/>
      <w:lvlJc w:val="left"/>
      <w:pPr>
        <w:tabs>
          <w:tab w:val="num" w:pos="454"/>
        </w:tabs>
        <w:ind w:left="454" w:hanging="227"/>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nsid w:val="180665BC"/>
    <w:multiLevelType w:val="hybridMultilevel"/>
    <w:tmpl w:val="4DC601BA"/>
    <w:lvl w:ilvl="0" w:tplc="5D98112C">
      <w:start w:val="1"/>
      <w:numFmt w:val="decimal"/>
      <w:pStyle w:val="ListNumber"/>
      <w:lvlText w:val="%1."/>
      <w:lvlJc w:val="left"/>
      <w:pPr>
        <w:tabs>
          <w:tab w:val="num" w:pos="284"/>
        </w:tabs>
        <w:ind w:left="284" w:hanging="28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209B02A7"/>
    <w:multiLevelType w:val="singleLevel"/>
    <w:tmpl w:val="38C655C0"/>
    <w:lvl w:ilvl="0">
      <w:start w:val="1"/>
      <w:numFmt w:val="bullet"/>
      <w:pStyle w:val="ListBullet2"/>
      <w:lvlText w:val="–"/>
      <w:lvlJc w:val="left"/>
      <w:pPr>
        <w:tabs>
          <w:tab w:val="num" w:pos="567"/>
        </w:tabs>
        <w:ind w:left="567" w:hanging="283"/>
      </w:pPr>
      <w:rPr>
        <w:rFonts w:cs="Times New Roman" w:hint="default"/>
        <w:color w:val="auto"/>
        <w:sz w:val="21"/>
        <w:szCs w:val="21"/>
      </w:rPr>
    </w:lvl>
  </w:abstractNum>
  <w:abstractNum w:abstractNumId="5">
    <w:nsid w:val="25F55E21"/>
    <w:multiLevelType w:val="multilevel"/>
    <w:tmpl w:val="E3F4A9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A497128"/>
    <w:multiLevelType w:val="hybridMultilevel"/>
    <w:tmpl w:val="D804B4A2"/>
    <w:lvl w:ilvl="0" w:tplc="C66E1DBE">
      <w:numFmt w:val="bullet"/>
      <w:lvlText w:val="-"/>
      <w:lvlJc w:val="left"/>
      <w:pPr>
        <w:tabs>
          <w:tab w:val="num" w:pos="360"/>
        </w:tabs>
        <w:ind w:left="360" w:hanging="360"/>
      </w:pPr>
      <w:rPr>
        <w:rFonts w:ascii="Georgia" w:eastAsia="Times New Roman" w:hAnsi="Georgia" w:cs="Aria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nsid w:val="382D65A6"/>
    <w:multiLevelType w:val="hybridMultilevel"/>
    <w:tmpl w:val="A7446C82"/>
    <w:lvl w:ilvl="0" w:tplc="B70A9096">
      <w:start w:val="1"/>
      <w:numFmt w:val="decimal"/>
      <w:pStyle w:val="BoxListNumber"/>
      <w:lvlText w:val="%1."/>
      <w:lvlJc w:val="left"/>
      <w:pPr>
        <w:tabs>
          <w:tab w:val="num" w:pos="284"/>
        </w:tabs>
        <w:ind w:left="284" w:hanging="28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9233F6B"/>
    <w:multiLevelType w:val="hybridMultilevel"/>
    <w:tmpl w:val="53929CB2"/>
    <w:lvl w:ilvl="0">
      <w:start w:val="1"/>
      <w:numFmt w:val="lowerLetter"/>
      <w:pStyle w:val="BoxListNumber2"/>
      <w:lvlText w:val="%1."/>
      <w:lvlJc w:val="left"/>
      <w:pPr>
        <w:tabs>
          <w:tab w:val="num" w:pos="567"/>
        </w:tabs>
        <w:ind w:left="567" w:hanging="283"/>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nsid w:val="46CD579B"/>
    <w:multiLevelType w:val="hybridMultilevel"/>
    <w:tmpl w:val="36F2514A"/>
    <w:lvl w:ilvl="0">
      <w:start w:val="1"/>
      <w:numFmt w:val="bullet"/>
      <w:pStyle w:val="BoxListBullet"/>
      <w:lvlText w:val="&gt;"/>
      <w:lvlJc w:val="left"/>
      <w:pPr>
        <w:tabs>
          <w:tab w:val="num" w:pos="284"/>
        </w:tabs>
        <w:ind w:left="284" w:hanging="284"/>
      </w:pPr>
      <w:rPr>
        <w:rFonts w:hint="default"/>
        <w:color w:val="auto"/>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nsid w:val="474F5E99"/>
    <w:multiLevelType w:val="hybridMultilevel"/>
    <w:tmpl w:val="C55CE87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52B943C2"/>
    <w:multiLevelType w:val="hybridMultilevel"/>
    <w:tmpl w:val="5A18D8E8"/>
    <w:lvl w:ilvl="0" w:tplc="F036122A">
      <w:start w:val="1"/>
      <w:numFmt w:val="bullet"/>
      <w:pStyle w:val="Ratingamber"/>
      <w:lvlText w:val=""/>
      <w:lvlJc w:val="left"/>
      <w:pPr>
        <w:tabs>
          <w:tab w:val="num" w:pos="567"/>
        </w:tabs>
        <w:ind w:left="567" w:hanging="567"/>
      </w:pPr>
      <w:rPr>
        <w:rFonts w:ascii="Webdings" w:hAnsi="Webdings" w:hint="default"/>
        <w:color w:val="FF9900"/>
        <w:spacing w:val="0"/>
        <w:position w:val="-2"/>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53692D64"/>
    <w:multiLevelType w:val="hybridMultilevel"/>
    <w:tmpl w:val="3544D402"/>
    <w:lvl w:ilvl="0" w:tplc="49BABBDA">
      <w:start w:val="1"/>
      <w:numFmt w:val="bullet"/>
      <w:pStyle w:val="BoxListBullet2"/>
      <w:lvlText w:val="–"/>
      <w:lvlJc w:val="left"/>
      <w:pPr>
        <w:tabs>
          <w:tab w:val="num" w:pos="567"/>
        </w:tabs>
        <w:ind w:left="567" w:hanging="283"/>
      </w:pPr>
      <w:rPr>
        <w:rFont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
    <w:nsid w:val="544B1845"/>
    <w:multiLevelType w:val="hybridMultilevel"/>
    <w:tmpl w:val="5CB887A4"/>
    <w:lvl w:ilvl="0" w:tplc="C66E1DBE">
      <w:numFmt w:val="bullet"/>
      <w:lvlText w:val="-"/>
      <w:lvlJc w:val="left"/>
      <w:pPr>
        <w:tabs>
          <w:tab w:val="num" w:pos="360"/>
        </w:tabs>
        <w:ind w:left="360" w:hanging="360"/>
      </w:pPr>
      <w:rPr>
        <w:rFonts w:ascii="Georgia" w:eastAsia="Times New Roman" w:hAnsi="Georgia" w:cs="Aria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4">
    <w:nsid w:val="598A5214"/>
    <w:multiLevelType w:val="hybridMultilevel"/>
    <w:tmpl w:val="0B5AC610"/>
    <w:lvl w:ilvl="0">
      <w:start w:val="1"/>
      <w:numFmt w:val="decimal"/>
      <w:pStyle w:val="TableListNumber"/>
      <w:lvlText w:val="%1."/>
      <w:lvlJc w:val="left"/>
      <w:pPr>
        <w:tabs>
          <w:tab w:val="num" w:pos="227"/>
        </w:tabs>
        <w:ind w:left="227" w:hanging="227"/>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5">
    <w:nsid w:val="60A8553B"/>
    <w:multiLevelType w:val="multilevel"/>
    <w:tmpl w:val="28627A8E"/>
    <w:lvl w:ilvl="0">
      <w:start w:val="1"/>
      <w:numFmt w:val="decimal"/>
      <w:lvlText w:val="%1"/>
      <w:lvlJc w:val="right"/>
      <w:pPr>
        <w:tabs>
          <w:tab w:val="num" w:pos="0"/>
        </w:tabs>
        <w:ind w:left="0" w:hanging="454"/>
      </w:pPr>
      <w:rPr>
        <w:rFonts w:hint="default"/>
        <w:b w:val="0"/>
        <w:i w:val="0"/>
        <w:color w:val="54534A"/>
      </w:rPr>
    </w:lvl>
    <w:lvl w:ilvl="1">
      <w:start w:val="1"/>
      <w:numFmt w:val="decimal"/>
      <w:lvlText w:val="%1.%2"/>
      <w:lvlJc w:val="left"/>
      <w:pPr>
        <w:tabs>
          <w:tab w:val="num" w:pos="709"/>
        </w:tabs>
        <w:ind w:left="709" w:hanging="709"/>
      </w:pPr>
      <w:rPr>
        <w:rFonts w:hint="default"/>
      </w:rPr>
    </w:lvl>
    <w:lvl w:ilvl="2">
      <w:start w:val="1"/>
      <w:numFmt w:val="none"/>
      <w:lvlRestart w:val="0"/>
      <w:suff w:val="nothing"/>
      <w:lvlText w:val=""/>
      <w:lvlJc w:val="left"/>
      <w:pPr>
        <w:ind w:left="0" w:firstLine="0"/>
      </w:pPr>
      <w:rPr>
        <w:rFonts w:hint="default"/>
      </w:rPr>
    </w:lvl>
    <w:lvl w:ilvl="3">
      <w:start w:val="1"/>
      <w:numFmt w:val="none"/>
      <w:lvlRestart w:val="0"/>
      <w:suff w:val="nothing"/>
      <w:lvlText w:val=""/>
      <w:lvlJc w:val="left"/>
      <w:pPr>
        <w:ind w:left="0" w:firstLine="0"/>
      </w:pPr>
      <w:rPr>
        <w:rFonts w:hint="default"/>
      </w:rPr>
    </w:lvl>
    <w:lvl w:ilvl="4">
      <w:start w:val="1"/>
      <w:numFmt w:val="none"/>
      <w:suff w:val="nothing"/>
      <w:lvlText w:val=""/>
      <w:lvlJc w:val="left"/>
      <w:pPr>
        <w:ind w:left="454" w:firstLine="0"/>
      </w:pPr>
      <w:rPr>
        <w:rFonts w:hint="default"/>
      </w:rPr>
    </w:lvl>
    <w:lvl w:ilvl="5">
      <w:start w:val="1"/>
      <w:numFmt w:val="upperLetter"/>
      <w:lvlRestart w:val="0"/>
      <w:lvlText w:val="%6"/>
      <w:lvlJc w:val="left"/>
      <w:pPr>
        <w:tabs>
          <w:tab w:val="num" w:pos="709"/>
        </w:tabs>
        <w:ind w:left="709" w:hanging="709"/>
      </w:pPr>
      <w:rPr>
        <w:rFonts w:ascii="Franklin Gothic Book" w:hAnsi="Franklin Gothic Book" w:hint="default"/>
        <w:b w:val="0"/>
        <w:i w:val="0"/>
        <w:caps w:val="0"/>
        <w:color w:val="54534A"/>
        <w:position w:val="0"/>
        <w:sz w:val="50"/>
        <w:szCs w:val="50"/>
      </w:rPr>
    </w:lvl>
    <w:lvl w:ilvl="6">
      <w:start w:val="1"/>
      <w:numFmt w:val="none"/>
      <w:lvlRestart w:val="0"/>
      <w:lvlText w:val=""/>
      <w:lvlJc w:val="left"/>
      <w:pPr>
        <w:tabs>
          <w:tab w:val="num" w:pos="454"/>
        </w:tabs>
        <w:ind w:left="454" w:firstLine="0"/>
      </w:pPr>
      <w:rPr>
        <w:rFonts w:hint="default"/>
        <w:caps/>
        <w:sz w:val="22"/>
        <w:szCs w:val="22"/>
      </w:rPr>
    </w:lvl>
    <w:lvl w:ilvl="7">
      <w:start w:val="1"/>
      <w:numFmt w:val="none"/>
      <w:lvlRestart w:val="0"/>
      <w:suff w:val="nothing"/>
      <w:lvlText w:val=""/>
      <w:lvlJc w:val="left"/>
      <w:pPr>
        <w:ind w:left="454" w:firstLine="0"/>
      </w:pPr>
      <w:rPr>
        <w:rFonts w:hint="default"/>
      </w:rPr>
    </w:lvl>
    <w:lvl w:ilvl="8">
      <w:start w:val="1"/>
      <w:numFmt w:val="none"/>
      <w:lvlRestart w:val="0"/>
      <w:lvlText w:val=""/>
      <w:lvlJc w:val="left"/>
      <w:pPr>
        <w:tabs>
          <w:tab w:val="num" w:pos="454"/>
        </w:tabs>
        <w:ind w:left="454" w:firstLine="0"/>
      </w:pPr>
      <w:rPr>
        <w:rFonts w:hint="default"/>
      </w:rPr>
    </w:lvl>
  </w:abstractNum>
  <w:abstractNum w:abstractNumId="16">
    <w:nsid w:val="63EC277D"/>
    <w:multiLevelType w:val="hybridMultilevel"/>
    <w:tmpl w:val="5622DCD2"/>
    <w:lvl w:ilvl="0" w:tplc="F280E2B4">
      <w:start w:val="1"/>
      <w:numFmt w:val="bullet"/>
      <w:pStyle w:val="QuoteBullet"/>
      <w:lvlText w:val="•"/>
      <w:lvlJc w:val="left"/>
      <w:pPr>
        <w:tabs>
          <w:tab w:val="num" w:pos="567"/>
        </w:tabs>
        <w:ind w:left="567" w:hanging="283"/>
      </w:pPr>
      <w:rPr>
        <w:rFonts w:ascii="Garamond" w:hAnsi="Garamond"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64F264CF"/>
    <w:multiLevelType w:val="multilevel"/>
    <w:tmpl w:val="DD5A44F4"/>
    <w:lvl w:ilvl="0">
      <w:start w:val="1"/>
      <w:numFmt w:val="none"/>
      <w:pStyle w:val="Heading1"/>
      <w:suff w:val="nothing"/>
      <w:lvlText w:val=""/>
      <w:lvlJc w:val="left"/>
      <w:pPr>
        <w:ind w:left="-32767" w:firstLine="0"/>
      </w:pPr>
      <w:rPr>
        <w:rFonts w:hint="default"/>
        <w:b w:val="0"/>
        <w:i w:val="0"/>
        <w:color w:val="54534A"/>
      </w:rPr>
    </w:lvl>
    <w:lvl w:ilvl="1">
      <w:start w:val="1"/>
      <w:numFmt w:val="none"/>
      <w:pStyle w:val="Heading2"/>
      <w:suff w:val="nothing"/>
      <w:lvlText w:val=""/>
      <w:lvlJc w:val="left"/>
      <w:pPr>
        <w:ind w:left="-32767" w:firstLine="0"/>
      </w:pPr>
      <w:rPr>
        <w:rFonts w:hint="default"/>
      </w:rPr>
    </w:lvl>
    <w:lvl w:ilvl="2">
      <w:start w:val="1"/>
      <w:numFmt w:val="none"/>
      <w:lvlRestart w:val="0"/>
      <w:pStyle w:val="Heading3"/>
      <w:suff w:val="nothing"/>
      <w:lvlText w:val=""/>
      <w:lvlJc w:val="left"/>
      <w:pPr>
        <w:ind w:left="0" w:firstLine="0"/>
      </w:pPr>
      <w:rPr>
        <w:rFonts w:hint="default"/>
      </w:rPr>
    </w:lvl>
    <w:lvl w:ilvl="3">
      <w:start w:val="1"/>
      <w:numFmt w:val="none"/>
      <w:lvlRestart w:val="0"/>
      <w:pStyle w:val="Heading4"/>
      <w:suff w:val="nothing"/>
      <w:lvlText w:val=""/>
      <w:lvlJc w:val="left"/>
      <w:pPr>
        <w:ind w:left="0" w:firstLine="0"/>
      </w:pPr>
      <w:rPr>
        <w:rFonts w:hint="default"/>
      </w:rPr>
    </w:lvl>
    <w:lvl w:ilvl="4">
      <w:start w:val="1"/>
      <w:numFmt w:val="none"/>
      <w:lvlRestart w:val="0"/>
      <w:pStyle w:val="Heading5"/>
      <w:suff w:val="nothing"/>
      <w:lvlText w:val=""/>
      <w:lvlJc w:val="left"/>
      <w:pPr>
        <w:ind w:left="0" w:firstLine="0"/>
      </w:pPr>
      <w:rPr>
        <w:rFonts w:hint="default"/>
      </w:rPr>
    </w:lvl>
    <w:lvl w:ilvl="5">
      <w:start w:val="1"/>
      <w:numFmt w:val="upperLetter"/>
      <w:lvlRestart w:val="0"/>
      <w:pStyle w:val="Heading6"/>
      <w:lvlText w:val="%6"/>
      <w:lvlJc w:val="left"/>
      <w:pPr>
        <w:tabs>
          <w:tab w:val="num" w:pos="709"/>
        </w:tabs>
        <w:ind w:left="709" w:hanging="709"/>
      </w:pPr>
      <w:rPr>
        <w:rFonts w:ascii="Franklin Gothic Book" w:hAnsi="Franklin Gothic Book" w:hint="default"/>
        <w:b w:val="0"/>
        <w:i w:val="0"/>
        <w:caps w:val="0"/>
        <w:color w:val="54534A"/>
        <w:position w:val="0"/>
        <w:sz w:val="50"/>
        <w:szCs w:val="50"/>
      </w:rPr>
    </w:lvl>
    <w:lvl w:ilvl="6">
      <w:start w:val="1"/>
      <w:numFmt w:val="none"/>
      <w:lvlRestart w:val="0"/>
      <w:pStyle w:val="Heading7"/>
      <w:suff w:val="nothing"/>
      <w:lvlText w:val=""/>
      <w:lvlJc w:val="left"/>
      <w:pPr>
        <w:ind w:left="0" w:firstLine="0"/>
      </w:pPr>
      <w:rPr>
        <w:rFonts w:hint="default"/>
        <w:caps/>
        <w:sz w:val="22"/>
        <w:szCs w:val="22"/>
      </w:rPr>
    </w:lvl>
    <w:lvl w:ilvl="7">
      <w:start w:val="1"/>
      <w:numFmt w:val="none"/>
      <w:lvlRestart w:val="0"/>
      <w:pStyle w:val="Heading8"/>
      <w:suff w:val="nothing"/>
      <w:lvlText w:val=""/>
      <w:lvlJc w:val="left"/>
      <w:pPr>
        <w:ind w:left="0" w:firstLine="0"/>
      </w:pPr>
      <w:rPr>
        <w:rFonts w:hint="default"/>
      </w:rPr>
    </w:lvl>
    <w:lvl w:ilvl="8">
      <w:start w:val="1"/>
      <w:numFmt w:val="none"/>
      <w:lvlRestart w:val="0"/>
      <w:pStyle w:val="Heading9"/>
      <w:suff w:val="nothing"/>
      <w:lvlText w:val=""/>
      <w:lvlJc w:val="left"/>
      <w:pPr>
        <w:ind w:left="0" w:firstLine="0"/>
      </w:pPr>
      <w:rPr>
        <w:rFonts w:hint="default"/>
      </w:rPr>
    </w:lvl>
  </w:abstractNum>
  <w:abstractNum w:abstractNumId="18">
    <w:nsid w:val="66C55035"/>
    <w:multiLevelType w:val="hybridMultilevel"/>
    <w:tmpl w:val="A0C89EE8"/>
    <w:lvl w:ilvl="0" w:tplc="D3782208">
      <w:start w:val="1"/>
      <w:numFmt w:val="bullet"/>
      <w:pStyle w:val="TableListBullet"/>
      <w:lvlText w:val="&gt;"/>
      <w:lvlJc w:val="left"/>
      <w:pPr>
        <w:tabs>
          <w:tab w:val="num" w:pos="227"/>
        </w:tabs>
        <w:ind w:left="227" w:hanging="227"/>
      </w:pPr>
      <w:rPr>
        <w:rFonts w:hint="default"/>
        <w:color w:val="auto"/>
        <w:spacing w:val="0"/>
        <w:w w:val="100"/>
        <w:position w:val="0"/>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
    <w:nsid w:val="69095856"/>
    <w:multiLevelType w:val="hybridMultilevel"/>
    <w:tmpl w:val="A6BE67F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6CA95AF5"/>
    <w:multiLevelType w:val="multilevel"/>
    <w:tmpl w:val="AA96A81E"/>
    <w:lvl w:ilvl="0">
      <w:start w:val="1"/>
      <w:numFmt w:val="lowerLetter"/>
      <w:lvlRestart w:val="0"/>
      <w:pStyle w:val="NoteNumber"/>
      <w:lvlText w:val="%1"/>
      <w:lvlJc w:val="left"/>
      <w:pPr>
        <w:tabs>
          <w:tab w:val="num" w:pos="170"/>
        </w:tabs>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1440"/>
        </w:tabs>
        <w:ind w:left="1440" w:hanging="363"/>
      </w:pPr>
      <w:rPr>
        <w:rFonts w:hint="default"/>
      </w:rPr>
    </w:lvl>
    <w:lvl w:ilvl="2">
      <w:start w:val="1"/>
      <w:numFmt w:val="lowerRoman"/>
      <w:lvlText w:val="%3."/>
      <w:lvlJc w:val="right"/>
      <w:pPr>
        <w:tabs>
          <w:tab w:val="num" w:pos="2160"/>
        </w:tabs>
        <w:ind w:left="2160" w:hanging="181"/>
      </w:pPr>
      <w:rPr>
        <w:rFonts w:hint="default"/>
      </w:rPr>
    </w:lvl>
    <w:lvl w:ilvl="3">
      <w:start w:val="1"/>
      <w:numFmt w:val="decimal"/>
      <w:lvlText w:val="%4."/>
      <w:lvlJc w:val="left"/>
      <w:pPr>
        <w:tabs>
          <w:tab w:val="num" w:pos="2880"/>
        </w:tabs>
        <w:ind w:left="2880" w:hanging="363"/>
      </w:pPr>
      <w:rPr>
        <w:rFonts w:hint="default"/>
      </w:rPr>
    </w:lvl>
    <w:lvl w:ilvl="4">
      <w:start w:val="1"/>
      <w:numFmt w:val="lowerLetter"/>
      <w:lvlText w:val="%5."/>
      <w:lvlJc w:val="left"/>
      <w:pPr>
        <w:tabs>
          <w:tab w:val="num" w:pos="3600"/>
        </w:tabs>
        <w:ind w:left="3600" w:hanging="363"/>
      </w:pPr>
      <w:rPr>
        <w:rFonts w:hint="default"/>
      </w:rPr>
    </w:lvl>
    <w:lvl w:ilvl="5">
      <w:start w:val="1"/>
      <w:numFmt w:val="lowerRoman"/>
      <w:lvlText w:val="%6."/>
      <w:lvlJc w:val="right"/>
      <w:pPr>
        <w:tabs>
          <w:tab w:val="num" w:pos="4320"/>
        </w:tabs>
        <w:ind w:left="4320" w:hanging="181"/>
      </w:pPr>
      <w:rPr>
        <w:rFonts w:hint="default"/>
      </w:rPr>
    </w:lvl>
    <w:lvl w:ilvl="6">
      <w:start w:val="1"/>
      <w:numFmt w:val="decimal"/>
      <w:lvlText w:val="%7."/>
      <w:lvlJc w:val="left"/>
      <w:pPr>
        <w:tabs>
          <w:tab w:val="num" w:pos="5040"/>
        </w:tabs>
        <w:ind w:left="5040" w:hanging="363"/>
      </w:pPr>
      <w:rPr>
        <w:rFonts w:hint="default"/>
      </w:rPr>
    </w:lvl>
    <w:lvl w:ilvl="7">
      <w:start w:val="1"/>
      <w:numFmt w:val="lowerLetter"/>
      <w:lvlText w:val="%8."/>
      <w:lvlJc w:val="left"/>
      <w:pPr>
        <w:tabs>
          <w:tab w:val="num" w:pos="5760"/>
        </w:tabs>
        <w:ind w:left="5760" w:hanging="363"/>
      </w:pPr>
      <w:rPr>
        <w:rFonts w:hint="default"/>
      </w:rPr>
    </w:lvl>
    <w:lvl w:ilvl="8">
      <w:start w:val="1"/>
      <w:numFmt w:val="lowerRoman"/>
      <w:lvlText w:val="%9."/>
      <w:lvlJc w:val="right"/>
      <w:pPr>
        <w:tabs>
          <w:tab w:val="num" w:pos="6480"/>
        </w:tabs>
        <w:ind w:left="6480" w:hanging="181"/>
      </w:pPr>
      <w:rPr>
        <w:rFonts w:hint="default"/>
      </w:rPr>
    </w:lvl>
  </w:abstractNum>
  <w:abstractNum w:abstractNumId="21">
    <w:nsid w:val="6CF363E8"/>
    <w:multiLevelType w:val="hybridMultilevel"/>
    <w:tmpl w:val="663688F2"/>
    <w:lvl w:ilvl="0" w:tplc="02A4C866">
      <w:start w:val="1"/>
      <w:numFmt w:val="bullet"/>
      <w:pStyle w:val="Ratinggreen"/>
      <w:lvlText w:val=""/>
      <w:lvlJc w:val="left"/>
      <w:pPr>
        <w:tabs>
          <w:tab w:val="num" w:pos="567"/>
        </w:tabs>
        <w:ind w:left="567" w:hanging="567"/>
      </w:pPr>
      <w:rPr>
        <w:rFonts w:ascii="Webdings" w:hAnsi="Webdings" w:hint="default"/>
        <w:color w:val="99CC00"/>
        <w:spacing w:val="0"/>
        <w:position w:val="-2"/>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6D536210"/>
    <w:multiLevelType w:val="multilevel"/>
    <w:tmpl w:val="DD688AB0"/>
    <w:lvl w:ilvl="0">
      <w:start w:val="1"/>
      <w:numFmt w:val="bullet"/>
      <w:lvlText w:val="&gt;"/>
      <w:lvlJc w:val="left"/>
      <w:pPr>
        <w:tabs>
          <w:tab w:val="num" w:pos="284"/>
        </w:tabs>
        <w:ind w:left="284" w:hanging="284"/>
      </w:pPr>
      <w:rPr>
        <w:rFonts w:hint="default"/>
        <w:color w:val="7C3D00"/>
        <w:position w:val="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nsid w:val="6E95082D"/>
    <w:multiLevelType w:val="hybridMultilevel"/>
    <w:tmpl w:val="BF387ED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4">
    <w:nsid w:val="79E1124E"/>
    <w:multiLevelType w:val="hybridMultilevel"/>
    <w:tmpl w:val="6D42E656"/>
    <w:lvl w:ilvl="0">
      <w:start w:val="1"/>
      <w:numFmt w:val="lowerLetter"/>
      <w:pStyle w:val="ListNumber2"/>
      <w:lvlText w:val="%1."/>
      <w:lvlJc w:val="left"/>
      <w:pPr>
        <w:tabs>
          <w:tab w:val="num" w:pos="567"/>
        </w:tabs>
        <w:ind w:left="567" w:hanging="283"/>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5">
    <w:nsid w:val="7F7A528B"/>
    <w:multiLevelType w:val="hybridMultilevel"/>
    <w:tmpl w:val="4ADC517C"/>
    <w:lvl w:ilvl="0">
      <w:start w:val="1"/>
      <w:numFmt w:val="bullet"/>
      <w:pStyle w:val="ListBullet"/>
      <w:lvlText w:val="&gt;"/>
      <w:lvlJc w:val="left"/>
      <w:pPr>
        <w:tabs>
          <w:tab w:val="num" w:pos="284"/>
        </w:tabs>
        <w:ind w:left="284" w:hanging="284"/>
      </w:pPr>
      <w:rPr>
        <w:rFonts w:hint="default"/>
        <w:color w:val="auto"/>
        <w:position w:val="3"/>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2"/>
  </w:num>
  <w:num w:numId="3">
    <w:abstractNumId w:val="8"/>
  </w:num>
  <w:num w:numId="4">
    <w:abstractNumId w:val="12"/>
  </w:num>
  <w:num w:numId="5">
    <w:abstractNumId w:val="9"/>
  </w:num>
  <w:num w:numId="6">
    <w:abstractNumId w:val="7"/>
  </w:num>
  <w:num w:numId="7">
    <w:abstractNumId w:val="17"/>
  </w:num>
  <w:num w:numId="8">
    <w:abstractNumId w:val="15"/>
  </w:num>
  <w:num w:numId="9">
    <w:abstractNumId w:val="18"/>
  </w:num>
  <w:num w:numId="10">
    <w:abstractNumId w:val="1"/>
  </w:num>
  <w:num w:numId="11">
    <w:abstractNumId w:val="11"/>
  </w:num>
  <w:num w:numId="12">
    <w:abstractNumId w:val="21"/>
  </w:num>
  <w:num w:numId="13">
    <w:abstractNumId w:val="4"/>
  </w:num>
  <w:num w:numId="14">
    <w:abstractNumId w:val="3"/>
  </w:num>
  <w:num w:numId="15">
    <w:abstractNumId w:val="24"/>
  </w:num>
  <w:num w:numId="16">
    <w:abstractNumId w:val="25"/>
  </w:num>
  <w:num w:numId="17">
    <w:abstractNumId w:val="20"/>
  </w:num>
  <w:num w:numId="18">
    <w:abstractNumId w:val="22"/>
  </w:num>
  <w:num w:numId="19">
    <w:abstractNumId w:val="0"/>
  </w:num>
  <w:num w:numId="20">
    <w:abstractNumId w:val="16"/>
  </w:num>
  <w:num w:numId="21">
    <w:abstractNumId w:val="17"/>
  </w:num>
  <w:num w:numId="22">
    <w:abstractNumId w:val="23"/>
  </w:num>
  <w:num w:numId="23">
    <w:abstractNumId w:val="13"/>
  </w:num>
  <w:num w:numId="24">
    <w:abstractNumId w:val="6"/>
  </w:num>
  <w:num w:numId="25">
    <w:abstractNumId w:val="19"/>
  </w:num>
  <w:num w:numId="26">
    <w:abstractNumId w:val="10"/>
  </w:num>
  <w:num w:numId="27">
    <w:abstractNumId w:val="5"/>
  </w:num>
  <w:num w:numId="2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clickAndTypeStyle w:val="BodyText"/>
  <w:drawingGridHorizontalSpacing w:val="120"/>
  <w:displayHorizontalDrawingGridEvery w:val="2"/>
  <w:displayVerticalDrawingGridEvery w:val="2"/>
  <w:noPunctuationKerning/>
  <w:characterSpacingControl w:val="doNotCompress"/>
  <w:hdrShapeDefaults>
    <o:shapedefaults v:ext="edit" spidmax="3074">
      <o:colormru v:ext="edit" colors="#5a9a98,#ddcf56,#ad495d,#ab9c8f,#b5d3d2,#7e6d5f,#f26631,#54534a"/>
      <o:colormenu v:ext="edit" fillcolor="#c00000" strokecolor="none"/>
    </o:shapedefaults>
  </w:hdrShapeDefaults>
  <w:footnotePr>
    <w:footnote w:id="-1"/>
    <w:footnote w:id="0"/>
    <w:footnote w:id="1"/>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7CE3"/>
    <w:rsid w:val="00002939"/>
    <w:rsid w:val="00004368"/>
    <w:rsid w:val="00011550"/>
    <w:rsid w:val="0001170C"/>
    <w:rsid w:val="000129D7"/>
    <w:rsid w:val="0001356A"/>
    <w:rsid w:val="00013955"/>
    <w:rsid w:val="00014038"/>
    <w:rsid w:val="0001508D"/>
    <w:rsid w:val="00015DBC"/>
    <w:rsid w:val="00016771"/>
    <w:rsid w:val="00016CBA"/>
    <w:rsid w:val="00017D33"/>
    <w:rsid w:val="00017E33"/>
    <w:rsid w:val="000211DA"/>
    <w:rsid w:val="0002235F"/>
    <w:rsid w:val="00022D41"/>
    <w:rsid w:val="00024923"/>
    <w:rsid w:val="000257E7"/>
    <w:rsid w:val="00030588"/>
    <w:rsid w:val="0003385B"/>
    <w:rsid w:val="0003483B"/>
    <w:rsid w:val="00034B41"/>
    <w:rsid w:val="00034E45"/>
    <w:rsid w:val="00035E2A"/>
    <w:rsid w:val="00036B51"/>
    <w:rsid w:val="00037673"/>
    <w:rsid w:val="000433AB"/>
    <w:rsid w:val="00044EDD"/>
    <w:rsid w:val="000452A6"/>
    <w:rsid w:val="0004636D"/>
    <w:rsid w:val="00046974"/>
    <w:rsid w:val="00047087"/>
    <w:rsid w:val="000513B2"/>
    <w:rsid w:val="00053BB3"/>
    <w:rsid w:val="00053D8A"/>
    <w:rsid w:val="000572D7"/>
    <w:rsid w:val="00060A32"/>
    <w:rsid w:val="00061389"/>
    <w:rsid w:val="00063AB4"/>
    <w:rsid w:val="00063C90"/>
    <w:rsid w:val="0006442B"/>
    <w:rsid w:val="000655EB"/>
    <w:rsid w:val="00065C12"/>
    <w:rsid w:val="00067F6E"/>
    <w:rsid w:val="00070BAE"/>
    <w:rsid w:val="00070F05"/>
    <w:rsid w:val="000722A1"/>
    <w:rsid w:val="00073DD4"/>
    <w:rsid w:val="00074C9B"/>
    <w:rsid w:val="00075C1B"/>
    <w:rsid w:val="00075E37"/>
    <w:rsid w:val="00075F52"/>
    <w:rsid w:val="000765D3"/>
    <w:rsid w:val="000766F0"/>
    <w:rsid w:val="00076703"/>
    <w:rsid w:val="00076D81"/>
    <w:rsid w:val="000805B2"/>
    <w:rsid w:val="00082E97"/>
    <w:rsid w:val="000833A0"/>
    <w:rsid w:val="00085441"/>
    <w:rsid w:val="00085585"/>
    <w:rsid w:val="00085E50"/>
    <w:rsid w:val="00086164"/>
    <w:rsid w:val="000863C3"/>
    <w:rsid w:val="00090956"/>
    <w:rsid w:val="00090C8C"/>
    <w:rsid w:val="0009138D"/>
    <w:rsid w:val="00092F37"/>
    <w:rsid w:val="00096629"/>
    <w:rsid w:val="00097A76"/>
    <w:rsid w:val="000A0794"/>
    <w:rsid w:val="000A3437"/>
    <w:rsid w:val="000A4433"/>
    <w:rsid w:val="000A4ECE"/>
    <w:rsid w:val="000A5807"/>
    <w:rsid w:val="000A5BCC"/>
    <w:rsid w:val="000A7400"/>
    <w:rsid w:val="000A7708"/>
    <w:rsid w:val="000A7AD4"/>
    <w:rsid w:val="000B0232"/>
    <w:rsid w:val="000B108C"/>
    <w:rsid w:val="000B13AB"/>
    <w:rsid w:val="000B146D"/>
    <w:rsid w:val="000B4054"/>
    <w:rsid w:val="000B56CF"/>
    <w:rsid w:val="000B5B55"/>
    <w:rsid w:val="000B6330"/>
    <w:rsid w:val="000B65D6"/>
    <w:rsid w:val="000B7FF7"/>
    <w:rsid w:val="000C0125"/>
    <w:rsid w:val="000C0807"/>
    <w:rsid w:val="000C0D83"/>
    <w:rsid w:val="000C45A2"/>
    <w:rsid w:val="000C6046"/>
    <w:rsid w:val="000D074E"/>
    <w:rsid w:val="000D0785"/>
    <w:rsid w:val="000D32D5"/>
    <w:rsid w:val="000D444F"/>
    <w:rsid w:val="000D47A5"/>
    <w:rsid w:val="000D7A85"/>
    <w:rsid w:val="000E0333"/>
    <w:rsid w:val="000E2E8A"/>
    <w:rsid w:val="000E5503"/>
    <w:rsid w:val="000E595E"/>
    <w:rsid w:val="000E5C21"/>
    <w:rsid w:val="000E68B0"/>
    <w:rsid w:val="000F706A"/>
    <w:rsid w:val="000F7DB9"/>
    <w:rsid w:val="000F7EBB"/>
    <w:rsid w:val="0010001A"/>
    <w:rsid w:val="001020A5"/>
    <w:rsid w:val="00104A51"/>
    <w:rsid w:val="00104CCC"/>
    <w:rsid w:val="001104EF"/>
    <w:rsid w:val="00115A8C"/>
    <w:rsid w:val="00115D91"/>
    <w:rsid w:val="001204E2"/>
    <w:rsid w:val="001250BF"/>
    <w:rsid w:val="0012597F"/>
    <w:rsid w:val="001260C2"/>
    <w:rsid w:val="00127B7F"/>
    <w:rsid w:val="00132E41"/>
    <w:rsid w:val="00135A4C"/>
    <w:rsid w:val="001360A4"/>
    <w:rsid w:val="00136E47"/>
    <w:rsid w:val="00136FF9"/>
    <w:rsid w:val="0013715B"/>
    <w:rsid w:val="00137BA1"/>
    <w:rsid w:val="0014049B"/>
    <w:rsid w:val="00141818"/>
    <w:rsid w:val="0014252B"/>
    <w:rsid w:val="0014282B"/>
    <w:rsid w:val="00142A4D"/>
    <w:rsid w:val="00142E47"/>
    <w:rsid w:val="00143525"/>
    <w:rsid w:val="001436A7"/>
    <w:rsid w:val="00144611"/>
    <w:rsid w:val="00144B1B"/>
    <w:rsid w:val="00145C42"/>
    <w:rsid w:val="00145FD8"/>
    <w:rsid w:val="0014787F"/>
    <w:rsid w:val="00152D98"/>
    <w:rsid w:val="0015312F"/>
    <w:rsid w:val="00154A93"/>
    <w:rsid w:val="00154D8B"/>
    <w:rsid w:val="001564B4"/>
    <w:rsid w:val="00156521"/>
    <w:rsid w:val="00156A18"/>
    <w:rsid w:val="0016217F"/>
    <w:rsid w:val="001644AA"/>
    <w:rsid w:val="00165A8B"/>
    <w:rsid w:val="00165C4D"/>
    <w:rsid w:val="00166BE1"/>
    <w:rsid w:val="001702D7"/>
    <w:rsid w:val="001707ED"/>
    <w:rsid w:val="00170B04"/>
    <w:rsid w:val="00172093"/>
    <w:rsid w:val="0017313D"/>
    <w:rsid w:val="001756DD"/>
    <w:rsid w:val="00175CFE"/>
    <w:rsid w:val="00176846"/>
    <w:rsid w:val="001772C7"/>
    <w:rsid w:val="00177AE1"/>
    <w:rsid w:val="00180E63"/>
    <w:rsid w:val="00180EC6"/>
    <w:rsid w:val="00182E7D"/>
    <w:rsid w:val="001840DC"/>
    <w:rsid w:val="00184C6E"/>
    <w:rsid w:val="00186453"/>
    <w:rsid w:val="00187D56"/>
    <w:rsid w:val="00190A25"/>
    <w:rsid w:val="00190F7D"/>
    <w:rsid w:val="00193384"/>
    <w:rsid w:val="001957F2"/>
    <w:rsid w:val="0019627A"/>
    <w:rsid w:val="00197485"/>
    <w:rsid w:val="001A0653"/>
    <w:rsid w:val="001A157D"/>
    <w:rsid w:val="001A1BF2"/>
    <w:rsid w:val="001A4314"/>
    <w:rsid w:val="001A4CB0"/>
    <w:rsid w:val="001A4F3D"/>
    <w:rsid w:val="001A64D6"/>
    <w:rsid w:val="001A676A"/>
    <w:rsid w:val="001A76CD"/>
    <w:rsid w:val="001A7A00"/>
    <w:rsid w:val="001B0BC3"/>
    <w:rsid w:val="001B0D8C"/>
    <w:rsid w:val="001B11EB"/>
    <w:rsid w:val="001B1559"/>
    <w:rsid w:val="001B386A"/>
    <w:rsid w:val="001B3A25"/>
    <w:rsid w:val="001B40B6"/>
    <w:rsid w:val="001B7441"/>
    <w:rsid w:val="001B7D36"/>
    <w:rsid w:val="001C1650"/>
    <w:rsid w:val="001C18A5"/>
    <w:rsid w:val="001C27DD"/>
    <w:rsid w:val="001C54D5"/>
    <w:rsid w:val="001C557B"/>
    <w:rsid w:val="001C665D"/>
    <w:rsid w:val="001C68A6"/>
    <w:rsid w:val="001C6E03"/>
    <w:rsid w:val="001C6E25"/>
    <w:rsid w:val="001C7FAB"/>
    <w:rsid w:val="001D0D54"/>
    <w:rsid w:val="001D0D75"/>
    <w:rsid w:val="001D21D0"/>
    <w:rsid w:val="001D2230"/>
    <w:rsid w:val="001D24B1"/>
    <w:rsid w:val="001D2D04"/>
    <w:rsid w:val="001D4370"/>
    <w:rsid w:val="001D5233"/>
    <w:rsid w:val="001D65A4"/>
    <w:rsid w:val="001D6E50"/>
    <w:rsid w:val="001E4FE0"/>
    <w:rsid w:val="001E521E"/>
    <w:rsid w:val="001E5458"/>
    <w:rsid w:val="001E61C0"/>
    <w:rsid w:val="001E77A7"/>
    <w:rsid w:val="001E7C2A"/>
    <w:rsid w:val="001F0E53"/>
    <w:rsid w:val="001F0E62"/>
    <w:rsid w:val="001F1365"/>
    <w:rsid w:val="001F1633"/>
    <w:rsid w:val="001F353B"/>
    <w:rsid w:val="001F39C9"/>
    <w:rsid w:val="001F4CD3"/>
    <w:rsid w:val="001F4E51"/>
    <w:rsid w:val="001F5AA9"/>
    <w:rsid w:val="001F7CB3"/>
    <w:rsid w:val="0020245F"/>
    <w:rsid w:val="002028B6"/>
    <w:rsid w:val="00203160"/>
    <w:rsid w:val="0020410B"/>
    <w:rsid w:val="00205AA6"/>
    <w:rsid w:val="0020798A"/>
    <w:rsid w:val="0021017E"/>
    <w:rsid w:val="00212975"/>
    <w:rsid w:val="00213176"/>
    <w:rsid w:val="00214C9D"/>
    <w:rsid w:val="002178C9"/>
    <w:rsid w:val="00217F60"/>
    <w:rsid w:val="00222F3B"/>
    <w:rsid w:val="00223CB1"/>
    <w:rsid w:val="00224B34"/>
    <w:rsid w:val="00225461"/>
    <w:rsid w:val="00226029"/>
    <w:rsid w:val="00226880"/>
    <w:rsid w:val="0022688E"/>
    <w:rsid w:val="002274D0"/>
    <w:rsid w:val="00227783"/>
    <w:rsid w:val="00227D6B"/>
    <w:rsid w:val="00230BD1"/>
    <w:rsid w:val="00230F10"/>
    <w:rsid w:val="00231CB6"/>
    <w:rsid w:val="00232097"/>
    <w:rsid w:val="00233570"/>
    <w:rsid w:val="00233D7A"/>
    <w:rsid w:val="00234583"/>
    <w:rsid w:val="00234A93"/>
    <w:rsid w:val="00234D37"/>
    <w:rsid w:val="00236C53"/>
    <w:rsid w:val="00237451"/>
    <w:rsid w:val="0024071E"/>
    <w:rsid w:val="00240A07"/>
    <w:rsid w:val="00243468"/>
    <w:rsid w:val="0024348E"/>
    <w:rsid w:val="002441E9"/>
    <w:rsid w:val="00244F96"/>
    <w:rsid w:val="002452D0"/>
    <w:rsid w:val="0024542D"/>
    <w:rsid w:val="0024630C"/>
    <w:rsid w:val="00247D70"/>
    <w:rsid w:val="00247F6A"/>
    <w:rsid w:val="002505BE"/>
    <w:rsid w:val="00250D70"/>
    <w:rsid w:val="002515F6"/>
    <w:rsid w:val="0025173D"/>
    <w:rsid w:val="00252B4D"/>
    <w:rsid w:val="00253146"/>
    <w:rsid w:val="00253B3E"/>
    <w:rsid w:val="00254E43"/>
    <w:rsid w:val="00254E51"/>
    <w:rsid w:val="00257199"/>
    <w:rsid w:val="002600C7"/>
    <w:rsid w:val="00260CE2"/>
    <w:rsid w:val="00261151"/>
    <w:rsid w:val="0026347A"/>
    <w:rsid w:val="00263B78"/>
    <w:rsid w:val="00266A89"/>
    <w:rsid w:val="00266B56"/>
    <w:rsid w:val="00266C05"/>
    <w:rsid w:val="0027012D"/>
    <w:rsid w:val="002702DD"/>
    <w:rsid w:val="00272699"/>
    <w:rsid w:val="0027351E"/>
    <w:rsid w:val="0027441E"/>
    <w:rsid w:val="0027483C"/>
    <w:rsid w:val="00281D52"/>
    <w:rsid w:val="002820D7"/>
    <w:rsid w:val="00284798"/>
    <w:rsid w:val="00284FCC"/>
    <w:rsid w:val="00286E03"/>
    <w:rsid w:val="00287F57"/>
    <w:rsid w:val="00291B3A"/>
    <w:rsid w:val="00292089"/>
    <w:rsid w:val="00292656"/>
    <w:rsid w:val="00292C3C"/>
    <w:rsid w:val="00294AA6"/>
    <w:rsid w:val="00294D4C"/>
    <w:rsid w:val="00296270"/>
    <w:rsid w:val="00297DF9"/>
    <w:rsid w:val="002A1D2F"/>
    <w:rsid w:val="002A1DE3"/>
    <w:rsid w:val="002A2305"/>
    <w:rsid w:val="002A477C"/>
    <w:rsid w:val="002A4BB1"/>
    <w:rsid w:val="002A5188"/>
    <w:rsid w:val="002A561C"/>
    <w:rsid w:val="002A6CE4"/>
    <w:rsid w:val="002B02EA"/>
    <w:rsid w:val="002B1624"/>
    <w:rsid w:val="002B1C3F"/>
    <w:rsid w:val="002B1D0E"/>
    <w:rsid w:val="002B2514"/>
    <w:rsid w:val="002B3053"/>
    <w:rsid w:val="002B33AD"/>
    <w:rsid w:val="002B3E15"/>
    <w:rsid w:val="002B4651"/>
    <w:rsid w:val="002B4B0B"/>
    <w:rsid w:val="002B7D4C"/>
    <w:rsid w:val="002C018F"/>
    <w:rsid w:val="002C0F44"/>
    <w:rsid w:val="002C159E"/>
    <w:rsid w:val="002C23D1"/>
    <w:rsid w:val="002C257C"/>
    <w:rsid w:val="002C4A18"/>
    <w:rsid w:val="002C5AF0"/>
    <w:rsid w:val="002C63E5"/>
    <w:rsid w:val="002C7822"/>
    <w:rsid w:val="002C79E4"/>
    <w:rsid w:val="002D3972"/>
    <w:rsid w:val="002D468F"/>
    <w:rsid w:val="002D5DED"/>
    <w:rsid w:val="002D657C"/>
    <w:rsid w:val="002D6E19"/>
    <w:rsid w:val="002D7A0A"/>
    <w:rsid w:val="002E000E"/>
    <w:rsid w:val="002E0115"/>
    <w:rsid w:val="002E0358"/>
    <w:rsid w:val="002E1AC2"/>
    <w:rsid w:val="002E2CDD"/>
    <w:rsid w:val="002E499B"/>
    <w:rsid w:val="002E626C"/>
    <w:rsid w:val="002E7F6A"/>
    <w:rsid w:val="002F056E"/>
    <w:rsid w:val="002F1AB4"/>
    <w:rsid w:val="002F328D"/>
    <w:rsid w:val="002F3393"/>
    <w:rsid w:val="002F36D2"/>
    <w:rsid w:val="002F3C1A"/>
    <w:rsid w:val="002F3E97"/>
    <w:rsid w:val="002F4300"/>
    <w:rsid w:val="002F489A"/>
    <w:rsid w:val="00300573"/>
    <w:rsid w:val="003023FD"/>
    <w:rsid w:val="0030414F"/>
    <w:rsid w:val="00304A68"/>
    <w:rsid w:val="00305213"/>
    <w:rsid w:val="00305565"/>
    <w:rsid w:val="00310C02"/>
    <w:rsid w:val="0031131B"/>
    <w:rsid w:val="00312B95"/>
    <w:rsid w:val="00312E50"/>
    <w:rsid w:val="003147DD"/>
    <w:rsid w:val="00315D84"/>
    <w:rsid w:val="00316AAC"/>
    <w:rsid w:val="00321C81"/>
    <w:rsid w:val="00322444"/>
    <w:rsid w:val="003225AB"/>
    <w:rsid w:val="00323965"/>
    <w:rsid w:val="00323E07"/>
    <w:rsid w:val="00330A76"/>
    <w:rsid w:val="00330D74"/>
    <w:rsid w:val="0033283A"/>
    <w:rsid w:val="00332945"/>
    <w:rsid w:val="00333127"/>
    <w:rsid w:val="00334083"/>
    <w:rsid w:val="003341A9"/>
    <w:rsid w:val="00334B60"/>
    <w:rsid w:val="003360B5"/>
    <w:rsid w:val="003368B5"/>
    <w:rsid w:val="003369D5"/>
    <w:rsid w:val="00336FAC"/>
    <w:rsid w:val="003379F3"/>
    <w:rsid w:val="00337AAE"/>
    <w:rsid w:val="0034020A"/>
    <w:rsid w:val="003405D1"/>
    <w:rsid w:val="00341566"/>
    <w:rsid w:val="00342A5A"/>
    <w:rsid w:val="00345C2F"/>
    <w:rsid w:val="00345D63"/>
    <w:rsid w:val="0034794C"/>
    <w:rsid w:val="00347D10"/>
    <w:rsid w:val="00347E04"/>
    <w:rsid w:val="0035098F"/>
    <w:rsid w:val="003522B0"/>
    <w:rsid w:val="00352A66"/>
    <w:rsid w:val="00354CF6"/>
    <w:rsid w:val="003557A9"/>
    <w:rsid w:val="0035655A"/>
    <w:rsid w:val="00357879"/>
    <w:rsid w:val="00360C27"/>
    <w:rsid w:val="0036152B"/>
    <w:rsid w:val="00361A07"/>
    <w:rsid w:val="00362300"/>
    <w:rsid w:val="00362945"/>
    <w:rsid w:val="00363DA6"/>
    <w:rsid w:val="003643A3"/>
    <w:rsid w:val="00364555"/>
    <w:rsid w:val="0036493C"/>
    <w:rsid w:val="00365BED"/>
    <w:rsid w:val="00365ECE"/>
    <w:rsid w:val="00366135"/>
    <w:rsid w:val="00366142"/>
    <w:rsid w:val="00366EAE"/>
    <w:rsid w:val="0037000D"/>
    <w:rsid w:val="00372980"/>
    <w:rsid w:val="00372C90"/>
    <w:rsid w:val="00373509"/>
    <w:rsid w:val="00373545"/>
    <w:rsid w:val="00373D61"/>
    <w:rsid w:val="00380D72"/>
    <w:rsid w:val="003813B0"/>
    <w:rsid w:val="00381894"/>
    <w:rsid w:val="00382BC2"/>
    <w:rsid w:val="003852FD"/>
    <w:rsid w:val="003858C6"/>
    <w:rsid w:val="003864C0"/>
    <w:rsid w:val="00386714"/>
    <w:rsid w:val="00386BBA"/>
    <w:rsid w:val="00386D59"/>
    <w:rsid w:val="003870E2"/>
    <w:rsid w:val="003908F2"/>
    <w:rsid w:val="00391333"/>
    <w:rsid w:val="0039171C"/>
    <w:rsid w:val="00392604"/>
    <w:rsid w:val="00393C49"/>
    <w:rsid w:val="00395037"/>
    <w:rsid w:val="003950F3"/>
    <w:rsid w:val="00396AAB"/>
    <w:rsid w:val="00396E51"/>
    <w:rsid w:val="00396FEE"/>
    <w:rsid w:val="00397842"/>
    <w:rsid w:val="003A12E4"/>
    <w:rsid w:val="003A1A4E"/>
    <w:rsid w:val="003A2AFB"/>
    <w:rsid w:val="003A3E3B"/>
    <w:rsid w:val="003A437D"/>
    <w:rsid w:val="003A5F6E"/>
    <w:rsid w:val="003A6DB3"/>
    <w:rsid w:val="003A7876"/>
    <w:rsid w:val="003A7AD5"/>
    <w:rsid w:val="003B01D4"/>
    <w:rsid w:val="003B0602"/>
    <w:rsid w:val="003B3833"/>
    <w:rsid w:val="003B5B3A"/>
    <w:rsid w:val="003B669E"/>
    <w:rsid w:val="003B6AF8"/>
    <w:rsid w:val="003B708B"/>
    <w:rsid w:val="003B7C35"/>
    <w:rsid w:val="003C4418"/>
    <w:rsid w:val="003D277A"/>
    <w:rsid w:val="003D3401"/>
    <w:rsid w:val="003D34DD"/>
    <w:rsid w:val="003D41D9"/>
    <w:rsid w:val="003D51CF"/>
    <w:rsid w:val="003D62B1"/>
    <w:rsid w:val="003D7C66"/>
    <w:rsid w:val="003E15BE"/>
    <w:rsid w:val="003E4703"/>
    <w:rsid w:val="003E4B7C"/>
    <w:rsid w:val="003E4C57"/>
    <w:rsid w:val="003E4E42"/>
    <w:rsid w:val="003E6A24"/>
    <w:rsid w:val="003E74A4"/>
    <w:rsid w:val="003F0648"/>
    <w:rsid w:val="003F159A"/>
    <w:rsid w:val="003F23B0"/>
    <w:rsid w:val="003F291D"/>
    <w:rsid w:val="003F2F80"/>
    <w:rsid w:val="003F3B29"/>
    <w:rsid w:val="003F4406"/>
    <w:rsid w:val="003F4998"/>
    <w:rsid w:val="003F6535"/>
    <w:rsid w:val="003F7DFD"/>
    <w:rsid w:val="00403EC1"/>
    <w:rsid w:val="00404981"/>
    <w:rsid w:val="00404EA8"/>
    <w:rsid w:val="00406327"/>
    <w:rsid w:val="004069E3"/>
    <w:rsid w:val="00407CFC"/>
    <w:rsid w:val="00410D4E"/>
    <w:rsid w:val="00411191"/>
    <w:rsid w:val="00411ADD"/>
    <w:rsid w:val="00412989"/>
    <w:rsid w:val="004131F2"/>
    <w:rsid w:val="00414418"/>
    <w:rsid w:val="004146C9"/>
    <w:rsid w:val="00416765"/>
    <w:rsid w:val="004174E5"/>
    <w:rsid w:val="00420072"/>
    <w:rsid w:val="004202ED"/>
    <w:rsid w:val="0042107B"/>
    <w:rsid w:val="0042222F"/>
    <w:rsid w:val="00422524"/>
    <w:rsid w:val="00422662"/>
    <w:rsid w:val="004226D0"/>
    <w:rsid w:val="004229B0"/>
    <w:rsid w:val="00425388"/>
    <w:rsid w:val="00427DB3"/>
    <w:rsid w:val="0043018B"/>
    <w:rsid w:val="004314C3"/>
    <w:rsid w:val="00433FEB"/>
    <w:rsid w:val="0043622D"/>
    <w:rsid w:val="00442A8F"/>
    <w:rsid w:val="00442BE6"/>
    <w:rsid w:val="0044452B"/>
    <w:rsid w:val="00445908"/>
    <w:rsid w:val="00446BFE"/>
    <w:rsid w:val="00447F42"/>
    <w:rsid w:val="0045116A"/>
    <w:rsid w:val="00451E60"/>
    <w:rsid w:val="00452C48"/>
    <w:rsid w:val="00452E10"/>
    <w:rsid w:val="00452E9D"/>
    <w:rsid w:val="0045304C"/>
    <w:rsid w:val="004530AC"/>
    <w:rsid w:val="00453EB3"/>
    <w:rsid w:val="00454368"/>
    <w:rsid w:val="004547C0"/>
    <w:rsid w:val="00454AE8"/>
    <w:rsid w:val="004559D3"/>
    <w:rsid w:val="00456D32"/>
    <w:rsid w:val="0045720E"/>
    <w:rsid w:val="00457853"/>
    <w:rsid w:val="00457902"/>
    <w:rsid w:val="00457CDA"/>
    <w:rsid w:val="00460B25"/>
    <w:rsid w:val="00461AD2"/>
    <w:rsid w:val="00462797"/>
    <w:rsid w:val="00464228"/>
    <w:rsid w:val="00465BD1"/>
    <w:rsid w:val="00467537"/>
    <w:rsid w:val="0047058E"/>
    <w:rsid w:val="00471026"/>
    <w:rsid w:val="004732C0"/>
    <w:rsid w:val="00473A93"/>
    <w:rsid w:val="00474394"/>
    <w:rsid w:val="004744D3"/>
    <w:rsid w:val="00475EFF"/>
    <w:rsid w:val="00476144"/>
    <w:rsid w:val="0047786B"/>
    <w:rsid w:val="004822A1"/>
    <w:rsid w:val="00482EF4"/>
    <w:rsid w:val="0048343C"/>
    <w:rsid w:val="00483A17"/>
    <w:rsid w:val="00483DD5"/>
    <w:rsid w:val="004842DD"/>
    <w:rsid w:val="004845F1"/>
    <w:rsid w:val="00484BC2"/>
    <w:rsid w:val="00486E8C"/>
    <w:rsid w:val="004872E3"/>
    <w:rsid w:val="00487630"/>
    <w:rsid w:val="004900C1"/>
    <w:rsid w:val="00490743"/>
    <w:rsid w:val="00491178"/>
    <w:rsid w:val="004914D1"/>
    <w:rsid w:val="00492C14"/>
    <w:rsid w:val="00492FC4"/>
    <w:rsid w:val="00493037"/>
    <w:rsid w:val="00494CD3"/>
    <w:rsid w:val="00494FB3"/>
    <w:rsid w:val="004955A5"/>
    <w:rsid w:val="00495EF4"/>
    <w:rsid w:val="00496D19"/>
    <w:rsid w:val="00496DF9"/>
    <w:rsid w:val="00497240"/>
    <w:rsid w:val="004A154E"/>
    <w:rsid w:val="004A15DE"/>
    <w:rsid w:val="004A24AA"/>
    <w:rsid w:val="004A2EFC"/>
    <w:rsid w:val="004A377E"/>
    <w:rsid w:val="004A472E"/>
    <w:rsid w:val="004A4B6B"/>
    <w:rsid w:val="004B0361"/>
    <w:rsid w:val="004B3904"/>
    <w:rsid w:val="004B42F1"/>
    <w:rsid w:val="004B6157"/>
    <w:rsid w:val="004B7492"/>
    <w:rsid w:val="004B7C61"/>
    <w:rsid w:val="004C0E63"/>
    <w:rsid w:val="004C2A95"/>
    <w:rsid w:val="004C2C28"/>
    <w:rsid w:val="004C3546"/>
    <w:rsid w:val="004C3568"/>
    <w:rsid w:val="004C4638"/>
    <w:rsid w:val="004C60B8"/>
    <w:rsid w:val="004C7DD7"/>
    <w:rsid w:val="004D18D0"/>
    <w:rsid w:val="004D27D6"/>
    <w:rsid w:val="004D2F5D"/>
    <w:rsid w:val="004D5771"/>
    <w:rsid w:val="004D79AD"/>
    <w:rsid w:val="004E493E"/>
    <w:rsid w:val="004E4F72"/>
    <w:rsid w:val="004E6274"/>
    <w:rsid w:val="004E63CC"/>
    <w:rsid w:val="004F096E"/>
    <w:rsid w:val="004F0BE2"/>
    <w:rsid w:val="004F2140"/>
    <w:rsid w:val="004F256B"/>
    <w:rsid w:val="004F457D"/>
    <w:rsid w:val="004F72C7"/>
    <w:rsid w:val="004F75A1"/>
    <w:rsid w:val="004F79BD"/>
    <w:rsid w:val="004F7A91"/>
    <w:rsid w:val="00502E98"/>
    <w:rsid w:val="005031B6"/>
    <w:rsid w:val="00506BC4"/>
    <w:rsid w:val="00507A63"/>
    <w:rsid w:val="00507D05"/>
    <w:rsid w:val="00510FCB"/>
    <w:rsid w:val="00513602"/>
    <w:rsid w:val="00514B02"/>
    <w:rsid w:val="005157A6"/>
    <w:rsid w:val="0052067C"/>
    <w:rsid w:val="00522F30"/>
    <w:rsid w:val="00524D76"/>
    <w:rsid w:val="00531479"/>
    <w:rsid w:val="005335EE"/>
    <w:rsid w:val="005343DE"/>
    <w:rsid w:val="005348EF"/>
    <w:rsid w:val="005351E9"/>
    <w:rsid w:val="005353FE"/>
    <w:rsid w:val="005363D4"/>
    <w:rsid w:val="005374AC"/>
    <w:rsid w:val="005401AF"/>
    <w:rsid w:val="00541DB8"/>
    <w:rsid w:val="005445D6"/>
    <w:rsid w:val="00545090"/>
    <w:rsid w:val="00546C44"/>
    <w:rsid w:val="00551029"/>
    <w:rsid w:val="005510FE"/>
    <w:rsid w:val="00552CC6"/>
    <w:rsid w:val="00556B35"/>
    <w:rsid w:val="00561EE2"/>
    <w:rsid w:val="005631AD"/>
    <w:rsid w:val="005639EA"/>
    <w:rsid w:val="00564BCE"/>
    <w:rsid w:val="005667D5"/>
    <w:rsid w:val="005722A1"/>
    <w:rsid w:val="00572319"/>
    <w:rsid w:val="00572841"/>
    <w:rsid w:val="00573B43"/>
    <w:rsid w:val="00575350"/>
    <w:rsid w:val="00580DC4"/>
    <w:rsid w:val="00581FE1"/>
    <w:rsid w:val="00584E76"/>
    <w:rsid w:val="0058536F"/>
    <w:rsid w:val="00585433"/>
    <w:rsid w:val="00586AD4"/>
    <w:rsid w:val="0058729F"/>
    <w:rsid w:val="005879C7"/>
    <w:rsid w:val="0059107D"/>
    <w:rsid w:val="005910A3"/>
    <w:rsid w:val="00591DD6"/>
    <w:rsid w:val="005925E4"/>
    <w:rsid w:val="00592A83"/>
    <w:rsid w:val="00593B07"/>
    <w:rsid w:val="00593E3E"/>
    <w:rsid w:val="005942EA"/>
    <w:rsid w:val="005943A7"/>
    <w:rsid w:val="0059480C"/>
    <w:rsid w:val="00596832"/>
    <w:rsid w:val="005A1052"/>
    <w:rsid w:val="005A341D"/>
    <w:rsid w:val="005A3AA3"/>
    <w:rsid w:val="005A3FE0"/>
    <w:rsid w:val="005A4ABA"/>
    <w:rsid w:val="005A517D"/>
    <w:rsid w:val="005A6121"/>
    <w:rsid w:val="005B0E72"/>
    <w:rsid w:val="005B2981"/>
    <w:rsid w:val="005B522F"/>
    <w:rsid w:val="005B7710"/>
    <w:rsid w:val="005C10C7"/>
    <w:rsid w:val="005C206D"/>
    <w:rsid w:val="005C2C17"/>
    <w:rsid w:val="005C349D"/>
    <w:rsid w:val="005C4005"/>
    <w:rsid w:val="005C4BD3"/>
    <w:rsid w:val="005C6FD6"/>
    <w:rsid w:val="005C7A9F"/>
    <w:rsid w:val="005D0AF9"/>
    <w:rsid w:val="005D1E18"/>
    <w:rsid w:val="005D244B"/>
    <w:rsid w:val="005D2B37"/>
    <w:rsid w:val="005D4715"/>
    <w:rsid w:val="005D5AD2"/>
    <w:rsid w:val="005D6F2C"/>
    <w:rsid w:val="005E0A0B"/>
    <w:rsid w:val="005E1812"/>
    <w:rsid w:val="005E1AF2"/>
    <w:rsid w:val="005E1D7A"/>
    <w:rsid w:val="005E2411"/>
    <w:rsid w:val="005E344F"/>
    <w:rsid w:val="005E3CEF"/>
    <w:rsid w:val="005E51D2"/>
    <w:rsid w:val="005E6A91"/>
    <w:rsid w:val="005E725C"/>
    <w:rsid w:val="005F168A"/>
    <w:rsid w:val="005F177B"/>
    <w:rsid w:val="005F1840"/>
    <w:rsid w:val="005F218A"/>
    <w:rsid w:val="005F2846"/>
    <w:rsid w:val="005F2F06"/>
    <w:rsid w:val="005F356A"/>
    <w:rsid w:val="005F5193"/>
    <w:rsid w:val="005F5C10"/>
    <w:rsid w:val="005F5C2F"/>
    <w:rsid w:val="005F710E"/>
    <w:rsid w:val="005F7879"/>
    <w:rsid w:val="006007F6"/>
    <w:rsid w:val="00600A18"/>
    <w:rsid w:val="00600B0F"/>
    <w:rsid w:val="00601D94"/>
    <w:rsid w:val="00602D21"/>
    <w:rsid w:val="00604147"/>
    <w:rsid w:val="00605815"/>
    <w:rsid w:val="00605C82"/>
    <w:rsid w:val="0060617B"/>
    <w:rsid w:val="00607E92"/>
    <w:rsid w:val="00611254"/>
    <w:rsid w:val="00613E68"/>
    <w:rsid w:val="00614A27"/>
    <w:rsid w:val="00615247"/>
    <w:rsid w:val="006155FC"/>
    <w:rsid w:val="00615695"/>
    <w:rsid w:val="006203BD"/>
    <w:rsid w:val="0062059B"/>
    <w:rsid w:val="00623FA5"/>
    <w:rsid w:val="006247BA"/>
    <w:rsid w:val="00624C5C"/>
    <w:rsid w:val="00627E76"/>
    <w:rsid w:val="0063062A"/>
    <w:rsid w:val="006314F7"/>
    <w:rsid w:val="006323A6"/>
    <w:rsid w:val="00632B1F"/>
    <w:rsid w:val="00635A99"/>
    <w:rsid w:val="00636A86"/>
    <w:rsid w:val="00645987"/>
    <w:rsid w:val="0065046E"/>
    <w:rsid w:val="006504EE"/>
    <w:rsid w:val="00650B00"/>
    <w:rsid w:val="0065259E"/>
    <w:rsid w:val="0065282A"/>
    <w:rsid w:val="00652F48"/>
    <w:rsid w:val="006536A9"/>
    <w:rsid w:val="00655649"/>
    <w:rsid w:val="00657ADE"/>
    <w:rsid w:val="00657C61"/>
    <w:rsid w:val="00657CB6"/>
    <w:rsid w:val="00657E00"/>
    <w:rsid w:val="006613A9"/>
    <w:rsid w:val="006625B4"/>
    <w:rsid w:val="006640FE"/>
    <w:rsid w:val="0067092B"/>
    <w:rsid w:val="00671255"/>
    <w:rsid w:val="0067293C"/>
    <w:rsid w:val="00672BEE"/>
    <w:rsid w:val="00672F25"/>
    <w:rsid w:val="00674467"/>
    <w:rsid w:val="0067448D"/>
    <w:rsid w:val="006762E5"/>
    <w:rsid w:val="006764C8"/>
    <w:rsid w:val="006777A0"/>
    <w:rsid w:val="00680FFE"/>
    <w:rsid w:val="006813C8"/>
    <w:rsid w:val="00681A3E"/>
    <w:rsid w:val="00682A07"/>
    <w:rsid w:val="00683B97"/>
    <w:rsid w:val="00683CCF"/>
    <w:rsid w:val="00683DC7"/>
    <w:rsid w:val="00683E06"/>
    <w:rsid w:val="006846ED"/>
    <w:rsid w:val="0068568E"/>
    <w:rsid w:val="00685B51"/>
    <w:rsid w:val="00685E07"/>
    <w:rsid w:val="006865E3"/>
    <w:rsid w:val="0069068B"/>
    <w:rsid w:val="006930C8"/>
    <w:rsid w:val="006931D5"/>
    <w:rsid w:val="006938AF"/>
    <w:rsid w:val="00694103"/>
    <w:rsid w:val="006974FC"/>
    <w:rsid w:val="006A0482"/>
    <w:rsid w:val="006A13BF"/>
    <w:rsid w:val="006A23D3"/>
    <w:rsid w:val="006A4046"/>
    <w:rsid w:val="006A53F6"/>
    <w:rsid w:val="006B432F"/>
    <w:rsid w:val="006B7C24"/>
    <w:rsid w:val="006B7CF9"/>
    <w:rsid w:val="006C0139"/>
    <w:rsid w:val="006C111C"/>
    <w:rsid w:val="006C1AEE"/>
    <w:rsid w:val="006C27E2"/>
    <w:rsid w:val="006C3927"/>
    <w:rsid w:val="006C51F7"/>
    <w:rsid w:val="006C6452"/>
    <w:rsid w:val="006C6761"/>
    <w:rsid w:val="006D0368"/>
    <w:rsid w:val="006D2333"/>
    <w:rsid w:val="006D2DEC"/>
    <w:rsid w:val="006D3DBE"/>
    <w:rsid w:val="006D571E"/>
    <w:rsid w:val="006D6A9D"/>
    <w:rsid w:val="006D6CC7"/>
    <w:rsid w:val="006D70CD"/>
    <w:rsid w:val="006D7C85"/>
    <w:rsid w:val="006E1CA2"/>
    <w:rsid w:val="006E2C81"/>
    <w:rsid w:val="006E343F"/>
    <w:rsid w:val="006E42F5"/>
    <w:rsid w:val="006E4AA9"/>
    <w:rsid w:val="006E53D1"/>
    <w:rsid w:val="006E6DB3"/>
    <w:rsid w:val="006E7CC1"/>
    <w:rsid w:val="006F0B6B"/>
    <w:rsid w:val="006F0D07"/>
    <w:rsid w:val="006F1248"/>
    <w:rsid w:val="006F1E01"/>
    <w:rsid w:val="006F47C8"/>
    <w:rsid w:val="006F4AF5"/>
    <w:rsid w:val="006F51F9"/>
    <w:rsid w:val="006F715C"/>
    <w:rsid w:val="006F7A23"/>
    <w:rsid w:val="0070010D"/>
    <w:rsid w:val="007004DA"/>
    <w:rsid w:val="007008B7"/>
    <w:rsid w:val="00700E5F"/>
    <w:rsid w:val="00701726"/>
    <w:rsid w:val="007025DB"/>
    <w:rsid w:val="007031E2"/>
    <w:rsid w:val="00703733"/>
    <w:rsid w:val="00710273"/>
    <w:rsid w:val="00711574"/>
    <w:rsid w:val="00711B43"/>
    <w:rsid w:val="007122CC"/>
    <w:rsid w:val="00712F34"/>
    <w:rsid w:val="00716799"/>
    <w:rsid w:val="00721DCB"/>
    <w:rsid w:val="0072229D"/>
    <w:rsid w:val="00726DCA"/>
    <w:rsid w:val="00731624"/>
    <w:rsid w:val="007339FC"/>
    <w:rsid w:val="00733A81"/>
    <w:rsid w:val="00733D8E"/>
    <w:rsid w:val="0073548A"/>
    <w:rsid w:val="00736910"/>
    <w:rsid w:val="007375CF"/>
    <w:rsid w:val="00737F14"/>
    <w:rsid w:val="00740BD4"/>
    <w:rsid w:val="00742F5B"/>
    <w:rsid w:val="0074328B"/>
    <w:rsid w:val="00744446"/>
    <w:rsid w:val="007500A2"/>
    <w:rsid w:val="0075073D"/>
    <w:rsid w:val="00751A18"/>
    <w:rsid w:val="0075426C"/>
    <w:rsid w:val="00754B6C"/>
    <w:rsid w:val="007609DE"/>
    <w:rsid w:val="00760D7B"/>
    <w:rsid w:val="00761E2F"/>
    <w:rsid w:val="00762176"/>
    <w:rsid w:val="0076373B"/>
    <w:rsid w:val="00763A8D"/>
    <w:rsid w:val="0076504F"/>
    <w:rsid w:val="0076664B"/>
    <w:rsid w:val="00766D48"/>
    <w:rsid w:val="00773ADD"/>
    <w:rsid w:val="00774286"/>
    <w:rsid w:val="007748BA"/>
    <w:rsid w:val="00774FA0"/>
    <w:rsid w:val="00777A11"/>
    <w:rsid w:val="0078013B"/>
    <w:rsid w:val="00780E9B"/>
    <w:rsid w:val="00784027"/>
    <w:rsid w:val="007846F3"/>
    <w:rsid w:val="007848F3"/>
    <w:rsid w:val="00784C7B"/>
    <w:rsid w:val="007857B4"/>
    <w:rsid w:val="007864C1"/>
    <w:rsid w:val="00786718"/>
    <w:rsid w:val="00791CE4"/>
    <w:rsid w:val="00794312"/>
    <w:rsid w:val="0079518B"/>
    <w:rsid w:val="00797D46"/>
    <w:rsid w:val="007A01CC"/>
    <w:rsid w:val="007A0524"/>
    <w:rsid w:val="007A228A"/>
    <w:rsid w:val="007A2597"/>
    <w:rsid w:val="007A25C9"/>
    <w:rsid w:val="007A2D4A"/>
    <w:rsid w:val="007A32BB"/>
    <w:rsid w:val="007A4679"/>
    <w:rsid w:val="007A4C9D"/>
    <w:rsid w:val="007A5153"/>
    <w:rsid w:val="007A5DFF"/>
    <w:rsid w:val="007A6601"/>
    <w:rsid w:val="007A7558"/>
    <w:rsid w:val="007B149E"/>
    <w:rsid w:val="007B19B1"/>
    <w:rsid w:val="007B1D16"/>
    <w:rsid w:val="007B2DB4"/>
    <w:rsid w:val="007B3B56"/>
    <w:rsid w:val="007B403A"/>
    <w:rsid w:val="007B4213"/>
    <w:rsid w:val="007B4677"/>
    <w:rsid w:val="007B497F"/>
    <w:rsid w:val="007B4ED1"/>
    <w:rsid w:val="007B794B"/>
    <w:rsid w:val="007C0DEC"/>
    <w:rsid w:val="007C1ECE"/>
    <w:rsid w:val="007C3820"/>
    <w:rsid w:val="007C4075"/>
    <w:rsid w:val="007C4C18"/>
    <w:rsid w:val="007D1A32"/>
    <w:rsid w:val="007D3FA4"/>
    <w:rsid w:val="007D4588"/>
    <w:rsid w:val="007D5153"/>
    <w:rsid w:val="007D620F"/>
    <w:rsid w:val="007E01DF"/>
    <w:rsid w:val="007E0699"/>
    <w:rsid w:val="007E1144"/>
    <w:rsid w:val="007E14BD"/>
    <w:rsid w:val="007E31EA"/>
    <w:rsid w:val="007E3B25"/>
    <w:rsid w:val="007E3B7D"/>
    <w:rsid w:val="007E5A22"/>
    <w:rsid w:val="007E749A"/>
    <w:rsid w:val="007E7710"/>
    <w:rsid w:val="007F2008"/>
    <w:rsid w:val="007F22AC"/>
    <w:rsid w:val="007F29E1"/>
    <w:rsid w:val="007F42E3"/>
    <w:rsid w:val="007F4388"/>
    <w:rsid w:val="007F4788"/>
    <w:rsid w:val="007F618A"/>
    <w:rsid w:val="007F68DD"/>
    <w:rsid w:val="00801104"/>
    <w:rsid w:val="00801432"/>
    <w:rsid w:val="00802290"/>
    <w:rsid w:val="00803305"/>
    <w:rsid w:val="0080375B"/>
    <w:rsid w:val="00803FCC"/>
    <w:rsid w:val="008041F5"/>
    <w:rsid w:val="00804F53"/>
    <w:rsid w:val="0081042F"/>
    <w:rsid w:val="008120AF"/>
    <w:rsid w:val="008125B6"/>
    <w:rsid w:val="00812625"/>
    <w:rsid w:val="00814DBF"/>
    <w:rsid w:val="00817759"/>
    <w:rsid w:val="00817C59"/>
    <w:rsid w:val="00817C8F"/>
    <w:rsid w:val="00820982"/>
    <w:rsid w:val="008213C2"/>
    <w:rsid w:val="0082170D"/>
    <w:rsid w:val="0082187A"/>
    <w:rsid w:val="00822223"/>
    <w:rsid w:val="00822802"/>
    <w:rsid w:val="00825521"/>
    <w:rsid w:val="00831989"/>
    <w:rsid w:val="00831EBD"/>
    <w:rsid w:val="008369B9"/>
    <w:rsid w:val="00836BE4"/>
    <w:rsid w:val="008378B4"/>
    <w:rsid w:val="00837E4F"/>
    <w:rsid w:val="00840A1A"/>
    <w:rsid w:val="00840D02"/>
    <w:rsid w:val="00841F5D"/>
    <w:rsid w:val="008431E0"/>
    <w:rsid w:val="00843A0E"/>
    <w:rsid w:val="00843A16"/>
    <w:rsid w:val="00844665"/>
    <w:rsid w:val="00845E4B"/>
    <w:rsid w:val="00846735"/>
    <w:rsid w:val="00846837"/>
    <w:rsid w:val="00846E42"/>
    <w:rsid w:val="0085003D"/>
    <w:rsid w:val="00850601"/>
    <w:rsid w:val="00852662"/>
    <w:rsid w:val="00852698"/>
    <w:rsid w:val="008527C1"/>
    <w:rsid w:val="00852948"/>
    <w:rsid w:val="00853065"/>
    <w:rsid w:val="00854598"/>
    <w:rsid w:val="00856BDC"/>
    <w:rsid w:val="00857CBA"/>
    <w:rsid w:val="00861C4F"/>
    <w:rsid w:val="00862B46"/>
    <w:rsid w:val="00862D0B"/>
    <w:rsid w:val="00863D30"/>
    <w:rsid w:val="008642DF"/>
    <w:rsid w:val="0086434F"/>
    <w:rsid w:val="00864FC3"/>
    <w:rsid w:val="00865AD8"/>
    <w:rsid w:val="0086696D"/>
    <w:rsid w:val="00866CE0"/>
    <w:rsid w:val="00870E98"/>
    <w:rsid w:val="008721CC"/>
    <w:rsid w:val="00872226"/>
    <w:rsid w:val="0087239F"/>
    <w:rsid w:val="00872B47"/>
    <w:rsid w:val="00874730"/>
    <w:rsid w:val="008751CE"/>
    <w:rsid w:val="00875F84"/>
    <w:rsid w:val="008773C3"/>
    <w:rsid w:val="00877623"/>
    <w:rsid w:val="00880F52"/>
    <w:rsid w:val="008824EE"/>
    <w:rsid w:val="00882B7E"/>
    <w:rsid w:val="00882D96"/>
    <w:rsid w:val="00883EFA"/>
    <w:rsid w:val="0088538E"/>
    <w:rsid w:val="00885788"/>
    <w:rsid w:val="00885A80"/>
    <w:rsid w:val="008867F6"/>
    <w:rsid w:val="00887818"/>
    <w:rsid w:val="00892C54"/>
    <w:rsid w:val="00893260"/>
    <w:rsid w:val="008952E6"/>
    <w:rsid w:val="0089533A"/>
    <w:rsid w:val="00896227"/>
    <w:rsid w:val="008A063A"/>
    <w:rsid w:val="008A0CAF"/>
    <w:rsid w:val="008A146D"/>
    <w:rsid w:val="008A2402"/>
    <w:rsid w:val="008A37E3"/>
    <w:rsid w:val="008A5294"/>
    <w:rsid w:val="008A6398"/>
    <w:rsid w:val="008A73CB"/>
    <w:rsid w:val="008A79AF"/>
    <w:rsid w:val="008A7FE6"/>
    <w:rsid w:val="008B02D1"/>
    <w:rsid w:val="008B14A2"/>
    <w:rsid w:val="008B1A8D"/>
    <w:rsid w:val="008B1C28"/>
    <w:rsid w:val="008B31F8"/>
    <w:rsid w:val="008B4132"/>
    <w:rsid w:val="008B7A52"/>
    <w:rsid w:val="008B7F12"/>
    <w:rsid w:val="008C00EC"/>
    <w:rsid w:val="008C0773"/>
    <w:rsid w:val="008C0CE5"/>
    <w:rsid w:val="008C1F78"/>
    <w:rsid w:val="008C2869"/>
    <w:rsid w:val="008C5ABC"/>
    <w:rsid w:val="008C5C88"/>
    <w:rsid w:val="008D095A"/>
    <w:rsid w:val="008D1FCD"/>
    <w:rsid w:val="008D27E6"/>
    <w:rsid w:val="008D75EB"/>
    <w:rsid w:val="008E0A3D"/>
    <w:rsid w:val="008E0A75"/>
    <w:rsid w:val="008E0DC9"/>
    <w:rsid w:val="008E0EAF"/>
    <w:rsid w:val="008E1805"/>
    <w:rsid w:val="008E6453"/>
    <w:rsid w:val="008F1D71"/>
    <w:rsid w:val="008F7E66"/>
    <w:rsid w:val="009027ED"/>
    <w:rsid w:val="0090308A"/>
    <w:rsid w:val="00903409"/>
    <w:rsid w:val="00903846"/>
    <w:rsid w:val="009043BD"/>
    <w:rsid w:val="0090525F"/>
    <w:rsid w:val="00911B9C"/>
    <w:rsid w:val="0091515D"/>
    <w:rsid w:val="00915D0C"/>
    <w:rsid w:val="00917927"/>
    <w:rsid w:val="009201BE"/>
    <w:rsid w:val="00920B05"/>
    <w:rsid w:val="00924453"/>
    <w:rsid w:val="0092498F"/>
    <w:rsid w:val="0092525C"/>
    <w:rsid w:val="009254FA"/>
    <w:rsid w:val="00925BAC"/>
    <w:rsid w:val="00927A4E"/>
    <w:rsid w:val="00932EB4"/>
    <w:rsid w:val="009340B2"/>
    <w:rsid w:val="00934C7F"/>
    <w:rsid w:val="009360B6"/>
    <w:rsid w:val="009369AB"/>
    <w:rsid w:val="00936BC3"/>
    <w:rsid w:val="009374CE"/>
    <w:rsid w:val="00940371"/>
    <w:rsid w:val="00940671"/>
    <w:rsid w:val="0094076F"/>
    <w:rsid w:val="00940ECD"/>
    <w:rsid w:val="00941A6A"/>
    <w:rsid w:val="00941C25"/>
    <w:rsid w:val="00942B42"/>
    <w:rsid w:val="0094326B"/>
    <w:rsid w:val="0094415E"/>
    <w:rsid w:val="0094416B"/>
    <w:rsid w:val="00946625"/>
    <w:rsid w:val="009513C7"/>
    <w:rsid w:val="00951733"/>
    <w:rsid w:val="009519FC"/>
    <w:rsid w:val="00952317"/>
    <w:rsid w:val="0095313F"/>
    <w:rsid w:val="00953A8D"/>
    <w:rsid w:val="00956757"/>
    <w:rsid w:val="0095692A"/>
    <w:rsid w:val="00957D8E"/>
    <w:rsid w:val="0096040D"/>
    <w:rsid w:val="009606C6"/>
    <w:rsid w:val="00960AA9"/>
    <w:rsid w:val="00960D9D"/>
    <w:rsid w:val="00961748"/>
    <w:rsid w:val="009622C7"/>
    <w:rsid w:val="009663D4"/>
    <w:rsid w:val="00970F6A"/>
    <w:rsid w:val="009712C8"/>
    <w:rsid w:val="0097190C"/>
    <w:rsid w:val="00973301"/>
    <w:rsid w:val="00974E73"/>
    <w:rsid w:val="00975119"/>
    <w:rsid w:val="009765DD"/>
    <w:rsid w:val="009775E7"/>
    <w:rsid w:val="0098097B"/>
    <w:rsid w:val="00981906"/>
    <w:rsid w:val="00981ADC"/>
    <w:rsid w:val="00982E10"/>
    <w:rsid w:val="00985129"/>
    <w:rsid w:val="00985BC6"/>
    <w:rsid w:val="00990CCF"/>
    <w:rsid w:val="009918D7"/>
    <w:rsid w:val="009919C7"/>
    <w:rsid w:val="009932CC"/>
    <w:rsid w:val="0099432E"/>
    <w:rsid w:val="0099453D"/>
    <w:rsid w:val="009951C5"/>
    <w:rsid w:val="00996D23"/>
    <w:rsid w:val="00997A92"/>
    <w:rsid w:val="009A0A11"/>
    <w:rsid w:val="009A1504"/>
    <w:rsid w:val="009A1864"/>
    <w:rsid w:val="009A1C69"/>
    <w:rsid w:val="009A28D5"/>
    <w:rsid w:val="009A3393"/>
    <w:rsid w:val="009A43A3"/>
    <w:rsid w:val="009A5576"/>
    <w:rsid w:val="009A5FEB"/>
    <w:rsid w:val="009A7A34"/>
    <w:rsid w:val="009B0288"/>
    <w:rsid w:val="009B077D"/>
    <w:rsid w:val="009B0FA0"/>
    <w:rsid w:val="009B13C0"/>
    <w:rsid w:val="009B1EF0"/>
    <w:rsid w:val="009B5599"/>
    <w:rsid w:val="009B5BD8"/>
    <w:rsid w:val="009C0FD7"/>
    <w:rsid w:val="009C3C8C"/>
    <w:rsid w:val="009C4B4C"/>
    <w:rsid w:val="009C4C54"/>
    <w:rsid w:val="009C4FD2"/>
    <w:rsid w:val="009C7161"/>
    <w:rsid w:val="009C76C1"/>
    <w:rsid w:val="009D05EC"/>
    <w:rsid w:val="009D11D6"/>
    <w:rsid w:val="009D3747"/>
    <w:rsid w:val="009D3AF6"/>
    <w:rsid w:val="009D4019"/>
    <w:rsid w:val="009D5229"/>
    <w:rsid w:val="009D628C"/>
    <w:rsid w:val="009D7F02"/>
    <w:rsid w:val="009E0E50"/>
    <w:rsid w:val="009E11BA"/>
    <w:rsid w:val="009E141B"/>
    <w:rsid w:val="009E2D6C"/>
    <w:rsid w:val="009E2F85"/>
    <w:rsid w:val="009E660D"/>
    <w:rsid w:val="009F091F"/>
    <w:rsid w:val="009F50D8"/>
    <w:rsid w:val="009F7E80"/>
    <w:rsid w:val="00A03535"/>
    <w:rsid w:val="00A045A2"/>
    <w:rsid w:val="00A04B6D"/>
    <w:rsid w:val="00A069C2"/>
    <w:rsid w:val="00A06DD7"/>
    <w:rsid w:val="00A12BCC"/>
    <w:rsid w:val="00A14318"/>
    <w:rsid w:val="00A14F4E"/>
    <w:rsid w:val="00A163A9"/>
    <w:rsid w:val="00A167FB"/>
    <w:rsid w:val="00A16C78"/>
    <w:rsid w:val="00A174F5"/>
    <w:rsid w:val="00A17CE3"/>
    <w:rsid w:val="00A20E1D"/>
    <w:rsid w:val="00A2123C"/>
    <w:rsid w:val="00A21BFC"/>
    <w:rsid w:val="00A23258"/>
    <w:rsid w:val="00A241E3"/>
    <w:rsid w:val="00A32095"/>
    <w:rsid w:val="00A32C7A"/>
    <w:rsid w:val="00A32E70"/>
    <w:rsid w:val="00A33E33"/>
    <w:rsid w:val="00A34D08"/>
    <w:rsid w:val="00A36CC1"/>
    <w:rsid w:val="00A40D7A"/>
    <w:rsid w:val="00A43557"/>
    <w:rsid w:val="00A44D85"/>
    <w:rsid w:val="00A45025"/>
    <w:rsid w:val="00A45844"/>
    <w:rsid w:val="00A51077"/>
    <w:rsid w:val="00A510DA"/>
    <w:rsid w:val="00A51224"/>
    <w:rsid w:val="00A53A6B"/>
    <w:rsid w:val="00A54134"/>
    <w:rsid w:val="00A5433B"/>
    <w:rsid w:val="00A54C60"/>
    <w:rsid w:val="00A54E1A"/>
    <w:rsid w:val="00A55441"/>
    <w:rsid w:val="00A56613"/>
    <w:rsid w:val="00A56A48"/>
    <w:rsid w:val="00A56DEC"/>
    <w:rsid w:val="00A57AFB"/>
    <w:rsid w:val="00A60B48"/>
    <w:rsid w:val="00A612FF"/>
    <w:rsid w:val="00A614D0"/>
    <w:rsid w:val="00A62BFB"/>
    <w:rsid w:val="00A6462A"/>
    <w:rsid w:val="00A65DCA"/>
    <w:rsid w:val="00A65FDE"/>
    <w:rsid w:val="00A6602B"/>
    <w:rsid w:val="00A66E8A"/>
    <w:rsid w:val="00A67C8D"/>
    <w:rsid w:val="00A7107F"/>
    <w:rsid w:val="00A71943"/>
    <w:rsid w:val="00A730EF"/>
    <w:rsid w:val="00A7361D"/>
    <w:rsid w:val="00A7456C"/>
    <w:rsid w:val="00A75588"/>
    <w:rsid w:val="00A772B5"/>
    <w:rsid w:val="00A778FF"/>
    <w:rsid w:val="00A77D5D"/>
    <w:rsid w:val="00A80635"/>
    <w:rsid w:val="00A82118"/>
    <w:rsid w:val="00A82EA9"/>
    <w:rsid w:val="00A83A96"/>
    <w:rsid w:val="00A87BD4"/>
    <w:rsid w:val="00A87F17"/>
    <w:rsid w:val="00A87F3D"/>
    <w:rsid w:val="00A918D9"/>
    <w:rsid w:val="00A91E7F"/>
    <w:rsid w:val="00A95C14"/>
    <w:rsid w:val="00A95FAA"/>
    <w:rsid w:val="00A9666F"/>
    <w:rsid w:val="00A97BA6"/>
    <w:rsid w:val="00A97C92"/>
    <w:rsid w:val="00AA0797"/>
    <w:rsid w:val="00AA2F4F"/>
    <w:rsid w:val="00AA4BFF"/>
    <w:rsid w:val="00AB0069"/>
    <w:rsid w:val="00AB18A3"/>
    <w:rsid w:val="00AB24E1"/>
    <w:rsid w:val="00AB2AB3"/>
    <w:rsid w:val="00AB3D71"/>
    <w:rsid w:val="00AB6EAC"/>
    <w:rsid w:val="00AC07A4"/>
    <w:rsid w:val="00AC19BD"/>
    <w:rsid w:val="00AC271E"/>
    <w:rsid w:val="00AC3333"/>
    <w:rsid w:val="00AC67A5"/>
    <w:rsid w:val="00AD0EF9"/>
    <w:rsid w:val="00AD1F3F"/>
    <w:rsid w:val="00AD2944"/>
    <w:rsid w:val="00AD35EF"/>
    <w:rsid w:val="00AD362A"/>
    <w:rsid w:val="00AD4A4D"/>
    <w:rsid w:val="00AD57B1"/>
    <w:rsid w:val="00AD5AB0"/>
    <w:rsid w:val="00AD612A"/>
    <w:rsid w:val="00AD7A2D"/>
    <w:rsid w:val="00AE2F42"/>
    <w:rsid w:val="00AE33A9"/>
    <w:rsid w:val="00AE4666"/>
    <w:rsid w:val="00AE5255"/>
    <w:rsid w:val="00AF07D1"/>
    <w:rsid w:val="00AF140A"/>
    <w:rsid w:val="00AF1F7E"/>
    <w:rsid w:val="00AF2CDB"/>
    <w:rsid w:val="00AF4251"/>
    <w:rsid w:val="00AF4AEB"/>
    <w:rsid w:val="00AF539D"/>
    <w:rsid w:val="00AF59B9"/>
    <w:rsid w:val="00AF5A5E"/>
    <w:rsid w:val="00AF7241"/>
    <w:rsid w:val="00B001E4"/>
    <w:rsid w:val="00B0153A"/>
    <w:rsid w:val="00B02AFD"/>
    <w:rsid w:val="00B03CE1"/>
    <w:rsid w:val="00B045F0"/>
    <w:rsid w:val="00B04784"/>
    <w:rsid w:val="00B04889"/>
    <w:rsid w:val="00B04DC4"/>
    <w:rsid w:val="00B05CA8"/>
    <w:rsid w:val="00B06013"/>
    <w:rsid w:val="00B06CAC"/>
    <w:rsid w:val="00B07049"/>
    <w:rsid w:val="00B11C78"/>
    <w:rsid w:val="00B1380A"/>
    <w:rsid w:val="00B13902"/>
    <w:rsid w:val="00B13FA7"/>
    <w:rsid w:val="00B14244"/>
    <w:rsid w:val="00B1506B"/>
    <w:rsid w:val="00B169A9"/>
    <w:rsid w:val="00B16A1E"/>
    <w:rsid w:val="00B238AA"/>
    <w:rsid w:val="00B24B2E"/>
    <w:rsid w:val="00B24DB2"/>
    <w:rsid w:val="00B24E8B"/>
    <w:rsid w:val="00B251E2"/>
    <w:rsid w:val="00B25570"/>
    <w:rsid w:val="00B2579E"/>
    <w:rsid w:val="00B25DA5"/>
    <w:rsid w:val="00B260DF"/>
    <w:rsid w:val="00B31660"/>
    <w:rsid w:val="00B3394C"/>
    <w:rsid w:val="00B33AC0"/>
    <w:rsid w:val="00B33EA0"/>
    <w:rsid w:val="00B34081"/>
    <w:rsid w:val="00B35386"/>
    <w:rsid w:val="00B356C3"/>
    <w:rsid w:val="00B35BF4"/>
    <w:rsid w:val="00B362C6"/>
    <w:rsid w:val="00B37E3B"/>
    <w:rsid w:val="00B40BE8"/>
    <w:rsid w:val="00B41994"/>
    <w:rsid w:val="00B42655"/>
    <w:rsid w:val="00B449E9"/>
    <w:rsid w:val="00B44BDA"/>
    <w:rsid w:val="00B4503B"/>
    <w:rsid w:val="00B453F2"/>
    <w:rsid w:val="00B462E6"/>
    <w:rsid w:val="00B46EBD"/>
    <w:rsid w:val="00B470E4"/>
    <w:rsid w:val="00B51489"/>
    <w:rsid w:val="00B5163B"/>
    <w:rsid w:val="00B51651"/>
    <w:rsid w:val="00B525EE"/>
    <w:rsid w:val="00B539F3"/>
    <w:rsid w:val="00B55021"/>
    <w:rsid w:val="00B562C4"/>
    <w:rsid w:val="00B571D5"/>
    <w:rsid w:val="00B57273"/>
    <w:rsid w:val="00B6012E"/>
    <w:rsid w:val="00B6112C"/>
    <w:rsid w:val="00B61C6C"/>
    <w:rsid w:val="00B622E7"/>
    <w:rsid w:val="00B62C96"/>
    <w:rsid w:val="00B62E0C"/>
    <w:rsid w:val="00B6380C"/>
    <w:rsid w:val="00B63F64"/>
    <w:rsid w:val="00B641A3"/>
    <w:rsid w:val="00B6545B"/>
    <w:rsid w:val="00B6556C"/>
    <w:rsid w:val="00B66F88"/>
    <w:rsid w:val="00B6734D"/>
    <w:rsid w:val="00B67AA9"/>
    <w:rsid w:val="00B72B76"/>
    <w:rsid w:val="00B72F4B"/>
    <w:rsid w:val="00B73DAC"/>
    <w:rsid w:val="00B744B2"/>
    <w:rsid w:val="00B74771"/>
    <w:rsid w:val="00B7597A"/>
    <w:rsid w:val="00B75E8C"/>
    <w:rsid w:val="00B7603F"/>
    <w:rsid w:val="00B76E5E"/>
    <w:rsid w:val="00B77EF4"/>
    <w:rsid w:val="00B815E2"/>
    <w:rsid w:val="00B836EA"/>
    <w:rsid w:val="00B846D4"/>
    <w:rsid w:val="00B84A71"/>
    <w:rsid w:val="00B8544D"/>
    <w:rsid w:val="00B8568A"/>
    <w:rsid w:val="00B871A9"/>
    <w:rsid w:val="00B876CB"/>
    <w:rsid w:val="00B878CE"/>
    <w:rsid w:val="00B87B22"/>
    <w:rsid w:val="00B87F9C"/>
    <w:rsid w:val="00B906FF"/>
    <w:rsid w:val="00B909E6"/>
    <w:rsid w:val="00B9211C"/>
    <w:rsid w:val="00B92888"/>
    <w:rsid w:val="00B92EEC"/>
    <w:rsid w:val="00B950A5"/>
    <w:rsid w:val="00B97541"/>
    <w:rsid w:val="00BA1626"/>
    <w:rsid w:val="00BA1CA0"/>
    <w:rsid w:val="00BA3434"/>
    <w:rsid w:val="00BA455A"/>
    <w:rsid w:val="00BA5528"/>
    <w:rsid w:val="00BA688E"/>
    <w:rsid w:val="00BA78F3"/>
    <w:rsid w:val="00BB0742"/>
    <w:rsid w:val="00BB1B0D"/>
    <w:rsid w:val="00BB6818"/>
    <w:rsid w:val="00BC013C"/>
    <w:rsid w:val="00BC0541"/>
    <w:rsid w:val="00BC0C96"/>
    <w:rsid w:val="00BC1FF2"/>
    <w:rsid w:val="00BC328D"/>
    <w:rsid w:val="00BC395B"/>
    <w:rsid w:val="00BC3F67"/>
    <w:rsid w:val="00BC45BA"/>
    <w:rsid w:val="00BC51AA"/>
    <w:rsid w:val="00BC5F4E"/>
    <w:rsid w:val="00BC5FDE"/>
    <w:rsid w:val="00BC7297"/>
    <w:rsid w:val="00BC72EA"/>
    <w:rsid w:val="00BD0240"/>
    <w:rsid w:val="00BD0822"/>
    <w:rsid w:val="00BD1E79"/>
    <w:rsid w:val="00BD2C19"/>
    <w:rsid w:val="00BD403E"/>
    <w:rsid w:val="00BD5E01"/>
    <w:rsid w:val="00BD799F"/>
    <w:rsid w:val="00BE0125"/>
    <w:rsid w:val="00BE0A98"/>
    <w:rsid w:val="00BE1867"/>
    <w:rsid w:val="00BE1FBF"/>
    <w:rsid w:val="00BE48AA"/>
    <w:rsid w:val="00BE5FB6"/>
    <w:rsid w:val="00BE79DB"/>
    <w:rsid w:val="00BF10C4"/>
    <w:rsid w:val="00BF11D7"/>
    <w:rsid w:val="00BF2E41"/>
    <w:rsid w:val="00BF467C"/>
    <w:rsid w:val="00BF59B0"/>
    <w:rsid w:val="00BF7641"/>
    <w:rsid w:val="00BF7D62"/>
    <w:rsid w:val="00C0130E"/>
    <w:rsid w:val="00C0272E"/>
    <w:rsid w:val="00C02B41"/>
    <w:rsid w:val="00C03A79"/>
    <w:rsid w:val="00C03AD9"/>
    <w:rsid w:val="00C04D36"/>
    <w:rsid w:val="00C04DB4"/>
    <w:rsid w:val="00C05EB3"/>
    <w:rsid w:val="00C06FCE"/>
    <w:rsid w:val="00C07C03"/>
    <w:rsid w:val="00C10747"/>
    <w:rsid w:val="00C10EB5"/>
    <w:rsid w:val="00C12025"/>
    <w:rsid w:val="00C133C8"/>
    <w:rsid w:val="00C1447E"/>
    <w:rsid w:val="00C15F7E"/>
    <w:rsid w:val="00C21159"/>
    <w:rsid w:val="00C21650"/>
    <w:rsid w:val="00C23D29"/>
    <w:rsid w:val="00C265C0"/>
    <w:rsid w:val="00C27482"/>
    <w:rsid w:val="00C27872"/>
    <w:rsid w:val="00C30595"/>
    <w:rsid w:val="00C30616"/>
    <w:rsid w:val="00C30AAD"/>
    <w:rsid w:val="00C311B3"/>
    <w:rsid w:val="00C31F24"/>
    <w:rsid w:val="00C33D9D"/>
    <w:rsid w:val="00C34541"/>
    <w:rsid w:val="00C35637"/>
    <w:rsid w:val="00C36AC4"/>
    <w:rsid w:val="00C418FA"/>
    <w:rsid w:val="00C44424"/>
    <w:rsid w:val="00C44FA7"/>
    <w:rsid w:val="00C45DE0"/>
    <w:rsid w:val="00C472A4"/>
    <w:rsid w:val="00C521AB"/>
    <w:rsid w:val="00C537B9"/>
    <w:rsid w:val="00C537EB"/>
    <w:rsid w:val="00C61A21"/>
    <w:rsid w:val="00C62EDF"/>
    <w:rsid w:val="00C630B4"/>
    <w:rsid w:val="00C654F4"/>
    <w:rsid w:val="00C66654"/>
    <w:rsid w:val="00C706EC"/>
    <w:rsid w:val="00C71F95"/>
    <w:rsid w:val="00C72C64"/>
    <w:rsid w:val="00C73585"/>
    <w:rsid w:val="00C73C0D"/>
    <w:rsid w:val="00C7436B"/>
    <w:rsid w:val="00C7586A"/>
    <w:rsid w:val="00C76480"/>
    <w:rsid w:val="00C77547"/>
    <w:rsid w:val="00C778E6"/>
    <w:rsid w:val="00C80BAC"/>
    <w:rsid w:val="00C81E07"/>
    <w:rsid w:val="00C830FB"/>
    <w:rsid w:val="00C8388D"/>
    <w:rsid w:val="00C839A9"/>
    <w:rsid w:val="00C83FB4"/>
    <w:rsid w:val="00C849C6"/>
    <w:rsid w:val="00C85D6A"/>
    <w:rsid w:val="00C874E9"/>
    <w:rsid w:val="00C9040A"/>
    <w:rsid w:val="00C90AFC"/>
    <w:rsid w:val="00C94693"/>
    <w:rsid w:val="00C94898"/>
    <w:rsid w:val="00C979F3"/>
    <w:rsid w:val="00CA2D32"/>
    <w:rsid w:val="00CA3FE6"/>
    <w:rsid w:val="00CA6414"/>
    <w:rsid w:val="00CA74DC"/>
    <w:rsid w:val="00CB2AB7"/>
    <w:rsid w:val="00CC0083"/>
    <w:rsid w:val="00CC27F3"/>
    <w:rsid w:val="00CC3194"/>
    <w:rsid w:val="00CC3562"/>
    <w:rsid w:val="00CC4D63"/>
    <w:rsid w:val="00CC5E5B"/>
    <w:rsid w:val="00CC61A5"/>
    <w:rsid w:val="00CC772A"/>
    <w:rsid w:val="00CC7E08"/>
    <w:rsid w:val="00CD14DB"/>
    <w:rsid w:val="00CD6D72"/>
    <w:rsid w:val="00CD7B93"/>
    <w:rsid w:val="00CE0348"/>
    <w:rsid w:val="00CE2E0F"/>
    <w:rsid w:val="00CE5FE4"/>
    <w:rsid w:val="00CE6283"/>
    <w:rsid w:val="00CE67AA"/>
    <w:rsid w:val="00CE6F33"/>
    <w:rsid w:val="00CE73B5"/>
    <w:rsid w:val="00CE791D"/>
    <w:rsid w:val="00CE79D7"/>
    <w:rsid w:val="00CE7CE3"/>
    <w:rsid w:val="00CF2071"/>
    <w:rsid w:val="00CF244E"/>
    <w:rsid w:val="00CF278D"/>
    <w:rsid w:val="00CF2FE9"/>
    <w:rsid w:val="00CF37C7"/>
    <w:rsid w:val="00CF3830"/>
    <w:rsid w:val="00CF3CF8"/>
    <w:rsid w:val="00CF474D"/>
    <w:rsid w:val="00CF5A64"/>
    <w:rsid w:val="00CF6622"/>
    <w:rsid w:val="00CF6C1B"/>
    <w:rsid w:val="00CF749A"/>
    <w:rsid w:val="00D0089A"/>
    <w:rsid w:val="00D014C7"/>
    <w:rsid w:val="00D01548"/>
    <w:rsid w:val="00D04B3F"/>
    <w:rsid w:val="00D04D5F"/>
    <w:rsid w:val="00D04DD6"/>
    <w:rsid w:val="00D04DFA"/>
    <w:rsid w:val="00D05514"/>
    <w:rsid w:val="00D0597F"/>
    <w:rsid w:val="00D05F35"/>
    <w:rsid w:val="00D06393"/>
    <w:rsid w:val="00D06E5E"/>
    <w:rsid w:val="00D06F79"/>
    <w:rsid w:val="00D10597"/>
    <w:rsid w:val="00D11B26"/>
    <w:rsid w:val="00D120A3"/>
    <w:rsid w:val="00D13288"/>
    <w:rsid w:val="00D13AF8"/>
    <w:rsid w:val="00D1584B"/>
    <w:rsid w:val="00D20601"/>
    <w:rsid w:val="00D219E9"/>
    <w:rsid w:val="00D2205B"/>
    <w:rsid w:val="00D23418"/>
    <w:rsid w:val="00D24606"/>
    <w:rsid w:val="00D2620A"/>
    <w:rsid w:val="00D3056A"/>
    <w:rsid w:val="00D3064D"/>
    <w:rsid w:val="00D30AED"/>
    <w:rsid w:val="00D30F84"/>
    <w:rsid w:val="00D31091"/>
    <w:rsid w:val="00D33CFE"/>
    <w:rsid w:val="00D33DDE"/>
    <w:rsid w:val="00D34DA4"/>
    <w:rsid w:val="00D35C1D"/>
    <w:rsid w:val="00D369C9"/>
    <w:rsid w:val="00D3752F"/>
    <w:rsid w:val="00D40209"/>
    <w:rsid w:val="00D40DDE"/>
    <w:rsid w:val="00D42D78"/>
    <w:rsid w:val="00D43970"/>
    <w:rsid w:val="00D43CA5"/>
    <w:rsid w:val="00D44CA5"/>
    <w:rsid w:val="00D46E12"/>
    <w:rsid w:val="00D472F2"/>
    <w:rsid w:val="00D50734"/>
    <w:rsid w:val="00D507C0"/>
    <w:rsid w:val="00D51197"/>
    <w:rsid w:val="00D513CC"/>
    <w:rsid w:val="00D5172A"/>
    <w:rsid w:val="00D56435"/>
    <w:rsid w:val="00D6256D"/>
    <w:rsid w:val="00D62755"/>
    <w:rsid w:val="00D62AA4"/>
    <w:rsid w:val="00D6318F"/>
    <w:rsid w:val="00D636AF"/>
    <w:rsid w:val="00D650BB"/>
    <w:rsid w:val="00D6540A"/>
    <w:rsid w:val="00D674AF"/>
    <w:rsid w:val="00D70107"/>
    <w:rsid w:val="00D70438"/>
    <w:rsid w:val="00D717AD"/>
    <w:rsid w:val="00D71EA0"/>
    <w:rsid w:val="00D720AD"/>
    <w:rsid w:val="00D72D1D"/>
    <w:rsid w:val="00D74A18"/>
    <w:rsid w:val="00D74BE7"/>
    <w:rsid w:val="00D74D3E"/>
    <w:rsid w:val="00D757C6"/>
    <w:rsid w:val="00D75C41"/>
    <w:rsid w:val="00D80529"/>
    <w:rsid w:val="00D80F78"/>
    <w:rsid w:val="00D81AC3"/>
    <w:rsid w:val="00D81C59"/>
    <w:rsid w:val="00D82A5B"/>
    <w:rsid w:val="00D84637"/>
    <w:rsid w:val="00D8473B"/>
    <w:rsid w:val="00D85780"/>
    <w:rsid w:val="00D925AA"/>
    <w:rsid w:val="00D9283D"/>
    <w:rsid w:val="00D930DD"/>
    <w:rsid w:val="00D9341C"/>
    <w:rsid w:val="00D93CF9"/>
    <w:rsid w:val="00D94B7D"/>
    <w:rsid w:val="00DA0B1A"/>
    <w:rsid w:val="00DA1560"/>
    <w:rsid w:val="00DA3176"/>
    <w:rsid w:val="00DA4A65"/>
    <w:rsid w:val="00DA4C44"/>
    <w:rsid w:val="00DA4C48"/>
    <w:rsid w:val="00DA4E21"/>
    <w:rsid w:val="00DA71EF"/>
    <w:rsid w:val="00DA7A18"/>
    <w:rsid w:val="00DB1347"/>
    <w:rsid w:val="00DB28CE"/>
    <w:rsid w:val="00DB29BC"/>
    <w:rsid w:val="00DB2A2A"/>
    <w:rsid w:val="00DB479F"/>
    <w:rsid w:val="00DB55B6"/>
    <w:rsid w:val="00DB5EA7"/>
    <w:rsid w:val="00DB5F21"/>
    <w:rsid w:val="00DB6882"/>
    <w:rsid w:val="00DB6D7C"/>
    <w:rsid w:val="00DB7183"/>
    <w:rsid w:val="00DC0281"/>
    <w:rsid w:val="00DC090A"/>
    <w:rsid w:val="00DC0E7E"/>
    <w:rsid w:val="00DC2D72"/>
    <w:rsid w:val="00DC30EA"/>
    <w:rsid w:val="00DC31DB"/>
    <w:rsid w:val="00DC4FDA"/>
    <w:rsid w:val="00DC4FE9"/>
    <w:rsid w:val="00DC5918"/>
    <w:rsid w:val="00DC6C8D"/>
    <w:rsid w:val="00DC73A5"/>
    <w:rsid w:val="00DC7649"/>
    <w:rsid w:val="00DD0236"/>
    <w:rsid w:val="00DD255A"/>
    <w:rsid w:val="00DD2E73"/>
    <w:rsid w:val="00DD4100"/>
    <w:rsid w:val="00DD42B8"/>
    <w:rsid w:val="00DD5361"/>
    <w:rsid w:val="00DD6CB5"/>
    <w:rsid w:val="00DD76A4"/>
    <w:rsid w:val="00DD7C65"/>
    <w:rsid w:val="00DE03E4"/>
    <w:rsid w:val="00DE1134"/>
    <w:rsid w:val="00DE1AEB"/>
    <w:rsid w:val="00DE2247"/>
    <w:rsid w:val="00DE2A34"/>
    <w:rsid w:val="00DE37AE"/>
    <w:rsid w:val="00DE4732"/>
    <w:rsid w:val="00DE6668"/>
    <w:rsid w:val="00DE6987"/>
    <w:rsid w:val="00DE7339"/>
    <w:rsid w:val="00DF1246"/>
    <w:rsid w:val="00DF30C0"/>
    <w:rsid w:val="00E006A2"/>
    <w:rsid w:val="00E0080A"/>
    <w:rsid w:val="00E00F31"/>
    <w:rsid w:val="00E02242"/>
    <w:rsid w:val="00E0300E"/>
    <w:rsid w:val="00E04AE0"/>
    <w:rsid w:val="00E04BD8"/>
    <w:rsid w:val="00E070D0"/>
    <w:rsid w:val="00E11517"/>
    <w:rsid w:val="00E12834"/>
    <w:rsid w:val="00E13727"/>
    <w:rsid w:val="00E15282"/>
    <w:rsid w:val="00E1562A"/>
    <w:rsid w:val="00E15630"/>
    <w:rsid w:val="00E17AB3"/>
    <w:rsid w:val="00E20254"/>
    <w:rsid w:val="00E209F0"/>
    <w:rsid w:val="00E219EB"/>
    <w:rsid w:val="00E22C13"/>
    <w:rsid w:val="00E23129"/>
    <w:rsid w:val="00E25045"/>
    <w:rsid w:val="00E2677C"/>
    <w:rsid w:val="00E26D83"/>
    <w:rsid w:val="00E271CD"/>
    <w:rsid w:val="00E27345"/>
    <w:rsid w:val="00E27A1E"/>
    <w:rsid w:val="00E306E9"/>
    <w:rsid w:val="00E307DC"/>
    <w:rsid w:val="00E323CF"/>
    <w:rsid w:val="00E334B9"/>
    <w:rsid w:val="00E33905"/>
    <w:rsid w:val="00E342D1"/>
    <w:rsid w:val="00E34B96"/>
    <w:rsid w:val="00E34CC2"/>
    <w:rsid w:val="00E3651A"/>
    <w:rsid w:val="00E37502"/>
    <w:rsid w:val="00E37E4C"/>
    <w:rsid w:val="00E40127"/>
    <w:rsid w:val="00E43074"/>
    <w:rsid w:val="00E431C8"/>
    <w:rsid w:val="00E44926"/>
    <w:rsid w:val="00E44E09"/>
    <w:rsid w:val="00E45D53"/>
    <w:rsid w:val="00E46DBD"/>
    <w:rsid w:val="00E51708"/>
    <w:rsid w:val="00E51729"/>
    <w:rsid w:val="00E51D0A"/>
    <w:rsid w:val="00E53139"/>
    <w:rsid w:val="00E53A8F"/>
    <w:rsid w:val="00E5435E"/>
    <w:rsid w:val="00E54999"/>
    <w:rsid w:val="00E55A81"/>
    <w:rsid w:val="00E563FF"/>
    <w:rsid w:val="00E56450"/>
    <w:rsid w:val="00E56DA8"/>
    <w:rsid w:val="00E56DB2"/>
    <w:rsid w:val="00E571D3"/>
    <w:rsid w:val="00E60ACC"/>
    <w:rsid w:val="00E60C4B"/>
    <w:rsid w:val="00E60E21"/>
    <w:rsid w:val="00E629E9"/>
    <w:rsid w:val="00E6570E"/>
    <w:rsid w:val="00E66638"/>
    <w:rsid w:val="00E6706E"/>
    <w:rsid w:val="00E7211D"/>
    <w:rsid w:val="00E72318"/>
    <w:rsid w:val="00E754C2"/>
    <w:rsid w:val="00E757CA"/>
    <w:rsid w:val="00E75D48"/>
    <w:rsid w:val="00E76750"/>
    <w:rsid w:val="00E773CD"/>
    <w:rsid w:val="00E774C9"/>
    <w:rsid w:val="00E77D0C"/>
    <w:rsid w:val="00E80964"/>
    <w:rsid w:val="00E812E2"/>
    <w:rsid w:val="00E83D43"/>
    <w:rsid w:val="00E841A6"/>
    <w:rsid w:val="00E84BCB"/>
    <w:rsid w:val="00E85905"/>
    <w:rsid w:val="00E85D20"/>
    <w:rsid w:val="00E87C0D"/>
    <w:rsid w:val="00E90DC4"/>
    <w:rsid w:val="00E9163F"/>
    <w:rsid w:val="00E91CB7"/>
    <w:rsid w:val="00E955B0"/>
    <w:rsid w:val="00E956E8"/>
    <w:rsid w:val="00E96B1E"/>
    <w:rsid w:val="00EA022D"/>
    <w:rsid w:val="00EA0D10"/>
    <w:rsid w:val="00EA0F2C"/>
    <w:rsid w:val="00EA19CB"/>
    <w:rsid w:val="00EA2C8F"/>
    <w:rsid w:val="00EA5045"/>
    <w:rsid w:val="00EA5D64"/>
    <w:rsid w:val="00EA613A"/>
    <w:rsid w:val="00EA6A8C"/>
    <w:rsid w:val="00EB2AD1"/>
    <w:rsid w:val="00EB2F9F"/>
    <w:rsid w:val="00EB3067"/>
    <w:rsid w:val="00EB353E"/>
    <w:rsid w:val="00EB3693"/>
    <w:rsid w:val="00EB3AA1"/>
    <w:rsid w:val="00EB56E0"/>
    <w:rsid w:val="00EB5DDF"/>
    <w:rsid w:val="00EB6E66"/>
    <w:rsid w:val="00EB790D"/>
    <w:rsid w:val="00EC0129"/>
    <w:rsid w:val="00EC3CEC"/>
    <w:rsid w:val="00EC4625"/>
    <w:rsid w:val="00EC71BE"/>
    <w:rsid w:val="00ED0066"/>
    <w:rsid w:val="00ED139E"/>
    <w:rsid w:val="00ED1759"/>
    <w:rsid w:val="00ED2431"/>
    <w:rsid w:val="00ED27A5"/>
    <w:rsid w:val="00ED3ECB"/>
    <w:rsid w:val="00ED445D"/>
    <w:rsid w:val="00ED461C"/>
    <w:rsid w:val="00ED5E2B"/>
    <w:rsid w:val="00ED6C00"/>
    <w:rsid w:val="00EE01C2"/>
    <w:rsid w:val="00EE0F60"/>
    <w:rsid w:val="00EE2FEA"/>
    <w:rsid w:val="00EE37A2"/>
    <w:rsid w:val="00EE3B12"/>
    <w:rsid w:val="00EE5AF3"/>
    <w:rsid w:val="00EE5B00"/>
    <w:rsid w:val="00EE5E91"/>
    <w:rsid w:val="00EE5F8C"/>
    <w:rsid w:val="00EE73BC"/>
    <w:rsid w:val="00EE7AC8"/>
    <w:rsid w:val="00EF00AA"/>
    <w:rsid w:val="00EF05F3"/>
    <w:rsid w:val="00EF102D"/>
    <w:rsid w:val="00EF1F59"/>
    <w:rsid w:val="00EF3667"/>
    <w:rsid w:val="00EF3996"/>
    <w:rsid w:val="00F0026A"/>
    <w:rsid w:val="00F021E7"/>
    <w:rsid w:val="00F026C1"/>
    <w:rsid w:val="00F039D1"/>
    <w:rsid w:val="00F0442A"/>
    <w:rsid w:val="00F05BEC"/>
    <w:rsid w:val="00F05D0F"/>
    <w:rsid w:val="00F05DB4"/>
    <w:rsid w:val="00F10B0B"/>
    <w:rsid w:val="00F10B1B"/>
    <w:rsid w:val="00F13358"/>
    <w:rsid w:val="00F1456D"/>
    <w:rsid w:val="00F14DA0"/>
    <w:rsid w:val="00F15387"/>
    <w:rsid w:val="00F15D8B"/>
    <w:rsid w:val="00F15F46"/>
    <w:rsid w:val="00F16FE6"/>
    <w:rsid w:val="00F17D58"/>
    <w:rsid w:val="00F228F5"/>
    <w:rsid w:val="00F23FD4"/>
    <w:rsid w:val="00F24143"/>
    <w:rsid w:val="00F241BE"/>
    <w:rsid w:val="00F24962"/>
    <w:rsid w:val="00F25038"/>
    <w:rsid w:val="00F26621"/>
    <w:rsid w:val="00F2735C"/>
    <w:rsid w:val="00F30B1D"/>
    <w:rsid w:val="00F3124A"/>
    <w:rsid w:val="00F3192E"/>
    <w:rsid w:val="00F31D41"/>
    <w:rsid w:val="00F31DEA"/>
    <w:rsid w:val="00F34539"/>
    <w:rsid w:val="00F35005"/>
    <w:rsid w:val="00F359FB"/>
    <w:rsid w:val="00F364CB"/>
    <w:rsid w:val="00F36E13"/>
    <w:rsid w:val="00F37601"/>
    <w:rsid w:val="00F4058E"/>
    <w:rsid w:val="00F4220F"/>
    <w:rsid w:val="00F423B8"/>
    <w:rsid w:val="00F43F58"/>
    <w:rsid w:val="00F4448B"/>
    <w:rsid w:val="00F44AAF"/>
    <w:rsid w:val="00F45220"/>
    <w:rsid w:val="00F45507"/>
    <w:rsid w:val="00F46014"/>
    <w:rsid w:val="00F47670"/>
    <w:rsid w:val="00F50EAD"/>
    <w:rsid w:val="00F51371"/>
    <w:rsid w:val="00F51AF6"/>
    <w:rsid w:val="00F551E9"/>
    <w:rsid w:val="00F55A95"/>
    <w:rsid w:val="00F56044"/>
    <w:rsid w:val="00F56113"/>
    <w:rsid w:val="00F5640F"/>
    <w:rsid w:val="00F56735"/>
    <w:rsid w:val="00F56B3A"/>
    <w:rsid w:val="00F60F94"/>
    <w:rsid w:val="00F615F9"/>
    <w:rsid w:val="00F62055"/>
    <w:rsid w:val="00F620BE"/>
    <w:rsid w:val="00F64DC5"/>
    <w:rsid w:val="00F73938"/>
    <w:rsid w:val="00F73E87"/>
    <w:rsid w:val="00F74224"/>
    <w:rsid w:val="00F747A9"/>
    <w:rsid w:val="00F74F88"/>
    <w:rsid w:val="00F76696"/>
    <w:rsid w:val="00F77295"/>
    <w:rsid w:val="00F77A84"/>
    <w:rsid w:val="00F80438"/>
    <w:rsid w:val="00F87905"/>
    <w:rsid w:val="00F91A0D"/>
    <w:rsid w:val="00F9229E"/>
    <w:rsid w:val="00F92724"/>
    <w:rsid w:val="00F92A12"/>
    <w:rsid w:val="00F942E2"/>
    <w:rsid w:val="00F9523B"/>
    <w:rsid w:val="00F9546E"/>
    <w:rsid w:val="00F9560B"/>
    <w:rsid w:val="00F95755"/>
    <w:rsid w:val="00F96E67"/>
    <w:rsid w:val="00F96E92"/>
    <w:rsid w:val="00FA0700"/>
    <w:rsid w:val="00FA13CB"/>
    <w:rsid w:val="00FA2BE9"/>
    <w:rsid w:val="00FA2CAD"/>
    <w:rsid w:val="00FA31AE"/>
    <w:rsid w:val="00FA4FCD"/>
    <w:rsid w:val="00FA67C7"/>
    <w:rsid w:val="00FB1DA4"/>
    <w:rsid w:val="00FB2973"/>
    <w:rsid w:val="00FB42CF"/>
    <w:rsid w:val="00FB4E0C"/>
    <w:rsid w:val="00FB511E"/>
    <w:rsid w:val="00FB7466"/>
    <w:rsid w:val="00FB7B5E"/>
    <w:rsid w:val="00FC07DD"/>
    <w:rsid w:val="00FC0BC0"/>
    <w:rsid w:val="00FC2B86"/>
    <w:rsid w:val="00FC32D1"/>
    <w:rsid w:val="00FC48B5"/>
    <w:rsid w:val="00FC4CA2"/>
    <w:rsid w:val="00FC6FF3"/>
    <w:rsid w:val="00FC7629"/>
    <w:rsid w:val="00FC7B2A"/>
    <w:rsid w:val="00FD3D67"/>
    <w:rsid w:val="00FD536A"/>
    <w:rsid w:val="00FD74FF"/>
    <w:rsid w:val="00FE06F1"/>
    <w:rsid w:val="00FE3CEC"/>
    <w:rsid w:val="00FE4145"/>
    <w:rsid w:val="00FE5F2D"/>
    <w:rsid w:val="00FE607C"/>
    <w:rsid w:val="00FE636B"/>
    <w:rsid w:val="00FE6A1F"/>
    <w:rsid w:val="00FE743E"/>
    <w:rsid w:val="00FF04FB"/>
    <w:rsid w:val="00FF0810"/>
    <w:rsid w:val="00FF11E6"/>
    <w:rsid w:val="00FF1302"/>
    <w:rsid w:val="00FF2271"/>
    <w:rsid w:val="00FF32F3"/>
    <w:rsid w:val="00FF5B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PersonName"/>
  <w:shapeDefaults>
    <o:shapedefaults v:ext="edit" spidmax="3074">
      <o:colormru v:ext="edit" colors="#5a9a98,#ddcf56,#ad495d,#ab9c8f,#b5d3d2,#7e6d5f,#f26631,#54534a"/>
      <o:colormenu v:ext="edit" fillcolor="#c00000" strokecolor="non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46BFE"/>
    <w:rPr>
      <w:szCs w:val="24"/>
      <w:lang w:val="en-AU" w:eastAsia="en-AU"/>
    </w:rPr>
  </w:style>
  <w:style w:type="paragraph" w:styleId="Heading1">
    <w:name w:val="heading 1"/>
    <w:basedOn w:val="Normal"/>
    <w:next w:val="BodyText"/>
    <w:qFormat/>
    <w:rsid w:val="00A612FF"/>
    <w:pPr>
      <w:keepNext/>
      <w:numPr>
        <w:numId w:val="7"/>
      </w:numPr>
      <w:spacing w:before="460" w:after="100" w:line="320" w:lineRule="atLeast"/>
      <w:outlineLvl w:val="0"/>
    </w:pPr>
    <w:rPr>
      <w:rFonts w:ascii="Franklin Gothic Demi" w:hAnsi="Franklin Gothic Demi"/>
      <w:color w:val="AD495D"/>
      <w:kern w:val="28"/>
      <w:sz w:val="28"/>
      <w:szCs w:val="28"/>
    </w:rPr>
  </w:style>
  <w:style w:type="paragraph" w:styleId="Heading2">
    <w:name w:val="heading 2"/>
    <w:basedOn w:val="Heading1"/>
    <w:next w:val="BodyText"/>
    <w:qFormat/>
    <w:rsid w:val="00A66E8A"/>
    <w:pPr>
      <w:numPr>
        <w:ilvl w:val="1"/>
      </w:numPr>
      <w:spacing w:before="380" w:after="0" w:line="280" w:lineRule="atLeast"/>
      <w:outlineLvl w:val="1"/>
    </w:pPr>
    <w:rPr>
      <w:rFonts w:ascii="Franklin Gothic Medium" w:hAnsi="Franklin Gothic Medium"/>
      <w:color w:val="5A9A98"/>
      <w:sz w:val="24"/>
      <w:szCs w:val="24"/>
    </w:rPr>
  </w:style>
  <w:style w:type="paragraph" w:styleId="Heading3">
    <w:name w:val="heading 3"/>
    <w:basedOn w:val="Heading2"/>
    <w:next w:val="BodyText"/>
    <w:qFormat/>
    <w:rsid w:val="00A66E8A"/>
    <w:pPr>
      <w:numPr>
        <w:ilvl w:val="2"/>
      </w:numPr>
      <w:spacing w:before="300" w:line="260" w:lineRule="atLeast"/>
      <w:outlineLvl w:val="2"/>
    </w:pPr>
    <w:rPr>
      <w:color w:val="54534A"/>
      <w:sz w:val="22"/>
      <w:szCs w:val="22"/>
    </w:rPr>
  </w:style>
  <w:style w:type="paragraph" w:styleId="Heading4">
    <w:name w:val="heading 4"/>
    <w:basedOn w:val="BodyText"/>
    <w:next w:val="BodyText"/>
    <w:qFormat/>
    <w:rsid w:val="00222F3B"/>
    <w:pPr>
      <w:numPr>
        <w:ilvl w:val="3"/>
        <w:numId w:val="7"/>
      </w:numPr>
      <w:spacing w:before="320" w:after="0"/>
      <w:outlineLvl w:val="3"/>
    </w:pPr>
    <w:rPr>
      <w:b/>
      <w:color w:val="54534A"/>
      <w:sz w:val="22"/>
      <w:szCs w:val="22"/>
    </w:rPr>
  </w:style>
  <w:style w:type="paragraph" w:styleId="Heading5">
    <w:name w:val="heading 5"/>
    <w:basedOn w:val="BodyText"/>
    <w:next w:val="BodyText"/>
    <w:qFormat/>
    <w:rsid w:val="00B525EE"/>
    <w:pPr>
      <w:keepNext/>
      <w:numPr>
        <w:ilvl w:val="4"/>
        <w:numId w:val="7"/>
      </w:numPr>
      <w:spacing w:before="320" w:after="0"/>
      <w:outlineLvl w:val="4"/>
    </w:pPr>
    <w:rPr>
      <w:b/>
      <w:color w:val="54534A"/>
    </w:rPr>
  </w:style>
  <w:style w:type="paragraph" w:styleId="Heading6">
    <w:name w:val="heading 6"/>
    <w:basedOn w:val="Heading1"/>
    <w:next w:val="BodyText"/>
    <w:qFormat/>
    <w:rsid w:val="00B525EE"/>
    <w:pPr>
      <w:numPr>
        <w:ilvl w:val="5"/>
      </w:numPr>
      <w:outlineLvl w:val="5"/>
    </w:pPr>
    <w:rPr>
      <w:bCs/>
    </w:rPr>
  </w:style>
  <w:style w:type="paragraph" w:styleId="Heading7">
    <w:name w:val="heading 7"/>
    <w:basedOn w:val="Heading2"/>
    <w:next w:val="BodyText"/>
    <w:qFormat/>
    <w:rsid w:val="00B525EE"/>
    <w:pPr>
      <w:numPr>
        <w:ilvl w:val="6"/>
      </w:numPr>
      <w:outlineLvl w:val="6"/>
    </w:pPr>
    <w:rPr>
      <w:rFonts w:ascii="Franklin Gothic Demi" w:hAnsi="Franklin Gothic Demi"/>
      <w:sz w:val="28"/>
      <w:szCs w:val="28"/>
    </w:rPr>
  </w:style>
  <w:style w:type="paragraph" w:styleId="Heading8">
    <w:name w:val="heading 8"/>
    <w:basedOn w:val="Heading3"/>
    <w:next w:val="BodyText"/>
    <w:qFormat/>
    <w:rsid w:val="00B525EE"/>
    <w:pPr>
      <w:numPr>
        <w:ilvl w:val="7"/>
      </w:numPr>
      <w:outlineLvl w:val="7"/>
    </w:pPr>
  </w:style>
  <w:style w:type="paragraph" w:styleId="Heading9">
    <w:name w:val="heading 9"/>
    <w:basedOn w:val="Heading4"/>
    <w:next w:val="BodyText"/>
    <w:qFormat/>
    <w:rsid w:val="00B525EE"/>
    <w:pPr>
      <w:numPr>
        <w:ilvl w:val="8"/>
      </w:numPr>
      <w:outlineLvl w:val="8"/>
    </w:pPr>
  </w:style>
  <w:style w:type="character" w:default="1" w:styleId="DefaultParagraphFont">
    <w:name w:val="Default Paragraph Font"/>
    <w:aliases w:val=" Char5 Char Char Char Char Char"/>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link w:val="BodyTextChar"/>
    <w:rsid w:val="0001356A"/>
    <w:pPr>
      <w:spacing w:before="80" w:after="80" w:line="280" w:lineRule="atLeast"/>
    </w:pPr>
    <w:rPr>
      <w:rFonts w:ascii="Georgia" w:hAnsi="Georgia"/>
      <w:sz w:val="19"/>
      <w:szCs w:val="19"/>
    </w:rPr>
  </w:style>
  <w:style w:type="character" w:customStyle="1" w:styleId="BodyTextChar">
    <w:name w:val="Body Text Char"/>
    <w:basedOn w:val="DefaultParagraphFont"/>
    <w:link w:val="BodyText"/>
    <w:rsid w:val="0001356A"/>
    <w:rPr>
      <w:rFonts w:ascii="Georgia" w:hAnsi="Georgia"/>
      <w:sz w:val="19"/>
      <w:szCs w:val="19"/>
      <w:lang w:val="en-AU" w:eastAsia="en-AU" w:bidi="ar-SA"/>
    </w:rPr>
  </w:style>
  <w:style w:type="character" w:customStyle="1" w:styleId="DraftingNote">
    <w:name w:val="Drafting Note"/>
    <w:basedOn w:val="DefaultParagraphFont"/>
    <w:semiHidden/>
    <w:rsid w:val="00F0026A"/>
    <w:rPr>
      <w:rFonts w:ascii="Georgia" w:hAnsi="Georgia"/>
      <w:b/>
      <w:color w:val="FF0000"/>
      <w:sz w:val="19"/>
      <w:szCs w:val="19"/>
      <w:u w:val="dotted"/>
    </w:rPr>
  </w:style>
  <w:style w:type="paragraph" w:customStyle="1" w:styleId="QuoteBullet">
    <w:name w:val="Quote Bullet"/>
    <w:basedOn w:val="Quote"/>
    <w:rsid w:val="008B14A2"/>
    <w:pPr>
      <w:numPr>
        <w:numId w:val="20"/>
      </w:numPr>
    </w:pPr>
  </w:style>
  <w:style w:type="paragraph" w:customStyle="1" w:styleId="Abbreviation">
    <w:name w:val="Abbreviation"/>
    <w:basedOn w:val="BodyText"/>
    <w:rsid w:val="00942B42"/>
    <w:pPr>
      <w:ind w:left="1418" w:hanging="1418"/>
    </w:pPr>
  </w:style>
  <w:style w:type="paragraph" w:customStyle="1" w:styleId="Ratingamber">
    <w:name w:val="Rating amber"/>
    <w:basedOn w:val="Normal"/>
    <w:semiHidden/>
    <w:rsid w:val="001C6E03"/>
    <w:pPr>
      <w:numPr>
        <w:numId w:val="11"/>
      </w:numPr>
      <w:spacing w:before="80" w:after="80" w:line="280" w:lineRule="atLeast"/>
    </w:pPr>
    <w:rPr>
      <w:rFonts w:ascii="Georgia" w:hAnsi="Georgia"/>
      <w:sz w:val="19"/>
      <w:szCs w:val="19"/>
    </w:rPr>
  </w:style>
  <w:style w:type="paragraph" w:styleId="ListBullet">
    <w:name w:val="List Bullet"/>
    <w:basedOn w:val="BodyText"/>
    <w:link w:val="ListBulletChar"/>
    <w:rsid w:val="002C5AF0"/>
    <w:pPr>
      <w:numPr>
        <w:numId w:val="16"/>
      </w:numPr>
    </w:pPr>
  </w:style>
  <w:style w:type="paragraph" w:styleId="ListBullet2">
    <w:name w:val="List Bullet 2"/>
    <w:basedOn w:val="ListBullet"/>
    <w:rsid w:val="00D42D78"/>
    <w:pPr>
      <w:numPr>
        <w:numId w:val="13"/>
      </w:numPr>
      <w:spacing w:before="0"/>
      <w:ind w:left="568" w:hanging="284"/>
    </w:pPr>
  </w:style>
  <w:style w:type="paragraph" w:styleId="ListNumber">
    <w:name w:val="List Number"/>
    <w:basedOn w:val="ListBullet"/>
    <w:rsid w:val="00D42D78"/>
    <w:pPr>
      <w:numPr>
        <w:numId w:val="14"/>
      </w:numPr>
    </w:pPr>
  </w:style>
  <w:style w:type="paragraph" w:styleId="ListNumber2">
    <w:name w:val="List Number 2"/>
    <w:basedOn w:val="ListNumber"/>
    <w:rsid w:val="00D42D78"/>
    <w:pPr>
      <w:numPr>
        <w:numId w:val="15"/>
      </w:numPr>
      <w:spacing w:before="0"/>
      <w:ind w:left="568" w:hanging="284"/>
    </w:pPr>
  </w:style>
  <w:style w:type="paragraph" w:styleId="Quote">
    <w:name w:val="Quote"/>
    <w:basedOn w:val="BodyText"/>
    <w:next w:val="BodyText"/>
    <w:qFormat/>
    <w:rsid w:val="00B84A71"/>
    <w:pPr>
      <w:spacing w:before="0" w:line="260" w:lineRule="atLeast"/>
      <w:ind w:left="284"/>
    </w:pPr>
    <w:rPr>
      <w:sz w:val="17"/>
      <w:szCs w:val="17"/>
    </w:rPr>
  </w:style>
  <w:style w:type="paragraph" w:customStyle="1" w:styleId="Ratinggreen">
    <w:name w:val="Rating green"/>
    <w:basedOn w:val="Ratingamber"/>
    <w:semiHidden/>
    <w:rsid w:val="001C6E03"/>
    <w:pPr>
      <w:numPr>
        <w:numId w:val="12"/>
      </w:numPr>
    </w:pPr>
  </w:style>
  <w:style w:type="paragraph" w:customStyle="1" w:styleId="Reference">
    <w:name w:val="Reference"/>
    <w:basedOn w:val="BodyText"/>
    <w:semiHidden/>
    <w:rsid w:val="00F0026A"/>
    <w:pPr>
      <w:keepLines/>
      <w:spacing w:before="60" w:after="60" w:line="260" w:lineRule="atLeast"/>
      <w:ind w:left="284" w:hanging="284"/>
    </w:pPr>
    <w:rPr>
      <w:sz w:val="17"/>
      <w:szCs w:val="17"/>
    </w:rPr>
  </w:style>
  <w:style w:type="paragraph" w:styleId="Title">
    <w:name w:val="Title"/>
    <w:basedOn w:val="Normal"/>
    <w:next w:val="Subtitle"/>
    <w:link w:val="TitleChar"/>
    <w:qFormat/>
    <w:rsid w:val="00E77D0C"/>
    <w:pPr>
      <w:pageBreakBefore/>
      <w:spacing w:line="540" w:lineRule="atLeast"/>
    </w:pPr>
    <w:rPr>
      <w:rFonts w:ascii="Franklin Gothic Book" w:hAnsi="Franklin Gothic Book"/>
      <w:color w:val="FFFFFF"/>
      <w:spacing w:val="-10"/>
      <w:kern w:val="28"/>
      <w:sz w:val="46"/>
      <w:szCs w:val="46"/>
    </w:rPr>
  </w:style>
  <w:style w:type="paragraph" w:styleId="Subtitle">
    <w:name w:val="Subtitle"/>
    <w:basedOn w:val="Title"/>
    <w:next w:val="Date"/>
    <w:link w:val="SubtitleChar"/>
    <w:qFormat/>
    <w:rsid w:val="005B522F"/>
    <w:pPr>
      <w:pageBreakBefore w:val="0"/>
      <w:spacing w:before="120" w:line="380" w:lineRule="atLeast"/>
    </w:pPr>
    <w:rPr>
      <w:sz w:val="32"/>
      <w:szCs w:val="32"/>
    </w:rPr>
  </w:style>
  <w:style w:type="paragraph" w:customStyle="1" w:styleId="Contents">
    <w:name w:val="Contents"/>
    <w:basedOn w:val="Normal"/>
    <w:next w:val="BodyText"/>
    <w:semiHidden/>
    <w:rsid w:val="00DE7339"/>
    <w:pPr>
      <w:spacing w:before="460" w:after="100" w:line="320" w:lineRule="atLeast"/>
    </w:pPr>
    <w:rPr>
      <w:rFonts w:ascii="Franklin Gothic Demi" w:hAnsi="Franklin Gothic Demi"/>
      <w:color w:val="AD495D"/>
      <w:kern w:val="28"/>
      <w:sz w:val="28"/>
      <w:szCs w:val="28"/>
    </w:rPr>
  </w:style>
  <w:style w:type="paragraph" w:styleId="Date">
    <w:name w:val="Date"/>
    <w:basedOn w:val="Subtitle"/>
    <w:next w:val="Author"/>
    <w:link w:val="DateChar"/>
    <w:semiHidden/>
    <w:rsid w:val="00A53A6B"/>
    <w:pPr>
      <w:spacing w:after="1000"/>
    </w:pPr>
    <w:rPr>
      <w:sz w:val="24"/>
      <w:szCs w:val="24"/>
    </w:rPr>
  </w:style>
  <w:style w:type="paragraph" w:styleId="Footer">
    <w:name w:val="footer"/>
    <w:basedOn w:val="Normal"/>
    <w:semiHidden/>
    <w:rsid w:val="00F23FD4"/>
    <w:pPr>
      <w:tabs>
        <w:tab w:val="left" w:pos="0"/>
        <w:tab w:val="right" w:pos="7938"/>
        <w:tab w:val="right" w:pos="8505"/>
      </w:tabs>
      <w:spacing w:line="180" w:lineRule="exact"/>
      <w:ind w:left="-567" w:right="-567"/>
    </w:pPr>
    <w:rPr>
      <w:rFonts w:ascii="Franklin Gothic Medium" w:hAnsi="Franklin Gothic Medium"/>
      <w:color w:val="5A9A98"/>
      <w:sz w:val="14"/>
      <w:szCs w:val="14"/>
    </w:rPr>
  </w:style>
  <w:style w:type="paragraph" w:styleId="Header">
    <w:name w:val="header"/>
    <w:basedOn w:val="Normal"/>
    <w:semiHidden/>
    <w:rsid w:val="0073548A"/>
    <w:pPr>
      <w:spacing w:line="180" w:lineRule="exact"/>
      <w:jc w:val="right"/>
    </w:pPr>
    <w:rPr>
      <w:rFonts w:ascii="Franklin Gothic Medium" w:hAnsi="Franklin Gothic Medium"/>
      <w:sz w:val="14"/>
      <w:szCs w:val="14"/>
    </w:rPr>
  </w:style>
  <w:style w:type="character" w:styleId="PageNumber">
    <w:name w:val="page number"/>
    <w:basedOn w:val="DefaultParagraphFont"/>
    <w:semiHidden/>
    <w:rsid w:val="007A2D4A"/>
    <w:rPr>
      <w:rFonts w:ascii="Franklin Gothic Medium" w:hAnsi="Franklin Gothic Medium"/>
      <w:color w:val="54534A"/>
      <w:sz w:val="14"/>
      <w:szCs w:val="14"/>
    </w:rPr>
  </w:style>
  <w:style w:type="paragraph" w:styleId="TOC1">
    <w:name w:val="toc 1"/>
    <w:basedOn w:val="BodyText"/>
    <w:next w:val="BodyText"/>
    <w:uiPriority w:val="39"/>
    <w:rsid w:val="00DE7339"/>
    <w:pPr>
      <w:tabs>
        <w:tab w:val="left" w:pos="397"/>
        <w:tab w:val="right" w:pos="7938"/>
      </w:tabs>
      <w:spacing w:before="180" w:after="0"/>
      <w:ind w:left="397" w:right="567" w:hanging="397"/>
    </w:pPr>
    <w:rPr>
      <w:rFonts w:ascii="Franklin Gothic Medium" w:hAnsi="Franklin Gothic Medium"/>
      <w:color w:val="54534A"/>
      <w:sz w:val="24"/>
      <w:szCs w:val="24"/>
    </w:rPr>
  </w:style>
  <w:style w:type="paragraph" w:styleId="TOC2">
    <w:name w:val="toc 2"/>
    <w:basedOn w:val="TOC1"/>
    <w:next w:val="TOC1"/>
    <w:uiPriority w:val="39"/>
    <w:rsid w:val="00DE7339"/>
    <w:pPr>
      <w:spacing w:before="120" w:line="200" w:lineRule="atLeast"/>
      <w:ind w:left="0" w:firstLine="0"/>
    </w:pPr>
    <w:rPr>
      <w:rFonts w:ascii="Franklin Gothic Book" w:hAnsi="Franklin Gothic Book"/>
      <w:color w:val="5A9A98"/>
      <w:sz w:val="21"/>
      <w:szCs w:val="21"/>
    </w:rPr>
  </w:style>
  <w:style w:type="paragraph" w:customStyle="1" w:styleId="Reporttype">
    <w:name w:val="Report type"/>
    <w:basedOn w:val="BodyText"/>
    <w:semiHidden/>
    <w:rsid w:val="00F15D8B"/>
    <w:pPr>
      <w:spacing w:before="0" w:line="400" w:lineRule="atLeast"/>
    </w:pPr>
    <w:rPr>
      <w:rFonts w:ascii="Arial" w:hAnsi="Arial"/>
      <w:color w:val="00467F"/>
      <w:spacing w:val="-2"/>
      <w:sz w:val="36"/>
      <w:szCs w:val="36"/>
    </w:rPr>
  </w:style>
  <w:style w:type="character" w:customStyle="1" w:styleId="Subtitlebox">
    <w:name w:val="Subtitle box"/>
    <w:aliases w:val="figure &amp; table,chart &amp; table"/>
    <w:basedOn w:val="DefaultParagraphFont"/>
    <w:semiHidden/>
    <w:rsid w:val="008E6453"/>
    <w:rPr>
      <w:rFonts w:ascii="Franklin Gothic Book" w:hAnsi="Franklin Gothic Book"/>
      <w:color w:val="auto"/>
      <w:sz w:val="17"/>
      <w:szCs w:val="17"/>
    </w:rPr>
  </w:style>
  <w:style w:type="paragraph" w:customStyle="1" w:styleId="Invisiblepara">
    <w:name w:val="Invisible para"/>
    <w:basedOn w:val="Normal"/>
    <w:semiHidden/>
    <w:rsid w:val="00F747A9"/>
    <w:pPr>
      <w:keepNext/>
      <w:spacing w:before="320" w:line="80" w:lineRule="exact"/>
    </w:pPr>
    <w:rPr>
      <w:sz w:val="21"/>
      <w:szCs w:val="20"/>
    </w:rPr>
  </w:style>
  <w:style w:type="paragraph" w:styleId="Caption">
    <w:name w:val="caption"/>
    <w:basedOn w:val="Normal"/>
    <w:next w:val="BodyText"/>
    <w:qFormat/>
    <w:rsid w:val="00227783"/>
    <w:pPr>
      <w:keepNext/>
      <w:spacing w:before="320" w:after="80" w:line="230" w:lineRule="exact"/>
    </w:pPr>
    <w:rPr>
      <w:rFonts w:ascii="Franklin Gothic Demi" w:hAnsi="Franklin Gothic Demi"/>
      <w:color w:val="7E6D5F"/>
      <w:sz w:val="19"/>
      <w:szCs w:val="19"/>
    </w:rPr>
  </w:style>
  <w:style w:type="paragraph" w:customStyle="1" w:styleId="BoxListBullet">
    <w:name w:val="Box List Bullet"/>
    <w:basedOn w:val="BoxText"/>
    <w:rsid w:val="006C6761"/>
    <w:pPr>
      <w:keepLines/>
      <w:numPr>
        <w:numId w:val="5"/>
      </w:numPr>
      <w:spacing w:before="0"/>
    </w:pPr>
    <w:rPr>
      <w:szCs w:val="20"/>
    </w:rPr>
  </w:style>
  <w:style w:type="character" w:customStyle="1" w:styleId="NoteLabel">
    <w:name w:val="Note Label"/>
    <w:basedOn w:val="DefaultParagraphFont"/>
    <w:rsid w:val="0073548A"/>
    <w:rPr>
      <w:rFonts w:ascii="Franklin Gothic Medium" w:hAnsi="Franklin Gothic Medium"/>
      <w:color w:val="auto"/>
      <w:position w:val="4"/>
      <w:sz w:val="14"/>
      <w:szCs w:val="14"/>
    </w:rPr>
  </w:style>
  <w:style w:type="paragraph" w:customStyle="1" w:styleId="Note">
    <w:name w:val="Note"/>
    <w:basedOn w:val="TableTextEntries"/>
    <w:next w:val="Source"/>
    <w:link w:val="NoteCharChar"/>
    <w:rsid w:val="008D75EB"/>
    <w:pPr>
      <w:spacing w:after="0" w:line="180" w:lineRule="atLeast"/>
    </w:pPr>
    <w:rPr>
      <w:sz w:val="14"/>
      <w:szCs w:val="14"/>
    </w:rPr>
  </w:style>
  <w:style w:type="paragraph" w:customStyle="1" w:styleId="TableTextEntries">
    <w:name w:val="Table Text Entries"/>
    <w:basedOn w:val="Normal"/>
    <w:rsid w:val="00F021E7"/>
    <w:pPr>
      <w:keepLines/>
      <w:spacing w:before="40" w:after="40" w:line="200" w:lineRule="atLeast"/>
    </w:pPr>
    <w:rPr>
      <w:rFonts w:ascii="Franklin Gothic Book" w:hAnsi="Franklin Gothic Book"/>
      <w:sz w:val="17"/>
      <w:szCs w:val="17"/>
      <w:lang w:eastAsia="en-US"/>
    </w:rPr>
  </w:style>
  <w:style w:type="paragraph" w:customStyle="1" w:styleId="Source">
    <w:name w:val="Source"/>
    <w:basedOn w:val="Note"/>
    <w:next w:val="BodyText"/>
    <w:rsid w:val="00ED5E2B"/>
    <w:pPr>
      <w:spacing w:after="240"/>
    </w:pPr>
  </w:style>
  <w:style w:type="paragraph" w:customStyle="1" w:styleId="BoxHeading1">
    <w:name w:val="Box Heading 1"/>
    <w:basedOn w:val="BoxText"/>
    <w:next w:val="BoxText"/>
    <w:rsid w:val="00FC7629"/>
    <w:pPr>
      <w:spacing w:before="180" w:after="0" w:line="220" w:lineRule="atLeast"/>
    </w:pPr>
    <w:rPr>
      <w:rFonts w:ascii="Franklin Gothic Demi" w:hAnsi="Franklin Gothic Demi"/>
      <w:color w:val="000000"/>
    </w:rPr>
  </w:style>
  <w:style w:type="paragraph" w:customStyle="1" w:styleId="BoxHeading2">
    <w:name w:val="Box Heading 2"/>
    <w:basedOn w:val="BoxHeading1"/>
    <w:next w:val="BoxText"/>
    <w:rsid w:val="002C23D1"/>
    <w:pPr>
      <w:spacing w:before="140"/>
    </w:pPr>
    <w:rPr>
      <w:rFonts w:ascii="Franklin Gothic Book" w:hAnsi="Franklin Gothic Book"/>
      <w:i/>
      <w:color w:val="auto"/>
    </w:rPr>
  </w:style>
  <w:style w:type="paragraph" w:customStyle="1" w:styleId="TableListBullet">
    <w:name w:val="Table List Bullet"/>
    <w:basedOn w:val="TableTextEntries"/>
    <w:rsid w:val="00FA0700"/>
    <w:pPr>
      <w:numPr>
        <w:numId w:val="9"/>
      </w:numPr>
    </w:pPr>
  </w:style>
  <w:style w:type="paragraph" w:styleId="TableofFigures">
    <w:name w:val="table of figures"/>
    <w:basedOn w:val="BodyText"/>
    <w:next w:val="BodyText"/>
    <w:semiHidden/>
    <w:rsid w:val="00751A18"/>
    <w:pPr>
      <w:tabs>
        <w:tab w:val="left" w:pos="1077"/>
        <w:tab w:val="right" w:pos="8505"/>
      </w:tabs>
      <w:spacing w:before="60" w:line="260" w:lineRule="atLeast"/>
      <w:ind w:left="1077" w:right="567" w:hanging="1077"/>
    </w:pPr>
  </w:style>
  <w:style w:type="paragraph" w:styleId="TOC3">
    <w:name w:val="toc 3"/>
    <w:basedOn w:val="TOC2"/>
    <w:next w:val="BodyText"/>
    <w:uiPriority w:val="39"/>
    <w:rsid w:val="00F9523B"/>
    <w:pPr>
      <w:tabs>
        <w:tab w:val="clear" w:pos="397"/>
      </w:tabs>
      <w:spacing w:before="40" w:line="230" w:lineRule="atLeast"/>
      <w:ind w:left="567" w:hanging="567"/>
    </w:pPr>
    <w:rPr>
      <w:rFonts w:ascii="Georgia" w:hAnsi="Georgia"/>
      <w:color w:val="auto"/>
      <w:sz w:val="19"/>
      <w:szCs w:val="19"/>
    </w:rPr>
  </w:style>
  <w:style w:type="paragraph" w:customStyle="1" w:styleId="Continued">
    <w:name w:val="Continued"/>
    <w:basedOn w:val="Source"/>
    <w:next w:val="BodyText"/>
    <w:semiHidden/>
    <w:rsid w:val="00B622E7"/>
    <w:pPr>
      <w:jc w:val="right"/>
    </w:pPr>
  </w:style>
  <w:style w:type="paragraph" w:customStyle="1" w:styleId="Recommendation">
    <w:name w:val="Recommendation"/>
    <w:basedOn w:val="BodyText"/>
    <w:next w:val="BodyText"/>
    <w:semiHidden/>
    <w:rsid w:val="00671255"/>
    <w:pPr>
      <w:tabs>
        <w:tab w:val="left" w:pos="284"/>
      </w:tabs>
      <w:ind w:left="284" w:hanging="284"/>
    </w:pPr>
    <w:rPr>
      <w:rFonts w:eastAsia="MS Mincho" w:cs="MS Mincho"/>
      <w:b/>
    </w:rPr>
  </w:style>
  <w:style w:type="paragraph" w:styleId="TOC6">
    <w:name w:val="toc 6"/>
    <w:basedOn w:val="BodyText"/>
    <w:next w:val="BodyText"/>
    <w:semiHidden/>
    <w:rsid w:val="00671255"/>
    <w:pPr>
      <w:tabs>
        <w:tab w:val="left" w:pos="284"/>
        <w:tab w:val="right" w:pos="8222"/>
      </w:tabs>
      <w:ind w:left="284" w:right="567" w:hanging="284"/>
    </w:pPr>
  </w:style>
  <w:style w:type="character" w:styleId="CommentReference">
    <w:name w:val="annotation reference"/>
    <w:basedOn w:val="DefaultParagraphFont"/>
    <w:semiHidden/>
    <w:rsid w:val="007A2D4A"/>
    <w:rPr>
      <w:rFonts w:ascii="Franklin Gothic Medium" w:hAnsi="Franklin Gothic Medium"/>
      <w:vanish/>
      <w:color w:val="FF00FF"/>
      <w:sz w:val="16"/>
      <w:szCs w:val="16"/>
    </w:rPr>
  </w:style>
  <w:style w:type="paragraph" w:styleId="CommentText">
    <w:name w:val="annotation text"/>
    <w:basedOn w:val="BodyText"/>
    <w:semiHidden/>
    <w:rsid w:val="008527C1"/>
    <w:pPr>
      <w:spacing w:line="240" w:lineRule="atLeast"/>
    </w:pPr>
    <w:rPr>
      <w:rFonts w:ascii="Calibri" w:hAnsi="Calibri"/>
      <w:sz w:val="18"/>
      <w:szCs w:val="18"/>
    </w:rPr>
  </w:style>
  <w:style w:type="character" w:styleId="FootnoteReference">
    <w:name w:val="footnote reference"/>
    <w:basedOn w:val="DefaultParagraphFont"/>
    <w:semiHidden/>
    <w:rsid w:val="00FB1DA4"/>
    <w:rPr>
      <w:rFonts w:ascii="Franklin Gothic Book" w:hAnsi="Franklin Gothic Book"/>
      <w:w w:val="100"/>
      <w:position w:val="6"/>
      <w:sz w:val="12"/>
      <w:szCs w:val="12"/>
      <w:vertAlign w:val="baseline"/>
    </w:rPr>
  </w:style>
  <w:style w:type="paragraph" w:styleId="FootnoteText">
    <w:name w:val="footnote text"/>
    <w:aliases w:val="ADB"/>
    <w:basedOn w:val="BodyText"/>
    <w:link w:val="FootnoteTextChar"/>
    <w:semiHidden/>
    <w:rsid w:val="00281D52"/>
    <w:pPr>
      <w:spacing w:before="0" w:after="0" w:line="180" w:lineRule="atLeast"/>
      <w:ind w:left="284" w:hanging="284"/>
    </w:pPr>
    <w:rPr>
      <w:rFonts w:ascii="Franklin Gothic Book" w:hAnsi="Franklin Gothic Book"/>
      <w:sz w:val="14"/>
      <w:szCs w:val="14"/>
    </w:rPr>
  </w:style>
  <w:style w:type="character" w:styleId="Hyperlink">
    <w:name w:val="Hyperlink"/>
    <w:basedOn w:val="DefaultParagraphFont"/>
    <w:uiPriority w:val="99"/>
    <w:rsid w:val="00254E43"/>
    <w:rPr>
      <w:color w:val="00467F"/>
      <w:sz w:val="20"/>
      <w:szCs w:val="20"/>
      <w:u w:val="none"/>
    </w:rPr>
  </w:style>
  <w:style w:type="paragraph" w:customStyle="1" w:styleId="ChartText">
    <w:name w:val="Chart Text"/>
    <w:basedOn w:val="BodyText"/>
    <w:semiHidden/>
    <w:rsid w:val="00CF2071"/>
    <w:pPr>
      <w:spacing w:before="100" w:line="190" w:lineRule="exact"/>
    </w:pPr>
    <w:rPr>
      <w:rFonts w:ascii="Arial" w:hAnsi="Arial"/>
      <w:sz w:val="17"/>
    </w:rPr>
  </w:style>
  <w:style w:type="paragraph" w:customStyle="1" w:styleId="ChartBoldText">
    <w:name w:val="Chart Bold Text"/>
    <w:basedOn w:val="ChartText"/>
    <w:next w:val="ChartText"/>
    <w:semiHidden/>
    <w:rsid w:val="00997A92"/>
    <w:pPr>
      <w:spacing w:before="0"/>
      <w:jc w:val="center"/>
    </w:pPr>
    <w:rPr>
      <w:rFonts w:ascii="Arial Bold" w:hAnsi="Arial Bold"/>
      <w:b/>
      <w:color w:val="073771"/>
      <w:szCs w:val="17"/>
    </w:rPr>
  </w:style>
  <w:style w:type="paragraph" w:customStyle="1" w:styleId="ChartHighlight">
    <w:name w:val="Chart Highlight"/>
    <w:basedOn w:val="ChartBoldText"/>
    <w:semiHidden/>
    <w:rsid w:val="00CF2071"/>
    <w:pPr>
      <w:spacing w:line="210" w:lineRule="exact"/>
    </w:pPr>
    <w:rPr>
      <w:caps/>
      <w:sz w:val="19"/>
    </w:rPr>
  </w:style>
  <w:style w:type="paragraph" w:customStyle="1" w:styleId="ChartListBullet">
    <w:name w:val="Chart List Bullet"/>
    <w:basedOn w:val="TableListBullet"/>
    <w:semiHidden/>
    <w:rsid w:val="00321C81"/>
    <w:pPr>
      <w:numPr>
        <w:numId w:val="0"/>
      </w:numPr>
      <w:tabs>
        <w:tab w:val="num" w:pos="227"/>
      </w:tabs>
      <w:spacing w:before="50" w:after="0" w:line="190" w:lineRule="exact"/>
      <w:ind w:left="227" w:hanging="227"/>
    </w:pPr>
  </w:style>
  <w:style w:type="paragraph" w:customStyle="1" w:styleId="ChartListBullet2">
    <w:name w:val="Chart List Bullet 2"/>
    <w:basedOn w:val="ListBullet2"/>
    <w:semiHidden/>
    <w:rsid w:val="00321C81"/>
    <w:pPr>
      <w:numPr>
        <w:numId w:val="0"/>
      </w:numPr>
      <w:tabs>
        <w:tab w:val="num" w:pos="454"/>
      </w:tabs>
      <w:spacing w:before="30" w:line="190" w:lineRule="exact"/>
      <w:ind w:left="454" w:hanging="227"/>
    </w:pPr>
    <w:rPr>
      <w:rFonts w:ascii="Arial" w:hAnsi="Arial"/>
      <w:sz w:val="17"/>
    </w:rPr>
  </w:style>
  <w:style w:type="paragraph" w:customStyle="1" w:styleId="ChartListNumber">
    <w:name w:val="Chart List Number"/>
    <w:basedOn w:val="ChartText"/>
    <w:semiHidden/>
    <w:rsid w:val="00321C81"/>
    <w:pPr>
      <w:tabs>
        <w:tab w:val="num" w:pos="227"/>
      </w:tabs>
      <w:spacing w:before="60"/>
      <w:ind w:left="227" w:hanging="227"/>
    </w:pPr>
  </w:style>
  <w:style w:type="paragraph" w:styleId="TOC7">
    <w:name w:val="toc 7"/>
    <w:basedOn w:val="TOC1"/>
    <w:next w:val="TOC1"/>
    <w:semiHidden/>
    <w:rsid w:val="0097190C"/>
    <w:pPr>
      <w:tabs>
        <w:tab w:val="left" w:pos="1418"/>
      </w:tabs>
      <w:ind w:left="1418" w:hanging="1418"/>
    </w:pPr>
  </w:style>
  <w:style w:type="paragraph" w:customStyle="1" w:styleId="Author">
    <w:name w:val="Author"/>
    <w:basedOn w:val="Date"/>
    <w:next w:val="Position"/>
    <w:link w:val="AuthorCharChar"/>
    <w:semiHidden/>
    <w:rsid w:val="0075426C"/>
    <w:pPr>
      <w:spacing w:before="180" w:after="0" w:line="260" w:lineRule="atLeast"/>
    </w:pPr>
    <w:rPr>
      <w:rFonts w:ascii="Franklin Gothic Medium" w:hAnsi="Franklin Gothic Medium"/>
      <w:color w:val="auto"/>
      <w:spacing w:val="-2"/>
      <w:sz w:val="20"/>
      <w:szCs w:val="20"/>
    </w:rPr>
  </w:style>
  <w:style w:type="paragraph" w:customStyle="1" w:styleId="Position">
    <w:name w:val="Position"/>
    <w:basedOn w:val="Author"/>
    <w:next w:val="Author"/>
    <w:link w:val="PositionCharChar"/>
    <w:semiHidden/>
    <w:rsid w:val="0075426C"/>
    <w:pPr>
      <w:spacing w:before="0"/>
    </w:pPr>
    <w:rPr>
      <w:rFonts w:ascii="Franklin Gothic Book" w:hAnsi="Franklin Gothic Book"/>
    </w:rPr>
  </w:style>
  <w:style w:type="paragraph" w:customStyle="1" w:styleId="CharChar">
    <w:name w:val="Char Char"/>
    <w:basedOn w:val="BoxText"/>
    <w:semiHidden/>
    <w:rsid w:val="001E5458"/>
  </w:style>
  <w:style w:type="paragraph" w:customStyle="1" w:styleId="Client">
    <w:name w:val="Client"/>
    <w:basedOn w:val="Author"/>
    <w:semiHidden/>
    <w:rsid w:val="00AD1F3F"/>
  </w:style>
  <w:style w:type="paragraph" w:customStyle="1" w:styleId="TableDataEntries">
    <w:name w:val="Table Data Entries"/>
    <w:basedOn w:val="TableTextEntries"/>
    <w:rsid w:val="009B0288"/>
    <w:pPr>
      <w:jc w:val="right"/>
    </w:pPr>
  </w:style>
  <w:style w:type="paragraph" w:customStyle="1" w:styleId="TableDataColumnHeading">
    <w:name w:val="Table Data Column Heading"/>
    <w:basedOn w:val="TableDataEntries"/>
    <w:rsid w:val="008E6453"/>
    <w:pPr>
      <w:spacing w:before="80" w:after="80"/>
    </w:pPr>
    <w:rPr>
      <w:rFonts w:ascii="Franklin Gothic Medium" w:hAnsi="Franklin Gothic Medium"/>
    </w:rPr>
  </w:style>
  <w:style w:type="paragraph" w:customStyle="1" w:styleId="TableHeading1">
    <w:name w:val="Table Heading 1"/>
    <w:basedOn w:val="TableTextEntries"/>
    <w:next w:val="TableTextEntries"/>
    <w:rsid w:val="008E6453"/>
    <w:pPr>
      <w:spacing w:before="80" w:after="80"/>
    </w:pPr>
    <w:rPr>
      <w:rFonts w:ascii="Franklin Gothic Medium" w:hAnsi="Franklin Gothic Medium"/>
    </w:rPr>
  </w:style>
  <w:style w:type="paragraph" w:customStyle="1" w:styleId="TableHeading2">
    <w:name w:val="Table Heading 2"/>
    <w:basedOn w:val="TableHeading1"/>
    <w:next w:val="TableTextEntries"/>
    <w:rsid w:val="008E6453"/>
    <w:pPr>
      <w:spacing w:before="40" w:after="40"/>
    </w:pPr>
    <w:rPr>
      <w:rFonts w:ascii="Franklin Gothic Book" w:hAnsi="Franklin Gothic Book"/>
      <w:i/>
    </w:rPr>
  </w:style>
  <w:style w:type="paragraph" w:customStyle="1" w:styleId="TableListBullet2">
    <w:name w:val="Table List Bullet 2"/>
    <w:basedOn w:val="TableListBullet"/>
    <w:link w:val="TableListBullet2CharChar"/>
    <w:rsid w:val="00FA0700"/>
    <w:pPr>
      <w:numPr>
        <w:numId w:val="10"/>
      </w:numPr>
    </w:pPr>
  </w:style>
  <w:style w:type="paragraph" w:customStyle="1" w:styleId="TableListNumber">
    <w:name w:val="Table List Number"/>
    <w:basedOn w:val="TableTextEntries"/>
    <w:rsid w:val="008C0773"/>
    <w:pPr>
      <w:numPr>
        <w:numId w:val="1"/>
      </w:numPr>
    </w:pPr>
  </w:style>
  <w:style w:type="paragraph" w:customStyle="1" w:styleId="TableListNumber2">
    <w:name w:val="Table List Number 2"/>
    <w:basedOn w:val="TableListNumber"/>
    <w:rsid w:val="00396E51"/>
    <w:pPr>
      <w:numPr>
        <w:numId w:val="2"/>
      </w:numPr>
    </w:pPr>
  </w:style>
  <w:style w:type="paragraph" w:customStyle="1" w:styleId="TableTextColumnHeading">
    <w:name w:val="Table Text Column Heading"/>
    <w:basedOn w:val="TableDataColumnHeading"/>
    <w:rsid w:val="008E6453"/>
    <w:pPr>
      <w:jc w:val="left"/>
    </w:pPr>
  </w:style>
  <w:style w:type="paragraph" w:customStyle="1" w:styleId="TableUnit">
    <w:name w:val="Table Unit"/>
    <w:basedOn w:val="TableDataColumnHeading"/>
    <w:next w:val="TableDataEntries"/>
    <w:semiHidden/>
    <w:rsid w:val="008E6453"/>
    <w:pPr>
      <w:keepNext/>
    </w:pPr>
    <w:rPr>
      <w:rFonts w:ascii="Franklin Gothic Book" w:hAnsi="Franklin Gothic Book"/>
    </w:rPr>
  </w:style>
  <w:style w:type="paragraph" w:customStyle="1" w:styleId="NoteNumber">
    <w:name w:val="Note Number"/>
    <w:basedOn w:val="TableTextEntries"/>
    <w:link w:val="NoteNumberCharChar"/>
    <w:rsid w:val="00EE7AC8"/>
    <w:pPr>
      <w:numPr>
        <w:numId w:val="17"/>
      </w:numPr>
      <w:spacing w:after="0" w:line="180" w:lineRule="atLeast"/>
    </w:pPr>
    <w:rPr>
      <w:sz w:val="14"/>
      <w:szCs w:val="14"/>
    </w:rPr>
  </w:style>
  <w:style w:type="character" w:styleId="FollowedHyperlink">
    <w:name w:val="FollowedHyperlink"/>
    <w:basedOn w:val="DefaultParagraphFont"/>
    <w:semiHidden/>
    <w:rsid w:val="00085585"/>
    <w:rPr>
      <w:color w:val="333399"/>
      <w:u w:val="none"/>
    </w:rPr>
  </w:style>
  <w:style w:type="paragraph" w:customStyle="1" w:styleId="Blurb">
    <w:name w:val="Blurb"/>
    <w:basedOn w:val="Caption"/>
    <w:semiHidden/>
    <w:rsid w:val="0075426C"/>
    <w:pPr>
      <w:spacing w:before="180" w:after="0" w:line="280" w:lineRule="atLeast"/>
    </w:pPr>
    <w:rPr>
      <w:color w:val="FFFFFF"/>
    </w:rPr>
  </w:style>
  <w:style w:type="paragraph" w:customStyle="1" w:styleId="Figure">
    <w:name w:val="Figure"/>
    <w:basedOn w:val="BodyText"/>
    <w:next w:val="BodyText"/>
    <w:semiHidden/>
    <w:rsid w:val="00EA0F2C"/>
    <w:pPr>
      <w:spacing w:before="0" w:line="200" w:lineRule="atLeast"/>
    </w:pPr>
    <w:rPr>
      <w:sz w:val="18"/>
      <w:szCs w:val="18"/>
    </w:rPr>
  </w:style>
  <w:style w:type="paragraph" w:customStyle="1" w:styleId="BoxListBullet2">
    <w:name w:val="Box List Bullet 2"/>
    <w:basedOn w:val="BoxListBullet"/>
    <w:rsid w:val="006C6761"/>
    <w:pPr>
      <w:numPr>
        <w:numId w:val="4"/>
      </w:numPr>
    </w:pPr>
    <w:rPr>
      <w:szCs w:val="18"/>
    </w:rPr>
  </w:style>
  <w:style w:type="paragraph" w:customStyle="1" w:styleId="BoxText">
    <w:name w:val="Box Text"/>
    <w:basedOn w:val="Normal"/>
    <w:link w:val="BoxTextChar"/>
    <w:rsid w:val="009A28D5"/>
    <w:pPr>
      <w:spacing w:before="60" w:after="60" w:line="260" w:lineRule="atLeast"/>
    </w:pPr>
    <w:rPr>
      <w:rFonts w:ascii="Franklin Gothic Book" w:hAnsi="Franklin Gothic Book"/>
      <w:sz w:val="18"/>
      <w:szCs w:val="18"/>
    </w:rPr>
  </w:style>
  <w:style w:type="paragraph" w:customStyle="1" w:styleId="BoxListNumber">
    <w:name w:val="Box List Number"/>
    <w:basedOn w:val="BoxText"/>
    <w:rsid w:val="00165C4D"/>
    <w:pPr>
      <w:numPr>
        <w:numId w:val="6"/>
      </w:numPr>
      <w:spacing w:before="0"/>
    </w:pPr>
  </w:style>
  <w:style w:type="paragraph" w:customStyle="1" w:styleId="BoxListNumber2">
    <w:name w:val="Box List Number 2"/>
    <w:basedOn w:val="BoxListNumber"/>
    <w:rsid w:val="006C6761"/>
    <w:pPr>
      <w:numPr>
        <w:numId w:val="3"/>
      </w:numPr>
    </w:pPr>
  </w:style>
  <w:style w:type="paragraph" w:customStyle="1" w:styleId="BoxNoteSource">
    <w:name w:val="Box Note/Source"/>
    <w:basedOn w:val="BoxText"/>
    <w:rsid w:val="006C6761"/>
    <w:pPr>
      <w:spacing w:before="100" w:after="100" w:line="180" w:lineRule="atLeast"/>
    </w:pPr>
    <w:rPr>
      <w:sz w:val="14"/>
      <w:szCs w:val="14"/>
    </w:rPr>
  </w:style>
  <w:style w:type="paragraph" w:customStyle="1" w:styleId="BoxQuote">
    <w:name w:val="Box Quote"/>
    <w:basedOn w:val="BoxText"/>
    <w:next w:val="BoxText"/>
    <w:rsid w:val="00A60B48"/>
    <w:pPr>
      <w:spacing w:before="0" w:line="240" w:lineRule="atLeast"/>
      <w:ind w:left="284"/>
    </w:pPr>
    <w:rPr>
      <w:sz w:val="16"/>
      <w:szCs w:val="16"/>
    </w:rPr>
  </w:style>
  <w:style w:type="character" w:customStyle="1" w:styleId="TableListBullet2CharChar">
    <w:name w:val="Table List Bullet 2 Char Char"/>
    <w:basedOn w:val="DefaultParagraphFont"/>
    <w:link w:val="TableListBullet2"/>
    <w:rsid w:val="00C05EB3"/>
    <w:rPr>
      <w:rFonts w:ascii="Franklin Gothic Book" w:hAnsi="Franklin Gothic Book"/>
      <w:sz w:val="17"/>
      <w:szCs w:val="17"/>
      <w:lang w:val="en-AU" w:eastAsia="en-US" w:bidi="ar-SA"/>
    </w:rPr>
  </w:style>
  <w:style w:type="character" w:customStyle="1" w:styleId="NoteCharChar">
    <w:name w:val="Note Char Char"/>
    <w:basedOn w:val="DefaultParagraphFont"/>
    <w:link w:val="Note"/>
    <w:rsid w:val="008D75EB"/>
    <w:rPr>
      <w:rFonts w:ascii="Franklin Gothic Book" w:hAnsi="Franklin Gothic Book"/>
      <w:sz w:val="14"/>
      <w:szCs w:val="14"/>
      <w:lang w:val="en-AU" w:eastAsia="en-US" w:bidi="ar-SA"/>
    </w:rPr>
  </w:style>
  <w:style w:type="character" w:customStyle="1" w:styleId="NoteNumberCharChar">
    <w:name w:val="Note Number Char Char"/>
    <w:basedOn w:val="DefaultParagraphFont"/>
    <w:link w:val="NoteNumber"/>
    <w:rsid w:val="00EE7AC8"/>
    <w:rPr>
      <w:rFonts w:ascii="Franklin Gothic Book" w:hAnsi="Franklin Gothic Book"/>
      <w:sz w:val="14"/>
      <w:szCs w:val="14"/>
      <w:lang w:val="en-AU" w:eastAsia="en-US" w:bidi="ar-SA"/>
    </w:rPr>
  </w:style>
  <w:style w:type="character" w:customStyle="1" w:styleId="TitleChar">
    <w:name w:val="Title Char"/>
    <w:basedOn w:val="DefaultParagraphFont"/>
    <w:link w:val="Title"/>
    <w:rsid w:val="00E77D0C"/>
    <w:rPr>
      <w:rFonts w:ascii="Franklin Gothic Book" w:hAnsi="Franklin Gothic Book"/>
      <w:color w:val="FFFFFF"/>
      <w:spacing w:val="-10"/>
      <w:kern w:val="28"/>
      <w:sz w:val="46"/>
      <w:szCs w:val="46"/>
      <w:lang w:val="en-AU" w:eastAsia="en-AU" w:bidi="ar-SA"/>
    </w:rPr>
  </w:style>
  <w:style w:type="character" w:customStyle="1" w:styleId="SubtitleChar">
    <w:name w:val="Subtitle Char"/>
    <w:basedOn w:val="TitleChar"/>
    <w:link w:val="Subtitle"/>
    <w:rsid w:val="005B522F"/>
    <w:rPr>
      <w:rFonts w:ascii="Franklin Gothic Book" w:hAnsi="Franklin Gothic Book"/>
      <w:color w:val="FFFFFF"/>
      <w:spacing w:val="-10"/>
      <w:kern w:val="28"/>
      <w:sz w:val="32"/>
      <w:szCs w:val="32"/>
      <w:lang w:val="en-AU" w:eastAsia="en-AU" w:bidi="ar-SA"/>
    </w:rPr>
  </w:style>
  <w:style w:type="character" w:customStyle="1" w:styleId="DateChar">
    <w:name w:val="Date Char"/>
    <w:basedOn w:val="SubtitleChar"/>
    <w:link w:val="Date"/>
    <w:rsid w:val="00A53A6B"/>
    <w:rPr>
      <w:rFonts w:ascii="Franklin Gothic Book" w:hAnsi="Franklin Gothic Book"/>
      <w:color w:val="FFFFFF"/>
      <w:spacing w:val="-10"/>
      <w:kern w:val="28"/>
      <w:sz w:val="24"/>
      <w:szCs w:val="24"/>
      <w:lang w:val="en-AU" w:eastAsia="en-AU" w:bidi="ar-SA"/>
    </w:rPr>
  </w:style>
  <w:style w:type="character" w:customStyle="1" w:styleId="AuthorCharChar">
    <w:name w:val="Author Char Char"/>
    <w:basedOn w:val="DateChar"/>
    <w:link w:val="Author"/>
    <w:rsid w:val="0075426C"/>
    <w:rPr>
      <w:rFonts w:ascii="Franklin Gothic Medium" w:hAnsi="Franklin Gothic Medium"/>
      <w:color w:val="FFFFFF"/>
      <w:spacing w:val="-2"/>
      <w:kern w:val="28"/>
      <w:sz w:val="24"/>
      <w:szCs w:val="24"/>
      <w:lang w:val="en-AU" w:eastAsia="en-AU" w:bidi="ar-SA"/>
    </w:rPr>
  </w:style>
  <w:style w:type="character" w:customStyle="1" w:styleId="PositionCharChar">
    <w:name w:val="Position Char Char"/>
    <w:basedOn w:val="AuthorCharChar"/>
    <w:link w:val="Position"/>
    <w:rsid w:val="0075426C"/>
    <w:rPr>
      <w:rFonts w:ascii="Franklin Gothic Book" w:hAnsi="Franklin Gothic Book"/>
      <w:color w:val="FFFFFF"/>
      <w:spacing w:val="-2"/>
      <w:kern w:val="28"/>
      <w:sz w:val="24"/>
      <w:szCs w:val="24"/>
      <w:lang w:val="en-AU" w:eastAsia="en-AU" w:bidi="ar-SA"/>
    </w:rPr>
  </w:style>
  <w:style w:type="paragraph" w:customStyle="1" w:styleId="Appendix">
    <w:name w:val="Appendix"/>
    <w:basedOn w:val="Normal"/>
    <w:semiHidden/>
    <w:rsid w:val="00205AA6"/>
    <w:pPr>
      <w:framePr w:wrap="around" w:vAnchor="text" w:hAnchor="text" w:y="1"/>
    </w:pPr>
    <w:rPr>
      <w:rFonts w:ascii="Franklin Gothic Medium" w:hAnsi="Franklin Gothic Medium"/>
      <w:color w:val="7E6D5F"/>
      <w:sz w:val="32"/>
      <w:szCs w:val="32"/>
    </w:rPr>
  </w:style>
  <w:style w:type="paragraph" w:customStyle="1" w:styleId="Photocaption">
    <w:name w:val="Photo caption"/>
    <w:basedOn w:val="Normal"/>
    <w:next w:val="BodyText"/>
    <w:semiHidden/>
    <w:rsid w:val="00187D56"/>
    <w:pPr>
      <w:spacing w:before="140" w:after="240" w:line="180" w:lineRule="exact"/>
    </w:pPr>
    <w:rPr>
      <w:rFonts w:ascii="Franklin Gothic Medium" w:hAnsi="Franklin Gothic Medium"/>
      <w:color w:val="54534A"/>
      <w:sz w:val="14"/>
      <w:szCs w:val="14"/>
    </w:rPr>
  </w:style>
  <w:style w:type="paragraph" w:customStyle="1" w:styleId="Char5CharCharChar">
    <w:name w:val=" Char5 Char Char Char"/>
    <w:basedOn w:val="Normal"/>
    <w:semiHidden/>
    <w:rsid w:val="00953A8D"/>
    <w:pPr>
      <w:spacing w:before="180" w:line="280" w:lineRule="atLeast"/>
    </w:pPr>
    <w:rPr>
      <w:rFonts w:ascii="Arial" w:hAnsi="Arial"/>
      <w:sz w:val="22"/>
      <w:szCs w:val="20"/>
      <w:lang w:eastAsia="en-US"/>
    </w:rPr>
  </w:style>
  <w:style w:type="table" w:styleId="TableGrid">
    <w:name w:val="Table Grid"/>
    <w:basedOn w:val="TableNormal"/>
    <w:semiHidden/>
    <w:rsid w:val="005C400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atingred">
    <w:name w:val="Rating red"/>
    <w:basedOn w:val="ListBullet"/>
    <w:semiHidden/>
    <w:rsid w:val="001C6E03"/>
  </w:style>
  <w:style w:type="paragraph" w:customStyle="1" w:styleId="Ratingbullet">
    <w:name w:val="Rating bullet"/>
    <w:basedOn w:val="TableTextEntries"/>
    <w:semiHidden/>
    <w:rsid w:val="001C6E03"/>
    <w:pPr>
      <w:jc w:val="center"/>
    </w:pPr>
    <w:rPr>
      <w:sz w:val="22"/>
      <w:szCs w:val="22"/>
    </w:rPr>
  </w:style>
  <w:style w:type="paragraph" w:styleId="CommentSubject">
    <w:name w:val="annotation subject"/>
    <w:basedOn w:val="CommentText"/>
    <w:next w:val="CommentText"/>
    <w:semiHidden/>
    <w:rsid w:val="00911B9C"/>
    <w:pPr>
      <w:spacing w:before="0" w:after="0" w:line="240" w:lineRule="auto"/>
    </w:pPr>
    <w:rPr>
      <w:rFonts w:ascii="Times New Roman" w:hAnsi="Times New Roman"/>
      <w:b/>
      <w:bCs/>
      <w:sz w:val="20"/>
      <w:szCs w:val="20"/>
    </w:rPr>
  </w:style>
  <w:style w:type="paragraph" w:styleId="BalloonText">
    <w:name w:val="Balloon Text"/>
    <w:basedOn w:val="Normal"/>
    <w:semiHidden/>
    <w:rsid w:val="00911B9C"/>
    <w:rPr>
      <w:rFonts w:ascii="Tahoma" w:hAnsi="Tahoma" w:cs="Tahoma"/>
      <w:sz w:val="16"/>
      <w:szCs w:val="16"/>
    </w:rPr>
  </w:style>
  <w:style w:type="paragraph" w:customStyle="1" w:styleId="Rating">
    <w:name w:val="Rating"/>
    <w:basedOn w:val="BodyText"/>
    <w:next w:val="BodyText"/>
    <w:semiHidden/>
    <w:rsid w:val="00230BD1"/>
    <w:pPr>
      <w:tabs>
        <w:tab w:val="left" w:pos="567"/>
      </w:tabs>
    </w:pPr>
  </w:style>
  <w:style w:type="paragraph" w:customStyle="1" w:styleId="GuidanceText">
    <w:name w:val="Guidance Text"/>
    <w:basedOn w:val="BodyText"/>
    <w:semiHidden/>
    <w:rsid w:val="001B11EB"/>
    <w:pPr>
      <w:spacing w:before="60" w:after="60" w:line="240" w:lineRule="atLeast"/>
    </w:pPr>
    <w:rPr>
      <w:rFonts w:ascii="Calibri" w:hAnsi="Calibri"/>
      <w:color w:val="0000FF"/>
      <w:sz w:val="20"/>
      <w:szCs w:val="20"/>
    </w:rPr>
  </w:style>
  <w:style w:type="paragraph" w:customStyle="1" w:styleId="gray">
    <w:name w:val="gray"/>
    <w:basedOn w:val="Normal"/>
    <w:rsid w:val="00BC51AA"/>
    <w:pPr>
      <w:spacing w:before="136" w:after="136" w:line="288" w:lineRule="auto"/>
      <w:ind w:left="136" w:right="136"/>
    </w:pPr>
    <w:rPr>
      <w:rFonts w:ascii="Arial" w:hAnsi="Arial" w:cs="Arial"/>
      <w:color w:val="333333"/>
      <w:sz w:val="16"/>
      <w:szCs w:val="16"/>
    </w:rPr>
  </w:style>
  <w:style w:type="character" w:customStyle="1" w:styleId="BoxTextChar">
    <w:name w:val="Box Text Char"/>
    <w:basedOn w:val="DefaultParagraphFont"/>
    <w:link w:val="BoxText"/>
    <w:rsid w:val="00CA6414"/>
    <w:rPr>
      <w:rFonts w:ascii="Franklin Gothic Book" w:hAnsi="Franklin Gothic Book"/>
      <w:sz w:val="18"/>
      <w:szCs w:val="18"/>
      <w:lang w:val="en-AU" w:eastAsia="en-AU" w:bidi="ar-SA"/>
    </w:rPr>
  </w:style>
  <w:style w:type="character" w:customStyle="1" w:styleId="FootnoteTextChar">
    <w:name w:val="Footnote Text Char"/>
    <w:aliases w:val="ADB Char"/>
    <w:basedOn w:val="DefaultParagraphFont"/>
    <w:link w:val="FootnoteText"/>
    <w:semiHidden/>
    <w:locked/>
    <w:rsid w:val="00F74F88"/>
    <w:rPr>
      <w:rFonts w:ascii="Franklin Gothic Book" w:hAnsi="Franklin Gothic Book"/>
      <w:sz w:val="14"/>
      <w:szCs w:val="14"/>
      <w:lang w:val="en-AU" w:eastAsia="en-AU" w:bidi="ar-SA"/>
    </w:rPr>
  </w:style>
  <w:style w:type="character" w:customStyle="1" w:styleId="ListBulletChar">
    <w:name w:val="List Bullet Char"/>
    <w:basedOn w:val="BodyTextChar"/>
    <w:link w:val="ListBullet"/>
    <w:rsid w:val="00B11C78"/>
    <w:rPr>
      <w:rFonts w:ascii="Georgia" w:hAnsi="Georgia"/>
      <w:sz w:val="19"/>
      <w:szCs w:val="19"/>
      <w:lang w:val="en-AU" w:eastAsia="en-AU" w:bidi="ar-SA"/>
    </w:rPr>
  </w:style>
  <w:style w:type="character" w:styleId="Emphasis">
    <w:name w:val="Emphasis"/>
    <w:basedOn w:val="DefaultParagraphFont"/>
    <w:qFormat/>
    <w:rPr>
      <w:b/>
      <w:bCs/>
      <w:i w:val="0"/>
      <w:iCs w:val="0"/>
    </w:rPr>
  </w:style>
  <w:style w:type="paragraph" w:customStyle="1" w:styleId="P">
    <w:name w:val="P"/>
    <w:basedOn w:val="gray"/>
    <w:qFormat/>
    <w:rsid w:val="005A517D"/>
    <w:pPr>
      <w:spacing w:before="120" w:after="0" w:line="280" w:lineRule="atLeast"/>
      <w:ind w:left="851" w:right="284"/>
    </w:pPr>
    <w:rPr>
      <w:rFonts w:ascii="Georgia" w:hAnsi="Georgia" w:cs="Tahoma"/>
      <w:sz w:val="19"/>
      <w:szCs w:val="19"/>
    </w:rPr>
  </w:style>
  <w:style w:type="paragraph" w:styleId="TOCHeading">
    <w:name w:val="TOC Heading"/>
    <w:basedOn w:val="Heading1"/>
    <w:next w:val="Normal"/>
    <w:uiPriority w:val="39"/>
    <w:semiHidden/>
    <w:unhideWhenUsed/>
    <w:qFormat/>
    <w:rsid w:val="007E749A"/>
    <w:pPr>
      <w:keepLines/>
      <w:numPr>
        <w:numId w:val="0"/>
      </w:numPr>
      <w:spacing w:before="480" w:after="0" w:line="276" w:lineRule="auto"/>
      <w:outlineLvl w:val="9"/>
    </w:pPr>
    <w:rPr>
      <w:rFonts w:ascii="Cambria" w:hAnsi="Cambria"/>
      <w:b/>
      <w:bCs/>
      <w:color w:val="365F91"/>
      <w:kern w:val="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46BFE"/>
    <w:rPr>
      <w:szCs w:val="24"/>
      <w:lang w:val="en-AU" w:eastAsia="en-AU"/>
    </w:rPr>
  </w:style>
  <w:style w:type="paragraph" w:styleId="Heading1">
    <w:name w:val="heading 1"/>
    <w:basedOn w:val="Normal"/>
    <w:next w:val="BodyText"/>
    <w:qFormat/>
    <w:rsid w:val="00A612FF"/>
    <w:pPr>
      <w:keepNext/>
      <w:numPr>
        <w:numId w:val="7"/>
      </w:numPr>
      <w:spacing w:before="460" w:after="100" w:line="320" w:lineRule="atLeast"/>
      <w:outlineLvl w:val="0"/>
    </w:pPr>
    <w:rPr>
      <w:rFonts w:ascii="Franklin Gothic Demi" w:hAnsi="Franklin Gothic Demi"/>
      <w:color w:val="AD495D"/>
      <w:kern w:val="28"/>
      <w:sz w:val="28"/>
      <w:szCs w:val="28"/>
    </w:rPr>
  </w:style>
  <w:style w:type="paragraph" w:styleId="Heading2">
    <w:name w:val="heading 2"/>
    <w:basedOn w:val="Heading1"/>
    <w:next w:val="BodyText"/>
    <w:qFormat/>
    <w:rsid w:val="00A66E8A"/>
    <w:pPr>
      <w:numPr>
        <w:ilvl w:val="1"/>
      </w:numPr>
      <w:spacing w:before="380" w:after="0" w:line="280" w:lineRule="atLeast"/>
      <w:outlineLvl w:val="1"/>
    </w:pPr>
    <w:rPr>
      <w:rFonts w:ascii="Franklin Gothic Medium" w:hAnsi="Franklin Gothic Medium"/>
      <w:color w:val="5A9A98"/>
      <w:sz w:val="24"/>
      <w:szCs w:val="24"/>
    </w:rPr>
  </w:style>
  <w:style w:type="paragraph" w:styleId="Heading3">
    <w:name w:val="heading 3"/>
    <w:basedOn w:val="Heading2"/>
    <w:next w:val="BodyText"/>
    <w:qFormat/>
    <w:rsid w:val="00A66E8A"/>
    <w:pPr>
      <w:numPr>
        <w:ilvl w:val="2"/>
      </w:numPr>
      <w:spacing w:before="300" w:line="260" w:lineRule="atLeast"/>
      <w:outlineLvl w:val="2"/>
    </w:pPr>
    <w:rPr>
      <w:color w:val="54534A"/>
      <w:sz w:val="22"/>
      <w:szCs w:val="22"/>
    </w:rPr>
  </w:style>
  <w:style w:type="paragraph" w:styleId="Heading4">
    <w:name w:val="heading 4"/>
    <w:basedOn w:val="BodyText"/>
    <w:next w:val="BodyText"/>
    <w:qFormat/>
    <w:rsid w:val="00222F3B"/>
    <w:pPr>
      <w:numPr>
        <w:ilvl w:val="3"/>
        <w:numId w:val="7"/>
      </w:numPr>
      <w:spacing w:before="320" w:after="0"/>
      <w:outlineLvl w:val="3"/>
    </w:pPr>
    <w:rPr>
      <w:b/>
      <w:color w:val="54534A"/>
      <w:sz w:val="22"/>
      <w:szCs w:val="22"/>
    </w:rPr>
  </w:style>
  <w:style w:type="paragraph" w:styleId="Heading5">
    <w:name w:val="heading 5"/>
    <w:basedOn w:val="BodyText"/>
    <w:next w:val="BodyText"/>
    <w:qFormat/>
    <w:rsid w:val="00B525EE"/>
    <w:pPr>
      <w:keepNext/>
      <w:numPr>
        <w:ilvl w:val="4"/>
        <w:numId w:val="7"/>
      </w:numPr>
      <w:spacing w:before="320" w:after="0"/>
      <w:outlineLvl w:val="4"/>
    </w:pPr>
    <w:rPr>
      <w:b/>
      <w:color w:val="54534A"/>
    </w:rPr>
  </w:style>
  <w:style w:type="paragraph" w:styleId="Heading6">
    <w:name w:val="heading 6"/>
    <w:basedOn w:val="Heading1"/>
    <w:next w:val="BodyText"/>
    <w:qFormat/>
    <w:rsid w:val="00B525EE"/>
    <w:pPr>
      <w:numPr>
        <w:ilvl w:val="5"/>
      </w:numPr>
      <w:outlineLvl w:val="5"/>
    </w:pPr>
    <w:rPr>
      <w:bCs/>
    </w:rPr>
  </w:style>
  <w:style w:type="paragraph" w:styleId="Heading7">
    <w:name w:val="heading 7"/>
    <w:basedOn w:val="Heading2"/>
    <w:next w:val="BodyText"/>
    <w:qFormat/>
    <w:rsid w:val="00B525EE"/>
    <w:pPr>
      <w:numPr>
        <w:ilvl w:val="6"/>
      </w:numPr>
      <w:outlineLvl w:val="6"/>
    </w:pPr>
    <w:rPr>
      <w:rFonts w:ascii="Franklin Gothic Demi" w:hAnsi="Franklin Gothic Demi"/>
      <w:sz w:val="28"/>
      <w:szCs w:val="28"/>
    </w:rPr>
  </w:style>
  <w:style w:type="paragraph" w:styleId="Heading8">
    <w:name w:val="heading 8"/>
    <w:basedOn w:val="Heading3"/>
    <w:next w:val="BodyText"/>
    <w:qFormat/>
    <w:rsid w:val="00B525EE"/>
    <w:pPr>
      <w:numPr>
        <w:ilvl w:val="7"/>
      </w:numPr>
      <w:outlineLvl w:val="7"/>
    </w:pPr>
  </w:style>
  <w:style w:type="paragraph" w:styleId="Heading9">
    <w:name w:val="heading 9"/>
    <w:basedOn w:val="Heading4"/>
    <w:next w:val="BodyText"/>
    <w:qFormat/>
    <w:rsid w:val="00B525EE"/>
    <w:pPr>
      <w:numPr>
        <w:ilvl w:val="8"/>
      </w:numPr>
      <w:outlineLvl w:val="8"/>
    </w:pPr>
  </w:style>
  <w:style w:type="character" w:default="1" w:styleId="DefaultParagraphFont">
    <w:name w:val="Default Paragraph Font"/>
    <w:aliases w:val=" Char5 Char Char Char Char Char"/>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link w:val="BodyTextChar"/>
    <w:rsid w:val="0001356A"/>
    <w:pPr>
      <w:spacing w:before="80" w:after="80" w:line="280" w:lineRule="atLeast"/>
    </w:pPr>
    <w:rPr>
      <w:rFonts w:ascii="Georgia" w:hAnsi="Georgia"/>
      <w:sz w:val="19"/>
      <w:szCs w:val="19"/>
    </w:rPr>
  </w:style>
  <w:style w:type="character" w:customStyle="1" w:styleId="BodyTextChar">
    <w:name w:val="Body Text Char"/>
    <w:basedOn w:val="DefaultParagraphFont"/>
    <w:link w:val="BodyText"/>
    <w:rsid w:val="0001356A"/>
    <w:rPr>
      <w:rFonts w:ascii="Georgia" w:hAnsi="Georgia"/>
      <w:sz w:val="19"/>
      <w:szCs w:val="19"/>
      <w:lang w:val="en-AU" w:eastAsia="en-AU" w:bidi="ar-SA"/>
    </w:rPr>
  </w:style>
  <w:style w:type="character" w:customStyle="1" w:styleId="DraftingNote">
    <w:name w:val="Drafting Note"/>
    <w:basedOn w:val="DefaultParagraphFont"/>
    <w:semiHidden/>
    <w:rsid w:val="00F0026A"/>
    <w:rPr>
      <w:rFonts w:ascii="Georgia" w:hAnsi="Georgia"/>
      <w:b/>
      <w:color w:val="FF0000"/>
      <w:sz w:val="19"/>
      <w:szCs w:val="19"/>
      <w:u w:val="dotted"/>
    </w:rPr>
  </w:style>
  <w:style w:type="paragraph" w:customStyle="1" w:styleId="QuoteBullet">
    <w:name w:val="Quote Bullet"/>
    <w:basedOn w:val="Quote"/>
    <w:rsid w:val="008B14A2"/>
    <w:pPr>
      <w:numPr>
        <w:numId w:val="20"/>
      </w:numPr>
    </w:pPr>
  </w:style>
  <w:style w:type="paragraph" w:customStyle="1" w:styleId="Abbreviation">
    <w:name w:val="Abbreviation"/>
    <w:basedOn w:val="BodyText"/>
    <w:rsid w:val="00942B42"/>
    <w:pPr>
      <w:ind w:left="1418" w:hanging="1418"/>
    </w:pPr>
  </w:style>
  <w:style w:type="paragraph" w:customStyle="1" w:styleId="Ratingamber">
    <w:name w:val="Rating amber"/>
    <w:basedOn w:val="Normal"/>
    <w:semiHidden/>
    <w:rsid w:val="001C6E03"/>
    <w:pPr>
      <w:numPr>
        <w:numId w:val="11"/>
      </w:numPr>
      <w:spacing w:before="80" w:after="80" w:line="280" w:lineRule="atLeast"/>
    </w:pPr>
    <w:rPr>
      <w:rFonts w:ascii="Georgia" w:hAnsi="Georgia"/>
      <w:sz w:val="19"/>
      <w:szCs w:val="19"/>
    </w:rPr>
  </w:style>
  <w:style w:type="paragraph" w:styleId="ListBullet">
    <w:name w:val="List Bullet"/>
    <w:basedOn w:val="BodyText"/>
    <w:link w:val="ListBulletChar"/>
    <w:rsid w:val="002C5AF0"/>
    <w:pPr>
      <w:numPr>
        <w:numId w:val="16"/>
      </w:numPr>
    </w:pPr>
  </w:style>
  <w:style w:type="paragraph" w:styleId="ListBullet2">
    <w:name w:val="List Bullet 2"/>
    <w:basedOn w:val="ListBullet"/>
    <w:rsid w:val="00D42D78"/>
    <w:pPr>
      <w:numPr>
        <w:numId w:val="13"/>
      </w:numPr>
      <w:spacing w:before="0"/>
      <w:ind w:left="568" w:hanging="284"/>
    </w:pPr>
  </w:style>
  <w:style w:type="paragraph" w:styleId="ListNumber">
    <w:name w:val="List Number"/>
    <w:basedOn w:val="ListBullet"/>
    <w:rsid w:val="00D42D78"/>
    <w:pPr>
      <w:numPr>
        <w:numId w:val="14"/>
      </w:numPr>
    </w:pPr>
  </w:style>
  <w:style w:type="paragraph" w:styleId="ListNumber2">
    <w:name w:val="List Number 2"/>
    <w:basedOn w:val="ListNumber"/>
    <w:rsid w:val="00D42D78"/>
    <w:pPr>
      <w:numPr>
        <w:numId w:val="15"/>
      </w:numPr>
      <w:spacing w:before="0"/>
      <w:ind w:left="568" w:hanging="284"/>
    </w:pPr>
  </w:style>
  <w:style w:type="paragraph" w:styleId="Quote">
    <w:name w:val="Quote"/>
    <w:basedOn w:val="BodyText"/>
    <w:next w:val="BodyText"/>
    <w:qFormat/>
    <w:rsid w:val="00B84A71"/>
    <w:pPr>
      <w:spacing w:before="0" w:line="260" w:lineRule="atLeast"/>
      <w:ind w:left="284"/>
    </w:pPr>
    <w:rPr>
      <w:sz w:val="17"/>
      <w:szCs w:val="17"/>
    </w:rPr>
  </w:style>
  <w:style w:type="paragraph" w:customStyle="1" w:styleId="Ratinggreen">
    <w:name w:val="Rating green"/>
    <w:basedOn w:val="Ratingamber"/>
    <w:semiHidden/>
    <w:rsid w:val="001C6E03"/>
    <w:pPr>
      <w:numPr>
        <w:numId w:val="12"/>
      </w:numPr>
    </w:pPr>
  </w:style>
  <w:style w:type="paragraph" w:customStyle="1" w:styleId="Reference">
    <w:name w:val="Reference"/>
    <w:basedOn w:val="BodyText"/>
    <w:semiHidden/>
    <w:rsid w:val="00F0026A"/>
    <w:pPr>
      <w:keepLines/>
      <w:spacing w:before="60" w:after="60" w:line="260" w:lineRule="atLeast"/>
      <w:ind w:left="284" w:hanging="284"/>
    </w:pPr>
    <w:rPr>
      <w:sz w:val="17"/>
      <w:szCs w:val="17"/>
    </w:rPr>
  </w:style>
  <w:style w:type="paragraph" w:styleId="Title">
    <w:name w:val="Title"/>
    <w:basedOn w:val="Normal"/>
    <w:next w:val="Subtitle"/>
    <w:link w:val="TitleChar"/>
    <w:qFormat/>
    <w:rsid w:val="00E77D0C"/>
    <w:pPr>
      <w:pageBreakBefore/>
      <w:spacing w:line="540" w:lineRule="atLeast"/>
    </w:pPr>
    <w:rPr>
      <w:rFonts w:ascii="Franklin Gothic Book" w:hAnsi="Franklin Gothic Book"/>
      <w:color w:val="FFFFFF"/>
      <w:spacing w:val="-10"/>
      <w:kern w:val="28"/>
      <w:sz w:val="46"/>
      <w:szCs w:val="46"/>
    </w:rPr>
  </w:style>
  <w:style w:type="paragraph" w:styleId="Subtitle">
    <w:name w:val="Subtitle"/>
    <w:basedOn w:val="Title"/>
    <w:next w:val="Date"/>
    <w:link w:val="SubtitleChar"/>
    <w:qFormat/>
    <w:rsid w:val="005B522F"/>
    <w:pPr>
      <w:pageBreakBefore w:val="0"/>
      <w:spacing w:before="120" w:line="380" w:lineRule="atLeast"/>
    </w:pPr>
    <w:rPr>
      <w:sz w:val="32"/>
      <w:szCs w:val="32"/>
    </w:rPr>
  </w:style>
  <w:style w:type="paragraph" w:customStyle="1" w:styleId="Contents">
    <w:name w:val="Contents"/>
    <w:basedOn w:val="Normal"/>
    <w:next w:val="BodyText"/>
    <w:semiHidden/>
    <w:rsid w:val="00DE7339"/>
    <w:pPr>
      <w:spacing w:before="460" w:after="100" w:line="320" w:lineRule="atLeast"/>
    </w:pPr>
    <w:rPr>
      <w:rFonts w:ascii="Franklin Gothic Demi" w:hAnsi="Franklin Gothic Demi"/>
      <w:color w:val="AD495D"/>
      <w:kern w:val="28"/>
      <w:sz w:val="28"/>
      <w:szCs w:val="28"/>
    </w:rPr>
  </w:style>
  <w:style w:type="paragraph" w:styleId="Date">
    <w:name w:val="Date"/>
    <w:basedOn w:val="Subtitle"/>
    <w:next w:val="Author"/>
    <w:link w:val="DateChar"/>
    <w:semiHidden/>
    <w:rsid w:val="00A53A6B"/>
    <w:pPr>
      <w:spacing w:after="1000"/>
    </w:pPr>
    <w:rPr>
      <w:sz w:val="24"/>
      <w:szCs w:val="24"/>
    </w:rPr>
  </w:style>
  <w:style w:type="paragraph" w:styleId="Footer">
    <w:name w:val="footer"/>
    <w:basedOn w:val="Normal"/>
    <w:semiHidden/>
    <w:rsid w:val="00F23FD4"/>
    <w:pPr>
      <w:tabs>
        <w:tab w:val="left" w:pos="0"/>
        <w:tab w:val="right" w:pos="7938"/>
        <w:tab w:val="right" w:pos="8505"/>
      </w:tabs>
      <w:spacing w:line="180" w:lineRule="exact"/>
      <w:ind w:left="-567" w:right="-567"/>
    </w:pPr>
    <w:rPr>
      <w:rFonts w:ascii="Franklin Gothic Medium" w:hAnsi="Franklin Gothic Medium"/>
      <w:color w:val="5A9A98"/>
      <w:sz w:val="14"/>
      <w:szCs w:val="14"/>
    </w:rPr>
  </w:style>
  <w:style w:type="paragraph" w:styleId="Header">
    <w:name w:val="header"/>
    <w:basedOn w:val="Normal"/>
    <w:semiHidden/>
    <w:rsid w:val="0073548A"/>
    <w:pPr>
      <w:spacing w:line="180" w:lineRule="exact"/>
      <w:jc w:val="right"/>
    </w:pPr>
    <w:rPr>
      <w:rFonts w:ascii="Franklin Gothic Medium" w:hAnsi="Franklin Gothic Medium"/>
      <w:sz w:val="14"/>
      <w:szCs w:val="14"/>
    </w:rPr>
  </w:style>
  <w:style w:type="character" w:styleId="PageNumber">
    <w:name w:val="page number"/>
    <w:basedOn w:val="DefaultParagraphFont"/>
    <w:semiHidden/>
    <w:rsid w:val="007A2D4A"/>
    <w:rPr>
      <w:rFonts w:ascii="Franklin Gothic Medium" w:hAnsi="Franklin Gothic Medium"/>
      <w:color w:val="54534A"/>
      <w:sz w:val="14"/>
      <w:szCs w:val="14"/>
    </w:rPr>
  </w:style>
  <w:style w:type="paragraph" w:styleId="TOC1">
    <w:name w:val="toc 1"/>
    <w:basedOn w:val="BodyText"/>
    <w:next w:val="BodyText"/>
    <w:uiPriority w:val="39"/>
    <w:rsid w:val="00DE7339"/>
    <w:pPr>
      <w:tabs>
        <w:tab w:val="left" w:pos="397"/>
        <w:tab w:val="right" w:pos="7938"/>
      </w:tabs>
      <w:spacing w:before="180" w:after="0"/>
      <w:ind w:left="397" w:right="567" w:hanging="397"/>
    </w:pPr>
    <w:rPr>
      <w:rFonts w:ascii="Franklin Gothic Medium" w:hAnsi="Franklin Gothic Medium"/>
      <w:color w:val="54534A"/>
      <w:sz w:val="24"/>
      <w:szCs w:val="24"/>
    </w:rPr>
  </w:style>
  <w:style w:type="paragraph" w:styleId="TOC2">
    <w:name w:val="toc 2"/>
    <w:basedOn w:val="TOC1"/>
    <w:next w:val="TOC1"/>
    <w:uiPriority w:val="39"/>
    <w:rsid w:val="00DE7339"/>
    <w:pPr>
      <w:spacing w:before="120" w:line="200" w:lineRule="atLeast"/>
      <w:ind w:left="0" w:firstLine="0"/>
    </w:pPr>
    <w:rPr>
      <w:rFonts w:ascii="Franklin Gothic Book" w:hAnsi="Franklin Gothic Book"/>
      <w:color w:val="5A9A98"/>
      <w:sz w:val="21"/>
      <w:szCs w:val="21"/>
    </w:rPr>
  </w:style>
  <w:style w:type="paragraph" w:customStyle="1" w:styleId="Reporttype">
    <w:name w:val="Report type"/>
    <w:basedOn w:val="BodyText"/>
    <w:semiHidden/>
    <w:rsid w:val="00F15D8B"/>
    <w:pPr>
      <w:spacing w:before="0" w:line="400" w:lineRule="atLeast"/>
    </w:pPr>
    <w:rPr>
      <w:rFonts w:ascii="Arial" w:hAnsi="Arial"/>
      <w:color w:val="00467F"/>
      <w:spacing w:val="-2"/>
      <w:sz w:val="36"/>
      <w:szCs w:val="36"/>
    </w:rPr>
  </w:style>
  <w:style w:type="character" w:customStyle="1" w:styleId="Subtitlebox">
    <w:name w:val="Subtitle box"/>
    <w:aliases w:val="figure &amp; table,chart &amp; table"/>
    <w:basedOn w:val="DefaultParagraphFont"/>
    <w:semiHidden/>
    <w:rsid w:val="008E6453"/>
    <w:rPr>
      <w:rFonts w:ascii="Franklin Gothic Book" w:hAnsi="Franklin Gothic Book"/>
      <w:color w:val="auto"/>
      <w:sz w:val="17"/>
      <w:szCs w:val="17"/>
    </w:rPr>
  </w:style>
  <w:style w:type="paragraph" w:customStyle="1" w:styleId="Invisiblepara">
    <w:name w:val="Invisible para"/>
    <w:basedOn w:val="Normal"/>
    <w:semiHidden/>
    <w:rsid w:val="00F747A9"/>
    <w:pPr>
      <w:keepNext/>
      <w:spacing w:before="320" w:line="80" w:lineRule="exact"/>
    </w:pPr>
    <w:rPr>
      <w:sz w:val="21"/>
      <w:szCs w:val="20"/>
    </w:rPr>
  </w:style>
  <w:style w:type="paragraph" w:styleId="Caption">
    <w:name w:val="caption"/>
    <w:basedOn w:val="Normal"/>
    <w:next w:val="BodyText"/>
    <w:qFormat/>
    <w:rsid w:val="00227783"/>
    <w:pPr>
      <w:keepNext/>
      <w:spacing w:before="320" w:after="80" w:line="230" w:lineRule="exact"/>
    </w:pPr>
    <w:rPr>
      <w:rFonts w:ascii="Franklin Gothic Demi" w:hAnsi="Franklin Gothic Demi"/>
      <w:color w:val="7E6D5F"/>
      <w:sz w:val="19"/>
      <w:szCs w:val="19"/>
    </w:rPr>
  </w:style>
  <w:style w:type="paragraph" w:customStyle="1" w:styleId="BoxListBullet">
    <w:name w:val="Box List Bullet"/>
    <w:basedOn w:val="BoxText"/>
    <w:rsid w:val="006C6761"/>
    <w:pPr>
      <w:keepLines/>
      <w:numPr>
        <w:numId w:val="5"/>
      </w:numPr>
      <w:spacing w:before="0"/>
    </w:pPr>
    <w:rPr>
      <w:szCs w:val="20"/>
    </w:rPr>
  </w:style>
  <w:style w:type="character" w:customStyle="1" w:styleId="NoteLabel">
    <w:name w:val="Note Label"/>
    <w:basedOn w:val="DefaultParagraphFont"/>
    <w:rsid w:val="0073548A"/>
    <w:rPr>
      <w:rFonts w:ascii="Franklin Gothic Medium" w:hAnsi="Franklin Gothic Medium"/>
      <w:color w:val="auto"/>
      <w:position w:val="4"/>
      <w:sz w:val="14"/>
      <w:szCs w:val="14"/>
    </w:rPr>
  </w:style>
  <w:style w:type="paragraph" w:customStyle="1" w:styleId="Note">
    <w:name w:val="Note"/>
    <w:basedOn w:val="TableTextEntries"/>
    <w:next w:val="Source"/>
    <w:link w:val="NoteCharChar"/>
    <w:rsid w:val="008D75EB"/>
    <w:pPr>
      <w:spacing w:after="0" w:line="180" w:lineRule="atLeast"/>
    </w:pPr>
    <w:rPr>
      <w:sz w:val="14"/>
      <w:szCs w:val="14"/>
    </w:rPr>
  </w:style>
  <w:style w:type="paragraph" w:customStyle="1" w:styleId="TableTextEntries">
    <w:name w:val="Table Text Entries"/>
    <w:basedOn w:val="Normal"/>
    <w:rsid w:val="00F021E7"/>
    <w:pPr>
      <w:keepLines/>
      <w:spacing w:before="40" w:after="40" w:line="200" w:lineRule="atLeast"/>
    </w:pPr>
    <w:rPr>
      <w:rFonts w:ascii="Franklin Gothic Book" w:hAnsi="Franklin Gothic Book"/>
      <w:sz w:val="17"/>
      <w:szCs w:val="17"/>
      <w:lang w:eastAsia="en-US"/>
    </w:rPr>
  </w:style>
  <w:style w:type="paragraph" w:customStyle="1" w:styleId="Source">
    <w:name w:val="Source"/>
    <w:basedOn w:val="Note"/>
    <w:next w:val="BodyText"/>
    <w:rsid w:val="00ED5E2B"/>
    <w:pPr>
      <w:spacing w:after="240"/>
    </w:pPr>
  </w:style>
  <w:style w:type="paragraph" w:customStyle="1" w:styleId="BoxHeading1">
    <w:name w:val="Box Heading 1"/>
    <w:basedOn w:val="BoxText"/>
    <w:next w:val="BoxText"/>
    <w:rsid w:val="00FC7629"/>
    <w:pPr>
      <w:spacing w:before="180" w:after="0" w:line="220" w:lineRule="atLeast"/>
    </w:pPr>
    <w:rPr>
      <w:rFonts w:ascii="Franklin Gothic Demi" w:hAnsi="Franklin Gothic Demi"/>
      <w:color w:val="000000"/>
    </w:rPr>
  </w:style>
  <w:style w:type="paragraph" w:customStyle="1" w:styleId="BoxHeading2">
    <w:name w:val="Box Heading 2"/>
    <w:basedOn w:val="BoxHeading1"/>
    <w:next w:val="BoxText"/>
    <w:rsid w:val="002C23D1"/>
    <w:pPr>
      <w:spacing w:before="140"/>
    </w:pPr>
    <w:rPr>
      <w:rFonts w:ascii="Franklin Gothic Book" w:hAnsi="Franklin Gothic Book"/>
      <w:i/>
      <w:color w:val="auto"/>
    </w:rPr>
  </w:style>
  <w:style w:type="paragraph" w:customStyle="1" w:styleId="TableListBullet">
    <w:name w:val="Table List Bullet"/>
    <w:basedOn w:val="TableTextEntries"/>
    <w:rsid w:val="00FA0700"/>
    <w:pPr>
      <w:numPr>
        <w:numId w:val="9"/>
      </w:numPr>
    </w:pPr>
  </w:style>
  <w:style w:type="paragraph" w:styleId="TableofFigures">
    <w:name w:val="table of figures"/>
    <w:basedOn w:val="BodyText"/>
    <w:next w:val="BodyText"/>
    <w:semiHidden/>
    <w:rsid w:val="00751A18"/>
    <w:pPr>
      <w:tabs>
        <w:tab w:val="left" w:pos="1077"/>
        <w:tab w:val="right" w:pos="8505"/>
      </w:tabs>
      <w:spacing w:before="60" w:line="260" w:lineRule="atLeast"/>
      <w:ind w:left="1077" w:right="567" w:hanging="1077"/>
    </w:pPr>
  </w:style>
  <w:style w:type="paragraph" w:styleId="TOC3">
    <w:name w:val="toc 3"/>
    <w:basedOn w:val="TOC2"/>
    <w:next w:val="BodyText"/>
    <w:uiPriority w:val="39"/>
    <w:rsid w:val="00F9523B"/>
    <w:pPr>
      <w:tabs>
        <w:tab w:val="clear" w:pos="397"/>
      </w:tabs>
      <w:spacing w:before="40" w:line="230" w:lineRule="atLeast"/>
      <w:ind w:left="567" w:hanging="567"/>
    </w:pPr>
    <w:rPr>
      <w:rFonts w:ascii="Georgia" w:hAnsi="Georgia"/>
      <w:color w:val="auto"/>
      <w:sz w:val="19"/>
      <w:szCs w:val="19"/>
    </w:rPr>
  </w:style>
  <w:style w:type="paragraph" w:customStyle="1" w:styleId="Continued">
    <w:name w:val="Continued"/>
    <w:basedOn w:val="Source"/>
    <w:next w:val="BodyText"/>
    <w:semiHidden/>
    <w:rsid w:val="00B622E7"/>
    <w:pPr>
      <w:jc w:val="right"/>
    </w:pPr>
  </w:style>
  <w:style w:type="paragraph" w:customStyle="1" w:styleId="Recommendation">
    <w:name w:val="Recommendation"/>
    <w:basedOn w:val="BodyText"/>
    <w:next w:val="BodyText"/>
    <w:semiHidden/>
    <w:rsid w:val="00671255"/>
    <w:pPr>
      <w:tabs>
        <w:tab w:val="left" w:pos="284"/>
      </w:tabs>
      <w:ind w:left="284" w:hanging="284"/>
    </w:pPr>
    <w:rPr>
      <w:rFonts w:eastAsia="MS Mincho" w:cs="MS Mincho"/>
      <w:b/>
    </w:rPr>
  </w:style>
  <w:style w:type="paragraph" w:styleId="TOC6">
    <w:name w:val="toc 6"/>
    <w:basedOn w:val="BodyText"/>
    <w:next w:val="BodyText"/>
    <w:semiHidden/>
    <w:rsid w:val="00671255"/>
    <w:pPr>
      <w:tabs>
        <w:tab w:val="left" w:pos="284"/>
        <w:tab w:val="right" w:pos="8222"/>
      </w:tabs>
      <w:ind w:left="284" w:right="567" w:hanging="284"/>
    </w:pPr>
  </w:style>
  <w:style w:type="character" w:styleId="CommentReference">
    <w:name w:val="annotation reference"/>
    <w:basedOn w:val="DefaultParagraphFont"/>
    <w:semiHidden/>
    <w:rsid w:val="007A2D4A"/>
    <w:rPr>
      <w:rFonts w:ascii="Franklin Gothic Medium" w:hAnsi="Franklin Gothic Medium"/>
      <w:vanish/>
      <w:color w:val="FF00FF"/>
      <w:sz w:val="16"/>
      <w:szCs w:val="16"/>
    </w:rPr>
  </w:style>
  <w:style w:type="paragraph" w:styleId="CommentText">
    <w:name w:val="annotation text"/>
    <w:basedOn w:val="BodyText"/>
    <w:semiHidden/>
    <w:rsid w:val="008527C1"/>
    <w:pPr>
      <w:spacing w:line="240" w:lineRule="atLeast"/>
    </w:pPr>
    <w:rPr>
      <w:rFonts w:ascii="Calibri" w:hAnsi="Calibri"/>
      <w:sz w:val="18"/>
      <w:szCs w:val="18"/>
    </w:rPr>
  </w:style>
  <w:style w:type="character" w:styleId="FootnoteReference">
    <w:name w:val="footnote reference"/>
    <w:basedOn w:val="DefaultParagraphFont"/>
    <w:semiHidden/>
    <w:rsid w:val="00FB1DA4"/>
    <w:rPr>
      <w:rFonts w:ascii="Franklin Gothic Book" w:hAnsi="Franklin Gothic Book"/>
      <w:w w:val="100"/>
      <w:position w:val="6"/>
      <w:sz w:val="12"/>
      <w:szCs w:val="12"/>
      <w:vertAlign w:val="baseline"/>
    </w:rPr>
  </w:style>
  <w:style w:type="paragraph" w:styleId="FootnoteText">
    <w:name w:val="footnote text"/>
    <w:aliases w:val="ADB"/>
    <w:basedOn w:val="BodyText"/>
    <w:link w:val="FootnoteTextChar"/>
    <w:semiHidden/>
    <w:rsid w:val="00281D52"/>
    <w:pPr>
      <w:spacing w:before="0" w:after="0" w:line="180" w:lineRule="atLeast"/>
      <w:ind w:left="284" w:hanging="284"/>
    </w:pPr>
    <w:rPr>
      <w:rFonts w:ascii="Franklin Gothic Book" w:hAnsi="Franklin Gothic Book"/>
      <w:sz w:val="14"/>
      <w:szCs w:val="14"/>
    </w:rPr>
  </w:style>
  <w:style w:type="character" w:styleId="Hyperlink">
    <w:name w:val="Hyperlink"/>
    <w:basedOn w:val="DefaultParagraphFont"/>
    <w:uiPriority w:val="99"/>
    <w:rsid w:val="00254E43"/>
    <w:rPr>
      <w:color w:val="00467F"/>
      <w:sz w:val="20"/>
      <w:szCs w:val="20"/>
      <w:u w:val="none"/>
    </w:rPr>
  </w:style>
  <w:style w:type="paragraph" w:customStyle="1" w:styleId="ChartText">
    <w:name w:val="Chart Text"/>
    <w:basedOn w:val="BodyText"/>
    <w:semiHidden/>
    <w:rsid w:val="00CF2071"/>
    <w:pPr>
      <w:spacing w:before="100" w:line="190" w:lineRule="exact"/>
    </w:pPr>
    <w:rPr>
      <w:rFonts w:ascii="Arial" w:hAnsi="Arial"/>
      <w:sz w:val="17"/>
    </w:rPr>
  </w:style>
  <w:style w:type="paragraph" w:customStyle="1" w:styleId="ChartBoldText">
    <w:name w:val="Chart Bold Text"/>
    <w:basedOn w:val="ChartText"/>
    <w:next w:val="ChartText"/>
    <w:semiHidden/>
    <w:rsid w:val="00997A92"/>
    <w:pPr>
      <w:spacing w:before="0"/>
      <w:jc w:val="center"/>
    </w:pPr>
    <w:rPr>
      <w:rFonts w:ascii="Arial Bold" w:hAnsi="Arial Bold"/>
      <w:b/>
      <w:color w:val="073771"/>
      <w:szCs w:val="17"/>
    </w:rPr>
  </w:style>
  <w:style w:type="paragraph" w:customStyle="1" w:styleId="ChartHighlight">
    <w:name w:val="Chart Highlight"/>
    <w:basedOn w:val="ChartBoldText"/>
    <w:semiHidden/>
    <w:rsid w:val="00CF2071"/>
    <w:pPr>
      <w:spacing w:line="210" w:lineRule="exact"/>
    </w:pPr>
    <w:rPr>
      <w:caps/>
      <w:sz w:val="19"/>
    </w:rPr>
  </w:style>
  <w:style w:type="paragraph" w:customStyle="1" w:styleId="ChartListBullet">
    <w:name w:val="Chart List Bullet"/>
    <w:basedOn w:val="TableListBullet"/>
    <w:semiHidden/>
    <w:rsid w:val="00321C81"/>
    <w:pPr>
      <w:numPr>
        <w:numId w:val="0"/>
      </w:numPr>
      <w:tabs>
        <w:tab w:val="num" w:pos="227"/>
      </w:tabs>
      <w:spacing w:before="50" w:after="0" w:line="190" w:lineRule="exact"/>
      <w:ind w:left="227" w:hanging="227"/>
    </w:pPr>
  </w:style>
  <w:style w:type="paragraph" w:customStyle="1" w:styleId="ChartListBullet2">
    <w:name w:val="Chart List Bullet 2"/>
    <w:basedOn w:val="ListBullet2"/>
    <w:semiHidden/>
    <w:rsid w:val="00321C81"/>
    <w:pPr>
      <w:numPr>
        <w:numId w:val="0"/>
      </w:numPr>
      <w:tabs>
        <w:tab w:val="num" w:pos="454"/>
      </w:tabs>
      <w:spacing w:before="30" w:line="190" w:lineRule="exact"/>
      <w:ind w:left="454" w:hanging="227"/>
    </w:pPr>
    <w:rPr>
      <w:rFonts w:ascii="Arial" w:hAnsi="Arial"/>
      <w:sz w:val="17"/>
    </w:rPr>
  </w:style>
  <w:style w:type="paragraph" w:customStyle="1" w:styleId="ChartListNumber">
    <w:name w:val="Chart List Number"/>
    <w:basedOn w:val="ChartText"/>
    <w:semiHidden/>
    <w:rsid w:val="00321C81"/>
    <w:pPr>
      <w:tabs>
        <w:tab w:val="num" w:pos="227"/>
      </w:tabs>
      <w:spacing w:before="60"/>
      <w:ind w:left="227" w:hanging="227"/>
    </w:pPr>
  </w:style>
  <w:style w:type="paragraph" w:styleId="TOC7">
    <w:name w:val="toc 7"/>
    <w:basedOn w:val="TOC1"/>
    <w:next w:val="TOC1"/>
    <w:semiHidden/>
    <w:rsid w:val="0097190C"/>
    <w:pPr>
      <w:tabs>
        <w:tab w:val="left" w:pos="1418"/>
      </w:tabs>
      <w:ind w:left="1418" w:hanging="1418"/>
    </w:pPr>
  </w:style>
  <w:style w:type="paragraph" w:customStyle="1" w:styleId="Author">
    <w:name w:val="Author"/>
    <w:basedOn w:val="Date"/>
    <w:next w:val="Position"/>
    <w:link w:val="AuthorCharChar"/>
    <w:semiHidden/>
    <w:rsid w:val="0075426C"/>
    <w:pPr>
      <w:spacing w:before="180" w:after="0" w:line="260" w:lineRule="atLeast"/>
    </w:pPr>
    <w:rPr>
      <w:rFonts w:ascii="Franklin Gothic Medium" w:hAnsi="Franklin Gothic Medium"/>
      <w:color w:val="auto"/>
      <w:spacing w:val="-2"/>
      <w:sz w:val="20"/>
      <w:szCs w:val="20"/>
    </w:rPr>
  </w:style>
  <w:style w:type="paragraph" w:customStyle="1" w:styleId="Position">
    <w:name w:val="Position"/>
    <w:basedOn w:val="Author"/>
    <w:next w:val="Author"/>
    <w:link w:val="PositionCharChar"/>
    <w:semiHidden/>
    <w:rsid w:val="0075426C"/>
    <w:pPr>
      <w:spacing w:before="0"/>
    </w:pPr>
    <w:rPr>
      <w:rFonts w:ascii="Franklin Gothic Book" w:hAnsi="Franklin Gothic Book"/>
    </w:rPr>
  </w:style>
  <w:style w:type="paragraph" w:customStyle="1" w:styleId="CharChar">
    <w:name w:val="Char Char"/>
    <w:basedOn w:val="BoxText"/>
    <w:semiHidden/>
    <w:rsid w:val="001E5458"/>
  </w:style>
  <w:style w:type="paragraph" w:customStyle="1" w:styleId="Client">
    <w:name w:val="Client"/>
    <w:basedOn w:val="Author"/>
    <w:semiHidden/>
    <w:rsid w:val="00AD1F3F"/>
  </w:style>
  <w:style w:type="paragraph" w:customStyle="1" w:styleId="TableDataEntries">
    <w:name w:val="Table Data Entries"/>
    <w:basedOn w:val="TableTextEntries"/>
    <w:rsid w:val="009B0288"/>
    <w:pPr>
      <w:jc w:val="right"/>
    </w:pPr>
  </w:style>
  <w:style w:type="paragraph" w:customStyle="1" w:styleId="TableDataColumnHeading">
    <w:name w:val="Table Data Column Heading"/>
    <w:basedOn w:val="TableDataEntries"/>
    <w:rsid w:val="008E6453"/>
    <w:pPr>
      <w:spacing w:before="80" w:after="80"/>
    </w:pPr>
    <w:rPr>
      <w:rFonts w:ascii="Franklin Gothic Medium" w:hAnsi="Franklin Gothic Medium"/>
    </w:rPr>
  </w:style>
  <w:style w:type="paragraph" w:customStyle="1" w:styleId="TableHeading1">
    <w:name w:val="Table Heading 1"/>
    <w:basedOn w:val="TableTextEntries"/>
    <w:next w:val="TableTextEntries"/>
    <w:rsid w:val="008E6453"/>
    <w:pPr>
      <w:spacing w:before="80" w:after="80"/>
    </w:pPr>
    <w:rPr>
      <w:rFonts w:ascii="Franklin Gothic Medium" w:hAnsi="Franklin Gothic Medium"/>
    </w:rPr>
  </w:style>
  <w:style w:type="paragraph" w:customStyle="1" w:styleId="TableHeading2">
    <w:name w:val="Table Heading 2"/>
    <w:basedOn w:val="TableHeading1"/>
    <w:next w:val="TableTextEntries"/>
    <w:rsid w:val="008E6453"/>
    <w:pPr>
      <w:spacing w:before="40" w:after="40"/>
    </w:pPr>
    <w:rPr>
      <w:rFonts w:ascii="Franklin Gothic Book" w:hAnsi="Franklin Gothic Book"/>
      <w:i/>
    </w:rPr>
  </w:style>
  <w:style w:type="paragraph" w:customStyle="1" w:styleId="TableListBullet2">
    <w:name w:val="Table List Bullet 2"/>
    <w:basedOn w:val="TableListBullet"/>
    <w:link w:val="TableListBullet2CharChar"/>
    <w:rsid w:val="00FA0700"/>
    <w:pPr>
      <w:numPr>
        <w:numId w:val="10"/>
      </w:numPr>
    </w:pPr>
  </w:style>
  <w:style w:type="paragraph" w:customStyle="1" w:styleId="TableListNumber">
    <w:name w:val="Table List Number"/>
    <w:basedOn w:val="TableTextEntries"/>
    <w:rsid w:val="008C0773"/>
    <w:pPr>
      <w:numPr>
        <w:numId w:val="1"/>
      </w:numPr>
    </w:pPr>
  </w:style>
  <w:style w:type="paragraph" w:customStyle="1" w:styleId="TableListNumber2">
    <w:name w:val="Table List Number 2"/>
    <w:basedOn w:val="TableListNumber"/>
    <w:rsid w:val="00396E51"/>
    <w:pPr>
      <w:numPr>
        <w:numId w:val="2"/>
      </w:numPr>
    </w:pPr>
  </w:style>
  <w:style w:type="paragraph" w:customStyle="1" w:styleId="TableTextColumnHeading">
    <w:name w:val="Table Text Column Heading"/>
    <w:basedOn w:val="TableDataColumnHeading"/>
    <w:rsid w:val="008E6453"/>
    <w:pPr>
      <w:jc w:val="left"/>
    </w:pPr>
  </w:style>
  <w:style w:type="paragraph" w:customStyle="1" w:styleId="TableUnit">
    <w:name w:val="Table Unit"/>
    <w:basedOn w:val="TableDataColumnHeading"/>
    <w:next w:val="TableDataEntries"/>
    <w:semiHidden/>
    <w:rsid w:val="008E6453"/>
    <w:pPr>
      <w:keepNext/>
    </w:pPr>
    <w:rPr>
      <w:rFonts w:ascii="Franklin Gothic Book" w:hAnsi="Franklin Gothic Book"/>
    </w:rPr>
  </w:style>
  <w:style w:type="paragraph" w:customStyle="1" w:styleId="NoteNumber">
    <w:name w:val="Note Number"/>
    <w:basedOn w:val="TableTextEntries"/>
    <w:link w:val="NoteNumberCharChar"/>
    <w:rsid w:val="00EE7AC8"/>
    <w:pPr>
      <w:numPr>
        <w:numId w:val="17"/>
      </w:numPr>
      <w:spacing w:after="0" w:line="180" w:lineRule="atLeast"/>
    </w:pPr>
    <w:rPr>
      <w:sz w:val="14"/>
      <w:szCs w:val="14"/>
    </w:rPr>
  </w:style>
  <w:style w:type="character" w:styleId="FollowedHyperlink">
    <w:name w:val="FollowedHyperlink"/>
    <w:basedOn w:val="DefaultParagraphFont"/>
    <w:semiHidden/>
    <w:rsid w:val="00085585"/>
    <w:rPr>
      <w:color w:val="333399"/>
      <w:u w:val="none"/>
    </w:rPr>
  </w:style>
  <w:style w:type="paragraph" w:customStyle="1" w:styleId="Blurb">
    <w:name w:val="Blurb"/>
    <w:basedOn w:val="Caption"/>
    <w:semiHidden/>
    <w:rsid w:val="0075426C"/>
    <w:pPr>
      <w:spacing w:before="180" w:after="0" w:line="280" w:lineRule="atLeast"/>
    </w:pPr>
    <w:rPr>
      <w:color w:val="FFFFFF"/>
    </w:rPr>
  </w:style>
  <w:style w:type="paragraph" w:customStyle="1" w:styleId="Figure">
    <w:name w:val="Figure"/>
    <w:basedOn w:val="BodyText"/>
    <w:next w:val="BodyText"/>
    <w:semiHidden/>
    <w:rsid w:val="00EA0F2C"/>
    <w:pPr>
      <w:spacing w:before="0" w:line="200" w:lineRule="atLeast"/>
    </w:pPr>
    <w:rPr>
      <w:sz w:val="18"/>
      <w:szCs w:val="18"/>
    </w:rPr>
  </w:style>
  <w:style w:type="paragraph" w:customStyle="1" w:styleId="BoxListBullet2">
    <w:name w:val="Box List Bullet 2"/>
    <w:basedOn w:val="BoxListBullet"/>
    <w:rsid w:val="006C6761"/>
    <w:pPr>
      <w:numPr>
        <w:numId w:val="4"/>
      </w:numPr>
    </w:pPr>
    <w:rPr>
      <w:szCs w:val="18"/>
    </w:rPr>
  </w:style>
  <w:style w:type="paragraph" w:customStyle="1" w:styleId="BoxText">
    <w:name w:val="Box Text"/>
    <w:basedOn w:val="Normal"/>
    <w:link w:val="BoxTextChar"/>
    <w:rsid w:val="009A28D5"/>
    <w:pPr>
      <w:spacing w:before="60" w:after="60" w:line="260" w:lineRule="atLeast"/>
    </w:pPr>
    <w:rPr>
      <w:rFonts w:ascii="Franklin Gothic Book" w:hAnsi="Franklin Gothic Book"/>
      <w:sz w:val="18"/>
      <w:szCs w:val="18"/>
    </w:rPr>
  </w:style>
  <w:style w:type="paragraph" w:customStyle="1" w:styleId="BoxListNumber">
    <w:name w:val="Box List Number"/>
    <w:basedOn w:val="BoxText"/>
    <w:rsid w:val="00165C4D"/>
    <w:pPr>
      <w:numPr>
        <w:numId w:val="6"/>
      </w:numPr>
      <w:spacing w:before="0"/>
    </w:pPr>
  </w:style>
  <w:style w:type="paragraph" w:customStyle="1" w:styleId="BoxListNumber2">
    <w:name w:val="Box List Number 2"/>
    <w:basedOn w:val="BoxListNumber"/>
    <w:rsid w:val="006C6761"/>
    <w:pPr>
      <w:numPr>
        <w:numId w:val="3"/>
      </w:numPr>
    </w:pPr>
  </w:style>
  <w:style w:type="paragraph" w:customStyle="1" w:styleId="BoxNoteSource">
    <w:name w:val="Box Note/Source"/>
    <w:basedOn w:val="BoxText"/>
    <w:rsid w:val="006C6761"/>
    <w:pPr>
      <w:spacing w:before="100" w:after="100" w:line="180" w:lineRule="atLeast"/>
    </w:pPr>
    <w:rPr>
      <w:sz w:val="14"/>
      <w:szCs w:val="14"/>
    </w:rPr>
  </w:style>
  <w:style w:type="paragraph" w:customStyle="1" w:styleId="BoxQuote">
    <w:name w:val="Box Quote"/>
    <w:basedOn w:val="BoxText"/>
    <w:next w:val="BoxText"/>
    <w:rsid w:val="00A60B48"/>
    <w:pPr>
      <w:spacing w:before="0" w:line="240" w:lineRule="atLeast"/>
      <w:ind w:left="284"/>
    </w:pPr>
    <w:rPr>
      <w:sz w:val="16"/>
      <w:szCs w:val="16"/>
    </w:rPr>
  </w:style>
  <w:style w:type="character" w:customStyle="1" w:styleId="TableListBullet2CharChar">
    <w:name w:val="Table List Bullet 2 Char Char"/>
    <w:basedOn w:val="DefaultParagraphFont"/>
    <w:link w:val="TableListBullet2"/>
    <w:rsid w:val="00C05EB3"/>
    <w:rPr>
      <w:rFonts w:ascii="Franklin Gothic Book" w:hAnsi="Franklin Gothic Book"/>
      <w:sz w:val="17"/>
      <w:szCs w:val="17"/>
      <w:lang w:val="en-AU" w:eastAsia="en-US" w:bidi="ar-SA"/>
    </w:rPr>
  </w:style>
  <w:style w:type="character" w:customStyle="1" w:styleId="NoteCharChar">
    <w:name w:val="Note Char Char"/>
    <w:basedOn w:val="DefaultParagraphFont"/>
    <w:link w:val="Note"/>
    <w:rsid w:val="008D75EB"/>
    <w:rPr>
      <w:rFonts w:ascii="Franklin Gothic Book" w:hAnsi="Franklin Gothic Book"/>
      <w:sz w:val="14"/>
      <w:szCs w:val="14"/>
      <w:lang w:val="en-AU" w:eastAsia="en-US" w:bidi="ar-SA"/>
    </w:rPr>
  </w:style>
  <w:style w:type="character" w:customStyle="1" w:styleId="NoteNumberCharChar">
    <w:name w:val="Note Number Char Char"/>
    <w:basedOn w:val="DefaultParagraphFont"/>
    <w:link w:val="NoteNumber"/>
    <w:rsid w:val="00EE7AC8"/>
    <w:rPr>
      <w:rFonts w:ascii="Franklin Gothic Book" w:hAnsi="Franklin Gothic Book"/>
      <w:sz w:val="14"/>
      <w:szCs w:val="14"/>
      <w:lang w:val="en-AU" w:eastAsia="en-US" w:bidi="ar-SA"/>
    </w:rPr>
  </w:style>
  <w:style w:type="character" w:customStyle="1" w:styleId="TitleChar">
    <w:name w:val="Title Char"/>
    <w:basedOn w:val="DefaultParagraphFont"/>
    <w:link w:val="Title"/>
    <w:rsid w:val="00E77D0C"/>
    <w:rPr>
      <w:rFonts w:ascii="Franklin Gothic Book" w:hAnsi="Franklin Gothic Book"/>
      <w:color w:val="FFFFFF"/>
      <w:spacing w:val="-10"/>
      <w:kern w:val="28"/>
      <w:sz w:val="46"/>
      <w:szCs w:val="46"/>
      <w:lang w:val="en-AU" w:eastAsia="en-AU" w:bidi="ar-SA"/>
    </w:rPr>
  </w:style>
  <w:style w:type="character" w:customStyle="1" w:styleId="SubtitleChar">
    <w:name w:val="Subtitle Char"/>
    <w:basedOn w:val="TitleChar"/>
    <w:link w:val="Subtitle"/>
    <w:rsid w:val="005B522F"/>
    <w:rPr>
      <w:rFonts w:ascii="Franklin Gothic Book" w:hAnsi="Franklin Gothic Book"/>
      <w:color w:val="FFFFFF"/>
      <w:spacing w:val="-10"/>
      <w:kern w:val="28"/>
      <w:sz w:val="32"/>
      <w:szCs w:val="32"/>
      <w:lang w:val="en-AU" w:eastAsia="en-AU" w:bidi="ar-SA"/>
    </w:rPr>
  </w:style>
  <w:style w:type="character" w:customStyle="1" w:styleId="DateChar">
    <w:name w:val="Date Char"/>
    <w:basedOn w:val="SubtitleChar"/>
    <w:link w:val="Date"/>
    <w:rsid w:val="00A53A6B"/>
    <w:rPr>
      <w:rFonts w:ascii="Franklin Gothic Book" w:hAnsi="Franklin Gothic Book"/>
      <w:color w:val="FFFFFF"/>
      <w:spacing w:val="-10"/>
      <w:kern w:val="28"/>
      <w:sz w:val="24"/>
      <w:szCs w:val="24"/>
      <w:lang w:val="en-AU" w:eastAsia="en-AU" w:bidi="ar-SA"/>
    </w:rPr>
  </w:style>
  <w:style w:type="character" w:customStyle="1" w:styleId="AuthorCharChar">
    <w:name w:val="Author Char Char"/>
    <w:basedOn w:val="DateChar"/>
    <w:link w:val="Author"/>
    <w:rsid w:val="0075426C"/>
    <w:rPr>
      <w:rFonts w:ascii="Franklin Gothic Medium" w:hAnsi="Franklin Gothic Medium"/>
      <w:color w:val="FFFFFF"/>
      <w:spacing w:val="-2"/>
      <w:kern w:val="28"/>
      <w:sz w:val="24"/>
      <w:szCs w:val="24"/>
      <w:lang w:val="en-AU" w:eastAsia="en-AU" w:bidi="ar-SA"/>
    </w:rPr>
  </w:style>
  <w:style w:type="character" w:customStyle="1" w:styleId="PositionCharChar">
    <w:name w:val="Position Char Char"/>
    <w:basedOn w:val="AuthorCharChar"/>
    <w:link w:val="Position"/>
    <w:rsid w:val="0075426C"/>
    <w:rPr>
      <w:rFonts w:ascii="Franklin Gothic Book" w:hAnsi="Franklin Gothic Book"/>
      <w:color w:val="FFFFFF"/>
      <w:spacing w:val="-2"/>
      <w:kern w:val="28"/>
      <w:sz w:val="24"/>
      <w:szCs w:val="24"/>
      <w:lang w:val="en-AU" w:eastAsia="en-AU" w:bidi="ar-SA"/>
    </w:rPr>
  </w:style>
  <w:style w:type="paragraph" w:customStyle="1" w:styleId="Appendix">
    <w:name w:val="Appendix"/>
    <w:basedOn w:val="Normal"/>
    <w:semiHidden/>
    <w:rsid w:val="00205AA6"/>
    <w:pPr>
      <w:framePr w:wrap="around" w:vAnchor="text" w:hAnchor="text" w:y="1"/>
    </w:pPr>
    <w:rPr>
      <w:rFonts w:ascii="Franklin Gothic Medium" w:hAnsi="Franklin Gothic Medium"/>
      <w:color w:val="7E6D5F"/>
      <w:sz w:val="32"/>
      <w:szCs w:val="32"/>
    </w:rPr>
  </w:style>
  <w:style w:type="paragraph" w:customStyle="1" w:styleId="Photocaption">
    <w:name w:val="Photo caption"/>
    <w:basedOn w:val="Normal"/>
    <w:next w:val="BodyText"/>
    <w:semiHidden/>
    <w:rsid w:val="00187D56"/>
    <w:pPr>
      <w:spacing w:before="140" w:after="240" w:line="180" w:lineRule="exact"/>
    </w:pPr>
    <w:rPr>
      <w:rFonts w:ascii="Franklin Gothic Medium" w:hAnsi="Franklin Gothic Medium"/>
      <w:color w:val="54534A"/>
      <w:sz w:val="14"/>
      <w:szCs w:val="14"/>
    </w:rPr>
  </w:style>
  <w:style w:type="paragraph" w:customStyle="1" w:styleId="Char5CharCharChar">
    <w:name w:val=" Char5 Char Char Char"/>
    <w:basedOn w:val="Normal"/>
    <w:semiHidden/>
    <w:rsid w:val="00953A8D"/>
    <w:pPr>
      <w:spacing w:before="180" w:line="280" w:lineRule="atLeast"/>
    </w:pPr>
    <w:rPr>
      <w:rFonts w:ascii="Arial" w:hAnsi="Arial"/>
      <w:sz w:val="22"/>
      <w:szCs w:val="20"/>
      <w:lang w:eastAsia="en-US"/>
    </w:rPr>
  </w:style>
  <w:style w:type="table" w:styleId="TableGrid">
    <w:name w:val="Table Grid"/>
    <w:basedOn w:val="TableNormal"/>
    <w:semiHidden/>
    <w:rsid w:val="005C400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atingred">
    <w:name w:val="Rating red"/>
    <w:basedOn w:val="ListBullet"/>
    <w:semiHidden/>
    <w:rsid w:val="001C6E03"/>
  </w:style>
  <w:style w:type="paragraph" w:customStyle="1" w:styleId="Ratingbullet">
    <w:name w:val="Rating bullet"/>
    <w:basedOn w:val="TableTextEntries"/>
    <w:semiHidden/>
    <w:rsid w:val="001C6E03"/>
    <w:pPr>
      <w:jc w:val="center"/>
    </w:pPr>
    <w:rPr>
      <w:sz w:val="22"/>
      <w:szCs w:val="22"/>
    </w:rPr>
  </w:style>
  <w:style w:type="paragraph" w:styleId="CommentSubject">
    <w:name w:val="annotation subject"/>
    <w:basedOn w:val="CommentText"/>
    <w:next w:val="CommentText"/>
    <w:semiHidden/>
    <w:rsid w:val="00911B9C"/>
    <w:pPr>
      <w:spacing w:before="0" w:after="0" w:line="240" w:lineRule="auto"/>
    </w:pPr>
    <w:rPr>
      <w:rFonts w:ascii="Times New Roman" w:hAnsi="Times New Roman"/>
      <w:b/>
      <w:bCs/>
      <w:sz w:val="20"/>
      <w:szCs w:val="20"/>
    </w:rPr>
  </w:style>
  <w:style w:type="paragraph" w:styleId="BalloonText">
    <w:name w:val="Balloon Text"/>
    <w:basedOn w:val="Normal"/>
    <w:semiHidden/>
    <w:rsid w:val="00911B9C"/>
    <w:rPr>
      <w:rFonts w:ascii="Tahoma" w:hAnsi="Tahoma" w:cs="Tahoma"/>
      <w:sz w:val="16"/>
      <w:szCs w:val="16"/>
    </w:rPr>
  </w:style>
  <w:style w:type="paragraph" w:customStyle="1" w:styleId="Rating">
    <w:name w:val="Rating"/>
    <w:basedOn w:val="BodyText"/>
    <w:next w:val="BodyText"/>
    <w:semiHidden/>
    <w:rsid w:val="00230BD1"/>
    <w:pPr>
      <w:tabs>
        <w:tab w:val="left" w:pos="567"/>
      </w:tabs>
    </w:pPr>
  </w:style>
  <w:style w:type="paragraph" w:customStyle="1" w:styleId="GuidanceText">
    <w:name w:val="Guidance Text"/>
    <w:basedOn w:val="BodyText"/>
    <w:semiHidden/>
    <w:rsid w:val="001B11EB"/>
    <w:pPr>
      <w:spacing w:before="60" w:after="60" w:line="240" w:lineRule="atLeast"/>
    </w:pPr>
    <w:rPr>
      <w:rFonts w:ascii="Calibri" w:hAnsi="Calibri"/>
      <w:color w:val="0000FF"/>
      <w:sz w:val="20"/>
      <w:szCs w:val="20"/>
    </w:rPr>
  </w:style>
  <w:style w:type="paragraph" w:customStyle="1" w:styleId="gray">
    <w:name w:val="gray"/>
    <w:basedOn w:val="Normal"/>
    <w:rsid w:val="00BC51AA"/>
    <w:pPr>
      <w:spacing w:before="136" w:after="136" w:line="288" w:lineRule="auto"/>
      <w:ind w:left="136" w:right="136"/>
    </w:pPr>
    <w:rPr>
      <w:rFonts w:ascii="Arial" w:hAnsi="Arial" w:cs="Arial"/>
      <w:color w:val="333333"/>
      <w:sz w:val="16"/>
      <w:szCs w:val="16"/>
    </w:rPr>
  </w:style>
  <w:style w:type="character" w:customStyle="1" w:styleId="BoxTextChar">
    <w:name w:val="Box Text Char"/>
    <w:basedOn w:val="DefaultParagraphFont"/>
    <w:link w:val="BoxText"/>
    <w:rsid w:val="00CA6414"/>
    <w:rPr>
      <w:rFonts w:ascii="Franklin Gothic Book" w:hAnsi="Franklin Gothic Book"/>
      <w:sz w:val="18"/>
      <w:szCs w:val="18"/>
      <w:lang w:val="en-AU" w:eastAsia="en-AU" w:bidi="ar-SA"/>
    </w:rPr>
  </w:style>
  <w:style w:type="character" w:customStyle="1" w:styleId="FootnoteTextChar">
    <w:name w:val="Footnote Text Char"/>
    <w:aliases w:val="ADB Char"/>
    <w:basedOn w:val="DefaultParagraphFont"/>
    <w:link w:val="FootnoteText"/>
    <w:semiHidden/>
    <w:locked/>
    <w:rsid w:val="00F74F88"/>
    <w:rPr>
      <w:rFonts w:ascii="Franklin Gothic Book" w:hAnsi="Franklin Gothic Book"/>
      <w:sz w:val="14"/>
      <w:szCs w:val="14"/>
      <w:lang w:val="en-AU" w:eastAsia="en-AU" w:bidi="ar-SA"/>
    </w:rPr>
  </w:style>
  <w:style w:type="character" w:customStyle="1" w:styleId="ListBulletChar">
    <w:name w:val="List Bullet Char"/>
    <w:basedOn w:val="BodyTextChar"/>
    <w:link w:val="ListBullet"/>
    <w:rsid w:val="00B11C78"/>
    <w:rPr>
      <w:rFonts w:ascii="Georgia" w:hAnsi="Georgia"/>
      <w:sz w:val="19"/>
      <w:szCs w:val="19"/>
      <w:lang w:val="en-AU" w:eastAsia="en-AU" w:bidi="ar-SA"/>
    </w:rPr>
  </w:style>
  <w:style w:type="character" w:styleId="Emphasis">
    <w:name w:val="Emphasis"/>
    <w:basedOn w:val="DefaultParagraphFont"/>
    <w:qFormat/>
    <w:rPr>
      <w:b/>
      <w:bCs/>
      <w:i w:val="0"/>
      <w:iCs w:val="0"/>
    </w:rPr>
  </w:style>
  <w:style w:type="paragraph" w:customStyle="1" w:styleId="P">
    <w:name w:val="P"/>
    <w:basedOn w:val="gray"/>
    <w:qFormat/>
    <w:rsid w:val="005A517D"/>
    <w:pPr>
      <w:spacing w:before="120" w:after="0" w:line="280" w:lineRule="atLeast"/>
      <w:ind w:left="851" w:right="284"/>
    </w:pPr>
    <w:rPr>
      <w:rFonts w:ascii="Georgia" w:hAnsi="Georgia" w:cs="Tahoma"/>
      <w:sz w:val="19"/>
      <w:szCs w:val="19"/>
    </w:rPr>
  </w:style>
  <w:style w:type="paragraph" w:styleId="TOCHeading">
    <w:name w:val="TOC Heading"/>
    <w:basedOn w:val="Heading1"/>
    <w:next w:val="Normal"/>
    <w:uiPriority w:val="39"/>
    <w:semiHidden/>
    <w:unhideWhenUsed/>
    <w:qFormat/>
    <w:rsid w:val="007E749A"/>
    <w:pPr>
      <w:keepLines/>
      <w:numPr>
        <w:numId w:val="0"/>
      </w:numPr>
      <w:spacing w:before="480" w:after="0" w:line="276" w:lineRule="auto"/>
      <w:outlineLvl w:val="9"/>
    </w:pPr>
    <w:rPr>
      <w:rFonts w:ascii="Cambria" w:hAnsi="Cambria"/>
      <w:b/>
      <w:bCs/>
      <w:color w:val="365F91"/>
      <w:kern w:val="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5199100">
      <w:bodyDiv w:val="1"/>
      <w:marLeft w:val="0"/>
      <w:marRight w:val="0"/>
      <w:marTop w:val="30"/>
      <w:marBottom w:val="30"/>
      <w:divBdr>
        <w:top w:val="none" w:sz="0" w:space="0" w:color="auto"/>
        <w:left w:val="none" w:sz="0" w:space="0" w:color="auto"/>
        <w:bottom w:val="none" w:sz="0" w:space="0" w:color="auto"/>
        <w:right w:val="none" w:sz="0" w:space="0" w:color="auto"/>
      </w:divBdr>
      <w:divsChild>
        <w:div w:id="797995137">
          <w:marLeft w:val="0"/>
          <w:marRight w:val="0"/>
          <w:marTop w:val="0"/>
          <w:marBottom w:val="0"/>
          <w:divBdr>
            <w:top w:val="none" w:sz="0" w:space="0" w:color="auto"/>
            <w:left w:val="none" w:sz="0" w:space="0" w:color="auto"/>
            <w:bottom w:val="none" w:sz="0" w:space="0" w:color="auto"/>
            <w:right w:val="none" w:sz="0" w:space="0" w:color="auto"/>
          </w:divBdr>
          <w:divsChild>
            <w:div w:id="365982349">
              <w:marLeft w:val="0"/>
              <w:marRight w:val="0"/>
              <w:marTop w:val="0"/>
              <w:marBottom w:val="0"/>
              <w:divBdr>
                <w:top w:val="none" w:sz="0" w:space="0" w:color="auto"/>
                <w:left w:val="none" w:sz="0" w:space="0" w:color="auto"/>
                <w:bottom w:val="none" w:sz="0" w:space="0" w:color="auto"/>
                <w:right w:val="none" w:sz="0" w:space="0" w:color="auto"/>
              </w:divBdr>
              <w:divsChild>
                <w:div w:id="1419444515">
                  <w:marLeft w:val="0"/>
                  <w:marRight w:val="0"/>
                  <w:marTop w:val="0"/>
                  <w:marBottom w:val="0"/>
                  <w:divBdr>
                    <w:top w:val="none" w:sz="0" w:space="0" w:color="auto"/>
                    <w:left w:val="none" w:sz="0" w:space="0" w:color="auto"/>
                    <w:bottom w:val="none" w:sz="0" w:space="0" w:color="auto"/>
                    <w:right w:val="none" w:sz="0" w:space="0" w:color="auto"/>
                  </w:divBdr>
                  <w:divsChild>
                    <w:div w:id="936599597">
                      <w:marLeft w:val="0"/>
                      <w:marRight w:val="0"/>
                      <w:marTop w:val="0"/>
                      <w:marBottom w:val="0"/>
                      <w:divBdr>
                        <w:top w:val="none" w:sz="0" w:space="0" w:color="auto"/>
                        <w:left w:val="none" w:sz="0" w:space="0" w:color="auto"/>
                        <w:bottom w:val="none" w:sz="0" w:space="0" w:color="auto"/>
                        <w:right w:val="none" w:sz="0" w:space="0" w:color="auto"/>
                      </w:divBdr>
                      <w:divsChild>
                        <w:div w:id="750473370">
                          <w:marLeft w:val="1590"/>
                          <w:marRight w:val="2640"/>
                          <w:marTop w:val="0"/>
                          <w:marBottom w:val="0"/>
                          <w:divBdr>
                            <w:top w:val="none" w:sz="0" w:space="0" w:color="auto"/>
                            <w:left w:val="single" w:sz="4" w:space="0" w:color="D3E1F9"/>
                            <w:bottom w:val="none" w:sz="0" w:space="0" w:color="auto"/>
                            <w:right w:val="none" w:sz="0" w:space="0" w:color="auto"/>
                          </w:divBdr>
                          <w:divsChild>
                            <w:div w:id="1110080438">
                              <w:marLeft w:val="0"/>
                              <w:marRight w:val="0"/>
                              <w:marTop w:val="0"/>
                              <w:marBottom w:val="0"/>
                              <w:divBdr>
                                <w:top w:val="none" w:sz="0" w:space="0" w:color="auto"/>
                                <w:left w:val="none" w:sz="0" w:space="0" w:color="auto"/>
                                <w:bottom w:val="none" w:sz="0" w:space="0" w:color="auto"/>
                                <w:right w:val="none" w:sz="0" w:space="0" w:color="auto"/>
                              </w:divBdr>
                              <w:divsChild>
                                <w:div w:id="1976717306">
                                  <w:marLeft w:val="0"/>
                                  <w:marRight w:val="0"/>
                                  <w:marTop w:val="0"/>
                                  <w:marBottom w:val="0"/>
                                  <w:divBdr>
                                    <w:top w:val="none" w:sz="0" w:space="0" w:color="auto"/>
                                    <w:left w:val="none" w:sz="0" w:space="0" w:color="auto"/>
                                    <w:bottom w:val="none" w:sz="0" w:space="0" w:color="auto"/>
                                    <w:right w:val="none" w:sz="0" w:space="0" w:color="auto"/>
                                  </w:divBdr>
                                  <w:divsChild>
                                    <w:div w:id="989559983">
                                      <w:marLeft w:val="0"/>
                                      <w:marRight w:val="0"/>
                                      <w:marTop w:val="0"/>
                                      <w:marBottom w:val="0"/>
                                      <w:divBdr>
                                        <w:top w:val="none" w:sz="0" w:space="0" w:color="auto"/>
                                        <w:left w:val="none" w:sz="0" w:space="0" w:color="auto"/>
                                        <w:bottom w:val="none" w:sz="0" w:space="0" w:color="auto"/>
                                        <w:right w:val="none" w:sz="0" w:space="0" w:color="auto"/>
                                      </w:divBdr>
                                      <w:divsChild>
                                        <w:div w:id="1718969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43583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S:\PAC\Bilateral\Kiribati\Performance\Public%20Report%202009\Public%20Repor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StartDate xmlns="http://schemas.microsoft.com/sharepoint/v3" xsi:nil="true"/>
    <PublishingExpiration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DC4EBF9-8B59-43EC-9E8F-5DCADFF25027}"/>
</file>

<file path=customXml/itemProps2.xml><?xml version="1.0" encoding="utf-8"?>
<ds:datastoreItem xmlns:ds="http://schemas.openxmlformats.org/officeDocument/2006/customXml" ds:itemID="{C6291E34-4FF5-475E-B6D3-7A920F3674B7}"/>
</file>

<file path=customXml/itemProps3.xml><?xml version="1.0" encoding="utf-8"?>
<ds:datastoreItem xmlns:ds="http://schemas.openxmlformats.org/officeDocument/2006/customXml" ds:itemID="{412D900A-0A82-4DD2-9F96-383AA7B296F4}"/>
</file>

<file path=docProps/app.xml><?xml version="1.0" encoding="utf-8"?>
<Properties xmlns="http://schemas.openxmlformats.org/officeDocument/2006/extended-properties" xmlns:vt="http://schemas.openxmlformats.org/officeDocument/2006/docPropsVTypes">
  <Template>Public Report</Template>
  <TotalTime>2</TotalTime>
  <Pages>13</Pages>
  <Words>4923</Words>
  <Characters>30361</Characters>
  <Application>Microsoft Office Word</Application>
  <DocSecurity>0</DocSecurity>
  <Lines>253</Lines>
  <Paragraphs>70</Paragraphs>
  <ScaleCrop>false</ScaleCrop>
  <HeadingPairs>
    <vt:vector size="2" baseType="variant">
      <vt:variant>
        <vt:lpstr>Title</vt:lpstr>
      </vt:variant>
      <vt:variant>
        <vt:i4>1</vt:i4>
      </vt:variant>
    </vt:vector>
  </HeadingPairs>
  <TitlesOfParts>
    <vt:vector size="1" baseType="lpstr">
      <vt:lpstr>APPR 2009</vt:lpstr>
    </vt:vector>
  </TitlesOfParts>
  <Company/>
  <LinksUpToDate>false</LinksUpToDate>
  <CharactersWithSpaces>35214</CharactersWithSpaces>
  <SharedDoc>false</SharedDoc>
  <HLinks>
    <vt:vector size="150" baseType="variant">
      <vt:variant>
        <vt:i4>1441845</vt:i4>
      </vt:variant>
      <vt:variant>
        <vt:i4>146</vt:i4>
      </vt:variant>
      <vt:variant>
        <vt:i4>0</vt:i4>
      </vt:variant>
      <vt:variant>
        <vt:i4>5</vt:i4>
      </vt:variant>
      <vt:variant>
        <vt:lpwstr/>
      </vt:variant>
      <vt:variant>
        <vt:lpwstr>_Toc360718784</vt:lpwstr>
      </vt:variant>
      <vt:variant>
        <vt:i4>1441845</vt:i4>
      </vt:variant>
      <vt:variant>
        <vt:i4>140</vt:i4>
      </vt:variant>
      <vt:variant>
        <vt:i4>0</vt:i4>
      </vt:variant>
      <vt:variant>
        <vt:i4>5</vt:i4>
      </vt:variant>
      <vt:variant>
        <vt:lpwstr/>
      </vt:variant>
      <vt:variant>
        <vt:lpwstr>_Toc360718783</vt:lpwstr>
      </vt:variant>
      <vt:variant>
        <vt:i4>1441845</vt:i4>
      </vt:variant>
      <vt:variant>
        <vt:i4>134</vt:i4>
      </vt:variant>
      <vt:variant>
        <vt:i4>0</vt:i4>
      </vt:variant>
      <vt:variant>
        <vt:i4>5</vt:i4>
      </vt:variant>
      <vt:variant>
        <vt:lpwstr/>
      </vt:variant>
      <vt:variant>
        <vt:lpwstr>_Toc360718782</vt:lpwstr>
      </vt:variant>
      <vt:variant>
        <vt:i4>1441845</vt:i4>
      </vt:variant>
      <vt:variant>
        <vt:i4>128</vt:i4>
      </vt:variant>
      <vt:variant>
        <vt:i4>0</vt:i4>
      </vt:variant>
      <vt:variant>
        <vt:i4>5</vt:i4>
      </vt:variant>
      <vt:variant>
        <vt:lpwstr/>
      </vt:variant>
      <vt:variant>
        <vt:lpwstr>_Toc360718781</vt:lpwstr>
      </vt:variant>
      <vt:variant>
        <vt:i4>1441845</vt:i4>
      </vt:variant>
      <vt:variant>
        <vt:i4>122</vt:i4>
      </vt:variant>
      <vt:variant>
        <vt:i4>0</vt:i4>
      </vt:variant>
      <vt:variant>
        <vt:i4>5</vt:i4>
      </vt:variant>
      <vt:variant>
        <vt:lpwstr/>
      </vt:variant>
      <vt:variant>
        <vt:lpwstr>_Toc360718780</vt:lpwstr>
      </vt:variant>
      <vt:variant>
        <vt:i4>1638453</vt:i4>
      </vt:variant>
      <vt:variant>
        <vt:i4>116</vt:i4>
      </vt:variant>
      <vt:variant>
        <vt:i4>0</vt:i4>
      </vt:variant>
      <vt:variant>
        <vt:i4>5</vt:i4>
      </vt:variant>
      <vt:variant>
        <vt:lpwstr/>
      </vt:variant>
      <vt:variant>
        <vt:lpwstr>_Toc360718779</vt:lpwstr>
      </vt:variant>
      <vt:variant>
        <vt:i4>1638453</vt:i4>
      </vt:variant>
      <vt:variant>
        <vt:i4>110</vt:i4>
      </vt:variant>
      <vt:variant>
        <vt:i4>0</vt:i4>
      </vt:variant>
      <vt:variant>
        <vt:i4>5</vt:i4>
      </vt:variant>
      <vt:variant>
        <vt:lpwstr/>
      </vt:variant>
      <vt:variant>
        <vt:lpwstr>_Toc360718778</vt:lpwstr>
      </vt:variant>
      <vt:variant>
        <vt:i4>1638453</vt:i4>
      </vt:variant>
      <vt:variant>
        <vt:i4>104</vt:i4>
      </vt:variant>
      <vt:variant>
        <vt:i4>0</vt:i4>
      </vt:variant>
      <vt:variant>
        <vt:i4>5</vt:i4>
      </vt:variant>
      <vt:variant>
        <vt:lpwstr/>
      </vt:variant>
      <vt:variant>
        <vt:lpwstr>_Toc360718777</vt:lpwstr>
      </vt:variant>
      <vt:variant>
        <vt:i4>1638453</vt:i4>
      </vt:variant>
      <vt:variant>
        <vt:i4>98</vt:i4>
      </vt:variant>
      <vt:variant>
        <vt:i4>0</vt:i4>
      </vt:variant>
      <vt:variant>
        <vt:i4>5</vt:i4>
      </vt:variant>
      <vt:variant>
        <vt:lpwstr/>
      </vt:variant>
      <vt:variant>
        <vt:lpwstr>_Toc360718776</vt:lpwstr>
      </vt:variant>
      <vt:variant>
        <vt:i4>1638453</vt:i4>
      </vt:variant>
      <vt:variant>
        <vt:i4>92</vt:i4>
      </vt:variant>
      <vt:variant>
        <vt:i4>0</vt:i4>
      </vt:variant>
      <vt:variant>
        <vt:i4>5</vt:i4>
      </vt:variant>
      <vt:variant>
        <vt:lpwstr/>
      </vt:variant>
      <vt:variant>
        <vt:lpwstr>_Toc360718775</vt:lpwstr>
      </vt:variant>
      <vt:variant>
        <vt:i4>1638453</vt:i4>
      </vt:variant>
      <vt:variant>
        <vt:i4>86</vt:i4>
      </vt:variant>
      <vt:variant>
        <vt:i4>0</vt:i4>
      </vt:variant>
      <vt:variant>
        <vt:i4>5</vt:i4>
      </vt:variant>
      <vt:variant>
        <vt:lpwstr/>
      </vt:variant>
      <vt:variant>
        <vt:lpwstr>_Toc360718774</vt:lpwstr>
      </vt:variant>
      <vt:variant>
        <vt:i4>1638453</vt:i4>
      </vt:variant>
      <vt:variant>
        <vt:i4>80</vt:i4>
      </vt:variant>
      <vt:variant>
        <vt:i4>0</vt:i4>
      </vt:variant>
      <vt:variant>
        <vt:i4>5</vt:i4>
      </vt:variant>
      <vt:variant>
        <vt:lpwstr/>
      </vt:variant>
      <vt:variant>
        <vt:lpwstr>_Toc360718773</vt:lpwstr>
      </vt:variant>
      <vt:variant>
        <vt:i4>1638453</vt:i4>
      </vt:variant>
      <vt:variant>
        <vt:i4>74</vt:i4>
      </vt:variant>
      <vt:variant>
        <vt:i4>0</vt:i4>
      </vt:variant>
      <vt:variant>
        <vt:i4>5</vt:i4>
      </vt:variant>
      <vt:variant>
        <vt:lpwstr/>
      </vt:variant>
      <vt:variant>
        <vt:lpwstr>_Toc360718772</vt:lpwstr>
      </vt:variant>
      <vt:variant>
        <vt:i4>1638453</vt:i4>
      </vt:variant>
      <vt:variant>
        <vt:i4>68</vt:i4>
      </vt:variant>
      <vt:variant>
        <vt:i4>0</vt:i4>
      </vt:variant>
      <vt:variant>
        <vt:i4>5</vt:i4>
      </vt:variant>
      <vt:variant>
        <vt:lpwstr/>
      </vt:variant>
      <vt:variant>
        <vt:lpwstr>_Toc360718771</vt:lpwstr>
      </vt:variant>
      <vt:variant>
        <vt:i4>1638453</vt:i4>
      </vt:variant>
      <vt:variant>
        <vt:i4>62</vt:i4>
      </vt:variant>
      <vt:variant>
        <vt:i4>0</vt:i4>
      </vt:variant>
      <vt:variant>
        <vt:i4>5</vt:i4>
      </vt:variant>
      <vt:variant>
        <vt:lpwstr/>
      </vt:variant>
      <vt:variant>
        <vt:lpwstr>_Toc360718770</vt:lpwstr>
      </vt:variant>
      <vt:variant>
        <vt:i4>1572917</vt:i4>
      </vt:variant>
      <vt:variant>
        <vt:i4>56</vt:i4>
      </vt:variant>
      <vt:variant>
        <vt:i4>0</vt:i4>
      </vt:variant>
      <vt:variant>
        <vt:i4>5</vt:i4>
      </vt:variant>
      <vt:variant>
        <vt:lpwstr/>
      </vt:variant>
      <vt:variant>
        <vt:lpwstr>_Toc360718769</vt:lpwstr>
      </vt:variant>
      <vt:variant>
        <vt:i4>1572917</vt:i4>
      </vt:variant>
      <vt:variant>
        <vt:i4>50</vt:i4>
      </vt:variant>
      <vt:variant>
        <vt:i4>0</vt:i4>
      </vt:variant>
      <vt:variant>
        <vt:i4>5</vt:i4>
      </vt:variant>
      <vt:variant>
        <vt:lpwstr/>
      </vt:variant>
      <vt:variant>
        <vt:lpwstr>_Toc360718768</vt:lpwstr>
      </vt:variant>
      <vt:variant>
        <vt:i4>1572917</vt:i4>
      </vt:variant>
      <vt:variant>
        <vt:i4>44</vt:i4>
      </vt:variant>
      <vt:variant>
        <vt:i4>0</vt:i4>
      </vt:variant>
      <vt:variant>
        <vt:i4>5</vt:i4>
      </vt:variant>
      <vt:variant>
        <vt:lpwstr/>
      </vt:variant>
      <vt:variant>
        <vt:lpwstr>_Toc360718767</vt:lpwstr>
      </vt:variant>
      <vt:variant>
        <vt:i4>1572917</vt:i4>
      </vt:variant>
      <vt:variant>
        <vt:i4>38</vt:i4>
      </vt:variant>
      <vt:variant>
        <vt:i4>0</vt:i4>
      </vt:variant>
      <vt:variant>
        <vt:i4>5</vt:i4>
      </vt:variant>
      <vt:variant>
        <vt:lpwstr/>
      </vt:variant>
      <vt:variant>
        <vt:lpwstr>_Toc360718766</vt:lpwstr>
      </vt:variant>
      <vt:variant>
        <vt:i4>1572917</vt:i4>
      </vt:variant>
      <vt:variant>
        <vt:i4>32</vt:i4>
      </vt:variant>
      <vt:variant>
        <vt:i4>0</vt:i4>
      </vt:variant>
      <vt:variant>
        <vt:i4>5</vt:i4>
      </vt:variant>
      <vt:variant>
        <vt:lpwstr/>
      </vt:variant>
      <vt:variant>
        <vt:lpwstr>_Toc360718765</vt:lpwstr>
      </vt:variant>
      <vt:variant>
        <vt:i4>1572917</vt:i4>
      </vt:variant>
      <vt:variant>
        <vt:i4>26</vt:i4>
      </vt:variant>
      <vt:variant>
        <vt:i4>0</vt:i4>
      </vt:variant>
      <vt:variant>
        <vt:i4>5</vt:i4>
      </vt:variant>
      <vt:variant>
        <vt:lpwstr/>
      </vt:variant>
      <vt:variant>
        <vt:lpwstr>_Toc360718764</vt:lpwstr>
      </vt:variant>
      <vt:variant>
        <vt:i4>1572917</vt:i4>
      </vt:variant>
      <vt:variant>
        <vt:i4>20</vt:i4>
      </vt:variant>
      <vt:variant>
        <vt:i4>0</vt:i4>
      </vt:variant>
      <vt:variant>
        <vt:i4>5</vt:i4>
      </vt:variant>
      <vt:variant>
        <vt:lpwstr/>
      </vt:variant>
      <vt:variant>
        <vt:lpwstr>_Toc360718763</vt:lpwstr>
      </vt:variant>
      <vt:variant>
        <vt:i4>1572917</vt:i4>
      </vt:variant>
      <vt:variant>
        <vt:i4>14</vt:i4>
      </vt:variant>
      <vt:variant>
        <vt:i4>0</vt:i4>
      </vt:variant>
      <vt:variant>
        <vt:i4>5</vt:i4>
      </vt:variant>
      <vt:variant>
        <vt:lpwstr/>
      </vt:variant>
      <vt:variant>
        <vt:lpwstr>_Toc360718762</vt:lpwstr>
      </vt:variant>
      <vt:variant>
        <vt:i4>1572917</vt:i4>
      </vt:variant>
      <vt:variant>
        <vt:i4>8</vt:i4>
      </vt:variant>
      <vt:variant>
        <vt:i4>0</vt:i4>
      </vt:variant>
      <vt:variant>
        <vt:i4>5</vt:i4>
      </vt:variant>
      <vt:variant>
        <vt:lpwstr/>
      </vt:variant>
      <vt:variant>
        <vt:lpwstr>_Toc360718761</vt:lpwstr>
      </vt:variant>
      <vt:variant>
        <vt:i4>1572917</vt:i4>
      </vt:variant>
      <vt:variant>
        <vt:i4>2</vt:i4>
      </vt:variant>
      <vt:variant>
        <vt:i4>0</vt:i4>
      </vt:variant>
      <vt:variant>
        <vt:i4>5</vt:i4>
      </vt:variant>
      <vt:variant>
        <vt:lpwstr/>
      </vt:variant>
      <vt:variant>
        <vt:lpwstr>_Toc360718760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APPR 2009</dc:title>
  <dc:creator>AusAID</dc:creator>
  <cp:lastModifiedBy>Nashwa Adel</cp:lastModifiedBy>
  <cp:revision>3</cp:revision>
  <cp:lastPrinted>2011-01-19T06:34:00Z</cp:lastPrinted>
  <dcterms:created xsi:type="dcterms:W3CDTF">2013-07-04T16:58:00Z</dcterms:created>
  <dcterms:modified xsi:type="dcterms:W3CDTF">2013-07-04T17:00:00Z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igrationSourceURL">
    <vt:lpwstr>http://www.ausaid.gov.au/publications/pdf/2009partnership-kiribati.doc</vt:lpwstr>
  </property>
  <property fmtid="{D5CDD505-2E9C-101B-9397-08002B2CF9AE}" pid="3" name="display_urn:schemas-microsoft-com:office:office#Editor">
    <vt:lpwstr>System Account</vt:lpwstr>
  </property>
  <property fmtid="{D5CDD505-2E9C-101B-9397-08002B2CF9AE}" pid="4" name="xd_Signature">
    <vt:lpwstr/>
  </property>
  <property fmtid="{D5CDD505-2E9C-101B-9397-08002B2CF9AE}" pid="5" name="Order">
    <vt:r8>112700</vt:r8>
  </property>
  <property fmtid="{D5CDD505-2E9C-101B-9397-08002B2CF9AE}" pid="6" name="TemplateUrl">
    <vt:lpwstr/>
  </property>
  <property fmtid="{D5CDD505-2E9C-101B-9397-08002B2CF9AE}" pid="7" name="xd_ProgID">
    <vt:lpwstr/>
  </property>
  <property fmtid="{D5CDD505-2E9C-101B-9397-08002B2CF9AE}" pid="8" name="PublishingStartDate">
    <vt:lpwstr/>
  </property>
  <property fmtid="{D5CDD505-2E9C-101B-9397-08002B2CF9AE}" pid="9" name="PublishingExpirationDate">
    <vt:lpwstr/>
  </property>
  <property fmtid="{D5CDD505-2E9C-101B-9397-08002B2CF9AE}" pid="10" name="display_urn:schemas-microsoft-com:office:office#Author">
    <vt:lpwstr>System Account</vt:lpwstr>
  </property>
  <property fmtid="{D5CDD505-2E9C-101B-9397-08002B2CF9AE}" pid="11" name="_SourceUrl">
    <vt:lpwstr/>
  </property>
  <property fmtid="{D5CDD505-2E9C-101B-9397-08002B2CF9AE}" pid="12" name="_SharedFileIndex">
    <vt:lpwstr/>
  </property>
  <property fmtid="{D5CDD505-2E9C-101B-9397-08002B2CF9AE}" pid="13" name="ContentTypeId">
    <vt:lpwstr>0x01010050F19AC2165D2E47A5E6B7F563E4CF00</vt:lpwstr>
  </property>
  <property fmtid="{D5CDD505-2E9C-101B-9397-08002B2CF9AE}" pid="14" name="PublishingContact">
    <vt:lpwstr/>
  </property>
  <property fmtid="{D5CDD505-2E9C-101B-9397-08002B2CF9AE}" pid="15" name="WCMSPublicationSubCategory">
    <vt:lpwstr/>
  </property>
  <property fmtid="{D5CDD505-2E9C-101B-9397-08002B2CF9AE}" pid="16" name="WCMSIPSSubCategory">
    <vt:lpwstr/>
  </property>
  <property fmtid="{D5CDD505-2E9C-101B-9397-08002B2CF9AE}" pid="17" name="PublishingRollupImage">
    <vt:lpwstr/>
  </property>
  <property fmtid="{D5CDD505-2E9C-101B-9397-08002B2CF9AE}" pid="18" name="AusAIDAggregationLevel">
    <vt:lpwstr/>
  </property>
  <property fmtid="{D5CDD505-2E9C-101B-9397-08002B2CF9AE}" pid="19" name="WCMSStatus">
    <vt:lpwstr/>
  </property>
  <property fmtid="{D5CDD505-2E9C-101B-9397-08002B2CF9AE}" pid="20" name="PublishingContactEmail">
    <vt:lpwstr/>
  </property>
  <property fmtid="{D5CDD505-2E9C-101B-9397-08002B2CF9AE}" pid="21" name="WCMSPrintedMedia">
    <vt:bool>false</vt:bool>
  </property>
  <property fmtid="{D5CDD505-2E9C-101B-9397-08002B2CF9AE}" pid="22" name="WCMSIPSCategory">
    <vt:lpwstr/>
  </property>
  <property fmtid="{D5CDD505-2E9C-101B-9397-08002B2CF9AE}" pid="23" name="RSS Feed Link">
    <vt:lpwstr/>
  </property>
  <property fmtid="{D5CDD505-2E9C-101B-9397-08002B2CF9AE}" pid="24" name="WCMSDocumentLink">
    <vt:lpwstr/>
  </property>
  <property fmtid="{D5CDD505-2E9C-101B-9397-08002B2CF9AE}" pid="25" name="WCMSReportDisclaimer">
    <vt:bool>false</vt:bool>
  </property>
  <property fmtid="{D5CDD505-2E9C-101B-9397-08002B2CF9AE}" pid="26" name="PublishingVariationRelationshipLinkFieldID">
    <vt:lpwstr/>
  </property>
  <property fmtid="{D5CDD505-2E9C-101B-9397-08002B2CF9AE}" pid="27" name="WCMSPublicationCategory">
    <vt:lpwstr/>
  </property>
  <property fmtid="{D5CDD505-2E9C-101B-9397-08002B2CF9AE}" pid="28" name="WCMSElectronicMedia">
    <vt:bool>false</vt:bool>
  </property>
  <property fmtid="{D5CDD505-2E9C-101B-9397-08002B2CF9AE}" pid="29" name="Comments">
    <vt:lpwstr/>
  </property>
  <property fmtid="{D5CDD505-2E9C-101B-9397-08002B2CF9AE}" pid="30" name="PublishingPageLayout">
    <vt:lpwstr/>
  </property>
  <property fmtid="{D5CDD505-2E9C-101B-9397-08002B2CF9AE}" pid="31" name="WCMSCountry">
    <vt:lpwstr/>
  </property>
  <property fmtid="{D5CDD505-2E9C-101B-9397-08002B2CF9AE}" pid="32" name="WCMSSourceId">
    <vt:lpwstr/>
  </property>
  <property fmtid="{D5CDD505-2E9C-101B-9397-08002B2CF9AE}" pid="33" name="WCMSLatest">
    <vt:bool>false</vt:bool>
  </property>
  <property fmtid="{D5CDD505-2E9C-101B-9397-08002B2CF9AE}" pid="34" name="WCMSPublicationFormat">
    <vt:lpwstr/>
  </property>
  <property fmtid="{D5CDD505-2E9C-101B-9397-08002B2CF9AE}" pid="35" name="AusAIDPageSubjectMetadata">
    <vt:lpwstr/>
  </property>
  <property fmtid="{D5CDD505-2E9C-101B-9397-08002B2CF9AE}" pid="36" name="AusAIDCategoryMetadata">
    <vt:lpwstr/>
  </property>
  <property fmtid="{D5CDD505-2E9C-101B-9397-08002B2CF9AE}" pid="37" name="AusAIDDocumentTypeMetaData">
    <vt:lpwstr/>
  </property>
  <property fmtid="{D5CDD505-2E9C-101B-9397-08002B2CF9AE}" pid="38" name="WCMSLanguage">
    <vt:lpwstr/>
  </property>
  <property fmtid="{D5CDD505-2E9C-101B-9397-08002B2CF9AE}" pid="39" name="Audience">
    <vt:lpwstr/>
  </property>
  <property fmtid="{D5CDD505-2E9C-101B-9397-08002B2CF9AE}" pid="40" name="WCMSDescription">
    <vt:lpwstr/>
  </property>
  <property fmtid="{D5CDD505-2E9C-101B-9397-08002B2CF9AE}" pid="42" name="WCMSOtherCategory">
    <vt:lpwstr/>
  </property>
  <property fmtid="{D5CDD505-2E9C-101B-9397-08002B2CF9AE}" pid="43" name="AusAIDPageDescriptionMetadata">
    <vt:lpwstr/>
  </property>
  <property fmtid="{D5CDD505-2E9C-101B-9397-08002B2CF9AE}" pid="44" name="WCMSTheme">
    <vt:lpwstr/>
  </property>
  <property fmtid="{D5CDD505-2E9C-101B-9397-08002B2CF9AE}" pid="45" name="WCMSISBNISSN">
    <vt:lpwstr/>
  </property>
  <property fmtid="{D5CDD505-2E9C-101B-9397-08002B2CF9AE}" pid="46" name="PublishingContactPicture">
    <vt:lpwstr/>
  </property>
  <property fmtid="{D5CDD505-2E9C-101B-9397-08002B2CF9AE}" pid="47" name="PublishingVariationGroupID">
    <vt:lpwstr/>
  </property>
  <property fmtid="{D5CDD505-2E9C-101B-9397-08002B2CF9AE}" pid="48" name="AusAIDIdentifierMetadata">
    <vt:lpwstr/>
  </property>
  <property fmtid="{D5CDD505-2E9C-101B-9397-08002B2CF9AE}" pid="49" name="PublishingContactName">
    <vt:lpwstr/>
  </property>
  <property fmtid="{D5CDD505-2E9C-101B-9397-08002B2CF9AE}" pid="50" name="WCMSRegion">
    <vt:lpwstr/>
  </property>
  <property fmtid="{D5CDD505-2E9C-101B-9397-08002B2CF9AE}" pid="51" name="WCMSPublicationAuthor">
    <vt:lpwstr/>
  </property>
  <property fmtid="{D5CDD505-2E9C-101B-9397-08002B2CF9AE}" pid="52" name="display_urn">
    <vt:lpwstr>System Account</vt:lpwstr>
  </property>
</Properties>
</file>