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8.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86" w:rsidRPr="00B23872" w:rsidRDefault="00C96168" w:rsidP="00B23872">
      <w:pPr>
        <w:tabs>
          <w:tab w:val="left" w:pos="1260"/>
          <w:tab w:val="left" w:pos="6521"/>
        </w:tabs>
        <w:spacing w:after="80"/>
        <w:rPr>
          <w:rFonts w:ascii="Arial Narrow" w:hAnsi="Arial Narrow" w:cs="Arial"/>
          <w:sz w:val="32"/>
          <w:szCs w:val="32"/>
        </w:rPr>
      </w:pPr>
      <w:bookmarkStart w:id="0" w:name="_Toc182547497"/>
      <w:bookmarkStart w:id="1" w:name="_GoBack"/>
      <w:bookmarkEnd w:id="1"/>
      <w:r w:rsidRPr="00B23872">
        <w:rPr>
          <w:noProof/>
          <w:sz w:val="32"/>
          <w:szCs w:val="32"/>
          <w:lang w:val="en-AU" w:eastAsia="en-AU"/>
        </w:rPr>
        <w:drawing>
          <wp:anchor distT="0" distB="0" distL="114300" distR="114300" simplePos="0" relativeHeight="251666432" behindDoc="1" locked="0" layoutInCell="1" allowOverlap="1" wp14:anchorId="161FEFA6" wp14:editId="6239673B">
            <wp:simplePos x="0" y="0"/>
            <wp:positionH relativeFrom="column">
              <wp:posOffset>4157345</wp:posOffset>
            </wp:positionH>
            <wp:positionV relativeFrom="paragraph">
              <wp:posOffset>-15240</wp:posOffset>
            </wp:positionV>
            <wp:extent cx="1790700" cy="809625"/>
            <wp:effectExtent l="0" t="0" r="0" b="9525"/>
            <wp:wrapThrough wrapText="bothSides">
              <wp:wrapPolygon edited="0">
                <wp:start x="0" y="0"/>
                <wp:lineTo x="0" y="21346"/>
                <wp:lineTo x="21370" y="21346"/>
                <wp:lineTo x="2137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F86" w:rsidRPr="00B23872">
        <w:rPr>
          <w:noProof/>
          <w:sz w:val="32"/>
          <w:szCs w:val="32"/>
          <w:lang w:val="en-AU" w:eastAsia="en-AU"/>
        </w:rPr>
        <w:drawing>
          <wp:anchor distT="0" distB="0" distL="114300" distR="114300" simplePos="0" relativeHeight="251663360" behindDoc="1" locked="0" layoutInCell="1" allowOverlap="1" wp14:anchorId="4F3A2E8E" wp14:editId="0618DB8D">
            <wp:simplePos x="0" y="0"/>
            <wp:positionH relativeFrom="column">
              <wp:posOffset>-940435</wp:posOffset>
            </wp:positionH>
            <wp:positionV relativeFrom="page">
              <wp:posOffset>-70485</wp:posOffset>
            </wp:positionV>
            <wp:extent cx="7759700" cy="10971530"/>
            <wp:effectExtent l="0" t="0" r="0" b="1270"/>
            <wp:wrapNone/>
            <wp:docPr id="1" name="Picture 1" descr="Description: Cover_Template A4_no_pictures_graphic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ver_Template A4_no_pictures_graphics on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0" cy="1097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F86" w:rsidRPr="00B23872">
        <w:rPr>
          <w:rFonts w:ascii="Arial Narrow" w:hAnsi="Arial Narrow" w:cs="Arial"/>
          <w:sz w:val="32"/>
          <w:szCs w:val="32"/>
        </w:rPr>
        <w:t xml:space="preserve">Australia’s Education Partnership with Indonesia – </w:t>
      </w:r>
      <w:r w:rsidR="002F6F86" w:rsidRPr="00B23872">
        <w:rPr>
          <w:rFonts w:ascii="Arial Narrow" w:hAnsi="Arial Narrow" w:cs="Arial"/>
          <w:sz w:val="32"/>
          <w:szCs w:val="32"/>
        </w:rPr>
        <w:tab/>
      </w:r>
    </w:p>
    <w:p w:rsidR="002F6F86" w:rsidRPr="00B23872" w:rsidRDefault="002F6F86" w:rsidP="00B23872">
      <w:pPr>
        <w:tabs>
          <w:tab w:val="left" w:pos="1260"/>
        </w:tabs>
        <w:spacing w:after="80"/>
        <w:rPr>
          <w:rFonts w:ascii="Arial Narrow" w:hAnsi="Arial Narrow" w:cs="Arial"/>
          <w:sz w:val="32"/>
          <w:szCs w:val="32"/>
        </w:rPr>
      </w:pPr>
      <w:r w:rsidRPr="00B23872">
        <w:rPr>
          <w:rFonts w:ascii="Arial Narrow" w:hAnsi="Arial Narrow" w:cs="Arial"/>
          <w:sz w:val="32"/>
          <w:szCs w:val="32"/>
        </w:rPr>
        <w:t>Performance Oversight and Monitoring (POM)</w:t>
      </w:r>
    </w:p>
    <w:p w:rsidR="002F6F86" w:rsidRDefault="002F6F86" w:rsidP="002F6F86">
      <w:pPr>
        <w:tabs>
          <w:tab w:val="left" w:pos="1260"/>
        </w:tabs>
        <w:rPr>
          <w:rFonts w:ascii="Arial Narrow" w:hAnsi="Arial Narrow" w:cs="Arial"/>
          <w:sz w:val="32"/>
          <w:szCs w:val="32"/>
        </w:rPr>
      </w:pPr>
    </w:p>
    <w:p w:rsidR="002F6F86" w:rsidRPr="004C5B58" w:rsidRDefault="002F6F86" w:rsidP="002F6F86">
      <w:pPr>
        <w:tabs>
          <w:tab w:val="left" w:pos="1260"/>
        </w:tabs>
        <w:rPr>
          <w:rFonts w:ascii="Arial Narrow" w:hAnsi="Arial Narrow" w:cs="Arial"/>
          <w:b/>
          <w:sz w:val="48"/>
          <w:szCs w:val="48"/>
        </w:rPr>
      </w:pPr>
    </w:p>
    <w:p w:rsidR="002F6F86" w:rsidRPr="00E93497" w:rsidRDefault="00172FF0" w:rsidP="002F6F86">
      <w:r>
        <w:rPr>
          <w:noProof/>
          <w:lang w:val="en-AU" w:eastAsia="en-AU"/>
        </w:rPr>
        <mc:AlternateContent>
          <mc:Choice Requires="wps">
            <w:drawing>
              <wp:anchor distT="0" distB="0" distL="114300" distR="114300" simplePos="0" relativeHeight="251665408" behindDoc="0" locked="0" layoutInCell="1" allowOverlap="1" wp14:anchorId="139E2164" wp14:editId="3473AC82">
                <wp:simplePos x="0" y="0"/>
                <wp:positionH relativeFrom="column">
                  <wp:posOffset>-119380</wp:posOffset>
                </wp:positionH>
                <wp:positionV relativeFrom="paragraph">
                  <wp:posOffset>756285</wp:posOffset>
                </wp:positionV>
                <wp:extent cx="5991225" cy="1304925"/>
                <wp:effectExtent l="0" t="0" r="0" b="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04925"/>
                        </a:xfrm>
                        <a:prstGeom prst="rect">
                          <a:avLst/>
                        </a:prstGeom>
                        <a:noFill/>
                        <a:ln w="9525">
                          <a:noFill/>
                          <a:miter lim="800000"/>
                          <a:headEnd/>
                          <a:tailEnd/>
                        </a:ln>
                      </wps:spPr>
                      <wps:txbx>
                        <w:txbxContent>
                          <w:p w:rsidR="00C96168" w:rsidRDefault="002F6F86" w:rsidP="00F4333A">
                            <w:pPr>
                              <w:spacing w:after="60"/>
                              <w:jc w:val="right"/>
                              <w:rPr>
                                <w:rFonts w:ascii="Arial Narrow" w:hAnsi="Arial Narrow"/>
                                <w:b/>
                                <w:smallCaps/>
                                <w:color w:val="004071"/>
                                <w:sz w:val="68"/>
                                <w:szCs w:val="68"/>
                              </w:rPr>
                            </w:pPr>
                            <w:r w:rsidRPr="002F6F86">
                              <w:rPr>
                                <w:rFonts w:ascii="Arial Narrow" w:hAnsi="Arial Narrow"/>
                                <w:b/>
                                <w:smallCaps/>
                                <w:color w:val="004071"/>
                                <w:sz w:val="68"/>
                                <w:szCs w:val="68"/>
                              </w:rPr>
                              <w:t xml:space="preserve">Annual Sector </w:t>
                            </w:r>
                          </w:p>
                          <w:p w:rsidR="00C96168" w:rsidRPr="002F6F86" w:rsidRDefault="002F6F86" w:rsidP="00F4333A">
                            <w:pPr>
                              <w:spacing w:after="60"/>
                              <w:jc w:val="right"/>
                              <w:rPr>
                                <w:rFonts w:ascii="Arial Narrow" w:hAnsi="Arial Narrow"/>
                                <w:b/>
                                <w:smallCaps/>
                                <w:color w:val="004071"/>
                                <w:sz w:val="68"/>
                                <w:szCs w:val="68"/>
                              </w:rPr>
                            </w:pPr>
                            <w:r w:rsidRPr="002F6F86">
                              <w:rPr>
                                <w:rFonts w:ascii="Arial Narrow" w:hAnsi="Arial Narrow"/>
                                <w:b/>
                                <w:smallCaps/>
                                <w:color w:val="004071"/>
                                <w:sz w:val="68"/>
                                <w:szCs w:val="68"/>
                              </w:rPr>
                              <w:t>Financial Report</w:t>
                            </w:r>
                            <w:r w:rsidR="00C96168">
                              <w:rPr>
                                <w:rFonts w:ascii="Arial Narrow" w:hAnsi="Arial Narrow"/>
                                <w:b/>
                                <w:smallCaps/>
                                <w:color w:val="004071"/>
                                <w:sz w:val="68"/>
                                <w:szCs w:val="68"/>
                              </w:rPr>
                              <w:t xml:space="preserve"> 2011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9.4pt;margin-top:59.55pt;width:471.75pt;height:1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" filled="f" stroked="f">
                <v:textbox>
                  <w:txbxContent>
                    <w:p w:rsidR="00C96168" w:rsidRDefault="002F6F86" w:rsidP="00F4333A">
                      <w:pPr>
                        <w:spacing w:after="60"/>
                        <w:jc w:val="right"/>
                        <w:rPr>
                          <w:rFonts w:ascii="Arial Narrow" w:hAnsi="Arial Narrow"/>
                          <w:b/>
                          <w:smallCaps/>
                          <w:color w:val="004071"/>
                          <w:sz w:val="68"/>
                          <w:szCs w:val="68"/>
                        </w:rPr>
                      </w:pPr>
                      <w:r w:rsidRPr="002F6F86">
                        <w:rPr>
                          <w:rFonts w:ascii="Arial Narrow" w:hAnsi="Arial Narrow"/>
                          <w:b/>
                          <w:smallCaps/>
                          <w:color w:val="004071"/>
                          <w:sz w:val="68"/>
                          <w:szCs w:val="68"/>
                        </w:rPr>
                        <w:t xml:space="preserve">Annual Sector </w:t>
                      </w:r>
                    </w:p>
                    <w:p w:rsidR="00C96168" w:rsidRPr="002F6F86" w:rsidRDefault="002F6F86" w:rsidP="00F4333A">
                      <w:pPr>
                        <w:spacing w:after="60"/>
                        <w:jc w:val="right"/>
                        <w:rPr>
                          <w:rFonts w:ascii="Arial Narrow" w:hAnsi="Arial Narrow"/>
                          <w:b/>
                          <w:smallCaps/>
                          <w:color w:val="004071"/>
                          <w:sz w:val="68"/>
                          <w:szCs w:val="68"/>
                        </w:rPr>
                      </w:pPr>
                      <w:r w:rsidRPr="002F6F86">
                        <w:rPr>
                          <w:rFonts w:ascii="Arial Narrow" w:hAnsi="Arial Narrow"/>
                          <w:b/>
                          <w:smallCaps/>
                          <w:color w:val="004071"/>
                          <w:sz w:val="68"/>
                          <w:szCs w:val="68"/>
                        </w:rPr>
                        <w:t>Financial Report</w:t>
                      </w:r>
                      <w:r w:rsidR="00C96168">
                        <w:rPr>
                          <w:rFonts w:ascii="Arial Narrow" w:hAnsi="Arial Narrow"/>
                          <w:b/>
                          <w:smallCaps/>
                          <w:color w:val="004071"/>
                          <w:sz w:val="68"/>
                          <w:szCs w:val="68"/>
                        </w:rPr>
                        <w:t xml:space="preserve"> 2011</w:t>
                      </w:r>
                    </w:p>
                  </w:txbxContent>
                </v:textbox>
                <w10:wrap type="square"/>
              </v:shape>
            </w:pict>
          </mc:Fallback>
        </mc:AlternateContent>
      </w:r>
    </w:p>
    <w:p w:rsidR="002F6F86" w:rsidRPr="00E93497" w:rsidRDefault="002F6F86" w:rsidP="002F6F86"/>
    <w:p w:rsidR="002F6F86" w:rsidRPr="008314DA" w:rsidRDefault="002F6F86" w:rsidP="002F6F86">
      <w:pPr>
        <w:pStyle w:val="BlueHeadingindent"/>
        <w:tabs>
          <w:tab w:val="clear" w:pos="2340"/>
          <w:tab w:val="left" w:pos="960"/>
        </w:tabs>
        <w:spacing w:before="200" w:after="0"/>
        <w:jc w:val="right"/>
        <w:rPr>
          <w:rFonts w:ascii="Arial Narrow" w:hAnsi="Arial Narrow"/>
          <w:smallCaps w:val="0"/>
          <w:color w:val="auto"/>
          <w:sz w:val="36"/>
          <w:szCs w:val="36"/>
        </w:rPr>
      </w:pPr>
      <w:r>
        <w:rPr>
          <w:rFonts w:ascii="Arial Narrow" w:hAnsi="Arial Narrow"/>
          <w:smallCaps w:val="0"/>
          <w:color w:val="auto"/>
          <w:sz w:val="36"/>
          <w:szCs w:val="36"/>
        </w:rPr>
        <w:t>December</w:t>
      </w:r>
      <w:r w:rsidRPr="008314DA">
        <w:rPr>
          <w:rFonts w:ascii="Arial Narrow" w:hAnsi="Arial Narrow"/>
          <w:smallCaps w:val="0"/>
          <w:color w:val="auto"/>
          <w:sz w:val="36"/>
          <w:szCs w:val="36"/>
        </w:rPr>
        <w:t xml:space="preserve"> 2012</w:t>
      </w:r>
    </w:p>
    <w:p w:rsidR="002F6F86" w:rsidRPr="00E93497" w:rsidRDefault="002F6F86" w:rsidP="002F6F86"/>
    <w:p w:rsidR="002F6F86" w:rsidRPr="00E93497" w:rsidRDefault="002F6F86" w:rsidP="002F6F86"/>
    <w:p w:rsidR="002F6F86" w:rsidRPr="00E93497" w:rsidRDefault="002F6F86" w:rsidP="002F6F86"/>
    <w:p w:rsidR="002F6F86" w:rsidRPr="00E93497" w:rsidRDefault="002F6F86" w:rsidP="002F6F86"/>
    <w:p w:rsidR="002F6F86" w:rsidRPr="00E93497" w:rsidRDefault="002F6F86" w:rsidP="002F6F86"/>
    <w:p w:rsidR="002F6F86" w:rsidRPr="00E93497" w:rsidRDefault="002F6F86" w:rsidP="002F6F86">
      <w:r>
        <w:rPr>
          <w:noProof/>
          <w:lang w:val="en-AU" w:eastAsia="en-AU"/>
        </w:rPr>
        <mc:AlternateContent>
          <mc:Choice Requires="wps">
            <w:drawing>
              <wp:anchor distT="0" distB="0" distL="114300" distR="114300" simplePos="0" relativeHeight="251664384" behindDoc="0" locked="0" layoutInCell="1" allowOverlap="1" wp14:anchorId="3D32D3E2" wp14:editId="61F765FA">
                <wp:simplePos x="0" y="0"/>
                <wp:positionH relativeFrom="column">
                  <wp:posOffset>-452755</wp:posOffset>
                </wp:positionH>
                <wp:positionV relativeFrom="paragraph">
                  <wp:posOffset>2299335</wp:posOffset>
                </wp:positionV>
                <wp:extent cx="1922780" cy="150495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GRM International Pty Ltd</w:t>
                            </w: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ABN 98 989 481 583  ACN 010 020 201</w:t>
                            </w:r>
                          </w:p>
                          <w:p w:rsidR="002F6F86" w:rsidRPr="00C4120F" w:rsidRDefault="002F6F86" w:rsidP="002F6F86">
                            <w:pPr>
                              <w:spacing w:after="0" w:line="240" w:lineRule="auto"/>
                              <w:jc w:val="left"/>
                              <w:rPr>
                                <w:rFonts w:ascii="Arial" w:hAnsi="Arial" w:cs="Arial"/>
                                <w:color w:val="FFFFFF"/>
                                <w:sz w:val="16"/>
                                <w:szCs w:val="16"/>
                              </w:rPr>
                            </w:pP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Level 6, 444 Queen Street</w:t>
                            </w:r>
                            <w:r w:rsidRPr="00C4120F">
                              <w:rPr>
                                <w:rFonts w:ascii="Arial" w:hAnsi="Arial" w:cs="Arial"/>
                                <w:color w:val="FFFFFF"/>
                                <w:sz w:val="16"/>
                                <w:szCs w:val="16"/>
                              </w:rPr>
                              <w:br/>
                              <w:t>Brisbane Queensland 4000 Australia</w:t>
                            </w:r>
                          </w:p>
                          <w:p w:rsidR="002F6F86" w:rsidRPr="00C4120F" w:rsidRDefault="002F6F86" w:rsidP="002F6F86">
                            <w:pPr>
                              <w:spacing w:after="0" w:line="240" w:lineRule="auto"/>
                              <w:jc w:val="left"/>
                              <w:rPr>
                                <w:rFonts w:ascii="Arial" w:hAnsi="Arial" w:cs="Arial"/>
                                <w:color w:val="FFFFFF"/>
                                <w:sz w:val="16"/>
                                <w:szCs w:val="16"/>
                              </w:rPr>
                            </w:pP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GPO Box 449</w:t>
                            </w: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Brisbane Queensland 4001 Australia</w:t>
                            </w:r>
                          </w:p>
                          <w:p w:rsidR="002F6F86" w:rsidRPr="00C4120F" w:rsidRDefault="002F6F86" w:rsidP="002F6F86">
                            <w:pPr>
                              <w:spacing w:after="0" w:line="240" w:lineRule="auto"/>
                              <w:jc w:val="left"/>
                              <w:rPr>
                                <w:rFonts w:ascii="Arial" w:hAnsi="Arial" w:cs="Arial"/>
                                <w:color w:val="FFFFFF"/>
                                <w:sz w:val="16"/>
                                <w:szCs w:val="16"/>
                              </w:rPr>
                            </w:pP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Telephone: +617 3025 8500</w:t>
                            </w: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Facsimile:   +617 3025 8555</w:t>
                            </w: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www.grminternational.com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5.65pt;margin-top:181.05pt;width:151.4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WYsQIAALE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" filled="f" stroked="f">
                <v:textbox inset="0,0,0,0">
                  <w:txbxContent>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GRM International Pty Ltd</w:t>
                      </w: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ABN 98 989 481 583  ACN 010 020 201</w:t>
                      </w:r>
                    </w:p>
                    <w:p w:rsidR="002F6F86" w:rsidRPr="00C4120F" w:rsidRDefault="002F6F86" w:rsidP="002F6F86">
                      <w:pPr>
                        <w:spacing w:after="0" w:line="240" w:lineRule="auto"/>
                        <w:jc w:val="left"/>
                        <w:rPr>
                          <w:rFonts w:ascii="Arial" w:hAnsi="Arial" w:cs="Arial"/>
                          <w:color w:val="FFFFFF"/>
                          <w:sz w:val="16"/>
                          <w:szCs w:val="16"/>
                        </w:rPr>
                      </w:pP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Level 6, 444 Queen Street</w:t>
                      </w:r>
                      <w:r w:rsidRPr="00C4120F">
                        <w:rPr>
                          <w:rFonts w:ascii="Arial" w:hAnsi="Arial" w:cs="Arial"/>
                          <w:color w:val="FFFFFF"/>
                          <w:sz w:val="16"/>
                          <w:szCs w:val="16"/>
                        </w:rPr>
                        <w:br/>
                        <w:t>Brisbane Queensland 4000 Australia</w:t>
                      </w:r>
                    </w:p>
                    <w:p w:rsidR="002F6F86" w:rsidRPr="00C4120F" w:rsidRDefault="002F6F86" w:rsidP="002F6F86">
                      <w:pPr>
                        <w:spacing w:after="0" w:line="240" w:lineRule="auto"/>
                        <w:jc w:val="left"/>
                        <w:rPr>
                          <w:rFonts w:ascii="Arial" w:hAnsi="Arial" w:cs="Arial"/>
                          <w:color w:val="FFFFFF"/>
                          <w:sz w:val="16"/>
                          <w:szCs w:val="16"/>
                        </w:rPr>
                      </w:pP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GPO Box 449</w:t>
                      </w: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Brisbane Queensland 4001 Australia</w:t>
                      </w:r>
                    </w:p>
                    <w:p w:rsidR="002F6F86" w:rsidRPr="00C4120F" w:rsidRDefault="002F6F86" w:rsidP="002F6F86">
                      <w:pPr>
                        <w:spacing w:after="0" w:line="240" w:lineRule="auto"/>
                        <w:jc w:val="left"/>
                        <w:rPr>
                          <w:rFonts w:ascii="Arial" w:hAnsi="Arial" w:cs="Arial"/>
                          <w:color w:val="FFFFFF"/>
                          <w:sz w:val="16"/>
                          <w:szCs w:val="16"/>
                        </w:rPr>
                      </w:pP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Telephone: +617 3025 8500</w:t>
                      </w: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Facsimile:   +617 3025 8555</w:t>
                      </w:r>
                    </w:p>
                    <w:p w:rsidR="002F6F86" w:rsidRPr="00C4120F" w:rsidRDefault="002F6F86" w:rsidP="002F6F86">
                      <w:pPr>
                        <w:spacing w:after="0" w:line="240" w:lineRule="auto"/>
                        <w:jc w:val="left"/>
                        <w:rPr>
                          <w:rFonts w:ascii="Arial" w:hAnsi="Arial" w:cs="Arial"/>
                          <w:color w:val="FFFFFF"/>
                          <w:sz w:val="16"/>
                          <w:szCs w:val="16"/>
                        </w:rPr>
                      </w:pPr>
                      <w:r w:rsidRPr="00C4120F">
                        <w:rPr>
                          <w:rFonts w:ascii="Arial" w:hAnsi="Arial" w:cs="Arial"/>
                          <w:color w:val="FFFFFF"/>
                          <w:sz w:val="16"/>
                          <w:szCs w:val="16"/>
                        </w:rPr>
                        <w:t>www.grminternational.com</w:t>
                      </w:r>
                    </w:p>
                  </w:txbxContent>
                </v:textbox>
              </v:shape>
            </w:pict>
          </mc:Fallback>
        </mc:AlternateContent>
      </w:r>
    </w:p>
    <w:p w:rsidR="002F6F86" w:rsidRDefault="002F6F86" w:rsidP="002F6F86">
      <w:pPr>
        <w:tabs>
          <w:tab w:val="left" w:pos="0"/>
        </w:tabs>
        <w:spacing w:after="0"/>
        <w:jc w:val="center"/>
        <w:rPr>
          <w:rFonts w:ascii="Arial Narrow" w:hAnsi="Arial Narrow"/>
          <w:smallCaps/>
          <w:sz w:val="36"/>
          <w:szCs w:val="36"/>
        </w:rPr>
        <w:sectPr w:rsidR="002F6F86" w:rsidSect="002F6F86">
          <w:headerReference w:type="even" r:id="rId11"/>
          <w:headerReference w:type="default" r:id="rId12"/>
          <w:footerReference w:type="even" r:id="rId13"/>
          <w:footerReference w:type="default" r:id="rId14"/>
          <w:headerReference w:type="first" r:id="rId15"/>
          <w:footerReference w:type="first" r:id="rId16"/>
          <w:pgSz w:w="11907" w:h="16840" w:code="9"/>
          <w:pgMar w:top="1134" w:right="1418" w:bottom="1134" w:left="1418" w:header="720" w:footer="720" w:gutter="0"/>
          <w:cols w:space="720"/>
          <w:docGrid w:linePitch="360"/>
        </w:sectPr>
      </w:pPr>
    </w:p>
    <w:p w:rsidR="002F6F86" w:rsidRPr="006F7706" w:rsidRDefault="002F6F86" w:rsidP="002F6F86">
      <w:pPr>
        <w:tabs>
          <w:tab w:val="left" w:pos="0"/>
        </w:tabs>
        <w:spacing w:after="0"/>
        <w:jc w:val="center"/>
        <w:rPr>
          <w:rFonts w:ascii="Arial Narrow" w:hAnsi="Arial Narrow"/>
          <w:smallCaps/>
          <w:sz w:val="36"/>
          <w:szCs w:val="36"/>
        </w:rPr>
      </w:pPr>
      <w:r w:rsidRPr="006F7706">
        <w:rPr>
          <w:rFonts w:ascii="Arial Narrow" w:hAnsi="Arial Narrow"/>
          <w:smallCaps/>
          <w:sz w:val="36"/>
          <w:szCs w:val="36"/>
        </w:rPr>
        <w:lastRenderedPageBreak/>
        <w:t>Australia’s Education Partnership with Indonesia –</w:t>
      </w:r>
    </w:p>
    <w:p w:rsidR="002F6F86" w:rsidRPr="006F7706" w:rsidRDefault="002F6F86" w:rsidP="002F6F86">
      <w:pPr>
        <w:tabs>
          <w:tab w:val="left" w:pos="960"/>
        </w:tabs>
        <w:jc w:val="center"/>
        <w:rPr>
          <w:rFonts w:ascii="Arial Narrow" w:hAnsi="Arial Narrow"/>
          <w:smallCaps/>
          <w:sz w:val="36"/>
          <w:szCs w:val="36"/>
        </w:rPr>
      </w:pPr>
      <w:r w:rsidRPr="006F7706">
        <w:rPr>
          <w:rFonts w:ascii="Arial Narrow" w:hAnsi="Arial Narrow"/>
          <w:smallCaps/>
          <w:sz w:val="36"/>
          <w:szCs w:val="36"/>
        </w:rPr>
        <w:t>Performance Oversight and Monitoring (POM)</w:t>
      </w:r>
    </w:p>
    <w:p w:rsidR="002F6F86" w:rsidRPr="00632C5D" w:rsidRDefault="002F6F86" w:rsidP="002F6F86">
      <w:pPr>
        <w:pStyle w:val="Style16ptBoldCenteredAfter0pt"/>
        <w:rPr>
          <w:rFonts w:ascii="Arial Narrow" w:hAnsi="Arial Narrow" w:cs="Times New Roman"/>
        </w:rPr>
      </w:pPr>
    </w:p>
    <w:p w:rsidR="002F6F86" w:rsidRDefault="002F6F86" w:rsidP="002F6F86">
      <w:pPr>
        <w:tabs>
          <w:tab w:val="left" w:pos="960"/>
        </w:tabs>
        <w:jc w:val="center"/>
        <w:rPr>
          <w:rFonts w:ascii="Arial Narrow" w:hAnsi="Arial Narrow"/>
          <w:smallCaps/>
          <w:color w:val="004071"/>
          <w:sz w:val="60"/>
          <w:szCs w:val="60"/>
        </w:rPr>
      </w:pPr>
    </w:p>
    <w:p w:rsidR="002F6F86" w:rsidRPr="003B3B1A" w:rsidRDefault="002F6F86" w:rsidP="002F6F86">
      <w:pPr>
        <w:tabs>
          <w:tab w:val="left" w:pos="960"/>
        </w:tabs>
        <w:jc w:val="center"/>
        <w:rPr>
          <w:rFonts w:ascii="Arial Narrow" w:hAnsi="Arial Narrow"/>
          <w:smallCaps/>
          <w:color w:val="004071"/>
          <w:sz w:val="30"/>
          <w:szCs w:val="30"/>
        </w:rPr>
      </w:pPr>
    </w:p>
    <w:p w:rsidR="00C96168" w:rsidRDefault="00C96168" w:rsidP="002F6F86">
      <w:pPr>
        <w:pStyle w:val="Style16ptBoldCenteredAfter0pt"/>
        <w:rPr>
          <w:rFonts w:ascii="Arial Narrow" w:eastAsia="Times New Roman" w:hAnsi="Arial Narrow" w:cs="Times New Roman"/>
          <w:bCs w:val="0"/>
          <w:smallCaps/>
          <w:color w:val="004071"/>
          <w:sz w:val="80"/>
          <w:szCs w:val="80"/>
          <w:lang w:eastAsia="en-AU"/>
        </w:rPr>
      </w:pPr>
      <w:r>
        <w:rPr>
          <w:rFonts w:ascii="Arial Narrow" w:eastAsia="Times New Roman" w:hAnsi="Arial Narrow" w:cs="Times New Roman"/>
          <w:bCs w:val="0"/>
          <w:smallCaps/>
          <w:color w:val="004071"/>
          <w:sz w:val="80"/>
          <w:szCs w:val="80"/>
          <w:lang w:eastAsia="en-AU"/>
        </w:rPr>
        <w:t xml:space="preserve">Annual Sector </w:t>
      </w:r>
    </w:p>
    <w:p w:rsidR="002F6F86" w:rsidRDefault="00C96168" w:rsidP="002F6F86">
      <w:pPr>
        <w:pStyle w:val="Style16ptBoldCenteredAfter0pt"/>
        <w:rPr>
          <w:rFonts w:ascii="Arial Narrow" w:eastAsia="Times New Roman" w:hAnsi="Arial Narrow" w:cs="Times New Roman"/>
          <w:bCs w:val="0"/>
          <w:smallCaps/>
          <w:color w:val="004071"/>
          <w:sz w:val="80"/>
          <w:szCs w:val="80"/>
          <w:lang w:eastAsia="en-AU"/>
        </w:rPr>
      </w:pPr>
      <w:r>
        <w:rPr>
          <w:rFonts w:ascii="Arial Narrow" w:eastAsia="Times New Roman" w:hAnsi="Arial Narrow" w:cs="Times New Roman"/>
          <w:bCs w:val="0"/>
          <w:smallCaps/>
          <w:color w:val="004071"/>
          <w:sz w:val="80"/>
          <w:szCs w:val="80"/>
          <w:lang w:eastAsia="en-AU"/>
        </w:rPr>
        <w:t>Financial Report 2011</w:t>
      </w:r>
    </w:p>
    <w:p w:rsidR="002F6F86" w:rsidRPr="004D7223" w:rsidRDefault="002F6F86" w:rsidP="002F6F86">
      <w:pPr>
        <w:pStyle w:val="Style16ptBoldCenteredAfter0pt"/>
        <w:rPr>
          <w:rFonts w:ascii="Arial Narrow" w:hAnsi="Arial Narrow" w:cs="Times New Roman"/>
          <w:smallCaps/>
        </w:rPr>
      </w:pPr>
    </w:p>
    <w:p w:rsidR="002F6F86" w:rsidRDefault="002F6F86" w:rsidP="002F6F86">
      <w:pPr>
        <w:pStyle w:val="Style16ptBoldCenteredAfter0pt"/>
        <w:rPr>
          <w:rFonts w:ascii="Arial Narrow" w:hAnsi="Arial Narrow"/>
        </w:rPr>
      </w:pPr>
    </w:p>
    <w:p w:rsidR="002F6F86" w:rsidRPr="00632C5D" w:rsidRDefault="00F41D51" w:rsidP="002F6F86">
      <w:pPr>
        <w:pStyle w:val="Style16ptBoldCenteredAfter0pt"/>
        <w:rPr>
          <w:rFonts w:ascii="Arial Narrow" w:hAnsi="Arial Narrow" w:cs="Times New Roman"/>
        </w:rPr>
      </w:pPr>
      <w:r>
        <w:rPr>
          <w:rFonts w:ascii="Arial Narrow" w:hAnsi="Arial Narrow"/>
        </w:rPr>
        <w:t>Adam Rorris</w:t>
      </w:r>
    </w:p>
    <w:p w:rsidR="002F6F86" w:rsidRDefault="002F6F86" w:rsidP="002F6F86">
      <w:pPr>
        <w:pStyle w:val="Style16ptBoldCenteredAfter0pt"/>
        <w:rPr>
          <w:rFonts w:ascii="Arial Narrow" w:hAnsi="Arial Narrow" w:cs="Times New Roman"/>
        </w:rPr>
      </w:pPr>
    </w:p>
    <w:p w:rsidR="002F6F86" w:rsidRDefault="002F6F86" w:rsidP="002F6F86">
      <w:pPr>
        <w:pStyle w:val="Style16ptBoldCenteredAfter0pt"/>
        <w:rPr>
          <w:rFonts w:ascii="Arial Narrow" w:hAnsi="Arial Narrow" w:cs="Times New Roman"/>
        </w:rPr>
      </w:pPr>
    </w:p>
    <w:p w:rsidR="002F6F86" w:rsidRDefault="002F6F86" w:rsidP="002F6F86">
      <w:pPr>
        <w:pStyle w:val="Style16ptBoldCenteredAfter0pt"/>
        <w:rPr>
          <w:rFonts w:ascii="Arial Narrow" w:hAnsi="Arial Narrow" w:cs="Times New Roman"/>
        </w:rPr>
      </w:pPr>
    </w:p>
    <w:p w:rsidR="002F6F86" w:rsidRPr="00632C5D" w:rsidRDefault="002F6F86" w:rsidP="002F6F86">
      <w:pPr>
        <w:pStyle w:val="Style16ptBoldCenteredAfter0pt"/>
        <w:rPr>
          <w:rFonts w:ascii="Arial Narrow" w:hAnsi="Arial Narrow" w:cs="Times New Roman"/>
        </w:rPr>
      </w:pPr>
    </w:p>
    <w:p w:rsidR="002F6F86" w:rsidRDefault="002F6F86" w:rsidP="002F6F86">
      <w:pPr>
        <w:pStyle w:val="Style16ptBoldCenteredAfter0pt"/>
        <w:rPr>
          <w:rFonts w:ascii="Arial Narrow" w:hAnsi="Arial Narrow" w:cs="Times New Roman"/>
        </w:rPr>
      </w:pPr>
    </w:p>
    <w:p w:rsidR="00172FF0" w:rsidRDefault="00172FF0" w:rsidP="002F6F86">
      <w:pPr>
        <w:pStyle w:val="Style16ptBoldCenteredAfter0pt"/>
        <w:rPr>
          <w:rFonts w:ascii="Arial Narrow" w:hAnsi="Arial Narrow" w:cs="Times New Roman"/>
        </w:rPr>
      </w:pPr>
    </w:p>
    <w:p w:rsidR="00172FF0" w:rsidRDefault="00172FF0" w:rsidP="002F6F86">
      <w:pPr>
        <w:pStyle w:val="Style16ptBoldCenteredAfter0pt"/>
        <w:rPr>
          <w:rFonts w:ascii="Arial Narrow" w:hAnsi="Arial Narrow" w:cs="Times New Roman"/>
        </w:rPr>
      </w:pPr>
    </w:p>
    <w:p w:rsidR="00172FF0" w:rsidRPr="00632C5D" w:rsidRDefault="00172FF0" w:rsidP="002F6F86">
      <w:pPr>
        <w:pStyle w:val="Style16ptBoldCenteredAfter0pt"/>
        <w:rPr>
          <w:rFonts w:ascii="Arial Narrow" w:hAnsi="Arial Narrow" w:cs="Times New Roman"/>
        </w:rPr>
      </w:pPr>
    </w:p>
    <w:p w:rsidR="002F6F86" w:rsidRPr="00F4333A" w:rsidRDefault="002F6F86" w:rsidP="002F6F86">
      <w:pPr>
        <w:pStyle w:val="Style16ptBoldCenteredAfter0pt"/>
        <w:rPr>
          <w:rFonts w:ascii="Arial Narrow" w:hAnsi="Arial Narrow"/>
          <w:b w:val="0"/>
          <w:sz w:val="24"/>
          <w:szCs w:val="24"/>
        </w:rPr>
      </w:pPr>
      <w:r w:rsidRPr="00F4333A">
        <w:rPr>
          <w:rFonts w:ascii="Arial Narrow" w:hAnsi="Arial Narrow"/>
          <w:b w:val="0"/>
          <w:sz w:val="24"/>
          <w:szCs w:val="24"/>
        </w:rPr>
        <w:t>Managed on behalf of AusAID by GRM International Pty Ltd</w:t>
      </w:r>
    </w:p>
    <w:p w:rsidR="002F6F86" w:rsidRDefault="002F6F86" w:rsidP="002F6F86">
      <w:pPr>
        <w:pStyle w:val="Style16ptBoldCenteredAfter0pt"/>
        <w:rPr>
          <w:rFonts w:ascii="Arial Narrow" w:hAnsi="Arial Narrow" w:cs="Times New Roman"/>
          <w:sz w:val="32"/>
          <w:szCs w:val="32"/>
        </w:rPr>
      </w:pPr>
    </w:p>
    <w:p w:rsidR="002F6F86" w:rsidRDefault="002F6F86" w:rsidP="002F6F86">
      <w:pPr>
        <w:pStyle w:val="Style16ptBoldCenteredAfter0pt"/>
        <w:rPr>
          <w:rFonts w:ascii="Arial Narrow" w:hAnsi="Arial Narrow" w:cs="Times New Roman"/>
          <w:sz w:val="32"/>
          <w:szCs w:val="32"/>
        </w:rPr>
        <w:sectPr w:rsidR="002F6F86" w:rsidSect="002F6F86">
          <w:pgSz w:w="11907" w:h="16840" w:code="9"/>
          <w:pgMar w:top="1134" w:right="1418" w:bottom="1134" w:left="1418" w:header="720" w:footer="720" w:gutter="0"/>
          <w:cols w:space="720"/>
          <w:docGrid w:linePitch="360"/>
        </w:sectPr>
      </w:pPr>
    </w:p>
    <w:p w:rsidR="003F72D0" w:rsidRPr="00193E45" w:rsidRDefault="003F72D0" w:rsidP="003F72D0">
      <w:pPr>
        <w:pStyle w:val="Heading1"/>
        <w:numPr>
          <w:ilvl w:val="0"/>
          <w:numId w:val="0"/>
        </w:numPr>
      </w:pPr>
      <w:bookmarkStart w:id="2" w:name="_Toc343597072"/>
      <w:bookmarkEnd w:id="0"/>
      <w:r>
        <w:lastRenderedPageBreak/>
        <w:t>P</w:t>
      </w:r>
      <w:r w:rsidRPr="00193E45">
        <w:t>reface</w:t>
      </w:r>
      <w:bookmarkEnd w:id="2"/>
    </w:p>
    <w:p w:rsidR="003F72D0" w:rsidRPr="00045A87" w:rsidRDefault="003F72D0" w:rsidP="003F72D0">
      <w:r w:rsidRPr="00045A87">
        <w:t xml:space="preserve">This report is intended to provide high level monitoring of national and district trends in education financing. The purpose of the monitoring is to inform AusAID and the GoI as they implement the Education Sector Support Program (ESSP) that commenced in 2011. </w:t>
      </w:r>
    </w:p>
    <w:p w:rsidR="003F72D0" w:rsidRPr="00045A87" w:rsidRDefault="003F72D0" w:rsidP="003F72D0">
      <w:r w:rsidRPr="00045A87">
        <w:t>This is the fifth Annual Financial Performance Report and is a continuation of a series of three annual reports that were prepared by the same author for the Basic Education Program (BEP) and delivered through the Contractor for Strategic Advisory Services (CSAS). Copies of these reports are held by the AusAID Jakarta post. The fourth Annual Financial Performance Report (2011) was produced as part of the ESSP and is also available through the AusAID Jakarta post.</w:t>
      </w:r>
    </w:p>
    <w:p w:rsidR="003F72D0" w:rsidRPr="00045A87" w:rsidRDefault="003F72D0" w:rsidP="003F72D0">
      <w:r w:rsidRPr="00045A87">
        <w:t>The author is Education Economist Mr. Adam Rorris who has worked with close collaboration and support from the Ministry of Finance. The consultant acknowledges the support and advice of the many people that contributed to the study. Data analysis support was provided by Mr. Ahmad Evandri. The views and opinions expressed in this report are those of the author and do not necessarily reflect those of MOEC, MoRA, Bappenas or AusAID.</w:t>
      </w:r>
    </w:p>
    <w:p w:rsidR="003F72D0" w:rsidRPr="00F81A6A" w:rsidRDefault="003F72D0" w:rsidP="003F72D0">
      <w:pPr>
        <w:pStyle w:val="BodyText"/>
      </w:pPr>
    </w:p>
    <w:p w:rsidR="003F72D0" w:rsidRDefault="003F72D0" w:rsidP="003F72D0">
      <w:pPr>
        <w:pStyle w:val="Heading1"/>
        <w:numPr>
          <w:ilvl w:val="0"/>
          <w:numId w:val="0"/>
        </w:numPr>
        <w:sectPr w:rsidR="003F72D0" w:rsidSect="00144220">
          <w:headerReference w:type="default" r:id="rId17"/>
          <w:footerReference w:type="default" r:id="rId18"/>
          <w:headerReference w:type="first" r:id="rId19"/>
          <w:footerReference w:type="first" r:id="rId20"/>
          <w:pgSz w:w="11909" w:h="16834" w:code="9"/>
          <w:pgMar w:top="1440" w:right="1440" w:bottom="1440" w:left="1440" w:header="720" w:footer="720" w:gutter="0"/>
          <w:pgNumType w:fmt="lowerRoman" w:start="1"/>
          <w:cols w:space="720"/>
          <w:titlePg/>
          <w:docGrid w:linePitch="299"/>
        </w:sectPr>
      </w:pPr>
    </w:p>
    <w:p w:rsidR="003F72D0" w:rsidRDefault="003F72D0" w:rsidP="003F72D0">
      <w:pPr>
        <w:pStyle w:val="Heading1"/>
        <w:numPr>
          <w:ilvl w:val="0"/>
          <w:numId w:val="0"/>
        </w:numPr>
        <w:ind w:right="-306"/>
      </w:pPr>
      <w:bookmarkStart w:id="3" w:name="_Toc343597073"/>
      <w:r w:rsidRPr="0085354B">
        <w:t>Abbreviations and Acronyms</w:t>
      </w:r>
      <w:bookmarkEnd w:id="3"/>
      <w:r w:rsidRPr="0085354B">
        <w:t xml:space="preserve"> </w:t>
      </w:r>
    </w:p>
    <w:tbl>
      <w:tblPr>
        <w:tblW w:w="9486" w:type="dxa"/>
        <w:tblInd w:w="108" w:type="dxa"/>
        <w:tblLook w:val="00A0" w:firstRow="1" w:lastRow="0" w:firstColumn="1" w:lastColumn="0" w:noHBand="0" w:noVBand="0"/>
      </w:tblPr>
      <w:tblGrid>
        <w:gridCol w:w="1368"/>
        <w:gridCol w:w="4212"/>
        <w:gridCol w:w="3906"/>
      </w:tblGrid>
      <w:tr w:rsidR="003F72D0" w:rsidRPr="009B04ED" w:rsidTr="000A54DD">
        <w:trPr>
          <w:trHeight w:hRule="exact" w:val="340"/>
          <w:tblHeader/>
        </w:trPr>
        <w:tc>
          <w:tcPr>
            <w:tcW w:w="1368" w:type="dxa"/>
            <w:tcBorders>
              <w:bottom w:val="single" w:sz="12" w:space="0" w:color="FFFFFF"/>
            </w:tcBorders>
            <w:shd w:val="clear" w:color="auto" w:fill="9E3A38"/>
          </w:tcPr>
          <w:p w:rsidR="003F72D0" w:rsidRPr="009B04ED" w:rsidRDefault="003F72D0" w:rsidP="000A54DD">
            <w:pPr>
              <w:spacing w:before="60" w:after="60"/>
              <w:jc w:val="left"/>
              <w:rPr>
                <w:b/>
                <w:bCs/>
                <w:color w:val="FFFFFF"/>
                <w:sz w:val="18"/>
                <w:szCs w:val="18"/>
              </w:rPr>
            </w:pPr>
            <w:r w:rsidRPr="009B04ED">
              <w:rPr>
                <w:b/>
                <w:bCs/>
                <w:color w:val="FFFFFF"/>
                <w:sz w:val="18"/>
                <w:szCs w:val="18"/>
              </w:rPr>
              <w:t>Acronym</w:t>
            </w:r>
          </w:p>
        </w:tc>
        <w:tc>
          <w:tcPr>
            <w:tcW w:w="4212" w:type="dxa"/>
            <w:tcBorders>
              <w:bottom w:val="single" w:sz="12" w:space="0" w:color="FFFFFF"/>
            </w:tcBorders>
            <w:shd w:val="clear" w:color="auto" w:fill="9E3A38"/>
          </w:tcPr>
          <w:p w:rsidR="003F72D0" w:rsidRPr="009B04ED" w:rsidRDefault="003F72D0" w:rsidP="000A54DD">
            <w:pPr>
              <w:spacing w:before="60" w:after="60"/>
              <w:jc w:val="left"/>
              <w:rPr>
                <w:b/>
                <w:bCs/>
                <w:color w:val="FFFFFF"/>
                <w:sz w:val="18"/>
                <w:szCs w:val="18"/>
              </w:rPr>
            </w:pPr>
            <w:r w:rsidRPr="009B04ED">
              <w:rPr>
                <w:b/>
                <w:bCs/>
                <w:color w:val="FFFFFF"/>
                <w:sz w:val="18"/>
                <w:szCs w:val="18"/>
              </w:rPr>
              <w:t>Bahasa Indonesia</w:t>
            </w:r>
          </w:p>
        </w:tc>
        <w:tc>
          <w:tcPr>
            <w:tcW w:w="3906" w:type="dxa"/>
            <w:tcBorders>
              <w:bottom w:val="single" w:sz="12" w:space="0" w:color="FFFFFF"/>
            </w:tcBorders>
            <w:shd w:val="clear" w:color="auto" w:fill="9E3A38"/>
          </w:tcPr>
          <w:p w:rsidR="003F72D0" w:rsidRPr="009B04ED" w:rsidRDefault="003F72D0" w:rsidP="000A54DD">
            <w:pPr>
              <w:spacing w:before="60" w:after="60"/>
              <w:jc w:val="left"/>
              <w:rPr>
                <w:b/>
                <w:bCs/>
                <w:color w:val="FFFFFF"/>
                <w:sz w:val="18"/>
                <w:szCs w:val="18"/>
              </w:rPr>
            </w:pPr>
            <w:r w:rsidRPr="009B04ED">
              <w:rPr>
                <w:b/>
                <w:bCs/>
                <w:color w:val="FFFFFF"/>
                <w:sz w:val="18"/>
                <w:szCs w:val="18"/>
              </w:rPr>
              <w:t>English</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ACER</w:t>
            </w:r>
          </w:p>
        </w:tc>
        <w:tc>
          <w:tcPr>
            <w:tcW w:w="4212" w:type="dxa"/>
            <w:shd w:val="clear" w:color="auto" w:fill="F2DBDB"/>
          </w:tcPr>
          <w:p w:rsidR="003F72D0" w:rsidRPr="009B04ED" w:rsidRDefault="003F72D0" w:rsidP="000A54DD">
            <w:pPr>
              <w:pStyle w:val="FrontPageHeading2"/>
              <w:spacing w:before="0" w:after="60"/>
              <w:jc w:val="left"/>
              <w:rPr>
                <w:rFonts w:ascii="Calibri" w:hAnsi="Calibri" w:cs="Times New Roman"/>
                <w:b w:val="0"/>
                <w:sz w:val="18"/>
                <w:szCs w:val="18"/>
              </w:rPr>
            </w:pPr>
          </w:p>
        </w:tc>
        <w:tc>
          <w:tcPr>
            <w:tcW w:w="3906" w:type="dxa"/>
            <w:shd w:val="clear" w:color="auto" w:fill="F2DBDB"/>
          </w:tcPr>
          <w:p w:rsidR="003F72D0" w:rsidRPr="009B04ED" w:rsidRDefault="003F72D0" w:rsidP="000A54DD">
            <w:pPr>
              <w:spacing w:after="60"/>
              <w:rPr>
                <w:bCs/>
                <w:color w:val="000000"/>
                <w:kern w:val="28"/>
                <w:sz w:val="18"/>
                <w:szCs w:val="18"/>
              </w:rPr>
            </w:pPr>
            <w:r w:rsidRPr="009B04ED">
              <w:rPr>
                <w:bCs/>
                <w:color w:val="000000"/>
                <w:kern w:val="28"/>
                <w:sz w:val="18"/>
                <w:szCs w:val="18"/>
              </w:rPr>
              <w:t xml:space="preserve">Australian Council for Educational Research </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ADB</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Bank Pembangunan Asia</w:t>
            </w:r>
          </w:p>
        </w:tc>
        <w:tc>
          <w:tcPr>
            <w:tcW w:w="3906" w:type="dxa"/>
            <w:shd w:val="clear" w:color="auto" w:fill="F8EDED"/>
          </w:tcPr>
          <w:p w:rsidR="003F72D0" w:rsidRPr="009B04ED" w:rsidRDefault="003F72D0" w:rsidP="000A54DD">
            <w:pPr>
              <w:spacing w:after="60"/>
              <w:rPr>
                <w:bCs/>
                <w:color w:val="000000"/>
                <w:kern w:val="28"/>
                <w:sz w:val="18"/>
                <w:szCs w:val="18"/>
              </w:rPr>
            </w:pPr>
            <w:r w:rsidRPr="009B04ED">
              <w:rPr>
                <w:bCs/>
                <w:color w:val="000000"/>
                <w:kern w:val="28"/>
                <w:sz w:val="18"/>
                <w:szCs w:val="18"/>
              </w:rPr>
              <w:t>Asian Development Bank</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APK</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Angka Partisipasi Kasar</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Gross Enrolment Rate</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APM</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Angka Partisipasi Murni</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Net Enrolment Rate</w:t>
            </w:r>
          </w:p>
        </w:tc>
      </w:tr>
      <w:tr w:rsidR="003F72D0" w:rsidRPr="009B04ED" w:rsidTr="000A54DD">
        <w:trPr>
          <w:trHeight w:hRule="exact" w:val="324"/>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AusAID</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Badan Australia untuk Pembangunan Internasional</w:t>
            </w:r>
          </w:p>
        </w:tc>
        <w:tc>
          <w:tcPr>
            <w:tcW w:w="3906" w:type="dxa"/>
            <w:shd w:val="clear" w:color="auto" w:fill="F2DBDB"/>
          </w:tcPr>
          <w:p w:rsidR="003F72D0" w:rsidRPr="009B04ED" w:rsidRDefault="003F72D0" w:rsidP="000A54DD">
            <w:pPr>
              <w:rPr>
                <w:color w:val="000000"/>
                <w:sz w:val="18"/>
                <w:szCs w:val="18"/>
              </w:rPr>
            </w:pPr>
            <w:r w:rsidRPr="009B04ED">
              <w:rPr>
                <w:color w:val="000000"/>
                <w:kern w:val="28"/>
                <w:sz w:val="18"/>
                <w:szCs w:val="18"/>
              </w:rPr>
              <w:t>Australian Agency for International Development</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AWP</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Rencana Kerja Tahunan</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Annual Work Plan</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Balitbang</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Badan Penelitian dan Pengembangan</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Centre for Research and Development</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Bappenas</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Badan Perencanaan Pembangunan Nasional</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National Development Planning Agency</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BEP</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Program Pendidikan Dasar Australia-Indonesia</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Australia-Indonesia Basic Education Program</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BOS</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Biaya Operasional Sekolah</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School Operational Fund</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BOS Buku</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Biaya Operasional Sekolah Buku</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School Operation</w:t>
            </w:r>
            <w:r>
              <w:rPr>
                <w:color w:val="000000"/>
                <w:sz w:val="18"/>
                <w:szCs w:val="18"/>
              </w:rPr>
              <w:t xml:space="preserve"> Funds for Textbooks</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BSNP</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Badan Standar Nasional Pendidikan</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National Education Standards Board</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CCR</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Rasio Kelas-Ruang Kelas</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Class-Classroom Ratio</w:t>
            </w:r>
          </w:p>
        </w:tc>
      </w:tr>
      <w:tr w:rsidR="003F72D0" w:rsidRPr="009B04ED" w:rsidTr="000A54DD">
        <w:trPr>
          <w:trHeight w:hRule="exact" w:val="333"/>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CSAS</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 xml:space="preserve">Kontraktor untuk Layanan Kepenasehatan Strategis </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Contractor for Strategic Advisory Services</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DG</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Direktorat Jendral</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Directorate General</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EC</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Komisi Eropa</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 xml:space="preserve">European Commission </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 xml:space="preserve">EFA </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Pendidikan untuk Semua</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Education for All</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ESP</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Rencana Strategis Pendidikan</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Education Strategic Plan</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Pr>
                <w:b/>
                <w:bCs/>
                <w:color w:val="000000"/>
                <w:sz w:val="18"/>
                <w:szCs w:val="18"/>
              </w:rPr>
              <w:t>ESSP</w:t>
            </w:r>
          </w:p>
        </w:tc>
        <w:tc>
          <w:tcPr>
            <w:tcW w:w="4212" w:type="dxa"/>
            <w:shd w:val="clear" w:color="auto" w:fill="F2DBDB"/>
          </w:tcPr>
          <w:p w:rsidR="003F72D0" w:rsidRPr="009B04ED" w:rsidRDefault="003F72D0" w:rsidP="000A54DD">
            <w:pPr>
              <w:rPr>
                <w:color w:val="000000"/>
                <w:sz w:val="18"/>
                <w:szCs w:val="18"/>
              </w:rPr>
            </w:pPr>
            <w:r>
              <w:rPr>
                <w:color w:val="000000"/>
                <w:sz w:val="18"/>
                <w:szCs w:val="18"/>
              </w:rPr>
              <w:t>Education Sector Support Program</w:t>
            </w:r>
          </w:p>
        </w:tc>
        <w:tc>
          <w:tcPr>
            <w:tcW w:w="3906" w:type="dxa"/>
            <w:shd w:val="clear" w:color="auto" w:fill="F2DBDB"/>
          </w:tcPr>
          <w:p w:rsidR="003F72D0" w:rsidRPr="009B04ED" w:rsidRDefault="003F72D0" w:rsidP="000A54DD">
            <w:pPr>
              <w:rPr>
                <w:color w:val="000000"/>
                <w:sz w:val="18"/>
                <w:szCs w:val="18"/>
              </w:rPr>
            </w:pPr>
            <w:r>
              <w:rPr>
                <w:color w:val="000000"/>
                <w:sz w:val="18"/>
                <w:szCs w:val="18"/>
              </w:rPr>
              <w:t>Education Sector Support Program</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ESWG</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Kelompok Kerja Sektor Pendidikan</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Education Sector Working Group</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GDP</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Pendapatan Domestik Bruto</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Gross Domestic Product</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GER</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Angka Pendaftaran Kasar</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Gross Enrolment Rate</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GOI</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Pemerintah Indonesia</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Government of Indonesia</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 xml:space="preserve">JSS </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Sekolah Menengah Pertama</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Junior Secondary School</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KPI</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Indikator Kunci dari Kunci</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Key Performance Indicator</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LAKIP</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Laporan Akuntabilitas Kinerja Publik</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 xml:space="preserve">Public Performance Accountability Report </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MCPM</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Kontraktor Pelaksana untuk Pengelolaan Program</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Managing Contractor Program Management</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MDA</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Kajian Tengah Dekade</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Mid-Decade Assessment</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MoF</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Departemen Keuangan</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Ministry of Finance</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Pr>
                <w:b/>
                <w:bCs/>
                <w:color w:val="000000"/>
                <w:sz w:val="18"/>
                <w:szCs w:val="18"/>
              </w:rPr>
              <w:t>MOEC</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Departemen Pendidikan Nasional</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Ministry of Education</w:t>
            </w:r>
            <w:r>
              <w:rPr>
                <w:color w:val="000000"/>
                <w:sz w:val="18"/>
                <w:szCs w:val="18"/>
              </w:rPr>
              <w:t xml:space="preserve"> and Culture</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MORA</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Departemen Agama</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Ministry of Religious Affairs</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NER</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Angka Pendaftaran Murni</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Net Enrolment Rate</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NFE</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Pendidikan Non-formal</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Non-Formal Education</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PAM</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Matriks Aksi Kebijakan</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Policy Action Matrix</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PCMU</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Unit Pengelola dan Koordinasi Program</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Program Coordination and Management Unit</w:t>
            </w:r>
          </w:p>
        </w:tc>
      </w:tr>
      <w:tr w:rsidR="003F72D0" w:rsidRPr="009B04ED" w:rsidTr="000A54DD">
        <w:trPr>
          <w:trHeight w:hRule="exact" w:val="539"/>
        </w:trPr>
        <w:tc>
          <w:tcPr>
            <w:tcW w:w="1368" w:type="dxa"/>
            <w:shd w:val="clear" w:color="auto" w:fill="F2DBDB"/>
          </w:tcPr>
          <w:p w:rsidR="003F72D0" w:rsidRPr="009B04ED" w:rsidRDefault="003F72D0" w:rsidP="000A54DD">
            <w:pPr>
              <w:rPr>
                <w:rFonts w:cs="Arial Narrow"/>
                <w:b/>
                <w:bCs/>
                <w:color w:val="000000"/>
                <w:sz w:val="18"/>
                <w:szCs w:val="18"/>
              </w:rPr>
            </w:pPr>
            <w:r w:rsidRPr="009B04ED">
              <w:rPr>
                <w:rFonts w:cs="Arial Narrow"/>
                <w:b/>
                <w:bCs/>
                <w:color w:val="000000"/>
                <w:sz w:val="18"/>
                <w:szCs w:val="18"/>
              </w:rPr>
              <w:t>PMPTK</w:t>
            </w:r>
          </w:p>
        </w:tc>
        <w:tc>
          <w:tcPr>
            <w:tcW w:w="4212" w:type="dxa"/>
            <w:shd w:val="clear" w:color="auto" w:fill="F2DBDB"/>
          </w:tcPr>
          <w:p w:rsidR="003F72D0" w:rsidRPr="009B04ED" w:rsidRDefault="003F72D0" w:rsidP="000A54DD">
            <w:pPr>
              <w:rPr>
                <w:rFonts w:cs="Arial Narrow"/>
                <w:color w:val="000000"/>
                <w:sz w:val="18"/>
                <w:szCs w:val="18"/>
              </w:rPr>
            </w:pPr>
            <w:r w:rsidRPr="009B04ED">
              <w:rPr>
                <w:rFonts w:cs="Arial Narrow"/>
                <w:color w:val="000000"/>
                <w:sz w:val="18"/>
                <w:szCs w:val="18"/>
              </w:rPr>
              <w:t>Peningkatan Mutu Pendidik dan Tenaga Kependidikan</w:t>
            </w:r>
          </w:p>
        </w:tc>
        <w:tc>
          <w:tcPr>
            <w:tcW w:w="3906" w:type="dxa"/>
            <w:shd w:val="clear" w:color="auto" w:fill="F2DBDB"/>
          </w:tcPr>
          <w:p w:rsidR="003F72D0" w:rsidRPr="009B04ED" w:rsidRDefault="003F72D0" w:rsidP="000A54DD">
            <w:pPr>
              <w:rPr>
                <w:rFonts w:cs="Arial Narrow"/>
                <w:color w:val="000000"/>
                <w:sz w:val="18"/>
                <w:szCs w:val="18"/>
              </w:rPr>
            </w:pPr>
            <w:r w:rsidRPr="009B04ED">
              <w:rPr>
                <w:rFonts w:cs="Arial Narrow"/>
                <w:color w:val="000000"/>
                <w:sz w:val="18"/>
                <w:szCs w:val="18"/>
              </w:rPr>
              <w:t>Quality Improvement of Teachers and Education Person</w:t>
            </w:r>
            <w:r>
              <w:rPr>
                <w:rFonts w:cs="Arial Narrow"/>
                <w:color w:val="000000"/>
                <w:sz w:val="18"/>
                <w:szCs w:val="18"/>
              </w:rPr>
              <w:t>n</w:t>
            </w:r>
            <w:r w:rsidRPr="009B04ED">
              <w:rPr>
                <w:rFonts w:cs="Arial Narrow"/>
                <w:color w:val="000000"/>
                <w:sz w:val="18"/>
                <w:szCs w:val="18"/>
              </w:rPr>
              <w:t>el</w:t>
            </w:r>
          </w:p>
        </w:tc>
      </w:tr>
      <w:tr w:rsidR="003F72D0" w:rsidRPr="009B04ED" w:rsidTr="000A54DD">
        <w:trPr>
          <w:trHeight w:hRule="exact" w:val="661"/>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PSC</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Komite Pengarah Program</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Program Steering Committee</w:t>
            </w:r>
          </w:p>
        </w:tc>
      </w:tr>
      <w:tr w:rsidR="003F72D0" w:rsidRPr="009B04ED" w:rsidTr="000A54DD">
        <w:trPr>
          <w:trHeight w:hRule="exact" w:val="281"/>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PTP Matrix</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Matriks Sasaran dan Kinerja Program</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Program Targets and Performance Matrix</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PUSLIT</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Pusat Penelitian</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Center for Research</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PUSPENDIK</w:t>
            </w:r>
          </w:p>
        </w:tc>
        <w:tc>
          <w:tcPr>
            <w:tcW w:w="4212" w:type="dxa"/>
            <w:shd w:val="clear" w:color="auto" w:fill="F2DBDB"/>
          </w:tcPr>
          <w:p w:rsidR="003F72D0" w:rsidRPr="009B04ED" w:rsidRDefault="003F72D0" w:rsidP="00DA0110">
            <w:pPr>
              <w:rPr>
                <w:color w:val="000000"/>
                <w:sz w:val="18"/>
                <w:szCs w:val="18"/>
              </w:rPr>
            </w:pPr>
            <w:r w:rsidRPr="009B04ED">
              <w:rPr>
                <w:color w:val="000000"/>
                <w:sz w:val="18"/>
                <w:szCs w:val="18"/>
              </w:rPr>
              <w:t xml:space="preserve">Pusat </w:t>
            </w:r>
            <w:r w:rsidR="00DA0110" w:rsidRPr="009B04ED">
              <w:rPr>
                <w:color w:val="000000"/>
                <w:sz w:val="18"/>
                <w:szCs w:val="18"/>
              </w:rPr>
              <w:t xml:space="preserve">Pendidikan </w:t>
            </w:r>
            <w:r w:rsidRPr="009B04ED">
              <w:rPr>
                <w:color w:val="000000"/>
                <w:sz w:val="18"/>
                <w:szCs w:val="18"/>
              </w:rPr>
              <w:t xml:space="preserve">Statistik </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Center for Education Statistics</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Renstra</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 xml:space="preserve">Rencana Strategis </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Strategic Plan</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Rp.</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Rupiah</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Rupiah</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SCR</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Rasio Siswa Ruang Kelas</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Student Classroom Ratio</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SD</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Sekolah Dasar</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Primary School</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SIKD</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Sistem Informasi Keuangan Daerah</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 xml:space="preserve">Regional Finance Information system </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 xml:space="preserve">SMP </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Sekolah Menengah Pertama</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Junior Secondary School</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SMA</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Sekolah Menengah Atas</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Senior Secondary School</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kern w:val="28"/>
                <w:sz w:val="18"/>
                <w:szCs w:val="18"/>
              </w:rPr>
            </w:pPr>
            <w:r w:rsidRPr="009B04ED">
              <w:rPr>
                <w:b/>
                <w:bCs/>
                <w:color w:val="000000"/>
                <w:sz w:val="18"/>
                <w:szCs w:val="18"/>
              </w:rPr>
              <w:t>SWAP</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 xml:space="preserve">Pendekatan Sektor secara Luas </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Sector Wide Approach</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SPI</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Indikator Kinerja Tambahan</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Supplementary Performance Indicator</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sz w:val="18"/>
                <w:szCs w:val="18"/>
              </w:rPr>
            </w:pPr>
            <w:r w:rsidRPr="009B04ED">
              <w:rPr>
                <w:b/>
                <w:bCs/>
                <w:color w:val="000000"/>
                <w:sz w:val="18"/>
                <w:szCs w:val="18"/>
              </w:rPr>
              <w:t xml:space="preserve">STR </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Rasio Siswa Guru</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Student Teacher Ratio</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sz w:val="18"/>
                <w:szCs w:val="18"/>
              </w:rPr>
            </w:pPr>
            <w:r w:rsidRPr="009B04ED">
              <w:rPr>
                <w:b/>
                <w:bCs/>
                <w:color w:val="000000"/>
                <w:sz w:val="18"/>
                <w:szCs w:val="18"/>
              </w:rPr>
              <w:t>SUSENAS</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Survei Sosial Ekonomi Nasional</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National Socio-Economic Survey</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kern w:val="28"/>
                <w:sz w:val="18"/>
                <w:szCs w:val="18"/>
              </w:rPr>
            </w:pPr>
            <w:r w:rsidRPr="009B04ED">
              <w:rPr>
                <w:b/>
                <w:bCs/>
                <w:color w:val="000000"/>
                <w:kern w:val="28"/>
                <w:sz w:val="18"/>
                <w:szCs w:val="18"/>
              </w:rPr>
              <w:t>TA</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Bantuan Teknis</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Technical Assistance</w:t>
            </w:r>
          </w:p>
        </w:tc>
      </w:tr>
      <w:tr w:rsidR="003F72D0" w:rsidRPr="009B04ED" w:rsidTr="000A54DD">
        <w:trPr>
          <w:trHeight w:hRule="exact" w:val="340"/>
        </w:trPr>
        <w:tc>
          <w:tcPr>
            <w:tcW w:w="1368" w:type="dxa"/>
            <w:shd w:val="clear" w:color="auto" w:fill="F8EDED"/>
          </w:tcPr>
          <w:p w:rsidR="003F72D0" w:rsidRPr="009B04ED" w:rsidRDefault="003F72D0" w:rsidP="000A54DD">
            <w:pPr>
              <w:rPr>
                <w:b/>
                <w:bCs/>
                <w:color w:val="000000"/>
                <w:kern w:val="28"/>
                <w:sz w:val="18"/>
                <w:szCs w:val="18"/>
              </w:rPr>
            </w:pPr>
            <w:r w:rsidRPr="009B04ED">
              <w:rPr>
                <w:b/>
                <w:bCs/>
                <w:color w:val="000000"/>
                <w:kern w:val="28"/>
                <w:sz w:val="18"/>
                <w:szCs w:val="18"/>
              </w:rPr>
              <w:t>ToR</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Kerangka Acuan Kerja</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Term of Reference</w:t>
            </w:r>
          </w:p>
        </w:tc>
      </w:tr>
      <w:tr w:rsidR="003F72D0" w:rsidRPr="009B04ED" w:rsidTr="000A54DD">
        <w:trPr>
          <w:trHeight w:hRule="exact" w:val="340"/>
        </w:trPr>
        <w:tc>
          <w:tcPr>
            <w:tcW w:w="1368" w:type="dxa"/>
            <w:shd w:val="clear" w:color="auto" w:fill="F2DBDB"/>
          </w:tcPr>
          <w:p w:rsidR="003F72D0" w:rsidRPr="009B04ED" w:rsidRDefault="003F72D0" w:rsidP="000A54DD">
            <w:pPr>
              <w:rPr>
                <w:b/>
                <w:bCs/>
                <w:color w:val="000000"/>
                <w:kern w:val="28"/>
                <w:sz w:val="18"/>
                <w:szCs w:val="18"/>
              </w:rPr>
            </w:pPr>
            <w:r w:rsidRPr="009B04ED">
              <w:rPr>
                <w:b/>
                <w:bCs/>
                <w:color w:val="000000"/>
                <w:kern w:val="28"/>
                <w:sz w:val="18"/>
                <w:szCs w:val="18"/>
              </w:rPr>
              <w:t>UN</w:t>
            </w:r>
          </w:p>
        </w:tc>
        <w:tc>
          <w:tcPr>
            <w:tcW w:w="4212" w:type="dxa"/>
            <w:shd w:val="clear" w:color="auto" w:fill="F2DBDB"/>
          </w:tcPr>
          <w:p w:rsidR="003F72D0" w:rsidRPr="009B04ED" w:rsidRDefault="003F72D0" w:rsidP="000A54DD">
            <w:pPr>
              <w:rPr>
                <w:color w:val="000000"/>
                <w:sz w:val="18"/>
                <w:szCs w:val="18"/>
              </w:rPr>
            </w:pPr>
            <w:r w:rsidRPr="009B04ED">
              <w:rPr>
                <w:color w:val="000000"/>
                <w:sz w:val="18"/>
                <w:szCs w:val="18"/>
              </w:rPr>
              <w:t>Perserikatan Bangsa-Bangsa</w:t>
            </w:r>
          </w:p>
        </w:tc>
        <w:tc>
          <w:tcPr>
            <w:tcW w:w="3906" w:type="dxa"/>
            <w:shd w:val="clear" w:color="auto" w:fill="F2DBDB"/>
          </w:tcPr>
          <w:p w:rsidR="003F72D0" w:rsidRPr="009B04ED" w:rsidRDefault="003F72D0" w:rsidP="000A54DD">
            <w:pPr>
              <w:rPr>
                <w:color w:val="000000"/>
                <w:sz w:val="18"/>
                <w:szCs w:val="18"/>
              </w:rPr>
            </w:pPr>
            <w:r w:rsidRPr="009B04ED">
              <w:rPr>
                <w:color w:val="000000"/>
                <w:sz w:val="18"/>
                <w:szCs w:val="18"/>
              </w:rPr>
              <w:t>United Nations</w:t>
            </w:r>
          </w:p>
        </w:tc>
      </w:tr>
      <w:tr w:rsidR="003F72D0" w:rsidRPr="009B04ED" w:rsidTr="000A54DD">
        <w:trPr>
          <w:trHeight w:hRule="exact" w:val="471"/>
        </w:trPr>
        <w:tc>
          <w:tcPr>
            <w:tcW w:w="1368" w:type="dxa"/>
            <w:shd w:val="clear" w:color="auto" w:fill="F8EDED"/>
          </w:tcPr>
          <w:p w:rsidR="003F72D0" w:rsidRPr="009B04ED" w:rsidRDefault="003F72D0" w:rsidP="000A54DD">
            <w:pPr>
              <w:rPr>
                <w:b/>
                <w:bCs/>
                <w:color w:val="000000"/>
                <w:kern w:val="28"/>
                <w:sz w:val="18"/>
                <w:szCs w:val="18"/>
              </w:rPr>
            </w:pPr>
            <w:r w:rsidRPr="009B04ED">
              <w:rPr>
                <w:b/>
                <w:bCs/>
                <w:color w:val="000000"/>
                <w:kern w:val="28"/>
                <w:sz w:val="18"/>
                <w:szCs w:val="18"/>
              </w:rPr>
              <w:t>USAID</w:t>
            </w:r>
          </w:p>
        </w:tc>
        <w:tc>
          <w:tcPr>
            <w:tcW w:w="4212" w:type="dxa"/>
            <w:shd w:val="clear" w:color="auto" w:fill="F8EDED"/>
          </w:tcPr>
          <w:p w:rsidR="003F72D0" w:rsidRPr="009B04ED" w:rsidRDefault="003F72D0" w:rsidP="000A54DD">
            <w:pPr>
              <w:rPr>
                <w:color w:val="000000"/>
                <w:sz w:val="18"/>
                <w:szCs w:val="18"/>
              </w:rPr>
            </w:pPr>
            <w:r w:rsidRPr="009B04ED">
              <w:rPr>
                <w:color w:val="000000"/>
                <w:sz w:val="18"/>
                <w:szCs w:val="18"/>
              </w:rPr>
              <w:t>Badan Amerika Serikat untuk Pembangunan Internasional</w:t>
            </w:r>
          </w:p>
        </w:tc>
        <w:tc>
          <w:tcPr>
            <w:tcW w:w="3906" w:type="dxa"/>
            <w:shd w:val="clear" w:color="auto" w:fill="F8EDED"/>
          </w:tcPr>
          <w:p w:rsidR="003F72D0" w:rsidRPr="009B04ED" w:rsidRDefault="003F72D0" w:rsidP="000A54DD">
            <w:pPr>
              <w:rPr>
                <w:color w:val="000000"/>
                <w:sz w:val="18"/>
                <w:szCs w:val="18"/>
              </w:rPr>
            </w:pPr>
            <w:r w:rsidRPr="009B04ED">
              <w:rPr>
                <w:color w:val="000000"/>
                <w:sz w:val="18"/>
                <w:szCs w:val="18"/>
              </w:rPr>
              <w:t>United States Agency for International Development</w:t>
            </w:r>
          </w:p>
        </w:tc>
      </w:tr>
    </w:tbl>
    <w:p w:rsidR="003F72D0" w:rsidRDefault="003F72D0" w:rsidP="003F72D0">
      <w:pPr>
        <w:rPr>
          <w:b/>
          <w:sz w:val="28"/>
          <w:szCs w:val="28"/>
        </w:rPr>
      </w:pPr>
    </w:p>
    <w:p w:rsidR="003F72D0" w:rsidRDefault="003F72D0" w:rsidP="003F72D0"/>
    <w:p w:rsidR="009A4096" w:rsidRDefault="009A4096" w:rsidP="003F72D0">
      <w:pPr>
        <w:sectPr w:rsidR="009A4096" w:rsidSect="00CB699C">
          <w:pgSz w:w="11909" w:h="16834" w:code="9"/>
          <w:pgMar w:top="1440" w:right="1277" w:bottom="1440" w:left="1440" w:header="720" w:footer="720" w:gutter="0"/>
          <w:pgNumType w:fmt="lowerRoman"/>
          <w:cols w:space="720"/>
          <w:titlePg/>
          <w:docGrid w:linePitch="299"/>
        </w:sectPr>
      </w:pPr>
    </w:p>
    <w:p w:rsidR="007A043F" w:rsidRDefault="007A043F" w:rsidP="007A043F">
      <w:pPr>
        <w:pStyle w:val="Heading1"/>
        <w:numPr>
          <w:ilvl w:val="0"/>
          <w:numId w:val="0"/>
        </w:numPr>
      </w:pPr>
      <w:bookmarkStart w:id="4" w:name="_Toc343597074"/>
      <w:r w:rsidRPr="006861B2">
        <w:t>E</w:t>
      </w:r>
      <w:r>
        <w:t>xe</w:t>
      </w:r>
      <w:r w:rsidRPr="006861B2">
        <w:t>cutive Summary</w:t>
      </w:r>
      <w:bookmarkEnd w:id="4"/>
    </w:p>
    <w:p w:rsidR="007A043F" w:rsidRPr="005D30DC" w:rsidRDefault="007A043F" w:rsidP="007A043F">
      <w:pPr>
        <w:pStyle w:val="Heading2"/>
        <w:numPr>
          <w:ilvl w:val="0"/>
          <w:numId w:val="0"/>
        </w:numPr>
      </w:pPr>
      <w:bookmarkStart w:id="5" w:name="_Toc343597075"/>
      <w:r w:rsidRPr="005D30DC">
        <w:t>Background</w:t>
      </w:r>
      <w:bookmarkEnd w:id="5"/>
    </w:p>
    <w:p w:rsidR="007A043F" w:rsidRPr="00045A87" w:rsidRDefault="007A043F" w:rsidP="007A043F">
      <w:r w:rsidRPr="00045A87">
        <w:t>The Financial Performance Report 2011 monitors and reports on trends in education financing in Indonesia. This is the fifth Finance Performance Report and follows a series of reports produced by the same author for the AusAID supported Contractor Strategic Advisory Services (CSAS) team. The report is intended for the use of AusAID and high level government officials and education sector technical experts. It provides succinct analysis and is intended to be an accessible tool for operational planning. The objectives of this report are:</w:t>
      </w:r>
    </w:p>
    <w:p w:rsidR="007A043F" w:rsidRPr="00045A87" w:rsidRDefault="007A043F" w:rsidP="007A043F">
      <w:pPr>
        <w:pStyle w:val="ListNumber"/>
        <w:numPr>
          <w:ilvl w:val="0"/>
          <w:numId w:val="16"/>
        </w:numPr>
        <w:ind w:left="357" w:hanging="357"/>
      </w:pPr>
      <w:r w:rsidRPr="00045A87">
        <w:t>To identify trends in the quantum and distribution of education funding in relation to national policy and school needs.</w:t>
      </w:r>
    </w:p>
    <w:p w:rsidR="007A043F" w:rsidRPr="00045A87" w:rsidRDefault="007A043F" w:rsidP="007A043F">
      <w:pPr>
        <w:pStyle w:val="ListNumber"/>
        <w:numPr>
          <w:ilvl w:val="0"/>
          <w:numId w:val="16"/>
        </w:numPr>
        <w:ind w:left="357" w:hanging="357"/>
      </w:pPr>
      <w:r w:rsidRPr="00045A87">
        <w:t>To monitor education sector and school resourcing from the standpoint of the key RENSTRA themes of access, quality improvement and improved accountability.</w:t>
      </w:r>
    </w:p>
    <w:p w:rsidR="007A043F" w:rsidRPr="00045A87" w:rsidRDefault="007A043F" w:rsidP="007A043F">
      <w:pPr>
        <w:pStyle w:val="ListNumber"/>
        <w:numPr>
          <w:ilvl w:val="0"/>
          <w:numId w:val="16"/>
        </w:numPr>
        <w:ind w:left="357" w:hanging="357"/>
      </w:pPr>
      <w:r w:rsidRPr="00045A87">
        <w:t xml:space="preserve">To inform AusAID, GoI and other donors of the effectiveness and efficiency of current school funding mechanisms. </w:t>
      </w:r>
    </w:p>
    <w:p w:rsidR="007A043F" w:rsidRPr="00045A87" w:rsidRDefault="007A043F" w:rsidP="007A043F">
      <w:pPr>
        <w:pStyle w:val="ListNumber"/>
        <w:numPr>
          <w:ilvl w:val="0"/>
          <w:numId w:val="16"/>
        </w:numPr>
        <w:ind w:left="357" w:hanging="357"/>
      </w:pPr>
      <w:r w:rsidRPr="00045A87">
        <w:t xml:space="preserve">To support the capacity of GoI institutions to monitor and report on school financing. </w:t>
      </w:r>
    </w:p>
    <w:p w:rsidR="007A043F" w:rsidRPr="00045A87" w:rsidRDefault="007A043F" w:rsidP="007A043F">
      <w:r w:rsidRPr="00045A87">
        <w:t xml:space="preserve">The report has a particular focus on district level expenditures. Indonesian district level expenditure patterns are increasingly important as districts have increased responsibility for education management under the Indonesian government decentralisation policy. Monitoring patterns of expenditure by districts will become an increasingly important role for the Ministry of Education and Culture (MOEC) and the Ministry of Religious Affairs (MORA) to ensure that national funding norms and procedures are being implemented appropriately. Financial analysis of education allocations therefore needs to have a district level disaggregation to assess the variability in fiscal capacity and actual allocations for education resourcing. </w:t>
      </w:r>
    </w:p>
    <w:p w:rsidR="007A043F" w:rsidRPr="00045A87" w:rsidRDefault="007A043F" w:rsidP="007A043F">
      <w:r w:rsidRPr="00045A87">
        <w:t xml:space="preserve">A wide range in the poverty status of districts, and the importance of education in lifting district populations out of poverty, mean that vulnerable groups </w:t>
      </w:r>
      <w:r>
        <w:t>stand to benefit most from well-</w:t>
      </w:r>
      <w:r w:rsidRPr="00045A87">
        <w:t xml:space="preserve">targeted education investment.  Monitoring and evaluation of district level education financing provides the tools to do so. </w:t>
      </w:r>
    </w:p>
    <w:p w:rsidR="007A043F" w:rsidRPr="003E0798" w:rsidRDefault="007A043F" w:rsidP="007A043F">
      <w:pPr>
        <w:pStyle w:val="Heading3"/>
      </w:pPr>
      <w:r w:rsidRPr="003E0798">
        <w:t xml:space="preserve">Key Performance Indicators and Analysis </w:t>
      </w:r>
    </w:p>
    <w:p w:rsidR="007A043F" w:rsidRPr="00045A87" w:rsidRDefault="007A043F" w:rsidP="007A043F">
      <w:r w:rsidRPr="00045A87">
        <w:t xml:space="preserve">The report analysis is framed by a set of Key Performance Indicators (KPI). These KPI focus attention on the main RENSTRA themes and government financial commitment to education. Most of these KPI are reported on at a national level by the GoI as part of its international Education for All (EFA) reporting obligations. </w:t>
      </w:r>
    </w:p>
    <w:p w:rsidR="009A4096" w:rsidRDefault="007A043F" w:rsidP="007A043F">
      <w:r w:rsidRPr="00045A87">
        <w:t>Each of the indicators proposed is described as being either a lead or lag indicator. Lag indicators are summative in nature. They describe the current state of progress toward an expected outcome. Lead indicators are those which capture the rate of movement towards an outcome or have a clear causal relationship to a desired outcome.</w:t>
      </w:r>
    </w:p>
    <w:p w:rsidR="007A043F" w:rsidRPr="00045A87" w:rsidRDefault="007A043F" w:rsidP="007A043F">
      <w:r w:rsidRPr="00045A87">
        <w:t>A summary of the results and findings for each of the indicators is presented in table format as part of this Executive Summary. This includes a summary assessment of the indicator result being positive, negative or uneven. A `Positive’ result indicates it is supportive of RENSTRA objectives; a ‘Negative’ result suggests it is contradictory to RENSTRA objectives; and an ‘Uneven’ result indicates large variation between districts.</w:t>
      </w:r>
    </w:p>
    <w:p w:rsidR="007A043F" w:rsidRPr="00045A87" w:rsidRDefault="007A043F" w:rsidP="007A043F">
      <w:r w:rsidRPr="00045A87">
        <w:t xml:space="preserve">This report has utilized the Enhanced Analytical Facility (EAF) as a database and warehousing tool. The EAF has brought together education, finance and socio-economic data sets from a very wide range of sources. Greater inter-relational analysis of these data sets and enhanced visualisation capacity from new software adds power and improves readability of the report. </w:t>
      </w:r>
      <w:r w:rsidRPr="007A043F">
        <w:rPr>
          <w:spacing w:val="-4"/>
        </w:rPr>
        <w:t>The EAF was again updated for this 2011 report with updates to financial and enrolment data for 2010 and the addition of new data for 2011.</w:t>
      </w:r>
      <w:r w:rsidRPr="00045A87">
        <w:t xml:space="preserve"> </w:t>
      </w:r>
    </w:p>
    <w:p w:rsidR="007A043F" w:rsidRDefault="007A043F" w:rsidP="007A043F">
      <w:pPr>
        <w:pStyle w:val="Heading2"/>
        <w:numPr>
          <w:ilvl w:val="0"/>
          <w:numId w:val="0"/>
        </w:numPr>
      </w:pPr>
      <w:bookmarkStart w:id="6" w:name="_Toc343597076"/>
      <w:r w:rsidRPr="00F71F9A">
        <w:t>Key Findings</w:t>
      </w:r>
      <w:bookmarkEnd w:id="6"/>
      <w:r w:rsidRPr="00F71F9A">
        <w:t xml:space="preserve"> </w:t>
      </w:r>
    </w:p>
    <w:p w:rsidR="007A043F" w:rsidRPr="00281B7A" w:rsidRDefault="007A043F" w:rsidP="007A043F">
      <w:r w:rsidRPr="00281B7A">
        <w:rPr>
          <w:b/>
          <w:i/>
        </w:rPr>
        <w:t>Growth in national public expenditure for education in Indonesia is keeping up with price inflation.</w:t>
      </w:r>
      <w:r w:rsidRPr="00281B7A">
        <w:rPr>
          <w:i/>
        </w:rPr>
        <w:t xml:space="preserve"> </w:t>
      </w:r>
      <w:r w:rsidRPr="00281B7A">
        <w:t xml:space="preserve"> The GoI had particularly impressive growth in real and nominal terms in 2006 and 2009. Since 2009, the real increase</w:t>
      </w:r>
      <w:r>
        <w:t>s</w:t>
      </w:r>
      <w:r w:rsidRPr="00281B7A">
        <w:t xml:space="preserve"> </w:t>
      </w:r>
      <w:r>
        <w:t xml:space="preserve">in </w:t>
      </w:r>
      <w:r w:rsidRPr="00281B7A">
        <w:t xml:space="preserve">national funding for education </w:t>
      </w:r>
      <w:r>
        <w:t xml:space="preserve">have plateaued with </w:t>
      </w:r>
      <w:r w:rsidRPr="00281B7A">
        <w:t xml:space="preserve">growth in education expenditures </w:t>
      </w:r>
      <w:r>
        <w:t>only marginally outpacing</w:t>
      </w:r>
      <w:r w:rsidRPr="00281B7A">
        <w:t xml:space="preserve"> inflation</w:t>
      </w:r>
      <w:r>
        <w:t>.</w:t>
      </w:r>
      <w:r w:rsidRPr="00281B7A">
        <w:t xml:space="preserve"> </w:t>
      </w:r>
    </w:p>
    <w:p w:rsidR="007A043F" w:rsidRDefault="007A043F" w:rsidP="007A043F">
      <w:r>
        <w:rPr>
          <w:b/>
          <w:i/>
        </w:rPr>
        <w:t xml:space="preserve">The public expenditure for education (not accounting for price inflation) has increased by approximately 200% between 2006 and 2011. </w:t>
      </w:r>
      <w:r>
        <w:t xml:space="preserve">The nominal value of public expenditures for education increased from 123 trillion in 2001 to 243 trillion by 2011. </w:t>
      </w:r>
    </w:p>
    <w:p w:rsidR="007A043F" w:rsidRPr="00DA470F" w:rsidRDefault="007A043F" w:rsidP="007A043F">
      <w:r>
        <w:rPr>
          <w:b/>
          <w:i/>
        </w:rPr>
        <w:t>The real value of</w:t>
      </w:r>
      <w:r w:rsidRPr="00A72C4D">
        <w:rPr>
          <w:b/>
          <w:i/>
        </w:rPr>
        <w:t xml:space="preserve"> </w:t>
      </w:r>
      <w:r>
        <w:rPr>
          <w:b/>
          <w:i/>
        </w:rPr>
        <w:t xml:space="preserve">public expenditure for education increased by 39% during the period 2006- 2011.  </w:t>
      </w:r>
      <w:r>
        <w:t xml:space="preserve">In 2001 constant prices, national education expenditures increased more than 1.4 times </w:t>
      </w:r>
      <w:r w:rsidRPr="00DA470F">
        <w:t xml:space="preserve">their original 2006 value of Rp. 76 trillion to more than Rp. 110 trillion by 2011. </w:t>
      </w:r>
    </w:p>
    <w:p w:rsidR="007A043F" w:rsidRPr="00DA470F" w:rsidRDefault="007A043F" w:rsidP="007A043F">
      <w:r w:rsidRPr="00DA470F">
        <w:rPr>
          <w:b/>
          <w:i/>
        </w:rPr>
        <w:t xml:space="preserve">Government commitment to meet a 20% target for education expenditure share of national budget has been met for the third year in a row. </w:t>
      </w:r>
      <w:r w:rsidRPr="007A043F">
        <w:rPr>
          <w:spacing w:val="-4"/>
        </w:rPr>
        <w:t>The national expenditures for education in 2011 met the 20% target, but this did not generate a large year on year increase in real funds available for education as the 20% target had already been reached in 2009. The growth in 2011 education expenditures was in line with growth in 2010, but more modest than 2009. This suggests that in future years the growth in national public education expenditures will continue to track the growth in the national public budget.</w:t>
      </w:r>
    </w:p>
    <w:p w:rsidR="007A043F" w:rsidRDefault="007A043F" w:rsidP="007A043F">
      <w:pPr>
        <w:rPr>
          <w:rFonts w:cs="Arial Narrow"/>
          <w:color w:val="000000"/>
        </w:rPr>
      </w:pPr>
      <w:r>
        <w:rPr>
          <w:rFonts w:cs="Arial Narrow"/>
          <w:b/>
          <w:color w:val="000000"/>
        </w:rPr>
        <w:t>Th</w:t>
      </w:r>
      <w:r w:rsidRPr="00A83151">
        <w:rPr>
          <w:rFonts w:cs="Arial Narrow"/>
          <w:b/>
          <w:color w:val="000000"/>
        </w:rPr>
        <w:t>ere has been a decline in education expenditure as a proportion of GDP since 2009.</w:t>
      </w:r>
      <w:r w:rsidRPr="009B04ED">
        <w:rPr>
          <w:rFonts w:cs="Arial Narrow"/>
          <w:color w:val="000000"/>
        </w:rPr>
        <w:t xml:space="preserve"> Education as a percentage of GDP </w:t>
      </w:r>
      <w:r>
        <w:rPr>
          <w:rFonts w:cs="Arial Narrow"/>
          <w:color w:val="000000"/>
        </w:rPr>
        <w:t>rose from 2.5% in 2001 to 3.7% by 2009, but has declined to 3.3% in 2011. While education expenditure has been growing slightly faster than national public expenditure, it has been outpaced by a much faster growth of the economy as whole (as measured by GDP).</w:t>
      </w:r>
    </w:p>
    <w:p w:rsidR="007A043F" w:rsidRDefault="007A043F" w:rsidP="007A043F">
      <w:pPr>
        <w:spacing w:after="120"/>
        <w:jc w:val="left"/>
        <w:rPr>
          <w:color w:val="000000"/>
        </w:rPr>
      </w:pPr>
      <w:r w:rsidRPr="001D6440">
        <w:rPr>
          <w:b/>
          <w:color w:val="000000"/>
        </w:rPr>
        <w:t>In 2011 the salary share of expenditures had come down to 75% of total district level expenditures</w:t>
      </w:r>
      <w:r>
        <w:rPr>
          <w:color w:val="000000"/>
        </w:rPr>
        <w:t>. In the context of the additional salary costs associated with the teacher certification process, this is a very positive achievement. New budget allocations were especially strong for capital items which doubled from 7% of total district budgets in 2010 to 14% in 2011.</w:t>
      </w:r>
    </w:p>
    <w:p w:rsidR="009A4096" w:rsidRPr="00735912" w:rsidRDefault="007A043F" w:rsidP="007A043F">
      <w:r w:rsidRPr="00735912">
        <w:rPr>
          <w:b/>
          <w:color w:val="000000"/>
        </w:rPr>
        <w:t>Average district level education expenditures across Indonesia have increased from 27% of the total district budget (APBD) in 2006 to nearly 37% share in 2011</w:t>
      </w:r>
      <w:r w:rsidRPr="00735912">
        <w:rPr>
          <w:color w:val="000000"/>
        </w:rPr>
        <w:t>. The large increase in 2011 in the education share of district budgets has come in a year where both total district budgets and the education share of district budgets have grown strongly. However, while district budgets in 2011</w:t>
      </w:r>
    </w:p>
    <w:p w:rsidR="007A043F" w:rsidRPr="00735912" w:rsidRDefault="007A043F" w:rsidP="007A043F">
      <w:pPr>
        <w:spacing w:after="120"/>
        <w:jc w:val="left"/>
        <w:rPr>
          <w:color w:val="000000"/>
        </w:rPr>
      </w:pPr>
      <w:r w:rsidRPr="00735912">
        <w:rPr>
          <w:color w:val="000000"/>
        </w:rPr>
        <w:t>grew at a national average of 16% on the year before, education budgets grew at an average 36% on 2010 allocations.</w:t>
      </w:r>
    </w:p>
    <w:p w:rsidR="007A043F" w:rsidRDefault="007A043F" w:rsidP="007A043F">
      <w:pPr>
        <w:spacing w:after="120"/>
        <w:jc w:val="left"/>
        <w:rPr>
          <w:color w:val="000000"/>
        </w:rPr>
      </w:pPr>
      <w:r w:rsidRPr="00C92C15">
        <w:rPr>
          <w:b/>
          <w:color w:val="000000"/>
        </w:rPr>
        <w:t>Poorest districts (bottom quintile) recorded a staggering 40% average annual growth in their 2011 education budget on the previous year.</w:t>
      </w:r>
      <w:r>
        <w:rPr>
          <w:color w:val="000000"/>
        </w:rPr>
        <w:t xml:space="preserve"> This follows a contraction in 2010, and annual growth of 10% and 5% between 2007-08 and 2008-09 budgets. This is a very positive result for the poorest districts as they have managed the highest average percentage increase in the education of all the poverty quintiles. The continued strong growth of education budgets within the poorest districts is far in excess of the annual inflation rate. </w:t>
      </w:r>
    </w:p>
    <w:p w:rsidR="007A043F" w:rsidRPr="00735912" w:rsidRDefault="007A043F" w:rsidP="007A043F">
      <w:pPr>
        <w:spacing w:after="120"/>
        <w:jc w:val="left"/>
        <w:rPr>
          <w:spacing w:val="-4"/>
        </w:rPr>
      </w:pPr>
      <w:r w:rsidRPr="00735912">
        <w:rPr>
          <w:b/>
          <w:spacing w:val="-4"/>
        </w:rPr>
        <w:t>Only 6 poorest quintile districts (all in Papua) experienced a decline in the dedicated 2011 district budget funds for education compared with the previous year</w:t>
      </w:r>
      <w:r w:rsidRPr="00735912">
        <w:rPr>
          <w:spacing w:val="-4"/>
        </w:rPr>
        <w:t xml:space="preserve">. This compares with 2010 when 37 poorest quintile districts recorded a contraction in their education allocations compared to the previous budget year. </w:t>
      </w:r>
    </w:p>
    <w:p w:rsidR="007A043F" w:rsidRDefault="007A043F" w:rsidP="007A043F">
      <w:pPr>
        <w:spacing w:after="60"/>
        <w:jc w:val="left"/>
        <w:rPr>
          <w:color w:val="000000"/>
        </w:rPr>
      </w:pPr>
      <w:r w:rsidRPr="008223EB">
        <w:rPr>
          <w:b/>
          <w:color w:val="000000"/>
        </w:rPr>
        <w:t>Average expenditure per student across the country grew very strongly in 2011</w:t>
      </w:r>
      <w:r>
        <w:rPr>
          <w:color w:val="000000"/>
        </w:rPr>
        <w:t>. This is a big change from the stalled expenditure growth that was experienced in 2010. Average education expenditure per student has grown to Rp. 2.8 million in 2011, from an average Rp. 2 million in 2010. Average per student expenditure is now considerably higher in rural districts and reached Rp. 2.8 million per student in 2011. This compares with Rp. 2.4 million per student in the urban areas.</w:t>
      </w:r>
    </w:p>
    <w:p w:rsidR="007A043F" w:rsidRDefault="007A043F" w:rsidP="007A043F">
      <w:pPr>
        <w:spacing w:after="60"/>
        <w:jc w:val="left"/>
        <w:rPr>
          <w:color w:val="000000"/>
        </w:rPr>
      </w:pPr>
      <w:r w:rsidRPr="008223EB">
        <w:rPr>
          <w:b/>
          <w:color w:val="000000"/>
        </w:rPr>
        <w:t>Highest budget allocations per student are found in the poorest districts</w:t>
      </w:r>
      <w:r>
        <w:rPr>
          <w:color w:val="000000"/>
        </w:rPr>
        <w:t>. Poorest districts (quintile 5) have an average budget allocation of Rp. 3.3 million per student. This compares with an average district allocation of Rp. 2.5 to 2.9 million for the other poverty quintiles. The allocation per student is greatly affected by the sparsity of population. More sparsely populated districts (such as those in the eastern region and many of those in the poorest quintile districts) have higher average salary costs. This is because of both lower student/teacher ratios and higher salary related costs associated with remote area allowances.</w:t>
      </w:r>
    </w:p>
    <w:p w:rsidR="007A043F" w:rsidRPr="00EE6E25" w:rsidRDefault="007A043F" w:rsidP="007A043F">
      <w:r w:rsidRPr="00DA1E60">
        <w:rPr>
          <w:b/>
        </w:rPr>
        <w:t xml:space="preserve">Indonesia is moving towards a correct ‘equity slope’ </w:t>
      </w:r>
      <w:r>
        <w:rPr>
          <w:b/>
        </w:rPr>
        <w:t xml:space="preserve">in </w:t>
      </w:r>
      <w:r w:rsidRPr="00DA1E60">
        <w:rPr>
          <w:b/>
        </w:rPr>
        <w:t>the distribution of funding to districts for schooling</w:t>
      </w:r>
      <w:r w:rsidRPr="00EE6E25">
        <w:t xml:space="preserve">. The ideal equity slope would </w:t>
      </w:r>
      <w:r>
        <w:t xml:space="preserve">show </w:t>
      </w:r>
      <w:r w:rsidRPr="00EE6E25">
        <w:t xml:space="preserve">least public resources </w:t>
      </w:r>
      <w:r>
        <w:t xml:space="preserve">allocated </w:t>
      </w:r>
      <w:r w:rsidRPr="00EE6E25">
        <w:t>per student for the wealthiest districts</w:t>
      </w:r>
      <w:r>
        <w:t>,</w:t>
      </w:r>
      <w:r w:rsidRPr="00EE6E25">
        <w:t xml:space="preserve"> and slope upwards </w:t>
      </w:r>
      <w:r>
        <w:t xml:space="preserve">towards </w:t>
      </w:r>
      <w:r w:rsidRPr="00EE6E25">
        <w:t>those districts with th</w:t>
      </w:r>
      <w:r>
        <w:t xml:space="preserve">e lowest socio-economic profile. These low socio-economic groups require the greatest public </w:t>
      </w:r>
      <w:r w:rsidRPr="00EE6E25">
        <w:t>resource</w:t>
      </w:r>
      <w:r>
        <w:t xml:space="preserve">s per student. </w:t>
      </w:r>
      <w:r w:rsidRPr="00EE6E25">
        <w:t>By 2011, districts from the two poorest quintiles had grown their allocation</w:t>
      </w:r>
      <w:r>
        <w:t>s at a faster rate than others and were receiving more per student than districts in other poverty quintiles</w:t>
      </w:r>
    </w:p>
    <w:p w:rsidR="007A043F" w:rsidRPr="006065CD" w:rsidRDefault="007A043F" w:rsidP="007A043F">
      <w:r w:rsidRPr="001A2387">
        <w:rPr>
          <w:b/>
        </w:rPr>
        <w:t>There were only two districts in 2011</w:t>
      </w:r>
      <w:r>
        <w:rPr>
          <w:b/>
        </w:rPr>
        <w:t xml:space="preserve"> </w:t>
      </w:r>
      <w:r w:rsidRPr="001A2387">
        <w:rPr>
          <w:b/>
        </w:rPr>
        <w:t xml:space="preserve">that meet </w:t>
      </w:r>
      <w:r w:rsidRPr="001A2387">
        <w:rPr>
          <w:b/>
          <w:i/>
        </w:rPr>
        <w:t>Critical Education Funding Status</w:t>
      </w:r>
      <w:r w:rsidRPr="001A2387">
        <w:rPr>
          <w:b/>
        </w:rPr>
        <w:t xml:space="preserve"> (CEFS) criteria compared to 2009 (16 districts) and another 12 districts in 2010.</w:t>
      </w:r>
      <w:r w:rsidRPr="006065CD">
        <w:t xml:space="preserve"> </w:t>
      </w:r>
      <w:r>
        <w:t xml:space="preserve">The CEFS diagnostic tool </w:t>
      </w:r>
      <w:r w:rsidRPr="005D1552">
        <w:t>identifies districts that have</w:t>
      </w:r>
      <w:r>
        <w:t xml:space="preserve"> (i) </w:t>
      </w:r>
      <w:r w:rsidRPr="005D1552">
        <w:t>low expenditure per student</w:t>
      </w:r>
      <w:r>
        <w:t xml:space="preserve">, (ii) </w:t>
      </w:r>
      <w:r w:rsidRPr="005D1552">
        <w:t>small education share of the district budget</w:t>
      </w:r>
      <w:r>
        <w:t xml:space="preserve">, and (iii) </w:t>
      </w:r>
      <w:r w:rsidRPr="005D1552">
        <w:t xml:space="preserve">weak annual </w:t>
      </w:r>
      <w:r>
        <w:t>growth in their education budget</w:t>
      </w:r>
      <w:r w:rsidRPr="005D1552">
        <w:t xml:space="preserve">. </w:t>
      </w:r>
      <w:r w:rsidRPr="006065CD">
        <w:t>The turnaround in 2011 captures the widespread improvement in district allocations for education in 2011.</w:t>
      </w:r>
    </w:p>
    <w:p w:rsidR="009A4096" w:rsidRDefault="007A043F" w:rsidP="007A043F">
      <w:r w:rsidRPr="000641EB">
        <w:rPr>
          <w:b/>
        </w:rPr>
        <w:t>Average BOS allocations to districts in 2011 were approximately 12% of average district expenditures on education.</w:t>
      </w:r>
      <w:r>
        <w:t xml:space="preserve"> The BOS funds represent a smaller share of total expenditure as teacher salaries and allowances increase. These salary and emolument increases are a flow on effect of the teacher certification process and will continue for a few more years (at least until 2015). It is possible that BOS allocations will have another spike in 2013 or 2014 if the GoI goes ahead with stated intentions to introduce a BOS allowance for the senior secondary level of schooling. If this were to happen, then BOS allocations are likely to equal more than 15% of total district expenditure for schooling.</w:t>
      </w:r>
    </w:p>
    <w:p w:rsidR="00735912" w:rsidRDefault="00735912" w:rsidP="00735912">
      <w:pPr>
        <w:pStyle w:val="Heading2"/>
        <w:numPr>
          <w:ilvl w:val="0"/>
          <w:numId w:val="0"/>
        </w:numPr>
      </w:pPr>
      <w:bookmarkStart w:id="7" w:name="_Toc343597077"/>
      <w:r w:rsidRPr="00F3384B">
        <w:t>Recommendations</w:t>
      </w:r>
      <w:bookmarkEnd w:id="7"/>
    </w:p>
    <w:p w:rsidR="00735912" w:rsidRDefault="00735912" w:rsidP="00735912">
      <w:pPr>
        <w:pStyle w:val="ListParagraph"/>
        <w:numPr>
          <w:ilvl w:val="0"/>
          <w:numId w:val="21"/>
        </w:numPr>
        <w:ind w:left="426" w:hanging="426"/>
      </w:pPr>
      <w:r w:rsidRPr="0081239F">
        <w:t xml:space="preserve">MOEC should consider undertaking a detailed study focused on the poorest districts in Papua and Maluku (poverty quintile 5 districts) to examine why some of these districts with high poverty rates are allocating significantly smaller share of resources for education than the national average. The study should look for comparisons with other districts in these island groups, to </w:t>
      </w:r>
      <w:r>
        <w:t xml:space="preserve">also </w:t>
      </w:r>
      <w:r w:rsidRPr="0081239F">
        <w:t xml:space="preserve">understand why some districts </w:t>
      </w:r>
      <w:r>
        <w:t xml:space="preserve">(conversely) </w:t>
      </w:r>
      <w:r w:rsidRPr="0081239F">
        <w:t>may be spending a higher proportion of their budget on education.</w:t>
      </w:r>
    </w:p>
    <w:p w:rsidR="00735912" w:rsidRPr="0081239F" w:rsidRDefault="00735912" w:rsidP="00735912">
      <w:pPr>
        <w:pStyle w:val="ListParagraph"/>
        <w:ind w:left="426"/>
      </w:pPr>
    </w:p>
    <w:p w:rsidR="00735912" w:rsidRDefault="00735912" w:rsidP="00735912">
      <w:pPr>
        <w:pStyle w:val="ListParagraph"/>
        <w:numPr>
          <w:ilvl w:val="0"/>
          <w:numId w:val="21"/>
        </w:numPr>
        <w:ind w:left="426" w:hanging="426"/>
      </w:pPr>
      <w:r w:rsidRPr="00A57B36">
        <w:t xml:space="preserve">Undertake a short research project involving meetings with education officials of a targeted group of districts to </w:t>
      </w:r>
      <w:r>
        <w:t xml:space="preserve">explore (i) </w:t>
      </w:r>
      <w:r w:rsidRPr="00A57B36">
        <w:t>what has driven the strong increase in education spending of districts across the countr</w:t>
      </w:r>
      <w:r>
        <w:t>y, and (ii) what factors have been involved in those 22 districts which have reduced their education allocations in 2011.</w:t>
      </w:r>
    </w:p>
    <w:p w:rsidR="00735912" w:rsidRDefault="00735912" w:rsidP="00735912">
      <w:pPr>
        <w:pStyle w:val="ListParagraph"/>
      </w:pPr>
    </w:p>
    <w:p w:rsidR="00735912" w:rsidRDefault="00735912" w:rsidP="00735912">
      <w:pPr>
        <w:pStyle w:val="ListParagraph"/>
        <w:numPr>
          <w:ilvl w:val="0"/>
          <w:numId w:val="21"/>
        </w:numPr>
        <w:ind w:left="426" w:hanging="426"/>
      </w:pPr>
      <w:r w:rsidRPr="008223EB">
        <w:t xml:space="preserve">For the AusAID funded ESSP, pay attention to (i) the eight districts identified in both 2010 and 2011 as having Critical Education Funding Status (CEFS), and (ii) the two districts with declining education allocations in 2011. ESSP disbursements managed through the districts should be reviewed and processed where the district does not reduce budget allocations for education in 2012. Where these districts are reverting to decreased per student funding in 2012 and beyond, policy dialogue with these districts should explore the reasons for the decrease before AusAID funds are committed to these districts. </w:t>
      </w:r>
    </w:p>
    <w:p w:rsidR="00735912" w:rsidRDefault="00735912" w:rsidP="00735912">
      <w:pPr>
        <w:pStyle w:val="ListParagraph"/>
      </w:pPr>
    </w:p>
    <w:p w:rsidR="00735912" w:rsidRDefault="00735912" w:rsidP="00735912">
      <w:pPr>
        <w:pStyle w:val="ListParagraph"/>
        <w:numPr>
          <w:ilvl w:val="0"/>
          <w:numId w:val="21"/>
        </w:numPr>
        <w:ind w:left="426" w:hanging="426"/>
      </w:pPr>
      <w:r w:rsidRPr="008223EB">
        <w:t xml:space="preserve">AusAID support GoI in the formulation of a policy framework to (i) support a change in district education financing policy so that a greater volume and share of districts funds is diverted to education (where that is confirmed to be required), and (ii) mitigate the risk of the ESSP driving financial substitution effects at the district level which weaken existing local allocations for education. </w:t>
      </w:r>
    </w:p>
    <w:p w:rsidR="00735912" w:rsidRDefault="00735912" w:rsidP="00735912">
      <w:pPr>
        <w:pStyle w:val="ListParagraph"/>
      </w:pPr>
    </w:p>
    <w:p w:rsidR="00735912" w:rsidRPr="008223EB" w:rsidRDefault="00735912" w:rsidP="00735912">
      <w:pPr>
        <w:pStyle w:val="ListParagraph"/>
        <w:numPr>
          <w:ilvl w:val="0"/>
          <w:numId w:val="21"/>
        </w:numPr>
        <w:ind w:left="426" w:hanging="426"/>
      </w:pPr>
      <w:r w:rsidRPr="00EF72F4">
        <w:t xml:space="preserve">The AusAID funded ESSP should review the strengths and weaknesses of the existing BOS training programs for school principals. The purpose of the review would be to signal changes and improvements in the delivery of training for district officers, principals and community members. It should lead to the improved capacity of school principals to better plan and manage their BOS funds and to help districts better monitor and support the schools in their disbursement activities. Ideally the analysis would obtain quantitative and qualitative evidence on differences in allocative choices and efficient use of BOS funds between </w:t>
      </w:r>
      <w:r>
        <w:t xml:space="preserve">different groups of </w:t>
      </w:r>
      <w:r w:rsidRPr="00EF72F4">
        <w:t xml:space="preserve">principals </w:t>
      </w:r>
      <w:r>
        <w:t xml:space="preserve">e.g. those </w:t>
      </w:r>
      <w:r w:rsidRPr="00EF72F4">
        <w:t xml:space="preserve">that identify as benefiting from the training and those that do not. </w:t>
      </w:r>
    </w:p>
    <w:p w:rsidR="00735912" w:rsidRDefault="00735912" w:rsidP="00735912">
      <w:pPr>
        <w:spacing w:after="0" w:line="240" w:lineRule="auto"/>
        <w:jc w:val="left"/>
        <w:rPr>
          <w:rFonts w:ascii="Cambria" w:hAnsi="Cambria"/>
          <w:b/>
          <w:smallCaps/>
          <w:color w:val="943634"/>
          <w:spacing w:val="5"/>
          <w:sz w:val="28"/>
          <w:szCs w:val="32"/>
        </w:rPr>
      </w:pPr>
    </w:p>
    <w:p w:rsidR="00735912" w:rsidRDefault="00735912" w:rsidP="00735912">
      <w:pPr>
        <w:jc w:val="left"/>
        <w:sectPr w:rsidR="00735912" w:rsidSect="00CB699C">
          <w:pgSz w:w="11909" w:h="16834" w:code="9"/>
          <w:pgMar w:top="1440" w:right="1277" w:bottom="1440" w:left="1440" w:header="720" w:footer="720" w:gutter="0"/>
          <w:pgNumType w:fmt="lowerRoman"/>
          <w:cols w:space="720"/>
          <w:titlePg/>
          <w:docGrid w:linePitch="299"/>
        </w:sectPr>
      </w:pPr>
      <w:r w:rsidRPr="00D56E8E">
        <w:t>The highest priority studies are those of recommendations 1 and 2 presented above.</w:t>
      </w:r>
    </w:p>
    <w:p w:rsidR="00735912" w:rsidRDefault="00735912" w:rsidP="00735912">
      <w:pPr>
        <w:pStyle w:val="Caption"/>
      </w:pPr>
      <w:bookmarkStart w:id="8" w:name="_Toc343595509"/>
      <w:bookmarkStart w:id="9" w:name="_Toc343595511"/>
      <w:r>
        <w:t xml:space="preserve">Table </w:t>
      </w:r>
      <w:r>
        <w:fldChar w:fldCharType="begin"/>
      </w:r>
      <w:r>
        <w:instrText xml:space="preserve"> SEQ Table \* ARABIC </w:instrText>
      </w:r>
      <w:r>
        <w:fldChar w:fldCharType="separate"/>
      </w:r>
      <w:r>
        <w:rPr>
          <w:noProof/>
        </w:rPr>
        <w:t>1</w:t>
      </w:r>
      <w:r>
        <w:fldChar w:fldCharType="end"/>
      </w:r>
      <w:r w:rsidRPr="00C65D97">
        <w:t xml:space="preserve"> </w:t>
      </w:r>
      <w:r>
        <w:tab/>
      </w:r>
      <w:r w:rsidRPr="00C65D97">
        <w:t>Summary Findings – Financial Performance at National/District Levels</w:t>
      </w:r>
      <w:bookmarkEnd w:id="8"/>
      <w:bookmarkEnd w:id="9"/>
      <w:r w:rsidRPr="00C65D97">
        <w:t xml:space="preserve"> </w:t>
      </w:r>
    </w:p>
    <w:tbl>
      <w:tblPr>
        <w:tblW w:w="10207" w:type="dxa"/>
        <w:tblInd w:w="-601" w:type="dxa"/>
        <w:tblLayout w:type="fixed"/>
        <w:tblLook w:val="00A0" w:firstRow="1" w:lastRow="0" w:firstColumn="1" w:lastColumn="0" w:noHBand="0" w:noVBand="0"/>
      </w:tblPr>
      <w:tblGrid>
        <w:gridCol w:w="1842"/>
        <w:gridCol w:w="6"/>
        <w:gridCol w:w="2120"/>
        <w:gridCol w:w="6"/>
        <w:gridCol w:w="1416"/>
        <w:gridCol w:w="139"/>
        <w:gridCol w:w="4678"/>
      </w:tblGrid>
      <w:tr w:rsidR="00735912" w:rsidRPr="009B04ED" w:rsidTr="00B42128">
        <w:trPr>
          <w:trHeight w:val="280"/>
        </w:trPr>
        <w:tc>
          <w:tcPr>
            <w:tcW w:w="1848" w:type="dxa"/>
            <w:gridSpan w:val="2"/>
            <w:tcBorders>
              <w:bottom w:val="single" w:sz="18" w:space="0" w:color="FFFFFF"/>
            </w:tcBorders>
            <w:shd w:val="clear" w:color="auto" w:fill="9E3A38"/>
            <w:noWrap/>
          </w:tcPr>
          <w:p w:rsidR="00735912" w:rsidRPr="005C59A4" w:rsidRDefault="00735912" w:rsidP="00B42128">
            <w:pPr>
              <w:spacing w:before="60" w:after="60"/>
              <w:jc w:val="left"/>
              <w:rPr>
                <w:rFonts w:eastAsia="MS Mincho" w:cs="Arial"/>
                <w:b/>
                <w:bCs/>
                <w:color w:val="FFFFFF"/>
                <w:sz w:val="18"/>
                <w:szCs w:val="18"/>
                <w:lang w:eastAsia="ja-JP"/>
              </w:rPr>
            </w:pPr>
            <w:r w:rsidRPr="005C59A4">
              <w:rPr>
                <w:b/>
                <w:bCs/>
                <w:color w:val="FFFFFF"/>
                <w:sz w:val="18"/>
                <w:szCs w:val="18"/>
              </w:rPr>
              <w:br w:type="page"/>
            </w:r>
            <w:r w:rsidRPr="005C59A4">
              <w:rPr>
                <w:b/>
                <w:bCs/>
                <w:color w:val="FFFFFF"/>
                <w:sz w:val="18"/>
                <w:szCs w:val="18"/>
              </w:rPr>
              <w:br w:type="page"/>
              <w:t xml:space="preserve"> </w:t>
            </w:r>
            <w:r w:rsidRPr="005C59A4">
              <w:rPr>
                <w:rFonts w:eastAsia="MS Mincho" w:cs="Arial"/>
                <w:b/>
                <w:bCs/>
                <w:color w:val="FFFFFF"/>
                <w:sz w:val="18"/>
                <w:szCs w:val="18"/>
                <w:lang w:eastAsia="ja-JP"/>
              </w:rPr>
              <w:t>Indicator</w:t>
            </w:r>
          </w:p>
        </w:tc>
        <w:tc>
          <w:tcPr>
            <w:tcW w:w="2126" w:type="dxa"/>
            <w:gridSpan w:val="2"/>
            <w:tcBorders>
              <w:bottom w:val="single" w:sz="18" w:space="0" w:color="FFFFFF"/>
            </w:tcBorders>
            <w:shd w:val="clear" w:color="auto" w:fill="9E3A38"/>
            <w:noWrap/>
          </w:tcPr>
          <w:p w:rsidR="00735912" w:rsidRPr="005C59A4" w:rsidRDefault="00735912" w:rsidP="00B42128">
            <w:pPr>
              <w:spacing w:before="60" w:after="60"/>
              <w:jc w:val="left"/>
              <w:rPr>
                <w:rFonts w:eastAsia="MS Mincho" w:cs="Arial"/>
                <w:b/>
                <w:bCs/>
                <w:color w:val="FFFFFF"/>
                <w:sz w:val="18"/>
                <w:szCs w:val="18"/>
                <w:lang w:eastAsia="ja-JP"/>
              </w:rPr>
            </w:pPr>
            <w:r w:rsidRPr="005C59A4">
              <w:rPr>
                <w:rFonts w:eastAsia="MS Mincho" w:cs="Arial"/>
                <w:b/>
                <w:bCs/>
                <w:color w:val="FFFFFF"/>
                <w:sz w:val="18"/>
                <w:szCs w:val="18"/>
                <w:lang w:eastAsia="ja-JP"/>
              </w:rPr>
              <w:t>Description</w:t>
            </w:r>
          </w:p>
        </w:tc>
        <w:tc>
          <w:tcPr>
            <w:tcW w:w="1416" w:type="dxa"/>
            <w:tcBorders>
              <w:bottom w:val="single" w:sz="18" w:space="0" w:color="FFFFFF"/>
            </w:tcBorders>
            <w:shd w:val="clear" w:color="auto" w:fill="9E3A38"/>
            <w:noWrap/>
          </w:tcPr>
          <w:p w:rsidR="00735912" w:rsidRPr="005C59A4" w:rsidRDefault="00735912" w:rsidP="00B42128">
            <w:pPr>
              <w:spacing w:before="60" w:after="60"/>
              <w:jc w:val="left"/>
              <w:rPr>
                <w:rFonts w:eastAsia="MS Mincho" w:cs="Arial"/>
                <w:b/>
                <w:bCs/>
                <w:color w:val="FFFFFF"/>
                <w:sz w:val="18"/>
                <w:szCs w:val="18"/>
                <w:lang w:eastAsia="ja-JP"/>
              </w:rPr>
            </w:pPr>
            <w:r w:rsidRPr="005C59A4">
              <w:rPr>
                <w:rFonts w:eastAsia="MS Mincho" w:cs="Arial"/>
                <w:b/>
                <w:bCs/>
                <w:color w:val="FFFFFF"/>
                <w:sz w:val="18"/>
                <w:szCs w:val="18"/>
                <w:lang w:eastAsia="ja-JP"/>
              </w:rPr>
              <w:t>Gov’t Level/ Related Goal</w:t>
            </w:r>
          </w:p>
        </w:tc>
        <w:tc>
          <w:tcPr>
            <w:tcW w:w="4817" w:type="dxa"/>
            <w:gridSpan w:val="2"/>
            <w:tcBorders>
              <w:bottom w:val="single" w:sz="18" w:space="0" w:color="FFFFFF"/>
            </w:tcBorders>
            <w:shd w:val="clear" w:color="auto" w:fill="9E3A38"/>
          </w:tcPr>
          <w:p w:rsidR="00735912" w:rsidRPr="005C59A4" w:rsidRDefault="00735912" w:rsidP="00B42128">
            <w:pPr>
              <w:spacing w:before="60" w:after="60"/>
              <w:jc w:val="left"/>
              <w:rPr>
                <w:rFonts w:eastAsia="MS Mincho" w:cs="Arial"/>
                <w:b/>
                <w:bCs/>
                <w:color w:val="FFFFFF"/>
                <w:sz w:val="18"/>
                <w:szCs w:val="18"/>
                <w:lang w:eastAsia="ja-JP"/>
              </w:rPr>
            </w:pPr>
            <w:r w:rsidRPr="005C59A4">
              <w:rPr>
                <w:rFonts w:eastAsia="MS Mincho" w:cs="Arial"/>
                <w:b/>
                <w:bCs/>
                <w:color w:val="FFFFFF"/>
                <w:sz w:val="18"/>
                <w:szCs w:val="18"/>
                <w:lang w:eastAsia="ja-JP"/>
              </w:rPr>
              <w:t>Comment</w:t>
            </w:r>
          </w:p>
        </w:tc>
      </w:tr>
      <w:tr w:rsidR="00735912" w:rsidRPr="005C59A4" w:rsidTr="00B42128">
        <w:trPr>
          <w:trHeight w:val="1179"/>
        </w:trPr>
        <w:tc>
          <w:tcPr>
            <w:tcW w:w="1848"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1 Share of public expenditure</w:t>
            </w:r>
          </w:p>
        </w:tc>
        <w:tc>
          <w:tcPr>
            <w:tcW w:w="2126"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 xml:space="preserve">Public expenditure on education as </w:t>
            </w:r>
            <w:r w:rsidRPr="005C59A4">
              <w:rPr>
                <w:rFonts w:ascii="Arial Narrow" w:eastAsia="MS Mincho" w:hAnsi="Arial Narrow" w:cs="Arial"/>
                <w:color w:val="000000"/>
                <w:sz w:val="18"/>
                <w:szCs w:val="18"/>
                <w:lang w:eastAsia="ja-JP"/>
              </w:rPr>
              <w:br/>
              <w:t>percentage of total public expenditure</w:t>
            </w:r>
          </w:p>
        </w:tc>
        <w:tc>
          <w:tcPr>
            <w:tcW w:w="1416" w:type="dxa"/>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i/>
                <w:color w:val="000000"/>
                <w:sz w:val="18"/>
                <w:szCs w:val="18"/>
                <w:lang w:eastAsia="ja-JP"/>
              </w:rPr>
            </w:pPr>
            <w:r w:rsidRPr="005C59A4">
              <w:rPr>
                <w:rFonts w:ascii="Arial Narrow" w:eastAsia="MS Mincho" w:hAnsi="Arial Narrow" w:cs="Arial"/>
                <w:b/>
                <w:i/>
                <w:color w:val="000000"/>
                <w:sz w:val="18"/>
                <w:szCs w:val="18"/>
                <w:lang w:eastAsia="ja-JP"/>
              </w:rPr>
              <w:t>Nationa</w:t>
            </w:r>
            <w:r w:rsidRPr="005C59A4">
              <w:rPr>
                <w:rFonts w:ascii="Arial Narrow" w:eastAsia="MS Mincho" w:hAnsi="Arial Narrow" w:cs="Arial"/>
                <w:i/>
                <w:color w:val="000000"/>
                <w:sz w:val="18"/>
                <w:szCs w:val="18"/>
                <w:lang w:eastAsia="ja-JP"/>
              </w:rPr>
              <w:t>l</w:t>
            </w:r>
          </w:p>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Gov’t commitment</w:t>
            </w:r>
          </w:p>
        </w:tc>
        <w:tc>
          <w:tcPr>
            <w:tcW w:w="4817" w:type="dxa"/>
            <w:gridSpan w:val="2"/>
            <w:tcBorders>
              <w:top w:val="single" w:sz="18" w:space="0" w:color="FFFFFF"/>
              <w:bottom w:val="single" w:sz="18" w:space="0" w:color="FFFFFF"/>
            </w:tcBorders>
            <w:shd w:val="clear" w:color="auto" w:fill="F2F2F2"/>
          </w:tcPr>
          <w:p w:rsidR="00735912" w:rsidRPr="00B5448F" w:rsidRDefault="00735912" w:rsidP="00B42128">
            <w:pPr>
              <w:spacing w:after="0"/>
              <w:jc w:val="left"/>
              <w:rPr>
                <w:rFonts w:ascii="Arial Narrow" w:eastAsia="MS Mincho" w:hAnsi="Arial Narrow" w:cs="Arial"/>
                <w:b/>
                <w:color w:val="000000"/>
                <w:sz w:val="18"/>
                <w:szCs w:val="18"/>
                <w:lang w:eastAsia="ja-JP"/>
              </w:rPr>
            </w:pPr>
            <w:r w:rsidRPr="00B5448F">
              <w:rPr>
                <w:rFonts w:ascii="Arial Narrow" w:eastAsia="MS Mincho" w:hAnsi="Arial Narrow" w:cs="Arial"/>
                <w:b/>
                <w:color w:val="000000"/>
                <w:sz w:val="18"/>
                <w:szCs w:val="18"/>
                <w:lang w:eastAsia="ja-JP"/>
              </w:rPr>
              <w:t>Result = Positive</w:t>
            </w:r>
          </w:p>
          <w:p w:rsidR="00735912" w:rsidRPr="005C59A4" w:rsidRDefault="00735912" w:rsidP="00B42128">
            <w:pPr>
              <w:spacing w:after="0"/>
              <w:jc w:val="left"/>
              <w:rPr>
                <w:rFonts w:ascii="Arial Narrow" w:eastAsia="MS Mincho" w:hAnsi="Arial Narrow" w:cs="Arial"/>
                <w:color w:val="000000"/>
                <w:sz w:val="18"/>
                <w:szCs w:val="18"/>
                <w:highlight w:val="yellow"/>
                <w:lang w:eastAsia="ja-JP"/>
              </w:rPr>
            </w:pPr>
            <w:r w:rsidRPr="00B5448F">
              <w:rPr>
                <w:rFonts w:ascii="Arial Narrow" w:eastAsia="MS Mincho" w:hAnsi="Arial Narrow" w:cs="Arial"/>
                <w:color w:val="000000"/>
                <w:sz w:val="18"/>
                <w:szCs w:val="18"/>
                <w:lang w:eastAsia="ja-JP"/>
              </w:rPr>
              <w:t xml:space="preserve">Significant growth in allocations as proportion of national expenditure </w:t>
            </w:r>
            <w:r>
              <w:rPr>
                <w:rFonts w:ascii="Arial Narrow" w:eastAsia="MS Mincho" w:hAnsi="Arial Narrow" w:cs="Arial"/>
                <w:color w:val="000000"/>
                <w:sz w:val="18"/>
                <w:szCs w:val="18"/>
                <w:lang w:eastAsia="ja-JP"/>
              </w:rPr>
              <w:t>since 2001 (12%)  to 20% by 2011</w:t>
            </w:r>
            <w:r w:rsidRPr="00B5448F">
              <w:rPr>
                <w:rFonts w:ascii="Arial Narrow" w:eastAsia="MS Mincho" w:hAnsi="Arial Narrow" w:cs="Arial"/>
                <w:color w:val="000000"/>
                <w:sz w:val="18"/>
                <w:szCs w:val="18"/>
                <w:lang w:eastAsia="ja-JP"/>
              </w:rPr>
              <w:t xml:space="preserve">. </w:t>
            </w:r>
          </w:p>
        </w:tc>
      </w:tr>
      <w:tr w:rsidR="00735912" w:rsidRPr="005C59A4" w:rsidTr="00B42128">
        <w:trPr>
          <w:trHeight w:val="637"/>
        </w:trPr>
        <w:tc>
          <w:tcPr>
            <w:tcW w:w="1848"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2 Share of GNP</w:t>
            </w:r>
          </w:p>
        </w:tc>
        <w:tc>
          <w:tcPr>
            <w:tcW w:w="2126"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 xml:space="preserve">Public expenditure on education as percentage of GDP </w:t>
            </w:r>
          </w:p>
        </w:tc>
        <w:tc>
          <w:tcPr>
            <w:tcW w:w="1416" w:type="dxa"/>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National</w:t>
            </w:r>
          </w:p>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Gov’t commitment</w:t>
            </w:r>
          </w:p>
        </w:tc>
        <w:tc>
          <w:tcPr>
            <w:tcW w:w="4817" w:type="dxa"/>
            <w:gridSpan w:val="2"/>
            <w:tcBorders>
              <w:top w:val="single" w:sz="18" w:space="0" w:color="FFFFFF"/>
              <w:bottom w:val="single" w:sz="18" w:space="0" w:color="FFFFFF"/>
            </w:tcBorders>
            <w:shd w:val="clear" w:color="auto" w:fill="F2F2F2"/>
          </w:tcPr>
          <w:p w:rsidR="00735912" w:rsidRDefault="00735912" w:rsidP="00B42128">
            <w:pPr>
              <w:spacing w:after="0"/>
              <w:jc w:val="left"/>
              <w:rPr>
                <w:rFonts w:ascii="Arial Narrow" w:eastAsia="MS Mincho" w:hAnsi="Arial Narrow" w:cs="Arial"/>
                <w:b/>
                <w:color w:val="000000"/>
                <w:sz w:val="18"/>
                <w:szCs w:val="18"/>
                <w:lang w:eastAsia="ja-JP"/>
              </w:rPr>
            </w:pPr>
            <w:r>
              <w:rPr>
                <w:rFonts w:ascii="Arial Narrow" w:eastAsia="MS Mincho" w:hAnsi="Arial Narrow" w:cs="Arial"/>
                <w:b/>
                <w:color w:val="000000"/>
                <w:sz w:val="18"/>
                <w:szCs w:val="18"/>
                <w:lang w:eastAsia="ja-JP"/>
              </w:rPr>
              <w:t>Result = Negative</w:t>
            </w:r>
          </w:p>
          <w:p w:rsidR="00735912" w:rsidRPr="00B5448F" w:rsidRDefault="00735912" w:rsidP="00B42128">
            <w:pPr>
              <w:spacing w:after="0"/>
              <w:jc w:val="left"/>
              <w:rPr>
                <w:rFonts w:ascii="Arial Narrow" w:eastAsia="MS Mincho" w:hAnsi="Arial Narrow" w:cs="Arial"/>
                <w:color w:val="000000"/>
                <w:sz w:val="18"/>
                <w:szCs w:val="18"/>
                <w:lang w:eastAsia="ja-JP"/>
              </w:rPr>
            </w:pPr>
            <w:r w:rsidRPr="00B5448F">
              <w:rPr>
                <w:rFonts w:ascii="Arial Narrow" w:eastAsia="MS Mincho" w:hAnsi="Arial Narrow" w:cs="Arial"/>
                <w:color w:val="000000"/>
                <w:sz w:val="18"/>
                <w:szCs w:val="18"/>
                <w:lang w:eastAsia="ja-JP"/>
              </w:rPr>
              <w:t xml:space="preserve">Education expenditure as a percentage of GDP </w:t>
            </w:r>
            <w:r>
              <w:rPr>
                <w:rFonts w:ascii="Arial Narrow" w:eastAsia="MS Mincho" w:hAnsi="Arial Narrow" w:cs="Arial"/>
                <w:color w:val="000000"/>
                <w:sz w:val="18"/>
                <w:szCs w:val="18"/>
                <w:lang w:eastAsia="ja-JP"/>
              </w:rPr>
              <w:t>declined to 3.3% in 2011, after reaching 3.5% in 2010</w:t>
            </w:r>
            <w:r w:rsidRPr="00B5448F">
              <w:rPr>
                <w:rFonts w:ascii="Arial Narrow" w:eastAsia="MS Mincho" w:hAnsi="Arial Narrow" w:cs="Arial"/>
                <w:color w:val="000000"/>
                <w:sz w:val="18"/>
                <w:szCs w:val="18"/>
                <w:lang w:eastAsia="ja-JP"/>
              </w:rPr>
              <w:t>.</w:t>
            </w:r>
          </w:p>
          <w:p w:rsidR="00735912" w:rsidRPr="00B5448F" w:rsidRDefault="00735912" w:rsidP="00B42128">
            <w:pPr>
              <w:spacing w:after="0"/>
              <w:jc w:val="left"/>
              <w:rPr>
                <w:rFonts w:ascii="Arial Narrow" w:eastAsia="MS Mincho" w:hAnsi="Arial Narrow" w:cs="Arial"/>
                <w:color w:val="000000"/>
                <w:sz w:val="18"/>
                <w:szCs w:val="18"/>
                <w:lang w:eastAsia="ja-JP"/>
              </w:rPr>
            </w:pPr>
            <w:r>
              <w:rPr>
                <w:rFonts w:ascii="Arial Narrow" w:eastAsia="MS Mincho" w:hAnsi="Arial Narrow" w:cs="Arial"/>
                <w:color w:val="000000"/>
                <w:sz w:val="18"/>
                <w:szCs w:val="18"/>
                <w:lang w:eastAsia="ja-JP"/>
              </w:rPr>
              <w:t>Economy is growing faster than public expenditures, so f</w:t>
            </w:r>
            <w:r w:rsidRPr="00B5448F">
              <w:rPr>
                <w:rFonts w:ascii="Arial Narrow" w:eastAsia="MS Mincho" w:hAnsi="Arial Narrow" w:cs="Arial"/>
                <w:color w:val="000000"/>
                <w:sz w:val="18"/>
                <w:szCs w:val="18"/>
                <w:lang w:eastAsia="ja-JP"/>
              </w:rPr>
              <w:t>uture growth in allocations for education may become harder in the future.</w:t>
            </w:r>
          </w:p>
        </w:tc>
      </w:tr>
      <w:tr w:rsidR="00735912" w:rsidRPr="005C59A4" w:rsidTr="00B42128">
        <w:trPr>
          <w:trHeight w:val="765"/>
        </w:trPr>
        <w:tc>
          <w:tcPr>
            <w:tcW w:w="1848"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3 Share of non-salary resources</w:t>
            </w:r>
          </w:p>
        </w:tc>
        <w:tc>
          <w:tcPr>
            <w:tcW w:w="2126"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 share of education budget spending on non-salary costs.</w:t>
            </w:r>
          </w:p>
        </w:tc>
        <w:tc>
          <w:tcPr>
            <w:tcW w:w="1416" w:type="dxa"/>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 xml:space="preserve">National </w:t>
            </w:r>
          </w:p>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Quality</w:t>
            </w:r>
          </w:p>
        </w:tc>
        <w:tc>
          <w:tcPr>
            <w:tcW w:w="4817" w:type="dxa"/>
            <w:gridSpan w:val="2"/>
            <w:tcBorders>
              <w:top w:val="single" w:sz="18" w:space="0" w:color="FFFFFF"/>
              <w:bottom w:val="single" w:sz="18" w:space="0" w:color="FFFFFF"/>
            </w:tcBorders>
            <w:shd w:val="clear" w:color="auto" w:fill="F2F2F2"/>
          </w:tcPr>
          <w:p w:rsidR="00735912" w:rsidRPr="00B5448F" w:rsidRDefault="00735912" w:rsidP="00B42128">
            <w:pPr>
              <w:spacing w:after="0"/>
              <w:jc w:val="left"/>
              <w:rPr>
                <w:rFonts w:ascii="Arial Narrow" w:eastAsia="MS Mincho" w:hAnsi="Arial Narrow" w:cs="Arial"/>
                <w:b/>
                <w:color w:val="000000"/>
                <w:sz w:val="18"/>
                <w:szCs w:val="18"/>
                <w:lang w:eastAsia="ja-JP"/>
              </w:rPr>
            </w:pPr>
            <w:r w:rsidRPr="00B5448F">
              <w:rPr>
                <w:rFonts w:ascii="Arial Narrow" w:eastAsia="MS Mincho" w:hAnsi="Arial Narrow" w:cs="Arial"/>
                <w:b/>
                <w:color w:val="000000"/>
                <w:sz w:val="18"/>
                <w:szCs w:val="18"/>
                <w:lang w:eastAsia="ja-JP"/>
              </w:rPr>
              <w:t>Result = Positive</w:t>
            </w:r>
          </w:p>
          <w:p w:rsidR="00735912" w:rsidRPr="005C59A4" w:rsidRDefault="00735912" w:rsidP="00B42128">
            <w:pPr>
              <w:spacing w:after="0"/>
              <w:jc w:val="left"/>
              <w:rPr>
                <w:rFonts w:ascii="Arial Narrow" w:eastAsia="MS Mincho" w:hAnsi="Arial Narrow" w:cs="Arial"/>
                <w:color w:val="000000"/>
                <w:sz w:val="18"/>
                <w:szCs w:val="18"/>
                <w:highlight w:val="yellow"/>
                <w:lang w:eastAsia="ja-JP"/>
              </w:rPr>
            </w:pPr>
            <w:r>
              <w:rPr>
                <w:rFonts w:ascii="Arial Narrow" w:eastAsia="MS Mincho" w:hAnsi="Arial Narrow" w:cs="Arial"/>
                <w:color w:val="000000"/>
                <w:sz w:val="18"/>
                <w:szCs w:val="18"/>
                <w:lang w:eastAsia="ja-JP"/>
              </w:rPr>
              <w:t>Non-</w:t>
            </w:r>
            <w:r w:rsidRPr="000A54DD">
              <w:rPr>
                <w:rFonts w:ascii="Arial Narrow" w:eastAsia="MS Mincho" w:hAnsi="Arial Narrow" w:cs="Arial"/>
                <w:color w:val="000000"/>
                <w:sz w:val="18"/>
                <w:szCs w:val="18"/>
                <w:lang w:eastAsia="ja-JP"/>
              </w:rPr>
              <w:t xml:space="preserve">salary share of expenditures </w:t>
            </w:r>
            <w:r>
              <w:rPr>
                <w:rFonts w:ascii="Arial Narrow" w:eastAsia="MS Mincho" w:hAnsi="Arial Narrow" w:cs="Arial"/>
                <w:color w:val="000000"/>
                <w:sz w:val="18"/>
                <w:szCs w:val="18"/>
                <w:lang w:eastAsia="ja-JP"/>
              </w:rPr>
              <w:t xml:space="preserve">has increased to 25% </w:t>
            </w:r>
            <w:r w:rsidRPr="000A54DD">
              <w:rPr>
                <w:rFonts w:ascii="Arial Narrow" w:eastAsia="MS Mincho" w:hAnsi="Arial Narrow" w:cs="Arial"/>
                <w:color w:val="000000"/>
                <w:sz w:val="18"/>
                <w:szCs w:val="18"/>
                <w:lang w:eastAsia="ja-JP"/>
              </w:rPr>
              <w:t xml:space="preserve"> of total district level expenditures. New budget allocations were espe</w:t>
            </w:r>
            <w:r>
              <w:rPr>
                <w:rFonts w:ascii="Arial Narrow" w:eastAsia="MS Mincho" w:hAnsi="Arial Narrow" w:cs="Arial"/>
                <w:color w:val="000000"/>
                <w:sz w:val="18"/>
                <w:szCs w:val="18"/>
                <w:lang w:eastAsia="ja-JP"/>
              </w:rPr>
              <w:t>cially strong for capital items.</w:t>
            </w:r>
          </w:p>
        </w:tc>
      </w:tr>
      <w:tr w:rsidR="00735912" w:rsidRPr="005C59A4" w:rsidTr="00B42128">
        <w:trPr>
          <w:trHeight w:val="1020"/>
        </w:trPr>
        <w:tc>
          <w:tcPr>
            <w:tcW w:w="1848"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4 National commitment for non-formal learning</w:t>
            </w:r>
          </w:p>
        </w:tc>
        <w:tc>
          <w:tcPr>
            <w:tcW w:w="2126"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Public expenditure on literacy and NFE  as percentage of public expenditure on education</w:t>
            </w:r>
          </w:p>
        </w:tc>
        <w:tc>
          <w:tcPr>
            <w:tcW w:w="1416" w:type="dxa"/>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b/>
                <w:i/>
                <w:color w:val="000000"/>
                <w:sz w:val="18"/>
                <w:szCs w:val="18"/>
                <w:lang w:eastAsia="ja-JP"/>
              </w:rPr>
              <w:t xml:space="preserve">National </w:t>
            </w:r>
            <w:r w:rsidRPr="005C59A4">
              <w:rPr>
                <w:rFonts w:ascii="Arial Narrow" w:eastAsia="MS Mincho" w:hAnsi="Arial Narrow" w:cs="Arial"/>
                <w:color w:val="000000"/>
                <w:sz w:val="18"/>
                <w:szCs w:val="18"/>
                <w:lang w:eastAsia="ja-JP"/>
              </w:rPr>
              <w:t>Equity/access</w:t>
            </w:r>
          </w:p>
        </w:tc>
        <w:tc>
          <w:tcPr>
            <w:tcW w:w="4817" w:type="dxa"/>
            <w:gridSpan w:val="2"/>
            <w:tcBorders>
              <w:top w:val="single" w:sz="18" w:space="0" w:color="FFFFFF"/>
              <w:bottom w:val="single" w:sz="18" w:space="0" w:color="FFFFFF"/>
            </w:tcBorders>
            <w:shd w:val="clear" w:color="auto" w:fill="F2F2F2"/>
          </w:tcPr>
          <w:p w:rsidR="00735912" w:rsidRPr="00B5448F" w:rsidRDefault="00735912" w:rsidP="00B42128">
            <w:pPr>
              <w:spacing w:after="0"/>
              <w:jc w:val="left"/>
              <w:rPr>
                <w:rFonts w:ascii="Arial Narrow" w:eastAsia="MS Mincho" w:hAnsi="Arial Narrow" w:cs="Arial"/>
                <w:color w:val="000000"/>
                <w:sz w:val="18"/>
                <w:szCs w:val="18"/>
                <w:lang w:eastAsia="ja-JP"/>
              </w:rPr>
            </w:pPr>
            <w:r w:rsidRPr="00B5448F">
              <w:rPr>
                <w:rFonts w:ascii="Arial Narrow" w:eastAsia="MS Mincho" w:hAnsi="Arial Narrow" w:cs="Arial"/>
                <w:b/>
                <w:color w:val="000000"/>
                <w:sz w:val="18"/>
                <w:szCs w:val="18"/>
                <w:lang w:eastAsia="ja-JP"/>
              </w:rPr>
              <w:t xml:space="preserve">Result= Negative </w:t>
            </w:r>
          </w:p>
          <w:p w:rsidR="00735912" w:rsidRPr="00B5448F" w:rsidRDefault="00735912" w:rsidP="00B42128">
            <w:pPr>
              <w:spacing w:after="0"/>
              <w:jc w:val="left"/>
              <w:rPr>
                <w:rFonts w:ascii="Arial Narrow" w:eastAsia="MS Mincho" w:hAnsi="Arial Narrow" w:cs="Arial"/>
                <w:color w:val="000000"/>
                <w:sz w:val="18"/>
                <w:szCs w:val="18"/>
                <w:lang w:eastAsia="ja-JP"/>
              </w:rPr>
            </w:pPr>
            <w:r w:rsidRPr="00B5448F">
              <w:rPr>
                <w:rFonts w:ascii="Arial Narrow" w:eastAsia="MS Mincho" w:hAnsi="Arial Narrow" w:cs="Arial"/>
                <w:color w:val="000000"/>
                <w:sz w:val="18"/>
                <w:szCs w:val="18"/>
                <w:lang w:eastAsia="ja-JP"/>
              </w:rPr>
              <w:t xml:space="preserve">NFE expenditure is approximately 1% of total expenditure for education. </w:t>
            </w:r>
          </w:p>
          <w:p w:rsidR="00735912" w:rsidRPr="00B5448F" w:rsidRDefault="00735912" w:rsidP="00B42128">
            <w:pPr>
              <w:spacing w:after="0"/>
              <w:jc w:val="left"/>
              <w:rPr>
                <w:rFonts w:ascii="Arial Narrow" w:eastAsia="MS Mincho" w:hAnsi="Arial Narrow"/>
                <w:color w:val="000000"/>
                <w:sz w:val="18"/>
                <w:szCs w:val="18"/>
                <w:lang w:eastAsia="ja-JP"/>
              </w:rPr>
            </w:pPr>
            <w:r w:rsidRPr="00B5448F">
              <w:rPr>
                <w:rFonts w:ascii="Arial Narrow" w:eastAsia="MS Mincho" w:hAnsi="Arial Narrow" w:cs="Arial"/>
                <w:color w:val="000000"/>
                <w:sz w:val="18"/>
                <w:szCs w:val="18"/>
                <w:lang w:eastAsia="ja-JP"/>
              </w:rPr>
              <w:t>Key advantage of NFE is its cost-effectiveness; increased levels of investment are needed to maximise possible economic and social returns.</w:t>
            </w:r>
          </w:p>
        </w:tc>
      </w:tr>
      <w:tr w:rsidR="00735912" w:rsidRPr="005C59A4" w:rsidTr="00B42128">
        <w:trPr>
          <w:trHeight w:val="1020"/>
        </w:trPr>
        <w:tc>
          <w:tcPr>
            <w:tcW w:w="1848"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5 Commitment to Basic education relative to national wealth</w:t>
            </w:r>
          </w:p>
        </w:tc>
        <w:tc>
          <w:tcPr>
            <w:tcW w:w="2126"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Public recurrent expenditure on basic education per pupil as percentage of GNP per capita</w:t>
            </w:r>
          </w:p>
        </w:tc>
        <w:tc>
          <w:tcPr>
            <w:tcW w:w="1416" w:type="dxa"/>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National</w:t>
            </w:r>
          </w:p>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Equity/access</w:t>
            </w:r>
          </w:p>
        </w:tc>
        <w:tc>
          <w:tcPr>
            <w:tcW w:w="4817" w:type="dxa"/>
            <w:gridSpan w:val="2"/>
            <w:tcBorders>
              <w:top w:val="single" w:sz="18" w:space="0" w:color="FFFFFF"/>
              <w:bottom w:val="single" w:sz="18" w:space="0" w:color="FFFFFF"/>
            </w:tcBorders>
            <w:shd w:val="clear" w:color="auto" w:fill="F2F2F2"/>
          </w:tcPr>
          <w:p w:rsidR="00735912" w:rsidRPr="00B5448F" w:rsidRDefault="00735912" w:rsidP="00B42128">
            <w:pPr>
              <w:spacing w:after="0"/>
              <w:jc w:val="left"/>
              <w:rPr>
                <w:rFonts w:ascii="Arial Narrow" w:eastAsia="MS Mincho" w:hAnsi="Arial Narrow" w:cs="Arial"/>
                <w:b/>
                <w:color w:val="000000"/>
                <w:sz w:val="18"/>
                <w:szCs w:val="18"/>
                <w:lang w:eastAsia="ja-JP"/>
              </w:rPr>
            </w:pPr>
            <w:r w:rsidRPr="00B5448F">
              <w:rPr>
                <w:rFonts w:ascii="Arial Narrow" w:eastAsia="MS Mincho" w:hAnsi="Arial Narrow" w:cs="Arial"/>
                <w:b/>
                <w:color w:val="000000"/>
                <w:sz w:val="18"/>
                <w:szCs w:val="18"/>
                <w:lang w:eastAsia="ja-JP"/>
              </w:rPr>
              <w:t>Result = Positive</w:t>
            </w:r>
          </w:p>
          <w:p w:rsidR="00735912" w:rsidRPr="00B5448F" w:rsidRDefault="00735912" w:rsidP="00B42128">
            <w:pPr>
              <w:spacing w:after="0"/>
              <w:jc w:val="left"/>
              <w:rPr>
                <w:rFonts w:ascii="Arial Narrow" w:eastAsia="MS Mincho" w:hAnsi="Arial Narrow" w:cs="Arial"/>
                <w:color w:val="000000"/>
                <w:sz w:val="18"/>
                <w:szCs w:val="18"/>
                <w:lang w:eastAsia="ja-JP"/>
              </w:rPr>
            </w:pPr>
            <w:r w:rsidRPr="00B5448F">
              <w:rPr>
                <w:rFonts w:ascii="Arial Narrow" w:eastAsia="MS Mincho" w:hAnsi="Arial Narrow" w:cs="Arial"/>
                <w:color w:val="000000"/>
                <w:sz w:val="18"/>
                <w:szCs w:val="18"/>
                <w:lang w:eastAsia="ja-JP"/>
              </w:rPr>
              <w:t>In 2004 basic education accounts for approximately 70% of education expenditure. More recent analysis of central level expenditures shows basic education share to be maintaining high levels</w:t>
            </w:r>
          </w:p>
        </w:tc>
      </w:tr>
      <w:tr w:rsidR="00735912" w:rsidRPr="005C59A4" w:rsidTr="00B42128">
        <w:trPr>
          <w:trHeight w:val="827"/>
        </w:trPr>
        <w:tc>
          <w:tcPr>
            <w:tcW w:w="1842" w:type="dxa"/>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6 District commitment to education</w:t>
            </w:r>
          </w:p>
        </w:tc>
        <w:tc>
          <w:tcPr>
            <w:tcW w:w="2126"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Education as % of total public expenditures</w:t>
            </w:r>
          </w:p>
        </w:tc>
        <w:tc>
          <w:tcPr>
            <w:tcW w:w="1561" w:type="dxa"/>
            <w:gridSpan w:val="3"/>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District</w:t>
            </w:r>
          </w:p>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Gov’t commitment Equity/access</w:t>
            </w:r>
          </w:p>
        </w:tc>
        <w:tc>
          <w:tcPr>
            <w:tcW w:w="4678" w:type="dxa"/>
            <w:tcBorders>
              <w:top w:val="single" w:sz="18" w:space="0" w:color="FFFFFF"/>
              <w:bottom w:val="single" w:sz="18" w:space="0" w:color="FFFFFF"/>
            </w:tcBorders>
            <w:shd w:val="clear" w:color="auto" w:fill="F2F2F2"/>
          </w:tcPr>
          <w:p w:rsidR="00735912" w:rsidRPr="00B5448F" w:rsidRDefault="00735912" w:rsidP="00B42128">
            <w:pPr>
              <w:spacing w:after="0"/>
              <w:ind w:hanging="108"/>
              <w:jc w:val="left"/>
              <w:rPr>
                <w:rFonts w:ascii="Arial Narrow" w:eastAsia="MS Mincho" w:hAnsi="Arial Narrow" w:cs="Arial"/>
                <w:b/>
                <w:color w:val="000000"/>
                <w:sz w:val="18"/>
                <w:szCs w:val="18"/>
                <w:lang w:eastAsia="ja-JP"/>
              </w:rPr>
            </w:pPr>
            <w:r w:rsidRPr="00B5448F">
              <w:rPr>
                <w:rFonts w:ascii="Arial Narrow" w:eastAsia="MS Mincho" w:hAnsi="Arial Narrow" w:cs="Arial"/>
                <w:b/>
                <w:color w:val="000000"/>
                <w:sz w:val="18"/>
                <w:szCs w:val="18"/>
                <w:lang w:eastAsia="ja-JP"/>
              </w:rPr>
              <w:t>Result = Positive</w:t>
            </w:r>
          </w:p>
          <w:p w:rsidR="00735912" w:rsidRPr="00B5448F" w:rsidRDefault="00735912" w:rsidP="00B42128">
            <w:pPr>
              <w:spacing w:after="0"/>
              <w:ind w:left="-108"/>
              <w:jc w:val="left"/>
              <w:rPr>
                <w:rFonts w:ascii="Arial Narrow" w:eastAsia="MS Mincho" w:hAnsi="Arial Narrow" w:cs="Arial"/>
                <w:color w:val="000000"/>
                <w:sz w:val="18"/>
                <w:szCs w:val="18"/>
                <w:lang w:eastAsia="ja-JP"/>
              </w:rPr>
            </w:pPr>
            <w:r w:rsidRPr="00B5448F">
              <w:rPr>
                <w:rFonts w:ascii="Arial Narrow" w:eastAsia="MS Mincho" w:hAnsi="Arial Narrow" w:cs="Arial"/>
                <w:color w:val="000000"/>
                <w:sz w:val="18"/>
                <w:szCs w:val="18"/>
                <w:lang w:eastAsia="ja-JP"/>
              </w:rPr>
              <w:t>Average district level education expenditure</w:t>
            </w:r>
            <w:r>
              <w:rPr>
                <w:rFonts w:ascii="Arial Narrow" w:eastAsia="MS Mincho" w:hAnsi="Arial Narrow" w:cs="Arial"/>
                <w:color w:val="000000"/>
                <w:sz w:val="18"/>
                <w:szCs w:val="18"/>
                <w:lang w:eastAsia="ja-JP"/>
              </w:rPr>
              <w:t>s in Indonesia increased from 31</w:t>
            </w:r>
            <w:r w:rsidRPr="00B5448F">
              <w:rPr>
                <w:rFonts w:ascii="Arial Narrow" w:eastAsia="MS Mincho" w:hAnsi="Arial Narrow" w:cs="Arial"/>
                <w:color w:val="000000"/>
                <w:sz w:val="18"/>
                <w:szCs w:val="18"/>
                <w:lang w:eastAsia="ja-JP"/>
              </w:rPr>
              <w:t>% of tot</w:t>
            </w:r>
            <w:r>
              <w:rPr>
                <w:rFonts w:ascii="Arial Narrow" w:eastAsia="MS Mincho" w:hAnsi="Arial Narrow" w:cs="Arial"/>
                <w:color w:val="000000"/>
                <w:sz w:val="18"/>
                <w:szCs w:val="18"/>
                <w:lang w:eastAsia="ja-JP"/>
              </w:rPr>
              <w:t>al district budget in 2010 to 37% share in 2011</w:t>
            </w:r>
            <w:r w:rsidRPr="00B5448F">
              <w:rPr>
                <w:rFonts w:ascii="Arial Narrow" w:eastAsia="MS Mincho" w:hAnsi="Arial Narrow" w:cs="Arial"/>
                <w:color w:val="000000"/>
                <w:sz w:val="18"/>
                <w:szCs w:val="18"/>
                <w:lang w:eastAsia="ja-JP"/>
              </w:rPr>
              <w:t>.</w:t>
            </w:r>
          </w:p>
        </w:tc>
      </w:tr>
      <w:tr w:rsidR="00735912" w:rsidRPr="005C59A4" w:rsidTr="00B42128">
        <w:trPr>
          <w:trHeight w:val="1020"/>
        </w:trPr>
        <w:tc>
          <w:tcPr>
            <w:tcW w:w="1842" w:type="dxa"/>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7 Annual growth in spending for the poorest districts</w:t>
            </w:r>
          </w:p>
        </w:tc>
        <w:tc>
          <w:tcPr>
            <w:tcW w:w="2126"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Annual % change in public expenditures for education in lowest quintile districts compared to national % change in public expenditure for education</w:t>
            </w:r>
          </w:p>
        </w:tc>
        <w:tc>
          <w:tcPr>
            <w:tcW w:w="1561" w:type="dxa"/>
            <w:gridSpan w:val="3"/>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District</w:t>
            </w:r>
          </w:p>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Equity/access</w:t>
            </w:r>
          </w:p>
        </w:tc>
        <w:tc>
          <w:tcPr>
            <w:tcW w:w="4678" w:type="dxa"/>
            <w:tcBorders>
              <w:top w:val="single" w:sz="18" w:space="0" w:color="FFFFFF"/>
              <w:bottom w:val="single" w:sz="18" w:space="0" w:color="FFFFFF"/>
            </w:tcBorders>
            <w:shd w:val="clear" w:color="auto" w:fill="F2F2F2"/>
          </w:tcPr>
          <w:p w:rsidR="00735912" w:rsidRDefault="00735912" w:rsidP="00B42128">
            <w:pPr>
              <w:spacing w:after="0"/>
              <w:ind w:left="-108"/>
              <w:jc w:val="left"/>
              <w:rPr>
                <w:rFonts w:ascii="Arial Narrow" w:eastAsia="MS Mincho" w:hAnsi="Arial Narrow" w:cs="Arial"/>
                <w:b/>
                <w:color w:val="000000"/>
                <w:sz w:val="18"/>
                <w:szCs w:val="18"/>
                <w:lang w:eastAsia="ja-JP"/>
              </w:rPr>
            </w:pPr>
            <w:r>
              <w:rPr>
                <w:rFonts w:ascii="Arial Narrow" w:eastAsia="MS Mincho" w:hAnsi="Arial Narrow" w:cs="Arial"/>
                <w:b/>
                <w:color w:val="000000"/>
                <w:sz w:val="18"/>
                <w:szCs w:val="18"/>
                <w:lang w:eastAsia="ja-JP"/>
              </w:rPr>
              <w:t>Result = Positive</w:t>
            </w:r>
          </w:p>
          <w:p w:rsidR="00735912" w:rsidRPr="00030C66" w:rsidRDefault="00735912" w:rsidP="00B42128">
            <w:pPr>
              <w:spacing w:after="0"/>
              <w:ind w:left="-108"/>
              <w:jc w:val="left"/>
              <w:rPr>
                <w:rFonts w:ascii="Arial Narrow" w:eastAsia="MS Mincho" w:hAnsi="Arial Narrow" w:cs="Arial"/>
                <w:color w:val="000000"/>
                <w:sz w:val="18"/>
                <w:szCs w:val="18"/>
                <w:lang w:eastAsia="ja-JP"/>
              </w:rPr>
            </w:pPr>
            <w:r w:rsidRPr="00030C66">
              <w:rPr>
                <w:rFonts w:ascii="Arial Narrow" w:eastAsia="MS Mincho" w:hAnsi="Arial Narrow" w:cs="Arial"/>
                <w:color w:val="000000"/>
                <w:sz w:val="18"/>
                <w:szCs w:val="18"/>
                <w:lang w:eastAsia="ja-JP"/>
              </w:rPr>
              <w:t>Poorest districts (bottom quintile) recorded a staggering 40% average annual growth in their 2011 education budget on the previous year</w:t>
            </w:r>
          </w:p>
          <w:p w:rsidR="00735912" w:rsidRPr="00384E65" w:rsidRDefault="00735912" w:rsidP="00B42128">
            <w:pPr>
              <w:spacing w:after="0"/>
              <w:ind w:left="-108"/>
              <w:jc w:val="left"/>
              <w:rPr>
                <w:rFonts w:ascii="Arial Narrow" w:eastAsia="MS Mincho" w:hAnsi="Arial Narrow"/>
                <w:color w:val="000000"/>
                <w:sz w:val="18"/>
                <w:szCs w:val="18"/>
                <w:lang w:eastAsia="ja-JP"/>
              </w:rPr>
            </w:pPr>
          </w:p>
        </w:tc>
      </w:tr>
      <w:tr w:rsidR="00735912" w:rsidRPr="005C59A4" w:rsidTr="00B42128">
        <w:trPr>
          <w:trHeight w:val="765"/>
        </w:trPr>
        <w:tc>
          <w:tcPr>
            <w:tcW w:w="1842" w:type="dxa"/>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8 Average Dis</w:t>
            </w:r>
            <w:r>
              <w:rPr>
                <w:rFonts w:ascii="Arial Narrow" w:eastAsia="MS Mincho" w:hAnsi="Arial Narrow" w:cs="Arial"/>
                <w:b/>
                <w:bCs/>
                <w:color w:val="000000"/>
                <w:sz w:val="18"/>
                <w:szCs w:val="18"/>
                <w:lang w:eastAsia="ja-JP"/>
              </w:rPr>
              <w:t xml:space="preserve">trict Expenditure per student </w:t>
            </w:r>
          </w:p>
        </w:tc>
        <w:tc>
          <w:tcPr>
            <w:tcW w:w="2126"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Public expenditure from APBD divided by total number of school students</w:t>
            </w:r>
          </w:p>
        </w:tc>
        <w:tc>
          <w:tcPr>
            <w:tcW w:w="1561" w:type="dxa"/>
            <w:gridSpan w:val="3"/>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District</w:t>
            </w:r>
          </w:p>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Gov’t commitment Quality</w:t>
            </w:r>
          </w:p>
        </w:tc>
        <w:tc>
          <w:tcPr>
            <w:tcW w:w="4678" w:type="dxa"/>
            <w:tcBorders>
              <w:top w:val="single" w:sz="18" w:space="0" w:color="FFFFFF"/>
              <w:bottom w:val="single" w:sz="18" w:space="0" w:color="FFFFFF"/>
            </w:tcBorders>
            <w:shd w:val="clear" w:color="auto" w:fill="F2F2F2"/>
          </w:tcPr>
          <w:p w:rsidR="00735912" w:rsidRDefault="00735912" w:rsidP="00B42128">
            <w:pPr>
              <w:spacing w:after="0"/>
              <w:ind w:left="-108"/>
              <w:jc w:val="left"/>
              <w:rPr>
                <w:rFonts w:ascii="Arial Narrow" w:eastAsia="MS Mincho" w:hAnsi="Arial Narrow" w:cs="Arial"/>
                <w:b/>
                <w:color w:val="000000"/>
                <w:sz w:val="18"/>
                <w:szCs w:val="18"/>
                <w:lang w:eastAsia="ja-JP"/>
              </w:rPr>
            </w:pPr>
            <w:r>
              <w:rPr>
                <w:rFonts w:ascii="Arial Narrow" w:eastAsia="MS Mincho" w:hAnsi="Arial Narrow" w:cs="Arial"/>
                <w:b/>
                <w:color w:val="000000"/>
                <w:sz w:val="18"/>
                <w:szCs w:val="18"/>
                <w:lang w:eastAsia="ja-JP"/>
              </w:rPr>
              <w:t>Result = Positive</w:t>
            </w:r>
          </w:p>
          <w:p w:rsidR="00735912" w:rsidRPr="00030C66" w:rsidRDefault="00735912" w:rsidP="00B42128">
            <w:pPr>
              <w:spacing w:after="0"/>
              <w:ind w:left="-108"/>
              <w:jc w:val="left"/>
              <w:rPr>
                <w:rFonts w:ascii="Arial Narrow" w:eastAsia="MS Mincho" w:hAnsi="Arial Narrow" w:cs="Arial"/>
                <w:b/>
                <w:color w:val="000000"/>
                <w:sz w:val="18"/>
                <w:szCs w:val="18"/>
                <w:lang w:eastAsia="ja-JP"/>
              </w:rPr>
            </w:pPr>
            <w:r w:rsidRPr="00030C66">
              <w:rPr>
                <w:rFonts w:ascii="Arial Narrow" w:eastAsia="MS Mincho" w:hAnsi="Arial Narrow" w:cs="Arial"/>
                <w:color w:val="000000"/>
                <w:sz w:val="18"/>
                <w:szCs w:val="18"/>
                <w:lang w:eastAsia="ja-JP"/>
              </w:rPr>
              <w:t>Average expenditure per student across the country grew very strongly in 2011. This is a big change from the stalled expenditure growth that was experienced in 2</w:t>
            </w:r>
            <w:r>
              <w:rPr>
                <w:rFonts w:ascii="Arial Narrow" w:eastAsia="MS Mincho" w:hAnsi="Arial Narrow" w:cs="Arial"/>
                <w:color w:val="000000"/>
                <w:sz w:val="18"/>
                <w:szCs w:val="18"/>
                <w:lang w:eastAsia="ja-JP"/>
              </w:rPr>
              <w:t>010</w:t>
            </w:r>
          </w:p>
        </w:tc>
      </w:tr>
      <w:tr w:rsidR="00735912" w:rsidRPr="005C59A4" w:rsidTr="00B42128">
        <w:trPr>
          <w:trHeight w:val="765"/>
        </w:trPr>
        <w:tc>
          <w:tcPr>
            <w:tcW w:w="1842" w:type="dxa"/>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9 Actual education expenditu</w:t>
            </w:r>
            <w:r>
              <w:rPr>
                <w:rFonts w:ascii="Arial Narrow" w:eastAsia="MS Mincho" w:hAnsi="Arial Narrow" w:cs="Arial"/>
                <w:b/>
                <w:bCs/>
                <w:color w:val="000000"/>
                <w:sz w:val="18"/>
                <w:szCs w:val="18"/>
                <w:lang w:eastAsia="ja-JP"/>
              </w:rPr>
              <w:t>re as % of planned expenditure</w:t>
            </w:r>
          </w:p>
        </w:tc>
        <w:tc>
          <w:tcPr>
            <w:tcW w:w="2126"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Realised APBD for education as % of planned APBD for education</w:t>
            </w:r>
          </w:p>
        </w:tc>
        <w:tc>
          <w:tcPr>
            <w:tcW w:w="1561" w:type="dxa"/>
            <w:gridSpan w:val="3"/>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District</w:t>
            </w:r>
          </w:p>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Gov’t commitment</w:t>
            </w:r>
          </w:p>
        </w:tc>
        <w:tc>
          <w:tcPr>
            <w:tcW w:w="4678" w:type="dxa"/>
            <w:tcBorders>
              <w:top w:val="single" w:sz="18" w:space="0" w:color="FFFFFF"/>
              <w:bottom w:val="single" w:sz="18" w:space="0" w:color="FFFFFF"/>
            </w:tcBorders>
            <w:shd w:val="clear" w:color="auto" w:fill="F2F2F2"/>
          </w:tcPr>
          <w:p w:rsidR="00735912" w:rsidRPr="00384E65" w:rsidRDefault="00735912" w:rsidP="00B42128">
            <w:pPr>
              <w:spacing w:after="0"/>
              <w:ind w:left="-108"/>
              <w:jc w:val="left"/>
              <w:rPr>
                <w:rFonts w:ascii="Arial Narrow" w:eastAsia="MS Mincho" w:hAnsi="Arial Narrow" w:cs="Arial"/>
                <w:b/>
                <w:color w:val="000000"/>
                <w:sz w:val="18"/>
                <w:szCs w:val="18"/>
                <w:lang w:eastAsia="ja-JP"/>
              </w:rPr>
            </w:pPr>
            <w:r w:rsidRPr="00384E65">
              <w:rPr>
                <w:rFonts w:ascii="Arial Narrow" w:eastAsia="MS Mincho" w:hAnsi="Arial Narrow" w:cs="Arial"/>
                <w:b/>
                <w:color w:val="000000"/>
                <w:sz w:val="18"/>
                <w:szCs w:val="18"/>
                <w:lang w:eastAsia="ja-JP"/>
              </w:rPr>
              <w:t>Result = Positive</w:t>
            </w:r>
          </w:p>
          <w:p w:rsidR="00735912" w:rsidRPr="00384E65" w:rsidRDefault="00735912" w:rsidP="00B42128">
            <w:pPr>
              <w:tabs>
                <w:tab w:val="right" w:pos="5171"/>
              </w:tabs>
              <w:spacing w:after="0"/>
              <w:ind w:left="-108"/>
              <w:jc w:val="left"/>
              <w:rPr>
                <w:rFonts w:ascii="Arial Narrow" w:eastAsia="MS Mincho" w:hAnsi="Arial Narrow" w:cs="Arial"/>
                <w:color w:val="000000"/>
                <w:sz w:val="18"/>
                <w:szCs w:val="18"/>
                <w:lang w:eastAsia="ja-JP"/>
              </w:rPr>
            </w:pPr>
            <w:r w:rsidRPr="00384E65">
              <w:rPr>
                <w:rFonts w:ascii="Arial Narrow" w:eastAsia="MS Mincho" w:hAnsi="Arial Narrow" w:cs="Arial"/>
                <w:color w:val="000000"/>
                <w:sz w:val="18"/>
                <w:szCs w:val="18"/>
                <w:lang w:eastAsia="ja-JP"/>
              </w:rPr>
              <w:t>Districts in 2007 managed to spend nearly 100% of their planned budget. This was a significant improvement on 2006 where only 91% of funds were spent nationally.</w:t>
            </w:r>
          </w:p>
        </w:tc>
      </w:tr>
      <w:tr w:rsidR="00735912" w:rsidRPr="005C59A4" w:rsidTr="00B42128">
        <w:trPr>
          <w:trHeight w:val="765"/>
        </w:trPr>
        <w:tc>
          <w:tcPr>
            <w:tcW w:w="1842" w:type="dxa"/>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bCs/>
                <w:color w:val="000000"/>
                <w:sz w:val="18"/>
                <w:szCs w:val="18"/>
                <w:lang w:eastAsia="ja-JP"/>
              </w:rPr>
            </w:pPr>
            <w:r>
              <w:rPr>
                <w:rFonts w:ascii="Arial Narrow" w:eastAsia="MS Mincho" w:hAnsi="Arial Narrow" w:cs="Arial"/>
                <w:b/>
                <w:bCs/>
                <w:color w:val="000000"/>
                <w:sz w:val="18"/>
                <w:szCs w:val="18"/>
                <w:lang w:eastAsia="ja-JP"/>
              </w:rPr>
              <w:t>SPI 1</w:t>
            </w:r>
            <w:r w:rsidRPr="005C59A4">
              <w:rPr>
                <w:rFonts w:ascii="Arial Narrow" w:eastAsia="MS Mincho" w:hAnsi="Arial Narrow" w:cs="Arial"/>
                <w:b/>
                <w:bCs/>
                <w:color w:val="000000"/>
                <w:sz w:val="18"/>
                <w:szCs w:val="18"/>
                <w:lang w:eastAsia="ja-JP"/>
              </w:rPr>
              <w:t xml:space="preserve"> Discreti</w:t>
            </w:r>
            <w:r>
              <w:rPr>
                <w:rFonts w:ascii="Arial Narrow" w:eastAsia="MS Mincho" w:hAnsi="Arial Narrow" w:cs="Arial"/>
                <w:b/>
                <w:bCs/>
                <w:color w:val="000000"/>
                <w:sz w:val="18"/>
                <w:szCs w:val="18"/>
                <w:lang w:eastAsia="ja-JP"/>
              </w:rPr>
              <w:t xml:space="preserve">onary school funds as % of total district </w:t>
            </w:r>
            <w:r w:rsidRPr="005C59A4">
              <w:rPr>
                <w:rFonts w:ascii="Arial Narrow" w:eastAsia="MS Mincho" w:hAnsi="Arial Narrow" w:cs="Arial"/>
                <w:b/>
                <w:bCs/>
                <w:color w:val="000000"/>
                <w:sz w:val="18"/>
                <w:szCs w:val="18"/>
                <w:lang w:eastAsia="ja-JP"/>
              </w:rPr>
              <w:t xml:space="preserve"> school expenditure</w:t>
            </w:r>
          </w:p>
        </w:tc>
        <w:tc>
          <w:tcPr>
            <w:tcW w:w="2126" w:type="dxa"/>
            <w:gridSpan w:val="2"/>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Estimated BOS expenditure as % of total school expenditure</w:t>
            </w:r>
          </w:p>
        </w:tc>
        <w:tc>
          <w:tcPr>
            <w:tcW w:w="1561" w:type="dxa"/>
            <w:gridSpan w:val="3"/>
            <w:tcBorders>
              <w:top w:val="single" w:sz="18" w:space="0" w:color="FFFFFF"/>
              <w:bottom w:val="single" w:sz="18" w:space="0" w:color="FFFFFF"/>
            </w:tcBorders>
            <w:shd w:val="clear" w:color="auto" w:fill="F2F2F2"/>
          </w:tcPr>
          <w:p w:rsidR="00735912" w:rsidRPr="005C59A4" w:rsidRDefault="00735912" w:rsidP="00B42128">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District</w:t>
            </w:r>
          </w:p>
          <w:p w:rsidR="00735912" w:rsidRPr="005C59A4" w:rsidRDefault="00735912" w:rsidP="00B42128">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Quality</w:t>
            </w:r>
          </w:p>
        </w:tc>
        <w:tc>
          <w:tcPr>
            <w:tcW w:w="4678" w:type="dxa"/>
            <w:tcBorders>
              <w:top w:val="single" w:sz="18" w:space="0" w:color="FFFFFF"/>
              <w:bottom w:val="single" w:sz="18" w:space="0" w:color="FFFFFF"/>
            </w:tcBorders>
            <w:shd w:val="clear" w:color="auto" w:fill="F2F2F2"/>
          </w:tcPr>
          <w:p w:rsidR="00735912" w:rsidRPr="00F84255" w:rsidRDefault="00735912" w:rsidP="00B42128">
            <w:pPr>
              <w:spacing w:after="0"/>
              <w:ind w:left="-108"/>
              <w:jc w:val="left"/>
              <w:rPr>
                <w:rFonts w:ascii="Arial Narrow" w:eastAsia="MS Mincho" w:hAnsi="Arial Narrow" w:cs="Arial"/>
                <w:b/>
                <w:color w:val="000000"/>
                <w:sz w:val="18"/>
                <w:szCs w:val="18"/>
                <w:lang w:eastAsia="ja-JP"/>
              </w:rPr>
            </w:pPr>
            <w:r w:rsidRPr="00F84255">
              <w:rPr>
                <w:rFonts w:ascii="Arial Narrow" w:eastAsia="MS Mincho" w:hAnsi="Arial Narrow" w:cs="Arial"/>
                <w:b/>
                <w:color w:val="000000"/>
                <w:sz w:val="18"/>
                <w:szCs w:val="18"/>
                <w:lang w:eastAsia="ja-JP"/>
              </w:rPr>
              <w:t>Result = Positive</w:t>
            </w:r>
          </w:p>
          <w:p w:rsidR="00735912" w:rsidRPr="00F84255" w:rsidRDefault="00735912" w:rsidP="00B42128">
            <w:pPr>
              <w:tabs>
                <w:tab w:val="right" w:pos="5171"/>
              </w:tabs>
              <w:spacing w:after="0"/>
              <w:ind w:left="-108"/>
              <w:jc w:val="left"/>
              <w:rPr>
                <w:rFonts w:ascii="Arial Narrow" w:eastAsia="MS Mincho" w:hAnsi="Arial Narrow" w:cs="Arial"/>
                <w:color w:val="000000"/>
                <w:sz w:val="18"/>
                <w:szCs w:val="18"/>
                <w:lang w:eastAsia="ja-JP"/>
              </w:rPr>
            </w:pPr>
            <w:r w:rsidRPr="00030C66">
              <w:rPr>
                <w:rFonts w:ascii="Arial Narrow" w:eastAsia="MS Mincho" w:hAnsi="Arial Narrow" w:cs="Arial"/>
                <w:color w:val="000000"/>
                <w:sz w:val="18"/>
                <w:szCs w:val="18"/>
                <w:lang w:eastAsia="ja-JP"/>
              </w:rPr>
              <w:t>From 2011, the BOS funds represent a slightly smaller share of total expenditure (12%) as teacher salaries and allowances increase. It is possible that BOS allocations will have another spike in 2013 or 2014 if the GoI goes ahead with stated intentions to introduce a BOS allowance for the senior secondary level of schooling. In this case, BOS allocations are likely to equal more than 15% of total district expenditure for schooling.</w:t>
            </w:r>
          </w:p>
        </w:tc>
      </w:tr>
    </w:tbl>
    <w:p w:rsidR="00AF550B" w:rsidRDefault="00735912" w:rsidP="00735912">
      <w:pPr>
        <w:jc w:val="left"/>
        <w:sectPr w:rsidR="00AF550B" w:rsidSect="00CB699C">
          <w:footerReference w:type="first" r:id="rId21"/>
          <w:pgSz w:w="11909" w:h="16834" w:code="9"/>
          <w:pgMar w:top="1440" w:right="1277" w:bottom="1440" w:left="1440" w:header="720" w:footer="720" w:gutter="0"/>
          <w:pgNumType w:fmt="lowerRoman"/>
          <w:cols w:space="720"/>
          <w:titlePg/>
          <w:docGrid w:linePitch="299"/>
        </w:sectPr>
      </w:pPr>
      <w:r w:rsidRPr="00A221E4">
        <w:t>* KPI – Key Performance Indicator, SPI – Supplementary Performance Indicator.</w:t>
      </w:r>
    </w:p>
    <w:p w:rsidR="00AF550B" w:rsidRPr="00261684" w:rsidRDefault="00AF550B" w:rsidP="00AF550B">
      <w:pPr>
        <w:pBdr>
          <w:bottom w:val="single" w:sz="12" w:space="1" w:color="C0504D"/>
        </w:pBdr>
        <w:spacing w:after="480"/>
        <w:rPr>
          <w:rFonts w:ascii="Cambria" w:hAnsi="Cambria"/>
          <w:b/>
          <w:color w:val="943634"/>
          <w:sz w:val="28"/>
          <w:szCs w:val="28"/>
        </w:rPr>
      </w:pPr>
      <w:r w:rsidRPr="00261684">
        <w:rPr>
          <w:rFonts w:ascii="Cambria" w:hAnsi="Cambria"/>
          <w:b/>
          <w:color w:val="943634"/>
          <w:sz w:val="28"/>
          <w:szCs w:val="28"/>
        </w:rPr>
        <w:t>Table of Contents</w:t>
      </w:r>
    </w:p>
    <w:p w:rsidR="00AF550B" w:rsidRDefault="00AF550B" w:rsidP="00AF550B">
      <w:pPr>
        <w:pStyle w:val="TOC1"/>
        <w:rPr>
          <w:rFonts w:asciiTheme="minorHAnsi" w:eastAsiaTheme="minorEastAsia" w:hAnsiTheme="minorHAnsi" w:cstheme="minorBidi"/>
          <w:b w:val="0"/>
          <w:bCs w:val="0"/>
          <w:caps w:val="0"/>
          <w:noProof/>
          <w:sz w:val="22"/>
          <w:szCs w:val="22"/>
          <w:lang w:val="en-AU" w:eastAsia="en-AU"/>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343597072" w:history="1">
        <w:r w:rsidRPr="00A94DC3">
          <w:rPr>
            <w:rStyle w:val="Hyperlink"/>
            <w:noProof/>
          </w:rPr>
          <w:t>Preface</w:t>
        </w:r>
        <w:r>
          <w:rPr>
            <w:noProof/>
            <w:webHidden/>
          </w:rPr>
          <w:tab/>
        </w:r>
        <w:r>
          <w:rPr>
            <w:noProof/>
            <w:webHidden/>
          </w:rPr>
          <w:fldChar w:fldCharType="begin"/>
        </w:r>
        <w:r>
          <w:rPr>
            <w:noProof/>
            <w:webHidden/>
          </w:rPr>
          <w:instrText xml:space="preserve"> PAGEREF _Toc343597072 \h </w:instrText>
        </w:r>
        <w:r>
          <w:rPr>
            <w:noProof/>
            <w:webHidden/>
          </w:rPr>
        </w:r>
        <w:r>
          <w:rPr>
            <w:noProof/>
            <w:webHidden/>
          </w:rPr>
          <w:fldChar w:fldCharType="separate"/>
        </w:r>
        <w:r w:rsidR="00F41D51">
          <w:rPr>
            <w:noProof/>
            <w:webHidden/>
          </w:rPr>
          <w:t>i</w:t>
        </w:r>
        <w:r>
          <w:rPr>
            <w:noProof/>
            <w:webHidden/>
          </w:rPr>
          <w:fldChar w:fldCharType="end"/>
        </w:r>
      </w:hyperlink>
    </w:p>
    <w:p w:rsidR="00AF550B" w:rsidRDefault="004A4554" w:rsidP="00AF550B">
      <w:pPr>
        <w:pStyle w:val="TOC1"/>
        <w:rPr>
          <w:rFonts w:asciiTheme="minorHAnsi" w:eastAsiaTheme="minorEastAsia" w:hAnsiTheme="minorHAnsi" w:cstheme="minorBidi"/>
          <w:b w:val="0"/>
          <w:bCs w:val="0"/>
          <w:caps w:val="0"/>
          <w:noProof/>
          <w:sz w:val="22"/>
          <w:szCs w:val="22"/>
          <w:lang w:val="en-AU" w:eastAsia="en-AU"/>
        </w:rPr>
      </w:pPr>
      <w:hyperlink w:anchor="_Toc343597073" w:history="1">
        <w:r w:rsidR="00AF550B" w:rsidRPr="00A94DC3">
          <w:rPr>
            <w:rStyle w:val="Hyperlink"/>
            <w:noProof/>
          </w:rPr>
          <w:t>Abbreviations and Acronyms</w:t>
        </w:r>
        <w:r w:rsidR="00AF550B">
          <w:rPr>
            <w:noProof/>
            <w:webHidden/>
          </w:rPr>
          <w:tab/>
        </w:r>
        <w:r w:rsidR="00AF550B">
          <w:rPr>
            <w:noProof/>
            <w:webHidden/>
          </w:rPr>
          <w:fldChar w:fldCharType="begin"/>
        </w:r>
        <w:r w:rsidR="00AF550B">
          <w:rPr>
            <w:noProof/>
            <w:webHidden/>
          </w:rPr>
          <w:instrText xml:space="preserve"> PAGEREF _Toc343597073 \h </w:instrText>
        </w:r>
        <w:r w:rsidR="00AF550B">
          <w:rPr>
            <w:noProof/>
            <w:webHidden/>
          </w:rPr>
        </w:r>
        <w:r w:rsidR="00AF550B">
          <w:rPr>
            <w:noProof/>
            <w:webHidden/>
          </w:rPr>
          <w:fldChar w:fldCharType="separate"/>
        </w:r>
        <w:r w:rsidR="00F41D51">
          <w:rPr>
            <w:noProof/>
            <w:webHidden/>
          </w:rPr>
          <w:t>ii</w:t>
        </w:r>
        <w:r w:rsidR="00AF550B">
          <w:rPr>
            <w:noProof/>
            <w:webHidden/>
          </w:rPr>
          <w:fldChar w:fldCharType="end"/>
        </w:r>
      </w:hyperlink>
    </w:p>
    <w:p w:rsidR="00AF550B" w:rsidRDefault="004A4554" w:rsidP="00AF550B">
      <w:pPr>
        <w:pStyle w:val="TOC1"/>
        <w:rPr>
          <w:rFonts w:asciiTheme="minorHAnsi" w:eastAsiaTheme="minorEastAsia" w:hAnsiTheme="minorHAnsi" w:cstheme="minorBidi"/>
          <w:b w:val="0"/>
          <w:bCs w:val="0"/>
          <w:caps w:val="0"/>
          <w:noProof/>
          <w:sz w:val="22"/>
          <w:szCs w:val="22"/>
          <w:lang w:val="en-AU" w:eastAsia="en-AU"/>
        </w:rPr>
      </w:pPr>
      <w:hyperlink w:anchor="_Toc343597074" w:history="1">
        <w:r w:rsidR="00AF550B" w:rsidRPr="00A94DC3">
          <w:rPr>
            <w:rStyle w:val="Hyperlink"/>
            <w:noProof/>
          </w:rPr>
          <w:t>Executive Summary</w:t>
        </w:r>
        <w:r w:rsidR="00AF550B">
          <w:rPr>
            <w:noProof/>
            <w:webHidden/>
          </w:rPr>
          <w:tab/>
        </w:r>
        <w:r w:rsidR="00AF550B">
          <w:rPr>
            <w:noProof/>
            <w:webHidden/>
          </w:rPr>
          <w:fldChar w:fldCharType="begin"/>
        </w:r>
        <w:r w:rsidR="00AF550B">
          <w:rPr>
            <w:noProof/>
            <w:webHidden/>
          </w:rPr>
          <w:instrText xml:space="preserve"> PAGEREF _Toc343597074 \h </w:instrText>
        </w:r>
        <w:r w:rsidR="00AF550B">
          <w:rPr>
            <w:noProof/>
            <w:webHidden/>
          </w:rPr>
        </w:r>
        <w:r w:rsidR="00AF550B">
          <w:rPr>
            <w:noProof/>
            <w:webHidden/>
          </w:rPr>
          <w:fldChar w:fldCharType="separate"/>
        </w:r>
        <w:r w:rsidR="00F41D51">
          <w:rPr>
            <w:noProof/>
            <w:webHidden/>
          </w:rPr>
          <w:t>iv</w:t>
        </w:r>
        <w:r w:rsidR="00AF550B">
          <w:rPr>
            <w:noProof/>
            <w:webHidden/>
          </w:rPr>
          <w:fldChar w:fldCharType="end"/>
        </w:r>
      </w:hyperlink>
    </w:p>
    <w:p w:rsidR="00AF550B" w:rsidRDefault="004A4554" w:rsidP="00AF550B">
      <w:pPr>
        <w:pStyle w:val="TOC2"/>
        <w:tabs>
          <w:tab w:val="right" w:leader="dot" w:pos="9017"/>
        </w:tabs>
        <w:rPr>
          <w:rFonts w:asciiTheme="minorHAnsi" w:eastAsiaTheme="minorEastAsia" w:hAnsiTheme="minorHAnsi" w:cstheme="minorBidi"/>
          <w:smallCaps w:val="0"/>
          <w:noProof/>
          <w:sz w:val="22"/>
          <w:szCs w:val="22"/>
          <w:lang w:val="en-AU" w:eastAsia="en-AU"/>
        </w:rPr>
      </w:pPr>
      <w:hyperlink w:anchor="_Toc343597075" w:history="1">
        <w:r w:rsidR="00AF550B" w:rsidRPr="00A94DC3">
          <w:rPr>
            <w:rStyle w:val="Hyperlink"/>
            <w:noProof/>
          </w:rPr>
          <w:t>Background</w:t>
        </w:r>
        <w:r w:rsidR="00AF550B">
          <w:rPr>
            <w:noProof/>
            <w:webHidden/>
          </w:rPr>
          <w:tab/>
        </w:r>
        <w:r w:rsidR="00AF550B">
          <w:rPr>
            <w:noProof/>
            <w:webHidden/>
          </w:rPr>
          <w:fldChar w:fldCharType="begin"/>
        </w:r>
        <w:r w:rsidR="00AF550B">
          <w:rPr>
            <w:noProof/>
            <w:webHidden/>
          </w:rPr>
          <w:instrText xml:space="preserve"> PAGEREF _Toc343597075 \h </w:instrText>
        </w:r>
        <w:r w:rsidR="00AF550B">
          <w:rPr>
            <w:noProof/>
            <w:webHidden/>
          </w:rPr>
        </w:r>
        <w:r w:rsidR="00AF550B">
          <w:rPr>
            <w:noProof/>
            <w:webHidden/>
          </w:rPr>
          <w:fldChar w:fldCharType="separate"/>
        </w:r>
        <w:r w:rsidR="00F41D51">
          <w:rPr>
            <w:noProof/>
            <w:webHidden/>
          </w:rPr>
          <w:t>iv</w:t>
        </w:r>
        <w:r w:rsidR="00AF550B">
          <w:rPr>
            <w:noProof/>
            <w:webHidden/>
          </w:rPr>
          <w:fldChar w:fldCharType="end"/>
        </w:r>
      </w:hyperlink>
    </w:p>
    <w:p w:rsidR="00AF550B" w:rsidRDefault="004A4554" w:rsidP="00AF550B">
      <w:pPr>
        <w:pStyle w:val="TOC2"/>
        <w:tabs>
          <w:tab w:val="right" w:leader="dot" w:pos="9017"/>
        </w:tabs>
        <w:rPr>
          <w:rFonts w:asciiTheme="minorHAnsi" w:eastAsiaTheme="minorEastAsia" w:hAnsiTheme="minorHAnsi" w:cstheme="minorBidi"/>
          <w:smallCaps w:val="0"/>
          <w:noProof/>
          <w:sz w:val="22"/>
          <w:szCs w:val="22"/>
          <w:lang w:val="en-AU" w:eastAsia="en-AU"/>
        </w:rPr>
      </w:pPr>
      <w:hyperlink w:anchor="_Toc343597076" w:history="1">
        <w:r w:rsidR="00AF550B" w:rsidRPr="00A94DC3">
          <w:rPr>
            <w:rStyle w:val="Hyperlink"/>
            <w:noProof/>
          </w:rPr>
          <w:t>Key Findings</w:t>
        </w:r>
        <w:r w:rsidR="00AF550B">
          <w:rPr>
            <w:noProof/>
            <w:webHidden/>
          </w:rPr>
          <w:tab/>
        </w:r>
        <w:r w:rsidR="00AF550B">
          <w:rPr>
            <w:noProof/>
            <w:webHidden/>
          </w:rPr>
          <w:fldChar w:fldCharType="begin"/>
        </w:r>
        <w:r w:rsidR="00AF550B">
          <w:rPr>
            <w:noProof/>
            <w:webHidden/>
          </w:rPr>
          <w:instrText xml:space="preserve"> PAGEREF _Toc343597076 \h </w:instrText>
        </w:r>
        <w:r w:rsidR="00AF550B">
          <w:rPr>
            <w:noProof/>
            <w:webHidden/>
          </w:rPr>
        </w:r>
        <w:r w:rsidR="00AF550B">
          <w:rPr>
            <w:noProof/>
            <w:webHidden/>
          </w:rPr>
          <w:fldChar w:fldCharType="separate"/>
        </w:r>
        <w:r w:rsidR="00F41D51">
          <w:rPr>
            <w:noProof/>
            <w:webHidden/>
          </w:rPr>
          <w:t>v</w:t>
        </w:r>
        <w:r w:rsidR="00AF550B">
          <w:rPr>
            <w:noProof/>
            <w:webHidden/>
          </w:rPr>
          <w:fldChar w:fldCharType="end"/>
        </w:r>
      </w:hyperlink>
    </w:p>
    <w:p w:rsidR="00AF550B" w:rsidRDefault="004A4554" w:rsidP="00AF550B">
      <w:pPr>
        <w:pStyle w:val="TOC2"/>
        <w:tabs>
          <w:tab w:val="right" w:leader="dot" w:pos="9017"/>
        </w:tabs>
        <w:rPr>
          <w:rFonts w:asciiTheme="minorHAnsi" w:eastAsiaTheme="minorEastAsia" w:hAnsiTheme="minorHAnsi" w:cstheme="minorBidi"/>
          <w:smallCaps w:val="0"/>
          <w:noProof/>
          <w:sz w:val="22"/>
          <w:szCs w:val="22"/>
          <w:lang w:val="en-AU" w:eastAsia="en-AU"/>
        </w:rPr>
      </w:pPr>
      <w:hyperlink w:anchor="_Toc343597077" w:history="1">
        <w:r w:rsidR="00AF550B" w:rsidRPr="00A94DC3">
          <w:rPr>
            <w:rStyle w:val="Hyperlink"/>
            <w:noProof/>
          </w:rPr>
          <w:t>Recommendations</w:t>
        </w:r>
        <w:r w:rsidR="00AF550B">
          <w:rPr>
            <w:noProof/>
            <w:webHidden/>
          </w:rPr>
          <w:tab/>
        </w:r>
        <w:r w:rsidR="00AF550B">
          <w:rPr>
            <w:noProof/>
            <w:webHidden/>
          </w:rPr>
          <w:fldChar w:fldCharType="begin"/>
        </w:r>
        <w:r w:rsidR="00AF550B">
          <w:rPr>
            <w:noProof/>
            <w:webHidden/>
          </w:rPr>
          <w:instrText xml:space="preserve"> PAGEREF _Toc343597077 \h </w:instrText>
        </w:r>
        <w:r w:rsidR="00AF550B">
          <w:rPr>
            <w:noProof/>
            <w:webHidden/>
          </w:rPr>
        </w:r>
        <w:r w:rsidR="00AF550B">
          <w:rPr>
            <w:noProof/>
            <w:webHidden/>
          </w:rPr>
          <w:fldChar w:fldCharType="separate"/>
        </w:r>
        <w:r w:rsidR="00F41D51">
          <w:rPr>
            <w:noProof/>
            <w:webHidden/>
          </w:rPr>
          <w:t>vii</w:t>
        </w:r>
        <w:r w:rsidR="00AF550B">
          <w:rPr>
            <w:noProof/>
            <w:webHidden/>
          </w:rPr>
          <w:fldChar w:fldCharType="end"/>
        </w:r>
      </w:hyperlink>
    </w:p>
    <w:p w:rsidR="00AF550B" w:rsidRDefault="004A4554" w:rsidP="00AF550B">
      <w:pPr>
        <w:pStyle w:val="TOC1"/>
        <w:rPr>
          <w:rFonts w:asciiTheme="minorHAnsi" w:eastAsiaTheme="minorEastAsia" w:hAnsiTheme="minorHAnsi" w:cstheme="minorBidi"/>
          <w:b w:val="0"/>
          <w:bCs w:val="0"/>
          <w:caps w:val="0"/>
          <w:noProof/>
          <w:sz w:val="22"/>
          <w:szCs w:val="22"/>
          <w:lang w:val="en-AU" w:eastAsia="en-AU"/>
        </w:rPr>
      </w:pPr>
      <w:hyperlink w:anchor="_Toc343597078" w:history="1">
        <w:r w:rsidR="00AF550B" w:rsidRPr="00A94DC3">
          <w:rPr>
            <w:rStyle w:val="Hyperlink"/>
            <w:noProof/>
          </w:rPr>
          <w:t>List of Tables</w:t>
        </w:r>
        <w:r w:rsidR="00AF550B">
          <w:rPr>
            <w:noProof/>
            <w:webHidden/>
          </w:rPr>
          <w:tab/>
        </w:r>
        <w:r w:rsidR="00AF550B">
          <w:rPr>
            <w:noProof/>
            <w:webHidden/>
          </w:rPr>
          <w:fldChar w:fldCharType="begin"/>
        </w:r>
        <w:r w:rsidR="00AF550B">
          <w:rPr>
            <w:noProof/>
            <w:webHidden/>
          </w:rPr>
          <w:instrText xml:space="preserve"> PAGEREF _Toc343597078 \h </w:instrText>
        </w:r>
        <w:r w:rsidR="00AF550B">
          <w:rPr>
            <w:noProof/>
            <w:webHidden/>
          </w:rPr>
        </w:r>
        <w:r w:rsidR="00AF550B">
          <w:rPr>
            <w:noProof/>
            <w:webHidden/>
          </w:rPr>
          <w:fldChar w:fldCharType="separate"/>
        </w:r>
        <w:r w:rsidR="00F41D51">
          <w:rPr>
            <w:noProof/>
            <w:webHidden/>
          </w:rPr>
          <w:t>ix</w:t>
        </w:r>
        <w:r w:rsidR="00AF550B">
          <w:rPr>
            <w:noProof/>
            <w:webHidden/>
          </w:rPr>
          <w:fldChar w:fldCharType="end"/>
        </w:r>
      </w:hyperlink>
    </w:p>
    <w:p w:rsidR="00AF550B" w:rsidRDefault="004A4554" w:rsidP="00AF550B">
      <w:pPr>
        <w:pStyle w:val="TOC1"/>
        <w:rPr>
          <w:rFonts w:asciiTheme="minorHAnsi" w:eastAsiaTheme="minorEastAsia" w:hAnsiTheme="minorHAnsi" w:cstheme="minorBidi"/>
          <w:b w:val="0"/>
          <w:bCs w:val="0"/>
          <w:caps w:val="0"/>
          <w:noProof/>
          <w:sz w:val="22"/>
          <w:szCs w:val="22"/>
          <w:lang w:val="en-AU" w:eastAsia="en-AU"/>
        </w:rPr>
      </w:pPr>
      <w:hyperlink w:anchor="_Toc343597079" w:history="1">
        <w:r w:rsidR="00AF550B" w:rsidRPr="00A94DC3">
          <w:rPr>
            <w:rStyle w:val="Hyperlink"/>
            <w:noProof/>
          </w:rPr>
          <w:t>List of Figures</w:t>
        </w:r>
        <w:r w:rsidR="00AF550B">
          <w:rPr>
            <w:noProof/>
            <w:webHidden/>
          </w:rPr>
          <w:tab/>
        </w:r>
        <w:r w:rsidR="00AF550B">
          <w:rPr>
            <w:noProof/>
            <w:webHidden/>
          </w:rPr>
          <w:fldChar w:fldCharType="begin"/>
        </w:r>
        <w:r w:rsidR="00AF550B">
          <w:rPr>
            <w:noProof/>
            <w:webHidden/>
          </w:rPr>
          <w:instrText xml:space="preserve"> PAGEREF _Toc343597079 \h </w:instrText>
        </w:r>
        <w:r w:rsidR="00AF550B">
          <w:rPr>
            <w:noProof/>
            <w:webHidden/>
          </w:rPr>
        </w:r>
        <w:r w:rsidR="00AF550B">
          <w:rPr>
            <w:noProof/>
            <w:webHidden/>
          </w:rPr>
          <w:fldChar w:fldCharType="separate"/>
        </w:r>
        <w:r w:rsidR="00F41D51">
          <w:rPr>
            <w:noProof/>
            <w:webHidden/>
          </w:rPr>
          <w:t>ix</w:t>
        </w:r>
        <w:r w:rsidR="00AF550B">
          <w:rPr>
            <w:noProof/>
            <w:webHidden/>
          </w:rPr>
          <w:fldChar w:fldCharType="end"/>
        </w:r>
      </w:hyperlink>
    </w:p>
    <w:p w:rsidR="00AF550B" w:rsidRDefault="004A4554" w:rsidP="00AF550B">
      <w:pPr>
        <w:pStyle w:val="TOC1"/>
        <w:rPr>
          <w:rFonts w:asciiTheme="minorHAnsi" w:eastAsiaTheme="minorEastAsia" w:hAnsiTheme="minorHAnsi" w:cstheme="minorBidi"/>
          <w:b w:val="0"/>
          <w:bCs w:val="0"/>
          <w:caps w:val="0"/>
          <w:noProof/>
          <w:sz w:val="22"/>
          <w:szCs w:val="22"/>
          <w:lang w:val="en-AU" w:eastAsia="en-AU"/>
        </w:rPr>
      </w:pPr>
      <w:hyperlink w:anchor="_Toc343597080" w:history="1">
        <w:r w:rsidR="00AF550B" w:rsidRPr="00A94DC3">
          <w:rPr>
            <w:rStyle w:val="Hyperlink"/>
            <w:noProof/>
          </w:rPr>
          <w:t>I.</w:t>
        </w:r>
        <w:r w:rsidR="00AF550B">
          <w:rPr>
            <w:rFonts w:asciiTheme="minorHAnsi" w:eastAsiaTheme="minorEastAsia" w:hAnsiTheme="minorHAnsi" w:cstheme="minorBidi"/>
            <w:b w:val="0"/>
            <w:bCs w:val="0"/>
            <w:caps w:val="0"/>
            <w:noProof/>
            <w:sz w:val="22"/>
            <w:szCs w:val="22"/>
            <w:lang w:val="en-AU" w:eastAsia="en-AU"/>
          </w:rPr>
          <w:tab/>
        </w:r>
        <w:r w:rsidR="00AF550B" w:rsidRPr="00A94DC3">
          <w:rPr>
            <w:rStyle w:val="Hyperlink"/>
            <w:noProof/>
          </w:rPr>
          <w:t>Introduction</w:t>
        </w:r>
        <w:r w:rsidR="00AF550B">
          <w:rPr>
            <w:noProof/>
            <w:webHidden/>
          </w:rPr>
          <w:tab/>
        </w:r>
        <w:r w:rsidR="00AF550B">
          <w:rPr>
            <w:noProof/>
            <w:webHidden/>
          </w:rPr>
          <w:fldChar w:fldCharType="begin"/>
        </w:r>
        <w:r w:rsidR="00AF550B">
          <w:rPr>
            <w:noProof/>
            <w:webHidden/>
          </w:rPr>
          <w:instrText xml:space="preserve"> PAGEREF _Toc343597080 \h </w:instrText>
        </w:r>
        <w:r w:rsidR="00AF550B">
          <w:rPr>
            <w:noProof/>
            <w:webHidden/>
          </w:rPr>
        </w:r>
        <w:r w:rsidR="00AF550B">
          <w:rPr>
            <w:noProof/>
            <w:webHidden/>
          </w:rPr>
          <w:fldChar w:fldCharType="separate"/>
        </w:r>
        <w:r w:rsidR="00F41D51">
          <w:rPr>
            <w:noProof/>
            <w:webHidden/>
          </w:rPr>
          <w:t>1</w:t>
        </w:r>
        <w:r w:rsidR="00AF550B">
          <w:rPr>
            <w:noProof/>
            <w:webHidden/>
          </w:rPr>
          <w:fldChar w:fldCharType="end"/>
        </w:r>
      </w:hyperlink>
    </w:p>
    <w:p w:rsidR="00AF550B" w:rsidRDefault="004A4554" w:rsidP="00AF550B">
      <w:pPr>
        <w:pStyle w:val="TOC2"/>
        <w:tabs>
          <w:tab w:val="left" w:pos="660"/>
          <w:tab w:val="right" w:leader="dot" w:pos="9017"/>
        </w:tabs>
        <w:rPr>
          <w:rFonts w:asciiTheme="minorHAnsi" w:eastAsiaTheme="minorEastAsia" w:hAnsiTheme="minorHAnsi" w:cstheme="minorBidi"/>
          <w:smallCaps w:val="0"/>
          <w:noProof/>
          <w:sz w:val="22"/>
          <w:szCs w:val="22"/>
          <w:lang w:val="en-AU" w:eastAsia="en-AU"/>
        </w:rPr>
      </w:pPr>
      <w:hyperlink w:anchor="_Toc343597081" w:history="1">
        <w:r w:rsidR="00AF550B" w:rsidRPr="00A94DC3">
          <w:rPr>
            <w:rStyle w:val="Hyperlink"/>
            <w:noProof/>
          </w:rPr>
          <w:t>A.</w:t>
        </w:r>
        <w:r w:rsidR="00AF550B">
          <w:rPr>
            <w:rFonts w:asciiTheme="minorHAnsi" w:eastAsiaTheme="minorEastAsia" w:hAnsiTheme="minorHAnsi" w:cstheme="minorBidi"/>
            <w:smallCaps w:val="0"/>
            <w:noProof/>
            <w:sz w:val="22"/>
            <w:szCs w:val="22"/>
            <w:lang w:val="en-AU" w:eastAsia="en-AU"/>
          </w:rPr>
          <w:tab/>
        </w:r>
        <w:r w:rsidR="00AF550B" w:rsidRPr="00A94DC3">
          <w:rPr>
            <w:rStyle w:val="Hyperlink"/>
            <w:noProof/>
          </w:rPr>
          <w:t>Objectives of the Financial Performance Report</w:t>
        </w:r>
        <w:r w:rsidR="00AF550B">
          <w:rPr>
            <w:noProof/>
            <w:webHidden/>
          </w:rPr>
          <w:tab/>
        </w:r>
        <w:r w:rsidR="00AF550B">
          <w:rPr>
            <w:noProof/>
            <w:webHidden/>
          </w:rPr>
          <w:fldChar w:fldCharType="begin"/>
        </w:r>
        <w:r w:rsidR="00AF550B">
          <w:rPr>
            <w:noProof/>
            <w:webHidden/>
          </w:rPr>
          <w:instrText xml:space="preserve"> PAGEREF _Toc343597081 \h </w:instrText>
        </w:r>
        <w:r w:rsidR="00AF550B">
          <w:rPr>
            <w:noProof/>
            <w:webHidden/>
          </w:rPr>
        </w:r>
        <w:r w:rsidR="00AF550B">
          <w:rPr>
            <w:noProof/>
            <w:webHidden/>
          </w:rPr>
          <w:fldChar w:fldCharType="separate"/>
        </w:r>
        <w:r w:rsidR="00F41D51">
          <w:rPr>
            <w:noProof/>
            <w:webHidden/>
          </w:rPr>
          <w:t>1</w:t>
        </w:r>
        <w:r w:rsidR="00AF550B">
          <w:rPr>
            <w:noProof/>
            <w:webHidden/>
          </w:rPr>
          <w:fldChar w:fldCharType="end"/>
        </w:r>
      </w:hyperlink>
    </w:p>
    <w:p w:rsidR="00AF550B" w:rsidRDefault="004A4554" w:rsidP="00AF550B">
      <w:pPr>
        <w:pStyle w:val="TOC2"/>
        <w:tabs>
          <w:tab w:val="left" w:pos="660"/>
          <w:tab w:val="right" w:leader="dot" w:pos="9017"/>
        </w:tabs>
        <w:rPr>
          <w:rFonts w:asciiTheme="minorHAnsi" w:eastAsiaTheme="minorEastAsia" w:hAnsiTheme="minorHAnsi" w:cstheme="minorBidi"/>
          <w:smallCaps w:val="0"/>
          <w:noProof/>
          <w:sz w:val="22"/>
          <w:szCs w:val="22"/>
          <w:lang w:val="en-AU" w:eastAsia="en-AU"/>
        </w:rPr>
      </w:pPr>
      <w:hyperlink w:anchor="_Toc343597082" w:history="1">
        <w:r w:rsidR="00AF550B" w:rsidRPr="00A94DC3">
          <w:rPr>
            <w:rStyle w:val="Hyperlink"/>
            <w:noProof/>
          </w:rPr>
          <w:t>B.</w:t>
        </w:r>
        <w:r w:rsidR="00AF550B">
          <w:rPr>
            <w:rFonts w:asciiTheme="minorHAnsi" w:eastAsiaTheme="minorEastAsia" w:hAnsiTheme="minorHAnsi" w:cstheme="minorBidi"/>
            <w:smallCaps w:val="0"/>
            <w:noProof/>
            <w:sz w:val="22"/>
            <w:szCs w:val="22"/>
            <w:lang w:val="en-AU" w:eastAsia="en-AU"/>
          </w:rPr>
          <w:tab/>
        </w:r>
        <w:r w:rsidR="00AF550B" w:rsidRPr="00A94DC3">
          <w:rPr>
            <w:rStyle w:val="Hyperlink"/>
            <w:noProof/>
          </w:rPr>
          <w:t>Scope of Analysis</w:t>
        </w:r>
        <w:r w:rsidR="00AF550B">
          <w:rPr>
            <w:noProof/>
            <w:webHidden/>
          </w:rPr>
          <w:tab/>
        </w:r>
        <w:r w:rsidR="00AF550B">
          <w:rPr>
            <w:noProof/>
            <w:webHidden/>
          </w:rPr>
          <w:fldChar w:fldCharType="begin"/>
        </w:r>
        <w:r w:rsidR="00AF550B">
          <w:rPr>
            <w:noProof/>
            <w:webHidden/>
          </w:rPr>
          <w:instrText xml:space="preserve"> PAGEREF _Toc343597082 \h </w:instrText>
        </w:r>
        <w:r w:rsidR="00AF550B">
          <w:rPr>
            <w:noProof/>
            <w:webHidden/>
          </w:rPr>
        </w:r>
        <w:r w:rsidR="00AF550B">
          <w:rPr>
            <w:noProof/>
            <w:webHidden/>
          </w:rPr>
          <w:fldChar w:fldCharType="separate"/>
        </w:r>
        <w:r w:rsidR="00F41D51">
          <w:rPr>
            <w:noProof/>
            <w:webHidden/>
          </w:rPr>
          <w:t>1</w:t>
        </w:r>
        <w:r w:rsidR="00AF550B">
          <w:rPr>
            <w:noProof/>
            <w:webHidden/>
          </w:rPr>
          <w:fldChar w:fldCharType="end"/>
        </w:r>
      </w:hyperlink>
    </w:p>
    <w:p w:rsidR="00AF550B" w:rsidRDefault="004A4554" w:rsidP="00AF550B">
      <w:pPr>
        <w:pStyle w:val="TOC2"/>
        <w:tabs>
          <w:tab w:val="left" w:pos="660"/>
          <w:tab w:val="right" w:leader="dot" w:pos="9017"/>
        </w:tabs>
        <w:rPr>
          <w:rFonts w:asciiTheme="minorHAnsi" w:eastAsiaTheme="minorEastAsia" w:hAnsiTheme="minorHAnsi" w:cstheme="minorBidi"/>
          <w:smallCaps w:val="0"/>
          <w:noProof/>
          <w:sz w:val="22"/>
          <w:szCs w:val="22"/>
          <w:lang w:val="en-AU" w:eastAsia="en-AU"/>
        </w:rPr>
      </w:pPr>
      <w:hyperlink w:anchor="_Toc343597083" w:history="1">
        <w:r w:rsidR="00AF550B" w:rsidRPr="00A94DC3">
          <w:rPr>
            <w:rStyle w:val="Hyperlink"/>
            <w:noProof/>
          </w:rPr>
          <w:t>C.</w:t>
        </w:r>
        <w:r w:rsidR="00AF550B">
          <w:rPr>
            <w:rFonts w:asciiTheme="minorHAnsi" w:eastAsiaTheme="minorEastAsia" w:hAnsiTheme="minorHAnsi" w:cstheme="minorBidi"/>
            <w:smallCaps w:val="0"/>
            <w:noProof/>
            <w:sz w:val="22"/>
            <w:szCs w:val="22"/>
            <w:lang w:val="en-AU" w:eastAsia="en-AU"/>
          </w:rPr>
          <w:tab/>
        </w:r>
        <w:r w:rsidR="00AF550B" w:rsidRPr="00A94DC3">
          <w:rPr>
            <w:rStyle w:val="Hyperlink"/>
            <w:noProof/>
          </w:rPr>
          <w:t>Approach and Methodology</w:t>
        </w:r>
        <w:r w:rsidR="00AF550B">
          <w:rPr>
            <w:noProof/>
            <w:webHidden/>
          </w:rPr>
          <w:tab/>
        </w:r>
        <w:r w:rsidR="00AF550B">
          <w:rPr>
            <w:noProof/>
            <w:webHidden/>
          </w:rPr>
          <w:fldChar w:fldCharType="begin"/>
        </w:r>
        <w:r w:rsidR="00AF550B">
          <w:rPr>
            <w:noProof/>
            <w:webHidden/>
          </w:rPr>
          <w:instrText xml:space="preserve"> PAGEREF _Toc343597083 \h </w:instrText>
        </w:r>
        <w:r w:rsidR="00AF550B">
          <w:rPr>
            <w:noProof/>
            <w:webHidden/>
          </w:rPr>
        </w:r>
        <w:r w:rsidR="00AF550B">
          <w:rPr>
            <w:noProof/>
            <w:webHidden/>
          </w:rPr>
          <w:fldChar w:fldCharType="separate"/>
        </w:r>
        <w:r w:rsidR="00F41D51">
          <w:rPr>
            <w:noProof/>
            <w:webHidden/>
          </w:rPr>
          <w:t>2</w:t>
        </w:r>
        <w:r w:rsidR="00AF550B">
          <w:rPr>
            <w:noProof/>
            <w:webHidden/>
          </w:rPr>
          <w:fldChar w:fldCharType="end"/>
        </w:r>
      </w:hyperlink>
    </w:p>
    <w:p w:rsidR="00AF550B" w:rsidRDefault="004A4554" w:rsidP="00AF550B">
      <w:pPr>
        <w:pStyle w:val="TOC2"/>
        <w:tabs>
          <w:tab w:val="left" w:pos="660"/>
          <w:tab w:val="right" w:leader="dot" w:pos="9017"/>
        </w:tabs>
        <w:rPr>
          <w:rFonts w:asciiTheme="minorHAnsi" w:eastAsiaTheme="minorEastAsia" w:hAnsiTheme="minorHAnsi" w:cstheme="minorBidi"/>
          <w:smallCaps w:val="0"/>
          <w:noProof/>
          <w:sz w:val="22"/>
          <w:szCs w:val="22"/>
          <w:lang w:val="en-AU" w:eastAsia="en-AU"/>
        </w:rPr>
      </w:pPr>
      <w:hyperlink w:anchor="_Toc343597084" w:history="1">
        <w:r w:rsidR="00AF550B" w:rsidRPr="00A94DC3">
          <w:rPr>
            <w:rStyle w:val="Hyperlink"/>
            <w:noProof/>
          </w:rPr>
          <w:t>D.</w:t>
        </w:r>
        <w:r w:rsidR="00AF550B">
          <w:rPr>
            <w:rFonts w:asciiTheme="minorHAnsi" w:eastAsiaTheme="minorEastAsia" w:hAnsiTheme="minorHAnsi" w:cstheme="minorBidi"/>
            <w:smallCaps w:val="0"/>
            <w:noProof/>
            <w:sz w:val="22"/>
            <w:szCs w:val="22"/>
            <w:lang w:val="en-AU" w:eastAsia="en-AU"/>
          </w:rPr>
          <w:tab/>
        </w:r>
        <w:r w:rsidR="00AF550B" w:rsidRPr="00A94DC3">
          <w:rPr>
            <w:rStyle w:val="Hyperlink"/>
            <w:noProof/>
          </w:rPr>
          <w:t>Report Structure</w:t>
        </w:r>
        <w:r w:rsidR="00AF550B">
          <w:rPr>
            <w:noProof/>
            <w:webHidden/>
          </w:rPr>
          <w:tab/>
        </w:r>
        <w:r w:rsidR="00AF550B">
          <w:rPr>
            <w:noProof/>
            <w:webHidden/>
          </w:rPr>
          <w:fldChar w:fldCharType="begin"/>
        </w:r>
        <w:r w:rsidR="00AF550B">
          <w:rPr>
            <w:noProof/>
            <w:webHidden/>
          </w:rPr>
          <w:instrText xml:space="preserve"> PAGEREF _Toc343597084 \h </w:instrText>
        </w:r>
        <w:r w:rsidR="00AF550B">
          <w:rPr>
            <w:noProof/>
            <w:webHidden/>
          </w:rPr>
        </w:r>
        <w:r w:rsidR="00AF550B">
          <w:rPr>
            <w:noProof/>
            <w:webHidden/>
          </w:rPr>
          <w:fldChar w:fldCharType="separate"/>
        </w:r>
        <w:r w:rsidR="00F41D51">
          <w:rPr>
            <w:noProof/>
            <w:webHidden/>
          </w:rPr>
          <w:t>3</w:t>
        </w:r>
        <w:r w:rsidR="00AF550B">
          <w:rPr>
            <w:noProof/>
            <w:webHidden/>
          </w:rPr>
          <w:fldChar w:fldCharType="end"/>
        </w:r>
      </w:hyperlink>
    </w:p>
    <w:p w:rsidR="00AF550B" w:rsidRDefault="004A4554" w:rsidP="00AF550B">
      <w:pPr>
        <w:pStyle w:val="TOC1"/>
        <w:rPr>
          <w:rFonts w:asciiTheme="minorHAnsi" w:eastAsiaTheme="minorEastAsia" w:hAnsiTheme="minorHAnsi" w:cstheme="minorBidi"/>
          <w:b w:val="0"/>
          <w:bCs w:val="0"/>
          <w:caps w:val="0"/>
          <w:noProof/>
          <w:sz w:val="22"/>
          <w:szCs w:val="22"/>
          <w:lang w:val="en-AU" w:eastAsia="en-AU"/>
        </w:rPr>
      </w:pPr>
      <w:hyperlink w:anchor="_Toc343597085" w:history="1">
        <w:r w:rsidR="00AF550B" w:rsidRPr="00A94DC3">
          <w:rPr>
            <w:rStyle w:val="Hyperlink"/>
            <w:noProof/>
          </w:rPr>
          <w:t>II.</w:t>
        </w:r>
        <w:r w:rsidR="00AF550B">
          <w:rPr>
            <w:rFonts w:asciiTheme="minorHAnsi" w:eastAsiaTheme="minorEastAsia" w:hAnsiTheme="minorHAnsi" w:cstheme="minorBidi"/>
            <w:b w:val="0"/>
            <w:bCs w:val="0"/>
            <w:caps w:val="0"/>
            <w:noProof/>
            <w:sz w:val="22"/>
            <w:szCs w:val="22"/>
            <w:lang w:val="en-AU" w:eastAsia="en-AU"/>
          </w:rPr>
          <w:tab/>
        </w:r>
        <w:r w:rsidR="00AF550B" w:rsidRPr="00A94DC3">
          <w:rPr>
            <w:rStyle w:val="Hyperlink"/>
            <w:noProof/>
          </w:rPr>
          <w:t>Financial Performance – National Level</w:t>
        </w:r>
        <w:r w:rsidR="00AF550B">
          <w:rPr>
            <w:noProof/>
            <w:webHidden/>
          </w:rPr>
          <w:tab/>
        </w:r>
        <w:r w:rsidR="00AF550B">
          <w:rPr>
            <w:noProof/>
            <w:webHidden/>
          </w:rPr>
          <w:fldChar w:fldCharType="begin"/>
        </w:r>
        <w:r w:rsidR="00AF550B">
          <w:rPr>
            <w:noProof/>
            <w:webHidden/>
          </w:rPr>
          <w:instrText xml:space="preserve"> PAGEREF _Toc343597085 \h </w:instrText>
        </w:r>
        <w:r w:rsidR="00AF550B">
          <w:rPr>
            <w:noProof/>
            <w:webHidden/>
          </w:rPr>
        </w:r>
        <w:r w:rsidR="00AF550B">
          <w:rPr>
            <w:noProof/>
            <w:webHidden/>
          </w:rPr>
          <w:fldChar w:fldCharType="separate"/>
        </w:r>
        <w:r w:rsidR="00F41D51">
          <w:rPr>
            <w:noProof/>
            <w:webHidden/>
          </w:rPr>
          <w:t>4</w:t>
        </w:r>
        <w:r w:rsidR="00AF550B">
          <w:rPr>
            <w:noProof/>
            <w:webHidden/>
          </w:rPr>
          <w:fldChar w:fldCharType="end"/>
        </w:r>
      </w:hyperlink>
    </w:p>
    <w:p w:rsidR="00AF550B" w:rsidRDefault="004A4554" w:rsidP="00AF550B">
      <w:pPr>
        <w:pStyle w:val="TOC2"/>
        <w:tabs>
          <w:tab w:val="left" w:pos="660"/>
          <w:tab w:val="right" w:leader="dot" w:pos="9017"/>
        </w:tabs>
        <w:rPr>
          <w:rFonts w:asciiTheme="minorHAnsi" w:eastAsiaTheme="minorEastAsia" w:hAnsiTheme="minorHAnsi" w:cstheme="minorBidi"/>
          <w:smallCaps w:val="0"/>
          <w:noProof/>
          <w:sz w:val="22"/>
          <w:szCs w:val="22"/>
          <w:lang w:val="en-AU" w:eastAsia="en-AU"/>
        </w:rPr>
      </w:pPr>
      <w:hyperlink w:anchor="_Toc343597086" w:history="1">
        <w:r w:rsidR="00AF550B" w:rsidRPr="00A94DC3">
          <w:rPr>
            <w:rStyle w:val="Hyperlink"/>
            <w:noProof/>
          </w:rPr>
          <w:t>A.</w:t>
        </w:r>
        <w:r w:rsidR="00AF550B">
          <w:rPr>
            <w:rFonts w:asciiTheme="minorHAnsi" w:eastAsiaTheme="minorEastAsia" w:hAnsiTheme="minorHAnsi" w:cstheme="minorBidi"/>
            <w:smallCaps w:val="0"/>
            <w:noProof/>
            <w:sz w:val="22"/>
            <w:szCs w:val="22"/>
            <w:lang w:val="en-AU" w:eastAsia="en-AU"/>
          </w:rPr>
          <w:tab/>
        </w:r>
        <w:r w:rsidR="00AF550B" w:rsidRPr="00A94DC3">
          <w:rPr>
            <w:rStyle w:val="Hyperlink"/>
            <w:noProof/>
          </w:rPr>
          <w:t>Overview and National Data Sources</w:t>
        </w:r>
        <w:r w:rsidR="00AF550B">
          <w:rPr>
            <w:noProof/>
            <w:webHidden/>
          </w:rPr>
          <w:tab/>
        </w:r>
        <w:r w:rsidR="00AF550B">
          <w:rPr>
            <w:noProof/>
            <w:webHidden/>
          </w:rPr>
          <w:fldChar w:fldCharType="begin"/>
        </w:r>
        <w:r w:rsidR="00AF550B">
          <w:rPr>
            <w:noProof/>
            <w:webHidden/>
          </w:rPr>
          <w:instrText xml:space="preserve"> PAGEREF _Toc343597086 \h </w:instrText>
        </w:r>
        <w:r w:rsidR="00AF550B">
          <w:rPr>
            <w:noProof/>
            <w:webHidden/>
          </w:rPr>
        </w:r>
        <w:r w:rsidR="00AF550B">
          <w:rPr>
            <w:noProof/>
            <w:webHidden/>
          </w:rPr>
          <w:fldChar w:fldCharType="separate"/>
        </w:r>
        <w:r w:rsidR="00F41D51">
          <w:rPr>
            <w:noProof/>
            <w:webHidden/>
          </w:rPr>
          <w:t>4</w:t>
        </w:r>
        <w:r w:rsidR="00AF550B">
          <w:rPr>
            <w:noProof/>
            <w:webHidden/>
          </w:rPr>
          <w:fldChar w:fldCharType="end"/>
        </w:r>
      </w:hyperlink>
    </w:p>
    <w:p w:rsidR="00AF550B" w:rsidRDefault="004A4554" w:rsidP="00AF550B">
      <w:pPr>
        <w:pStyle w:val="TOC2"/>
        <w:tabs>
          <w:tab w:val="left" w:pos="660"/>
          <w:tab w:val="right" w:leader="dot" w:pos="9017"/>
        </w:tabs>
        <w:rPr>
          <w:rFonts w:asciiTheme="minorHAnsi" w:eastAsiaTheme="minorEastAsia" w:hAnsiTheme="minorHAnsi" w:cstheme="minorBidi"/>
          <w:smallCaps w:val="0"/>
          <w:noProof/>
          <w:sz w:val="22"/>
          <w:szCs w:val="22"/>
          <w:lang w:val="en-AU" w:eastAsia="en-AU"/>
        </w:rPr>
      </w:pPr>
      <w:hyperlink w:anchor="_Toc343597087" w:history="1">
        <w:r w:rsidR="00AF550B" w:rsidRPr="00A94DC3">
          <w:rPr>
            <w:rStyle w:val="Hyperlink"/>
            <w:noProof/>
          </w:rPr>
          <w:t>B.</w:t>
        </w:r>
        <w:r w:rsidR="00AF550B">
          <w:rPr>
            <w:rFonts w:asciiTheme="minorHAnsi" w:eastAsiaTheme="minorEastAsia" w:hAnsiTheme="minorHAnsi" w:cstheme="minorBidi"/>
            <w:smallCaps w:val="0"/>
            <w:noProof/>
            <w:sz w:val="22"/>
            <w:szCs w:val="22"/>
            <w:lang w:val="en-AU" w:eastAsia="en-AU"/>
          </w:rPr>
          <w:tab/>
        </w:r>
        <w:r w:rsidR="00AF550B" w:rsidRPr="00A94DC3">
          <w:rPr>
            <w:rStyle w:val="Hyperlink"/>
            <w:noProof/>
          </w:rPr>
          <w:t>Trends in Education Funding</w:t>
        </w:r>
        <w:r w:rsidR="00AF550B">
          <w:rPr>
            <w:noProof/>
            <w:webHidden/>
          </w:rPr>
          <w:tab/>
        </w:r>
        <w:r w:rsidR="00AF550B">
          <w:rPr>
            <w:noProof/>
            <w:webHidden/>
          </w:rPr>
          <w:fldChar w:fldCharType="begin"/>
        </w:r>
        <w:r w:rsidR="00AF550B">
          <w:rPr>
            <w:noProof/>
            <w:webHidden/>
          </w:rPr>
          <w:instrText xml:space="preserve"> PAGEREF _Toc343597087 \h </w:instrText>
        </w:r>
        <w:r w:rsidR="00AF550B">
          <w:rPr>
            <w:noProof/>
            <w:webHidden/>
          </w:rPr>
        </w:r>
        <w:r w:rsidR="00AF550B">
          <w:rPr>
            <w:noProof/>
            <w:webHidden/>
          </w:rPr>
          <w:fldChar w:fldCharType="separate"/>
        </w:r>
        <w:r w:rsidR="00F41D51">
          <w:rPr>
            <w:noProof/>
            <w:webHidden/>
          </w:rPr>
          <w:t>5</w:t>
        </w:r>
        <w:r w:rsidR="00AF550B">
          <w:rPr>
            <w:noProof/>
            <w:webHidden/>
          </w:rPr>
          <w:fldChar w:fldCharType="end"/>
        </w:r>
      </w:hyperlink>
    </w:p>
    <w:p w:rsidR="00AF550B" w:rsidRDefault="004A4554" w:rsidP="00AF550B">
      <w:pPr>
        <w:pStyle w:val="TOC1"/>
        <w:rPr>
          <w:rFonts w:asciiTheme="minorHAnsi" w:eastAsiaTheme="minorEastAsia" w:hAnsiTheme="minorHAnsi" w:cstheme="minorBidi"/>
          <w:b w:val="0"/>
          <w:bCs w:val="0"/>
          <w:caps w:val="0"/>
          <w:noProof/>
          <w:sz w:val="22"/>
          <w:szCs w:val="22"/>
          <w:lang w:val="en-AU" w:eastAsia="en-AU"/>
        </w:rPr>
      </w:pPr>
      <w:hyperlink w:anchor="_Toc343597088" w:history="1">
        <w:r w:rsidR="00AF550B" w:rsidRPr="00A94DC3">
          <w:rPr>
            <w:rStyle w:val="Hyperlink"/>
            <w:noProof/>
          </w:rPr>
          <w:t>III.</w:t>
        </w:r>
        <w:r w:rsidR="00AF550B">
          <w:rPr>
            <w:rFonts w:asciiTheme="minorHAnsi" w:eastAsiaTheme="minorEastAsia" w:hAnsiTheme="minorHAnsi" w:cstheme="minorBidi"/>
            <w:b w:val="0"/>
            <w:bCs w:val="0"/>
            <w:caps w:val="0"/>
            <w:noProof/>
            <w:sz w:val="22"/>
            <w:szCs w:val="22"/>
            <w:lang w:val="en-AU" w:eastAsia="en-AU"/>
          </w:rPr>
          <w:tab/>
        </w:r>
        <w:r w:rsidR="00AF550B" w:rsidRPr="00A94DC3">
          <w:rPr>
            <w:rStyle w:val="Hyperlink"/>
            <w:noProof/>
          </w:rPr>
          <w:t>Trends in District Education Funding</w:t>
        </w:r>
        <w:r w:rsidR="00AF550B">
          <w:rPr>
            <w:noProof/>
            <w:webHidden/>
          </w:rPr>
          <w:tab/>
        </w:r>
        <w:r w:rsidR="00AF550B">
          <w:rPr>
            <w:noProof/>
            <w:webHidden/>
          </w:rPr>
          <w:fldChar w:fldCharType="begin"/>
        </w:r>
        <w:r w:rsidR="00AF550B">
          <w:rPr>
            <w:noProof/>
            <w:webHidden/>
          </w:rPr>
          <w:instrText xml:space="preserve"> PAGEREF _Toc343597088 \h </w:instrText>
        </w:r>
        <w:r w:rsidR="00AF550B">
          <w:rPr>
            <w:noProof/>
            <w:webHidden/>
          </w:rPr>
        </w:r>
        <w:r w:rsidR="00AF550B">
          <w:rPr>
            <w:noProof/>
            <w:webHidden/>
          </w:rPr>
          <w:fldChar w:fldCharType="separate"/>
        </w:r>
        <w:r w:rsidR="00F41D51">
          <w:rPr>
            <w:noProof/>
            <w:webHidden/>
          </w:rPr>
          <w:t>12</w:t>
        </w:r>
        <w:r w:rsidR="00AF550B">
          <w:rPr>
            <w:noProof/>
            <w:webHidden/>
          </w:rPr>
          <w:fldChar w:fldCharType="end"/>
        </w:r>
      </w:hyperlink>
    </w:p>
    <w:p w:rsidR="00AF550B" w:rsidRDefault="004A4554" w:rsidP="00AF550B">
      <w:pPr>
        <w:pStyle w:val="TOC1"/>
        <w:rPr>
          <w:rFonts w:asciiTheme="minorHAnsi" w:eastAsiaTheme="minorEastAsia" w:hAnsiTheme="minorHAnsi" w:cstheme="minorBidi"/>
          <w:b w:val="0"/>
          <w:bCs w:val="0"/>
          <w:caps w:val="0"/>
          <w:noProof/>
          <w:sz w:val="22"/>
          <w:szCs w:val="22"/>
          <w:lang w:val="en-AU" w:eastAsia="en-AU"/>
        </w:rPr>
      </w:pPr>
      <w:hyperlink w:anchor="_Toc343597089" w:history="1">
        <w:r w:rsidR="00AF550B" w:rsidRPr="00A94DC3">
          <w:rPr>
            <w:rStyle w:val="Hyperlink"/>
            <w:noProof/>
          </w:rPr>
          <w:t>IV.</w:t>
        </w:r>
        <w:r w:rsidR="00AF550B">
          <w:rPr>
            <w:rFonts w:asciiTheme="minorHAnsi" w:eastAsiaTheme="minorEastAsia" w:hAnsiTheme="minorHAnsi" w:cstheme="minorBidi"/>
            <w:b w:val="0"/>
            <w:bCs w:val="0"/>
            <w:caps w:val="0"/>
            <w:noProof/>
            <w:sz w:val="22"/>
            <w:szCs w:val="22"/>
            <w:lang w:val="en-AU" w:eastAsia="en-AU"/>
          </w:rPr>
          <w:tab/>
        </w:r>
        <w:r w:rsidR="00AF550B" w:rsidRPr="00A94DC3">
          <w:rPr>
            <w:rStyle w:val="Hyperlink"/>
            <w:noProof/>
          </w:rPr>
          <w:t>Annexes</w:t>
        </w:r>
        <w:r w:rsidR="00AF550B">
          <w:rPr>
            <w:noProof/>
            <w:webHidden/>
          </w:rPr>
          <w:tab/>
        </w:r>
        <w:r w:rsidR="00AF550B">
          <w:rPr>
            <w:noProof/>
            <w:webHidden/>
          </w:rPr>
          <w:fldChar w:fldCharType="begin"/>
        </w:r>
        <w:r w:rsidR="00AF550B">
          <w:rPr>
            <w:noProof/>
            <w:webHidden/>
          </w:rPr>
          <w:instrText xml:space="preserve"> PAGEREF _Toc343597089 \h </w:instrText>
        </w:r>
        <w:r w:rsidR="00AF550B">
          <w:rPr>
            <w:noProof/>
            <w:webHidden/>
          </w:rPr>
        </w:r>
        <w:r w:rsidR="00AF550B">
          <w:rPr>
            <w:noProof/>
            <w:webHidden/>
          </w:rPr>
          <w:fldChar w:fldCharType="separate"/>
        </w:r>
        <w:r w:rsidR="00F41D51">
          <w:rPr>
            <w:noProof/>
            <w:webHidden/>
          </w:rPr>
          <w:t>44</w:t>
        </w:r>
        <w:r w:rsidR="00AF550B">
          <w:rPr>
            <w:noProof/>
            <w:webHidden/>
          </w:rPr>
          <w:fldChar w:fldCharType="end"/>
        </w:r>
      </w:hyperlink>
    </w:p>
    <w:p w:rsidR="00AF550B" w:rsidRDefault="004A4554" w:rsidP="00AF550B">
      <w:pPr>
        <w:pStyle w:val="TOC2"/>
        <w:tabs>
          <w:tab w:val="left" w:pos="660"/>
          <w:tab w:val="right" w:leader="dot" w:pos="9017"/>
        </w:tabs>
        <w:rPr>
          <w:rFonts w:asciiTheme="minorHAnsi" w:eastAsiaTheme="minorEastAsia" w:hAnsiTheme="minorHAnsi" w:cstheme="minorBidi"/>
          <w:smallCaps w:val="0"/>
          <w:noProof/>
          <w:sz w:val="22"/>
          <w:szCs w:val="22"/>
          <w:lang w:val="en-AU" w:eastAsia="en-AU"/>
        </w:rPr>
      </w:pPr>
      <w:hyperlink w:anchor="_Toc343597090" w:history="1">
        <w:r w:rsidR="00AF550B" w:rsidRPr="00A94DC3">
          <w:rPr>
            <w:rStyle w:val="Hyperlink"/>
            <w:noProof/>
          </w:rPr>
          <w:t>A.</w:t>
        </w:r>
        <w:r w:rsidR="00AF550B">
          <w:rPr>
            <w:rFonts w:asciiTheme="minorHAnsi" w:eastAsiaTheme="minorEastAsia" w:hAnsiTheme="minorHAnsi" w:cstheme="minorBidi"/>
            <w:smallCaps w:val="0"/>
            <w:noProof/>
            <w:sz w:val="22"/>
            <w:szCs w:val="22"/>
            <w:lang w:val="en-AU" w:eastAsia="en-AU"/>
          </w:rPr>
          <w:tab/>
        </w:r>
        <w:r w:rsidR="00AF550B" w:rsidRPr="00A94DC3">
          <w:rPr>
            <w:rStyle w:val="Hyperlink"/>
            <w:noProof/>
          </w:rPr>
          <w:t>DISTRICTS IN THE AUSTRALIAN EDUCATION PARTNERSHIP WITH INDONESIA</w:t>
        </w:r>
        <w:r w:rsidR="00AF550B">
          <w:rPr>
            <w:noProof/>
            <w:webHidden/>
          </w:rPr>
          <w:tab/>
        </w:r>
        <w:r w:rsidR="00AF550B">
          <w:rPr>
            <w:noProof/>
            <w:webHidden/>
          </w:rPr>
          <w:fldChar w:fldCharType="begin"/>
        </w:r>
        <w:r w:rsidR="00AF550B">
          <w:rPr>
            <w:noProof/>
            <w:webHidden/>
          </w:rPr>
          <w:instrText xml:space="preserve"> PAGEREF _Toc343597090 \h </w:instrText>
        </w:r>
        <w:r w:rsidR="00AF550B">
          <w:rPr>
            <w:noProof/>
            <w:webHidden/>
          </w:rPr>
        </w:r>
        <w:r w:rsidR="00AF550B">
          <w:rPr>
            <w:noProof/>
            <w:webHidden/>
          </w:rPr>
          <w:fldChar w:fldCharType="separate"/>
        </w:r>
        <w:r w:rsidR="00F41D51">
          <w:rPr>
            <w:noProof/>
            <w:webHidden/>
          </w:rPr>
          <w:t>44</w:t>
        </w:r>
        <w:r w:rsidR="00AF550B">
          <w:rPr>
            <w:noProof/>
            <w:webHidden/>
          </w:rPr>
          <w:fldChar w:fldCharType="end"/>
        </w:r>
      </w:hyperlink>
    </w:p>
    <w:p w:rsidR="00AF550B" w:rsidRDefault="00AF550B" w:rsidP="00AF550B">
      <w:pPr>
        <w:pStyle w:val="TOC1"/>
      </w:pPr>
      <w:r>
        <w:rPr>
          <w:b w:val="0"/>
          <w:bCs w:val="0"/>
          <w:caps w:val="0"/>
        </w:rPr>
        <w:fldChar w:fldCharType="end"/>
      </w:r>
    </w:p>
    <w:p w:rsidR="00AF550B" w:rsidRDefault="00AF550B" w:rsidP="00AF550B">
      <w:pPr>
        <w:pStyle w:val="Heading1"/>
        <w:numPr>
          <w:ilvl w:val="0"/>
          <w:numId w:val="0"/>
        </w:numPr>
      </w:pPr>
      <w:bookmarkStart w:id="10" w:name="_Toc253397889"/>
      <w:bookmarkStart w:id="11" w:name="_Toc253439930"/>
      <w:bookmarkStart w:id="12" w:name="_Toc299738226"/>
      <w:bookmarkStart w:id="13" w:name="_Toc343597078"/>
      <w:r>
        <w:t>List of Tables</w:t>
      </w:r>
      <w:bookmarkEnd w:id="10"/>
      <w:bookmarkEnd w:id="11"/>
      <w:bookmarkEnd w:id="12"/>
      <w:bookmarkEnd w:id="13"/>
    </w:p>
    <w:p w:rsidR="00AF550B" w:rsidRDefault="00AF550B" w:rsidP="00AF550B">
      <w:pPr>
        <w:pStyle w:val="TableofFigures"/>
        <w:tabs>
          <w:tab w:val="left" w:pos="1100"/>
          <w:tab w:val="right" w:leader="dot" w:pos="9017"/>
        </w:tabs>
        <w:rPr>
          <w:rFonts w:asciiTheme="minorHAnsi" w:eastAsiaTheme="minorEastAsia" w:hAnsiTheme="minorHAnsi" w:cstheme="minorBidi"/>
          <w:smallCaps w:val="0"/>
          <w:noProof/>
          <w:sz w:val="22"/>
          <w:szCs w:val="22"/>
          <w:lang w:val="en-AU" w:eastAsia="en-AU"/>
        </w:rPr>
      </w:pPr>
      <w:r>
        <w:rPr>
          <w:b/>
          <w:smallCaps w:val="0"/>
        </w:rPr>
        <w:fldChar w:fldCharType="begin"/>
      </w:r>
      <w:r>
        <w:rPr>
          <w:b/>
          <w:smallCaps w:val="0"/>
        </w:rPr>
        <w:instrText xml:space="preserve"> TOC \c "Table" </w:instrText>
      </w:r>
      <w:r>
        <w:rPr>
          <w:b/>
          <w:smallCaps w:val="0"/>
        </w:rPr>
        <w:fldChar w:fldCharType="separate"/>
      </w:r>
      <w:r>
        <w:rPr>
          <w:noProof/>
        </w:rPr>
        <w:t>Figure 1:</w:t>
      </w:r>
      <w:r>
        <w:rPr>
          <w:rFonts w:asciiTheme="minorHAnsi" w:eastAsiaTheme="minorEastAsia" w:hAnsiTheme="minorHAnsi" w:cstheme="minorBidi"/>
          <w:smallCaps w:val="0"/>
          <w:noProof/>
          <w:sz w:val="22"/>
          <w:szCs w:val="22"/>
          <w:lang w:val="en-AU" w:eastAsia="en-AU"/>
        </w:rPr>
        <w:tab/>
      </w:r>
      <w:r>
        <w:rPr>
          <w:noProof/>
        </w:rPr>
        <w:t>Table 1  Summary Findings – Financial Performance at National/District Levels</w:t>
      </w:r>
      <w:r>
        <w:rPr>
          <w:noProof/>
        </w:rPr>
        <w:tab/>
      </w:r>
      <w:r>
        <w:rPr>
          <w:noProof/>
        </w:rPr>
        <w:fldChar w:fldCharType="begin"/>
      </w:r>
      <w:r>
        <w:rPr>
          <w:noProof/>
        </w:rPr>
        <w:instrText xml:space="preserve"> PAGEREF _Toc343595509 \h </w:instrText>
      </w:r>
      <w:r>
        <w:rPr>
          <w:noProof/>
        </w:rPr>
      </w:r>
      <w:r>
        <w:rPr>
          <w:noProof/>
        </w:rPr>
        <w:fldChar w:fldCharType="separate"/>
      </w:r>
      <w:r w:rsidR="00F41D51">
        <w:rPr>
          <w:noProof/>
        </w:rPr>
        <w:t>viii</w:t>
      </w:r>
      <w:r>
        <w:rPr>
          <w:noProof/>
        </w:rPr>
        <w:fldChar w:fldCharType="end"/>
      </w:r>
    </w:p>
    <w:p w:rsidR="00AF550B" w:rsidRDefault="00AF550B" w:rsidP="00AF550B">
      <w:pPr>
        <w:pStyle w:val="TableofFigures"/>
        <w:tabs>
          <w:tab w:val="left" w:pos="1100"/>
          <w:tab w:val="right" w:leader="dot" w:pos="9017"/>
        </w:tabs>
        <w:rPr>
          <w:rFonts w:asciiTheme="minorHAnsi" w:eastAsiaTheme="minorEastAsia" w:hAnsiTheme="minorHAnsi" w:cstheme="minorBidi"/>
          <w:smallCaps w:val="0"/>
          <w:noProof/>
          <w:sz w:val="22"/>
          <w:szCs w:val="22"/>
          <w:lang w:val="en-AU" w:eastAsia="en-AU"/>
        </w:rPr>
      </w:pPr>
      <w:r>
        <w:rPr>
          <w:noProof/>
        </w:rPr>
        <w:t>Figure 2:</w:t>
      </w:r>
      <w:r>
        <w:rPr>
          <w:rFonts w:asciiTheme="minorHAnsi" w:eastAsiaTheme="minorEastAsia" w:hAnsiTheme="minorHAnsi" w:cstheme="minorBidi"/>
          <w:smallCaps w:val="0"/>
          <w:noProof/>
          <w:sz w:val="22"/>
          <w:szCs w:val="22"/>
          <w:lang w:val="en-AU" w:eastAsia="en-AU"/>
        </w:rPr>
        <w:tab/>
      </w:r>
      <w:r>
        <w:rPr>
          <w:noProof/>
        </w:rPr>
        <w:t>Table 2 National Level Education Financing Data 2001-2011</w:t>
      </w:r>
      <w:r>
        <w:rPr>
          <w:noProof/>
        </w:rPr>
        <w:tab/>
      </w:r>
      <w:r>
        <w:rPr>
          <w:noProof/>
        </w:rPr>
        <w:fldChar w:fldCharType="begin"/>
      </w:r>
      <w:r>
        <w:rPr>
          <w:noProof/>
        </w:rPr>
        <w:instrText xml:space="preserve"> PAGEREF _Toc343595510 \h </w:instrText>
      </w:r>
      <w:r>
        <w:rPr>
          <w:noProof/>
        </w:rPr>
      </w:r>
      <w:r>
        <w:rPr>
          <w:noProof/>
        </w:rPr>
        <w:fldChar w:fldCharType="separate"/>
      </w:r>
      <w:r w:rsidR="00F41D51">
        <w:rPr>
          <w:noProof/>
        </w:rPr>
        <w:t>4</w:t>
      </w:r>
      <w:r>
        <w:rPr>
          <w:noProof/>
        </w:rPr>
        <w:fldChar w:fldCharType="end"/>
      </w:r>
    </w:p>
    <w:p w:rsidR="00AF550B" w:rsidRDefault="00AF550B" w:rsidP="00AF550B">
      <w:pPr>
        <w:pStyle w:val="Heading1"/>
        <w:numPr>
          <w:ilvl w:val="0"/>
          <w:numId w:val="0"/>
        </w:numPr>
        <w:tabs>
          <w:tab w:val="left" w:pos="1134"/>
        </w:tabs>
        <w:ind w:left="1134" w:hanging="1134"/>
        <w:rPr>
          <w:noProof/>
        </w:rPr>
      </w:pPr>
      <w:r>
        <w:rPr>
          <w:sz w:val="20"/>
        </w:rPr>
        <w:fldChar w:fldCharType="end"/>
      </w:r>
      <w:bookmarkStart w:id="14" w:name="_Toc253397890"/>
      <w:bookmarkStart w:id="15" w:name="_Toc253439931"/>
      <w:bookmarkStart w:id="16" w:name="_Toc299738227"/>
      <w:bookmarkStart w:id="17" w:name="_Toc343597079"/>
      <w:r>
        <w:t>List of Figures</w:t>
      </w:r>
      <w:bookmarkEnd w:id="14"/>
      <w:bookmarkEnd w:id="15"/>
      <w:bookmarkEnd w:id="16"/>
      <w:bookmarkEnd w:id="17"/>
      <w:r>
        <w:fldChar w:fldCharType="begin"/>
      </w:r>
      <w:r>
        <w:instrText xml:space="preserve"> TOC \t "Caption,Caption Figure" \c </w:instrText>
      </w:r>
      <w:r>
        <w:fldChar w:fldCharType="separate"/>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1:</w:t>
      </w:r>
      <w:r>
        <w:rPr>
          <w:rFonts w:asciiTheme="minorHAnsi" w:eastAsiaTheme="minorEastAsia" w:hAnsiTheme="minorHAnsi" w:cstheme="minorBidi"/>
          <w:smallCaps w:val="0"/>
          <w:noProof/>
          <w:sz w:val="22"/>
          <w:szCs w:val="22"/>
          <w:lang w:val="en-AU" w:eastAsia="en-AU"/>
        </w:rPr>
        <w:tab/>
      </w:r>
      <w:r>
        <w:rPr>
          <w:noProof/>
        </w:rPr>
        <w:t>Table 1  Summary Findings – Financial Performance at National/District Levels</w:t>
      </w:r>
      <w:r>
        <w:rPr>
          <w:noProof/>
        </w:rPr>
        <w:tab/>
      </w:r>
      <w:r>
        <w:rPr>
          <w:noProof/>
        </w:rPr>
        <w:fldChar w:fldCharType="begin"/>
      </w:r>
      <w:r>
        <w:rPr>
          <w:noProof/>
        </w:rPr>
        <w:instrText xml:space="preserve"> PAGEREF _Toc343595511 \h </w:instrText>
      </w:r>
      <w:r>
        <w:rPr>
          <w:noProof/>
        </w:rPr>
      </w:r>
      <w:r>
        <w:rPr>
          <w:noProof/>
        </w:rPr>
        <w:fldChar w:fldCharType="separate"/>
      </w:r>
      <w:r w:rsidR="00F41D51">
        <w:rPr>
          <w:noProof/>
        </w:rPr>
        <w:t>viii</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2:</w:t>
      </w:r>
      <w:r>
        <w:rPr>
          <w:rFonts w:asciiTheme="minorHAnsi" w:eastAsiaTheme="minorEastAsia" w:hAnsiTheme="minorHAnsi" w:cstheme="minorBidi"/>
          <w:smallCaps w:val="0"/>
          <w:noProof/>
          <w:sz w:val="22"/>
          <w:szCs w:val="22"/>
          <w:lang w:val="en-AU" w:eastAsia="en-AU"/>
        </w:rPr>
        <w:tab/>
      </w:r>
      <w:r>
        <w:rPr>
          <w:noProof/>
        </w:rPr>
        <w:t>Table 2 National Level Education Financing Data 2001-2011</w:t>
      </w:r>
      <w:r>
        <w:rPr>
          <w:noProof/>
        </w:rPr>
        <w:tab/>
      </w:r>
      <w:r>
        <w:rPr>
          <w:noProof/>
        </w:rPr>
        <w:fldChar w:fldCharType="begin"/>
      </w:r>
      <w:r>
        <w:rPr>
          <w:noProof/>
        </w:rPr>
        <w:instrText xml:space="preserve"> PAGEREF _Toc343595512 \h </w:instrText>
      </w:r>
      <w:r>
        <w:rPr>
          <w:noProof/>
        </w:rPr>
      </w:r>
      <w:r>
        <w:rPr>
          <w:noProof/>
        </w:rPr>
        <w:fldChar w:fldCharType="separate"/>
      </w:r>
      <w:r w:rsidR="00F41D51">
        <w:rPr>
          <w:noProof/>
        </w:rPr>
        <w:t>4</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3:</w:t>
      </w:r>
      <w:r>
        <w:rPr>
          <w:rFonts w:asciiTheme="minorHAnsi" w:eastAsiaTheme="minorEastAsia" w:hAnsiTheme="minorHAnsi" w:cstheme="minorBidi"/>
          <w:smallCaps w:val="0"/>
          <w:noProof/>
          <w:sz w:val="22"/>
          <w:szCs w:val="22"/>
          <w:lang w:val="en-AU" w:eastAsia="en-AU"/>
        </w:rPr>
        <w:tab/>
      </w:r>
      <w:r>
        <w:rPr>
          <w:noProof/>
        </w:rPr>
        <w:t>National Public Expenditure on Education, Rp. Trillion 2001-2011</w:t>
      </w:r>
      <w:r>
        <w:rPr>
          <w:noProof/>
        </w:rPr>
        <w:tab/>
      </w:r>
      <w:r>
        <w:rPr>
          <w:noProof/>
        </w:rPr>
        <w:fldChar w:fldCharType="begin"/>
      </w:r>
      <w:r>
        <w:rPr>
          <w:noProof/>
        </w:rPr>
        <w:instrText xml:space="preserve"> PAGEREF _Toc343595513 \h </w:instrText>
      </w:r>
      <w:r>
        <w:rPr>
          <w:noProof/>
        </w:rPr>
      </w:r>
      <w:r>
        <w:rPr>
          <w:noProof/>
        </w:rPr>
        <w:fldChar w:fldCharType="separate"/>
      </w:r>
      <w:r w:rsidR="00F41D51">
        <w:rPr>
          <w:noProof/>
        </w:rPr>
        <w:t>5</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4:</w:t>
      </w:r>
      <w:r>
        <w:rPr>
          <w:rFonts w:asciiTheme="minorHAnsi" w:eastAsiaTheme="minorEastAsia" w:hAnsiTheme="minorHAnsi" w:cstheme="minorBidi"/>
          <w:smallCaps w:val="0"/>
          <w:noProof/>
          <w:sz w:val="22"/>
          <w:szCs w:val="22"/>
          <w:lang w:val="en-AU" w:eastAsia="en-AU"/>
        </w:rPr>
        <w:tab/>
      </w:r>
      <w:r>
        <w:rPr>
          <w:noProof/>
        </w:rPr>
        <w:t>Annual Growth in Education Expenditure(Rp. trillion), 2001-2011</w:t>
      </w:r>
      <w:r>
        <w:rPr>
          <w:noProof/>
        </w:rPr>
        <w:tab/>
      </w:r>
      <w:r>
        <w:rPr>
          <w:noProof/>
        </w:rPr>
        <w:fldChar w:fldCharType="begin"/>
      </w:r>
      <w:r>
        <w:rPr>
          <w:noProof/>
        </w:rPr>
        <w:instrText xml:space="preserve"> PAGEREF _Toc343595514 \h </w:instrText>
      </w:r>
      <w:r>
        <w:rPr>
          <w:noProof/>
        </w:rPr>
      </w:r>
      <w:r>
        <w:rPr>
          <w:noProof/>
        </w:rPr>
        <w:fldChar w:fldCharType="separate"/>
      </w:r>
      <w:r w:rsidR="00F41D51">
        <w:rPr>
          <w:noProof/>
        </w:rPr>
        <w:t>6</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5:</w:t>
      </w:r>
      <w:r>
        <w:rPr>
          <w:rFonts w:asciiTheme="minorHAnsi" w:eastAsiaTheme="minorEastAsia" w:hAnsiTheme="minorHAnsi" w:cstheme="minorBidi"/>
          <w:smallCaps w:val="0"/>
          <w:noProof/>
          <w:sz w:val="22"/>
          <w:szCs w:val="22"/>
          <w:lang w:val="en-AU" w:eastAsia="en-AU"/>
        </w:rPr>
        <w:tab/>
      </w:r>
      <w:r>
        <w:rPr>
          <w:noProof/>
        </w:rPr>
        <w:t>Education Expenditure as Proportion of Total National Public Expenditure, 2001-2011</w:t>
      </w:r>
      <w:r>
        <w:rPr>
          <w:noProof/>
        </w:rPr>
        <w:tab/>
      </w:r>
      <w:r>
        <w:rPr>
          <w:noProof/>
        </w:rPr>
        <w:fldChar w:fldCharType="begin"/>
      </w:r>
      <w:r>
        <w:rPr>
          <w:noProof/>
        </w:rPr>
        <w:instrText xml:space="preserve"> PAGEREF _Toc343595515 \h </w:instrText>
      </w:r>
      <w:r>
        <w:rPr>
          <w:noProof/>
        </w:rPr>
      </w:r>
      <w:r>
        <w:rPr>
          <w:noProof/>
        </w:rPr>
        <w:fldChar w:fldCharType="separate"/>
      </w:r>
      <w:r w:rsidR="00F41D51">
        <w:rPr>
          <w:noProof/>
        </w:rPr>
        <w:t>7</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6:</w:t>
      </w:r>
      <w:r>
        <w:rPr>
          <w:rFonts w:asciiTheme="minorHAnsi" w:eastAsiaTheme="minorEastAsia" w:hAnsiTheme="minorHAnsi" w:cstheme="minorBidi"/>
          <w:smallCaps w:val="0"/>
          <w:noProof/>
          <w:sz w:val="22"/>
          <w:szCs w:val="22"/>
          <w:lang w:val="en-AU" w:eastAsia="en-AU"/>
        </w:rPr>
        <w:tab/>
      </w:r>
      <w:r>
        <w:rPr>
          <w:noProof/>
        </w:rPr>
        <w:t>Education Expenditure as Proportion of GDP, 2001-2011</w:t>
      </w:r>
      <w:r>
        <w:rPr>
          <w:noProof/>
        </w:rPr>
        <w:tab/>
      </w:r>
      <w:r>
        <w:rPr>
          <w:noProof/>
        </w:rPr>
        <w:fldChar w:fldCharType="begin"/>
      </w:r>
      <w:r>
        <w:rPr>
          <w:noProof/>
        </w:rPr>
        <w:instrText xml:space="preserve"> PAGEREF _Toc343595516 \h </w:instrText>
      </w:r>
      <w:r>
        <w:rPr>
          <w:noProof/>
        </w:rPr>
      </w:r>
      <w:r>
        <w:rPr>
          <w:noProof/>
        </w:rPr>
        <w:fldChar w:fldCharType="separate"/>
      </w:r>
      <w:r w:rsidR="00F41D51">
        <w:rPr>
          <w:noProof/>
        </w:rPr>
        <w:t>8</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7:</w:t>
      </w:r>
      <w:r>
        <w:rPr>
          <w:rFonts w:asciiTheme="minorHAnsi" w:eastAsiaTheme="minorEastAsia" w:hAnsiTheme="minorHAnsi" w:cstheme="minorBidi"/>
          <w:smallCaps w:val="0"/>
          <w:noProof/>
          <w:sz w:val="22"/>
          <w:szCs w:val="22"/>
          <w:lang w:val="en-AU" w:eastAsia="en-AU"/>
        </w:rPr>
        <w:tab/>
      </w:r>
      <w:r>
        <w:rPr>
          <w:noProof/>
        </w:rPr>
        <w:t>Composition of Aggregate District Education Expenditure, 2009-2011</w:t>
      </w:r>
      <w:r>
        <w:rPr>
          <w:noProof/>
        </w:rPr>
        <w:tab/>
      </w:r>
      <w:r>
        <w:rPr>
          <w:noProof/>
        </w:rPr>
        <w:fldChar w:fldCharType="begin"/>
      </w:r>
      <w:r>
        <w:rPr>
          <w:noProof/>
        </w:rPr>
        <w:instrText xml:space="preserve"> PAGEREF _Toc343595517 \h </w:instrText>
      </w:r>
      <w:r>
        <w:rPr>
          <w:noProof/>
        </w:rPr>
      </w:r>
      <w:r>
        <w:rPr>
          <w:noProof/>
        </w:rPr>
        <w:fldChar w:fldCharType="separate"/>
      </w:r>
      <w:r w:rsidR="00F41D51">
        <w:rPr>
          <w:noProof/>
        </w:rPr>
        <w:t>9</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8:</w:t>
      </w:r>
      <w:r>
        <w:rPr>
          <w:rFonts w:asciiTheme="minorHAnsi" w:eastAsiaTheme="minorEastAsia" w:hAnsiTheme="minorHAnsi" w:cstheme="minorBidi"/>
          <w:smallCaps w:val="0"/>
          <w:noProof/>
          <w:sz w:val="22"/>
          <w:szCs w:val="22"/>
          <w:lang w:val="en-AU" w:eastAsia="en-AU"/>
        </w:rPr>
        <w:tab/>
      </w:r>
      <w:r>
        <w:rPr>
          <w:noProof/>
        </w:rPr>
        <w:t>Education Expenditure by Sub-Sector, 2004</w:t>
      </w:r>
      <w:r>
        <w:rPr>
          <w:noProof/>
        </w:rPr>
        <w:tab/>
      </w:r>
      <w:r>
        <w:rPr>
          <w:noProof/>
        </w:rPr>
        <w:fldChar w:fldCharType="begin"/>
      </w:r>
      <w:r>
        <w:rPr>
          <w:noProof/>
        </w:rPr>
        <w:instrText xml:space="preserve"> PAGEREF _Toc343595518 \h </w:instrText>
      </w:r>
      <w:r>
        <w:rPr>
          <w:noProof/>
        </w:rPr>
      </w:r>
      <w:r>
        <w:rPr>
          <w:noProof/>
        </w:rPr>
        <w:fldChar w:fldCharType="separate"/>
      </w:r>
      <w:r w:rsidR="00F41D51">
        <w:rPr>
          <w:noProof/>
        </w:rPr>
        <w:t>10</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9:</w:t>
      </w:r>
      <w:r>
        <w:rPr>
          <w:rFonts w:asciiTheme="minorHAnsi" w:eastAsiaTheme="minorEastAsia" w:hAnsiTheme="minorHAnsi" w:cstheme="minorBidi"/>
          <w:smallCaps w:val="0"/>
          <w:noProof/>
          <w:sz w:val="22"/>
          <w:szCs w:val="22"/>
          <w:lang w:val="en-AU" w:eastAsia="en-AU"/>
        </w:rPr>
        <w:tab/>
      </w:r>
      <w:r>
        <w:rPr>
          <w:noProof/>
        </w:rPr>
        <w:t>Basic Education Share of Central Level Expenditures for MoNE and MoRA, 2006-2009</w:t>
      </w:r>
      <w:r>
        <w:rPr>
          <w:noProof/>
        </w:rPr>
        <w:tab/>
      </w:r>
      <w:r>
        <w:rPr>
          <w:noProof/>
        </w:rPr>
        <w:fldChar w:fldCharType="begin"/>
      </w:r>
      <w:r>
        <w:rPr>
          <w:noProof/>
        </w:rPr>
        <w:instrText xml:space="preserve"> PAGEREF _Toc343595519 \h </w:instrText>
      </w:r>
      <w:r>
        <w:rPr>
          <w:noProof/>
        </w:rPr>
      </w:r>
      <w:r>
        <w:rPr>
          <w:noProof/>
        </w:rPr>
        <w:fldChar w:fldCharType="separate"/>
      </w:r>
      <w:r w:rsidR="00F41D51">
        <w:rPr>
          <w:noProof/>
        </w:rPr>
        <w:t>11</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10:</w:t>
      </w:r>
      <w:r>
        <w:rPr>
          <w:rFonts w:asciiTheme="minorHAnsi" w:eastAsiaTheme="minorEastAsia" w:hAnsiTheme="minorHAnsi" w:cstheme="minorBidi"/>
          <w:smallCaps w:val="0"/>
          <w:noProof/>
          <w:sz w:val="22"/>
          <w:szCs w:val="22"/>
          <w:lang w:val="en-AU" w:eastAsia="en-AU"/>
        </w:rPr>
        <w:tab/>
      </w:r>
      <w:r>
        <w:rPr>
          <w:noProof/>
        </w:rPr>
        <w:t>Number of Districts Included in FPR Analysis, (2006-2011)</w:t>
      </w:r>
      <w:r>
        <w:rPr>
          <w:noProof/>
        </w:rPr>
        <w:tab/>
      </w:r>
      <w:r>
        <w:rPr>
          <w:noProof/>
        </w:rPr>
        <w:fldChar w:fldCharType="begin"/>
      </w:r>
      <w:r>
        <w:rPr>
          <w:noProof/>
        </w:rPr>
        <w:instrText xml:space="preserve"> PAGEREF _Toc343595520 \h </w:instrText>
      </w:r>
      <w:r>
        <w:rPr>
          <w:noProof/>
        </w:rPr>
      </w:r>
      <w:r>
        <w:rPr>
          <w:noProof/>
        </w:rPr>
        <w:fldChar w:fldCharType="separate"/>
      </w:r>
      <w:r w:rsidR="00F41D51">
        <w:rPr>
          <w:noProof/>
        </w:rPr>
        <w:t>12</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11:</w:t>
      </w:r>
      <w:r>
        <w:rPr>
          <w:rFonts w:asciiTheme="minorHAnsi" w:eastAsiaTheme="minorEastAsia" w:hAnsiTheme="minorHAnsi" w:cstheme="minorBidi"/>
          <w:smallCaps w:val="0"/>
          <w:noProof/>
          <w:sz w:val="22"/>
          <w:szCs w:val="22"/>
          <w:lang w:val="en-AU" w:eastAsia="en-AU"/>
        </w:rPr>
        <w:tab/>
      </w:r>
      <w:r>
        <w:rPr>
          <w:noProof/>
        </w:rPr>
        <w:t>Education Expenditure as % of Total District Budget (APBD 2006-2011)</w:t>
      </w:r>
      <w:r>
        <w:rPr>
          <w:noProof/>
        </w:rPr>
        <w:tab/>
      </w:r>
      <w:r>
        <w:rPr>
          <w:noProof/>
        </w:rPr>
        <w:fldChar w:fldCharType="begin"/>
      </w:r>
      <w:r>
        <w:rPr>
          <w:noProof/>
        </w:rPr>
        <w:instrText xml:space="preserve"> PAGEREF _Toc343595521 \h </w:instrText>
      </w:r>
      <w:r>
        <w:rPr>
          <w:noProof/>
        </w:rPr>
      </w:r>
      <w:r>
        <w:rPr>
          <w:noProof/>
        </w:rPr>
        <w:fldChar w:fldCharType="separate"/>
      </w:r>
      <w:r w:rsidR="00F41D51">
        <w:rPr>
          <w:noProof/>
        </w:rPr>
        <w:t>14</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12:</w:t>
      </w:r>
      <w:r>
        <w:rPr>
          <w:rFonts w:asciiTheme="minorHAnsi" w:eastAsiaTheme="minorEastAsia" w:hAnsiTheme="minorHAnsi" w:cstheme="minorBidi"/>
          <w:smallCaps w:val="0"/>
          <w:noProof/>
          <w:sz w:val="22"/>
          <w:szCs w:val="22"/>
          <w:lang w:val="en-AU" w:eastAsia="en-AU"/>
        </w:rPr>
        <w:tab/>
      </w:r>
      <w:r>
        <w:rPr>
          <w:noProof/>
        </w:rPr>
        <w:t>Average District APBD and APBD for Education, 2006-2011</w:t>
      </w:r>
      <w:r>
        <w:rPr>
          <w:noProof/>
        </w:rPr>
        <w:tab/>
      </w:r>
      <w:r>
        <w:rPr>
          <w:noProof/>
        </w:rPr>
        <w:fldChar w:fldCharType="begin"/>
      </w:r>
      <w:r>
        <w:rPr>
          <w:noProof/>
        </w:rPr>
        <w:instrText xml:space="preserve"> PAGEREF _Toc343595522 \h </w:instrText>
      </w:r>
      <w:r>
        <w:rPr>
          <w:noProof/>
        </w:rPr>
      </w:r>
      <w:r>
        <w:rPr>
          <w:noProof/>
        </w:rPr>
        <w:fldChar w:fldCharType="separate"/>
      </w:r>
      <w:r w:rsidR="00F41D51">
        <w:rPr>
          <w:noProof/>
        </w:rPr>
        <w:t>15</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13:</w:t>
      </w:r>
      <w:r>
        <w:rPr>
          <w:rFonts w:asciiTheme="minorHAnsi" w:eastAsiaTheme="minorEastAsia" w:hAnsiTheme="minorHAnsi" w:cstheme="minorBidi"/>
          <w:smallCaps w:val="0"/>
          <w:noProof/>
          <w:sz w:val="22"/>
          <w:szCs w:val="22"/>
          <w:lang w:val="en-AU" w:eastAsia="en-AU"/>
        </w:rPr>
        <w:tab/>
      </w:r>
      <w:r>
        <w:rPr>
          <w:noProof/>
        </w:rPr>
        <w:t>Rural and Urban District Education Expenditure as % of Total District Budget (APBD 2006-2011)</w:t>
      </w:r>
      <w:r>
        <w:rPr>
          <w:noProof/>
        </w:rPr>
        <w:tab/>
      </w:r>
      <w:r>
        <w:rPr>
          <w:noProof/>
        </w:rPr>
        <w:fldChar w:fldCharType="begin"/>
      </w:r>
      <w:r>
        <w:rPr>
          <w:noProof/>
        </w:rPr>
        <w:instrText xml:space="preserve"> PAGEREF _Toc343595523 \h </w:instrText>
      </w:r>
      <w:r>
        <w:rPr>
          <w:noProof/>
        </w:rPr>
      </w:r>
      <w:r>
        <w:rPr>
          <w:noProof/>
        </w:rPr>
        <w:fldChar w:fldCharType="separate"/>
      </w:r>
      <w:r w:rsidR="00F41D51">
        <w:rPr>
          <w:noProof/>
        </w:rPr>
        <w:t>16</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14:</w:t>
      </w:r>
      <w:r>
        <w:rPr>
          <w:rFonts w:asciiTheme="minorHAnsi" w:eastAsiaTheme="minorEastAsia" w:hAnsiTheme="minorHAnsi" w:cstheme="minorBidi"/>
          <w:smallCaps w:val="0"/>
          <w:noProof/>
          <w:sz w:val="22"/>
          <w:szCs w:val="22"/>
          <w:lang w:val="en-AU" w:eastAsia="en-AU"/>
        </w:rPr>
        <w:tab/>
      </w:r>
      <w:r>
        <w:rPr>
          <w:noProof/>
        </w:rPr>
        <w:t>Education Expenditure as % of Total District Expenditure by Districts according to Poverty Quintile, (APBD 2006-2011)</w:t>
      </w:r>
      <w:r>
        <w:rPr>
          <w:noProof/>
        </w:rPr>
        <w:tab/>
      </w:r>
      <w:r>
        <w:rPr>
          <w:noProof/>
        </w:rPr>
        <w:fldChar w:fldCharType="begin"/>
      </w:r>
      <w:r>
        <w:rPr>
          <w:noProof/>
        </w:rPr>
        <w:instrText xml:space="preserve"> PAGEREF _Toc343595524 \h </w:instrText>
      </w:r>
      <w:r>
        <w:rPr>
          <w:noProof/>
        </w:rPr>
      </w:r>
      <w:r>
        <w:rPr>
          <w:noProof/>
        </w:rPr>
        <w:fldChar w:fldCharType="separate"/>
      </w:r>
      <w:r w:rsidR="00F41D51">
        <w:rPr>
          <w:noProof/>
        </w:rPr>
        <w:t>16</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15:</w:t>
      </w:r>
      <w:r>
        <w:rPr>
          <w:rFonts w:asciiTheme="minorHAnsi" w:eastAsiaTheme="minorEastAsia" w:hAnsiTheme="minorHAnsi" w:cstheme="minorBidi"/>
          <w:smallCaps w:val="0"/>
          <w:noProof/>
          <w:sz w:val="22"/>
          <w:szCs w:val="22"/>
          <w:lang w:val="en-AU" w:eastAsia="en-AU"/>
        </w:rPr>
        <w:tab/>
      </w:r>
      <w:r>
        <w:rPr>
          <w:noProof/>
        </w:rPr>
        <w:t>Average District APBD and APBD for Education, by poverty quintile 2006-2011</w:t>
      </w:r>
      <w:r>
        <w:rPr>
          <w:noProof/>
        </w:rPr>
        <w:tab/>
      </w:r>
      <w:r>
        <w:rPr>
          <w:noProof/>
        </w:rPr>
        <w:fldChar w:fldCharType="begin"/>
      </w:r>
      <w:r>
        <w:rPr>
          <w:noProof/>
        </w:rPr>
        <w:instrText xml:space="preserve"> PAGEREF _Toc343595525 \h </w:instrText>
      </w:r>
      <w:r>
        <w:rPr>
          <w:noProof/>
        </w:rPr>
      </w:r>
      <w:r>
        <w:rPr>
          <w:noProof/>
        </w:rPr>
        <w:fldChar w:fldCharType="separate"/>
      </w:r>
      <w:r w:rsidR="00F41D51">
        <w:rPr>
          <w:noProof/>
        </w:rPr>
        <w:t>17</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16:</w:t>
      </w:r>
      <w:r>
        <w:rPr>
          <w:rFonts w:asciiTheme="minorHAnsi" w:eastAsiaTheme="minorEastAsia" w:hAnsiTheme="minorHAnsi" w:cstheme="minorBidi"/>
          <w:smallCaps w:val="0"/>
          <w:noProof/>
          <w:sz w:val="22"/>
          <w:szCs w:val="22"/>
          <w:lang w:val="en-AU" w:eastAsia="en-AU"/>
        </w:rPr>
        <w:tab/>
      </w:r>
      <w:r>
        <w:rPr>
          <w:noProof/>
        </w:rPr>
        <w:t>Education Expenditure as % of Total District Expenditure by Island Grouping (APBD 2006-2011)</w:t>
      </w:r>
      <w:r>
        <w:rPr>
          <w:noProof/>
        </w:rPr>
        <w:tab/>
      </w:r>
      <w:r>
        <w:rPr>
          <w:noProof/>
        </w:rPr>
        <w:fldChar w:fldCharType="begin"/>
      </w:r>
      <w:r>
        <w:rPr>
          <w:noProof/>
        </w:rPr>
        <w:instrText xml:space="preserve"> PAGEREF _Toc343595526 \h </w:instrText>
      </w:r>
      <w:r>
        <w:rPr>
          <w:noProof/>
        </w:rPr>
      </w:r>
      <w:r>
        <w:rPr>
          <w:noProof/>
        </w:rPr>
        <w:fldChar w:fldCharType="separate"/>
      </w:r>
      <w:r w:rsidR="00F41D51">
        <w:rPr>
          <w:noProof/>
        </w:rPr>
        <w:t>18</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17:</w:t>
      </w:r>
      <w:r>
        <w:rPr>
          <w:rFonts w:asciiTheme="minorHAnsi" w:eastAsiaTheme="minorEastAsia" w:hAnsiTheme="minorHAnsi" w:cstheme="minorBidi"/>
          <w:smallCaps w:val="0"/>
          <w:noProof/>
          <w:sz w:val="22"/>
          <w:szCs w:val="22"/>
          <w:lang w:val="en-AU" w:eastAsia="en-AU"/>
        </w:rPr>
        <w:tab/>
      </w:r>
      <w:r>
        <w:rPr>
          <w:noProof/>
        </w:rPr>
        <w:t>APBD Education Expenditure as % of Total district Expenditure in BEP and Non-BEP Supported Districts (APBD 2006-2011)</w:t>
      </w:r>
      <w:r>
        <w:rPr>
          <w:noProof/>
        </w:rPr>
        <w:tab/>
      </w:r>
      <w:r>
        <w:rPr>
          <w:noProof/>
        </w:rPr>
        <w:fldChar w:fldCharType="begin"/>
      </w:r>
      <w:r>
        <w:rPr>
          <w:noProof/>
        </w:rPr>
        <w:instrText xml:space="preserve"> PAGEREF _Toc343595527 \h </w:instrText>
      </w:r>
      <w:r>
        <w:rPr>
          <w:noProof/>
        </w:rPr>
      </w:r>
      <w:r>
        <w:rPr>
          <w:noProof/>
        </w:rPr>
        <w:fldChar w:fldCharType="separate"/>
      </w:r>
      <w:r w:rsidR="00F41D51">
        <w:rPr>
          <w:noProof/>
        </w:rPr>
        <w:t>18</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18:</w:t>
      </w:r>
      <w:r>
        <w:rPr>
          <w:rFonts w:asciiTheme="minorHAnsi" w:eastAsiaTheme="minorEastAsia" w:hAnsiTheme="minorHAnsi" w:cstheme="minorBidi"/>
          <w:smallCaps w:val="0"/>
          <w:noProof/>
          <w:sz w:val="22"/>
          <w:szCs w:val="22"/>
          <w:lang w:val="en-AU" w:eastAsia="en-AU"/>
        </w:rPr>
        <w:tab/>
      </w:r>
      <w:r>
        <w:rPr>
          <w:noProof/>
        </w:rPr>
        <w:t>BEP Districts Only - Education Expenditure as % of Total District Expenditure by District Poverty Quintile (APBD 2006-2011)</w:t>
      </w:r>
      <w:r>
        <w:rPr>
          <w:noProof/>
        </w:rPr>
        <w:tab/>
      </w:r>
      <w:r>
        <w:rPr>
          <w:noProof/>
        </w:rPr>
        <w:fldChar w:fldCharType="begin"/>
      </w:r>
      <w:r>
        <w:rPr>
          <w:noProof/>
        </w:rPr>
        <w:instrText xml:space="preserve"> PAGEREF _Toc343595528 \h </w:instrText>
      </w:r>
      <w:r>
        <w:rPr>
          <w:noProof/>
        </w:rPr>
      </w:r>
      <w:r>
        <w:rPr>
          <w:noProof/>
        </w:rPr>
        <w:fldChar w:fldCharType="separate"/>
      </w:r>
      <w:r w:rsidR="00F41D51">
        <w:rPr>
          <w:noProof/>
        </w:rPr>
        <w:t>19</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19:</w:t>
      </w:r>
      <w:r>
        <w:rPr>
          <w:rFonts w:asciiTheme="minorHAnsi" w:eastAsiaTheme="minorEastAsia" w:hAnsiTheme="minorHAnsi" w:cstheme="minorBidi"/>
          <w:smallCaps w:val="0"/>
          <w:noProof/>
          <w:sz w:val="22"/>
          <w:szCs w:val="22"/>
          <w:lang w:val="en-AU" w:eastAsia="en-AU"/>
        </w:rPr>
        <w:tab/>
      </w:r>
      <w:r>
        <w:rPr>
          <w:noProof/>
        </w:rPr>
        <w:t>BEP Districts with low financial share for education (less than 20% of APBD Expenditure) 2009 and 2011</w:t>
      </w:r>
      <w:r>
        <w:rPr>
          <w:noProof/>
        </w:rPr>
        <w:tab/>
      </w:r>
      <w:r>
        <w:rPr>
          <w:noProof/>
        </w:rPr>
        <w:fldChar w:fldCharType="begin"/>
      </w:r>
      <w:r>
        <w:rPr>
          <w:noProof/>
        </w:rPr>
        <w:instrText xml:space="preserve"> PAGEREF _Toc343595529 \h </w:instrText>
      </w:r>
      <w:r>
        <w:rPr>
          <w:noProof/>
        </w:rPr>
      </w:r>
      <w:r>
        <w:rPr>
          <w:noProof/>
        </w:rPr>
        <w:fldChar w:fldCharType="separate"/>
      </w:r>
      <w:r w:rsidR="00F41D51">
        <w:rPr>
          <w:noProof/>
        </w:rPr>
        <w:t>20</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20:</w:t>
      </w:r>
      <w:r>
        <w:rPr>
          <w:rFonts w:asciiTheme="minorHAnsi" w:eastAsiaTheme="minorEastAsia" w:hAnsiTheme="minorHAnsi" w:cstheme="minorBidi"/>
          <w:smallCaps w:val="0"/>
          <w:noProof/>
          <w:sz w:val="22"/>
          <w:szCs w:val="22"/>
          <w:lang w:val="en-AU" w:eastAsia="en-AU"/>
        </w:rPr>
        <w:tab/>
      </w:r>
      <w:r>
        <w:rPr>
          <w:noProof/>
        </w:rPr>
        <w:t>Districts with very low financial share for education (less than 15% of APBD Expenditure) 2009 -2011</w:t>
      </w:r>
      <w:r>
        <w:rPr>
          <w:noProof/>
        </w:rPr>
        <w:tab/>
      </w:r>
      <w:r>
        <w:rPr>
          <w:noProof/>
        </w:rPr>
        <w:fldChar w:fldCharType="begin"/>
      </w:r>
      <w:r>
        <w:rPr>
          <w:noProof/>
        </w:rPr>
        <w:instrText xml:space="preserve"> PAGEREF _Toc343595530 \h </w:instrText>
      </w:r>
      <w:r>
        <w:rPr>
          <w:noProof/>
        </w:rPr>
      </w:r>
      <w:r>
        <w:rPr>
          <w:noProof/>
        </w:rPr>
        <w:fldChar w:fldCharType="separate"/>
      </w:r>
      <w:r w:rsidR="00F41D51">
        <w:rPr>
          <w:noProof/>
        </w:rPr>
        <w:t>21</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21:</w:t>
      </w:r>
      <w:r>
        <w:rPr>
          <w:rFonts w:asciiTheme="minorHAnsi" w:eastAsiaTheme="minorEastAsia" w:hAnsiTheme="minorHAnsi" w:cstheme="minorBidi"/>
          <w:smallCaps w:val="0"/>
          <w:noProof/>
          <w:sz w:val="22"/>
          <w:szCs w:val="22"/>
          <w:lang w:val="en-AU" w:eastAsia="en-AU"/>
        </w:rPr>
        <w:tab/>
      </w:r>
      <w:r>
        <w:rPr>
          <w:noProof/>
        </w:rPr>
        <w:t>Poorest Districts with very low financial share for education (less than 15% of APBD Expenditure) 2011</w:t>
      </w:r>
      <w:r>
        <w:rPr>
          <w:noProof/>
        </w:rPr>
        <w:tab/>
      </w:r>
      <w:r>
        <w:rPr>
          <w:noProof/>
        </w:rPr>
        <w:fldChar w:fldCharType="begin"/>
      </w:r>
      <w:r>
        <w:rPr>
          <w:noProof/>
        </w:rPr>
        <w:instrText xml:space="preserve"> PAGEREF _Toc343595531 \h </w:instrText>
      </w:r>
      <w:r>
        <w:rPr>
          <w:noProof/>
        </w:rPr>
      </w:r>
      <w:r>
        <w:rPr>
          <w:noProof/>
        </w:rPr>
        <w:fldChar w:fldCharType="separate"/>
      </w:r>
      <w:r w:rsidR="00F41D51">
        <w:rPr>
          <w:noProof/>
        </w:rPr>
        <w:t>22</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22:</w:t>
      </w:r>
      <w:r>
        <w:rPr>
          <w:rFonts w:asciiTheme="minorHAnsi" w:eastAsiaTheme="minorEastAsia" w:hAnsiTheme="minorHAnsi" w:cstheme="minorBidi"/>
          <w:smallCaps w:val="0"/>
          <w:noProof/>
          <w:sz w:val="22"/>
          <w:szCs w:val="22"/>
          <w:lang w:val="en-AU" w:eastAsia="en-AU"/>
        </w:rPr>
        <w:tab/>
      </w:r>
      <w:r>
        <w:rPr>
          <w:noProof/>
        </w:rPr>
        <w:t>Annual Growth in APBD Education Expenditure, 2007 -2011, by Poverty Quintile</w:t>
      </w:r>
      <w:r>
        <w:rPr>
          <w:noProof/>
        </w:rPr>
        <w:tab/>
      </w:r>
      <w:r>
        <w:rPr>
          <w:noProof/>
        </w:rPr>
        <w:fldChar w:fldCharType="begin"/>
      </w:r>
      <w:r>
        <w:rPr>
          <w:noProof/>
        </w:rPr>
        <w:instrText xml:space="preserve"> PAGEREF _Toc343595532 \h </w:instrText>
      </w:r>
      <w:r>
        <w:rPr>
          <w:noProof/>
        </w:rPr>
      </w:r>
      <w:r>
        <w:rPr>
          <w:noProof/>
        </w:rPr>
        <w:fldChar w:fldCharType="separate"/>
      </w:r>
      <w:r w:rsidR="00F41D51">
        <w:rPr>
          <w:noProof/>
        </w:rPr>
        <w:t>24</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23:</w:t>
      </w:r>
      <w:r>
        <w:rPr>
          <w:rFonts w:asciiTheme="minorHAnsi" w:eastAsiaTheme="minorEastAsia" w:hAnsiTheme="minorHAnsi" w:cstheme="minorBidi"/>
          <w:smallCaps w:val="0"/>
          <w:noProof/>
          <w:sz w:val="22"/>
          <w:szCs w:val="22"/>
          <w:lang w:val="en-AU" w:eastAsia="en-AU"/>
        </w:rPr>
        <w:tab/>
      </w:r>
      <w:r>
        <w:rPr>
          <w:noProof/>
        </w:rPr>
        <w:t>Annual Growth in District Education Expenditure, (APBD 2007-2011)</w:t>
      </w:r>
      <w:r>
        <w:rPr>
          <w:noProof/>
        </w:rPr>
        <w:tab/>
      </w:r>
      <w:r>
        <w:rPr>
          <w:noProof/>
        </w:rPr>
        <w:fldChar w:fldCharType="begin"/>
      </w:r>
      <w:r>
        <w:rPr>
          <w:noProof/>
        </w:rPr>
        <w:instrText xml:space="preserve"> PAGEREF _Toc343595533 \h </w:instrText>
      </w:r>
      <w:r>
        <w:rPr>
          <w:noProof/>
        </w:rPr>
      </w:r>
      <w:r>
        <w:rPr>
          <w:noProof/>
        </w:rPr>
        <w:fldChar w:fldCharType="separate"/>
      </w:r>
      <w:r w:rsidR="00F41D51">
        <w:rPr>
          <w:noProof/>
        </w:rPr>
        <w:t>25</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24:</w:t>
      </w:r>
      <w:r>
        <w:rPr>
          <w:rFonts w:asciiTheme="minorHAnsi" w:eastAsiaTheme="minorEastAsia" w:hAnsiTheme="minorHAnsi" w:cstheme="minorBidi"/>
          <w:smallCaps w:val="0"/>
          <w:noProof/>
          <w:sz w:val="22"/>
          <w:szCs w:val="22"/>
          <w:lang w:val="en-AU" w:eastAsia="en-AU"/>
        </w:rPr>
        <w:tab/>
      </w:r>
      <w:r>
        <w:rPr>
          <w:noProof/>
        </w:rPr>
        <w:t>Poorest Districts (Quintile 5), Negative Annual Growth in Education Expenditure, (APBD 2009-2011)</w:t>
      </w:r>
      <w:r>
        <w:rPr>
          <w:noProof/>
        </w:rPr>
        <w:tab/>
      </w:r>
      <w:r>
        <w:rPr>
          <w:noProof/>
        </w:rPr>
        <w:fldChar w:fldCharType="begin"/>
      </w:r>
      <w:r>
        <w:rPr>
          <w:noProof/>
        </w:rPr>
        <w:instrText xml:space="preserve"> PAGEREF _Toc343595534 \h </w:instrText>
      </w:r>
      <w:r>
        <w:rPr>
          <w:noProof/>
        </w:rPr>
      </w:r>
      <w:r>
        <w:rPr>
          <w:noProof/>
        </w:rPr>
        <w:fldChar w:fldCharType="separate"/>
      </w:r>
      <w:r w:rsidR="00F41D51">
        <w:rPr>
          <w:noProof/>
        </w:rPr>
        <w:t>26</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25:</w:t>
      </w:r>
      <w:r>
        <w:rPr>
          <w:rFonts w:asciiTheme="minorHAnsi" w:eastAsiaTheme="minorEastAsia" w:hAnsiTheme="minorHAnsi" w:cstheme="minorBidi"/>
          <w:smallCaps w:val="0"/>
          <w:noProof/>
          <w:sz w:val="22"/>
          <w:szCs w:val="22"/>
          <w:lang w:val="en-AU" w:eastAsia="en-AU"/>
        </w:rPr>
        <w:tab/>
      </w:r>
      <w:r>
        <w:rPr>
          <w:noProof/>
        </w:rPr>
        <w:t>BEP and Non-BEP Districts - Annual Growth in District Education Expenditure, (APBD 2007-2011)</w:t>
      </w:r>
      <w:r>
        <w:rPr>
          <w:noProof/>
        </w:rPr>
        <w:tab/>
      </w:r>
      <w:r>
        <w:rPr>
          <w:noProof/>
        </w:rPr>
        <w:fldChar w:fldCharType="begin"/>
      </w:r>
      <w:r>
        <w:rPr>
          <w:noProof/>
        </w:rPr>
        <w:instrText xml:space="preserve"> PAGEREF _Toc343595535 \h </w:instrText>
      </w:r>
      <w:r>
        <w:rPr>
          <w:noProof/>
        </w:rPr>
      </w:r>
      <w:r>
        <w:rPr>
          <w:noProof/>
        </w:rPr>
        <w:fldChar w:fldCharType="separate"/>
      </w:r>
      <w:r w:rsidR="00F41D51">
        <w:rPr>
          <w:noProof/>
        </w:rPr>
        <w:t>26</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26:</w:t>
      </w:r>
      <w:r>
        <w:rPr>
          <w:rFonts w:asciiTheme="minorHAnsi" w:eastAsiaTheme="minorEastAsia" w:hAnsiTheme="minorHAnsi" w:cstheme="minorBidi"/>
          <w:smallCaps w:val="0"/>
          <w:noProof/>
          <w:sz w:val="22"/>
          <w:szCs w:val="22"/>
          <w:lang w:val="en-AU" w:eastAsia="en-AU"/>
        </w:rPr>
        <w:tab/>
      </w:r>
      <w:r>
        <w:rPr>
          <w:noProof/>
        </w:rPr>
        <w:t>BEP Districts Only - Annual Growth in District Education Expenditure, (APBD 2007-2011)</w:t>
      </w:r>
      <w:r>
        <w:rPr>
          <w:noProof/>
        </w:rPr>
        <w:tab/>
      </w:r>
      <w:r>
        <w:rPr>
          <w:noProof/>
        </w:rPr>
        <w:fldChar w:fldCharType="begin"/>
      </w:r>
      <w:r>
        <w:rPr>
          <w:noProof/>
        </w:rPr>
        <w:instrText xml:space="preserve"> PAGEREF _Toc343595536 \h </w:instrText>
      </w:r>
      <w:r>
        <w:rPr>
          <w:noProof/>
        </w:rPr>
      </w:r>
      <w:r>
        <w:rPr>
          <w:noProof/>
        </w:rPr>
        <w:fldChar w:fldCharType="separate"/>
      </w:r>
      <w:r w:rsidR="00F41D51">
        <w:rPr>
          <w:noProof/>
        </w:rPr>
        <w:t>27</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27:</w:t>
      </w:r>
      <w:r>
        <w:rPr>
          <w:rFonts w:asciiTheme="minorHAnsi" w:eastAsiaTheme="minorEastAsia" w:hAnsiTheme="minorHAnsi" w:cstheme="minorBidi"/>
          <w:smallCaps w:val="0"/>
          <w:noProof/>
          <w:sz w:val="22"/>
          <w:szCs w:val="22"/>
          <w:lang w:val="en-AU" w:eastAsia="en-AU"/>
        </w:rPr>
        <w:tab/>
      </w:r>
      <w:r>
        <w:rPr>
          <w:noProof/>
        </w:rPr>
        <w:t>Number of Districts, with Negative Annual Growth in APBD Education Expenditure (2007-2011)</w:t>
      </w:r>
      <w:r>
        <w:rPr>
          <w:noProof/>
        </w:rPr>
        <w:tab/>
      </w:r>
      <w:r>
        <w:rPr>
          <w:noProof/>
        </w:rPr>
        <w:fldChar w:fldCharType="begin"/>
      </w:r>
      <w:r>
        <w:rPr>
          <w:noProof/>
        </w:rPr>
        <w:instrText xml:space="preserve"> PAGEREF _Toc343595537 \h </w:instrText>
      </w:r>
      <w:r>
        <w:rPr>
          <w:noProof/>
        </w:rPr>
      </w:r>
      <w:r>
        <w:rPr>
          <w:noProof/>
        </w:rPr>
        <w:fldChar w:fldCharType="separate"/>
      </w:r>
      <w:r w:rsidR="00F41D51">
        <w:rPr>
          <w:noProof/>
        </w:rPr>
        <w:t>27</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28:</w:t>
      </w:r>
      <w:r>
        <w:rPr>
          <w:rFonts w:asciiTheme="minorHAnsi" w:eastAsiaTheme="minorEastAsia" w:hAnsiTheme="minorHAnsi" w:cstheme="minorBidi"/>
          <w:smallCaps w:val="0"/>
          <w:noProof/>
          <w:sz w:val="22"/>
          <w:szCs w:val="22"/>
          <w:lang w:val="en-AU" w:eastAsia="en-AU"/>
        </w:rPr>
        <w:tab/>
      </w:r>
      <w:r>
        <w:rPr>
          <w:noProof/>
        </w:rPr>
        <w:t>Total Number of Districts, with Negative Annual Growth in APBD Education Expenditure, 2007 -2011</w:t>
      </w:r>
      <w:r>
        <w:rPr>
          <w:noProof/>
        </w:rPr>
        <w:tab/>
      </w:r>
      <w:r>
        <w:rPr>
          <w:noProof/>
        </w:rPr>
        <w:fldChar w:fldCharType="begin"/>
      </w:r>
      <w:r>
        <w:rPr>
          <w:noProof/>
        </w:rPr>
        <w:instrText xml:space="preserve"> PAGEREF _Toc343595538 \h </w:instrText>
      </w:r>
      <w:r>
        <w:rPr>
          <w:noProof/>
        </w:rPr>
      </w:r>
      <w:r>
        <w:rPr>
          <w:noProof/>
        </w:rPr>
        <w:fldChar w:fldCharType="separate"/>
      </w:r>
      <w:r w:rsidR="00F41D51">
        <w:rPr>
          <w:noProof/>
        </w:rPr>
        <w:t>28</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29:</w:t>
      </w:r>
      <w:r>
        <w:rPr>
          <w:rFonts w:asciiTheme="minorHAnsi" w:eastAsiaTheme="minorEastAsia" w:hAnsiTheme="minorHAnsi" w:cstheme="minorBidi"/>
          <w:smallCaps w:val="0"/>
          <w:noProof/>
          <w:sz w:val="22"/>
          <w:szCs w:val="22"/>
          <w:lang w:val="en-AU" w:eastAsia="en-AU"/>
        </w:rPr>
        <w:tab/>
      </w:r>
      <w:r>
        <w:rPr>
          <w:noProof/>
        </w:rPr>
        <w:t>BEP Districts Only – Districts with Negative Annual Growth in District Education Expenditure, (APBD 2009/10-2010/11)</w:t>
      </w:r>
      <w:r>
        <w:rPr>
          <w:noProof/>
        </w:rPr>
        <w:tab/>
      </w:r>
      <w:r>
        <w:rPr>
          <w:noProof/>
        </w:rPr>
        <w:fldChar w:fldCharType="begin"/>
      </w:r>
      <w:r>
        <w:rPr>
          <w:noProof/>
        </w:rPr>
        <w:instrText xml:space="preserve"> PAGEREF _Toc343595539 \h </w:instrText>
      </w:r>
      <w:r>
        <w:rPr>
          <w:noProof/>
        </w:rPr>
      </w:r>
      <w:r>
        <w:rPr>
          <w:noProof/>
        </w:rPr>
        <w:fldChar w:fldCharType="separate"/>
      </w:r>
      <w:r w:rsidR="00F41D51">
        <w:rPr>
          <w:noProof/>
        </w:rPr>
        <w:t>29</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30:</w:t>
      </w:r>
      <w:r>
        <w:rPr>
          <w:rFonts w:asciiTheme="minorHAnsi" w:eastAsiaTheme="minorEastAsia" w:hAnsiTheme="minorHAnsi" w:cstheme="minorBidi"/>
          <w:smallCaps w:val="0"/>
          <w:noProof/>
          <w:sz w:val="22"/>
          <w:szCs w:val="22"/>
          <w:lang w:val="en-AU" w:eastAsia="en-AU"/>
        </w:rPr>
        <w:tab/>
      </w:r>
      <w:r>
        <w:rPr>
          <w:noProof/>
        </w:rPr>
        <w:t>Average District Education Expenditure per all Students, 2006-2011 (Rp millions.)</w:t>
      </w:r>
      <w:r>
        <w:rPr>
          <w:noProof/>
        </w:rPr>
        <w:tab/>
      </w:r>
      <w:r>
        <w:rPr>
          <w:noProof/>
        </w:rPr>
        <w:fldChar w:fldCharType="begin"/>
      </w:r>
      <w:r>
        <w:rPr>
          <w:noProof/>
        </w:rPr>
        <w:instrText xml:space="preserve"> PAGEREF _Toc343595540 \h </w:instrText>
      </w:r>
      <w:r>
        <w:rPr>
          <w:noProof/>
        </w:rPr>
      </w:r>
      <w:r>
        <w:rPr>
          <w:noProof/>
        </w:rPr>
        <w:fldChar w:fldCharType="separate"/>
      </w:r>
      <w:r w:rsidR="00F41D51">
        <w:rPr>
          <w:noProof/>
        </w:rPr>
        <w:t>30</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31:</w:t>
      </w:r>
      <w:r>
        <w:rPr>
          <w:rFonts w:asciiTheme="minorHAnsi" w:eastAsiaTheme="minorEastAsia" w:hAnsiTheme="minorHAnsi" w:cstheme="minorBidi"/>
          <w:smallCaps w:val="0"/>
          <w:noProof/>
          <w:sz w:val="22"/>
          <w:szCs w:val="22"/>
          <w:lang w:val="en-AU" w:eastAsia="en-AU"/>
        </w:rPr>
        <w:tab/>
      </w:r>
      <w:r>
        <w:rPr>
          <w:noProof/>
        </w:rPr>
        <w:t>Comparison - Expenditure per All Students vs. Expenditure per Public Students, (Rp. millions)</w:t>
      </w:r>
      <w:r>
        <w:rPr>
          <w:noProof/>
        </w:rPr>
        <w:tab/>
      </w:r>
      <w:r>
        <w:rPr>
          <w:noProof/>
        </w:rPr>
        <w:fldChar w:fldCharType="begin"/>
      </w:r>
      <w:r>
        <w:rPr>
          <w:noProof/>
        </w:rPr>
        <w:instrText xml:space="preserve"> PAGEREF _Toc343595541 \h </w:instrText>
      </w:r>
      <w:r>
        <w:rPr>
          <w:noProof/>
        </w:rPr>
      </w:r>
      <w:r>
        <w:rPr>
          <w:noProof/>
        </w:rPr>
        <w:fldChar w:fldCharType="separate"/>
      </w:r>
      <w:r w:rsidR="00F41D51">
        <w:rPr>
          <w:noProof/>
        </w:rPr>
        <w:t>31</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32:</w:t>
      </w:r>
      <w:r>
        <w:rPr>
          <w:rFonts w:asciiTheme="minorHAnsi" w:eastAsiaTheme="minorEastAsia" w:hAnsiTheme="minorHAnsi" w:cstheme="minorBidi"/>
          <w:smallCaps w:val="0"/>
          <w:noProof/>
          <w:sz w:val="22"/>
          <w:szCs w:val="22"/>
          <w:lang w:val="en-AU" w:eastAsia="en-AU"/>
        </w:rPr>
        <w:tab/>
      </w:r>
      <w:r>
        <w:rPr>
          <w:noProof/>
        </w:rPr>
        <w:t>Average APBD Education Expenditure per Student (Rp), BEP and Non-BEP Districts</w:t>
      </w:r>
      <w:r>
        <w:rPr>
          <w:noProof/>
        </w:rPr>
        <w:tab/>
      </w:r>
      <w:r>
        <w:rPr>
          <w:noProof/>
        </w:rPr>
        <w:fldChar w:fldCharType="begin"/>
      </w:r>
      <w:r>
        <w:rPr>
          <w:noProof/>
        </w:rPr>
        <w:instrText xml:space="preserve"> PAGEREF _Toc343595542 \h </w:instrText>
      </w:r>
      <w:r>
        <w:rPr>
          <w:noProof/>
        </w:rPr>
      </w:r>
      <w:r>
        <w:rPr>
          <w:noProof/>
        </w:rPr>
        <w:fldChar w:fldCharType="separate"/>
      </w:r>
      <w:r w:rsidR="00F41D51">
        <w:rPr>
          <w:noProof/>
        </w:rPr>
        <w:t>32</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33:</w:t>
      </w:r>
      <w:r>
        <w:rPr>
          <w:rFonts w:asciiTheme="minorHAnsi" w:eastAsiaTheme="minorEastAsia" w:hAnsiTheme="minorHAnsi" w:cstheme="minorBidi"/>
          <w:smallCaps w:val="0"/>
          <w:noProof/>
          <w:sz w:val="22"/>
          <w:szCs w:val="22"/>
          <w:lang w:val="en-AU" w:eastAsia="en-AU"/>
        </w:rPr>
        <w:tab/>
      </w:r>
      <w:r>
        <w:rPr>
          <w:noProof/>
        </w:rPr>
        <w:t>Average APBD Education Expenditure per Student (Rp. Million), by Poverty Quintile Districts</w:t>
      </w:r>
      <w:r>
        <w:rPr>
          <w:noProof/>
        </w:rPr>
        <w:tab/>
      </w:r>
      <w:r>
        <w:rPr>
          <w:noProof/>
        </w:rPr>
        <w:fldChar w:fldCharType="begin"/>
      </w:r>
      <w:r>
        <w:rPr>
          <w:noProof/>
        </w:rPr>
        <w:instrText xml:space="preserve"> PAGEREF _Toc343595543 \h </w:instrText>
      </w:r>
      <w:r>
        <w:rPr>
          <w:noProof/>
        </w:rPr>
      </w:r>
      <w:r>
        <w:rPr>
          <w:noProof/>
        </w:rPr>
        <w:fldChar w:fldCharType="separate"/>
      </w:r>
      <w:r w:rsidR="00F41D51">
        <w:rPr>
          <w:noProof/>
        </w:rPr>
        <w:t>32</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34:</w:t>
      </w:r>
      <w:r>
        <w:rPr>
          <w:rFonts w:asciiTheme="minorHAnsi" w:eastAsiaTheme="minorEastAsia" w:hAnsiTheme="minorHAnsi" w:cstheme="minorBidi"/>
          <w:smallCaps w:val="0"/>
          <w:noProof/>
          <w:sz w:val="22"/>
          <w:szCs w:val="22"/>
          <w:lang w:val="en-AU" w:eastAsia="en-AU"/>
        </w:rPr>
        <w:tab/>
      </w:r>
      <w:r>
        <w:rPr>
          <w:noProof/>
        </w:rPr>
        <w:t>Average APBD Education Expenditure per Public Student (Rp. Million), by Poverty Quintile Districts</w:t>
      </w:r>
      <w:r>
        <w:rPr>
          <w:noProof/>
        </w:rPr>
        <w:tab/>
      </w:r>
      <w:r>
        <w:rPr>
          <w:noProof/>
        </w:rPr>
        <w:fldChar w:fldCharType="begin"/>
      </w:r>
      <w:r>
        <w:rPr>
          <w:noProof/>
        </w:rPr>
        <w:instrText xml:space="preserve"> PAGEREF _Toc343595544 \h </w:instrText>
      </w:r>
      <w:r>
        <w:rPr>
          <w:noProof/>
        </w:rPr>
      </w:r>
      <w:r>
        <w:rPr>
          <w:noProof/>
        </w:rPr>
        <w:fldChar w:fldCharType="separate"/>
      </w:r>
      <w:r w:rsidR="00F41D51">
        <w:rPr>
          <w:noProof/>
        </w:rPr>
        <w:t>33</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35:</w:t>
      </w:r>
      <w:r>
        <w:rPr>
          <w:rFonts w:asciiTheme="minorHAnsi" w:eastAsiaTheme="minorEastAsia" w:hAnsiTheme="minorHAnsi" w:cstheme="minorBidi"/>
          <w:smallCaps w:val="0"/>
          <w:noProof/>
          <w:sz w:val="22"/>
          <w:szCs w:val="22"/>
          <w:lang w:val="en-AU" w:eastAsia="en-AU"/>
        </w:rPr>
        <w:tab/>
      </w:r>
      <w:r>
        <w:rPr>
          <w:noProof/>
        </w:rPr>
        <w:t>Average APBD Education Expenditure per Student (Rp), by Island</w:t>
      </w:r>
      <w:r>
        <w:rPr>
          <w:noProof/>
        </w:rPr>
        <w:tab/>
      </w:r>
      <w:r>
        <w:rPr>
          <w:noProof/>
        </w:rPr>
        <w:fldChar w:fldCharType="begin"/>
      </w:r>
      <w:r>
        <w:rPr>
          <w:noProof/>
        </w:rPr>
        <w:instrText xml:space="preserve"> PAGEREF _Toc343595545 \h </w:instrText>
      </w:r>
      <w:r>
        <w:rPr>
          <w:noProof/>
        </w:rPr>
      </w:r>
      <w:r>
        <w:rPr>
          <w:noProof/>
        </w:rPr>
        <w:fldChar w:fldCharType="separate"/>
      </w:r>
      <w:r w:rsidR="00F41D51">
        <w:rPr>
          <w:noProof/>
        </w:rPr>
        <w:t>33</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36:</w:t>
      </w:r>
      <w:r>
        <w:rPr>
          <w:rFonts w:asciiTheme="minorHAnsi" w:eastAsiaTheme="minorEastAsia" w:hAnsiTheme="minorHAnsi" w:cstheme="minorBidi"/>
          <w:smallCaps w:val="0"/>
          <w:noProof/>
          <w:sz w:val="22"/>
          <w:szCs w:val="22"/>
          <w:lang w:val="en-AU" w:eastAsia="en-AU"/>
        </w:rPr>
        <w:tab/>
      </w:r>
      <w:r>
        <w:rPr>
          <w:noProof/>
        </w:rPr>
        <w:t>Equity Slope of Funding - Average APBD Education Expenditure per Public Student (Rp million), by Poverty Quintile,</w:t>
      </w:r>
      <w:r>
        <w:rPr>
          <w:noProof/>
        </w:rPr>
        <w:tab/>
      </w:r>
      <w:r>
        <w:rPr>
          <w:noProof/>
        </w:rPr>
        <w:fldChar w:fldCharType="begin"/>
      </w:r>
      <w:r>
        <w:rPr>
          <w:noProof/>
        </w:rPr>
        <w:instrText xml:space="preserve"> PAGEREF _Toc343595546 \h </w:instrText>
      </w:r>
      <w:r>
        <w:rPr>
          <w:noProof/>
        </w:rPr>
      </w:r>
      <w:r>
        <w:rPr>
          <w:noProof/>
        </w:rPr>
        <w:fldChar w:fldCharType="separate"/>
      </w:r>
      <w:r w:rsidR="00F41D51">
        <w:rPr>
          <w:noProof/>
        </w:rPr>
        <w:t>34</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37:</w:t>
      </w:r>
      <w:r>
        <w:rPr>
          <w:rFonts w:asciiTheme="minorHAnsi" w:eastAsiaTheme="minorEastAsia" w:hAnsiTheme="minorHAnsi" w:cstheme="minorBidi"/>
          <w:smallCaps w:val="0"/>
          <w:noProof/>
          <w:sz w:val="22"/>
          <w:szCs w:val="22"/>
          <w:lang w:val="en-AU" w:eastAsia="en-AU"/>
        </w:rPr>
        <w:tab/>
      </w:r>
      <w:r>
        <w:rPr>
          <w:noProof/>
        </w:rPr>
        <w:t>Cost and Student Load Comparison - Average APBD Education Expenditure per Student (Rp million)and Numbers of Students, by Poverty Quintile, 2011</w:t>
      </w:r>
      <w:r>
        <w:rPr>
          <w:noProof/>
        </w:rPr>
        <w:tab/>
      </w:r>
      <w:r>
        <w:rPr>
          <w:noProof/>
        </w:rPr>
        <w:fldChar w:fldCharType="begin"/>
      </w:r>
      <w:r>
        <w:rPr>
          <w:noProof/>
        </w:rPr>
        <w:instrText xml:space="preserve"> PAGEREF _Toc343595547 \h </w:instrText>
      </w:r>
      <w:r>
        <w:rPr>
          <w:noProof/>
        </w:rPr>
      </w:r>
      <w:r>
        <w:rPr>
          <w:noProof/>
        </w:rPr>
        <w:fldChar w:fldCharType="separate"/>
      </w:r>
      <w:r w:rsidR="00F41D51">
        <w:rPr>
          <w:noProof/>
        </w:rPr>
        <w:t>35</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38:</w:t>
      </w:r>
      <w:r>
        <w:rPr>
          <w:rFonts w:asciiTheme="minorHAnsi" w:eastAsiaTheme="minorEastAsia" w:hAnsiTheme="minorHAnsi" w:cstheme="minorBidi"/>
          <w:smallCaps w:val="0"/>
          <w:noProof/>
          <w:sz w:val="22"/>
          <w:szCs w:val="22"/>
          <w:lang w:val="en-AU" w:eastAsia="en-AU"/>
        </w:rPr>
        <w:tab/>
      </w:r>
      <w:r>
        <w:rPr>
          <w:noProof/>
        </w:rPr>
        <w:t>Critical Education Funding Status (CEFS) Districts – Districts with low growth in education budget, low share of district budget and low expenditure per student, 2009-2011</w:t>
      </w:r>
      <w:r>
        <w:rPr>
          <w:noProof/>
        </w:rPr>
        <w:tab/>
      </w:r>
      <w:r>
        <w:rPr>
          <w:noProof/>
        </w:rPr>
        <w:fldChar w:fldCharType="begin"/>
      </w:r>
      <w:r>
        <w:rPr>
          <w:noProof/>
        </w:rPr>
        <w:instrText xml:space="preserve"> PAGEREF _Toc343595548 \h </w:instrText>
      </w:r>
      <w:r>
        <w:rPr>
          <w:noProof/>
        </w:rPr>
      </w:r>
      <w:r>
        <w:rPr>
          <w:noProof/>
        </w:rPr>
        <w:fldChar w:fldCharType="separate"/>
      </w:r>
      <w:r w:rsidR="00F41D51">
        <w:rPr>
          <w:noProof/>
        </w:rPr>
        <w:t>36</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39:</w:t>
      </w:r>
      <w:r>
        <w:rPr>
          <w:rFonts w:asciiTheme="minorHAnsi" w:eastAsiaTheme="minorEastAsia" w:hAnsiTheme="minorHAnsi" w:cstheme="minorBidi"/>
          <w:smallCaps w:val="0"/>
          <w:noProof/>
          <w:sz w:val="22"/>
          <w:szCs w:val="22"/>
          <w:lang w:val="en-AU" w:eastAsia="en-AU"/>
        </w:rPr>
        <w:tab/>
      </w:r>
      <w:r>
        <w:rPr>
          <w:noProof/>
        </w:rPr>
        <w:t>Realised Education Expenditure as % of Planned Expenditure  2006 and 2007</w:t>
      </w:r>
      <w:r>
        <w:rPr>
          <w:noProof/>
        </w:rPr>
        <w:tab/>
      </w:r>
      <w:r>
        <w:rPr>
          <w:noProof/>
        </w:rPr>
        <w:fldChar w:fldCharType="begin"/>
      </w:r>
      <w:r>
        <w:rPr>
          <w:noProof/>
        </w:rPr>
        <w:instrText xml:space="preserve"> PAGEREF _Toc343595549 \h </w:instrText>
      </w:r>
      <w:r>
        <w:rPr>
          <w:noProof/>
        </w:rPr>
      </w:r>
      <w:r>
        <w:rPr>
          <w:noProof/>
        </w:rPr>
        <w:fldChar w:fldCharType="separate"/>
      </w:r>
      <w:r w:rsidR="00F41D51">
        <w:rPr>
          <w:noProof/>
        </w:rPr>
        <w:t>37</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40:</w:t>
      </w:r>
      <w:r>
        <w:rPr>
          <w:rFonts w:asciiTheme="minorHAnsi" w:eastAsiaTheme="minorEastAsia" w:hAnsiTheme="minorHAnsi" w:cstheme="minorBidi"/>
          <w:smallCaps w:val="0"/>
          <w:noProof/>
          <w:sz w:val="22"/>
          <w:szCs w:val="22"/>
          <w:lang w:val="en-AU" w:eastAsia="en-AU"/>
        </w:rPr>
        <w:tab/>
      </w:r>
      <w:r>
        <w:rPr>
          <w:noProof/>
        </w:rPr>
        <w:t>Realised Education Expenditure as % of Planned Expenditure 2006-07, BEP and Non-BEP districts</w:t>
      </w:r>
      <w:r>
        <w:rPr>
          <w:noProof/>
        </w:rPr>
        <w:tab/>
      </w:r>
      <w:r>
        <w:rPr>
          <w:noProof/>
        </w:rPr>
        <w:fldChar w:fldCharType="begin"/>
      </w:r>
      <w:r>
        <w:rPr>
          <w:noProof/>
        </w:rPr>
        <w:instrText xml:space="preserve"> PAGEREF _Toc343595550 \h </w:instrText>
      </w:r>
      <w:r>
        <w:rPr>
          <w:noProof/>
        </w:rPr>
      </w:r>
      <w:r>
        <w:rPr>
          <w:noProof/>
        </w:rPr>
        <w:fldChar w:fldCharType="separate"/>
      </w:r>
      <w:r w:rsidR="00F41D51">
        <w:rPr>
          <w:noProof/>
        </w:rPr>
        <w:t>38</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41:</w:t>
      </w:r>
      <w:r>
        <w:rPr>
          <w:rFonts w:asciiTheme="minorHAnsi" w:eastAsiaTheme="minorEastAsia" w:hAnsiTheme="minorHAnsi" w:cstheme="minorBidi"/>
          <w:smallCaps w:val="0"/>
          <w:noProof/>
          <w:sz w:val="22"/>
          <w:szCs w:val="22"/>
          <w:lang w:val="en-AU" w:eastAsia="en-AU"/>
        </w:rPr>
        <w:tab/>
      </w:r>
      <w:r>
        <w:rPr>
          <w:noProof/>
        </w:rPr>
        <w:t>Realised Education Expenditure as % of Planned Expenditure 2006 and 2007, by Poverty Quintile</w:t>
      </w:r>
      <w:r>
        <w:rPr>
          <w:noProof/>
        </w:rPr>
        <w:tab/>
      </w:r>
      <w:r>
        <w:rPr>
          <w:noProof/>
        </w:rPr>
        <w:fldChar w:fldCharType="begin"/>
      </w:r>
      <w:r>
        <w:rPr>
          <w:noProof/>
        </w:rPr>
        <w:instrText xml:space="preserve"> PAGEREF _Toc343595551 \h </w:instrText>
      </w:r>
      <w:r>
        <w:rPr>
          <w:noProof/>
        </w:rPr>
      </w:r>
      <w:r>
        <w:rPr>
          <w:noProof/>
        </w:rPr>
        <w:fldChar w:fldCharType="separate"/>
      </w:r>
      <w:r w:rsidR="00F41D51">
        <w:rPr>
          <w:noProof/>
        </w:rPr>
        <w:t>38</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42:</w:t>
      </w:r>
      <w:r>
        <w:rPr>
          <w:rFonts w:asciiTheme="minorHAnsi" w:eastAsiaTheme="minorEastAsia" w:hAnsiTheme="minorHAnsi" w:cstheme="minorBidi"/>
          <w:smallCaps w:val="0"/>
          <w:noProof/>
          <w:sz w:val="22"/>
          <w:szCs w:val="22"/>
          <w:lang w:val="en-AU" w:eastAsia="en-AU"/>
        </w:rPr>
        <w:tab/>
      </w:r>
      <w:r>
        <w:rPr>
          <w:noProof/>
        </w:rPr>
        <w:t>Poorest Quintile Districts that realised less than 90% of Education Budget 2007</w:t>
      </w:r>
      <w:r>
        <w:rPr>
          <w:noProof/>
        </w:rPr>
        <w:tab/>
      </w:r>
      <w:r>
        <w:rPr>
          <w:noProof/>
        </w:rPr>
        <w:fldChar w:fldCharType="begin"/>
      </w:r>
      <w:r>
        <w:rPr>
          <w:noProof/>
        </w:rPr>
        <w:instrText xml:space="preserve"> PAGEREF _Toc343595552 \h </w:instrText>
      </w:r>
      <w:r>
        <w:rPr>
          <w:noProof/>
        </w:rPr>
      </w:r>
      <w:r>
        <w:rPr>
          <w:noProof/>
        </w:rPr>
        <w:fldChar w:fldCharType="separate"/>
      </w:r>
      <w:r w:rsidR="00F41D51">
        <w:rPr>
          <w:noProof/>
        </w:rPr>
        <w:t>39</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43:</w:t>
      </w:r>
      <w:r>
        <w:rPr>
          <w:rFonts w:asciiTheme="minorHAnsi" w:eastAsiaTheme="minorEastAsia" w:hAnsiTheme="minorHAnsi" w:cstheme="minorBidi"/>
          <w:smallCaps w:val="0"/>
          <w:noProof/>
          <w:sz w:val="22"/>
          <w:szCs w:val="22"/>
          <w:lang w:val="en-AU" w:eastAsia="en-AU"/>
        </w:rPr>
        <w:tab/>
      </w:r>
      <w:r>
        <w:rPr>
          <w:noProof/>
        </w:rPr>
        <w:t>BOS Grants as % of Education &amp; Culture Budget 2006-2010 (public schools only)</w:t>
      </w:r>
      <w:r>
        <w:rPr>
          <w:noProof/>
        </w:rPr>
        <w:tab/>
      </w:r>
      <w:r>
        <w:rPr>
          <w:noProof/>
        </w:rPr>
        <w:fldChar w:fldCharType="begin"/>
      </w:r>
      <w:r>
        <w:rPr>
          <w:noProof/>
        </w:rPr>
        <w:instrText xml:space="preserve"> PAGEREF _Toc343595553 \h </w:instrText>
      </w:r>
      <w:r>
        <w:rPr>
          <w:noProof/>
        </w:rPr>
      </w:r>
      <w:r>
        <w:rPr>
          <w:noProof/>
        </w:rPr>
        <w:fldChar w:fldCharType="separate"/>
      </w:r>
      <w:r w:rsidR="00F41D51">
        <w:rPr>
          <w:noProof/>
        </w:rPr>
        <w:t>40</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44:</w:t>
      </w:r>
      <w:r>
        <w:rPr>
          <w:rFonts w:asciiTheme="minorHAnsi" w:eastAsiaTheme="minorEastAsia" w:hAnsiTheme="minorHAnsi" w:cstheme="minorBidi"/>
          <w:smallCaps w:val="0"/>
          <w:noProof/>
          <w:sz w:val="22"/>
          <w:szCs w:val="22"/>
          <w:lang w:val="en-AU" w:eastAsia="en-AU"/>
        </w:rPr>
        <w:tab/>
      </w:r>
      <w:r>
        <w:rPr>
          <w:noProof/>
        </w:rPr>
        <w:t>BEP and Non-BEP Districts - BOS Grants as % of Education &amp; Culture Budget 2006-2011</w:t>
      </w:r>
      <w:r>
        <w:rPr>
          <w:noProof/>
        </w:rPr>
        <w:tab/>
      </w:r>
      <w:r>
        <w:rPr>
          <w:noProof/>
        </w:rPr>
        <w:fldChar w:fldCharType="begin"/>
      </w:r>
      <w:r>
        <w:rPr>
          <w:noProof/>
        </w:rPr>
        <w:instrText xml:space="preserve"> PAGEREF _Toc343595554 \h </w:instrText>
      </w:r>
      <w:r>
        <w:rPr>
          <w:noProof/>
        </w:rPr>
      </w:r>
      <w:r>
        <w:rPr>
          <w:noProof/>
        </w:rPr>
        <w:fldChar w:fldCharType="separate"/>
      </w:r>
      <w:r w:rsidR="00F41D51">
        <w:rPr>
          <w:noProof/>
        </w:rPr>
        <w:t>40</w:t>
      </w:r>
      <w:r>
        <w:rPr>
          <w:noProof/>
        </w:rPr>
        <w:fldChar w:fldCharType="end"/>
      </w:r>
    </w:p>
    <w:p w:rsidR="00AF550B" w:rsidRDefault="00AF550B" w:rsidP="00AF550B">
      <w:pPr>
        <w:pStyle w:val="TableofFigures"/>
        <w:tabs>
          <w:tab w:val="left" w:pos="1100"/>
          <w:tab w:val="left" w:pos="1134"/>
          <w:tab w:val="right" w:leader="dot" w:pos="9017"/>
        </w:tabs>
        <w:ind w:left="1134" w:hanging="1134"/>
        <w:rPr>
          <w:rFonts w:asciiTheme="minorHAnsi" w:eastAsiaTheme="minorEastAsia" w:hAnsiTheme="minorHAnsi" w:cstheme="minorBidi"/>
          <w:smallCaps w:val="0"/>
          <w:noProof/>
          <w:sz w:val="22"/>
          <w:szCs w:val="22"/>
          <w:lang w:val="en-AU" w:eastAsia="en-AU"/>
        </w:rPr>
      </w:pPr>
      <w:r>
        <w:rPr>
          <w:noProof/>
        </w:rPr>
        <w:t>Figure 45:</w:t>
      </w:r>
      <w:r>
        <w:rPr>
          <w:rFonts w:asciiTheme="minorHAnsi" w:eastAsiaTheme="minorEastAsia" w:hAnsiTheme="minorHAnsi" w:cstheme="minorBidi"/>
          <w:smallCaps w:val="0"/>
          <w:noProof/>
          <w:sz w:val="22"/>
          <w:szCs w:val="22"/>
          <w:lang w:val="en-AU" w:eastAsia="en-AU"/>
        </w:rPr>
        <w:tab/>
      </w:r>
      <w:r>
        <w:rPr>
          <w:noProof/>
        </w:rPr>
        <w:t>BOS Grants as % of Education &amp; Culture Budget 2006-2011, by Poverty Quintile</w:t>
      </w:r>
      <w:r>
        <w:rPr>
          <w:noProof/>
        </w:rPr>
        <w:tab/>
      </w:r>
      <w:r>
        <w:rPr>
          <w:noProof/>
        </w:rPr>
        <w:fldChar w:fldCharType="begin"/>
      </w:r>
      <w:r>
        <w:rPr>
          <w:noProof/>
        </w:rPr>
        <w:instrText xml:space="preserve"> PAGEREF _Toc343595555 \h </w:instrText>
      </w:r>
      <w:r>
        <w:rPr>
          <w:noProof/>
        </w:rPr>
      </w:r>
      <w:r>
        <w:rPr>
          <w:noProof/>
        </w:rPr>
        <w:fldChar w:fldCharType="separate"/>
      </w:r>
      <w:r w:rsidR="00F41D51">
        <w:rPr>
          <w:noProof/>
        </w:rPr>
        <w:t>42</w:t>
      </w:r>
      <w:r>
        <w:rPr>
          <w:noProof/>
        </w:rPr>
        <w:fldChar w:fldCharType="end"/>
      </w:r>
    </w:p>
    <w:p w:rsidR="007A043F" w:rsidRDefault="00AF550B" w:rsidP="00AF550B">
      <w:pPr>
        <w:jc w:val="left"/>
      </w:pPr>
      <w:r>
        <w:fldChar w:fldCharType="end"/>
      </w:r>
    </w:p>
    <w:p w:rsidR="00AF550B" w:rsidRDefault="00AF550B" w:rsidP="00AF550B">
      <w:pPr>
        <w:jc w:val="left"/>
      </w:pPr>
    </w:p>
    <w:p w:rsidR="00AF550B" w:rsidRDefault="00AF550B" w:rsidP="00AF550B">
      <w:pPr>
        <w:jc w:val="left"/>
        <w:sectPr w:rsidR="00AF550B" w:rsidSect="00CB699C">
          <w:headerReference w:type="first" r:id="rId22"/>
          <w:pgSz w:w="11909" w:h="16834" w:code="9"/>
          <w:pgMar w:top="1440" w:right="1277" w:bottom="1440" w:left="1440" w:header="720" w:footer="720" w:gutter="0"/>
          <w:pgNumType w:fmt="lowerRoman"/>
          <w:cols w:space="720"/>
          <w:titlePg/>
          <w:docGrid w:linePitch="299"/>
        </w:sectPr>
      </w:pPr>
    </w:p>
    <w:p w:rsidR="00660BAF" w:rsidRPr="00193E45" w:rsidRDefault="00660BAF" w:rsidP="00877A6E">
      <w:pPr>
        <w:pStyle w:val="Heading1"/>
      </w:pPr>
      <w:bookmarkStart w:id="18" w:name="_Toc299738228"/>
      <w:bookmarkStart w:id="19" w:name="_Toc343597080"/>
      <w:r w:rsidRPr="00193E45">
        <w:t>Introduction</w:t>
      </w:r>
      <w:bookmarkEnd w:id="18"/>
      <w:bookmarkEnd w:id="19"/>
    </w:p>
    <w:p w:rsidR="00660BAF" w:rsidRDefault="008F6EEA" w:rsidP="00CB699C">
      <w:pPr>
        <w:ind w:right="382"/>
      </w:pPr>
      <w:r>
        <w:t>This is the fifth</w:t>
      </w:r>
      <w:r w:rsidR="00660BAF">
        <w:t xml:space="preserve"> Finance Performance Report </w:t>
      </w:r>
      <w:r w:rsidR="00F71F9A">
        <w:t xml:space="preserve">and continues an analytical series begun </w:t>
      </w:r>
      <w:r w:rsidR="00660BAF">
        <w:t>by the CSAS team</w:t>
      </w:r>
      <w:r w:rsidR="00F71F9A">
        <w:t xml:space="preserve"> work</w:t>
      </w:r>
      <w:r>
        <w:t>ing for the AusAID funded BEP during the period 2006-2010. This</w:t>
      </w:r>
      <w:r w:rsidR="00660BAF">
        <w:t xml:space="preserve"> report assesses the trends in education funding at national and district level in</w:t>
      </w:r>
      <w:r w:rsidR="00F71F9A">
        <w:t xml:space="preserve"> Indonesia between 20</w:t>
      </w:r>
      <w:r>
        <w:t>06 and 2011</w:t>
      </w:r>
      <w:r w:rsidR="00660BAF">
        <w:t>.</w:t>
      </w:r>
    </w:p>
    <w:p w:rsidR="00660BAF" w:rsidRDefault="00F71F9A" w:rsidP="00660BAF">
      <w:r>
        <w:t xml:space="preserve">This report has been prepared for the attention of AusAID as well as </w:t>
      </w:r>
      <w:r w:rsidR="00660BAF">
        <w:t xml:space="preserve">the senior level officials within relevant GoI agencies and </w:t>
      </w:r>
      <w:r w:rsidR="00573EF3">
        <w:t>other donor agencies</w:t>
      </w:r>
      <w:r w:rsidR="00660BAF">
        <w:t>.</w:t>
      </w:r>
    </w:p>
    <w:p w:rsidR="00660BAF" w:rsidRDefault="00660BAF" w:rsidP="00C8389B">
      <w:pPr>
        <w:pStyle w:val="Heading2"/>
      </w:pPr>
      <w:bookmarkStart w:id="20" w:name="_Toc299738229"/>
      <w:bookmarkStart w:id="21" w:name="_Toc343597081"/>
      <w:r>
        <w:t>Objectives of the Financial Performance Report</w:t>
      </w:r>
      <w:bookmarkEnd w:id="20"/>
      <w:bookmarkEnd w:id="21"/>
    </w:p>
    <w:p w:rsidR="00660BAF" w:rsidRPr="0074668D" w:rsidRDefault="00660BAF" w:rsidP="00660BAF">
      <w:r>
        <w:t>The objectives of the report are:</w:t>
      </w:r>
    </w:p>
    <w:p w:rsidR="00660BAF" w:rsidRDefault="00660BAF" w:rsidP="00F60A66">
      <w:pPr>
        <w:pStyle w:val="ListNumber"/>
        <w:numPr>
          <w:ilvl w:val="0"/>
          <w:numId w:val="19"/>
        </w:numPr>
      </w:pPr>
      <w:r>
        <w:t xml:space="preserve">To </w:t>
      </w:r>
      <w:r w:rsidRPr="004E4436">
        <w:t>identify</w:t>
      </w:r>
      <w:r>
        <w:t xml:space="preserve"> trends in the quantum and distribution of education funding in relation to national policy and school needs</w:t>
      </w:r>
    </w:p>
    <w:p w:rsidR="00660BAF" w:rsidRDefault="00660BAF" w:rsidP="00F60A66">
      <w:pPr>
        <w:pStyle w:val="ListNumber"/>
        <w:numPr>
          <w:ilvl w:val="0"/>
          <w:numId w:val="16"/>
        </w:numPr>
        <w:ind w:left="357" w:hanging="357"/>
      </w:pPr>
      <w:r>
        <w:t>To monitor education sector and school resourcing addressing the key RENSTRA themes of access, quality improvement and improved accountability</w:t>
      </w:r>
    </w:p>
    <w:p w:rsidR="00660BAF" w:rsidRDefault="00660BAF" w:rsidP="00F60A66">
      <w:pPr>
        <w:pStyle w:val="ListNumber"/>
        <w:numPr>
          <w:ilvl w:val="0"/>
          <w:numId w:val="16"/>
        </w:numPr>
        <w:ind w:left="357" w:hanging="357"/>
      </w:pPr>
      <w:r>
        <w:t xml:space="preserve">To inform </w:t>
      </w:r>
      <w:r w:rsidR="00573EF3">
        <w:t xml:space="preserve">AusAID, </w:t>
      </w:r>
      <w:r>
        <w:t xml:space="preserve">GoI and </w:t>
      </w:r>
      <w:r w:rsidR="00573EF3">
        <w:t xml:space="preserve">other </w:t>
      </w:r>
      <w:r>
        <w:t xml:space="preserve">donors of the effectiveness and efficiency of current school funding mechanisms </w:t>
      </w:r>
    </w:p>
    <w:p w:rsidR="00660BAF" w:rsidRDefault="00660BAF" w:rsidP="00F60A66">
      <w:pPr>
        <w:pStyle w:val="ListNumber"/>
        <w:numPr>
          <w:ilvl w:val="0"/>
          <w:numId w:val="16"/>
        </w:numPr>
        <w:ind w:left="357" w:hanging="357"/>
      </w:pPr>
      <w:r>
        <w:t xml:space="preserve">To support the capacity of GoI institutions to monitor and report on school financing </w:t>
      </w:r>
    </w:p>
    <w:p w:rsidR="00660BAF" w:rsidRDefault="00660BAF" w:rsidP="00660BAF">
      <w:pPr>
        <w:pStyle w:val="Heading2"/>
      </w:pPr>
      <w:bookmarkStart w:id="22" w:name="_Toc299738230"/>
      <w:bookmarkStart w:id="23" w:name="_Toc343597082"/>
      <w:r>
        <w:t>Scope of Analysis</w:t>
      </w:r>
      <w:bookmarkEnd w:id="22"/>
      <w:bookmarkEnd w:id="23"/>
    </w:p>
    <w:p w:rsidR="00660BAF" w:rsidRDefault="00660BAF" w:rsidP="00660BAF">
      <w:pPr>
        <w:pStyle w:val="Heading3"/>
      </w:pPr>
      <w:r>
        <w:t>District Level Disaggregation</w:t>
      </w:r>
    </w:p>
    <w:p w:rsidR="00660BAF" w:rsidRDefault="00660BAF" w:rsidP="00660BAF">
      <w:bookmarkStart w:id="24" w:name="OLE_LINK1"/>
      <w:bookmarkStart w:id="25" w:name="OLE_LINK2"/>
      <w:r>
        <w:t xml:space="preserve">The district level of government has an increasing importance in education provision under the GoI decentralisation policy. Financial analysis of education allocations therefore needs to have a district level disaggregation to assess the variability in fiscal capacity and actual allocations for education resourcing. </w:t>
      </w:r>
    </w:p>
    <w:bookmarkEnd w:id="24"/>
    <w:bookmarkEnd w:id="25"/>
    <w:p w:rsidR="00660BAF" w:rsidRDefault="00660BAF" w:rsidP="00660BAF">
      <w:pPr>
        <w:pStyle w:val="Heading3"/>
      </w:pPr>
      <w:r>
        <w:t>Key Performance Indicators</w:t>
      </w:r>
    </w:p>
    <w:p w:rsidR="00660BAF" w:rsidRDefault="00660BAF" w:rsidP="00660BAF">
      <w:r>
        <w:t xml:space="preserve">The Key Performance Indicators (KPI) focus on the three main RENSTRA themes and government financial commitment to education. </w:t>
      </w:r>
    </w:p>
    <w:p w:rsidR="00660BAF" w:rsidRPr="00365B6C" w:rsidRDefault="00660BAF" w:rsidP="00660BAF">
      <w:r>
        <w:t xml:space="preserve">Two Supplementary Performance Indicators (SPI) sit below the KPI. The SPI offer a more nuanced perspective across the three RENSTRA themes assessing education expenditure at a district level. SPI have been chosen based on available data against the three RENSTRA themes. </w:t>
      </w:r>
    </w:p>
    <w:p w:rsidR="00660BAF" w:rsidRDefault="00660BAF" w:rsidP="00660BAF">
      <w:pPr>
        <w:pStyle w:val="Heading3"/>
      </w:pPr>
      <w:r>
        <w:t>Lead and Lag Indicators</w:t>
      </w:r>
    </w:p>
    <w:p w:rsidR="00660BAF" w:rsidRDefault="00660BAF" w:rsidP="00660BAF">
      <w:r>
        <w:t>Each of the indicators proposed are described as being either a lead or lag indicator</w:t>
      </w:r>
      <w:r>
        <w:rPr>
          <w:rStyle w:val="FootnoteReference"/>
        </w:rPr>
        <w:footnoteReference w:id="1"/>
      </w:r>
      <w:r>
        <w:t xml:space="preserve">. </w:t>
      </w:r>
    </w:p>
    <w:p w:rsidR="00660BAF" w:rsidRDefault="00660BAF" w:rsidP="00660BAF">
      <w:r>
        <w:t xml:space="preserve">Lag indicators are summative in nature. They describe the current state of progress toward an expected outcome. For example, a lag indicator measuring government financial commitment towards education is the percentage of total public expenditure allocated towards education. </w:t>
      </w:r>
    </w:p>
    <w:p w:rsidR="00660BAF" w:rsidRPr="00EC2779" w:rsidRDefault="00660BAF" w:rsidP="00660BAF">
      <w:r>
        <w:t>Lead indicators are those which capture the rate of movement towards an outcome or have a clear causal relationship to a desired outcome. For example, a lead indicator of government commitment towards financial commitment towards education might be annual percentage real increase in the education share of total public expenditure.</w:t>
      </w:r>
    </w:p>
    <w:p w:rsidR="00660BAF" w:rsidRDefault="00660BAF" w:rsidP="00660BAF">
      <w:pPr>
        <w:pStyle w:val="Heading3"/>
      </w:pPr>
      <w:r>
        <w:t>Selection of Indicators</w:t>
      </w:r>
    </w:p>
    <w:p w:rsidR="00660BAF" w:rsidRDefault="00660BAF" w:rsidP="00660BAF">
      <w:r w:rsidRPr="00464B20">
        <w:t xml:space="preserve">The </w:t>
      </w:r>
      <w:r>
        <w:t xml:space="preserve">indicators used have been drawn from a number of sources. One group of Key Performance Indicators is used by GoI as part of its EFA reporting obligations. </w:t>
      </w:r>
    </w:p>
    <w:p w:rsidR="00660BAF" w:rsidRDefault="00660BAF" w:rsidP="00660BAF">
      <w:r>
        <w:t xml:space="preserve">Another set of indicators focuses mainly on the district level of analysis. These have been selected to be of use for the </w:t>
      </w:r>
      <w:r w:rsidR="00C52844">
        <w:t xml:space="preserve">Indonesian government and the </w:t>
      </w:r>
      <w:r>
        <w:t xml:space="preserve">Basic Education Program (BEP) in promoting development of the basic education sector across Indonesia. These indicators can be of use at the district level for planning and budgeting purposes. </w:t>
      </w:r>
    </w:p>
    <w:p w:rsidR="00660BAF" w:rsidRDefault="00660BAF" w:rsidP="00660BAF">
      <w:pPr>
        <w:pStyle w:val="Heading2"/>
      </w:pPr>
      <w:bookmarkStart w:id="26" w:name="_Toc299738231"/>
      <w:bookmarkStart w:id="27" w:name="_Toc343597083"/>
      <w:r>
        <w:t>Approach and Methodology</w:t>
      </w:r>
      <w:bookmarkEnd w:id="26"/>
      <w:bookmarkEnd w:id="27"/>
    </w:p>
    <w:p w:rsidR="00660BAF" w:rsidRDefault="00660BAF" w:rsidP="00660BAF">
      <w:pPr>
        <w:pStyle w:val="Heading3"/>
      </w:pPr>
      <w:r>
        <w:t>Phased Approach – Over 3 Years</w:t>
      </w:r>
    </w:p>
    <w:p w:rsidR="00660BAF" w:rsidRPr="00612A13" w:rsidRDefault="00660BAF" w:rsidP="00660BAF">
      <w:r w:rsidRPr="00612A13">
        <w:t>The financial performance monitoring of the education sector began in 2007. The annual Financial Performance Report has built on each successive year as additional data becomes available and as the indicators become better known. Financial performance monitoring begins with what is available now and works towards future improvement.</w:t>
      </w:r>
    </w:p>
    <w:p w:rsidR="00660BAF" w:rsidRDefault="00660BAF" w:rsidP="00660BAF">
      <w:pPr>
        <w:pStyle w:val="Heading3"/>
      </w:pPr>
      <w:r>
        <w:t>Data Sources and Collections: Financial Data</w:t>
      </w:r>
    </w:p>
    <w:p w:rsidR="00660BAF" w:rsidRPr="00612A13" w:rsidRDefault="00660BAF" w:rsidP="00660BAF">
      <w:r w:rsidRPr="00C311C5">
        <w:rPr>
          <w:b/>
          <w:i/>
        </w:rPr>
        <w:t>National level financial data</w:t>
      </w:r>
      <w:r>
        <w:t xml:space="preserve"> </w:t>
      </w:r>
      <w:r w:rsidRPr="00612A13">
        <w:t>-This report has been able to update some of the historical data used in previous reports. Data for the period 2001-2005 remains unchanged but there have been revisions for the period 2006-2008.  The government compiled comprehensive multi-year data on national and sub-national expenditures towards education in its submission to the Supreme Court case on its legal obligation to allocate at least 20% of the national budget towards education (Supreme Court Decision Number 13/PUU-VI/2008). This data has replaced the previous estimates generated by the World Bank 2006 and 2007 and CSAS for 2008.</w:t>
      </w:r>
    </w:p>
    <w:p w:rsidR="00660BAF" w:rsidRPr="00612A13" w:rsidRDefault="00660BAF" w:rsidP="00660BAF">
      <w:r w:rsidRPr="00612A13">
        <w:t xml:space="preserve">Detailed </w:t>
      </w:r>
      <w:r w:rsidR="00573EF3" w:rsidRPr="00612A13">
        <w:t xml:space="preserve">financial </w:t>
      </w:r>
      <w:r w:rsidR="00612A13" w:rsidRPr="00612A13">
        <w:t xml:space="preserve">data for 2009, </w:t>
      </w:r>
      <w:r w:rsidR="00573EF3" w:rsidRPr="00612A13">
        <w:t xml:space="preserve">2010 </w:t>
      </w:r>
      <w:r w:rsidR="00612A13" w:rsidRPr="00612A13">
        <w:t xml:space="preserve">and 2011 </w:t>
      </w:r>
      <w:r w:rsidRPr="00612A13">
        <w:t xml:space="preserve">has been collected from </w:t>
      </w:r>
      <w:r w:rsidR="00573EF3" w:rsidRPr="00612A13">
        <w:t xml:space="preserve">Financial Note and Indonesian Revised Budget 2010, section III-2, (published by MoF,  2010). </w:t>
      </w:r>
    </w:p>
    <w:p w:rsidR="00660BAF" w:rsidRPr="00612A13" w:rsidRDefault="00660BAF" w:rsidP="00660BAF">
      <w:r w:rsidRPr="00C311C5">
        <w:rPr>
          <w:b/>
          <w:i/>
        </w:rPr>
        <w:t xml:space="preserve">District level </w:t>
      </w:r>
      <w:r w:rsidRPr="00612A13">
        <w:rPr>
          <w:b/>
          <w:i/>
        </w:rPr>
        <w:t>financial</w:t>
      </w:r>
      <w:r w:rsidRPr="00612A13">
        <w:t xml:space="preserve"> data has been collected from the Ministry of Finance (MoF) Regional Financial Information System (SIKD). The SIKD collects in hard copy format the budget and actual expenditures of all districts and provinces. </w:t>
      </w:r>
      <w:r w:rsidR="00573EF3" w:rsidRPr="00612A13">
        <w:t xml:space="preserve">The author worked with </w:t>
      </w:r>
      <w:r w:rsidRPr="00612A13">
        <w:t xml:space="preserve">the Officers of the SIKD section to be given access to the available SIKD records. A painstaking process of manually sorting through the paper financial records of all districts and provinces was undertaken. Near complete financial records for all districts and provinces were obtained for 2007 and for approximately 78% of all districts in </w:t>
      </w:r>
      <w:r w:rsidR="00573EF3" w:rsidRPr="00612A13">
        <w:t xml:space="preserve">2006.  Data collection for 2008, </w:t>
      </w:r>
      <w:r w:rsidRPr="00612A13">
        <w:t xml:space="preserve">2009 </w:t>
      </w:r>
      <w:r w:rsidR="00573EF3" w:rsidRPr="00612A13">
        <w:t xml:space="preserve">and 2010 </w:t>
      </w:r>
      <w:r w:rsidRPr="00612A13">
        <w:t xml:space="preserve">has been direct from the electronic records within the SIKD section of the MoF. </w:t>
      </w:r>
      <w:r w:rsidR="00573EF3" w:rsidRPr="00612A13">
        <w:t>There have been some changes in the</w:t>
      </w:r>
      <w:r w:rsidR="00612A13" w:rsidRPr="00612A13">
        <w:t xml:space="preserve"> records for years prior to 2011</w:t>
      </w:r>
      <w:r w:rsidR="00573EF3" w:rsidRPr="00612A13">
        <w:t xml:space="preserve"> and these have been incorporated into the database.</w:t>
      </w:r>
      <w:r w:rsidR="00612A13" w:rsidRPr="00612A13">
        <w:t xml:space="preserve"> In particular, there has been a considerable addition of 2010 data for districts that was not available in time for the previous report. There were also some revisions in the district budget data for that year which have led to some variations in results for that year.</w:t>
      </w:r>
    </w:p>
    <w:p w:rsidR="00660BAF" w:rsidRDefault="00660BAF" w:rsidP="00660BAF">
      <w:pPr>
        <w:pStyle w:val="Heading3"/>
      </w:pPr>
      <w:r>
        <w:t>Data Sources and Collections: Non-Financial Data</w:t>
      </w:r>
    </w:p>
    <w:p w:rsidR="00660BAF" w:rsidRPr="00612A13" w:rsidRDefault="00660BAF" w:rsidP="00660BAF">
      <w:r w:rsidRPr="00612A13">
        <w:rPr>
          <w:b/>
          <w:i/>
        </w:rPr>
        <w:t>Education:</w:t>
      </w:r>
      <w:r w:rsidRPr="00612A13">
        <w:t xml:space="preserve"> The student, teacher and school facilities data is derived from the statistical collection of the Education C</w:t>
      </w:r>
      <w:r w:rsidR="00612A13" w:rsidRPr="00612A13">
        <w:t>ensus conducted by MORA and MOEC</w:t>
      </w:r>
      <w:r w:rsidRPr="00612A13">
        <w:t xml:space="preserve">. This education data has been collected and stored in the BEP Education Sector Database. This database has been built from available government statistical collections and represents authoritative government sanctioned data. The database includes population data collected from the Bureau of Central Statistics (BPS). </w:t>
      </w:r>
    </w:p>
    <w:p w:rsidR="00660BAF" w:rsidRPr="00612A13" w:rsidRDefault="00660BAF" w:rsidP="00660BAF">
      <w:r w:rsidRPr="00612A13">
        <w:rPr>
          <w:b/>
          <w:i/>
        </w:rPr>
        <w:t xml:space="preserve">Poverty: </w:t>
      </w:r>
      <w:r w:rsidRPr="00612A13">
        <w:t xml:space="preserve">Poverty is an important analytical filter for the Financial Performance Report. Financial data analysis includes an examination of poverty by segregating districts into poverty quintiles. This analysis is consistent with the analysis applied in the CSAS Annual Sector Monitoring Report. The Poverty quintiles are based on the “P0” poverty scale developed by Survei Sosial Ekonomi Nasional (SUSENAS). This scale captures the incidence of poverty (the proportion of people living below the poverty line). </w:t>
      </w:r>
    </w:p>
    <w:p w:rsidR="00660BAF" w:rsidRDefault="00660BAF" w:rsidP="00660BAF">
      <w:pPr>
        <w:pStyle w:val="Heading3"/>
      </w:pPr>
      <w:r>
        <w:t xml:space="preserve">Incorporate Into Existing Reporting Systems </w:t>
      </w:r>
    </w:p>
    <w:p w:rsidR="00660BAF" w:rsidRPr="00663B64" w:rsidRDefault="00660BAF" w:rsidP="00660BAF">
      <w:r w:rsidRPr="00663B64">
        <w:t xml:space="preserve">The Financial Performance Report indicators and analysis </w:t>
      </w:r>
      <w:r w:rsidR="00573EF3" w:rsidRPr="00663B64">
        <w:t xml:space="preserve">are </w:t>
      </w:r>
      <w:r w:rsidRPr="00663B64">
        <w:t>available to be used and incorporated within ex</w:t>
      </w:r>
      <w:r w:rsidR="00612A13" w:rsidRPr="00663B64">
        <w:t>isting mandatory reports of MOEC</w:t>
      </w:r>
      <w:r w:rsidRPr="00663B64">
        <w:t xml:space="preserve"> and MORA. </w:t>
      </w:r>
    </w:p>
    <w:p w:rsidR="00660BAF" w:rsidRPr="00663B64" w:rsidRDefault="00660BAF" w:rsidP="00660BAF">
      <w:r w:rsidRPr="00663B64">
        <w:t xml:space="preserve">The data underpinning most of the indicators at the district level is sourced from GoI statistical collections. This should mean the indicators will be able to be reported within other regular reports. At the district level, these indicators will be useful and could be incorporated within their reporting systems. </w:t>
      </w:r>
    </w:p>
    <w:p w:rsidR="00660BAF" w:rsidRDefault="00660BAF" w:rsidP="00660BAF">
      <w:pPr>
        <w:pStyle w:val="Heading2"/>
      </w:pPr>
      <w:bookmarkStart w:id="28" w:name="_Toc299738232"/>
      <w:bookmarkStart w:id="29" w:name="_Toc343597084"/>
      <w:r>
        <w:t>Report Structure</w:t>
      </w:r>
      <w:bookmarkEnd w:id="28"/>
      <w:bookmarkEnd w:id="29"/>
      <w:r>
        <w:t xml:space="preserve"> </w:t>
      </w:r>
    </w:p>
    <w:p w:rsidR="00660BAF" w:rsidRDefault="00660BAF" w:rsidP="00660BAF">
      <w:pPr>
        <w:pStyle w:val="Heading3"/>
      </w:pPr>
      <w:r>
        <w:t xml:space="preserve">Financial Performance - National Level </w:t>
      </w:r>
    </w:p>
    <w:p w:rsidR="00660BAF" w:rsidRPr="00612A13" w:rsidRDefault="00660BAF" w:rsidP="00660BAF">
      <w:r w:rsidRPr="00612A13">
        <w:t xml:space="preserve">The Financial Performance Statement presents an analysis of the nationally available financial performance indicators for education. These are presented according to the key RENSTRA themes of Access, Quality and Governance/Accountability. </w:t>
      </w:r>
    </w:p>
    <w:p w:rsidR="00660BAF" w:rsidRDefault="00660BAF" w:rsidP="00660BAF">
      <w:pPr>
        <w:pStyle w:val="Heading3"/>
      </w:pPr>
      <w:r>
        <w:t xml:space="preserve">Financial Performance – District Level </w:t>
      </w:r>
    </w:p>
    <w:p w:rsidR="00660BAF" w:rsidRPr="00612A13" w:rsidRDefault="00660BAF" w:rsidP="00660BAF">
      <w:r w:rsidRPr="00612A13">
        <w:t>Two additional Fin</w:t>
      </w:r>
      <w:r w:rsidR="00573EF3" w:rsidRPr="00612A13">
        <w:t>ancial Performance KPIs and one SPI</w:t>
      </w:r>
      <w:r w:rsidRPr="00612A13">
        <w:t xml:space="preserve"> have been identified for the district level to assess district level allocations to basic education.</w:t>
      </w:r>
    </w:p>
    <w:p w:rsidR="00660BAF" w:rsidRDefault="00660BAF" w:rsidP="00660BAF"/>
    <w:p w:rsidR="00660BAF" w:rsidRDefault="00660BAF">
      <w:pPr>
        <w:spacing w:after="0" w:line="240" w:lineRule="auto"/>
        <w:jc w:val="left"/>
        <w:rPr>
          <w:rFonts w:ascii="Cambria" w:hAnsi="Cambria"/>
          <w:b/>
          <w:smallCaps/>
          <w:color w:val="943634"/>
          <w:spacing w:val="5"/>
          <w:sz w:val="28"/>
          <w:szCs w:val="32"/>
        </w:rPr>
      </w:pPr>
      <w:r>
        <w:br w:type="page"/>
      </w:r>
    </w:p>
    <w:p w:rsidR="00AE577B" w:rsidRDefault="00CF1136" w:rsidP="00AE577B">
      <w:pPr>
        <w:pStyle w:val="Heading1"/>
      </w:pPr>
      <w:bookmarkStart w:id="30" w:name="_Toc299738233"/>
      <w:bookmarkStart w:id="31" w:name="_Toc343597085"/>
      <w:r>
        <w:t>Financial Per</w:t>
      </w:r>
      <w:r w:rsidR="00AE577B">
        <w:t>formance – National Level</w:t>
      </w:r>
      <w:bookmarkEnd w:id="30"/>
      <w:bookmarkEnd w:id="31"/>
      <w:r w:rsidR="00AE577B">
        <w:t xml:space="preserve"> </w:t>
      </w:r>
    </w:p>
    <w:p w:rsidR="00AE577B" w:rsidRDefault="00AE577B" w:rsidP="00AE577B">
      <w:pPr>
        <w:pStyle w:val="Heading2"/>
      </w:pPr>
      <w:bookmarkStart w:id="32" w:name="_Toc299738234"/>
      <w:bookmarkStart w:id="33" w:name="_Toc343597086"/>
      <w:r>
        <w:t>Overview</w:t>
      </w:r>
      <w:r w:rsidR="0004291E">
        <w:t xml:space="preserve"> and </w:t>
      </w:r>
      <w:r w:rsidR="00CF1136">
        <w:t>National Data Sources</w:t>
      </w:r>
      <w:bookmarkEnd w:id="32"/>
      <w:bookmarkEnd w:id="33"/>
      <w:r w:rsidR="00CF1136">
        <w:t xml:space="preserve"> </w:t>
      </w:r>
    </w:p>
    <w:p w:rsidR="00CF70E6" w:rsidRDefault="002F2157" w:rsidP="00BA7FA0">
      <w:pPr>
        <w:pStyle w:val="Caption"/>
      </w:pPr>
      <w:bookmarkStart w:id="34" w:name="_Toc253398180"/>
      <w:bookmarkStart w:id="35" w:name="_Toc253439712"/>
      <w:bookmarkStart w:id="36" w:name="_Toc253441188"/>
      <w:bookmarkStart w:id="37" w:name="_Toc253442111"/>
      <w:bookmarkStart w:id="38" w:name="_Toc299653943"/>
      <w:bookmarkStart w:id="39" w:name="_Toc299738239"/>
      <w:bookmarkStart w:id="40" w:name="_Toc300303424"/>
      <w:bookmarkStart w:id="41" w:name="_Toc343595510"/>
      <w:bookmarkStart w:id="42" w:name="_Toc343595512"/>
      <w:r>
        <w:t xml:space="preserve">Table </w:t>
      </w:r>
      <w:r w:rsidR="00DC2891">
        <w:fldChar w:fldCharType="begin"/>
      </w:r>
      <w:r w:rsidR="00DC2891">
        <w:instrText xml:space="preserve"> SEQ Table \* ARABIC </w:instrText>
      </w:r>
      <w:r w:rsidR="00DC2891">
        <w:fldChar w:fldCharType="separate"/>
      </w:r>
      <w:r w:rsidR="00B10222">
        <w:rPr>
          <w:noProof/>
        </w:rPr>
        <w:t>2</w:t>
      </w:r>
      <w:r w:rsidR="00DC2891">
        <w:rPr>
          <w:noProof/>
        </w:rPr>
        <w:fldChar w:fldCharType="end"/>
      </w:r>
      <w:r>
        <w:tab/>
      </w:r>
      <w:r w:rsidR="00CF70E6">
        <w:t>National Level Education Financing Data 2001-20</w:t>
      </w:r>
      <w:bookmarkEnd w:id="34"/>
      <w:bookmarkEnd w:id="35"/>
      <w:bookmarkEnd w:id="36"/>
      <w:bookmarkEnd w:id="37"/>
      <w:r w:rsidR="004D6016">
        <w:t>1</w:t>
      </w:r>
      <w:bookmarkEnd w:id="38"/>
      <w:bookmarkEnd w:id="39"/>
      <w:bookmarkEnd w:id="40"/>
      <w:r w:rsidR="00274EE6">
        <w:t>1</w:t>
      </w:r>
      <w:bookmarkEnd w:id="41"/>
      <w:bookmarkEnd w:id="42"/>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684"/>
        <w:gridCol w:w="709"/>
        <w:gridCol w:w="709"/>
        <w:gridCol w:w="708"/>
        <w:gridCol w:w="709"/>
        <w:gridCol w:w="851"/>
        <w:gridCol w:w="708"/>
        <w:gridCol w:w="709"/>
        <w:gridCol w:w="709"/>
        <w:gridCol w:w="709"/>
        <w:gridCol w:w="708"/>
      </w:tblGrid>
      <w:tr w:rsidR="00274EE6" w:rsidRPr="00B41D9B" w:rsidTr="00274EE6">
        <w:trPr>
          <w:trHeight w:val="255"/>
        </w:trPr>
        <w:tc>
          <w:tcPr>
            <w:tcW w:w="1741" w:type="dxa"/>
            <w:shd w:val="clear" w:color="auto" w:fill="auto"/>
            <w:hideMark/>
          </w:tcPr>
          <w:p w:rsidR="00B41D9B" w:rsidRPr="00B41D9B" w:rsidRDefault="00B41D9B" w:rsidP="00B41D9B">
            <w:pPr>
              <w:spacing w:after="0" w:line="240" w:lineRule="auto"/>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Item</w:t>
            </w:r>
          </w:p>
        </w:tc>
        <w:tc>
          <w:tcPr>
            <w:tcW w:w="684" w:type="dxa"/>
            <w:shd w:val="clear" w:color="auto" w:fill="auto"/>
            <w:hideMark/>
          </w:tcPr>
          <w:p w:rsidR="00B41D9B" w:rsidRPr="00B41D9B" w:rsidRDefault="00B41D9B" w:rsidP="00B41D9B">
            <w:pPr>
              <w:spacing w:after="0" w:line="240" w:lineRule="auto"/>
              <w:jc w:val="right"/>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2001</w:t>
            </w:r>
          </w:p>
        </w:tc>
        <w:tc>
          <w:tcPr>
            <w:tcW w:w="709" w:type="dxa"/>
            <w:shd w:val="clear" w:color="auto" w:fill="auto"/>
            <w:hideMark/>
          </w:tcPr>
          <w:p w:rsidR="00B41D9B" w:rsidRPr="00B41D9B" w:rsidRDefault="00B41D9B" w:rsidP="00B41D9B">
            <w:pPr>
              <w:spacing w:after="0" w:line="240" w:lineRule="auto"/>
              <w:jc w:val="right"/>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2002</w:t>
            </w:r>
          </w:p>
        </w:tc>
        <w:tc>
          <w:tcPr>
            <w:tcW w:w="709" w:type="dxa"/>
            <w:shd w:val="clear" w:color="auto" w:fill="auto"/>
            <w:hideMark/>
          </w:tcPr>
          <w:p w:rsidR="00B41D9B" w:rsidRPr="00B41D9B" w:rsidRDefault="00B41D9B" w:rsidP="00B41D9B">
            <w:pPr>
              <w:spacing w:after="0" w:line="240" w:lineRule="auto"/>
              <w:jc w:val="right"/>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2003</w:t>
            </w:r>
          </w:p>
        </w:tc>
        <w:tc>
          <w:tcPr>
            <w:tcW w:w="708" w:type="dxa"/>
            <w:shd w:val="clear" w:color="auto" w:fill="auto"/>
            <w:hideMark/>
          </w:tcPr>
          <w:p w:rsidR="00B41D9B" w:rsidRPr="00B41D9B" w:rsidRDefault="00B41D9B" w:rsidP="00B41D9B">
            <w:pPr>
              <w:spacing w:after="0" w:line="240" w:lineRule="auto"/>
              <w:jc w:val="right"/>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2004</w:t>
            </w:r>
          </w:p>
        </w:tc>
        <w:tc>
          <w:tcPr>
            <w:tcW w:w="709" w:type="dxa"/>
            <w:shd w:val="clear" w:color="auto" w:fill="auto"/>
            <w:hideMark/>
          </w:tcPr>
          <w:p w:rsidR="00B41D9B" w:rsidRPr="00B41D9B" w:rsidRDefault="00B41D9B" w:rsidP="00B41D9B">
            <w:pPr>
              <w:spacing w:after="0" w:line="240" w:lineRule="auto"/>
              <w:jc w:val="right"/>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2005</w:t>
            </w:r>
          </w:p>
        </w:tc>
        <w:tc>
          <w:tcPr>
            <w:tcW w:w="851" w:type="dxa"/>
            <w:shd w:val="clear" w:color="auto" w:fill="auto"/>
            <w:hideMark/>
          </w:tcPr>
          <w:p w:rsidR="00B41D9B" w:rsidRPr="00B41D9B" w:rsidRDefault="00B41D9B" w:rsidP="00B41D9B">
            <w:pPr>
              <w:spacing w:after="0" w:line="240" w:lineRule="auto"/>
              <w:jc w:val="right"/>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2006</w:t>
            </w:r>
          </w:p>
        </w:tc>
        <w:tc>
          <w:tcPr>
            <w:tcW w:w="708" w:type="dxa"/>
            <w:shd w:val="clear" w:color="auto" w:fill="auto"/>
            <w:hideMark/>
          </w:tcPr>
          <w:p w:rsidR="00B41D9B" w:rsidRPr="00B41D9B" w:rsidRDefault="00B41D9B" w:rsidP="00B41D9B">
            <w:pPr>
              <w:spacing w:after="0" w:line="240" w:lineRule="auto"/>
              <w:jc w:val="right"/>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2007</w:t>
            </w:r>
          </w:p>
        </w:tc>
        <w:tc>
          <w:tcPr>
            <w:tcW w:w="709" w:type="dxa"/>
            <w:shd w:val="clear" w:color="auto" w:fill="auto"/>
            <w:hideMark/>
          </w:tcPr>
          <w:p w:rsidR="00B41D9B" w:rsidRPr="00B41D9B" w:rsidRDefault="00B41D9B" w:rsidP="00B41D9B">
            <w:pPr>
              <w:spacing w:after="0" w:line="240" w:lineRule="auto"/>
              <w:jc w:val="right"/>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2008</w:t>
            </w:r>
          </w:p>
        </w:tc>
        <w:tc>
          <w:tcPr>
            <w:tcW w:w="709" w:type="dxa"/>
            <w:shd w:val="clear" w:color="auto" w:fill="auto"/>
            <w:hideMark/>
          </w:tcPr>
          <w:p w:rsidR="00B41D9B" w:rsidRPr="00B41D9B" w:rsidRDefault="00B41D9B" w:rsidP="00B41D9B">
            <w:pPr>
              <w:spacing w:after="0" w:line="240" w:lineRule="auto"/>
              <w:jc w:val="right"/>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2009</w:t>
            </w:r>
          </w:p>
        </w:tc>
        <w:tc>
          <w:tcPr>
            <w:tcW w:w="709" w:type="dxa"/>
            <w:shd w:val="clear" w:color="auto" w:fill="auto"/>
            <w:hideMark/>
          </w:tcPr>
          <w:p w:rsidR="00B41D9B" w:rsidRPr="00B41D9B" w:rsidRDefault="00B41D9B" w:rsidP="00B41D9B">
            <w:pPr>
              <w:spacing w:after="0" w:line="240" w:lineRule="auto"/>
              <w:jc w:val="right"/>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2010</w:t>
            </w:r>
          </w:p>
        </w:tc>
        <w:tc>
          <w:tcPr>
            <w:tcW w:w="708" w:type="dxa"/>
            <w:shd w:val="clear" w:color="auto" w:fill="auto"/>
            <w:hideMark/>
          </w:tcPr>
          <w:p w:rsidR="00B41D9B" w:rsidRPr="00B41D9B" w:rsidRDefault="00B41D9B" w:rsidP="00B41D9B">
            <w:pPr>
              <w:spacing w:after="0" w:line="240" w:lineRule="auto"/>
              <w:jc w:val="right"/>
              <w:rPr>
                <w:rFonts w:asciiTheme="minorHAnsi" w:hAnsiTheme="minorHAnsi" w:cstheme="minorHAnsi"/>
                <w:b/>
                <w:bCs/>
                <w:sz w:val="18"/>
                <w:szCs w:val="18"/>
                <w:lang w:val="en-AU" w:eastAsia="en-AU"/>
              </w:rPr>
            </w:pPr>
            <w:r w:rsidRPr="00B41D9B">
              <w:rPr>
                <w:rFonts w:asciiTheme="minorHAnsi" w:hAnsiTheme="minorHAnsi" w:cstheme="minorHAnsi"/>
                <w:b/>
                <w:bCs/>
                <w:sz w:val="18"/>
                <w:szCs w:val="18"/>
                <w:lang w:val="en-AU" w:eastAsia="en-AU"/>
              </w:rPr>
              <w:t>2011</w:t>
            </w:r>
          </w:p>
        </w:tc>
      </w:tr>
      <w:tr w:rsidR="00274EE6" w:rsidRPr="00B41D9B" w:rsidTr="00274EE6">
        <w:trPr>
          <w:trHeight w:val="525"/>
        </w:trPr>
        <w:tc>
          <w:tcPr>
            <w:tcW w:w="1741" w:type="dxa"/>
            <w:shd w:val="clear" w:color="auto" w:fill="auto"/>
            <w:hideMark/>
          </w:tcPr>
          <w:p w:rsidR="00B41D9B" w:rsidRPr="00B41D9B" w:rsidRDefault="00B41D9B" w:rsidP="004D49E5">
            <w:pPr>
              <w:spacing w:after="0" w:line="240" w:lineRule="auto"/>
              <w:jc w:val="left"/>
              <w:rPr>
                <w:rFonts w:asciiTheme="minorHAnsi" w:hAnsiTheme="minorHAnsi" w:cstheme="minorHAnsi"/>
                <w:sz w:val="18"/>
                <w:szCs w:val="18"/>
                <w:lang w:val="en-AU" w:eastAsia="en-AU"/>
              </w:rPr>
            </w:pPr>
            <w:r w:rsidRPr="00B41D9B">
              <w:rPr>
                <w:rFonts w:asciiTheme="minorHAnsi" w:hAnsiTheme="minorHAnsi" w:cstheme="minorHAnsi"/>
                <w:sz w:val="18"/>
                <w:szCs w:val="18"/>
                <w:lang w:val="en-AU" w:eastAsia="en-AU"/>
              </w:rPr>
              <w:t xml:space="preserve">Nominal National Education Expenditures (Rp trillion) </w:t>
            </w:r>
            <w:r w:rsidRPr="00B41D9B">
              <w:rPr>
                <w:rFonts w:asciiTheme="minorHAnsi" w:hAnsiTheme="minorHAnsi" w:cstheme="minorHAnsi"/>
                <w:sz w:val="18"/>
                <w:szCs w:val="18"/>
                <w:vertAlign w:val="superscript"/>
                <w:lang w:val="en-AU" w:eastAsia="en-AU"/>
              </w:rPr>
              <w:t>(1)</w:t>
            </w:r>
          </w:p>
        </w:tc>
        <w:tc>
          <w:tcPr>
            <w:tcW w:w="684"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42.3</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53.1</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64.8</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63.1</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78.6</w:t>
            </w:r>
          </w:p>
        </w:tc>
        <w:tc>
          <w:tcPr>
            <w:tcW w:w="851"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122.99</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142.2</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154</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207.41</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225.2</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243.3</w:t>
            </w:r>
          </w:p>
        </w:tc>
      </w:tr>
      <w:tr w:rsidR="00274EE6" w:rsidRPr="00B41D9B" w:rsidTr="00274EE6">
        <w:trPr>
          <w:trHeight w:val="285"/>
        </w:trPr>
        <w:tc>
          <w:tcPr>
            <w:tcW w:w="1741" w:type="dxa"/>
            <w:shd w:val="clear" w:color="auto" w:fill="auto"/>
            <w:hideMark/>
          </w:tcPr>
          <w:p w:rsidR="00B41D9B" w:rsidRPr="00B41D9B" w:rsidRDefault="00B41D9B" w:rsidP="004D49E5">
            <w:pPr>
              <w:spacing w:after="0" w:line="240" w:lineRule="auto"/>
              <w:jc w:val="left"/>
              <w:rPr>
                <w:rFonts w:asciiTheme="minorHAnsi" w:hAnsiTheme="minorHAnsi" w:cstheme="minorHAnsi"/>
                <w:sz w:val="18"/>
                <w:szCs w:val="18"/>
                <w:lang w:val="en-AU" w:eastAsia="en-AU"/>
              </w:rPr>
            </w:pPr>
            <w:r w:rsidRPr="00B41D9B">
              <w:rPr>
                <w:rFonts w:asciiTheme="minorHAnsi" w:hAnsiTheme="minorHAnsi" w:cstheme="minorHAnsi"/>
                <w:sz w:val="18"/>
                <w:szCs w:val="18"/>
                <w:lang w:val="en-AU" w:eastAsia="en-AU"/>
              </w:rPr>
              <w:t xml:space="preserve">Annual Inflation Rate </w:t>
            </w:r>
            <w:r w:rsidRPr="00B41D9B">
              <w:rPr>
                <w:rFonts w:asciiTheme="minorHAnsi" w:hAnsiTheme="minorHAnsi" w:cstheme="minorHAnsi"/>
                <w:sz w:val="18"/>
                <w:szCs w:val="18"/>
                <w:vertAlign w:val="superscript"/>
                <w:lang w:val="en-AU" w:eastAsia="en-AU"/>
              </w:rPr>
              <w:t>(2) (3)</w:t>
            </w:r>
          </w:p>
        </w:tc>
        <w:tc>
          <w:tcPr>
            <w:tcW w:w="684"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100.0%</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10.0%</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5.1%</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6.4%</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17.1%</w:t>
            </w:r>
          </w:p>
        </w:tc>
        <w:tc>
          <w:tcPr>
            <w:tcW w:w="851"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6.6%</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6.6%</w:t>
            </w:r>
          </w:p>
        </w:tc>
        <w:tc>
          <w:tcPr>
            <w:tcW w:w="709" w:type="dxa"/>
            <w:shd w:val="clear" w:color="auto" w:fill="auto"/>
            <w:noWrap/>
            <w:vAlign w:val="bottom"/>
            <w:hideMark/>
          </w:tcPr>
          <w:p w:rsidR="00B41D9B" w:rsidRPr="004D49E5" w:rsidRDefault="00B41D9B" w:rsidP="004D49E5">
            <w:pPr>
              <w:spacing w:after="0" w:line="240" w:lineRule="auto"/>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11.1%</w:t>
            </w:r>
          </w:p>
        </w:tc>
        <w:tc>
          <w:tcPr>
            <w:tcW w:w="709" w:type="dxa"/>
            <w:shd w:val="clear" w:color="auto" w:fill="auto"/>
            <w:noWrap/>
            <w:vAlign w:val="bottom"/>
            <w:hideMark/>
          </w:tcPr>
          <w:p w:rsidR="00B41D9B" w:rsidRPr="004D49E5" w:rsidRDefault="00B41D9B" w:rsidP="004D49E5">
            <w:pPr>
              <w:spacing w:after="0" w:line="240" w:lineRule="auto"/>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0.2%</w:t>
            </w:r>
          </w:p>
        </w:tc>
        <w:tc>
          <w:tcPr>
            <w:tcW w:w="709" w:type="dxa"/>
            <w:shd w:val="clear" w:color="auto" w:fill="auto"/>
            <w:noWrap/>
            <w:vAlign w:val="bottom"/>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5.3%</w:t>
            </w:r>
          </w:p>
        </w:tc>
        <w:tc>
          <w:tcPr>
            <w:tcW w:w="708" w:type="dxa"/>
            <w:shd w:val="clear" w:color="auto" w:fill="auto"/>
            <w:noWrap/>
            <w:vAlign w:val="bottom"/>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7.0%</w:t>
            </w:r>
          </w:p>
        </w:tc>
      </w:tr>
      <w:tr w:rsidR="00274EE6" w:rsidRPr="00B41D9B" w:rsidTr="00274EE6">
        <w:trPr>
          <w:trHeight w:val="255"/>
        </w:trPr>
        <w:tc>
          <w:tcPr>
            <w:tcW w:w="1741" w:type="dxa"/>
            <w:shd w:val="clear" w:color="auto" w:fill="auto"/>
            <w:hideMark/>
          </w:tcPr>
          <w:p w:rsidR="00B41D9B" w:rsidRPr="00B41D9B" w:rsidRDefault="00B41D9B" w:rsidP="004D49E5">
            <w:pPr>
              <w:spacing w:after="0" w:line="240" w:lineRule="auto"/>
              <w:jc w:val="left"/>
              <w:rPr>
                <w:rFonts w:asciiTheme="minorHAnsi" w:hAnsiTheme="minorHAnsi" w:cstheme="minorHAnsi"/>
                <w:sz w:val="18"/>
                <w:szCs w:val="18"/>
                <w:lang w:val="en-AU" w:eastAsia="en-AU"/>
              </w:rPr>
            </w:pPr>
            <w:r w:rsidRPr="00B41D9B">
              <w:rPr>
                <w:rFonts w:asciiTheme="minorHAnsi" w:hAnsiTheme="minorHAnsi" w:cstheme="minorHAnsi"/>
                <w:sz w:val="18"/>
                <w:szCs w:val="18"/>
                <w:lang w:val="en-AU" w:eastAsia="en-AU"/>
              </w:rPr>
              <w:t>Annual Deflator</w:t>
            </w:r>
          </w:p>
        </w:tc>
        <w:tc>
          <w:tcPr>
            <w:tcW w:w="684"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0.8997</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0.85418</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0.79951</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0.6627</w:t>
            </w:r>
          </w:p>
        </w:tc>
        <w:tc>
          <w:tcPr>
            <w:tcW w:w="851"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0.61897</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0.57818</w:t>
            </w:r>
          </w:p>
        </w:tc>
        <w:tc>
          <w:tcPr>
            <w:tcW w:w="709" w:type="dxa"/>
            <w:shd w:val="clear" w:color="auto" w:fill="auto"/>
            <w:hideMark/>
          </w:tcPr>
          <w:p w:rsidR="00B41D9B" w:rsidRPr="004D49E5" w:rsidRDefault="004D49E5" w:rsidP="00B41D9B">
            <w:pPr>
              <w:spacing w:after="0" w:line="240" w:lineRule="auto"/>
              <w:jc w:val="right"/>
              <w:rPr>
                <w:rFonts w:asciiTheme="minorHAnsi" w:hAnsiTheme="minorHAnsi" w:cstheme="minorHAnsi"/>
                <w:sz w:val="16"/>
                <w:szCs w:val="16"/>
                <w:lang w:val="en-AU" w:eastAsia="en-AU"/>
              </w:rPr>
            </w:pPr>
            <w:r>
              <w:rPr>
                <w:rFonts w:asciiTheme="minorHAnsi" w:hAnsiTheme="minorHAnsi" w:cstheme="minorHAnsi"/>
                <w:sz w:val="16"/>
                <w:szCs w:val="16"/>
                <w:lang w:val="en-AU" w:eastAsia="en-AU"/>
              </w:rPr>
              <w:t>0.5142</w:t>
            </w:r>
          </w:p>
        </w:tc>
        <w:tc>
          <w:tcPr>
            <w:tcW w:w="709" w:type="dxa"/>
            <w:shd w:val="clear" w:color="auto" w:fill="auto"/>
            <w:hideMark/>
          </w:tcPr>
          <w:p w:rsidR="00B41D9B" w:rsidRPr="004D49E5" w:rsidRDefault="004D49E5" w:rsidP="00B41D9B">
            <w:pPr>
              <w:spacing w:after="0" w:line="240" w:lineRule="auto"/>
              <w:jc w:val="right"/>
              <w:rPr>
                <w:rFonts w:asciiTheme="minorHAnsi" w:hAnsiTheme="minorHAnsi" w:cstheme="minorHAnsi"/>
                <w:sz w:val="16"/>
                <w:szCs w:val="16"/>
                <w:lang w:val="en-AU" w:eastAsia="en-AU"/>
              </w:rPr>
            </w:pPr>
            <w:r>
              <w:rPr>
                <w:rFonts w:asciiTheme="minorHAnsi" w:hAnsiTheme="minorHAnsi" w:cstheme="minorHAnsi"/>
                <w:sz w:val="16"/>
                <w:szCs w:val="16"/>
                <w:lang w:val="en-AU" w:eastAsia="en-AU"/>
              </w:rPr>
              <w:t>0.5131</w:t>
            </w:r>
          </w:p>
        </w:tc>
        <w:tc>
          <w:tcPr>
            <w:tcW w:w="709" w:type="dxa"/>
            <w:shd w:val="clear" w:color="auto" w:fill="auto"/>
            <w:hideMark/>
          </w:tcPr>
          <w:p w:rsidR="00B41D9B" w:rsidRPr="004D49E5" w:rsidRDefault="004D49E5" w:rsidP="00B41D9B">
            <w:pPr>
              <w:spacing w:after="0" w:line="240" w:lineRule="auto"/>
              <w:jc w:val="right"/>
              <w:rPr>
                <w:rFonts w:asciiTheme="minorHAnsi" w:hAnsiTheme="minorHAnsi" w:cstheme="minorHAnsi"/>
                <w:sz w:val="16"/>
                <w:szCs w:val="16"/>
                <w:lang w:val="en-AU" w:eastAsia="en-AU"/>
              </w:rPr>
            </w:pPr>
            <w:r>
              <w:rPr>
                <w:rFonts w:asciiTheme="minorHAnsi" w:hAnsiTheme="minorHAnsi" w:cstheme="minorHAnsi"/>
                <w:sz w:val="16"/>
                <w:szCs w:val="16"/>
                <w:lang w:val="en-AU" w:eastAsia="en-AU"/>
              </w:rPr>
              <w:t>0.4859</w:t>
            </w:r>
          </w:p>
        </w:tc>
        <w:tc>
          <w:tcPr>
            <w:tcW w:w="708" w:type="dxa"/>
            <w:shd w:val="clear" w:color="auto" w:fill="auto"/>
            <w:hideMark/>
          </w:tcPr>
          <w:p w:rsidR="00B41D9B" w:rsidRPr="004D49E5" w:rsidRDefault="004D49E5" w:rsidP="00B41D9B">
            <w:pPr>
              <w:spacing w:after="0" w:line="240" w:lineRule="auto"/>
              <w:jc w:val="right"/>
              <w:rPr>
                <w:rFonts w:asciiTheme="minorHAnsi" w:hAnsiTheme="minorHAnsi" w:cstheme="minorHAnsi"/>
                <w:sz w:val="16"/>
                <w:szCs w:val="16"/>
                <w:lang w:val="en-AU" w:eastAsia="en-AU"/>
              </w:rPr>
            </w:pPr>
            <w:r>
              <w:rPr>
                <w:rFonts w:asciiTheme="minorHAnsi" w:hAnsiTheme="minorHAnsi" w:cstheme="minorHAnsi"/>
                <w:sz w:val="16"/>
                <w:szCs w:val="16"/>
                <w:lang w:val="en-AU" w:eastAsia="en-AU"/>
              </w:rPr>
              <w:t>0.4518</w:t>
            </w:r>
          </w:p>
        </w:tc>
      </w:tr>
      <w:tr w:rsidR="00274EE6" w:rsidRPr="00B41D9B" w:rsidTr="00274EE6">
        <w:trPr>
          <w:trHeight w:val="480"/>
        </w:trPr>
        <w:tc>
          <w:tcPr>
            <w:tcW w:w="1741" w:type="dxa"/>
            <w:shd w:val="clear" w:color="auto" w:fill="auto"/>
            <w:hideMark/>
          </w:tcPr>
          <w:p w:rsidR="00B41D9B" w:rsidRPr="00B41D9B" w:rsidRDefault="00B41D9B" w:rsidP="004D49E5">
            <w:pPr>
              <w:spacing w:after="0" w:line="240" w:lineRule="auto"/>
              <w:jc w:val="left"/>
              <w:rPr>
                <w:rFonts w:asciiTheme="minorHAnsi" w:hAnsiTheme="minorHAnsi" w:cstheme="minorHAnsi"/>
                <w:sz w:val="18"/>
                <w:szCs w:val="18"/>
                <w:lang w:val="en-AU" w:eastAsia="en-AU"/>
              </w:rPr>
            </w:pPr>
            <w:r w:rsidRPr="00B41D9B">
              <w:rPr>
                <w:rFonts w:asciiTheme="minorHAnsi" w:hAnsiTheme="minorHAnsi" w:cstheme="minorHAnsi"/>
                <w:sz w:val="18"/>
                <w:szCs w:val="18"/>
                <w:lang w:val="en-AU" w:eastAsia="en-AU"/>
              </w:rPr>
              <w:t>National Education Expenditures (Rp trillion 2001 prices)</w:t>
            </w:r>
          </w:p>
        </w:tc>
        <w:tc>
          <w:tcPr>
            <w:tcW w:w="684"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42.3</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47.8</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55.4</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50.4</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52.1</w:t>
            </w:r>
          </w:p>
        </w:tc>
        <w:tc>
          <w:tcPr>
            <w:tcW w:w="851"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76.1</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82.2</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79.2</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106.4</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109.4</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109.9</w:t>
            </w:r>
          </w:p>
        </w:tc>
      </w:tr>
      <w:tr w:rsidR="00274EE6" w:rsidRPr="00B41D9B" w:rsidTr="00274EE6">
        <w:trPr>
          <w:trHeight w:val="285"/>
        </w:trPr>
        <w:tc>
          <w:tcPr>
            <w:tcW w:w="1741" w:type="dxa"/>
            <w:shd w:val="clear" w:color="auto" w:fill="auto"/>
            <w:hideMark/>
          </w:tcPr>
          <w:p w:rsidR="00B41D9B" w:rsidRPr="00B41D9B" w:rsidRDefault="00B41D9B" w:rsidP="004D49E5">
            <w:pPr>
              <w:spacing w:after="0" w:line="240" w:lineRule="auto"/>
              <w:jc w:val="left"/>
              <w:rPr>
                <w:rFonts w:asciiTheme="minorHAnsi" w:hAnsiTheme="minorHAnsi" w:cstheme="minorHAnsi"/>
                <w:sz w:val="18"/>
                <w:szCs w:val="18"/>
                <w:lang w:val="en-AU" w:eastAsia="en-AU"/>
              </w:rPr>
            </w:pPr>
            <w:r w:rsidRPr="00B41D9B">
              <w:rPr>
                <w:rFonts w:asciiTheme="minorHAnsi" w:hAnsiTheme="minorHAnsi" w:cstheme="minorHAnsi"/>
                <w:sz w:val="18"/>
                <w:szCs w:val="18"/>
                <w:lang w:val="en-AU" w:eastAsia="en-AU"/>
              </w:rPr>
              <w:t>Education Exp. As % of National Public Exp.</w:t>
            </w:r>
            <w:r w:rsidRPr="00B41D9B">
              <w:rPr>
                <w:rFonts w:asciiTheme="minorHAnsi" w:hAnsiTheme="minorHAnsi" w:cstheme="minorHAnsi"/>
                <w:sz w:val="18"/>
                <w:szCs w:val="18"/>
                <w:lang w:val="en-AU" w:eastAsia="en-AU"/>
              </w:rPr>
              <w:br/>
              <w:t xml:space="preserve">(% Total National Exp.) </w:t>
            </w:r>
          </w:p>
        </w:tc>
        <w:tc>
          <w:tcPr>
            <w:tcW w:w="684"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12.0%</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15.8%</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16.0%</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14.2%</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13.9%</w:t>
            </w:r>
          </w:p>
        </w:tc>
        <w:tc>
          <w:tcPr>
            <w:tcW w:w="851"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17.6%</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18.9%</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15.6%</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20.0%</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20.0%</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20.2%</w:t>
            </w:r>
          </w:p>
        </w:tc>
      </w:tr>
      <w:tr w:rsidR="00274EE6" w:rsidRPr="00B41D9B" w:rsidTr="00274EE6">
        <w:trPr>
          <w:trHeight w:val="555"/>
        </w:trPr>
        <w:tc>
          <w:tcPr>
            <w:tcW w:w="1741" w:type="dxa"/>
            <w:shd w:val="clear" w:color="auto" w:fill="auto"/>
            <w:hideMark/>
          </w:tcPr>
          <w:p w:rsidR="00B41D9B" w:rsidRPr="00B41D9B" w:rsidRDefault="00B41D9B" w:rsidP="004D49E5">
            <w:pPr>
              <w:spacing w:after="0" w:line="240" w:lineRule="auto"/>
              <w:jc w:val="left"/>
              <w:rPr>
                <w:rFonts w:asciiTheme="minorHAnsi" w:hAnsiTheme="minorHAnsi" w:cstheme="minorHAnsi"/>
                <w:sz w:val="18"/>
                <w:szCs w:val="18"/>
                <w:lang w:val="en-AU" w:eastAsia="en-AU"/>
              </w:rPr>
            </w:pPr>
            <w:r w:rsidRPr="00B41D9B">
              <w:rPr>
                <w:rFonts w:asciiTheme="minorHAnsi" w:hAnsiTheme="minorHAnsi" w:cstheme="minorHAnsi"/>
                <w:sz w:val="18"/>
                <w:szCs w:val="18"/>
                <w:lang w:val="en-AU" w:eastAsia="en-AU"/>
              </w:rPr>
              <w:t xml:space="preserve">National Education </w:t>
            </w:r>
            <w:r w:rsidRPr="00B41D9B">
              <w:rPr>
                <w:rFonts w:asciiTheme="minorHAnsi" w:hAnsiTheme="minorHAnsi" w:cstheme="minorHAnsi"/>
                <w:sz w:val="18"/>
                <w:szCs w:val="18"/>
                <w:lang w:val="en-AU" w:eastAsia="en-AU"/>
              </w:rPr>
              <w:br/>
              <w:t>Exp. (% GDP)</w:t>
            </w:r>
          </w:p>
        </w:tc>
        <w:tc>
          <w:tcPr>
            <w:tcW w:w="684"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2.5%</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2.8%</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3.2%</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2.8%</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2.9%</w:t>
            </w:r>
          </w:p>
        </w:tc>
        <w:tc>
          <w:tcPr>
            <w:tcW w:w="851"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3.7%</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3.6%</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3.1%</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3.7%</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3.5%</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3.3%</w:t>
            </w:r>
          </w:p>
        </w:tc>
      </w:tr>
      <w:tr w:rsidR="00274EE6" w:rsidRPr="00B41D9B" w:rsidTr="00274EE6">
        <w:trPr>
          <w:trHeight w:val="480"/>
        </w:trPr>
        <w:tc>
          <w:tcPr>
            <w:tcW w:w="1741" w:type="dxa"/>
            <w:shd w:val="clear" w:color="auto" w:fill="auto"/>
            <w:hideMark/>
          </w:tcPr>
          <w:p w:rsidR="00B41D9B" w:rsidRPr="00B41D9B" w:rsidRDefault="00B41D9B" w:rsidP="004D49E5">
            <w:pPr>
              <w:spacing w:after="0" w:line="240" w:lineRule="auto"/>
              <w:jc w:val="left"/>
              <w:rPr>
                <w:rFonts w:asciiTheme="minorHAnsi" w:hAnsiTheme="minorHAnsi" w:cstheme="minorHAnsi"/>
                <w:sz w:val="18"/>
                <w:szCs w:val="18"/>
                <w:lang w:val="en-AU" w:eastAsia="en-AU"/>
              </w:rPr>
            </w:pPr>
            <w:r w:rsidRPr="00B41D9B">
              <w:rPr>
                <w:rFonts w:asciiTheme="minorHAnsi" w:hAnsiTheme="minorHAnsi" w:cstheme="minorHAnsi"/>
                <w:sz w:val="18"/>
                <w:szCs w:val="18"/>
                <w:lang w:val="en-AU" w:eastAsia="en-AU"/>
              </w:rPr>
              <w:t>Total Nominal National Expenditures (Rp trillion)</w:t>
            </w:r>
          </w:p>
        </w:tc>
        <w:tc>
          <w:tcPr>
            <w:tcW w:w="684"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352.8</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336.5</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405.4</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445.3</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565.1</w:t>
            </w:r>
          </w:p>
        </w:tc>
        <w:tc>
          <w:tcPr>
            <w:tcW w:w="851"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699.1</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752.4</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989.5</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1037.1</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1126.2</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1202.0</w:t>
            </w:r>
          </w:p>
        </w:tc>
      </w:tr>
      <w:tr w:rsidR="00274EE6" w:rsidRPr="00B41D9B" w:rsidTr="00274EE6">
        <w:trPr>
          <w:trHeight w:val="270"/>
        </w:trPr>
        <w:tc>
          <w:tcPr>
            <w:tcW w:w="1741" w:type="dxa"/>
            <w:shd w:val="clear" w:color="auto" w:fill="auto"/>
            <w:hideMark/>
          </w:tcPr>
          <w:p w:rsidR="00B41D9B" w:rsidRPr="00B41D9B" w:rsidRDefault="00B41D9B" w:rsidP="004D49E5">
            <w:pPr>
              <w:spacing w:after="0" w:line="240" w:lineRule="auto"/>
              <w:jc w:val="left"/>
              <w:rPr>
                <w:rFonts w:asciiTheme="minorHAnsi" w:hAnsiTheme="minorHAnsi" w:cstheme="minorHAnsi"/>
                <w:sz w:val="18"/>
                <w:szCs w:val="18"/>
                <w:lang w:val="en-AU" w:eastAsia="en-AU"/>
              </w:rPr>
            </w:pPr>
            <w:r w:rsidRPr="00B41D9B">
              <w:rPr>
                <w:rFonts w:asciiTheme="minorHAnsi" w:hAnsiTheme="minorHAnsi" w:cstheme="minorHAnsi"/>
                <w:sz w:val="18"/>
                <w:szCs w:val="18"/>
                <w:lang w:val="en-AU" w:eastAsia="en-AU"/>
              </w:rPr>
              <w:t xml:space="preserve">GDP at Current Prices </w:t>
            </w:r>
            <w:r w:rsidRPr="00B41D9B">
              <w:rPr>
                <w:rFonts w:asciiTheme="minorHAnsi" w:hAnsiTheme="minorHAnsi" w:cstheme="minorHAnsi"/>
                <w:sz w:val="18"/>
                <w:szCs w:val="18"/>
                <w:vertAlign w:val="superscript"/>
                <w:lang w:val="en-AU" w:eastAsia="en-AU"/>
              </w:rPr>
              <w:t>(4) (Rp trillion)</w:t>
            </w:r>
          </w:p>
        </w:tc>
        <w:tc>
          <w:tcPr>
            <w:tcW w:w="684"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1684.0</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1897.8</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2013.6</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2273.1</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2729.7</w:t>
            </w:r>
          </w:p>
        </w:tc>
        <w:tc>
          <w:tcPr>
            <w:tcW w:w="851"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3339.2</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3949.3</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4954.0</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5613.4</w:t>
            </w:r>
          </w:p>
        </w:tc>
        <w:tc>
          <w:tcPr>
            <w:tcW w:w="709" w:type="dxa"/>
            <w:shd w:val="clear" w:color="auto" w:fill="auto"/>
            <w:noWrap/>
            <w:vAlign w:val="bottom"/>
            <w:hideMark/>
          </w:tcPr>
          <w:p w:rsidR="00B41D9B" w:rsidRPr="004D49E5" w:rsidRDefault="004D49E5" w:rsidP="004D49E5">
            <w:pPr>
              <w:spacing w:after="0" w:line="240" w:lineRule="auto"/>
              <w:rPr>
                <w:rFonts w:asciiTheme="minorHAnsi" w:hAnsiTheme="minorHAnsi" w:cstheme="minorHAnsi"/>
                <w:sz w:val="16"/>
                <w:szCs w:val="16"/>
                <w:lang w:val="en-AU" w:eastAsia="en-AU"/>
              </w:rPr>
            </w:pPr>
            <w:r>
              <w:rPr>
                <w:rFonts w:asciiTheme="minorHAnsi" w:hAnsiTheme="minorHAnsi" w:cstheme="minorHAnsi"/>
                <w:sz w:val="16"/>
                <w:szCs w:val="16"/>
                <w:lang w:val="en-AU" w:eastAsia="en-AU"/>
              </w:rPr>
              <w:t>6436.3</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7427.1</w:t>
            </w:r>
          </w:p>
        </w:tc>
      </w:tr>
      <w:tr w:rsidR="00274EE6" w:rsidRPr="00B41D9B" w:rsidTr="00274EE6">
        <w:trPr>
          <w:trHeight w:val="480"/>
        </w:trPr>
        <w:tc>
          <w:tcPr>
            <w:tcW w:w="1741" w:type="dxa"/>
            <w:shd w:val="clear" w:color="auto" w:fill="auto"/>
            <w:hideMark/>
          </w:tcPr>
          <w:p w:rsidR="00B41D9B" w:rsidRPr="00B41D9B" w:rsidRDefault="00B41D9B" w:rsidP="004D49E5">
            <w:pPr>
              <w:spacing w:after="0" w:line="240" w:lineRule="auto"/>
              <w:jc w:val="left"/>
              <w:rPr>
                <w:rFonts w:asciiTheme="minorHAnsi" w:hAnsiTheme="minorHAnsi" w:cstheme="minorHAnsi"/>
                <w:sz w:val="18"/>
                <w:szCs w:val="18"/>
                <w:lang w:val="en-AU" w:eastAsia="en-AU"/>
              </w:rPr>
            </w:pPr>
            <w:r w:rsidRPr="00B41D9B">
              <w:rPr>
                <w:rFonts w:asciiTheme="minorHAnsi" w:hAnsiTheme="minorHAnsi" w:cstheme="minorHAnsi"/>
                <w:sz w:val="18"/>
                <w:szCs w:val="18"/>
                <w:lang w:val="en-AU" w:eastAsia="en-AU"/>
              </w:rPr>
              <w:t>Total Real National Expenditures (Rp. Trillion 2001 prices)</w:t>
            </w:r>
          </w:p>
        </w:tc>
        <w:tc>
          <w:tcPr>
            <w:tcW w:w="684"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352.8</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302.7</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346.3</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356.0</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374.5</w:t>
            </w:r>
          </w:p>
        </w:tc>
        <w:tc>
          <w:tcPr>
            <w:tcW w:w="851"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432.7</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435.0</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508.8</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532.2</w:t>
            </w:r>
          </w:p>
        </w:tc>
        <w:tc>
          <w:tcPr>
            <w:tcW w:w="709"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547.3</w:t>
            </w:r>
          </w:p>
        </w:tc>
        <w:tc>
          <w:tcPr>
            <w:tcW w:w="708" w:type="dxa"/>
            <w:shd w:val="clear" w:color="auto" w:fill="auto"/>
            <w:hideMark/>
          </w:tcPr>
          <w:p w:rsidR="00B41D9B" w:rsidRPr="004D49E5" w:rsidRDefault="00B41D9B" w:rsidP="00B41D9B">
            <w:pPr>
              <w:spacing w:after="0" w:line="240" w:lineRule="auto"/>
              <w:jc w:val="right"/>
              <w:rPr>
                <w:rFonts w:asciiTheme="minorHAnsi" w:hAnsiTheme="minorHAnsi" w:cstheme="minorHAnsi"/>
                <w:sz w:val="16"/>
                <w:szCs w:val="16"/>
                <w:lang w:val="en-AU" w:eastAsia="en-AU"/>
              </w:rPr>
            </w:pPr>
            <w:r w:rsidRPr="004D49E5">
              <w:rPr>
                <w:rFonts w:asciiTheme="minorHAnsi" w:hAnsiTheme="minorHAnsi" w:cstheme="minorHAnsi"/>
                <w:sz w:val="16"/>
                <w:szCs w:val="16"/>
                <w:lang w:val="en-AU" w:eastAsia="en-AU"/>
              </w:rPr>
              <w:t>543.1</w:t>
            </w:r>
          </w:p>
        </w:tc>
      </w:tr>
    </w:tbl>
    <w:p w:rsidR="008B1F47" w:rsidRDefault="008B1F47" w:rsidP="008B1F47">
      <w:pPr>
        <w:pStyle w:val="ListParagraph"/>
        <w:ind w:left="426"/>
        <w:rPr>
          <w:rStyle w:val="SubtleReference"/>
          <w:b w:val="0"/>
          <w:sz w:val="18"/>
          <w:szCs w:val="18"/>
        </w:rPr>
      </w:pPr>
    </w:p>
    <w:p w:rsidR="00CF70E6" w:rsidRPr="00C8389B" w:rsidRDefault="00CF70E6" w:rsidP="00CF70E6">
      <w:pPr>
        <w:pStyle w:val="ListParagraph"/>
        <w:numPr>
          <w:ilvl w:val="2"/>
          <w:numId w:val="2"/>
        </w:numPr>
        <w:ind w:left="426" w:hanging="284"/>
        <w:rPr>
          <w:rStyle w:val="SubtleReference"/>
          <w:b w:val="0"/>
          <w:sz w:val="16"/>
          <w:szCs w:val="16"/>
        </w:rPr>
      </w:pPr>
      <w:r w:rsidRPr="00C8389B">
        <w:rPr>
          <w:rStyle w:val="SubtleReference"/>
          <w:b w:val="0"/>
          <w:sz w:val="16"/>
          <w:szCs w:val="16"/>
        </w:rPr>
        <w:t xml:space="preserve">Financial data for 2005-2008 from (CC : Constitutional Court Decision PUU-13/2008) where Government of Indonesia provided a detailed breakdown of expenditure allocations. Data for 2001-2004 collected by World Bank and presented in its publication </w:t>
      </w:r>
      <w:r w:rsidRPr="00C8389B">
        <w:rPr>
          <w:rStyle w:val="SubtleReference"/>
          <w:b w:val="0"/>
          <w:i/>
          <w:sz w:val="16"/>
          <w:szCs w:val="16"/>
        </w:rPr>
        <w:t>Investing in Indonesia's Education</w:t>
      </w:r>
      <w:r w:rsidRPr="00C8389B">
        <w:rPr>
          <w:rStyle w:val="SubtleReference"/>
          <w:b w:val="0"/>
          <w:sz w:val="16"/>
          <w:szCs w:val="16"/>
        </w:rPr>
        <w:t xml:space="preserve"> (WB, 2007).</w:t>
      </w:r>
    </w:p>
    <w:p w:rsidR="00CF70E6" w:rsidRPr="00C8389B" w:rsidRDefault="00CF70E6" w:rsidP="00CF70E6">
      <w:pPr>
        <w:pStyle w:val="ListParagraph"/>
        <w:numPr>
          <w:ilvl w:val="2"/>
          <w:numId w:val="2"/>
        </w:numPr>
        <w:ind w:left="426" w:hanging="284"/>
        <w:rPr>
          <w:rStyle w:val="SubtleReference"/>
          <w:b w:val="0"/>
          <w:sz w:val="16"/>
          <w:szCs w:val="16"/>
        </w:rPr>
      </w:pPr>
      <w:r w:rsidRPr="00C8389B">
        <w:rPr>
          <w:rStyle w:val="SubtleReference"/>
          <w:b w:val="0"/>
          <w:sz w:val="16"/>
          <w:szCs w:val="16"/>
        </w:rPr>
        <w:t xml:space="preserve">Inflation data for 2001-2006 from BPS Key Indicators of Indonesia Table 5.2 Inflation Rate Year on Year 2002-2007 Statistic </w:t>
      </w:r>
      <w:hyperlink r:id="rId23" w:history="1">
        <w:r w:rsidRPr="00C8389B">
          <w:rPr>
            <w:rStyle w:val="SubtleReference"/>
            <w:b w:val="0"/>
            <w:color w:val="1F497D"/>
            <w:sz w:val="16"/>
            <w:szCs w:val="16"/>
          </w:rPr>
          <w:t>http://dds.bps.go.id/eng/download_file/Booklet_indikatorkunci.pdf</w:t>
        </w:r>
      </w:hyperlink>
    </w:p>
    <w:p w:rsidR="00CF70E6" w:rsidRPr="00C8389B" w:rsidRDefault="00CF70E6" w:rsidP="00CF70E6">
      <w:pPr>
        <w:pStyle w:val="ListParagraph"/>
        <w:numPr>
          <w:ilvl w:val="2"/>
          <w:numId w:val="2"/>
        </w:numPr>
        <w:ind w:left="426" w:hanging="284"/>
        <w:rPr>
          <w:rStyle w:val="SubtleReference"/>
          <w:b w:val="0"/>
          <w:sz w:val="16"/>
          <w:szCs w:val="16"/>
        </w:rPr>
      </w:pPr>
      <w:r w:rsidRPr="00C8389B">
        <w:rPr>
          <w:rStyle w:val="SubtleReference"/>
          <w:b w:val="0"/>
          <w:sz w:val="16"/>
          <w:szCs w:val="16"/>
        </w:rPr>
        <w:t>Inflation rate for 2007-2009 from BPS Statistical Yearbook 2009 Table 12.5 Composite Inflation Rate 2006-2009</w:t>
      </w:r>
    </w:p>
    <w:p w:rsidR="00CF70E6" w:rsidRPr="00C8389B" w:rsidRDefault="00CF70E6" w:rsidP="004D49E5">
      <w:pPr>
        <w:pStyle w:val="ListParagraph"/>
        <w:numPr>
          <w:ilvl w:val="2"/>
          <w:numId w:val="2"/>
        </w:numPr>
        <w:ind w:left="426" w:hanging="284"/>
        <w:jc w:val="left"/>
        <w:rPr>
          <w:rStyle w:val="SubtleReference"/>
          <w:b w:val="0"/>
          <w:sz w:val="16"/>
          <w:szCs w:val="16"/>
        </w:rPr>
      </w:pPr>
      <w:r w:rsidRPr="00C8389B">
        <w:rPr>
          <w:rStyle w:val="SubtleReference"/>
          <w:b w:val="0"/>
          <w:sz w:val="16"/>
          <w:szCs w:val="16"/>
        </w:rPr>
        <w:t>GDP at current prices fro</w:t>
      </w:r>
      <w:r w:rsidR="00E15DFE">
        <w:rPr>
          <w:rStyle w:val="SubtleReference"/>
          <w:b w:val="0"/>
          <w:sz w:val="16"/>
          <w:szCs w:val="16"/>
        </w:rPr>
        <w:t xml:space="preserve">m Bureau of Statistics 2001-2009, </w:t>
      </w:r>
      <w:r w:rsidR="004D49E5" w:rsidRPr="004D49E5">
        <w:rPr>
          <w:rStyle w:val="SubtleReference"/>
          <w:b w:val="0"/>
          <w:sz w:val="16"/>
          <w:szCs w:val="16"/>
        </w:rPr>
        <w:t xml:space="preserve">For 2010 and 2011, BPS Gross Domestic Product at Current Market Prices By Industrial Origin (Billion Rupiahs), 2004-2011 </w:t>
      </w:r>
      <w:r w:rsidR="004D49E5" w:rsidRPr="004D49E5">
        <w:rPr>
          <w:rStyle w:val="SubtleReference"/>
          <w:b w:val="0"/>
          <w:color w:val="1F497D" w:themeColor="text2"/>
          <w:sz w:val="16"/>
          <w:szCs w:val="16"/>
        </w:rPr>
        <w:t>http://www.bps.go.id/eng/tab_sub/view.php?kat=2&amp;tabel=1&amp;daftar=1&amp;id_subyek=11&amp;notab=1</w:t>
      </w:r>
    </w:p>
    <w:p w:rsidR="00CF70E6" w:rsidRDefault="00CF70E6" w:rsidP="004D49E5">
      <w:pPr>
        <w:pStyle w:val="ListParagraph"/>
        <w:numPr>
          <w:ilvl w:val="2"/>
          <w:numId w:val="2"/>
        </w:numPr>
        <w:ind w:left="426" w:hanging="284"/>
        <w:rPr>
          <w:rStyle w:val="SubtleReference"/>
          <w:b w:val="0"/>
          <w:sz w:val="16"/>
          <w:szCs w:val="16"/>
        </w:rPr>
      </w:pPr>
      <w:r w:rsidRPr="00C8389B">
        <w:rPr>
          <w:rStyle w:val="SubtleReference"/>
          <w:b w:val="0"/>
          <w:sz w:val="16"/>
          <w:szCs w:val="16"/>
        </w:rPr>
        <w:t>For 2009</w:t>
      </w:r>
      <w:r w:rsidR="00E15DFE">
        <w:rPr>
          <w:rStyle w:val="SubtleReference"/>
          <w:b w:val="0"/>
          <w:sz w:val="16"/>
          <w:szCs w:val="16"/>
        </w:rPr>
        <w:t xml:space="preserve"> and 2010</w:t>
      </w:r>
      <w:r w:rsidRPr="00C8389B">
        <w:rPr>
          <w:rStyle w:val="SubtleReference"/>
          <w:b w:val="0"/>
          <w:sz w:val="16"/>
          <w:szCs w:val="16"/>
        </w:rPr>
        <w:t xml:space="preserve">, education finance data is from </w:t>
      </w:r>
      <w:r w:rsidR="00E15DFE" w:rsidRPr="00E15DFE">
        <w:rPr>
          <w:rStyle w:val="SubtleReference"/>
          <w:b w:val="0"/>
          <w:sz w:val="16"/>
          <w:szCs w:val="16"/>
        </w:rPr>
        <w:t xml:space="preserve"> </w:t>
      </w:r>
      <w:r w:rsidR="00E15DFE" w:rsidRPr="00E15DFE">
        <w:rPr>
          <w:rStyle w:val="SubtleReference"/>
          <w:b w:val="0"/>
          <w:i/>
          <w:sz w:val="16"/>
          <w:szCs w:val="16"/>
        </w:rPr>
        <w:t>Financial Note and Indonesian Revised Budget 2010</w:t>
      </w:r>
      <w:r w:rsidR="00E15DFE" w:rsidRPr="00E15DFE">
        <w:rPr>
          <w:rStyle w:val="SubtleReference"/>
          <w:b w:val="0"/>
          <w:sz w:val="16"/>
          <w:szCs w:val="16"/>
        </w:rPr>
        <w:t>, section III-2, (published by MoF,  2010)</w:t>
      </w:r>
      <w:r w:rsidR="004D49E5" w:rsidRPr="004D49E5">
        <w:t xml:space="preserve"> </w:t>
      </w:r>
      <w:r w:rsidR="004D49E5" w:rsidRPr="004D49E5">
        <w:rPr>
          <w:rStyle w:val="SubtleReference"/>
          <w:b w:val="0"/>
          <w:sz w:val="16"/>
          <w:szCs w:val="16"/>
        </w:rPr>
        <w:t>For 2011, education and national finance data i</w:t>
      </w:r>
      <w:r w:rsidR="004D49E5">
        <w:rPr>
          <w:rStyle w:val="SubtleReference"/>
          <w:b w:val="0"/>
          <w:sz w:val="16"/>
          <w:szCs w:val="16"/>
        </w:rPr>
        <w:t>s from Financial Note and Indone</w:t>
      </w:r>
      <w:r w:rsidR="004D49E5" w:rsidRPr="004D49E5">
        <w:rPr>
          <w:rStyle w:val="SubtleReference"/>
          <w:b w:val="0"/>
          <w:sz w:val="16"/>
          <w:szCs w:val="16"/>
        </w:rPr>
        <w:t>sian Proposed Budget 2011, section iv-100, MoF 2010</w:t>
      </w:r>
    </w:p>
    <w:p w:rsidR="00572AE7" w:rsidRDefault="00572AE7" w:rsidP="00572AE7">
      <w:r>
        <w:t xml:space="preserve">Public funding for education in Indonesia is provided mostly by the central and provincial levels of government with the provincial level providing a smaller share. National level analysis of aggregate public expenditure is complicated because of these different sources of funding and the subsidisation of salaries and services provided by the central level of government. </w:t>
      </w:r>
    </w:p>
    <w:p w:rsidR="00572AE7" w:rsidRDefault="00572AE7" w:rsidP="00572AE7">
      <w:r>
        <w:t>The national trends in the public financing of education are analysed in this section. Key Performa</w:t>
      </w:r>
      <w:r w:rsidR="005C5E07">
        <w:t xml:space="preserve">nce Indicators (KPI) provide a </w:t>
      </w:r>
      <w:r>
        <w:t xml:space="preserve"> macro level assessment of government commitment towards education. Each KPI has been assigned a ranking that indicates (neutral, positive, negative).</w:t>
      </w:r>
    </w:p>
    <w:p w:rsidR="00572AE7" w:rsidRDefault="00572AE7" w:rsidP="00572AE7">
      <w:r>
        <w:t xml:space="preserve">This report has adopted the historical data presented in the 2009 FPR. For the period 2001-2005 this report relies on data collected by the World Bank and presented in its publication </w:t>
      </w:r>
      <w:r>
        <w:rPr>
          <w:i/>
        </w:rPr>
        <w:t>Investing in Indonesia’s Education (</w:t>
      </w:r>
      <w:r w:rsidRPr="00A245FD">
        <w:t>World Bank</w:t>
      </w:r>
      <w:r>
        <w:t>,</w:t>
      </w:r>
      <w:r w:rsidRPr="00A245FD">
        <w:t xml:space="preserve"> 2007</w:t>
      </w:r>
      <w:r>
        <w:t xml:space="preserve">). For the period 2006-2008, the GoI compiled comprehensive multi-year data on national and sub-national expenditures towards education in its submission to the Supreme Court case on its legal obligation to allocate at least 20% of the national budget towards education (Supreme Court Decision </w:t>
      </w:r>
      <w:r w:rsidRPr="00EE485C">
        <w:t>Number 13/PUU-VI/2008</w:t>
      </w:r>
      <w:r>
        <w:t>).</w:t>
      </w:r>
    </w:p>
    <w:p w:rsidR="00572AE7" w:rsidRDefault="00572AE7" w:rsidP="00572AE7">
      <w:r>
        <w:t xml:space="preserve">Detailed finance data for 2009 and 2010 has been collected from </w:t>
      </w:r>
      <w:r w:rsidRPr="004D6016">
        <w:rPr>
          <w:i/>
        </w:rPr>
        <w:t xml:space="preserve">the </w:t>
      </w:r>
      <w:r>
        <w:rPr>
          <w:i/>
        </w:rPr>
        <w:t>Financial Note and Indo</w:t>
      </w:r>
      <w:r w:rsidRPr="004D6016">
        <w:rPr>
          <w:i/>
        </w:rPr>
        <w:t>n</w:t>
      </w:r>
      <w:r>
        <w:rPr>
          <w:i/>
        </w:rPr>
        <w:t>e</w:t>
      </w:r>
      <w:r w:rsidRPr="004D6016">
        <w:rPr>
          <w:i/>
        </w:rPr>
        <w:t>sian Revised Budget 2010</w:t>
      </w:r>
      <w:r w:rsidRPr="00455F93">
        <w:t xml:space="preserve">, section III-2, </w:t>
      </w:r>
      <w:r>
        <w:t xml:space="preserve">(published by </w:t>
      </w:r>
      <w:r w:rsidRPr="00455F93">
        <w:t>MoF</w:t>
      </w:r>
      <w:r>
        <w:t xml:space="preserve">, </w:t>
      </w:r>
      <w:r w:rsidRPr="00455F93">
        <w:t>2010</w:t>
      </w:r>
      <w:r>
        <w:t>)</w:t>
      </w:r>
      <w:r w:rsidR="004D49E5">
        <w:t xml:space="preserve">, and from </w:t>
      </w:r>
      <w:r w:rsidR="004D49E5" w:rsidRPr="004D49E5">
        <w:t>from Financial Note and Indonesian Proposed Budget 2011, section iv-100, MoF 2010</w:t>
      </w:r>
      <w:r>
        <w:t xml:space="preserve">. </w:t>
      </w:r>
    </w:p>
    <w:p w:rsidR="00AE577B" w:rsidRPr="00193E45" w:rsidRDefault="00AE577B" w:rsidP="00AE577B">
      <w:pPr>
        <w:pStyle w:val="Heading2"/>
      </w:pPr>
      <w:bookmarkStart w:id="43" w:name="_Toc299738235"/>
      <w:bookmarkStart w:id="44" w:name="_Toc343597087"/>
      <w:r w:rsidRPr="00193E45">
        <w:t xml:space="preserve">Trends in </w:t>
      </w:r>
      <w:r>
        <w:t>E</w:t>
      </w:r>
      <w:r w:rsidRPr="00193E45">
        <w:t xml:space="preserve">ducation </w:t>
      </w:r>
      <w:r>
        <w:t>F</w:t>
      </w:r>
      <w:r w:rsidRPr="00193E45">
        <w:t>unding</w:t>
      </w:r>
      <w:bookmarkEnd w:id="43"/>
      <w:bookmarkEnd w:id="44"/>
      <w:r w:rsidRPr="00193E45">
        <w:t xml:space="preserve"> </w:t>
      </w:r>
    </w:p>
    <w:p w:rsidR="005B2580" w:rsidRPr="00281B7A" w:rsidRDefault="00D018B4" w:rsidP="005B2580">
      <w:r w:rsidRPr="00281B7A">
        <w:rPr>
          <w:b/>
          <w:i/>
        </w:rPr>
        <w:t>G</w:t>
      </w:r>
      <w:r w:rsidR="007B70C7" w:rsidRPr="00281B7A">
        <w:rPr>
          <w:b/>
          <w:i/>
        </w:rPr>
        <w:t xml:space="preserve">rowth </w:t>
      </w:r>
      <w:r w:rsidR="00AE577B" w:rsidRPr="00281B7A">
        <w:rPr>
          <w:b/>
          <w:i/>
        </w:rPr>
        <w:t>in national public expenditure for education in Indonesia</w:t>
      </w:r>
      <w:r w:rsidRPr="00281B7A">
        <w:rPr>
          <w:b/>
          <w:i/>
        </w:rPr>
        <w:t xml:space="preserve"> is </w:t>
      </w:r>
      <w:r w:rsidR="00281B7A" w:rsidRPr="00281B7A">
        <w:rPr>
          <w:b/>
          <w:i/>
        </w:rPr>
        <w:t>keeping up with price inflation.</w:t>
      </w:r>
      <w:r w:rsidR="00AE577B" w:rsidRPr="00281B7A">
        <w:rPr>
          <w:i/>
        </w:rPr>
        <w:t xml:space="preserve"> </w:t>
      </w:r>
      <w:r w:rsidR="00AE577B" w:rsidRPr="00281B7A">
        <w:t xml:space="preserve"> </w:t>
      </w:r>
      <w:r w:rsidR="00281B7A" w:rsidRPr="00281B7A">
        <w:t xml:space="preserve">The GoI had </w:t>
      </w:r>
      <w:r w:rsidR="005B2580" w:rsidRPr="00281B7A">
        <w:t xml:space="preserve">particularly impressive </w:t>
      </w:r>
      <w:r w:rsidR="00281B7A" w:rsidRPr="00281B7A">
        <w:t xml:space="preserve">growth in real and nominal terms in 2006 and 2009. Since 2009, growth in education expenditures has marginally outpaced inflation, but there is a plateau in the real increase of national funding for education. </w:t>
      </w:r>
    </w:p>
    <w:p w:rsidR="00D05C5D" w:rsidRPr="00281B7A" w:rsidRDefault="00AE577B" w:rsidP="00AE577B">
      <w:r w:rsidRPr="00281B7A">
        <w:t xml:space="preserve">There has been a </w:t>
      </w:r>
      <w:r w:rsidR="00D05C5D" w:rsidRPr="00281B7A">
        <w:t xml:space="preserve">sustained </w:t>
      </w:r>
      <w:r w:rsidRPr="00281B7A">
        <w:t xml:space="preserve">upward trend in public expenditure for education. </w:t>
      </w:r>
      <w:r w:rsidR="00271174" w:rsidRPr="00281B7A">
        <w:t>Consistent f</w:t>
      </w:r>
      <w:r w:rsidRPr="00281B7A">
        <w:t xml:space="preserve">unding increases have been attained in nominal </w:t>
      </w:r>
      <w:r w:rsidR="001C6BE6" w:rsidRPr="00281B7A">
        <w:t>value</w:t>
      </w:r>
      <w:r w:rsidR="00271174" w:rsidRPr="00281B7A">
        <w:t xml:space="preserve"> </w:t>
      </w:r>
      <w:r w:rsidR="001C6BE6" w:rsidRPr="00281B7A">
        <w:t xml:space="preserve">terms </w:t>
      </w:r>
      <w:r w:rsidR="00271174" w:rsidRPr="00281B7A">
        <w:t>for all years except for 2004. When accounting for the eroding impact of price inflation over time, the real increase in funding for education is more modest. The period</w:t>
      </w:r>
      <w:r w:rsidR="00442BF0" w:rsidRPr="00281B7A">
        <w:t>s</w:t>
      </w:r>
      <w:r w:rsidR="00271174" w:rsidRPr="00281B7A">
        <w:t xml:space="preserve"> 2003-2005</w:t>
      </w:r>
      <w:r w:rsidR="00442BF0" w:rsidRPr="00281B7A">
        <w:t xml:space="preserve"> and 2007-2008 saw a virtual pause (or even a slight decline) in real education expenditures. The year of 2005 was hit hard by a particularly high inflation rate of 17% that was driven by the removal of the oil price subsidy. </w:t>
      </w:r>
    </w:p>
    <w:p w:rsidR="00AE577B" w:rsidRDefault="00AE577B" w:rsidP="00BA7FA0">
      <w:pPr>
        <w:pStyle w:val="Caption"/>
      </w:pPr>
      <w:bookmarkStart w:id="45" w:name="_Toc343595513"/>
      <w:r w:rsidRPr="00470457">
        <w:t>National Public Expenditure on E</w:t>
      </w:r>
      <w:r w:rsidR="00F36400">
        <w:t>ducation, Rp. Trillion 2001-20</w:t>
      </w:r>
      <w:r w:rsidR="00E15DFE">
        <w:t>1</w:t>
      </w:r>
      <w:r w:rsidR="00274EE6">
        <w:t>1</w:t>
      </w:r>
      <w:bookmarkEnd w:id="45"/>
    </w:p>
    <w:p w:rsidR="00AE577B" w:rsidRDefault="00463C5E" w:rsidP="00AE577B">
      <w:r>
        <w:rPr>
          <w:noProof/>
          <w:lang w:val="en-AU" w:eastAsia="en-AU"/>
        </w:rPr>
        <w:drawing>
          <wp:inline distT="0" distB="0" distL="0" distR="0" wp14:anchorId="2B92B21D" wp14:editId="35C7CA9E">
            <wp:extent cx="5629275" cy="28765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9275" cy="2876550"/>
                    </a:xfrm>
                    <a:prstGeom prst="rect">
                      <a:avLst/>
                    </a:prstGeom>
                    <a:noFill/>
                  </pic:spPr>
                </pic:pic>
              </a:graphicData>
            </a:graphic>
          </wp:inline>
        </w:drawing>
      </w:r>
    </w:p>
    <w:p w:rsidR="00A72C4D" w:rsidRDefault="00A72C4D" w:rsidP="00AE577B">
      <w:r>
        <w:rPr>
          <w:b/>
          <w:i/>
        </w:rPr>
        <w:t xml:space="preserve">The public expenditure for education (not accounting for price inflation) has increased </w:t>
      </w:r>
      <w:r w:rsidR="00572AE7">
        <w:rPr>
          <w:b/>
          <w:i/>
        </w:rPr>
        <w:t xml:space="preserve">by </w:t>
      </w:r>
      <w:r w:rsidR="00281B7A">
        <w:rPr>
          <w:b/>
          <w:i/>
        </w:rPr>
        <w:t>approximately 200% between 2006 and 2011</w:t>
      </w:r>
      <w:r>
        <w:rPr>
          <w:b/>
          <w:i/>
        </w:rPr>
        <w:t xml:space="preserve">. </w:t>
      </w:r>
      <w:r w:rsidR="008E245A">
        <w:t xml:space="preserve">The nominal value of </w:t>
      </w:r>
      <w:r w:rsidR="00AE577B">
        <w:t xml:space="preserve">public expenditures </w:t>
      </w:r>
      <w:r w:rsidR="008E245A">
        <w:t xml:space="preserve">for education </w:t>
      </w:r>
      <w:r w:rsidR="00AE577B">
        <w:t>i</w:t>
      </w:r>
      <w:r w:rsidR="00281B7A">
        <w:t>ncreased from 123</w:t>
      </w:r>
      <w:r w:rsidR="00271174">
        <w:t xml:space="preserve"> trillion </w:t>
      </w:r>
      <w:r w:rsidR="008E245A">
        <w:t xml:space="preserve">in 2001 </w:t>
      </w:r>
      <w:r w:rsidR="00281B7A">
        <w:t>to 243</w:t>
      </w:r>
      <w:r w:rsidR="00271174">
        <w:t xml:space="preserve"> trillion </w:t>
      </w:r>
      <w:r w:rsidR="008E245A">
        <w:t xml:space="preserve">by </w:t>
      </w:r>
      <w:r w:rsidR="00281B7A">
        <w:t>2011</w:t>
      </w:r>
      <w:r w:rsidR="00AE577B">
        <w:t xml:space="preserve">. </w:t>
      </w:r>
    </w:p>
    <w:p w:rsidR="00AE577B" w:rsidRPr="00DA470F" w:rsidRDefault="00A72C4D" w:rsidP="00AE577B">
      <w:r>
        <w:rPr>
          <w:b/>
          <w:i/>
        </w:rPr>
        <w:t>The real value of</w:t>
      </w:r>
      <w:r w:rsidRPr="00A72C4D">
        <w:rPr>
          <w:b/>
          <w:i/>
        </w:rPr>
        <w:t xml:space="preserve"> </w:t>
      </w:r>
      <w:r>
        <w:rPr>
          <w:b/>
          <w:i/>
        </w:rPr>
        <w:t xml:space="preserve">public expenditure for education increased </w:t>
      </w:r>
      <w:r w:rsidR="00D05C5D">
        <w:rPr>
          <w:b/>
          <w:i/>
        </w:rPr>
        <w:t xml:space="preserve">by </w:t>
      </w:r>
      <w:r w:rsidR="00281B7A">
        <w:rPr>
          <w:b/>
          <w:i/>
        </w:rPr>
        <w:t>39% during the period 2006- 2011</w:t>
      </w:r>
      <w:r>
        <w:rPr>
          <w:b/>
          <w:i/>
        </w:rPr>
        <w:t xml:space="preserve">.  </w:t>
      </w:r>
      <w:r w:rsidR="00AE577B">
        <w:t xml:space="preserve">In 2001 constant prices, national education expenditures increased </w:t>
      </w:r>
      <w:r w:rsidR="00201A10">
        <w:t>more than 1.4</w:t>
      </w:r>
      <w:r w:rsidR="0032179B">
        <w:t xml:space="preserve"> times </w:t>
      </w:r>
      <w:r w:rsidR="0032179B" w:rsidRPr="00DA470F">
        <w:t>their original 200</w:t>
      </w:r>
      <w:r w:rsidR="00201A10" w:rsidRPr="00DA470F">
        <w:t>6</w:t>
      </w:r>
      <w:r w:rsidR="0032179B" w:rsidRPr="00DA470F">
        <w:t xml:space="preserve"> value of </w:t>
      </w:r>
      <w:r w:rsidR="00201A10" w:rsidRPr="00DA470F">
        <w:t>Rp. 76</w:t>
      </w:r>
      <w:r w:rsidR="00D05C5D" w:rsidRPr="00DA470F">
        <w:t xml:space="preserve"> trillion to </w:t>
      </w:r>
      <w:r w:rsidR="0032179B" w:rsidRPr="00DA470F">
        <w:t xml:space="preserve">more than </w:t>
      </w:r>
      <w:r w:rsidR="00201A10" w:rsidRPr="00DA470F">
        <w:t>Rp. 110</w:t>
      </w:r>
      <w:r w:rsidR="00271174" w:rsidRPr="00DA470F">
        <w:t xml:space="preserve"> trillion </w:t>
      </w:r>
      <w:r w:rsidR="0032179B" w:rsidRPr="00DA470F">
        <w:t xml:space="preserve">by </w:t>
      </w:r>
      <w:r w:rsidR="00201A10" w:rsidRPr="00DA470F">
        <w:t>2011</w:t>
      </w:r>
      <w:r w:rsidR="00AE577B" w:rsidRPr="00DA470F">
        <w:t xml:space="preserve">. </w:t>
      </w:r>
    </w:p>
    <w:p w:rsidR="005B2580" w:rsidRPr="00DA470F" w:rsidRDefault="005B2580" w:rsidP="005B2580">
      <w:r w:rsidRPr="00DA470F">
        <w:rPr>
          <w:b/>
          <w:i/>
        </w:rPr>
        <w:t xml:space="preserve">Government commitment to meet a 20% target for education expenditure share of national budget has been met for the </w:t>
      </w:r>
      <w:r w:rsidR="00201A10" w:rsidRPr="00DA470F">
        <w:rPr>
          <w:b/>
          <w:i/>
        </w:rPr>
        <w:t xml:space="preserve">third </w:t>
      </w:r>
      <w:r w:rsidRPr="00DA470F">
        <w:rPr>
          <w:b/>
          <w:i/>
        </w:rPr>
        <w:t xml:space="preserve">year in a row. </w:t>
      </w:r>
      <w:r w:rsidRPr="00DA470F">
        <w:t>The national ex</w:t>
      </w:r>
      <w:r w:rsidR="00DA470F" w:rsidRPr="00DA470F">
        <w:t>penditures for education in 2011</w:t>
      </w:r>
      <w:r w:rsidRPr="00DA470F">
        <w:t xml:space="preserve"> </w:t>
      </w:r>
      <w:r w:rsidR="00DA470F" w:rsidRPr="00DA470F">
        <w:t>met the 20% target, but this did not generate a large year on year increase in real funds available for education as the 20% target had already been reached in 2009. The growth in 2011</w:t>
      </w:r>
      <w:r w:rsidRPr="00DA470F">
        <w:t xml:space="preserve"> education expenditures was </w:t>
      </w:r>
      <w:r w:rsidR="00DA470F" w:rsidRPr="00DA470F">
        <w:t xml:space="preserve">in line with growth in 2010, but </w:t>
      </w:r>
      <w:r w:rsidRPr="00DA470F">
        <w:t>more modest than 2009</w:t>
      </w:r>
      <w:r w:rsidR="00DA470F" w:rsidRPr="00DA470F">
        <w:t>.</w:t>
      </w:r>
      <w:r w:rsidRPr="00DA470F">
        <w:t xml:space="preserve"> This suggests that in future years the growth in national public education expenditures </w:t>
      </w:r>
      <w:r w:rsidR="00DA470F" w:rsidRPr="00DA470F">
        <w:t xml:space="preserve">will </w:t>
      </w:r>
      <w:r w:rsidRPr="00DA470F">
        <w:t>continue to track the growth in the national public budget.</w:t>
      </w:r>
    </w:p>
    <w:p w:rsidR="005B2580" w:rsidRPr="00DA470F" w:rsidRDefault="005B2580" w:rsidP="005B2580">
      <w:r w:rsidRPr="00DA470F">
        <w:t xml:space="preserve">Adherence to a proportional budget allocation for education should enhance the ability of the education sector to anticipate future allocations and plan accordingly by creating a more stable financing framework. The proportional allocation approach toward education financing (i.e. 20% of available national public budget) will enhance predictability and steady growth of the education budget. The exception to this will be in the case of an economic downturn that depresses GoI revenues or where there is a change government fiscal policy settings leading to reduced public expenditure as a proportion gross domestic product. </w:t>
      </w:r>
    </w:p>
    <w:p w:rsidR="008E245A" w:rsidRPr="00DA470F" w:rsidRDefault="00AE577B" w:rsidP="00AE577B">
      <w:r w:rsidRPr="00DA470F">
        <w:rPr>
          <w:b/>
          <w:i/>
        </w:rPr>
        <w:t xml:space="preserve">Annual increases in national education expenditure </w:t>
      </w:r>
      <w:r w:rsidR="00A72C4D" w:rsidRPr="00DA470F">
        <w:rPr>
          <w:b/>
          <w:i/>
        </w:rPr>
        <w:t xml:space="preserve">have been </w:t>
      </w:r>
      <w:r w:rsidRPr="00DA470F">
        <w:rPr>
          <w:b/>
          <w:i/>
        </w:rPr>
        <w:t>uneven</w:t>
      </w:r>
      <w:r w:rsidR="00A72C4D" w:rsidRPr="00DA470F">
        <w:rPr>
          <w:b/>
          <w:i/>
        </w:rPr>
        <w:t>.</w:t>
      </w:r>
      <w:r w:rsidR="00A72C4D" w:rsidRPr="00DA470F">
        <w:t xml:space="preserve"> </w:t>
      </w:r>
      <w:r w:rsidRPr="00DA470F">
        <w:t xml:space="preserve">The growth </w:t>
      </w:r>
      <w:r w:rsidR="00A72C4D" w:rsidRPr="00DA470F">
        <w:t xml:space="preserve">in public expenditure </w:t>
      </w:r>
      <w:r w:rsidRPr="00DA470F">
        <w:t xml:space="preserve">(while still positive) has been uneven in </w:t>
      </w:r>
      <w:r w:rsidR="00E751B1" w:rsidRPr="00DA470F">
        <w:t xml:space="preserve">its </w:t>
      </w:r>
      <w:r w:rsidRPr="00DA470F">
        <w:t>nominal</w:t>
      </w:r>
      <w:r w:rsidR="001C6BE6" w:rsidRPr="00DA470F">
        <w:t xml:space="preserve"> value</w:t>
      </w:r>
      <w:r w:rsidRPr="00DA470F">
        <w:t xml:space="preserve"> and </w:t>
      </w:r>
      <w:r w:rsidR="00E751B1" w:rsidRPr="00DA470F">
        <w:t xml:space="preserve">2001 constant </w:t>
      </w:r>
      <w:r w:rsidRPr="00DA470F">
        <w:t>prices. Sharp increases in public expenditure</w:t>
      </w:r>
      <w:r w:rsidR="00A72C4D" w:rsidRPr="00DA470F">
        <w:t xml:space="preserve"> for education in the years 2003</w:t>
      </w:r>
      <w:r w:rsidRPr="00DA470F">
        <w:t xml:space="preserve"> and 2006 were followed by </w:t>
      </w:r>
      <w:r w:rsidR="008E245A" w:rsidRPr="00DA470F">
        <w:t>contractions in 2004</w:t>
      </w:r>
      <w:r w:rsidR="00A72C4D" w:rsidRPr="00DA470F">
        <w:t xml:space="preserve"> and 2008.</w:t>
      </w:r>
      <w:r w:rsidR="008E245A" w:rsidRPr="00DA470F">
        <w:t xml:space="preserve"> </w:t>
      </w:r>
    </w:p>
    <w:p w:rsidR="005B2580" w:rsidRPr="00DA470F" w:rsidRDefault="005B2580" w:rsidP="00AE577B">
      <w:r w:rsidRPr="00DA470F">
        <w:t xml:space="preserve">The 20% proportional allocation setting is </w:t>
      </w:r>
      <w:r w:rsidR="00DA470F" w:rsidRPr="00DA470F">
        <w:t xml:space="preserve">now acting to </w:t>
      </w:r>
      <w:r w:rsidRPr="00DA470F">
        <w:t xml:space="preserve">moderate the changes in annual growth of the education budget towards the lower end of the growth spectrum. </w:t>
      </w:r>
    </w:p>
    <w:p w:rsidR="00D05C5D" w:rsidRPr="009A1387" w:rsidRDefault="00D05C5D" w:rsidP="00BA7FA0">
      <w:pPr>
        <w:pStyle w:val="Caption"/>
      </w:pPr>
      <w:bookmarkStart w:id="46" w:name="_Toc343595514"/>
      <w:r w:rsidRPr="009A1387">
        <w:t xml:space="preserve">Annual Growth in </w:t>
      </w:r>
      <w:r>
        <w:t xml:space="preserve">Education </w:t>
      </w:r>
      <w:r w:rsidRPr="009A1387">
        <w:t>Expenditure</w:t>
      </w:r>
      <w:r>
        <w:t>(Rp. trillion)</w:t>
      </w:r>
      <w:r w:rsidRPr="009A1387">
        <w:t>, 200</w:t>
      </w:r>
      <w:r>
        <w:t>1-20</w:t>
      </w:r>
      <w:r w:rsidR="000158B4">
        <w:t>1</w:t>
      </w:r>
      <w:r w:rsidR="00274EE6">
        <w:t>1</w:t>
      </w:r>
      <w:bookmarkEnd w:id="46"/>
    </w:p>
    <w:p w:rsidR="00D05C5D" w:rsidRPr="00C8389B" w:rsidRDefault="00463C5E" w:rsidP="00D05C5D">
      <w:r>
        <w:rPr>
          <w:noProof/>
          <w:lang w:val="en-AU" w:eastAsia="en-AU"/>
        </w:rPr>
        <w:drawing>
          <wp:inline distT="0" distB="0" distL="0" distR="0" wp14:anchorId="4CB4DF32" wp14:editId="51E36C29">
            <wp:extent cx="5572125" cy="29908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2125" cy="2990850"/>
                    </a:xfrm>
                    <a:prstGeom prst="rect">
                      <a:avLst/>
                    </a:prstGeom>
                    <a:noFill/>
                  </pic:spPr>
                </pic:pic>
              </a:graphicData>
            </a:graphic>
          </wp:inline>
        </w:drawing>
      </w:r>
    </w:p>
    <w:p w:rsidR="00DA470F" w:rsidRDefault="00DA470F">
      <w:pPr>
        <w:spacing w:after="0" w:line="240" w:lineRule="auto"/>
        <w:jc w:val="left"/>
        <w:rPr>
          <w:rFonts w:ascii="Cambria" w:hAnsi="Cambria"/>
          <w:b/>
          <w:i/>
          <w:color w:val="9D3333"/>
          <w:spacing w:val="5"/>
          <w:szCs w:val="24"/>
        </w:rPr>
      </w:pPr>
      <w:r>
        <w:br w:type="page"/>
      </w:r>
    </w:p>
    <w:p w:rsidR="00AE577B" w:rsidRDefault="00AE577B" w:rsidP="00AE577B">
      <w:pPr>
        <w:pStyle w:val="Heading3"/>
      </w:pPr>
      <w:r>
        <w:t>KPI 1: Education Expenditure as Proportion of Total Public Expenditure</w:t>
      </w:r>
    </w:p>
    <w:p w:rsidR="00AE577B" w:rsidRDefault="00AE577B" w:rsidP="00BA7FA0">
      <w:pPr>
        <w:pStyle w:val="Caption"/>
      </w:pPr>
      <w:bookmarkStart w:id="47" w:name="_Toc343595515"/>
      <w:r w:rsidRPr="00CF5CCF">
        <w:t xml:space="preserve">Education Expenditure as </w:t>
      </w:r>
      <w:r w:rsidR="00102A59">
        <w:t xml:space="preserve">Proportion </w:t>
      </w:r>
      <w:r w:rsidRPr="00CF5CCF">
        <w:t>of Total Nation</w:t>
      </w:r>
      <w:r>
        <w:t>al Public Expenditure, 2001-20</w:t>
      </w:r>
      <w:r w:rsidR="000158B4">
        <w:t>1</w:t>
      </w:r>
      <w:r w:rsidR="00274EE6">
        <w:t>1</w:t>
      </w:r>
      <w:bookmarkEnd w:id="47"/>
    </w:p>
    <w:p w:rsidR="00AE577B" w:rsidRPr="004632BC" w:rsidRDefault="00463C5E" w:rsidP="00AE577B">
      <w:r>
        <w:rPr>
          <w:noProof/>
          <w:lang w:val="en-AU" w:eastAsia="en-AU"/>
        </w:rPr>
        <w:drawing>
          <wp:inline distT="0" distB="0" distL="0" distR="0" wp14:anchorId="1CB9496C" wp14:editId="0B4276A0">
            <wp:extent cx="5572125" cy="31432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2125" cy="3143250"/>
                    </a:xfrm>
                    <a:prstGeom prst="rect">
                      <a:avLst/>
                    </a:prstGeom>
                    <a:noFill/>
                  </pic:spPr>
                </pic:pic>
              </a:graphicData>
            </a:graphic>
          </wp:inline>
        </w:drawing>
      </w:r>
    </w:p>
    <w:p w:rsidR="00AE577B" w:rsidRPr="00D27D8D" w:rsidRDefault="00AE577B" w:rsidP="00AE577B">
      <w:pPr>
        <w:spacing w:after="0"/>
        <w:rPr>
          <w:sz w:val="16"/>
          <w:szCs w:val="16"/>
        </w:rPr>
      </w:pPr>
    </w:p>
    <w:tbl>
      <w:tblPr>
        <w:tblW w:w="0" w:type="auto"/>
        <w:jc w:val="center"/>
        <w:tblBorders>
          <w:top w:val="single" w:sz="8" w:space="0" w:color="C0504D"/>
          <w:bottom w:val="single" w:sz="8" w:space="0" w:color="C0504D"/>
        </w:tblBorders>
        <w:tblLook w:val="00A0" w:firstRow="1" w:lastRow="0" w:firstColumn="1" w:lastColumn="0" w:noHBand="0" w:noVBand="0"/>
      </w:tblPr>
      <w:tblGrid>
        <w:gridCol w:w="1300"/>
        <w:gridCol w:w="7682"/>
      </w:tblGrid>
      <w:tr w:rsidR="00AE577B" w:rsidTr="00BA442B">
        <w:trPr>
          <w:jc w:val="center"/>
        </w:trPr>
        <w:tc>
          <w:tcPr>
            <w:tcW w:w="1300" w:type="dxa"/>
            <w:tcBorders>
              <w:top w:val="single" w:sz="8" w:space="0" w:color="C0504D"/>
              <w:bottom w:val="single" w:sz="18" w:space="0" w:color="FFFFFF"/>
            </w:tcBorders>
            <w:shd w:val="clear" w:color="auto" w:fill="F2F2F2"/>
          </w:tcPr>
          <w:p w:rsidR="00AE577B" w:rsidRPr="009B04ED" w:rsidRDefault="00AE577B" w:rsidP="00AE577B">
            <w:pPr>
              <w:spacing w:after="60"/>
              <w:jc w:val="left"/>
              <w:rPr>
                <w:b/>
                <w:bCs/>
                <w:color w:val="000000"/>
              </w:rPr>
            </w:pPr>
            <w:r w:rsidRPr="009B04ED">
              <w:rPr>
                <w:b/>
                <w:bCs/>
                <w:color w:val="000000"/>
              </w:rPr>
              <w:t>Result:</w:t>
            </w:r>
          </w:p>
        </w:tc>
        <w:tc>
          <w:tcPr>
            <w:tcW w:w="7682" w:type="dxa"/>
            <w:tcBorders>
              <w:top w:val="single" w:sz="8" w:space="0" w:color="C0504D"/>
              <w:bottom w:val="single" w:sz="18" w:space="0" w:color="FFFFFF"/>
            </w:tcBorders>
            <w:shd w:val="clear" w:color="auto" w:fill="F2F2F2"/>
          </w:tcPr>
          <w:p w:rsidR="00AE577B" w:rsidRPr="009B04ED" w:rsidRDefault="00102A59" w:rsidP="00AE577B">
            <w:pPr>
              <w:spacing w:after="60"/>
              <w:jc w:val="left"/>
              <w:rPr>
                <w:color w:val="000000"/>
              </w:rPr>
            </w:pPr>
            <w:r>
              <w:rPr>
                <w:color w:val="000000"/>
              </w:rPr>
              <w:t>Positive</w:t>
            </w:r>
          </w:p>
        </w:tc>
      </w:tr>
      <w:tr w:rsidR="00AE577B" w:rsidTr="00BA442B">
        <w:trPr>
          <w:jc w:val="center"/>
        </w:trPr>
        <w:tc>
          <w:tcPr>
            <w:tcW w:w="1300" w:type="dxa"/>
            <w:tcBorders>
              <w:top w:val="single" w:sz="18" w:space="0" w:color="FFFFFF"/>
              <w:bottom w:val="single" w:sz="18" w:space="0" w:color="FFFFFF"/>
            </w:tcBorders>
            <w:shd w:val="clear" w:color="auto" w:fill="F2F2F2"/>
          </w:tcPr>
          <w:p w:rsidR="00AE577B" w:rsidRPr="009B04ED" w:rsidRDefault="00AE577B" w:rsidP="00AE577B">
            <w:pPr>
              <w:spacing w:after="60"/>
              <w:jc w:val="left"/>
              <w:rPr>
                <w:b/>
                <w:bCs/>
                <w:color w:val="000000"/>
              </w:rPr>
            </w:pPr>
            <w:r w:rsidRPr="009B04ED">
              <w:rPr>
                <w:b/>
                <w:bCs/>
                <w:color w:val="000000"/>
              </w:rPr>
              <w:t>Data Availability:</w:t>
            </w:r>
          </w:p>
        </w:tc>
        <w:tc>
          <w:tcPr>
            <w:tcW w:w="7682" w:type="dxa"/>
            <w:tcBorders>
              <w:top w:val="single" w:sz="18" w:space="0" w:color="FFFFFF"/>
              <w:bottom w:val="single" w:sz="18" w:space="0" w:color="FFFFFF"/>
            </w:tcBorders>
            <w:shd w:val="clear" w:color="auto" w:fill="F2F2F2"/>
          </w:tcPr>
          <w:p w:rsidR="00AE577B" w:rsidRPr="009B04ED" w:rsidRDefault="00AE577B" w:rsidP="00AE577B">
            <w:pPr>
              <w:spacing w:after="60"/>
              <w:jc w:val="left"/>
              <w:rPr>
                <w:color w:val="000000"/>
              </w:rPr>
            </w:pPr>
            <w:r>
              <w:rPr>
                <w:color w:val="000000"/>
              </w:rPr>
              <w:t>Full</w:t>
            </w:r>
          </w:p>
        </w:tc>
      </w:tr>
      <w:tr w:rsidR="00AE577B" w:rsidTr="00BA442B">
        <w:trPr>
          <w:jc w:val="center"/>
        </w:trPr>
        <w:tc>
          <w:tcPr>
            <w:tcW w:w="1300" w:type="dxa"/>
            <w:tcBorders>
              <w:top w:val="single" w:sz="18" w:space="0" w:color="FFFFFF"/>
              <w:bottom w:val="single" w:sz="18" w:space="0" w:color="FFFFFF"/>
            </w:tcBorders>
            <w:shd w:val="clear" w:color="auto" w:fill="F2F2F2"/>
          </w:tcPr>
          <w:p w:rsidR="00AE577B" w:rsidRPr="009B04ED" w:rsidRDefault="00AE577B" w:rsidP="00AE577B">
            <w:pPr>
              <w:spacing w:after="60"/>
              <w:jc w:val="left"/>
              <w:rPr>
                <w:b/>
                <w:bCs/>
                <w:color w:val="000000"/>
              </w:rPr>
            </w:pPr>
            <w:r w:rsidRPr="009B04ED">
              <w:rPr>
                <w:b/>
                <w:bCs/>
                <w:color w:val="000000"/>
              </w:rPr>
              <w:t>Comment:</w:t>
            </w:r>
          </w:p>
        </w:tc>
        <w:tc>
          <w:tcPr>
            <w:tcW w:w="7682" w:type="dxa"/>
            <w:tcBorders>
              <w:top w:val="single" w:sz="18" w:space="0" w:color="FFFFFF"/>
              <w:bottom w:val="single" w:sz="18" w:space="0" w:color="FFFFFF"/>
            </w:tcBorders>
            <w:shd w:val="clear" w:color="auto" w:fill="F2F2F2"/>
          </w:tcPr>
          <w:p w:rsidR="00524E92" w:rsidRDefault="00524E92" w:rsidP="00AE577B">
            <w:pPr>
              <w:spacing w:after="120"/>
              <w:jc w:val="left"/>
              <w:rPr>
                <w:color w:val="000000"/>
              </w:rPr>
            </w:pPr>
            <w:r>
              <w:rPr>
                <w:color w:val="000000"/>
              </w:rPr>
              <w:t>The GoI has now met its target of committing at least 20% of national public expenditure to</w:t>
            </w:r>
            <w:r w:rsidR="00DA470F">
              <w:rPr>
                <w:color w:val="000000"/>
              </w:rPr>
              <w:t>wards education for the last three years in a row (2009-2011</w:t>
            </w:r>
            <w:r>
              <w:rPr>
                <w:color w:val="000000"/>
              </w:rPr>
              <w:t>).</w:t>
            </w:r>
          </w:p>
          <w:p w:rsidR="00AE577B" w:rsidRPr="009B04ED" w:rsidRDefault="00524E92" w:rsidP="00AE577B">
            <w:pPr>
              <w:spacing w:after="120"/>
              <w:jc w:val="left"/>
              <w:rPr>
                <w:color w:val="000000"/>
              </w:rPr>
            </w:pPr>
            <w:r>
              <w:rPr>
                <w:color w:val="000000"/>
              </w:rPr>
              <w:t xml:space="preserve">Achieving this target has been made possible through </w:t>
            </w:r>
            <w:r w:rsidR="00AE577B" w:rsidRPr="009B04ED">
              <w:rPr>
                <w:color w:val="000000"/>
              </w:rPr>
              <w:t xml:space="preserve">significant growth in education expenditure allocations as </w:t>
            </w:r>
            <w:r w:rsidR="00AE577B">
              <w:rPr>
                <w:color w:val="000000"/>
              </w:rPr>
              <w:t xml:space="preserve">a </w:t>
            </w:r>
            <w:r w:rsidR="00AE577B" w:rsidRPr="009B04ED">
              <w:rPr>
                <w:color w:val="000000"/>
              </w:rPr>
              <w:t xml:space="preserve">proportion of national expenditure since 2001.  Education’s share has grown from 12% in 2001 to </w:t>
            </w:r>
            <w:r w:rsidR="000158B4">
              <w:rPr>
                <w:color w:val="000000"/>
              </w:rPr>
              <w:t xml:space="preserve">20% </w:t>
            </w:r>
            <w:r w:rsidR="00BA442B">
              <w:rPr>
                <w:color w:val="000000"/>
              </w:rPr>
              <w:t>for 2009-2011</w:t>
            </w:r>
            <w:r w:rsidR="00AE577B" w:rsidRPr="009B04ED">
              <w:rPr>
                <w:color w:val="000000"/>
              </w:rPr>
              <w:t>.</w:t>
            </w:r>
          </w:p>
          <w:p w:rsidR="00EF41A6" w:rsidRDefault="00EF41A6" w:rsidP="00AE577B">
            <w:pPr>
              <w:spacing w:after="120"/>
              <w:jc w:val="left"/>
              <w:rPr>
                <w:color w:val="000000"/>
              </w:rPr>
            </w:pPr>
            <w:r>
              <w:rPr>
                <w:color w:val="000000"/>
              </w:rPr>
              <w:t>D</w:t>
            </w:r>
            <w:r w:rsidR="00AE577B" w:rsidRPr="009B04ED">
              <w:rPr>
                <w:color w:val="000000"/>
              </w:rPr>
              <w:t>ecline</w:t>
            </w:r>
            <w:r>
              <w:rPr>
                <w:color w:val="000000"/>
              </w:rPr>
              <w:t>s</w:t>
            </w:r>
            <w:r w:rsidR="00AE577B" w:rsidRPr="009B04ED">
              <w:rPr>
                <w:color w:val="000000"/>
              </w:rPr>
              <w:t xml:space="preserve"> in the share of education expenditures occurred in 2004</w:t>
            </w:r>
            <w:r>
              <w:rPr>
                <w:color w:val="000000"/>
              </w:rPr>
              <w:t>, 2005 and 2008</w:t>
            </w:r>
            <w:r w:rsidR="00AE577B" w:rsidRPr="009B04ED">
              <w:rPr>
                <w:color w:val="000000"/>
              </w:rPr>
              <w:t xml:space="preserve">. </w:t>
            </w:r>
            <w:r>
              <w:rPr>
                <w:color w:val="000000"/>
              </w:rPr>
              <w:t xml:space="preserve">The 2004 </w:t>
            </w:r>
            <w:r w:rsidR="00AE577B" w:rsidRPr="009B04ED">
              <w:rPr>
                <w:color w:val="000000"/>
              </w:rPr>
              <w:t xml:space="preserve">fall was related to </w:t>
            </w:r>
            <w:r w:rsidR="00AE577B">
              <w:rPr>
                <w:color w:val="000000"/>
              </w:rPr>
              <w:t xml:space="preserve">the </w:t>
            </w:r>
            <w:r w:rsidR="00AE577B" w:rsidRPr="009B04ED">
              <w:rPr>
                <w:color w:val="000000"/>
              </w:rPr>
              <w:t>fuel subsidy crisis and the fiscal squeeze encountered by the central government.</w:t>
            </w:r>
            <w:r>
              <w:rPr>
                <w:color w:val="000000"/>
              </w:rPr>
              <w:t xml:space="preserve"> </w:t>
            </w:r>
          </w:p>
          <w:p w:rsidR="00AE577B" w:rsidRPr="009B04ED" w:rsidRDefault="00EF41A6" w:rsidP="00AE577B">
            <w:pPr>
              <w:spacing w:after="120"/>
              <w:jc w:val="left"/>
              <w:rPr>
                <w:color w:val="000000"/>
              </w:rPr>
            </w:pPr>
            <w:r>
              <w:rPr>
                <w:color w:val="000000"/>
              </w:rPr>
              <w:t xml:space="preserve">The larger decline in budget share in 2008 reflects a faster rate of growth in the national budget than a decline in nominal value terms in the education budget. </w:t>
            </w:r>
            <w:r w:rsidR="00AE577B">
              <w:rPr>
                <w:color w:val="000000"/>
              </w:rPr>
              <w:t>There was a substantial nominal growth in expenditure for education (see previous section)</w:t>
            </w:r>
            <w:r>
              <w:rPr>
                <w:color w:val="000000"/>
              </w:rPr>
              <w:t>, however p</w:t>
            </w:r>
            <w:r w:rsidR="00AE577B">
              <w:rPr>
                <w:color w:val="000000"/>
              </w:rPr>
              <w:t xml:space="preserve">articularly strong government revenues in 2008 facilitated a large growth in public expenditures. </w:t>
            </w:r>
          </w:p>
          <w:p w:rsidR="00AE577B" w:rsidRPr="009B04ED" w:rsidRDefault="00AE577B" w:rsidP="00AE577B">
            <w:pPr>
              <w:spacing w:after="60"/>
              <w:jc w:val="left"/>
              <w:rPr>
                <w:color w:val="000000"/>
              </w:rPr>
            </w:pPr>
            <w:r>
              <w:rPr>
                <w:color w:val="000000"/>
              </w:rPr>
              <w:t>In contrast, t</w:t>
            </w:r>
            <w:r w:rsidRPr="009B04ED">
              <w:rPr>
                <w:color w:val="000000"/>
              </w:rPr>
              <w:t xml:space="preserve">he relative decline in education expenditure during 2004 was affected through a decline in mostly development expenditures. </w:t>
            </w:r>
          </w:p>
        </w:tc>
      </w:tr>
      <w:tr w:rsidR="00AE577B" w:rsidTr="00BA442B">
        <w:trPr>
          <w:jc w:val="center"/>
        </w:trPr>
        <w:tc>
          <w:tcPr>
            <w:tcW w:w="1300" w:type="dxa"/>
            <w:tcBorders>
              <w:top w:val="single" w:sz="18" w:space="0" w:color="FFFFFF"/>
              <w:bottom w:val="single" w:sz="8" w:space="0" w:color="C0504D"/>
            </w:tcBorders>
            <w:shd w:val="clear" w:color="auto" w:fill="F2F2F2"/>
          </w:tcPr>
          <w:p w:rsidR="00AE577B" w:rsidRPr="009B04ED" w:rsidRDefault="00AE577B" w:rsidP="00AE577B">
            <w:pPr>
              <w:spacing w:after="60"/>
              <w:jc w:val="left"/>
              <w:rPr>
                <w:b/>
                <w:bCs/>
                <w:color w:val="000000"/>
              </w:rPr>
            </w:pPr>
            <w:r w:rsidRPr="009B04ED">
              <w:rPr>
                <w:b/>
                <w:bCs/>
                <w:color w:val="000000"/>
              </w:rPr>
              <w:t>Future Analysis:</w:t>
            </w:r>
          </w:p>
        </w:tc>
        <w:tc>
          <w:tcPr>
            <w:tcW w:w="7682" w:type="dxa"/>
            <w:tcBorders>
              <w:top w:val="single" w:sz="18" w:space="0" w:color="FFFFFF"/>
              <w:bottom w:val="single" w:sz="8" w:space="0" w:color="C0504D"/>
            </w:tcBorders>
            <w:shd w:val="clear" w:color="auto" w:fill="F2F2F2"/>
          </w:tcPr>
          <w:p w:rsidR="00AE577B" w:rsidRPr="009B04ED" w:rsidRDefault="00AE577B" w:rsidP="004F5453">
            <w:pPr>
              <w:spacing w:after="60"/>
              <w:jc w:val="left"/>
              <w:rPr>
                <w:color w:val="000000"/>
              </w:rPr>
            </w:pPr>
            <w:r w:rsidRPr="009B04ED">
              <w:rPr>
                <w:color w:val="000000"/>
              </w:rPr>
              <w:t xml:space="preserve">Annual. </w:t>
            </w:r>
          </w:p>
        </w:tc>
      </w:tr>
    </w:tbl>
    <w:p w:rsidR="00AE577B" w:rsidRDefault="00AE577B" w:rsidP="00AE577B">
      <w:pPr>
        <w:spacing w:after="0"/>
        <w:rPr>
          <w:b/>
          <w:i/>
        </w:rPr>
      </w:pPr>
    </w:p>
    <w:p w:rsidR="008C73D1" w:rsidRDefault="00AE577B" w:rsidP="008C73D1">
      <w:r w:rsidRPr="00193E45">
        <w:rPr>
          <w:b/>
          <w:i/>
        </w:rPr>
        <w:t>Policy Implications:</w:t>
      </w:r>
      <w:r>
        <w:t xml:space="preserve"> </w:t>
      </w:r>
      <w:r w:rsidR="008C73D1">
        <w:t>The 2010</w:t>
      </w:r>
      <w:r w:rsidR="00BA442B">
        <w:t xml:space="preserve"> and 2011</w:t>
      </w:r>
      <w:r w:rsidR="008C73D1">
        <w:t xml:space="preserve"> public expenditure figures and the Financial Note</w:t>
      </w:r>
      <w:r w:rsidR="00BA442B">
        <w:t>s</w:t>
      </w:r>
      <w:r w:rsidR="008C73D1">
        <w:t xml:space="preserve"> </w:t>
      </w:r>
      <w:r w:rsidR="00BA442B">
        <w:t xml:space="preserve">for </w:t>
      </w:r>
      <w:r w:rsidR="008C73D1">
        <w:t xml:space="preserve">2010 </w:t>
      </w:r>
      <w:r w:rsidR="00BA442B">
        <w:t xml:space="preserve">and 2011 </w:t>
      </w:r>
      <w:r w:rsidR="008C73D1">
        <w:t xml:space="preserve">released by the MoF make it clear there is now a </w:t>
      </w:r>
      <w:r w:rsidR="005C5E07">
        <w:t xml:space="preserve">continuing </w:t>
      </w:r>
      <w:r w:rsidR="008C73D1">
        <w:t>GoI commitment to meet the constitutionally mandated 20% target for education expenditure.</w:t>
      </w:r>
    </w:p>
    <w:p w:rsidR="00AE577B" w:rsidRDefault="00AE577B" w:rsidP="00AE577B">
      <w:pPr>
        <w:pStyle w:val="Heading3"/>
      </w:pPr>
      <w:r>
        <w:t xml:space="preserve">KPI 2: </w:t>
      </w:r>
      <w:r w:rsidRPr="00DA60E0">
        <w:t>Education Expenditure as Proportion of GDP</w:t>
      </w:r>
    </w:p>
    <w:p w:rsidR="00AE577B" w:rsidRDefault="00AE577B" w:rsidP="00BA7FA0">
      <w:pPr>
        <w:pStyle w:val="Caption"/>
      </w:pPr>
      <w:r>
        <w:t xml:space="preserve"> </w:t>
      </w:r>
      <w:bookmarkStart w:id="48" w:name="_Toc343595516"/>
      <w:r w:rsidRPr="005D02D9">
        <w:t xml:space="preserve">Education Expenditure as </w:t>
      </w:r>
      <w:r w:rsidR="002F217D">
        <w:t xml:space="preserve">Proportion </w:t>
      </w:r>
      <w:r w:rsidR="00534F0E">
        <w:t>of GDP, 2001-20</w:t>
      </w:r>
      <w:r w:rsidR="00470DCC">
        <w:t>1</w:t>
      </w:r>
      <w:r w:rsidR="00274EE6">
        <w:t>1</w:t>
      </w:r>
      <w:bookmarkEnd w:id="48"/>
    </w:p>
    <w:p w:rsidR="00463C5E" w:rsidRDefault="00463C5E" w:rsidP="00463C5E">
      <w:r>
        <w:rPr>
          <w:noProof/>
          <w:lang w:val="en-AU" w:eastAsia="en-AU"/>
        </w:rPr>
        <w:drawing>
          <wp:inline distT="0" distB="0" distL="0" distR="0" wp14:anchorId="0FCD890E" wp14:editId="5B0FA903">
            <wp:extent cx="5562600" cy="276225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W w:w="0" w:type="auto"/>
        <w:tblBorders>
          <w:top w:val="single" w:sz="8" w:space="0" w:color="C0504D"/>
          <w:bottom w:val="single" w:sz="8" w:space="0" w:color="C0504D"/>
        </w:tblBorders>
        <w:tblLook w:val="00A0" w:firstRow="1" w:lastRow="0" w:firstColumn="1" w:lastColumn="0" w:noHBand="0" w:noVBand="0"/>
      </w:tblPr>
      <w:tblGrid>
        <w:gridCol w:w="1931"/>
        <w:gridCol w:w="7051"/>
      </w:tblGrid>
      <w:tr w:rsidR="00AE577B" w:rsidRPr="009B04ED" w:rsidTr="00463C5E">
        <w:tc>
          <w:tcPr>
            <w:tcW w:w="1931" w:type="dxa"/>
            <w:tcBorders>
              <w:top w:val="single" w:sz="8" w:space="0" w:color="C0504D"/>
              <w:bottom w:val="single" w:sz="18" w:space="0" w:color="FFFFFF"/>
            </w:tcBorders>
            <w:shd w:val="clear" w:color="auto" w:fill="F2F2F2"/>
          </w:tcPr>
          <w:p w:rsidR="00AE577B" w:rsidRPr="009B04ED" w:rsidRDefault="00AE577B" w:rsidP="00463C5E">
            <w:pPr>
              <w:spacing w:after="60"/>
              <w:jc w:val="left"/>
              <w:rPr>
                <w:b/>
                <w:bCs/>
                <w:color w:val="000000"/>
              </w:rPr>
            </w:pPr>
            <w:r w:rsidRPr="009B04ED">
              <w:rPr>
                <w:b/>
                <w:bCs/>
                <w:color w:val="000000"/>
              </w:rPr>
              <w:t>Result:</w:t>
            </w:r>
          </w:p>
        </w:tc>
        <w:tc>
          <w:tcPr>
            <w:tcW w:w="7051" w:type="dxa"/>
            <w:tcBorders>
              <w:top w:val="single" w:sz="8" w:space="0" w:color="C0504D"/>
              <w:bottom w:val="single" w:sz="18" w:space="0" w:color="FFFFFF"/>
            </w:tcBorders>
            <w:shd w:val="clear" w:color="auto" w:fill="F2F2F2"/>
          </w:tcPr>
          <w:p w:rsidR="00AE577B" w:rsidRPr="009B04ED" w:rsidRDefault="00BA442B" w:rsidP="00463C5E">
            <w:pPr>
              <w:spacing w:after="60"/>
              <w:jc w:val="left"/>
              <w:rPr>
                <w:color w:val="000000"/>
              </w:rPr>
            </w:pPr>
            <w:r>
              <w:rPr>
                <w:color w:val="000000"/>
              </w:rPr>
              <w:t>Nega</w:t>
            </w:r>
            <w:r w:rsidR="00AE577B" w:rsidRPr="009B04ED">
              <w:rPr>
                <w:color w:val="000000"/>
              </w:rPr>
              <w:t>tive</w:t>
            </w:r>
          </w:p>
        </w:tc>
      </w:tr>
      <w:tr w:rsidR="00AE577B" w:rsidRPr="00601BAF" w:rsidTr="00463C5E">
        <w:tc>
          <w:tcPr>
            <w:tcW w:w="1931" w:type="dxa"/>
            <w:tcBorders>
              <w:top w:val="single" w:sz="18" w:space="0" w:color="FFFFFF"/>
              <w:bottom w:val="single" w:sz="18" w:space="0" w:color="FFFFFF"/>
            </w:tcBorders>
            <w:shd w:val="clear" w:color="auto" w:fill="F2F2F2"/>
          </w:tcPr>
          <w:p w:rsidR="00AE577B" w:rsidRPr="009B04ED" w:rsidRDefault="00AE577B" w:rsidP="00463C5E">
            <w:pPr>
              <w:spacing w:after="60"/>
              <w:jc w:val="left"/>
              <w:rPr>
                <w:b/>
                <w:bCs/>
                <w:color w:val="000000"/>
              </w:rPr>
            </w:pPr>
            <w:r w:rsidRPr="009B04ED">
              <w:rPr>
                <w:b/>
                <w:bCs/>
                <w:color w:val="000000"/>
              </w:rPr>
              <w:t>Data Availability:</w:t>
            </w:r>
          </w:p>
        </w:tc>
        <w:tc>
          <w:tcPr>
            <w:tcW w:w="7051" w:type="dxa"/>
            <w:tcBorders>
              <w:top w:val="single" w:sz="18" w:space="0" w:color="FFFFFF"/>
              <w:bottom w:val="single" w:sz="18" w:space="0" w:color="FFFFFF"/>
            </w:tcBorders>
            <w:shd w:val="clear" w:color="auto" w:fill="F2F2F2"/>
          </w:tcPr>
          <w:p w:rsidR="00AE577B" w:rsidRPr="009B04ED" w:rsidRDefault="00BA442B" w:rsidP="00463C5E">
            <w:pPr>
              <w:spacing w:after="60"/>
              <w:jc w:val="left"/>
              <w:rPr>
                <w:color w:val="000000"/>
              </w:rPr>
            </w:pPr>
            <w:r>
              <w:rPr>
                <w:color w:val="000000"/>
              </w:rPr>
              <w:t>Full</w:t>
            </w:r>
          </w:p>
        </w:tc>
      </w:tr>
      <w:tr w:rsidR="00AE577B" w:rsidRPr="00601BAF" w:rsidTr="00463C5E">
        <w:tc>
          <w:tcPr>
            <w:tcW w:w="1931" w:type="dxa"/>
            <w:tcBorders>
              <w:top w:val="single" w:sz="18" w:space="0" w:color="FFFFFF"/>
              <w:bottom w:val="single" w:sz="18" w:space="0" w:color="FFFFFF"/>
            </w:tcBorders>
            <w:shd w:val="clear" w:color="auto" w:fill="F2F2F2"/>
          </w:tcPr>
          <w:p w:rsidR="00AE577B" w:rsidRPr="009B04ED" w:rsidRDefault="00AE577B" w:rsidP="00463C5E">
            <w:pPr>
              <w:spacing w:after="60"/>
              <w:jc w:val="left"/>
              <w:rPr>
                <w:b/>
                <w:bCs/>
                <w:color w:val="000000"/>
              </w:rPr>
            </w:pPr>
            <w:r w:rsidRPr="009B04ED">
              <w:rPr>
                <w:b/>
                <w:bCs/>
                <w:color w:val="000000"/>
              </w:rPr>
              <w:t>Comment:</w:t>
            </w:r>
          </w:p>
        </w:tc>
        <w:tc>
          <w:tcPr>
            <w:tcW w:w="7051" w:type="dxa"/>
            <w:tcBorders>
              <w:top w:val="single" w:sz="18" w:space="0" w:color="FFFFFF"/>
              <w:bottom w:val="single" w:sz="18" w:space="0" w:color="FFFFFF"/>
            </w:tcBorders>
            <w:shd w:val="clear" w:color="auto" w:fill="F2F2F2"/>
          </w:tcPr>
          <w:p w:rsidR="00AE577B" w:rsidRPr="009B04ED" w:rsidRDefault="00AE577B" w:rsidP="00463C5E">
            <w:pPr>
              <w:spacing w:after="120"/>
              <w:jc w:val="left"/>
              <w:rPr>
                <w:rFonts w:cs="Arial Narrow"/>
                <w:color w:val="000000"/>
              </w:rPr>
            </w:pPr>
            <w:r>
              <w:rPr>
                <w:rFonts w:cs="Arial Narrow"/>
                <w:color w:val="000000"/>
              </w:rPr>
              <w:t xml:space="preserve">This indicator captures </w:t>
            </w:r>
            <w:r w:rsidRPr="009B04ED">
              <w:rPr>
                <w:rFonts w:cs="Arial Narrow"/>
                <w:color w:val="000000"/>
              </w:rPr>
              <w:t xml:space="preserve"> the national public commitment towards education in relation to the economic wealth being generated. By mapping education expenditure with GDP it avoids comparison problems with other countries </w:t>
            </w:r>
            <w:r w:rsidR="00345553">
              <w:rPr>
                <w:rFonts w:cs="Arial Narrow"/>
                <w:color w:val="000000"/>
              </w:rPr>
              <w:t xml:space="preserve">(see table for UNESCO comparisons) </w:t>
            </w:r>
            <w:r w:rsidRPr="009B04ED">
              <w:rPr>
                <w:rFonts w:cs="Arial Narrow"/>
                <w:color w:val="000000"/>
              </w:rPr>
              <w:t>which may have different sized public sectors. The indicator is also useful for comparing expenditure trends in a country which has altered the size of its public sector across time. Generally, this indicator is used in tandem with education share of public expenditure.</w:t>
            </w:r>
          </w:p>
          <w:p w:rsidR="00AE577B" w:rsidRPr="009B04ED" w:rsidRDefault="00AE577B" w:rsidP="00463C5E">
            <w:pPr>
              <w:spacing w:after="120"/>
              <w:jc w:val="left"/>
              <w:rPr>
                <w:rFonts w:cs="Arial Narrow"/>
                <w:color w:val="000000"/>
              </w:rPr>
            </w:pPr>
            <w:r w:rsidRPr="009B04ED">
              <w:rPr>
                <w:rFonts w:cs="Arial Narrow"/>
                <w:color w:val="000000"/>
              </w:rPr>
              <w:t xml:space="preserve">In Indonesia, there has been </w:t>
            </w:r>
            <w:r w:rsidR="00233CD2">
              <w:rPr>
                <w:rFonts w:cs="Arial Narrow"/>
                <w:color w:val="000000"/>
              </w:rPr>
              <w:t xml:space="preserve">a decline in </w:t>
            </w:r>
            <w:r w:rsidRPr="009B04ED">
              <w:rPr>
                <w:rFonts w:cs="Arial Narrow"/>
                <w:color w:val="000000"/>
              </w:rPr>
              <w:t>in education expenditure as a proportion of GDP</w:t>
            </w:r>
            <w:r w:rsidR="00233CD2">
              <w:rPr>
                <w:rFonts w:cs="Arial Narrow"/>
                <w:color w:val="000000"/>
              </w:rPr>
              <w:t xml:space="preserve"> since 2009</w:t>
            </w:r>
            <w:r w:rsidRPr="009B04ED">
              <w:rPr>
                <w:rFonts w:cs="Arial Narrow"/>
                <w:color w:val="000000"/>
              </w:rPr>
              <w:t xml:space="preserve">. Education as a percentage of GDP </w:t>
            </w:r>
            <w:r>
              <w:rPr>
                <w:rFonts w:cs="Arial Narrow"/>
                <w:color w:val="000000"/>
              </w:rPr>
              <w:t xml:space="preserve">rose </w:t>
            </w:r>
            <w:r w:rsidR="00BA442B">
              <w:rPr>
                <w:rFonts w:cs="Arial Narrow"/>
                <w:color w:val="000000"/>
              </w:rPr>
              <w:t>from 2.5% in 2001 to 3.</w:t>
            </w:r>
            <w:r w:rsidR="00233CD2">
              <w:rPr>
                <w:rFonts w:cs="Arial Narrow"/>
                <w:color w:val="000000"/>
              </w:rPr>
              <w:t>7% by 2009</w:t>
            </w:r>
            <w:r>
              <w:rPr>
                <w:rFonts w:cs="Arial Narrow"/>
                <w:color w:val="000000"/>
              </w:rPr>
              <w:t>.</w:t>
            </w:r>
            <w:r w:rsidRPr="009B04ED">
              <w:rPr>
                <w:rFonts w:cs="Arial Narrow"/>
                <w:color w:val="000000"/>
              </w:rPr>
              <w:t xml:space="preserve"> </w:t>
            </w:r>
            <w:r w:rsidR="00F32102">
              <w:rPr>
                <w:rFonts w:cs="Arial Narrow"/>
                <w:color w:val="000000"/>
              </w:rPr>
              <w:t>In 2007 when the latest comparison figures are available, Indonesian education expenditure as a share of GDP (3.6%) was equal to the East Asia regional average.</w:t>
            </w:r>
          </w:p>
          <w:p w:rsidR="00AE577B" w:rsidRPr="009B04ED" w:rsidRDefault="000E0E2D" w:rsidP="00463C5E">
            <w:pPr>
              <w:spacing w:after="60"/>
              <w:jc w:val="left"/>
              <w:rPr>
                <w:color w:val="000000"/>
              </w:rPr>
            </w:pPr>
            <w:r>
              <w:rPr>
                <w:rFonts w:cs="Arial Narrow"/>
                <w:color w:val="000000"/>
              </w:rPr>
              <w:t>While education expenditure has been growing slightly faster than national public expenditure, it has been outpaced by a much faster growth in GDP.</w:t>
            </w:r>
            <w:r w:rsidR="00AE577B" w:rsidRPr="009B04ED">
              <w:rPr>
                <w:rFonts w:cs="Arial Narrow"/>
                <w:color w:val="000000"/>
              </w:rPr>
              <w:t xml:space="preserve"> </w:t>
            </w:r>
          </w:p>
        </w:tc>
      </w:tr>
      <w:tr w:rsidR="00AE577B" w:rsidRPr="00601BAF" w:rsidTr="00463C5E">
        <w:trPr>
          <w:trHeight w:val="211"/>
        </w:trPr>
        <w:tc>
          <w:tcPr>
            <w:tcW w:w="1931" w:type="dxa"/>
            <w:tcBorders>
              <w:top w:val="single" w:sz="18" w:space="0" w:color="FFFFFF"/>
              <w:bottom w:val="single" w:sz="8" w:space="0" w:color="C0504D"/>
            </w:tcBorders>
            <w:shd w:val="clear" w:color="auto" w:fill="F2F2F2"/>
          </w:tcPr>
          <w:p w:rsidR="00AE577B" w:rsidRPr="009B04ED" w:rsidRDefault="00AE577B" w:rsidP="00463C5E">
            <w:pPr>
              <w:spacing w:after="60"/>
              <w:jc w:val="left"/>
              <w:rPr>
                <w:b/>
                <w:bCs/>
                <w:color w:val="000000"/>
              </w:rPr>
            </w:pPr>
            <w:r w:rsidRPr="009B04ED">
              <w:rPr>
                <w:b/>
                <w:bCs/>
                <w:color w:val="000000"/>
              </w:rPr>
              <w:t>Future Analysis:</w:t>
            </w:r>
          </w:p>
        </w:tc>
        <w:tc>
          <w:tcPr>
            <w:tcW w:w="7051" w:type="dxa"/>
            <w:tcBorders>
              <w:top w:val="single" w:sz="18" w:space="0" w:color="FFFFFF"/>
              <w:bottom w:val="single" w:sz="8" w:space="0" w:color="C0504D"/>
            </w:tcBorders>
            <w:shd w:val="clear" w:color="auto" w:fill="F2F2F2"/>
          </w:tcPr>
          <w:p w:rsidR="00AE577B" w:rsidRPr="009B04ED" w:rsidRDefault="00AE577B" w:rsidP="00463C5E">
            <w:pPr>
              <w:spacing w:after="60"/>
              <w:jc w:val="left"/>
              <w:rPr>
                <w:color w:val="000000"/>
              </w:rPr>
            </w:pPr>
            <w:r w:rsidRPr="009B04ED">
              <w:rPr>
                <w:rFonts w:cs="Arial Narrow"/>
                <w:color w:val="000000"/>
              </w:rPr>
              <w:t xml:space="preserve">Annual. </w:t>
            </w:r>
          </w:p>
        </w:tc>
      </w:tr>
    </w:tbl>
    <w:p w:rsidR="00CA67F6" w:rsidRDefault="00CA67F6" w:rsidP="00AE577B">
      <w:pPr>
        <w:rPr>
          <w:noProof/>
          <w:lang w:val="en-AU" w:eastAsia="en-AU"/>
        </w:rPr>
      </w:pPr>
    </w:p>
    <w:p w:rsidR="00CA67F6" w:rsidRDefault="00AE577B" w:rsidP="00AE577B">
      <w:r w:rsidRPr="00193E45">
        <w:rPr>
          <w:b/>
          <w:i/>
        </w:rPr>
        <w:t>Policy Implications:</w:t>
      </w:r>
      <w:r>
        <w:t xml:space="preserve"> Expressed as a percentage of GDP, future growth in public allocations </w:t>
      </w:r>
      <w:r w:rsidR="00534F0E">
        <w:t xml:space="preserve">will become contingent on an increase </w:t>
      </w:r>
      <w:r w:rsidR="004F5453">
        <w:t xml:space="preserve">in </w:t>
      </w:r>
      <w:r w:rsidR="00534F0E">
        <w:t>public expend</w:t>
      </w:r>
      <w:r w:rsidR="00C102BE">
        <w:t>itures as a proportion of GDP. E</w:t>
      </w:r>
      <w:r w:rsidR="00534F0E">
        <w:t xml:space="preserve">ducation expenditure as a percentage of GDP may decline if (i) fiscal settings reduce public expenditures as a proportion of GDP, and (ii) the government does not exceed the 20% target for education as a proportion of total public expenditure. </w:t>
      </w:r>
    </w:p>
    <w:p w:rsidR="000E0E2D" w:rsidRDefault="000E0E2D">
      <w:pPr>
        <w:spacing w:after="0" w:line="240" w:lineRule="auto"/>
        <w:jc w:val="left"/>
        <w:rPr>
          <w:rStyle w:val="Heading3Char"/>
        </w:rPr>
      </w:pPr>
      <w:r>
        <w:rPr>
          <w:rStyle w:val="Heading3Char"/>
        </w:rPr>
        <w:br w:type="page"/>
      </w:r>
    </w:p>
    <w:p w:rsidR="00AE577B" w:rsidRDefault="00AE577B" w:rsidP="00AE577B">
      <w:pPr>
        <w:rPr>
          <w:rStyle w:val="Heading3Char"/>
        </w:rPr>
      </w:pPr>
      <w:r w:rsidRPr="00DA26AA">
        <w:rPr>
          <w:rStyle w:val="Heading3Char"/>
        </w:rPr>
        <w:t>KPI 3: Education Non-salary Expenditure as Share of Total Expenditure</w:t>
      </w:r>
    </w:p>
    <w:p w:rsidR="00463C5E" w:rsidRDefault="002576BD" w:rsidP="00463C5E">
      <w:pPr>
        <w:pStyle w:val="Caption"/>
      </w:pPr>
      <w:bookmarkStart w:id="49" w:name="_Toc343595517"/>
      <w:r>
        <w:t xml:space="preserve">Composition of </w:t>
      </w:r>
      <w:r w:rsidRPr="00662491">
        <w:t xml:space="preserve">Aggregate District </w:t>
      </w:r>
      <w:r>
        <w:t xml:space="preserve">Education </w:t>
      </w:r>
      <w:r w:rsidRPr="00662491">
        <w:t>Expenditure</w:t>
      </w:r>
      <w:r w:rsidR="00463C5E" w:rsidRPr="00662491">
        <w:t xml:space="preserve">, </w:t>
      </w:r>
      <w:r w:rsidR="00463C5E">
        <w:t>2009-2011</w:t>
      </w:r>
      <w:bookmarkEnd w:id="49"/>
    </w:p>
    <w:p w:rsidR="00463C5E" w:rsidRDefault="00463C5E" w:rsidP="00AE577B">
      <w:pPr>
        <w:rPr>
          <w:rStyle w:val="Heading3Char"/>
        </w:rPr>
      </w:pPr>
      <w:r>
        <w:rPr>
          <w:rFonts w:ascii="Cambria" w:hAnsi="Cambria"/>
          <w:b/>
          <w:i/>
          <w:noProof/>
          <w:color w:val="9D3333"/>
          <w:spacing w:val="5"/>
          <w:szCs w:val="24"/>
          <w:lang w:val="en-AU" w:eastAsia="en-AU"/>
        </w:rPr>
        <w:drawing>
          <wp:inline distT="0" distB="0" distL="0" distR="0" wp14:anchorId="02D3CA82" wp14:editId="120C9EB8">
            <wp:extent cx="5572125" cy="25527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2125" cy="2552700"/>
                    </a:xfrm>
                    <a:prstGeom prst="rect">
                      <a:avLst/>
                    </a:prstGeom>
                    <a:noFill/>
                  </pic:spPr>
                </pic:pic>
              </a:graphicData>
            </a:graphic>
          </wp:inline>
        </w:drawing>
      </w:r>
    </w:p>
    <w:tbl>
      <w:tblPr>
        <w:tblW w:w="0" w:type="auto"/>
        <w:jc w:val="center"/>
        <w:tblBorders>
          <w:top w:val="single" w:sz="8" w:space="0" w:color="C0504D"/>
          <w:bottom w:val="single" w:sz="8" w:space="0" w:color="C0504D"/>
        </w:tblBorders>
        <w:tblLook w:val="00A0" w:firstRow="1" w:lastRow="0" w:firstColumn="1" w:lastColumn="0" w:noHBand="0" w:noVBand="0"/>
      </w:tblPr>
      <w:tblGrid>
        <w:gridCol w:w="1931"/>
        <w:gridCol w:w="7051"/>
      </w:tblGrid>
      <w:tr w:rsidR="002B2BCA" w:rsidRPr="009B04ED" w:rsidTr="00463C5E">
        <w:trPr>
          <w:jc w:val="center"/>
        </w:trPr>
        <w:tc>
          <w:tcPr>
            <w:tcW w:w="1931" w:type="dxa"/>
            <w:tcBorders>
              <w:top w:val="single" w:sz="8" w:space="0" w:color="C0504D"/>
              <w:bottom w:val="single" w:sz="18" w:space="0" w:color="FFFFFF"/>
            </w:tcBorders>
            <w:shd w:val="clear" w:color="auto" w:fill="F2F2F2"/>
          </w:tcPr>
          <w:p w:rsidR="00AE577B" w:rsidRPr="009B04ED" w:rsidRDefault="00AE577B" w:rsidP="00AE577B">
            <w:pPr>
              <w:spacing w:after="0"/>
              <w:jc w:val="left"/>
              <w:rPr>
                <w:b/>
                <w:bCs/>
                <w:color w:val="000000"/>
              </w:rPr>
            </w:pPr>
            <w:r w:rsidRPr="009B04ED">
              <w:rPr>
                <w:b/>
                <w:bCs/>
                <w:color w:val="000000"/>
              </w:rPr>
              <w:t>Result:</w:t>
            </w:r>
          </w:p>
        </w:tc>
        <w:tc>
          <w:tcPr>
            <w:tcW w:w="7051" w:type="dxa"/>
            <w:tcBorders>
              <w:top w:val="single" w:sz="8" w:space="0" w:color="C0504D"/>
              <w:bottom w:val="single" w:sz="18" w:space="0" w:color="FFFFFF"/>
            </w:tcBorders>
            <w:shd w:val="clear" w:color="auto" w:fill="F2F2F2"/>
          </w:tcPr>
          <w:p w:rsidR="00AE577B" w:rsidRPr="009B04ED" w:rsidRDefault="00FA6519" w:rsidP="00AE577B">
            <w:pPr>
              <w:spacing w:after="0"/>
              <w:jc w:val="left"/>
              <w:rPr>
                <w:color w:val="000000"/>
              </w:rPr>
            </w:pPr>
            <w:r>
              <w:rPr>
                <w:color w:val="000000"/>
              </w:rPr>
              <w:t>Positive</w:t>
            </w:r>
          </w:p>
        </w:tc>
      </w:tr>
      <w:tr w:rsidR="002B2BCA" w:rsidRPr="008B64DD" w:rsidTr="00463C5E">
        <w:trPr>
          <w:jc w:val="center"/>
        </w:trPr>
        <w:tc>
          <w:tcPr>
            <w:tcW w:w="1931" w:type="dxa"/>
            <w:tcBorders>
              <w:top w:val="single" w:sz="18" w:space="0" w:color="FFFFFF"/>
              <w:bottom w:val="single" w:sz="18" w:space="0" w:color="FFFFFF"/>
            </w:tcBorders>
            <w:shd w:val="clear" w:color="auto" w:fill="F2F2F2"/>
          </w:tcPr>
          <w:p w:rsidR="00AE577B" w:rsidRPr="009B04ED" w:rsidRDefault="00AE577B" w:rsidP="00AE577B">
            <w:pPr>
              <w:spacing w:after="0"/>
              <w:jc w:val="left"/>
              <w:rPr>
                <w:b/>
                <w:bCs/>
                <w:color w:val="000000"/>
              </w:rPr>
            </w:pPr>
            <w:r w:rsidRPr="009B04ED">
              <w:rPr>
                <w:b/>
                <w:bCs/>
                <w:color w:val="000000"/>
              </w:rPr>
              <w:t>Data Availability:</w:t>
            </w:r>
          </w:p>
        </w:tc>
        <w:tc>
          <w:tcPr>
            <w:tcW w:w="7051" w:type="dxa"/>
            <w:tcBorders>
              <w:top w:val="single" w:sz="18" w:space="0" w:color="FFFFFF"/>
              <w:bottom w:val="single" w:sz="18" w:space="0" w:color="FFFFFF"/>
            </w:tcBorders>
            <w:shd w:val="clear" w:color="auto" w:fill="F2F2F2"/>
          </w:tcPr>
          <w:p w:rsidR="00AE577B" w:rsidRPr="009B04ED" w:rsidRDefault="002B2BCA" w:rsidP="002B2BCA">
            <w:pPr>
              <w:spacing w:after="0"/>
              <w:jc w:val="left"/>
              <w:rPr>
                <w:color w:val="000000"/>
              </w:rPr>
            </w:pPr>
            <w:r>
              <w:rPr>
                <w:color w:val="000000"/>
              </w:rPr>
              <w:t xml:space="preserve">District supplied data from 2009 onwards. Data only refers to the district tier of government and does not include considerable non-salary payments likely to be flowing from central level government to districts and schools. </w:t>
            </w:r>
          </w:p>
        </w:tc>
      </w:tr>
      <w:tr w:rsidR="002B2BCA" w:rsidRPr="008B64DD" w:rsidTr="00463C5E">
        <w:trPr>
          <w:trHeight w:val="4251"/>
          <w:jc w:val="center"/>
        </w:trPr>
        <w:tc>
          <w:tcPr>
            <w:tcW w:w="1931" w:type="dxa"/>
            <w:tcBorders>
              <w:top w:val="single" w:sz="18" w:space="0" w:color="FFFFFF"/>
              <w:bottom w:val="single" w:sz="18" w:space="0" w:color="FFFFFF"/>
            </w:tcBorders>
            <w:shd w:val="clear" w:color="auto" w:fill="F2F2F2"/>
          </w:tcPr>
          <w:p w:rsidR="00AE577B" w:rsidRPr="009B04ED" w:rsidRDefault="00AE577B" w:rsidP="00AE577B">
            <w:pPr>
              <w:spacing w:after="0"/>
              <w:jc w:val="left"/>
              <w:rPr>
                <w:b/>
                <w:bCs/>
                <w:color w:val="000000"/>
              </w:rPr>
            </w:pPr>
            <w:r w:rsidRPr="009B04ED">
              <w:rPr>
                <w:b/>
                <w:bCs/>
                <w:color w:val="000000"/>
              </w:rPr>
              <w:t>Comment:</w:t>
            </w:r>
          </w:p>
        </w:tc>
        <w:tc>
          <w:tcPr>
            <w:tcW w:w="7051" w:type="dxa"/>
            <w:tcBorders>
              <w:top w:val="single" w:sz="18" w:space="0" w:color="FFFFFF"/>
              <w:bottom w:val="single" w:sz="18" w:space="0" w:color="FFFFFF"/>
            </w:tcBorders>
            <w:shd w:val="clear" w:color="auto" w:fill="F2F2F2"/>
          </w:tcPr>
          <w:p w:rsidR="00FA6519" w:rsidRDefault="00FA6519" w:rsidP="00AE577B">
            <w:pPr>
              <w:spacing w:after="120"/>
              <w:jc w:val="left"/>
              <w:rPr>
                <w:color w:val="000000"/>
              </w:rPr>
            </w:pPr>
            <w:r>
              <w:rPr>
                <w:color w:val="000000"/>
              </w:rPr>
              <w:t xml:space="preserve">School systems require a substantial share of non-salary related expenditures </w:t>
            </w:r>
            <w:r w:rsidR="00A04A45">
              <w:rPr>
                <w:color w:val="000000"/>
              </w:rPr>
              <w:t xml:space="preserve">to </w:t>
            </w:r>
            <w:r>
              <w:rPr>
                <w:color w:val="000000"/>
              </w:rPr>
              <w:t xml:space="preserve">(i) provide a full range of resources (apart from teachers) to schools, and (ii) maintain buildings and provide for additional capital and equipment needs. </w:t>
            </w:r>
          </w:p>
          <w:p w:rsidR="002B2BCA" w:rsidRDefault="002B2BCA" w:rsidP="00AE577B">
            <w:pPr>
              <w:spacing w:after="120"/>
              <w:jc w:val="left"/>
              <w:rPr>
                <w:color w:val="000000"/>
              </w:rPr>
            </w:pPr>
            <w:r>
              <w:rPr>
                <w:color w:val="000000"/>
              </w:rPr>
              <w:t xml:space="preserve">In 2011 the salary share of expenditures had come down to 75% of total district level expenditures. In the context of the additional salary costs associated with the teacher certification process, this is a very positive achievement. </w:t>
            </w:r>
          </w:p>
          <w:p w:rsidR="002B2BCA" w:rsidRDefault="002B2BCA" w:rsidP="00AE577B">
            <w:pPr>
              <w:spacing w:after="120"/>
              <w:jc w:val="left"/>
              <w:rPr>
                <w:color w:val="000000"/>
              </w:rPr>
            </w:pPr>
            <w:r>
              <w:rPr>
                <w:color w:val="000000"/>
              </w:rPr>
              <w:t>New budget allocations were especially strong</w:t>
            </w:r>
            <w:r w:rsidR="00605B97">
              <w:rPr>
                <w:color w:val="000000"/>
              </w:rPr>
              <w:t xml:space="preserve"> </w:t>
            </w:r>
            <w:r>
              <w:rPr>
                <w:color w:val="000000"/>
              </w:rPr>
              <w:t>for capita</w:t>
            </w:r>
            <w:r w:rsidR="00605B97">
              <w:rPr>
                <w:color w:val="000000"/>
              </w:rPr>
              <w:t>l</w:t>
            </w:r>
            <w:r>
              <w:rPr>
                <w:color w:val="000000"/>
              </w:rPr>
              <w:t xml:space="preserve"> items which doubled from 7% of total distr</w:t>
            </w:r>
            <w:r w:rsidR="00605B97">
              <w:rPr>
                <w:color w:val="000000"/>
              </w:rPr>
              <w:t>i</w:t>
            </w:r>
            <w:r>
              <w:rPr>
                <w:color w:val="000000"/>
              </w:rPr>
              <w:t xml:space="preserve">ct budgets in 2010 to 14% in 2011. </w:t>
            </w:r>
          </w:p>
          <w:p w:rsidR="00AE577B" w:rsidRPr="009B04ED" w:rsidRDefault="002B2BCA" w:rsidP="008B756B">
            <w:pPr>
              <w:spacing w:after="120"/>
              <w:jc w:val="left"/>
              <w:rPr>
                <w:color w:val="000000"/>
              </w:rPr>
            </w:pPr>
            <w:r>
              <w:rPr>
                <w:color w:val="000000"/>
              </w:rPr>
              <w:t xml:space="preserve">Budget allocations for operational costs also grew strongly from 6% in 2010 to 10% in 2011. </w:t>
            </w:r>
          </w:p>
        </w:tc>
      </w:tr>
      <w:tr w:rsidR="002B2BCA" w:rsidRPr="008B64DD" w:rsidTr="00463C5E">
        <w:trPr>
          <w:jc w:val="center"/>
        </w:trPr>
        <w:tc>
          <w:tcPr>
            <w:tcW w:w="1931" w:type="dxa"/>
            <w:tcBorders>
              <w:top w:val="single" w:sz="18" w:space="0" w:color="FFFFFF"/>
              <w:bottom w:val="single" w:sz="8" w:space="0" w:color="C0504D"/>
            </w:tcBorders>
            <w:shd w:val="clear" w:color="auto" w:fill="F2F2F2"/>
          </w:tcPr>
          <w:p w:rsidR="00AE577B" w:rsidRPr="009B04ED" w:rsidRDefault="00AE577B" w:rsidP="00AE577B">
            <w:pPr>
              <w:spacing w:after="0"/>
              <w:jc w:val="left"/>
              <w:rPr>
                <w:b/>
                <w:bCs/>
                <w:color w:val="000000"/>
              </w:rPr>
            </w:pPr>
            <w:r w:rsidRPr="009B04ED">
              <w:rPr>
                <w:b/>
                <w:bCs/>
                <w:color w:val="000000"/>
              </w:rPr>
              <w:t>Future Analysis:</w:t>
            </w:r>
          </w:p>
        </w:tc>
        <w:tc>
          <w:tcPr>
            <w:tcW w:w="7051" w:type="dxa"/>
            <w:tcBorders>
              <w:top w:val="single" w:sz="18" w:space="0" w:color="FFFFFF"/>
              <w:bottom w:val="single" w:sz="8" w:space="0" w:color="C0504D"/>
            </w:tcBorders>
            <w:shd w:val="clear" w:color="auto" w:fill="F2F2F2"/>
          </w:tcPr>
          <w:p w:rsidR="00AE577B" w:rsidRPr="009B04ED" w:rsidRDefault="00AE577B" w:rsidP="002D7EC1">
            <w:pPr>
              <w:spacing w:after="0"/>
              <w:jc w:val="left"/>
              <w:rPr>
                <w:color w:val="000000"/>
              </w:rPr>
            </w:pPr>
            <w:r w:rsidRPr="009B04ED">
              <w:rPr>
                <w:color w:val="000000"/>
              </w:rPr>
              <w:t xml:space="preserve">To be </w:t>
            </w:r>
            <w:r w:rsidR="002D7EC1">
              <w:rPr>
                <w:color w:val="000000"/>
              </w:rPr>
              <w:t xml:space="preserve">updated annually. </w:t>
            </w:r>
          </w:p>
        </w:tc>
      </w:tr>
    </w:tbl>
    <w:p w:rsidR="00AE577B" w:rsidRDefault="00AE577B" w:rsidP="00AE577B">
      <w:pPr>
        <w:pStyle w:val="BodyText"/>
        <w:spacing w:after="0"/>
      </w:pPr>
    </w:p>
    <w:p w:rsidR="005E393F" w:rsidRDefault="00AE577B" w:rsidP="00AE577B">
      <w:r w:rsidRPr="00193E45">
        <w:rPr>
          <w:b/>
          <w:i/>
        </w:rPr>
        <w:t>Policy Implications:</w:t>
      </w:r>
      <w:r w:rsidR="00A04A45">
        <w:t xml:space="preserve"> </w:t>
      </w:r>
      <w:r w:rsidR="00605B97">
        <w:t xml:space="preserve">In 2011 </w:t>
      </w:r>
      <w:r w:rsidR="008B756B">
        <w:t>t</w:t>
      </w:r>
      <w:r w:rsidR="00A04A45">
        <w:t>here</w:t>
      </w:r>
      <w:r w:rsidR="008B756B">
        <w:t xml:space="preserve"> was</w:t>
      </w:r>
      <w:r w:rsidR="00A04A45">
        <w:t xml:space="preserve"> a significant</w:t>
      </w:r>
      <w:r w:rsidR="00605B97">
        <w:t xml:space="preserve"> year to year </w:t>
      </w:r>
      <w:r w:rsidR="00A04A45">
        <w:t>improvement in the share of resources being allocate</w:t>
      </w:r>
      <w:r w:rsidR="00C102BE">
        <w:t>d</w:t>
      </w:r>
      <w:r w:rsidR="00A04A45">
        <w:t xml:space="preserve"> for non-salary expenses within the education budget. Unfortunately there is little room f</w:t>
      </w:r>
      <w:r w:rsidR="008B756B">
        <w:t xml:space="preserve">or complacency in this respect </w:t>
      </w:r>
      <w:r w:rsidR="005E393F">
        <w:t xml:space="preserve">due to </w:t>
      </w:r>
      <w:r w:rsidR="00A04A45">
        <w:t xml:space="preserve">the </w:t>
      </w:r>
      <w:r w:rsidR="00605B97">
        <w:t xml:space="preserve">ongoing </w:t>
      </w:r>
      <w:r w:rsidR="00A04A45">
        <w:t xml:space="preserve">fiscal impact </w:t>
      </w:r>
      <w:r w:rsidR="005E393F">
        <w:t xml:space="preserve">of </w:t>
      </w:r>
      <w:r w:rsidR="00A04A45">
        <w:t xml:space="preserve">remuneration </w:t>
      </w:r>
      <w:r w:rsidR="005E393F">
        <w:t xml:space="preserve">for </w:t>
      </w:r>
      <w:r w:rsidR="00A04A45">
        <w:t xml:space="preserve">teachers attaining teacher certification. Certified teachers will garner at least 100% pay increases once they are certified. The cumulative impact of these increases will act to severely </w:t>
      </w:r>
      <w:r w:rsidR="00605B97">
        <w:t xml:space="preserve">constrain </w:t>
      </w:r>
      <w:r w:rsidR="00A04A45">
        <w:t>future increases in non-salary expenditures. It will be increasingly important for districts and schools to ensure that non-salary expenditures are effective and efficiently distributed.</w:t>
      </w:r>
    </w:p>
    <w:p w:rsidR="00605B97" w:rsidRDefault="00605B97">
      <w:pPr>
        <w:spacing w:after="0" w:line="240" w:lineRule="auto"/>
        <w:jc w:val="left"/>
        <w:rPr>
          <w:rFonts w:ascii="Cambria" w:hAnsi="Cambria"/>
          <w:b/>
          <w:i/>
          <w:color w:val="9D3333"/>
          <w:spacing w:val="5"/>
          <w:szCs w:val="24"/>
        </w:rPr>
      </w:pPr>
      <w:r>
        <w:br w:type="page"/>
      </w:r>
    </w:p>
    <w:p w:rsidR="005E393F" w:rsidRDefault="005E393F" w:rsidP="005E393F">
      <w:pPr>
        <w:pStyle w:val="Heading3"/>
        <w:spacing w:after="0"/>
      </w:pPr>
      <w:r>
        <w:t xml:space="preserve">KPI 4: Expenditure on Basic Education as % of All Education Expenditure &amp; </w:t>
      </w:r>
    </w:p>
    <w:p w:rsidR="005E393F" w:rsidRDefault="005E393F" w:rsidP="005E393F">
      <w:pPr>
        <w:pStyle w:val="Heading3"/>
        <w:spacing w:before="0"/>
      </w:pPr>
      <w:r>
        <w:t>KPI 5: Expenditure on Non Formal Education as % of All Education Expenditure</w:t>
      </w:r>
    </w:p>
    <w:bookmarkStart w:id="50" w:name="_Toc343595518"/>
    <w:p w:rsidR="005E393F" w:rsidRDefault="004A4998" w:rsidP="00BA7FA0">
      <w:pPr>
        <w:pStyle w:val="Caption"/>
      </w:pPr>
      <w:r>
        <w:rPr>
          <w:noProof/>
          <w:lang w:val="en-AU" w:eastAsia="en-AU"/>
        </w:rPr>
        <mc:AlternateContent>
          <mc:Choice Requires="wps">
            <w:drawing>
              <wp:anchor distT="0" distB="0" distL="114300" distR="114300" simplePos="0" relativeHeight="251655168" behindDoc="1" locked="0" layoutInCell="1" allowOverlap="1" wp14:anchorId="0931A2E2" wp14:editId="50427EC2">
                <wp:simplePos x="0" y="0"/>
                <wp:positionH relativeFrom="column">
                  <wp:posOffset>161925</wp:posOffset>
                </wp:positionH>
                <wp:positionV relativeFrom="paragraph">
                  <wp:posOffset>349885</wp:posOffset>
                </wp:positionV>
                <wp:extent cx="5542280" cy="2945765"/>
                <wp:effectExtent l="9525" t="6985" r="10795" b="9525"/>
                <wp:wrapTight wrapText="bothSides">
                  <wp:wrapPolygon edited="0">
                    <wp:start x="153" y="-102"/>
                    <wp:lineTo x="-52" y="200"/>
                    <wp:lineTo x="-52" y="21097"/>
                    <wp:lineTo x="0" y="21498"/>
                    <wp:lineTo x="21548" y="21498"/>
                    <wp:lineTo x="21652" y="20892"/>
                    <wp:lineTo x="21652" y="708"/>
                    <wp:lineTo x="21548" y="0"/>
                    <wp:lineTo x="21397" y="-102"/>
                    <wp:lineTo x="153" y="-102"/>
                  </wp:wrapPolygon>
                </wp:wrapTight>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2945765"/>
                        </a:xfrm>
                        <a:prstGeom prst="roundRect">
                          <a:avLst>
                            <a:gd name="adj" fmla="val 2532"/>
                          </a:avLst>
                        </a:prstGeom>
                        <a:solidFill>
                          <a:srgbClr val="FFFFFF"/>
                        </a:solidFill>
                        <a:ln w="12700">
                          <a:solidFill>
                            <a:srgbClr val="FFFFFF"/>
                          </a:solidFill>
                          <a:round/>
                          <a:headEnd/>
                          <a:tailEnd/>
                        </a:ln>
                      </wps:spPr>
                      <wps:txbx>
                        <w:txbxContent>
                          <w:p w:rsidR="002F6F86" w:rsidRDefault="002F6F86" w:rsidP="005E393F">
                            <w:pPr>
                              <w:spacing w:after="0"/>
                              <w:jc w:val="left"/>
                            </w:pPr>
                            <w:r>
                              <w:rPr>
                                <w:noProof/>
                                <w:lang w:val="en-AU" w:eastAsia="en-AU"/>
                              </w:rPr>
                              <w:drawing>
                                <wp:inline distT="0" distB="0" distL="0" distR="0" wp14:anchorId="72384E0F" wp14:editId="751782D7">
                                  <wp:extent cx="5140325" cy="2520950"/>
                                  <wp:effectExtent l="19050" t="19050" r="22225" b="12700"/>
                                  <wp:docPr id="10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srcRect/>
                                          <a:stretch>
                                            <a:fillRect/>
                                          </a:stretch>
                                        </pic:blipFill>
                                        <pic:spPr bwMode="auto">
                                          <a:xfrm>
                                            <a:off x="0" y="0"/>
                                            <a:ext cx="5140325" cy="2520950"/>
                                          </a:xfrm>
                                          <a:prstGeom prst="rect">
                                            <a:avLst/>
                                          </a:prstGeom>
                                          <a:noFill/>
                                          <a:ln w="9525" cmpd="sng">
                                            <a:solidFill>
                                              <a:srgbClr val="000000"/>
                                            </a:solidFill>
                                            <a:miter lim="800000"/>
                                            <a:headEnd/>
                                            <a:tailEnd/>
                                          </a:ln>
                                          <a:effectLst/>
                                        </pic:spPr>
                                      </pic:pic>
                                    </a:graphicData>
                                  </a:graphic>
                                </wp:inline>
                              </w:drawing>
                            </w:r>
                          </w:p>
                          <w:p w:rsidR="002F6F86" w:rsidRPr="00636F06" w:rsidRDefault="002F6F86" w:rsidP="0068292D">
                            <w:pPr>
                              <w:spacing w:after="0"/>
                              <w:jc w:val="left"/>
                              <w:rPr>
                                <w:kern w:val="32"/>
                                <w:sz w:val="16"/>
                                <w:szCs w:val="16"/>
                              </w:rPr>
                            </w:pPr>
                            <w:r w:rsidRPr="00CF5CCF">
                              <w:rPr>
                                <w:kern w:val="32"/>
                                <w:sz w:val="16"/>
                                <w:szCs w:val="16"/>
                              </w:rPr>
                              <w:t>Source: World Bank, Investing in Indonesia’s Educatio</w:t>
                            </w:r>
                            <w:r>
                              <w:rPr>
                                <w:kern w:val="32"/>
                                <w:sz w:val="16"/>
                                <w:szCs w:val="16"/>
                              </w:rPr>
                              <w:t>n, 2007</w:t>
                            </w:r>
                          </w:p>
                          <w:p w:rsidR="002F6F86" w:rsidRDefault="002F6F86" w:rsidP="005E393F">
                            <w:pPr>
                              <w:jc w:val="left"/>
                            </w:pPr>
                          </w:p>
                        </w:txbxContent>
                      </wps:txbx>
                      <wps:bodyPr rot="0" vert="horz"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12.75pt;margin-top:27.55pt;width:436.4pt;height:2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" strokecolor="white" strokeweight="1pt">
                <v:textbox inset="2.5mm">
                  <w:txbxContent>
                    <w:p w:rsidR="002F6F86" w:rsidRDefault="002F6F86" w:rsidP="005E393F">
                      <w:pPr>
                        <w:spacing w:after="0"/>
                        <w:jc w:val="left"/>
                      </w:pPr>
                      <w:r>
                        <w:rPr>
                          <w:noProof/>
                          <w:lang w:val="en-AU" w:eastAsia="en-AU"/>
                        </w:rPr>
                        <w:drawing>
                          <wp:inline distT="0" distB="0" distL="0" distR="0" wp14:anchorId="72384E0F" wp14:editId="751782D7">
                            <wp:extent cx="5140325" cy="2520950"/>
                            <wp:effectExtent l="19050" t="19050" r="22225" b="12700"/>
                            <wp:docPr id="10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srcRect/>
                                    <a:stretch>
                                      <a:fillRect/>
                                    </a:stretch>
                                  </pic:blipFill>
                                  <pic:spPr bwMode="auto">
                                    <a:xfrm>
                                      <a:off x="0" y="0"/>
                                      <a:ext cx="5140325" cy="2520950"/>
                                    </a:xfrm>
                                    <a:prstGeom prst="rect">
                                      <a:avLst/>
                                    </a:prstGeom>
                                    <a:noFill/>
                                    <a:ln w="9525" cmpd="sng">
                                      <a:solidFill>
                                        <a:srgbClr val="000000"/>
                                      </a:solidFill>
                                      <a:miter lim="800000"/>
                                      <a:headEnd/>
                                      <a:tailEnd/>
                                    </a:ln>
                                    <a:effectLst/>
                                  </pic:spPr>
                                </pic:pic>
                              </a:graphicData>
                            </a:graphic>
                          </wp:inline>
                        </w:drawing>
                      </w:r>
                    </w:p>
                    <w:p w:rsidR="002F6F86" w:rsidRPr="00636F06" w:rsidRDefault="002F6F86" w:rsidP="0068292D">
                      <w:pPr>
                        <w:spacing w:after="0"/>
                        <w:jc w:val="left"/>
                        <w:rPr>
                          <w:kern w:val="32"/>
                          <w:sz w:val="16"/>
                          <w:szCs w:val="16"/>
                        </w:rPr>
                      </w:pPr>
                      <w:r w:rsidRPr="00CF5CCF">
                        <w:rPr>
                          <w:kern w:val="32"/>
                          <w:sz w:val="16"/>
                          <w:szCs w:val="16"/>
                        </w:rPr>
                        <w:t>Source: World Bank, Investing in Indonesia’s Educatio</w:t>
                      </w:r>
                      <w:r>
                        <w:rPr>
                          <w:kern w:val="32"/>
                          <w:sz w:val="16"/>
                          <w:szCs w:val="16"/>
                        </w:rPr>
                        <w:t>n, 2007</w:t>
                      </w:r>
                    </w:p>
                    <w:p w:rsidR="002F6F86" w:rsidRDefault="002F6F86" w:rsidP="005E393F">
                      <w:pPr>
                        <w:jc w:val="left"/>
                      </w:pPr>
                    </w:p>
                  </w:txbxContent>
                </v:textbox>
                <w10:wrap type="tight"/>
              </v:roundrect>
            </w:pict>
          </mc:Fallback>
        </mc:AlternateContent>
      </w:r>
      <w:r w:rsidR="005E393F">
        <w:t>Education Expenditure by Sub-Sector, 2004</w:t>
      </w:r>
      <w:bookmarkEnd w:id="50"/>
    </w:p>
    <w:tbl>
      <w:tblPr>
        <w:tblpPr w:leftFromText="180" w:rightFromText="180" w:vertAnchor="page" w:horzAnchor="margin" w:tblpY="7246"/>
        <w:tblW w:w="0" w:type="auto"/>
        <w:tblBorders>
          <w:top w:val="single" w:sz="8" w:space="0" w:color="C0504D"/>
          <w:bottom w:val="single" w:sz="8" w:space="0" w:color="C0504D"/>
        </w:tblBorders>
        <w:tblLook w:val="00A0" w:firstRow="1" w:lastRow="0" w:firstColumn="1" w:lastColumn="0" w:noHBand="0" w:noVBand="0"/>
      </w:tblPr>
      <w:tblGrid>
        <w:gridCol w:w="1930"/>
        <w:gridCol w:w="7052"/>
      </w:tblGrid>
      <w:tr w:rsidR="005E393F" w:rsidRPr="009B04ED" w:rsidTr="00F50C25">
        <w:tc>
          <w:tcPr>
            <w:tcW w:w="1930" w:type="dxa"/>
            <w:tcBorders>
              <w:top w:val="single" w:sz="8" w:space="0" w:color="C0504D"/>
              <w:bottom w:val="single" w:sz="18" w:space="0" w:color="FFFFFF"/>
            </w:tcBorders>
            <w:shd w:val="clear" w:color="auto" w:fill="F2F2F2"/>
          </w:tcPr>
          <w:p w:rsidR="005E393F" w:rsidRPr="009B04ED" w:rsidRDefault="005E393F" w:rsidP="00F50C25">
            <w:pPr>
              <w:jc w:val="left"/>
              <w:rPr>
                <w:b/>
                <w:bCs/>
                <w:color w:val="000000"/>
              </w:rPr>
            </w:pPr>
            <w:r w:rsidRPr="009B04ED">
              <w:rPr>
                <w:b/>
                <w:bCs/>
                <w:color w:val="000000"/>
              </w:rPr>
              <w:t>Result:</w:t>
            </w:r>
          </w:p>
        </w:tc>
        <w:tc>
          <w:tcPr>
            <w:tcW w:w="7052" w:type="dxa"/>
            <w:tcBorders>
              <w:top w:val="single" w:sz="8" w:space="0" w:color="C0504D"/>
              <w:bottom w:val="single" w:sz="18" w:space="0" w:color="FFFFFF"/>
            </w:tcBorders>
            <w:shd w:val="clear" w:color="auto" w:fill="F2F2F2"/>
          </w:tcPr>
          <w:p w:rsidR="005E393F" w:rsidRPr="009B04ED" w:rsidRDefault="005E393F" w:rsidP="00F50C25">
            <w:pPr>
              <w:spacing w:after="60"/>
              <w:jc w:val="left"/>
              <w:rPr>
                <w:color w:val="000000"/>
              </w:rPr>
            </w:pPr>
            <w:r w:rsidRPr="009B04ED">
              <w:rPr>
                <w:color w:val="000000"/>
              </w:rPr>
              <w:t>Positive for Basic Education, Negative for N</w:t>
            </w:r>
            <w:r>
              <w:rPr>
                <w:color w:val="000000"/>
              </w:rPr>
              <w:t xml:space="preserve">on </w:t>
            </w:r>
            <w:r w:rsidRPr="009B04ED">
              <w:rPr>
                <w:color w:val="000000"/>
              </w:rPr>
              <w:t>F</w:t>
            </w:r>
            <w:r>
              <w:rPr>
                <w:color w:val="000000"/>
              </w:rPr>
              <w:t xml:space="preserve">ormal </w:t>
            </w:r>
            <w:r w:rsidRPr="009B04ED">
              <w:rPr>
                <w:color w:val="000000"/>
              </w:rPr>
              <w:t>E</w:t>
            </w:r>
            <w:r>
              <w:rPr>
                <w:color w:val="000000"/>
              </w:rPr>
              <w:t>ducation</w:t>
            </w:r>
          </w:p>
        </w:tc>
      </w:tr>
      <w:tr w:rsidR="005E393F" w:rsidRPr="008B64DD" w:rsidTr="00F50C25">
        <w:tc>
          <w:tcPr>
            <w:tcW w:w="1930" w:type="dxa"/>
            <w:tcBorders>
              <w:top w:val="single" w:sz="18" w:space="0" w:color="FFFFFF"/>
              <w:bottom w:val="single" w:sz="18" w:space="0" w:color="FFFFFF"/>
            </w:tcBorders>
            <w:shd w:val="clear" w:color="auto" w:fill="F2F2F2"/>
          </w:tcPr>
          <w:p w:rsidR="005E393F" w:rsidRPr="009B04ED" w:rsidRDefault="005E393F" w:rsidP="00F50C25">
            <w:pPr>
              <w:jc w:val="left"/>
              <w:rPr>
                <w:b/>
                <w:bCs/>
                <w:color w:val="000000"/>
              </w:rPr>
            </w:pPr>
            <w:r w:rsidRPr="009B04ED">
              <w:rPr>
                <w:b/>
                <w:bCs/>
                <w:color w:val="000000"/>
              </w:rPr>
              <w:t>Data Availability:</w:t>
            </w:r>
          </w:p>
        </w:tc>
        <w:tc>
          <w:tcPr>
            <w:tcW w:w="7052" w:type="dxa"/>
            <w:tcBorders>
              <w:top w:val="single" w:sz="18" w:space="0" w:color="FFFFFF"/>
              <w:bottom w:val="single" w:sz="18" w:space="0" w:color="FFFFFF"/>
            </w:tcBorders>
            <w:shd w:val="clear" w:color="auto" w:fill="F2F2F2"/>
          </w:tcPr>
          <w:p w:rsidR="005E393F" w:rsidRPr="009B04ED" w:rsidRDefault="00735800" w:rsidP="00F50C25">
            <w:pPr>
              <w:spacing w:after="60"/>
              <w:jc w:val="left"/>
              <w:rPr>
                <w:color w:val="000000"/>
              </w:rPr>
            </w:pPr>
            <w:r>
              <w:rPr>
                <w:color w:val="000000"/>
              </w:rPr>
              <w:t>National analysis l</w:t>
            </w:r>
            <w:r w:rsidR="005E393F" w:rsidRPr="009B04ED">
              <w:rPr>
                <w:color w:val="000000"/>
              </w:rPr>
              <w:t xml:space="preserve">imited to 2004. Breakdown of data is difficult because of its composition from 3 tiers of government. </w:t>
            </w:r>
            <w:r>
              <w:rPr>
                <w:color w:val="000000"/>
              </w:rPr>
              <w:t>Analysis of central level expenditures for basic education is provided to give some idea of resourcing trends since 2004</w:t>
            </w:r>
            <w:r w:rsidR="008B1F47">
              <w:rPr>
                <w:color w:val="000000"/>
              </w:rPr>
              <w:t>.</w:t>
            </w:r>
          </w:p>
        </w:tc>
      </w:tr>
      <w:tr w:rsidR="005E393F" w:rsidRPr="008B64DD" w:rsidTr="00F50C25">
        <w:tc>
          <w:tcPr>
            <w:tcW w:w="1930" w:type="dxa"/>
            <w:tcBorders>
              <w:top w:val="single" w:sz="18" w:space="0" w:color="FFFFFF"/>
              <w:bottom w:val="single" w:sz="18" w:space="0" w:color="FFFFFF"/>
            </w:tcBorders>
            <w:shd w:val="clear" w:color="auto" w:fill="F2F2F2"/>
          </w:tcPr>
          <w:p w:rsidR="005E393F" w:rsidRPr="009B04ED" w:rsidRDefault="005E393F" w:rsidP="00F50C25">
            <w:pPr>
              <w:jc w:val="left"/>
              <w:rPr>
                <w:b/>
                <w:bCs/>
                <w:color w:val="000000"/>
              </w:rPr>
            </w:pPr>
            <w:r w:rsidRPr="009B04ED">
              <w:rPr>
                <w:b/>
                <w:bCs/>
                <w:color w:val="000000"/>
              </w:rPr>
              <w:t>Comment:</w:t>
            </w:r>
          </w:p>
        </w:tc>
        <w:tc>
          <w:tcPr>
            <w:tcW w:w="7052" w:type="dxa"/>
            <w:tcBorders>
              <w:top w:val="single" w:sz="18" w:space="0" w:color="FFFFFF"/>
              <w:bottom w:val="single" w:sz="18" w:space="0" w:color="FFFFFF"/>
            </w:tcBorders>
            <w:shd w:val="clear" w:color="auto" w:fill="F2F2F2"/>
          </w:tcPr>
          <w:p w:rsidR="005E393F" w:rsidRDefault="005E393F" w:rsidP="00F50C25">
            <w:pPr>
              <w:spacing w:after="120"/>
              <w:jc w:val="left"/>
              <w:rPr>
                <w:color w:val="000000"/>
              </w:rPr>
            </w:pPr>
            <w:r w:rsidRPr="009B04ED">
              <w:rPr>
                <w:color w:val="000000"/>
              </w:rPr>
              <w:t>Basic education accounts for approximately 70% of total funding, with nearly 50% for pre-school and primary. Senior secondary will begin to make a stronger resource claim in future as universali</w:t>
            </w:r>
            <w:r>
              <w:rPr>
                <w:color w:val="000000"/>
              </w:rPr>
              <w:t>s</w:t>
            </w:r>
            <w:r w:rsidRPr="009B04ED">
              <w:rPr>
                <w:color w:val="000000"/>
              </w:rPr>
              <w:t>ation policy expands access. Districts are carrying the bulk of expenditure for basic education and therefore remain a key site for interventions. The central share is likely to have increased since 2004 with the introduction of BOS grants that are paid directly to schools.</w:t>
            </w:r>
          </w:p>
          <w:p w:rsidR="00F3693A" w:rsidRDefault="00F3693A" w:rsidP="00F50C25">
            <w:pPr>
              <w:spacing w:after="120"/>
              <w:jc w:val="left"/>
              <w:rPr>
                <w:color w:val="000000"/>
              </w:rPr>
            </w:pPr>
            <w:r>
              <w:rPr>
                <w:color w:val="000000"/>
              </w:rPr>
              <w:t xml:space="preserve">Analysis of central level expenditures for the period 2006-2009 shows commitment to Basic Education is holding firm within MoNE at around 50%. Within MoRA there was greater fluctuation with basic education dropping to as low as 17% of education expenditure  in 2008 before climbing again in 2009 to 31%. It is unclear what has been driving the fluctuations in basic education share of MoRA expenditures. </w:t>
            </w:r>
          </w:p>
          <w:p w:rsidR="006E1D89" w:rsidRPr="009B04ED" w:rsidRDefault="006E1D89" w:rsidP="00F50C25">
            <w:pPr>
              <w:spacing w:after="120"/>
              <w:jc w:val="left"/>
              <w:rPr>
                <w:color w:val="000000"/>
              </w:rPr>
            </w:pPr>
            <w:r>
              <w:rPr>
                <w:color w:val="000000"/>
              </w:rPr>
              <w:t xml:space="preserve">The financial allocations for non-formal education are very low at 1% of total sector expenditure. </w:t>
            </w:r>
          </w:p>
        </w:tc>
      </w:tr>
      <w:tr w:rsidR="005E393F" w:rsidRPr="008B64DD" w:rsidTr="00F50C25">
        <w:tc>
          <w:tcPr>
            <w:tcW w:w="1930" w:type="dxa"/>
            <w:tcBorders>
              <w:top w:val="single" w:sz="18" w:space="0" w:color="FFFFFF"/>
              <w:bottom w:val="single" w:sz="8" w:space="0" w:color="C0504D"/>
            </w:tcBorders>
            <w:shd w:val="clear" w:color="auto" w:fill="F2F2F2"/>
          </w:tcPr>
          <w:p w:rsidR="005E393F" w:rsidRPr="009B04ED" w:rsidRDefault="005E393F" w:rsidP="00F50C25">
            <w:pPr>
              <w:jc w:val="left"/>
              <w:rPr>
                <w:b/>
                <w:bCs/>
                <w:color w:val="000000"/>
              </w:rPr>
            </w:pPr>
            <w:r w:rsidRPr="009B04ED">
              <w:rPr>
                <w:b/>
                <w:bCs/>
                <w:color w:val="000000"/>
              </w:rPr>
              <w:t>Future Analysis:</w:t>
            </w:r>
          </w:p>
        </w:tc>
        <w:tc>
          <w:tcPr>
            <w:tcW w:w="7052" w:type="dxa"/>
            <w:tcBorders>
              <w:top w:val="single" w:sz="18" w:space="0" w:color="FFFFFF"/>
              <w:bottom w:val="single" w:sz="8" w:space="0" w:color="C0504D"/>
            </w:tcBorders>
            <w:shd w:val="clear" w:color="auto" w:fill="F2F2F2"/>
          </w:tcPr>
          <w:p w:rsidR="005E393F" w:rsidRPr="009B04ED" w:rsidRDefault="005E393F" w:rsidP="00F50C25">
            <w:pPr>
              <w:spacing w:after="60"/>
              <w:jc w:val="left"/>
              <w:rPr>
                <w:color w:val="000000"/>
              </w:rPr>
            </w:pPr>
            <w:r w:rsidRPr="009B04ED">
              <w:rPr>
                <w:color w:val="000000"/>
              </w:rPr>
              <w:t>Uncertain. Current data collected at SIKD does not disaggregate between levels of education expenditure at the district level. Liaison with MONE, MORA, Bappenas and World Bank staff to see if periodic update is possible.</w:t>
            </w:r>
          </w:p>
        </w:tc>
      </w:tr>
    </w:tbl>
    <w:p w:rsidR="0068292D" w:rsidRPr="00665600" w:rsidRDefault="0068292D" w:rsidP="00BA7FA0">
      <w:pPr>
        <w:pStyle w:val="Caption"/>
      </w:pPr>
      <w:bookmarkStart w:id="51" w:name="_Toc343595519"/>
      <w:r>
        <w:t>Basic Education Share of Central Level Expenditures for MoNE and MoRA, 2006-2009</w:t>
      </w:r>
      <w:bookmarkEnd w:id="51"/>
    </w:p>
    <w:p w:rsidR="0068292D" w:rsidRDefault="00F50C25" w:rsidP="0068292D">
      <w:pPr>
        <w:spacing w:after="0"/>
      </w:pPr>
      <w:r>
        <w:rPr>
          <w:noProof/>
          <w:lang w:val="en-AU" w:eastAsia="en-AU"/>
        </w:rPr>
        <w:drawing>
          <wp:inline distT="0" distB="0" distL="0" distR="0" wp14:anchorId="2205BD55" wp14:editId="513D2C16">
            <wp:extent cx="5581650" cy="29908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1650" cy="2990850"/>
                    </a:xfrm>
                    <a:prstGeom prst="rect">
                      <a:avLst/>
                    </a:prstGeom>
                    <a:noFill/>
                  </pic:spPr>
                </pic:pic>
              </a:graphicData>
            </a:graphic>
          </wp:inline>
        </w:drawing>
      </w:r>
    </w:p>
    <w:p w:rsidR="0068292D" w:rsidRDefault="0068292D" w:rsidP="005E393F">
      <w:pPr>
        <w:rPr>
          <w:b/>
          <w:i/>
        </w:rPr>
      </w:pPr>
    </w:p>
    <w:p w:rsidR="005E393F" w:rsidRDefault="005E393F" w:rsidP="005E393F">
      <w:r w:rsidRPr="00FC0283">
        <w:rPr>
          <w:b/>
          <w:i/>
        </w:rPr>
        <w:t xml:space="preserve">Policy Implications: </w:t>
      </w:r>
      <w:r>
        <w:t>Maintaining the share of basic education will be important even as access to secondary education is expanded. Investment in basic education builds a strong base in literacy and numeracy and economic development suffers when basic education expenditure is neglected in favor of investment at higher levels.</w:t>
      </w:r>
    </w:p>
    <w:p w:rsidR="005E393F" w:rsidRDefault="005E393F" w:rsidP="005E393F">
      <w:r>
        <w:t xml:space="preserve">NFE expenditure </w:t>
      </w:r>
      <w:r w:rsidR="00735800">
        <w:t>wa</w:t>
      </w:r>
      <w:r>
        <w:t>s approximately 1% of total expenditure for education</w:t>
      </w:r>
      <w:r w:rsidR="00735800">
        <w:t xml:space="preserve"> </w:t>
      </w:r>
      <w:r w:rsidR="00F3693A">
        <w:t>i</w:t>
      </w:r>
      <w:r w:rsidR="00735800">
        <w:t>n 2004</w:t>
      </w:r>
      <w:r>
        <w:t>. While a key advantage of NFE is its cost-effectiveness, increased levels of investment are needed to maximise the possible economic and social returns.</w:t>
      </w:r>
      <w:r w:rsidR="006E1D89">
        <w:t xml:space="preserve"> </w:t>
      </w:r>
    </w:p>
    <w:p w:rsidR="005E393F" w:rsidRDefault="005E393F">
      <w:pPr>
        <w:spacing w:after="0" w:line="240" w:lineRule="auto"/>
        <w:jc w:val="left"/>
      </w:pPr>
      <w:r>
        <w:br w:type="page"/>
      </w:r>
    </w:p>
    <w:p w:rsidR="00E5738D" w:rsidRDefault="00E5738D" w:rsidP="00AE577B">
      <w:pPr>
        <w:pStyle w:val="Heading1"/>
      </w:pPr>
      <w:bookmarkStart w:id="52" w:name="_Toc299738236"/>
      <w:bookmarkStart w:id="53" w:name="_Toc343597088"/>
      <w:r w:rsidRPr="00193E45">
        <w:t xml:space="preserve">Trends in </w:t>
      </w:r>
      <w:r>
        <w:t>District E</w:t>
      </w:r>
      <w:r w:rsidRPr="00193E45">
        <w:t xml:space="preserve">ducation </w:t>
      </w:r>
      <w:r>
        <w:t>F</w:t>
      </w:r>
      <w:r w:rsidRPr="00193E45">
        <w:t>unding</w:t>
      </w:r>
      <w:bookmarkEnd w:id="52"/>
      <w:bookmarkEnd w:id="53"/>
      <w:r w:rsidRPr="00193E45">
        <w:t xml:space="preserve"> </w:t>
      </w:r>
    </w:p>
    <w:p w:rsidR="00B16C88" w:rsidRDefault="00B16C88" w:rsidP="00FC0283">
      <w:pPr>
        <w:pStyle w:val="Heading3"/>
      </w:pPr>
      <w:r>
        <w:t>Background</w:t>
      </w:r>
    </w:p>
    <w:p w:rsidR="00F00562" w:rsidRDefault="00F00562" w:rsidP="00F00562">
      <w:r>
        <w:t>District level expenditure patterns are increasingly important as districts have increased responsibility for education management under decentralisation. Monitoring patterns of expenditure by districts will become an increasingly important rol</w:t>
      </w:r>
      <w:r w:rsidR="004F52C9">
        <w:t>e for MOEC</w:t>
      </w:r>
      <w:r>
        <w:t xml:space="preserve"> and MORA to ensure that national funding norms and procedures are being implemented appropriately. The wide range of districts’ poverty status and the importance of education in lifting district populations out of poverty also mean that vulnerable groups stand to benefit most from well-targeted investments in education.  Monitoring and evaluation of district level education financing provides the tools to do so.</w:t>
      </w:r>
    </w:p>
    <w:p w:rsidR="00B7377B" w:rsidRDefault="00836A76" w:rsidP="00B7377B">
      <w:r>
        <w:t>T</w:t>
      </w:r>
      <w:r w:rsidR="00B7377B">
        <w:t xml:space="preserve">his section provides - comparisons of district level </w:t>
      </w:r>
      <w:r w:rsidR="008B1F47">
        <w:t xml:space="preserve">education </w:t>
      </w:r>
      <w:r w:rsidR="00B7377B">
        <w:t xml:space="preserve">expenditures </w:t>
      </w:r>
      <w:r w:rsidR="008B1F47">
        <w:t xml:space="preserve">for </w:t>
      </w:r>
      <w:r w:rsidR="008F6EEA">
        <w:t>2006-2011</w:t>
      </w:r>
      <w:r w:rsidR="00B7377B">
        <w:t>. The year 2006 is a useful benchmark to identify the nature and extent of education spending at the district level before the commencement of the BEP expenditures.</w:t>
      </w:r>
    </w:p>
    <w:p w:rsidR="00B7377B" w:rsidRDefault="00B7377B" w:rsidP="00B7377B">
      <w:r>
        <w:t xml:space="preserve">The district level analysis </w:t>
      </w:r>
      <w:r w:rsidR="00F00562">
        <w:t xml:space="preserve">provides </w:t>
      </w:r>
      <w:r>
        <w:t xml:space="preserve">comparisons in district expenditures between (i) rural and urban districts, (ii) BEP and non-BEP districts, (ii) districts sorted into poverty quintile rankings, (iv) provinces, and (v) island groups. </w:t>
      </w:r>
    </w:p>
    <w:p w:rsidR="00836A76" w:rsidRDefault="00836A76" w:rsidP="00836A76">
      <w:pPr>
        <w:pStyle w:val="Heading3"/>
      </w:pPr>
      <w:r>
        <w:t>Data availability</w:t>
      </w:r>
    </w:p>
    <w:p w:rsidR="004F52C9" w:rsidRDefault="00B7377B" w:rsidP="004F52C9">
      <w:r>
        <w:t xml:space="preserve">The </w:t>
      </w:r>
      <w:r w:rsidR="00F00562">
        <w:t>F</w:t>
      </w:r>
      <w:r w:rsidR="004F52C9">
        <w:t>inancial Performance Report 2011</w:t>
      </w:r>
      <w:r>
        <w:t xml:space="preserve"> </w:t>
      </w:r>
      <w:r w:rsidR="00F00562">
        <w:t xml:space="preserve">is based on </w:t>
      </w:r>
      <w:r w:rsidR="004F52C9">
        <w:t xml:space="preserve">data collected electronically in 2010 and 2011. District data prior to this period, have </w:t>
      </w:r>
      <w:r w:rsidR="008B1F47">
        <w:t xml:space="preserve">been collected by CSAS directly from the SIKD section of MoF. </w:t>
      </w:r>
      <w:r w:rsidR="004F52C9">
        <w:t xml:space="preserve">The SIKD collected in hard copy format the budget and actual expenditures of all districts and provinces. CSAS arranged with the Officers of the SIKD section to be given access to the available SIKD records. </w:t>
      </w:r>
    </w:p>
    <w:p w:rsidR="001D7ED5" w:rsidRDefault="001D7ED5" w:rsidP="00BA7FA0">
      <w:pPr>
        <w:pStyle w:val="Caption"/>
      </w:pPr>
      <w:bookmarkStart w:id="54" w:name="_Toc343595520"/>
      <w:r>
        <w:t>Number of Districts Included in FPR Analysis, (2006-2011)</w:t>
      </w:r>
      <w:bookmarkEnd w:id="54"/>
    </w:p>
    <w:p w:rsidR="001D7ED5" w:rsidRDefault="00F50C25" w:rsidP="001D7ED5">
      <w:r>
        <w:rPr>
          <w:noProof/>
          <w:lang w:val="en-AU" w:eastAsia="en-AU"/>
        </w:rPr>
        <w:drawing>
          <wp:inline distT="0" distB="0" distL="0" distR="0" wp14:anchorId="32D12966" wp14:editId="1D2E0CFE">
            <wp:extent cx="5591175" cy="33718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91175" cy="3371850"/>
                    </a:xfrm>
                    <a:prstGeom prst="rect">
                      <a:avLst/>
                    </a:prstGeom>
                    <a:noFill/>
                  </pic:spPr>
                </pic:pic>
              </a:graphicData>
            </a:graphic>
          </wp:inline>
        </w:drawing>
      </w:r>
    </w:p>
    <w:p w:rsidR="00C0250D" w:rsidRDefault="004F52C9" w:rsidP="00F00562">
      <w:r>
        <w:t>Since 2009, these d</w:t>
      </w:r>
      <w:r w:rsidR="00F00562">
        <w:t xml:space="preserve">ata have been </w:t>
      </w:r>
      <w:r>
        <w:t xml:space="preserve">supplemented by data </w:t>
      </w:r>
      <w:r w:rsidR="00F00562">
        <w:t xml:space="preserve">collected electronically from the MoF as </w:t>
      </w:r>
      <w:r>
        <w:t xml:space="preserve">and have contributed to the </w:t>
      </w:r>
      <w:r w:rsidR="00F00562">
        <w:t>previous FPR 2008 and the FPR 2009.</w:t>
      </w:r>
      <w:r w:rsidR="00F00562" w:rsidRPr="00F00562">
        <w:t xml:space="preserve"> </w:t>
      </w:r>
    </w:p>
    <w:p w:rsidR="001012C6" w:rsidRDefault="004F52C9" w:rsidP="001012C6">
      <w:r>
        <w:t>The 2010 FPR was the first to have an entire year that was derived entirely from electronic records provided by SIKD MoF. T</w:t>
      </w:r>
      <w:r w:rsidR="00F00562">
        <w:t xml:space="preserve">he data provided by the MoF is subjected to logic tests and assessed for it completeness. </w:t>
      </w:r>
      <w:r w:rsidR="001012C6">
        <w:t xml:space="preserve">The data provided by the MoF is seen to be improving in its completeness and in its quality. </w:t>
      </w:r>
    </w:p>
    <w:p w:rsidR="004F52C9" w:rsidRDefault="004F52C9" w:rsidP="00F00562">
      <w:r>
        <w:t>At the time of the publication of the FPR 2010, it was only possible to access the financial data for 393 districts. The remaining districts had either not provided MoF with their financial reports, or the SIKD section was still in the process of data entry or validation and quality assurance. This report updated the 2010 year records for districts. It now co</w:t>
      </w:r>
      <w:r w:rsidR="001D7ED5">
        <w:t>ntains the financial data of 484</w:t>
      </w:r>
      <w:r>
        <w:t xml:space="preserve"> districts as well as changes in the financial data of districts that had been previously reported. This has led to some changes in the trends for some indicators in the previous report. </w:t>
      </w:r>
      <w:r w:rsidR="001012C6">
        <w:t>This report should be treated as the most accurate presentation and final presentation of data analysis for the years 2006-2010.</w:t>
      </w:r>
    </w:p>
    <w:p w:rsidR="00836A76" w:rsidRDefault="00B7377B" w:rsidP="00B7377B">
      <w:r>
        <w:t>A detailed table in Annex 1 shows the status of data collected from all dis</w:t>
      </w:r>
      <w:r w:rsidR="001012C6">
        <w:t>tricts during the period 2006-11</w:t>
      </w:r>
      <w:r>
        <w:t xml:space="preserve">. </w:t>
      </w:r>
    </w:p>
    <w:p w:rsidR="00CA16B2" w:rsidRDefault="00CA16B2">
      <w:pPr>
        <w:spacing w:after="0" w:line="240" w:lineRule="auto"/>
        <w:jc w:val="left"/>
        <w:rPr>
          <w:rFonts w:ascii="Cambria" w:hAnsi="Cambria"/>
          <w:b/>
          <w:i/>
          <w:color w:val="9D3333"/>
          <w:spacing w:val="5"/>
          <w:szCs w:val="24"/>
        </w:rPr>
      </w:pPr>
      <w:r>
        <w:br w:type="page"/>
      </w:r>
    </w:p>
    <w:p w:rsidR="00E5738D" w:rsidRDefault="00E5738D" w:rsidP="00FC0283">
      <w:pPr>
        <w:pStyle w:val="Heading3"/>
      </w:pPr>
      <w:r>
        <w:t>KPI 6: District Financial Commitment to Education</w:t>
      </w:r>
    </w:p>
    <w:p w:rsidR="00E5738D" w:rsidRDefault="00E5738D" w:rsidP="00BA7FA0">
      <w:pPr>
        <w:pStyle w:val="Caption"/>
      </w:pPr>
      <w:r w:rsidRPr="0002217A">
        <w:t xml:space="preserve"> </w:t>
      </w:r>
      <w:r w:rsidRPr="000E586C">
        <w:t xml:space="preserve"> </w:t>
      </w:r>
      <w:bookmarkStart w:id="55" w:name="_Toc343595521"/>
      <w:r w:rsidRPr="000E586C">
        <w:t>Educatio</w:t>
      </w:r>
      <w:r w:rsidR="000B2AA0">
        <w:t xml:space="preserve">n Expenditure as % of Total </w:t>
      </w:r>
      <w:r w:rsidR="001012C6">
        <w:t>District Budget (APBD 2006-2011</w:t>
      </w:r>
      <w:r w:rsidR="0058516E">
        <w:t>)</w:t>
      </w:r>
      <w:bookmarkEnd w:id="55"/>
    </w:p>
    <w:p w:rsidR="004B3E07" w:rsidRDefault="00F50C25" w:rsidP="004B3E07">
      <w:r>
        <w:rPr>
          <w:noProof/>
          <w:lang w:val="en-AU" w:eastAsia="en-AU"/>
        </w:rPr>
        <w:drawing>
          <wp:inline distT="0" distB="0" distL="0" distR="0" wp14:anchorId="0AB52513" wp14:editId="625BF13D">
            <wp:extent cx="5557651" cy="2885704"/>
            <wp:effectExtent l="0" t="0" r="508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72125" cy="2893219"/>
                    </a:xfrm>
                    <a:prstGeom prst="rect">
                      <a:avLst/>
                    </a:prstGeom>
                    <a:noFill/>
                  </pic:spPr>
                </pic:pic>
              </a:graphicData>
            </a:graphic>
          </wp:inline>
        </w:drawing>
      </w:r>
    </w:p>
    <w:tbl>
      <w:tblPr>
        <w:tblW w:w="0" w:type="auto"/>
        <w:jc w:val="center"/>
        <w:tblBorders>
          <w:top w:val="single" w:sz="8" w:space="0" w:color="C0504D"/>
          <w:bottom w:val="single" w:sz="8" w:space="0" w:color="C0504D"/>
        </w:tblBorders>
        <w:tblLook w:val="00A0" w:firstRow="1" w:lastRow="0" w:firstColumn="1" w:lastColumn="0" w:noHBand="0" w:noVBand="0"/>
      </w:tblPr>
      <w:tblGrid>
        <w:gridCol w:w="1931"/>
        <w:gridCol w:w="7051"/>
      </w:tblGrid>
      <w:tr w:rsidR="00E5738D" w:rsidRPr="009B04ED" w:rsidTr="005102AF">
        <w:trPr>
          <w:jc w:val="center"/>
        </w:trPr>
        <w:tc>
          <w:tcPr>
            <w:tcW w:w="1931" w:type="dxa"/>
            <w:tcBorders>
              <w:top w:val="single" w:sz="8" w:space="0" w:color="C0504D"/>
              <w:bottom w:val="single" w:sz="18" w:space="0" w:color="FFFFFF"/>
            </w:tcBorders>
            <w:shd w:val="clear" w:color="auto" w:fill="F2F2F2"/>
            <w:vAlign w:val="center"/>
          </w:tcPr>
          <w:p w:rsidR="00E5738D" w:rsidRPr="009B04ED" w:rsidRDefault="00E5738D" w:rsidP="008F29B1">
            <w:pPr>
              <w:spacing w:after="60"/>
              <w:jc w:val="left"/>
              <w:rPr>
                <w:b/>
                <w:bCs/>
                <w:color w:val="000000"/>
              </w:rPr>
            </w:pPr>
            <w:r w:rsidRPr="009B04ED">
              <w:rPr>
                <w:b/>
                <w:bCs/>
                <w:color w:val="000000"/>
              </w:rPr>
              <w:t>Result:</w:t>
            </w:r>
          </w:p>
        </w:tc>
        <w:tc>
          <w:tcPr>
            <w:tcW w:w="7051" w:type="dxa"/>
            <w:tcBorders>
              <w:top w:val="single" w:sz="8" w:space="0" w:color="C0504D"/>
              <w:bottom w:val="single" w:sz="18" w:space="0" w:color="FFFFFF"/>
            </w:tcBorders>
            <w:shd w:val="clear" w:color="auto" w:fill="F2F2F2"/>
            <w:vAlign w:val="center"/>
          </w:tcPr>
          <w:p w:rsidR="00E5738D" w:rsidRPr="009B04ED" w:rsidRDefault="00E5738D" w:rsidP="008F29B1">
            <w:pPr>
              <w:spacing w:after="60"/>
              <w:jc w:val="left"/>
              <w:rPr>
                <w:color w:val="000000"/>
              </w:rPr>
            </w:pPr>
            <w:r w:rsidRPr="009B04ED">
              <w:rPr>
                <w:color w:val="000000"/>
              </w:rPr>
              <w:t>Positive</w:t>
            </w:r>
          </w:p>
        </w:tc>
      </w:tr>
      <w:tr w:rsidR="00E5738D" w:rsidRPr="00601BAF" w:rsidTr="005102AF">
        <w:trPr>
          <w:jc w:val="center"/>
        </w:trPr>
        <w:tc>
          <w:tcPr>
            <w:tcW w:w="1931" w:type="dxa"/>
            <w:tcBorders>
              <w:top w:val="single" w:sz="18" w:space="0" w:color="FFFFFF"/>
              <w:bottom w:val="single" w:sz="18" w:space="0" w:color="FFFFFF"/>
            </w:tcBorders>
            <w:shd w:val="clear" w:color="auto" w:fill="F2F2F2"/>
          </w:tcPr>
          <w:p w:rsidR="00E5738D" w:rsidRPr="009B04ED" w:rsidRDefault="00E5738D" w:rsidP="00336162">
            <w:pPr>
              <w:spacing w:after="60"/>
              <w:jc w:val="left"/>
              <w:rPr>
                <w:b/>
                <w:bCs/>
                <w:color w:val="000000"/>
              </w:rPr>
            </w:pPr>
            <w:r w:rsidRPr="009B04ED">
              <w:rPr>
                <w:b/>
                <w:bCs/>
                <w:color w:val="000000"/>
              </w:rPr>
              <w:t>Data Quality and Availability:</w:t>
            </w:r>
          </w:p>
        </w:tc>
        <w:tc>
          <w:tcPr>
            <w:tcW w:w="7051" w:type="dxa"/>
            <w:tcBorders>
              <w:top w:val="single" w:sz="18" w:space="0" w:color="FFFFFF"/>
              <w:bottom w:val="single" w:sz="18" w:space="0" w:color="FFFFFF"/>
            </w:tcBorders>
            <w:shd w:val="clear" w:color="auto" w:fill="F2F2F2"/>
          </w:tcPr>
          <w:p w:rsidR="00E5738D" w:rsidRPr="009B04ED" w:rsidRDefault="00E5738D" w:rsidP="00A47130">
            <w:pPr>
              <w:spacing w:after="60"/>
              <w:jc w:val="left"/>
              <w:rPr>
                <w:color w:val="000000"/>
              </w:rPr>
            </w:pPr>
            <w:r w:rsidRPr="009B04ED">
              <w:rPr>
                <w:color w:val="000000"/>
              </w:rPr>
              <w:t xml:space="preserve">Financial data is </w:t>
            </w:r>
            <w:r>
              <w:rPr>
                <w:color w:val="000000"/>
              </w:rPr>
              <w:t>for approximately 80</w:t>
            </w:r>
            <w:r w:rsidRPr="009B04ED">
              <w:rPr>
                <w:color w:val="000000"/>
              </w:rPr>
              <w:t>% of all districts</w:t>
            </w:r>
            <w:r>
              <w:rPr>
                <w:color w:val="000000"/>
              </w:rPr>
              <w:t xml:space="preserve"> for 2006, </w:t>
            </w:r>
            <w:r w:rsidR="00562025">
              <w:rPr>
                <w:color w:val="000000"/>
              </w:rPr>
              <w:t xml:space="preserve">more than </w:t>
            </w:r>
            <w:r>
              <w:rPr>
                <w:color w:val="000000"/>
              </w:rPr>
              <w:t xml:space="preserve">90% for </w:t>
            </w:r>
            <w:r w:rsidR="00E20F62">
              <w:rPr>
                <w:color w:val="000000"/>
              </w:rPr>
              <w:t xml:space="preserve">the </w:t>
            </w:r>
            <w:r w:rsidR="00562025">
              <w:rPr>
                <w:color w:val="000000"/>
              </w:rPr>
              <w:t>years</w:t>
            </w:r>
            <w:r w:rsidR="00E20F62">
              <w:rPr>
                <w:color w:val="000000"/>
              </w:rPr>
              <w:t xml:space="preserve"> 2007, 2008, 2009</w:t>
            </w:r>
            <w:r w:rsidR="00515561">
              <w:rPr>
                <w:color w:val="000000"/>
              </w:rPr>
              <w:t>, 2010</w:t>
            </w:r>
            <w:r w:rsidR="00562025">
              <w:rPr>
                <w:color w:val="000000"/>
              </w:rPr>
              <w:t>.</w:t>
            </w:r>
            <w:r w:rsidR="00515561">
              <w:rPr>
                <w:color w:val="000000"/>
              </w:rPr>
              <w:t xml:space="preserve"> Financial data for 2011</w:t>
            </w:r>
            <w:r w:rsidR="00E20F62">
              <w:rPr>
                <w:color w:val="000000"/>
              </w:rPr>
              <w:t xml:space="preserve"> was available for </w:t>
            </w:r>
            <w:r w:rsidR="00A47130" w:rsidRPr="00663B64">
              <w:t>489</w:t>
            </w:r>
            <w:r w:rsidR="00E20F62">
              <w:rPr>
                <w:color w:val="000000"/>
              </w:rPr>
              <w:t xml:space="preserve"> districts and enrolment data for</w:t>
            </w:r>
            <w:r w:rsidR="00337865">
              <w:rPr>
                <w:color w:val="000000"/>
              </w:rPr>
              <w:t xml:space="preserve"> </w:t>
            </w:r>
            <w:r w:rsidR="00A47130" w:rsidRPr="00E96BB9">
              <w:t>494</w:t>
            </w:r>
            <w:r w:rsidR="00515561" w:rsidRPr="00E96BB9">
              <w:t xml:space="preserve"> </w:t>
            </w:r>
            <w:r w:rsidR="00E20F62">
              <w:rPr>
                <w:color w:val="000000"/>
              </w:rPr>
              <w:t>districts</w:t>
            </w:r>
            <w:r w:rsidR="002326AC">
              <w:rPr>
                <w:color w:val="000000"/>
              </w:rPr>
              <w:t xml:space="preserve"> out of a total </w:t>
            </w:r>
            <w:r w:rsidR="007357EE" w:rsidRPr="00663B64">
              <w:t>497</w:t>
            </w:r>
            <w:r w:rsidR="002326AC" w:rsidRPr="002326AC">
              <w:rPr>
                <w:color w:val="000000"/>
              </w:rPr>
              <w:t xml:space="preserve"> </w:t>
            </w:r>
            <w:r w:rsidR="002326AC">
              <w:rPr>
                <w:color w:val="000000"/>
              </w:rPr>
              <w:t>districts.</w:t>
            </w:r>
          </w:p>
        </w:tc>
      </w:tr>
      <w:tr w:rsidR="00E5738D" w:rsidRPr="00601BAF" w:rsidTr="005102AF">
        <w:trPr>
          <w:jc w:val="center"/>
        </w:trPr>
        <w:tc>
          <w:tcPr>
            <w:tcW w:w="1931" w:type="dxa"/>
            <w:tcBorders>
              <w:top w:val="single" w:sz="18" w:space="0" w:color="FFFFFF"/>
              <w:bottom w:val="single" w:sz="18" w:space="0" w:color="FFFFFF"/>
            </w:tcBorders>
            <w:shd w:val="clear" w:color="auto" w:fill="F2F2F2"/>
          </w:tcPr>
          <w:p w:rsidR="00E5738D" w:rsidRPr="009B04ED" w:rsidRDefault="00E5738D" w:rsidP="00336162">
            <w:pPr>
              <w:spacing w:after="60"/>
              <w:jc w:val="left"/>
              <w:rPr>
                <w:b/>
                <w:bCs/>
                <w:color w:val="000000"/>
              </w:rPr>
            </w:pPr>
            <w:r w:rsidRPr="009B04ED">
              <w:rPr>
                <w:b/>
                <w:bCs/>
                <w:color w:val="000000"/>
              </w:rPr>
              <w:t>General Comment:</w:t>
            </w:r>
          </w:p>
        </w:tc>
        <w:tc>
          <w:tcPr>
            <w:tcW w:w="7051" w:type="dxa"/>
            <w:tcBorders>
              <w:top w:val="single" w:sz="18" w:space="0" w:color="FFFFFF"/>
              <w:bottom w:val="single" w:sz="18" w:space="0" w:color="FFFFFF"/>
            </w:tcBorders>
            <w:shd w:val="clear" w:color="auto" w:fill="F2F2F2"/>
          </w:tcPr>
          <w:p w:rsidR="00E5738D" w:rsidRDefault="00E5738D" w:rsidP="00336162">
            <w:pPr>
              <w:spacing w:after="120"/>
              <w:jc w:val="left"/>
              <w:rPr>
                <w:color w:val="000000"/>
              </w:rPr>
            </w:pPr>
            <w:r w:rsidRPr="009B04ED">
              <w:rPr>
                <w:color w:val="000000"/>
              </w:rPr>
              <w:t>Average district level education expenditures across Indonesia</w:t>
            </w:r>
            <w:r>
              <w:rPr>
                <w:color w:val="000000"/>
              </w:rPr>
              <w:t xml:space="preserve"> have increased from 27</w:t>
            </w:r>
            <w:r w:rsidRPr="009B04ED">
              <w:rPr>
                <w:color w:val="000000"/>
              </w:rPr>
              <w:t>% of the total dist</w:t>
            </w:r>
            <w:r>
              <w:rPr>
                <w:color w:val="000000"/>
              </w:rPr>
              <w:t>rict budget (APBD</w:t>
            </w:r>
            <w:r w:rsidR="00E20F62">
              <w:rPr>
                <w:color w:val="000000"/>
              </w:rPr>
              <w:t xml:space="preserve">) in 2006 to </w:t>
            </w:r>
            <w:r w:rsidR="00E75A1E">
              <w:rPr>
                <w:color w:val="000000"/>
              </w:rPr>
              <w:t>nearly 37% share in 2011</w:t>
            </w:r>
            <w:r w:rsidRPr="009B04ED">
              <w:rPr>
                <w:color w:val="000000"/>
              </w:rPr>
              <w:t>.</w:t>
            </w:r>
          </w:p>
          <w:p w:rsidR="00470B09" w:rsidRPr="009B04ED" w:rsidRDefault="00B70EA1" w:rsidP="00336162">
            <w:pPr>
              <w:spacing w:after="120"/>
              <w:jc w:val="left"/>
              <w:rPr>
                <w:color w:val="000000"/>
              </w:rPr>
            </w:pPr>
            <w:r>
              <w:rPr>
                <w:color w:val="000000"/>
              </w:rPr>
              <w:t>The strong  increase in 2011</w:t>
            </w:r>
            <w:r w:rsidR="00470B09">
              <w:rPr>
                <w:color w:val="000000"/>
              </w:rPr>
              <w:t xml:space="preserve"> </w:t>
            </w:r>
            <w:r>
              <w:rPr>
                <w:color w:val="000000"/>
              </w:rPr>
              <w:t xml:space="preserve">in the education share of district budgets </w:t>
            </w:r>
            <w:r w:rsidR="00EA2F53">
              <w:rPr>
                <w:color w:val="000000"/>
              </w:rPr>
              <w:t>has come in a year where both total dist</w:t>
            </w:r>
            <w:r w:rsidR="00D655A8">
              <w:rPr>
                <w:color w:val="000000"/>
              </w:rPr>
              <w:t>r</w:t>
            </w:r>
            <w:r w:rsidR="00EA2F53">
              <w:rPr>
                <w:color w:val="000000"/>
              </w:rPr>
              <w:t xml:space="preserve">ict budgets and the education share of district budgets have grown strongly. However, while district budgets in 2011 grew at a national average of 13% on the year before, education budgets grew 36% on 2010 </w:t>
            </w:r>
            <w:r w:rsidR="004F5453">
              <w:rPr>
                <w:color w:val="000000"/>
              </w:rPr>
              <w:t xml:space="preserve">average </w:t>
            </w:r>
            <w:r w:rsidR="00EA2F53">
              <w:rPr>
                <w:color w:val="000000"/>
              </w:rPr>
              <w:t>allocations.</w:t>
            </w:r>
          </w:p>
          <w:p w:rsidR="00E5738D" w:rsidRDefault="00E5738D" w:rsidP="00336162">
            <w:pPr>
              <w:spacing w:after="120"/>
              <w:jc w:val="left"/>
              <w:rPr>
                <w:color w:val="000000"/>
              </w:rPr>
            </w:pPr>
            <w:r w:rsidRPr="009B04ED">
              <w:rPr>
                <w:color w:val="000000"/>
              </w:rPr>
              <w:t>The increased share of education expenditures at the district level demonstrates that districts on average</w:t>
            </w:r>
            <w:r w:rsidR="00562025">
              <w:rPr>
                <w:color w:val="000000"/>
              </w:rPr>
              <w:t xml:space="preserve"> </w:t>
            </w:r>
            <w:r w:rsidR="00EA2F53">
              <w:rPr>
                <w:color w:val="000000"/>
              </w:rPr>
              <w:t xml:space="preserve">strengthened </w:t>
            </w:r>
            <w:r w:rsidR="00562025">
              <w:rPr>
                <w:color w:val="000000"/>
              </w:rPr>
              <w:t xml:space="preserve">their </w:t>
            </w:r>
            <w:r w:rsidR="00785C72">
              <w:rPr>
                <w:color w:val="000000"/>
              </w:rPr>
              <w:t xml:space="preserve">commitment toward </w:t>
            </w:r>
            <w:r w:rsidR="00562025">
              <w:rPr>
                <w:color w:val="000000"/>
              </w:rPr>
              <w:t>education spen</w:t>
            </w:r>
            <w:r w:rsidR="00EA2F53">
              <w:rPr>
                <w:color w:val="000000"/>
              </w:rPr>
              <w:t>ding during the period 2006-2011</w:t>
            </w:r>
            <w:r w:rsidR="00562025">
              <w:rPr>
                <w:color w:val="000000"/>
              </w:rPr>
              <w:t xml:space="preserve">. </w:t>
            </w:r>
          </w:p>
          <w:p w:rsidR="00E5738D" w:rsidRPr="005A28DB" w:rsidRDefault="00E5738D" w:rsidP="005A28DB">
            <w:pPr>
              <w:spacing w:after="120"/>
              <w:jc w:val="left"/>
              <w:rPr>
                <w:color w:val="000000"/>
              </w:rPr>
            </w:pPr>
            <w:r w:rsidRPr="009B04ED">
              <w:rPr>
                <w:color w:val="000000"/>
              </w:rPr>
              <w:t xml:space="preserve">The growth in share of allocations towards education is consistent for urban and rural areas. </w:t>
            </w:r>
            <w:r w:rsidR="00E20F62">
              <w:rPr>
                <w:color w:val="000000"/>
              </w:rPr>
              <w:t>Ru</w:t>
            </w:r>
            <w:r w:rsidR="00EA2F53">
              <w:rPr>
                <w:color w:val="000000"/>
              </w:rPr>
              <w:t>ral areas on average allocate 37</w:t>
            </w:r>
            <w:r w:rsidR="00E20F62">
              <w:rPr>
                <w:color w:val="000000"/>
              </w:rPr>
              <w:t>% of their district budgets to</w:t>
            </w:r>
            <w:r w:rsidR="00EA2F53">
              <w:rPr>
                <w:color w:val="000000"/>
              </w:rPr>
              <w:t>wards education in 2011, compared with 35</w:t>
            </w:r>
            <w:r w:rsidR="00E20F62">
              <w:rPr>
                <w:color w:val="000000"/>
              </w:rPr>
              <w:t xml:space="preserve">% in urban zones. </w:t>
            </w:r>
          </w:p>
          <w:p w:rsidR="00F33A6B" w:rsidRDefault="00E5738D" w:rsidP="00F33A6B">
            <w:pPr>
              <w:spacing w:after="120"/>
              <w:jc w:val="left"/>
              <w:rPr>
                <w:color w:val="000000"/>
              </w:rPr>
            </w:pPr>
            <w:r w:rsidRPr="009B04ED">
              <w:rPr>
                <w:color w:val="000000"/>
              </w:rPr>
              <w:t xml:space="preserve">While these averages show maintenance of financial commitment </w:t>
            </w:r>
            <w:r>
              <w:rPr>
                <w:color w:val="000000"/>
              </w:rPr>
              <w:t xml:space="preserve">to education, </w:t>
            </w:r>
            <w:r w:rsidRPr="009B04ED">
              <w:rPr>
                <w:color w:val="000000"/>
              </w:rPr>
              <w:t>it does disguise some variation between districts. Comparison of the fluctuations of individual districts may not be useful as their expenditure may be significantly affected by one</w:t>
            </w:r>
            <w:r>
              <w:rPr>
                <w:color w:val="000000"/>
              </w:rPr>
              <w:t>-</w:t>
            </w:r>
            <w:r w:rsidRPr="009B04ED">
              <w:rPr>
                <w:color w:val="000000"/>
              </w:rPr>
              <w:t>off large annual investments.</w:t>
            </w:r>
          </w:p>
          <w:p w:rsidR="00E5738D" w:rsidRDefault="00D655A8" w:rsidP="00D655A8">
            <w:r>
              <w:t xml:space="preserve">The lowest average share of budget allocation for education was found in Papua (18%) and Maluku island group (25%). Both of these islands recorded less than 20% average share for education in 2010. While Maluku has shown strong growth since, Papua is still resting below the 20% government expenditure target set by government. </w:t>
            </w:r>
          </w:p>
          <w:p w:rsidR="0081239F" w:rsidRDefault="0081239F" w:rsidP="00D655A8">
            <w:r>
              <w:t>Nationally, there are 24 districts which have allocated less than 15% of their total district budget (APBD) on education every year during the period 2009-2011.</w:t>
            </w:r>
          </w:p>
          <w:p w:rsidR="00D655A8" w:rsidRPr="00D655A8" w:rsidRDefault="00D655A8" w:rsidP="00D655A8">
            <w:r>
              <w:t>Analysis of districts by their poverty quintile, still shows that the poorest districts have consistently committed the lowest proportion of their budget (average 31% in 2011) towards education during the period 2006-2011.</w:t>
            </w:r>
          </w:p>
        </w:tc>
      </w:tr>
      <w:tr w:rsidR="00E5738D" w:rsidRPr="00601BAF" w:rsidTr="005102AF">
        <w:trPr>
          <w:jc w:val="center"/>
        </w:trPr>
        <w:tc>
          <w:tcPr>
            <w:tcW w:w="1931" w:type="dxa"/>
            <w:tcBorders>
              <w:top w:val="single" w:sz="18" w:space="0" w:color="FFFFFF"/>
              <w:bottom w:val="single" w:sz="18" w:space="0" w:color="FFFFFF"/>
            </w:tcBorders>
            <w:shd w:val="clear" w:color="auto" w:fill="F2F2F2"/>
          </w:tcPr>
          <w:p w:rsidR="00E5738D" w:rsidRPr="009B04ED" w:rsidRDefault="00E5738D" w:rsidP="00336162">
            <w:pPr>
              <w:spacing w:after="60"/>
              <w:jc w:val="left"/>
              <w:rPr>
                <w:b/>
                <w:bCs/>
                <w:color w:val="000000"/>
              </w:rPr>
            </w:pPr>
            <w:r w:rsidRPr="009B04ED">
              <w:rPr>
                <w:b/>
                <w:bCs/>
                <w:color w:val="000000"/>
              </w:rPr>
              <w:t>BEP Districts:</w:t>
            </w:r>
          </w:p>
        </w:tc>
        <w:tc>
          <w:tcPr>
            <w:tcW w:w="7051" w:type="dxa"/>
            <w:tcBorders>
              <w:top w:val="single" w:sz="18" w:space="0" w:color="FFFFFF"/>
              <w:bottom w:val="single" w:sz="18" w:space="0" w:color="FFFFFF"/>
            </w:tcBorders>
            <w:shd w:val="clear" w:color="auto" w:fill="F2F2F2"/>
          </w:tcPr>
          <w:p w:rsidR="00E5738D" w:rsidRDefault="004D238A" w:rsidP="00FB426F">
            <w:pPr>
              <w:spacing w:after="120"/>
              <w:jc w:val="left"/>
              <w:rPr>
                <w:color w:val="000000"/>
              </w:rPr>
            </w:pPr>
            <w:r>
              <w:rPr>
                <w:color w:val="000000"/>
              </w:rPr>
              <w:t xml:space="preserve">The updated data show both </w:t>
            </w:r>
            <w:r w:rsidRPr="009B04ED">
              <w:rPr>
                <w:color w:val="000000"/>
              </w:rPr>
              <w:t xml:space="preserve">BEP </w:t>
            </w:r>
            <w:r>
              <w:rPr>
                <w:color w:val="000000"/>
              </w:rPr>
              <w:t xml:space="preserve">and non-BEP </w:t>
            </w:r>
            <w:r w:rsidRPr="009B04ED">
              <w:rPr>
                <w:color w:val="000000"/>
              </w:rPr>
              <w:t xml:space="preserve">districts’ </w:t>
            </w:r>
            <w:r>
              <w:rPr>
                <w:color w:val="000000"/>
              </w:rPr>
              <w:t xml:space="preserve">growing their education </w:t>
            </w:r>
            <w:r w:rsidRPr="009B04ED">
              <w:rPr>
                <w:color w:val="000000"/>
              </w:rPr>
              <w:t>sha</w:t>
            </w:r>
            <w:r>
              <w:rPr>
                <w:color w:val="000000"/>
              </w:rPr>
              <w:t>re of district budgets during the period 2006</w:t>
            </w:r>
            <w:r w:rsidR="00EA2F53">
              <w:rPr>
                <w:color w:val="000000"/>
              </w:rPr>
              <w:t>-2010. By 2011</w:t>
            </w:r>
            <w:r w:rsidRPr="009B04ED">
              <w:rPr>
                <w:color w:val="000000"/>
              </w:rPr>
              <w:t xml:space="preserve"> BEP districts had </w:t>
            </w:r>
            <w:r>
              <w:rPr>
                <w:color w:val="000000"/>
              </w:rPr>
              <w:t>increased t</w:t>
            </w:r>
            <w:r w:rsidR="00EA2F53">
              <w:rPr>
                <w:color w:val="000000"/>
              </w:rPr>
              <w:t>heir education expenditure to 34</w:t>
            </w:r>
            <w:r w:rsidR="00FB27F7">
              <w:rPr>
                <w:color w:val="000000"/>
              </w:rPr>
              <w:t>% of total district budgets. N</w:t>
            </w:r>
            <w:r>
              <w:rPr>
                <w:color w:val="000000"/>
              </w:rPr>
              <w:t>on-BEP districts</w:t>
            </w:r>
            <w:r w:rsidR="00EA2F53">
              <w:rPr>
                <w:color w:val="000000"/>
              </w:rPr>
              <w:t xml:space="preserve"> had a higher </w:t>
            </w:r>
            <w:r w:rsidR="00FB27F7">
              <w:rPr>
                <w:color w:val="000000"/>
              </w:rPr>
              <w:t xml:space="preserve">annual </w:t>
            </w:r>
            <w:r w:rsidR="00EA2F53">
              <w:rPr>
                <w:color w:val="000000"/>
              </w:rPr>
              <w:t>growth in district allocations for education, with 37% of budget allocations being</w:t>
            </w:r>
            <w:r w:rsidR="00FB27F7">
              <w:rPr>
                <w:color w:val="000000"/>
              </w:rPr>
              <w:t xml:space="preserve"> for education.</w:t>
            </w:r>
          </w:p>
          <w:p w:rsidR="00FB27F7" w:rsidRPr="009B04ED" w:rsidRDefault="00FB27F7" w:rsidP="00D655A8">
            <w:pPr>
              <w:spacing w:after="120"/>
              <w:jc w:val="left"/>
              <w:rPr>
                <w:color w:val="000000"/>
              </w:rPr>
            </w:pPr>
            <w:r>
              <w:t xml:space="preserve">The poorest BEP districts have increased their education share of expenditures from 23% in 2006 to 34% by 2011. Education expenditure shares in BEP districts in 2011 across all poverty quintiles </w:t>
            </w:r>
            <w:r w:rsidR="00D655A8">
              <w:t xml:space="preserve">stayed within a </w:t>
            </w:r>
            <w:r>
              <w:t xml:space="preserve">range </w:t>
            </w:r>
            <w:r w:rsidR="00D655A8">
              <w:t xml:space="preserve">of </w:t>
            </w:r>
            <w:r>
              <w:t>32%-38%.</w:t>
            </w:r>
          </w:p>
        </w:tc>
      </w:tr>
      <w:tr w:rsidR="00E5738D" w:rsidRPr="00601BAF" w:rsidTr="005102AF">
        <w:trPr>
          <w:jc w:val="center"/>
        </w:trPr>
        <w:tc>
          <w:tcPr>
            <w:tcW w:w="1931" w:type="dxa"/>
            <w:tcBorders>
              <w:top w:val="single" w:sz="18" w:space="0" w:color="FFFFFF"/>
              <w:bottom w:val="single" w:sz="8" w:space="0" w:color="C0504D"/>
            </w:tcBorders>
            <w:shd w:val="clear" w:color="auto" w:fill="F2F2F2"/>
          </w:tcPr>
          <w:p w:rsidR="00E5738D" w:rsidRPr="009B04ED" w:rsidRDefault="00E5738D" w:rsidP="009B04ED">
            <w:pPr>
              <w:jc w:val="left"/>
              <w:rPr>
                <w:b/>
                <w:bCs/>
                <w:color w:val="000000"/>
              </w:rPr>
            </w:pPr>
            <w:r w:rsidRPr="009B04ED">
              <w:rPr>
                <w:b/>
                <w:bCs/>
                <w:color w:val="000000"/>
              </w:rPr>
              <w:t>Future Analysis:</w:t>
            </w:r>
          </w:p>
        </w:tc>
        <w:tc>
          <w:tcPr>
            <w:tcW w:w="7051" w:type="dxa"/>
            <w:tcBorders>
              <w:top w:val="single" w:sz="18" w:space="0" w:color="FFFFFF"/>
              <w:bottom w:val="single" w:sz="8" w:space="0" w:color="C0504D"/>
            </w:tcBorders>
            <w:shd w:val="clear" w:color="auto" w:fill="F2F2F2"/>
          </w:tcPr>
          <w:p w:rsidR="00E5738D" w:rsidRPr="009B04ED" w:rsidRDefault="00D91FFC" w:rsidP="00D91FFC">
            <w:pPr>
              <w:spacing w:after="60"/>
              <w:jc w:val="left"/>
              <w:rPr>
                <w:color w:val="000000"/>
              </w:rPr>
            </w:pPr>
            <w:r>
              <w:rPr>
                <w:color w:val="000000"/>
              </w:rPr>
              <w:t>Annual u</w:t>
            </w:r>
            <w:r w:rsidR="00E5738D">
              <w:rPr>
                <w:color w:val="000000"/>
              </w:rPr>
              <w:t xml:space="preserve">pdate </w:t>
            </w:r>
            <w:r w:rsidR="00FB27F7">
              <w:rPr>
                <w:color w:val="000000"/>
              </w:rPr>
              <w:t>of 2012</w:t>
            </w:r>
            <w:r>
              <w:rPr>
                <w:color w:val="000000"/>
              </w:rPr>
              <w:t xml:space="preserve"> data once available from MoF </w:t>
            </w:r>
          </w:p>
        </w:tc>
      </w:tr>
    </w:tbl>
    <w:p w:rsidR="00B70EA1" w:rsidRDefault="00B70EA1" w:rsidP="00D91FFC">
      <w:r>
        <w:t xml:space="preserve">The average total district budget in 2011 (for all areas of expenditure, including education) grew by more than Rp. 100,000 million on 2010 allocations </w:t>
      </w:r>
      <w:r w:rsidR="004C0679">
        <w:t xml:space="preserve">(16% growth). This was outpaced by the growth in the education expenditure which grew at more than 35% year to year 2010-2011. </w:t>
      </w:r>
    </w:p>
    <w:p w:rsidR="00470B09" w:rsidRDefault="00EA2F53" w:rsidP="00D91FFC">
      <w:r>
        <w:t xml:space="preserve">In this report, </w:t>
      </w:r>
      <w:r w:rsidR="00B70EA1">
        <w:t>additional financial data for 2010, has revised the findings of th</w:t>
      </w:r>
      <w:r w:rsidR="00470B09">
        <w:t>e</w:t>
      </w:r>
      <w:r w:rsidR="00B70EA1">
        <w:t xml:space="preserve"> 2010 FPR </w:t>
      </w:r>
      <w:r w:rsidR="001C0AAC">
        <w:t xml:space="preserve">(this showed </w:t>
      </w:r>
      <w:r w:rsidR="00470B09">
        <w:t xml:space="preserve">on average </w:t>
      </w:r>
      <w:r w:rsidR="008F5BAA">
        <w:t xml:space="preserve">the total value of </w:t>
      </w:r>
      <w:r w:rsidR="00470B09">
        <w:t xml:space="preserve">district </w:t>
      </w:r>
      <w:r w:rsidR="008F5BAA">
        <w:t>budget has</w:t>
      </w:r>
      <w:r w:rsidR="00470B09">
        <w:t xml:space="preserve"> declined by 7% </w:t>
      </w:r>
      <w:r w:rsidR="008F5BAA">
        <w:t xml:space="preserve">in </w:t>
      </w:r>
      <w:r w:rsidR="00470B09">
        <w:t>2010 from their previous average in 2009</w:t>
      </w:r>
      <w:r w:rsidR="004F5453">
        <w:t>)</w:t>
      </w:r>
      <w:r w:rsidR="00470B09">
        <w:t xml:space="preserve">. </w:t>
      </w:r>
      <w:r w:rsidR="004D138E">
        <w:t xml:space="preserve">This </w:t>
      </w:r>
      <w:r w:rsidR="001C0AAC">
        <w:t xml:space="preserve">most recent </w:t>
      </w:r>
      <w:r w:rsidR="004D138E">
        <w:t xml:space="preserve">financial data has been confirmed with the SIKD section of MoF. </w:t>
      </w:r>
    </w:p>
    <w:p w:rsidR="00470B09" w:rsidRDefault="00E96BB9" w:rsidP="00BA7FA0">
      <w:pPr>
        <w:pStyle w:val="Caption"/>
      </w:pPr>
      <w:bookmarkStart w:id="56" w:name="_Toc343595522"/>
      <w:r>
        <w:t>Average</w:t>
      </w:r>
      <w:r w:rsidR="00470B09">
        <w:t xml:space="preserve"> District APBD and APBD for Education, 2006-201</w:t>
      </w:r>
      <w:r w:rsidR="004C0679">
        <w:t>1</w:t>
      </w:r>
      <w:bookmarkEnd w:id="56"/>
    </w:p>
    <w:p w:rsidR="00B70EA1" w:rsidRPr="00B70EA1" w:rsidRDefault="00F50C25" w:rsidP="00B70EA1">
      <w:r>
        <w:rPr>
          <w:noProof/>
          <w:lang w:val="en-AU" w:eastAsia="en-AU"/>
        </w:rPr>
        <w:drawing>
          <wp:inline distT="0" distB="0" distL="0" distR="0" wp14:anchorId="7C4298DC" wp14:editId="21EF18C0">
            <wp:extent cx="5581403" cy="2766950"/>
            <wp:effectExtent l="0" t="0" r="63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81650" cy="2767072"/>
                    </a:xfrm>
                    <a:prstGeom prst="rect">
                      <a:avLst/>
                    </a:prstGeom>
                    <a:noFill/>
                  </pic:spPr>
                </pic:pic>
              </a:graphicData>
            </a:graphic>
          </wp:inline>
        </w:drawing>
      </w:r>
    </w:p>
    <w:p w:rsidR="008F5BAA" w:rsidRDefault="008F5BAA" w:rsidP="00D91FFC">
      <w:r>
        <w:t>Both urban and rural districts have increased share of total district funds for education</w:t>
      </w:r>
      <w:r w:rsidR="000735E1">
        <w:t>, although rural areas with a 37</w:t>
      </w:r>
      <w:r>
        <w:t xml:space="preserve">% commitment of district budgets for education </w:t>
      </w:r>
      <w:r w:rsidR="000735E1">
        <w:t xml:space="preserve">have grown more strongly than the </w:t>
      </w:r>
      <w:r>
        <w:t>urban districts (3</w:t>
      </w:r>
      <w:r w:rsidR="000735E1">
        <w:t>5</w:t>
      </w:r>
      <w:r>
        <w:t>%).</w:t>
      </w:r>
    </w:p>
    <w:p w:rsidR="008F29B1" w:rsidRDefault="008F29B1" w:rsidP="00BA7FA0">
      <w:pPr>
        <w:pStyle w:val="Caption"/>
      </w:pPr>
      <w:r w:rsidRPr="0002217A">
        <w:t xml:space="preserve"> </w:t>
      </w:r>
      <w:r w:rsidRPr="000E586C">
        <w:t xml:space="preserve"> </w:t>
      </w:r>
      <w:bookmarkStart w:id="57" w:name="_Toc343595523"/>
      <w:r>
        <w:t xml:space="preserve">Rural and Urban District </w:t>
      </w:r>
      <w:r w:rsidRPr="000E586C">
        <w:t>Educatio</w:t>
      </w:r>
      <w:r>
        <w:t>n Expenditure as % of Total</w:t>
      </w:r>
      <w:r w:rsidR="004C0679">
        <w:t xml:space="preserve"> District Budget (APBD 2006-2011</w:t>
      </w:r>
      <w:r>
        <w:t>)</w:t>
      </w:r>
      <w:bookmarkEnd w:id="57"/>
    </w:p>
    <w:p w:rsidR="00AA1472" w:rsidRPr="001F7745" w:rsidRDefault="00F50C25" w:rsidP="001F7745">
      <w:r>
        <w:rPr>
          <w:noProof/>
          <w:lang w:val="en-AU" w:eastAsia="en-AU"/>
        </w:rPr>
        <w:drawing>
          <wp:inline distT="0" distB="0" distL="0" distR="0" wp14:anchorId="6C9535B8" wp14:editId="333AC7FC">
            <wp:extent cx="5581650" cy="29432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81650" cy="2943225"/>
                    </a:xfrm>
                    <a:prstGeom prst="rect">
                      <a:avLst/>
                    </a:prstGeom>
                    <a:noFill/>
                  </pic:spPr>
                </pic:pic>
              </a:graphicData>
            </a:graphic>
          </wp:inline>
        </w:drawing>
      </w:r>
    </w:p>
    <w:p w:rsidR="00307B17" w:rsidRDefault="00307B17" w:rsidP="00307B17">
      <w:r>
        <w:t xml:space="preserve">Districts in </w:t>
      </w:r>
      <w:r w:rsidR="000735E1">
        <w:t xml:space="preserve">most </w:t>
      </w:r>
      <w:r>
        <w:t xml:space="preserve">poverty quintiles </w:t>
      </w:r>
      <w:r w:rsidR="000735E1">
        <w:t xml:space="preserve">were </w:t>
      </w:r>
      <w:r>
        <w:t xml:space="preserve">increasing their average allocation share for education between 2006 and 2010, with the single </w:t>
      </w:r>
      <w:r w:rsidR="000735E1">
        <w:t xml:space="preserve">major </w:t>
      </w:r>
      <w:r>
        <w:t xml:space="preserve">exception of quintile 3 which had a </w:t>
      </w:r>
      <w:r w:rsidR="000735E1">
        <w:t xml:space="preserve">significant fall, and the </w:t>
      </w:r>
      <w:r w:rsidR="00D655A8">
        <w:t xml:space="preserve">smaller decrease of </w:t>
      </w:r>
      <w:r w:rsidR="000735E1">
        <w:t xml:space="preserve">poorest districts (quintile 5) </w:t>
      </w:r>
      <w:r>
        <w:t xml:space="preserve">in 2010. </w:t>
      </w:r>
    </w:p>
    <w:p w:rsidR="000735E1" w:rsidRDefault="000735E1" w:rsidP="00307B17">
      <w:r>
        <w:t xml:space="preserve">The year 2011 marks a change with significant increases in the </w:t>
      </w:r>
      <w:r w:rsidR="00C42E1D">
        <w:t xml:space="preserve">education </w:t>
      </w:r>
      <w:r>
        <w:t xml:space="preserve">share of district budgets across </w:t>
      </w:r>
      <w:r w:rsidR="00C42E1D">
        <w:t xml:space="preserve">districts from </w:t>
      </w:r>
      <w:r>
        <w:t>all poverty quintiles</w:t>
      </w:r>
      <w:r w:rsidR="00C42E1D">
        <w:t>.</w:t>
      </w:r>
    </w:p>
    <w:p w:rsidR="00307B17" w:rsidRDefault="00C42E1D" w:rsidP="00D91FFC">
      <w:r>
        <w:t xml:space="preserve">However, </w:t>
      </w:r>
      <w:r w:rsidR="00E961A5">
        <w:t xml:space="preserve">poverty quintile status </w:t>
      </w:r>
      <w:r>
        <w:t xml:space="preserve">still </w:t>
      </w:r>
      <w:r w:rsidR="00E961A5">
        <w:t xml:space="preserve">shows that the poorest districts have consistently committed the lowest proportion of their budget </w:t>
      </w:r>
      <w:r>
        <w:t>(average 31%) t</w:t>
      </w:r>
      <w:r w:rsidR="00E961A5">
        <w:t>owards educa</w:t>
      </w:r>
      <w:r w:rsidR="00307B17">
        <w:t>tion during the period 2006-20</w:t>
      </w:r>
      <w:r>
        <w:t>11</w:t>
      </w:r>
      <w:r w:rsidR="00E961A5">
        <w:t xml:space="preserve">. </w:t>
      </w:r>
    </w:p>
    <w:p w:rsidR="00985E4E" w:rsidRDefault="00605BE5" w:rsidP="00BA7FA0">
      <w:pPr>
        <w:pStyle w:val="Caption"/>
      </w:pPr>
      <w:bookmarkStart w:id="58" w:name="_Toc343595524"/>
      <w:r>
        <w:t xml:space="preserve">Education </w:t>
      </w:r>
      <w:r w:rsidR="00985E4E" w:rsidRPr="00E42689">
        <w:t>E</w:t>
      </w:r>
      <w:r w:rsidR="00985E4E">
        <w:t xml:space="preserve">xpenditure as % of Total </w:t>
      </w:r>
      <w:r>
        <w:t xml:space="preserve">District Expenditure </w:t>
      </w:r>
      <w:r w:rsidR="00985E4E">
        <w:t xml:space="preserve">by Districts according to Poverty Quintile, </w:t>
      </w:r>
      <w:r w:rsidR="00BC1FDC">
        <w:t>(APBD 2006-2011</w:t>
      </w:r>
      <w:r>
        <w:t>)</w:t>
      </w:r>
      <w:bookmarkEnd w:id="58"/>
    </w:p>
    <w:p w:rsidR="00CE47CC" w:rsidRDefault="00F50C25" w:rsidP="002D1B76">
      <w:r>
        <w:rPr>
          <w:noProof/>
          <w:lang w:val="en-AU" w:eastAsia="en-AU"/>
        </w:rPr>
        <w:drawing>
          <wp:inline distT="0" distB="0" distL="0" distR="0" wp14:anchorId="7116D6DA" wp14:editId="143D4DE7">
            <wp:extent cx="5562499" cy="2790825"/>
            <wp:effectExtent l="0" t="0" r="63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81650" cy="2800434"/>
                    </a:xfrm>
                    <a:prstGeom prst="rect">
                      <a:avLst/>
                    </a:prstGeom>
                    <a:noFill/>
                  </pic:spPr>
                </pic:pic>
              </a:graphicData>
            </a:graphic>
          </wp:inline>
        </w:drawing>
      </w:r>
    </w:p>
    <w:p w:rsidR="00CE47CC" w:rsidRDefault="00FB27F7" w:rsidP="002D1B76">
      <w:r>
        <w:t>While districts in all poverty quintiles have shown growth in total district expenditure, t</w:t>
      </w:r>
      <w:r w:rsidR="00A524E7">
        <w:t xml:space="preserve">he growth in education expenditure as a proportion of total district budget (APBD) within </w:t>
      </w:r>
      <w:r w:rsidR="00F836D8">
        <w:t xml:space="preserve">all </w:t>
      </w:r>
      <w:r w:rsidR="00A524E7">
        <w:t xml:space="preserve">quintile districts is </w:t>
      </w:r>
      <w:r>
        <w:t xml:space="preserve">due to </w:t>
      </w:r>
      <w:r w:rsidR="00F836D8">
        <w:t xml:space="preserve">stronger </w:t>
      </w:r>
      <w:r>
        <w:t>increases in education budgets</w:t>
      </w:r>
      <w:r w:rsidR="00F836D8">
        <w:t xml:space="preserve">. </w:t>
      </w:r>
    </w:p>
    <w:p w:rsidR="00A524E7" w:rsidRDefault="000F5218" w:rsidP="00BA7FA0">
      <w:pPr>
        <w:pStyle w:val="Caption"/>
      </w:pPr>
      <w:bookmarkStart w:id="59" w:name="_Toc343595525"/>
      <w:r>
        <w:t>Average</w:t>
      </w:r>
      <w:r w:rsidR="00A524E7">
        <w:t xml:space="preserve"> District APBD and APBD for Education, by poverty quintile 2006-201</w:t>
      </w:r>
      <w:r w:rsidR="00846EB0">
        <w:t>1</w:t>
      </w:r>
      <w:bookmarkEnd w:id="59"/>
    </w:p>
    <w:p w:rsidR="00A524E7" w:rsidRPr="00A524E7" w:rsidRDefault="00F50C25" w:rsidP="00A524E7">
      <w:r>
        <w:rPr>
          <w:noProof/>
          <w:lang w:val="en-AU" w:eastAsia="en-AU"/>
        </w:rPr>
        <w:drawing>
          <wp:inline distT="0" distB="0" distL="0" distR="0" wp14:anchorId="0EE24F31" wp14:editId="1B04CE17">
            <wp:extent cx="6081680" cy="4095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96000" cy="4105394"/>
                    </a:xfrm>
                    <a:prstGeom prst="rect">
                      <a:avLst/>
                    </a:prstGeom>
                    <a:noFill/>
                  </pic:spPr>
                </pic:pic>
              </a:graphicData>
            </a:graphic>
          </wp:inline>
        </w:drawing>
      </w:r>
    </w:p>
    <w:p w:rsidR="00A524E7" w:rsidRDefault="00A524E7" w:rsidP="002D1B76"/>
    <w:p w:rsidR="000D0055" w:rsidRDefault="00EA3816" w:rsidP="00FA79BE">
      <w:r>
        <w:t>In 2011</w:t>
      </w:r>
      <w:r w:rsidR="000D0055">
        <w:t>, the island group of Bali and Nusa Tengarra shows a big jump with education share of district budgets i</w:t>
      </w:r>
      <w:r>
        <w:t>ncreasing from 33% in 2009 to 39% in 2011</w:t>
      </w:r>
      <w:r w:rsidR="000D0055">
        <w:t xml:space="preserve">. </w:t>
      </w:r>
    </w:p>
    <w:p w:rsidR="00FA79BE" w:rsidRDefault="00FA79BE" w:rsidP="00FA79BE">
      <w:r>
        <w:t xml:space="preserve">The lowest average share of budget allocation for education was found in Papua </w:t>
      </w:r>
      <w:r w:rsidR="00EA3816">
        <w:t>(18%) and Maluku island group (25%)</w:t>
      </w:r>
      <w:r>
        <w:t xml:space="preserve">. Both of these islands recorded less than 20% average share for education </w:t>
      </w:r>
      <w:r w:rsidR="00EA3816">
        <w:t>in 2010, but Maluku has shown strong growth</w:t>
      </w:r>
      <w:r w:rsidR="00D655A8">
        <w:t xml:space="preserve"> in 2011. However,</w:t>
      </w:r>
      <w:r w:rsidR="00EA3816">
        <w:t xml:space="preserve"> Papua </w:t>
      </w:r>
      <w:r w:rsidR="00D655A8">
        <w:t xml:space="preserve">is </w:t>
      </w:r>
      <w:r w:rsidR="00EA3816">
        <w:t xml:space="preserve">still resting below the 20% government expenditure target </w:t>
      </w:r>
      <w:r w:rsidR="00D655A8">
        <w:t xml:space="preserve">for education </w:t>
      </w:r>
      <w:r w:rsidR="00EA3816">
        <w:t>set by government.</w:t>
      </w:r>
      <w:r>
        <w:t xml:space="preserve"> </w:t>
      </w:r>
    </w:p>
    <w:p w:rsidR="0058516E" w:rsidRDefault="00605BE5" w:rsidP="00BA7FA0">
      <w:pPr>
        <w:pStyle w:val="Caption"/>
      </w:pPr>
      <w:bookmarkStart w:id="60" w:name="_Toc343595526"/>
      <w:r>
        <w:t xml:space="preserve">Education </w:t>
      </w:r>
      <w:r w:rsidR="0058516E" w:rsidRPr="00E42689">
        <w:t>E</w:t>
      </w:r>
      <w:r w:rsidR="0058516E">
        <w:t xml:space="preserve">xpenditure as % of Total </w:t>
      </w:r>
      <w:r>
        <w:t xml:space="preserve">District Expenditure </w:t>
      </w:r>
      <w:r w:rsidR="0058516E">
        <w:t xml:space="preserve">by </w:t>
      </w:r>
      <w:r>
        <w:t>Island Grouping</w:t>
      </w:r>
      <w:r w:rsidR="0058516E">
        <w:t xml:space="preserve"> </w:t>
      </w:r>
      <w:r w:rsidR="00EA3816">
        <w:t>(APBD 2006-2011</w:t>
      </w:r>
      <w:r>
        <w:t>)</w:t>
      </w:r>
      <w:bookmarkEnd w:id="60"/>
    </w:p>
    <w:p w:rsidR="00985E4E" w:rsidRPr="00E961A5" w:rsidRDefault="00F50C25" w:rsidP="00985E4E">
      <w:r>
        <w:rPr>
          <w:noProof/>
          <w:lang w:val="en-AU" w:eastAsia="en-AU"/>
        </w:rPr>
        <w:drawing>
          <wp:inline distT="0" distB="0" distL="0" distR="0" wp14:anchorId="2263002E" wp14:editId="4B0AA48D">
            <wp:extent cx="5581650" cy="44862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81650" cy="4486275"/>
                    </a:xfrm>
                    <a:prstGeom prst="rect">
                      <a:avLst/>
                    </a:prstGeom>
                    <a:noFill/>
                  </pic:spPr>
                </pic:pic>
              </a:graphicData>
            </a:graphic>
          </wp:inline>
        </w:drawing>
      </w:r>
    </w:p>
    <w:p w:rsidR="002D68A8" w:rsidRDefault="00B27EB4" w:rsidP="002D68A8">
      <w:r>
        <w:t>BEP districts increased their share of</w:t>
      </w:r>
      <w:r w:rsidR="00EA3816">
        <w:t xml:space="preserve"> expenditure for education </w:t>
      </w:r>
      <w:r w:rsidR="000F5218">
        <w:t xml:space="preserve">from 26% in 2006 </w:t>
      </w:r>
      <w:r w:rsidR="00EA3816">
        <w:t>to 34% in 2011</w:t>
      </w:r>
      <w:r>
        <w:t>.</w:t>
      </w:r>
      <w:r w:rsidR="001C0AAC">
        <w:t xml:space="preserve"> In 2011, the non-BEP districts </w:t>
      </w:r>
      <w:r w:rsidR="00494ACF">
        <w:t xml:space="preserve">(37%) had </w:t>
      </w:r>
      <w:r w:rsidR="001C0AAC">
        <w:t>stronger growth in education expenditure than BEP districts.</w:t>
      </w:r>
      <w:r w:rsidR="00807399">
        <w:t xml:space="preserve"> </w:t>
      </w:r>
    </w:p>
    <w:p w:rsidR="006109A1" w:rsidRDefault="006109A1" w:rsidP="00BA7FA0">
      <w:pPr>
        <w:pStyle w:val="Caption"/>
      </w:pPr>
      <w:bookmarkStart w:id="61" w:name="_Toc343595527"/>
      <w:r w:rsidRPr="00E42689">
        <w:t xml:space="preserve">APBD Education Expenditure as % of Total </w:t>
      </w:r>
      <w:r w:rsidR="00605BE5">
        <w:t xml:space="preserve">district Expenditure </w:t>
      </w:r>
      <w:r w:rsidRPr="00E42689">
        <w:t>in BEP and Non-BEP Supported Districts</w:t>
      </w:r>
      <w:r w:rsidR="00EA3816">
        <w:t xml:space="preserve"> (APBD 2006-2011</w:t>
      </w:r>
      <w:r w:rsidR="00605BE5">
        <w:t>)</w:t>
      </w:r>
      <w:bookmarkEnd w:id="61"/>
    </w:p>
    <w:p w:rsidR="006109A1" w:rsidRDefault="00F50C25" w:rsidP="006109A1">
      <w:pPr>
        <w:pStyle w:val="BodyText"/>
      </w:pPr>
      <w:r>
        <w:rPr>
          <w:noProof/>
          <w:lang w:val="en-AU" w:eastAsia="en-AU"/>
        </w:rPr>
        <w:drawing>
          <wp:inline distT="0" distB="0" distL="0" distR="0" wp14:anchorId="725785C5" wp14:editId="22B3BA86">
            <wp:extent cx="5581650" cy="3200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81650" cy="3200400"/>
                    </a:xfrm>
                    <a:prstGeom prst="rect">
                      <a:avLst/>
                    </a:prstGeom>
                    <a:noFill/>
                  </pic:spPr>
                </pic:pic>
              </a:graphicData>
            </a:graphic>
          </wp:inline>
        </w:drawing>
      </w:r>
    </w:p>
    <w:p w:rsidR="00F33A6B" w:rsidRDefault="00F33A6B" w:rsidP="00F33A6B">
      <w:r>
        <w:t xml:space="preserve">A more detailed analysis of </w:t>
      </w:r>
      <w:r w:rsidR="001C0AAC">
        <w:t xml:space="preserve">education </w:t>
      </w:r>
      <w:r>
        <w:t>expenditure</w:t>
      </w:r>
      <w:r w:rsidR="00FE7CE4">
        <w:t xml:space="preserve"> share</w:t>
      </w:r>
      <w:r w:rsidR="001C0AAC">
        <w:t>s</w:t>
      </w:r>
      <w:r>
        <w:t xml:space="preserve"> in BEP districts by their poverty quintile ranking reveals a</w:t>
      </w:r>
      <w:r w:rsidR="001C0AAC">
        <w:t xml:space="preserve"> continuing </w:t>
      </w:r>
      <w:r>
        <w:t>positive story of sustained improvement in the poorest quintile districts. The poorest BEP districts have increased their educati</w:t>
      </w:r>
      <w:r w:rsidR="006E1705">
        <w:t>on share of expenditures from 23</w:t>
      </w:r>
      <w:r>
        <w:t xml:space="preserve">% in 2006 to </w:t>
      </w:r>
      <w:r w:rsidR="00FE7CE4">
        <w:t>3</w:t>
      </w:r>
      <w:r w:rsidR="001C0AAC">
        <w:t>4% by 2011</w:t>
      </w:r>
      <w:r>
        <w:t xml:space="preserve">. The </w:t>
      </w:r>
      <w:r w:rsidR="00FE7CE4">
        <w:t xml:space="preserve">average poverty quintile education </w:t>
      </w:r>
      <w:r>
        <w:t>expenditure shares in BEP districts</w:t>
      </w:r>
      <w:r w:rsidR="00FE7CE4">
        <w:t xml:space="preserve"> in 201</w:t>
      </w:r>
      <w:r w:rsidR="001C0AAC">
        <w:t xml:space="preserve">1 was compressed to </w:t>
      </w:r>
      <w:r w:rsidR="00337865">
        <w:t xml:space="preserve">range </w:t>
      </w:r>
      <w:r w:rsidR="001C0AAC">
        <w:t>between 32</w:t>
      </w:r>
      <w:r w:rsidR="00FE7CE4">
        <w:t>%-38</w:t>
      </w:r>
      <w:r>
        <w:t xml:space="preserve">%. </w:t>
      </w:r>
    </w:p>
    <w:p w:rsidR="00985E4E" w:rsidRPr="006109A1" w:rsidRDefault="00985E4E" w:rsidP="00BA7FA0">
      <w:pPr>
        <w:pStyle w:val="Caption"/>
      </w:pPr>
      <w:r w:rsidRPr="006109A1">
        <w:t xml:space="preserve"> </w:t>
      </w:r>
      <w:bookmarkStart w:id="62" w:name="_Toc343595528"/>
      <w:r w:rsidR="00601527">
        <w:t xml:space="preserve">BEP Districts Only - </w:t>
      </w:r>
      <w:r w:rsidRPr="006109A1">
        <w:t xml:space="preserve">Education Expenditure as % of Total </w:t>
      </w:r>
      <w:r w:rsidR="00605BE5">
        <w:t xml:space="preserve">District Expenditure </w:t>
      </w:r>
      <w:r w:rsidRPr="006109A1">
        <w:t xml:space="preserve">by District Poverty Quintile </w:t>
      </w:r>
      <w:r w:rsidR="00F34B50">
        <w:t>(AP</w:t>
      </w:r>
      <w:r w:rsidR="00EC7576">
        <w:t>BD 2006-2011</w:t>
      </w:r>
      <w:r w:rsidR="00605BE5">
        <w:t>)</w:t>
      </w:r>
      <w:bookmarkEnd w:id="62"/>
    </w:p>
    <w:p w:rsidR="00985E4E" w:rsidRDefault="00F50C25" w:rsidP="00985E4E">
      <w:r>
        <w:rPr>
          <w:noProof/>
          <w:lang w:val="en-AU" w:eastAsia="en-AU"/>
        </w:rPr>
        <w:drawing>
          <wp:inline distT="0" distB="0" distL="0" distR="0" wp14:anchorId="640765FE" wp14:editId="0AE0ADC6">
            <wp:extent cx="5589767" cy="350530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89603" cy="3505200"/>
                    </a:xfrm>
                    <a:prstGeom prst="rect">
                      <a:avLst/>
                    </a:prstGeom>
                    <a:noFill/>
                  </pic:spPr>
                </pic:pic>
              </a:graphicData>
            </a:graphic>
          </wp:inline>
        </w:drawing>
      </w:r>
    </w:p>
    <w:p w:rsidR="00D4388B" w:rsidRDefault="00A917DA" w:rsidP="00A917DA">
      <w:r>
        <w:t xml:space="preserve">While BEP districts have committed a share of their district budget that is broadly in line with the national average, there are some BEP districts that have spent considerably less. </w:t>
      </w:r>
    </w:p>
    <w:p w:rsidR="00FE7CE4" w:rsidRDefault="00FE7CE4" w:rsidP="00A917DA">
      <w:r>
        <w:t>This report</w:t>
      </w:r>
      <w:r w:rsidR="00D4388B">
        <w:t xml:space="preserve"> presents </w:t>
      </w:r>
      <w:r w:rsidR="00EC7576">
        <w:t xml:space="preserve">three years of </w:t>
      </w:r>
      <w:r w:rsidR="00D4388B">
        <w:t xml:space="preserve">results </w:t>
      </w:r>
      <w:r>
        <w:t xml:space="preserve">from 2009 </w:t>
      </w:r>
      <w:r w:rsidR="00EC7576">
        <w:t>to 2011</w:t>
      </w:r>
      <w:r>
        <w:t xml:space="preserve"> </w:t>
      </w:r>
      <w:r w:rsidR="00D4388B">
        <w:t xml:space="preserve">showing </w:t>
      </w:r>
      <w:r w:rsidR="00494ACF">
        <w:t>there have been 11</w:t>
      </w:r>
      <w:r w:rsidR="00D4388B">
        <w:t xml:space="preserve"> </w:t>
      </w:r>
      <w:r w:rsidR="0081239F">
        <w:t xml:space="preserve">BEP </w:t>
      </w:r>
      <w:r w:rsidR="00D4388B">
        <w:t xml:space="preserve">districts </w:t>
      </w:r>
      <w:r>
        <w:t xml:space="preserve">which have </w:t>
      </w:r>
      <w:r w:rsidR="00A93CDF">
        <w:t xml:space="preserve">dedicated </w:t>
      </w:r>
      <w:r>
        <w:t>less than 20% of</w:t>
      </w:r>
      <w:r w:rsidR="00EC7576">
        <w:t xml:space="preserve"> their budget towards education in every year.</w:t>
      </w:r>
    </w:p>
    <w:p w:rsidR="00D348B7" w:rsidRDefault="00A917DA" w:rsidP="00A917DA">
      <w:r>
        <w:t xml:space="preserve">Most of the </w:t>
      </w:r>
      <w:r w:rsidR="0081239F">
        <w:t xml:space="preserve">BEP </w:t>
      </w:r>
      <w:r>
        <w:t>districts t</w:t>
      </w:r>
      <w:r w:rsidR="00FE7CE4">
        <w:t>hat report spending less than 20</w:t>
      </w:r>
      <w:r>
        <w:t>% of their budget on education</w:t>
      </w:r>
      <w:r w:rsidR="00D4388B">
        <w:t xml:space="preserve"> in both </w:t>
      </w:r>
      <w:r>
        <w:t xml:space="preserve">are located on Maluku. While some of the low figures may be due to poor reporting, the persistence of these low allocations </w:t>
      </w:r>
      <w:r w:rsidR="007566BD">
        <w:t>s</w:t>
      </w:r>
      <w:r>
        <w:t xml:space="preserve">hares </w:t>
      </w:r>
      <w:r w:rsidR="00D4388B">
        <w:t xml:space="preserve">in consecutive </w:t>
      </w:r>
      <w:r>
        <w:t>years suggest there are other factors involved.</w:t>
      </w:r>
      <w:r w:rsidR="007566BD">
        <w:t xml:space="preserve"> </w:t>
      </w:r>
    </w:p>
    <w:p w:rsidR="00DB4709" w:rsidRDefault="00DB4709" w:rsidP="00BA7FA0">
      <w:pPr>
        <w:pStyle w:val="Caption"/>
      </w:pPr>
      <w:bookmarkStart w:id="63" w:name="_Toc343595529"/>
      <w:r>
        <w:t>BEP Districts with low financial s</w:t>
      </w:r>
      <w:r w:rsidR="008D182F">
        <w:t>hare for education (less than 20</w:t>
      </w:r>
      <w:r>
        <w:t xml:space="preserve">% of </w:t>
      </w:r>
      <w:r w:rsidRPr="00E42689">
        <w:t>APBD Expenditure</w:t>
      </w:r>
      <w:r>
        <w:t>)</w:t>
      </w:r>
      <w:r w:rsidR="008D182F">
        <w:t xml:space="preserve"> </w:t>
      </w:r>
      <w:r w:rsidR="00A917DA">
        <w:t>2009</w:t>
      </w:r>
      <w:r w:rsidR="008D182F">
        <w:t xml:space="preserve"> and 201</w:t>
      </w:r>
      <w:r w:rsidR="00EC7576">
        <w:t>1</w:t>
      </w:r>
      <w:bookmarkEnd w:id="63"/>
    </w:p>
    <w:p w:rsidR="009E16A8" w:rsidRDefault="008D1291" w:rsidP="00193E45">
      <w:r>
        <w:rPr>
          <w:noProof/>
          <w:lang w:val="en-AU" w:eastAsia="en-AU"/>
        </w:rPr>
        <w:drawing>
          <wp:inline distT="0" distB="0" distL="0" distR="0" wp14:anchorId="68773901" wp14:editId="40D2BE6B">
            <wp:extent cx="5580150" cy="6838122"/>
            <wp:effectExtent l="0" t="0" r="1905"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81650" cy="6839960"/>
                    </a:xfrm>
                    <a:prstGeom prst="rect">
                      <a:avLst/>
                    </a:prstGeom>
                    <a:noFill/>
                  </pic:spPr>
                </pic:pic>
              </a:graphicData>
            </a:graphic>
          </wp:inline>
        </w:drawing>
      </w:r>
    </w:p>
    <w:p w:rsidR="003C2B30" w:rsidRDefault="003C2B30" w:rsidP="00193E45">
      <w:r w:rsidRPr="003C2B30">
        <w:rPr>
          <w:sz w:val="18"/>
        </w:rPr>
        <w:t>* Districts that are blank for one year have exceeded the benchmark for that year</w:t>
      </w:r>
    </w:p>
    <w:p w:rsidR="00785167" w:rsidRDefault="00D4388B" w:rsidP="00193E45">
      <w:r>
        <w:t>Nationally, there</w:t>
      </w:r>
      <w:r w:rsidR="00785167">
        <w:t xml:space="preserve"> are </w:t>
      </w:r>
      <w:r w:rsidR="004F5453">
        <w:t>23</w:t>
      </w:r>
      <w:r w:rsidR="00785167">
        <w:t xml:space="preserve"> districts which</w:t>
      </w:r>
      <w:r w:rsidR="00DE4981">
        <w:t xml:space="preserve"> </w:t>
      </w:r>
      <w:r w:rsidR="0081239F">
        <w:t xml:space="preserve">have </w:t>
      </w:r>
      <w:r w:rsidR="00CE7EE4">
        <w:t>allocate</w:t>
      </w:r>
      <w:r w:rsidR="0081239F">
        <w:t>d</w:t>
      </w:r>
      <w:r w:rsidR="00CE7EE4">
        <w:t xml:space="preserve"> </w:t>
      </w:r>
      <w:r w:rsidR="00DE4981">
        <w:t>less than 15</w:t>
      </w:r>
      <w:r w:rsidR="00785167">
        <w:t xml:space="preserve">% of their </w:t>
      </w:r>
      <w:r w:rsidR="00E23127">
        <w:t>total district bu</w:t>
      </w:r>
      <w:r w:rsidR="00BC1FDC">
        <w:t xml:space="preserve">dget (APBD) on education every year </w:t>
      </w:r>
      <w:r w:rsidR="00CE7EE4">
        <w:t xml:space="preserve">during the period </w:t>
      </w:r>
      <w:r w:rsidR="00DE4981">
        <w:t>2009</w:t>
      </w:r>
      <w:r w:rsidR="00BC1FDC">
        <w:t>-</w:t>
      </w:r>
      <w:r w:rsidR="00303DDD">
        <w:t>2011</w:t>
      </w:r>
      <w:r w:rsidR="00E23127">
        <w:t xml:space="preserve">. </w:t>
      </w:r>
      <w:r w:rsidR="00CE7EE4">
        <w:t xml:space="preserve">The chart below shows every district that allocated less than 15% of their district budget on education in any of the three budget years during 2009-2011. </w:t>
      </w:r>
      <w:r w:rsidR="00785167">
        <w:t xml:space="preserve">It would be useful to understand why </w:t>
      </w:r>
      <w:r w:rsidR="00DE4981">
        <w:t xml:space="preserve">education budget share is </w:t>
      </w:r>
      <w:r w:rsidR="00785167">
        <w:t xml:space="preserve">so low </w:t>
      </w:r>
      <w:r w:rsidR="00DE4981">
        <w:t xml:space="preserve">in these districts </w:t>
      </w:r>
      <w:r w:rsidR="00785167">
        <w:t>and to what extent they represent policy related or demand side factors as well as possible misreporting to the MoF.</w:t>
      </w:r>
      <w:r w:rsidR="009278E9">
        <w:t xml:space="preserve"> </w:t>
      </w:r>
    </w:p>
    <w:p w:rsidR="00EC7576" w:rsidRDefault="00EC7576" w:rsidP="00BA7FA0">
      <w:pPr>
        <w:pStyle w:val="Caption"/>
      </w:pPr>
      <w:bookmarkStart w:id="64" w:name="_Toc343595530"/>
      <w:r>
        <w:t xml:space="preserve">Districts with very low financial share for education (less than 15% of </w:t>
      </w:r>
      <w:r w:rsidRPr="00E42689">
        <w:t>APBD Expenditure</w:t>
      </w:r>
      <w:r>
        <w:t>) 2009 -2011</w:t>
      </w:r>
      <w:bookmarkEnd w:id="64"/>
    </w:p>
    <w:p w:rsidR="00EC7576" w:rsidRDefault="008D1291" w:rsidP="00193E45">
      <w:r>
        <w:rPr>
          <w:noProof/>
          <w:lang w:val="en-AU" w:eastAsia="en-AU"/>
        </w:rPr>
        <w:drawing>
          <wp:inline distT="0" distB="0" distL="0" distR="0" wp14:anchorId="6FDFEDA7" wp14:editId="7CAD1740">
            <wp:extent cx="5580942" cy="8867954"/>
            <wp:effectExtent l="0" t="0" r="127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81650" cy="8869079"/>
                    </a:xfrm>
                    <a:prstGeom prst="rect">
                      <a:avLst/>
                    </a:prstGeom>
                    <a:noFill/>
                  </pic:spPr>
                </pic:pic>
              </a:graphicData>
            </a:graphic>
          </wp:inline>
        </w:drawing>
      </w:r>
    </w:p>
    <w:p w:rsidR="00EC7576" w:rsidRDefault="00EC7576" w:rsidP="00193E45">
      <w:r w:rsidRPr="003C2B30">
        <w:rPr>
          <w:sz w:val="18"/>
        </w:rPr>
        <w:t>* Districts that are blank for one year have exceeded the benchmark for that year</w:t>
      </w:r>
    </w:p>
    <w:p w:rsidR="00CB4623" w:rsidRPr="00CB4623" w:rsidRDefault="00CB4623" w:rsidP="00E23127">
      <w:r>
        <w:t xml:space="preserve">Looking at the 30 districts which in 2011 committed less than 15% of their budget towards education, we find that 20 of these districts belong to the poorest quintile of districts. Of these 20 poorest quintile districts, seventeen (17) are found in Papua and three (3) are in Maluku. </w:t>
      </w:r>
    </w:p>
    <w:p w:rsidR="00CB4623" w:rsidRDefault="00CB4623" w:rsidP="00BA7FA0">
      <w:pPr>
        <w:pStyle w:val="Caption"/>
      </w:pPr>
      <w:bookmarkStart w:id="65" w:name="_Toc343595531"/>
      <w:r>
        <w:t xml:space="preserve">Poorest Districts with very low financial share for education (less than 15% of </w:t>
      </w:r>
      <w:r w:rsidRPr="00E42689">
        <w:t>APBD Expenditure</w:t>
      </w:r>
      <w:r>
        <w:t>) 2011</w:t>
      </w:r>
      <w:bookmarkEnd w:id="65"/>
    </w:p>
    <w:p w:rsidR="00CB4623" w:rsidRDefault="008D1291" w:rsidP="00E23127">
      <w:pPr>
        <w:rPr>
          <w:b/>
          <w:i/>
        </w:rPr>
      </w:pPr>
      <w:r>
        <w:rPr>
          <w:b/>
          <w:i/>
          <w:noProof/>
          <w:lang w:val="en-AU" w:eastAsia="en-AU"/>
        </w:rPr>
        <w:drawing>
          <wp:inline distT="0" distB="0" distL="0" distR="0" wp14:anchorId="1761EE8F" wp14:editId="2309A49D">
            <wp:extent cx="5581291" cy="4235570"/>
            <wp:effectExtent l="0" t="0" r="63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81650" cy="4235842"/>
                    </a:xfrm>
                    <a:prstGeom prst="rect">
                      <a:avLst/>
                    </a:prstGeom>
                    <a:noFill/>
                  </pic:spPr>
                </pic:pic>
              </a:graphicData>
            </a:graphic>
          </wp:inline>
        </w:drawing>
      </w:r>
    </w:p>
    <w:p w:rsidR="00E23127" w:rsidRDefault="00E23127" w:rsidP="00E23127">
      <w:r w:rsidRPr="00FA7E38">
        <w:rPr>
          <w:b/>
          <w:i/>
        </w:rPr>
        <w:t>Policy Implications:</w:t>
      </w:r>
      <w:r>
        <w:t xml:space="preserve"> </w:t>
      </w:r>
    </w:p>
    <w:p w:rsidR="00305F32" w:rsidRPr="00AB70D8" w:rsidRDefault="00FA52B9" w:rsidP="004F108D">
      <w:pPr>
        <w:rPr>
          <w:color w:val="000000" w:themeColor="text1"/>
        </w:rPr>
      </w:pPr>
      <w:r w:rsidRPr="00AB70D8">
        <w:rPr>
          <w:color w:val="000000" w:themeColor="text1"/>
        </w:rPr>
        <w:t xml:space="preserve">The </w:t>
      </w:r>
      <w:r w:rsidR="000C6410" w:rsidRPr="00AB70D8">
        <w:rPr>
          <w:color w:val="000000" w:themeColor="text1"/>
        </w:rPr>
        <w:t xml:space="preserve">2011 report has found that on average, </w:t>
      </w:r>
      <w:r w:rsidR="0098613B" w:rsidRPr="00AB70D8">
        <w:rPr>
          <w:color w:val="000000" w:themeColor="text1"/>
        </w:rPr>
        <w:t xml:space="preserve">both </w:t>
      </w:r>
      <w:r w:rsidR="000C6410" w:rsidRPr="00AB70D8">
        <w:rPr>
          <w:color w:val="000000" w:themeColor="text1"/>
        </w:rPr>
        <w:t xml:space="preserve">total district budgets and </w:t>
      </w:r>
      <w:r w:rsidR="0098613B" w:rsidRPr="00AB70D8">
        <w:rPr>
          <w:color w:val="000000" w:themeColor="text1"/>
        </w:rPr>
        <w:t xml:space="preserve">their education components </w:t>
      </w:r>
      <w:r w:rsidR="000C6410" w:rsidRPr="00AB70D8">
        <w:rPr>
          <w:color w:val="000000" w:themeColor="text1"/>
        </w:rPr>
        <w:t xml:space="preserve">have shown strong annual growth in 2011. </w:t>
      </w:r>
      <w:r w:rsidR="00305F32" w:rsidRPr="00AB70D8">
        <w:rPr>
          <w:color w:val="000000" w:themeColor="text1"/>
        </w:rPr>
        <w:t xml:space="preserve">The report has also found that </w:t>
      </w:r>
      <w:r w:rsidR="0098613B" w:rsidRPr="00AB70D8">
        <w:rPr>
          <w:color w:val="000000" w:themeColor="text1"/>
        </w:rPr>
        <w:t xml:space="preserve">the average </w:t>
      </w:r>
      <w:r w:rsidR="00305F32" w:rsidRPr="00AB70D8">
        <w:rPr>
          <w:color w:val="000000" w:themeColor="text1"/>
        </w:rPr>
        <w:t xml:space="preserve">education </w:t>
      </w:r>
      <w:r w:rsidR="0098613B" w:rsidRPr="00AB70D8">
        <w:rPr>
          <w:color w:val="000000" w:themeColor="text1"/>
        </w:rPr>
        <w:t xml:space="preserve">component of district allocations </w:t>
      </w:r>
      <w:r w:rsidR="00305F32" w:rsidRPr="00AB70D8">
        <w:rPr>
          <w:color w:val="000000" w:themeColor="text1"/>
        </w:rPr>
        <w:t xml:space="preserve">grew at an even stronger rate than the total </w:t>
      </w:r>
      <w:r w:rsidR="0098613B" w:rsidRPr="00AB70D8">
        <w:rPr>
          <w:color w:val="000000" w:themeColor="text1"/>
        </w:rPr>
        <w:t xml:space="preserve">district </w:t>
      </w:r>
      <w:r w:rsidR="00305F32" w:rsidRPr="00AB70D8">
        <w:rPr>
          <w:color w:val="000000" w:themeColor="text1"/>
        </w:rPr>
        <w:t>budget</w:t>
      </w:r>
      <w:r w:rsidR="0098613B" w:rsidRPr="00AB70D8">
        <w:rPr>
          <w:color w:val="000000" w:themeColor="text1"/>
        </w:rPr>
        <w:t>.</w:t>
      </w:r>
      <w:r w:rsidR="00305F32" w:rsidRPr="00AB70D8">
        <w:rPr>
          <w:color w:val="000000" w:themeColor="text1"/>
        </w:rPr>
        <w:t xml:space="preserve"> </w:t>
      </w:r>
      <w:r w:rsidR="0098613B" w:rsidRPr="00AB70D8">
        <w:rPr>
          <w:color w:val="000000" w:themeColor="text1"/>
        </w:rPr>
        <w:t xml:space="preserve">This has resulted in the </w:t>
      </w:r>
      <w:r w:rsidR="00305F32" w:rsidRPr="00AB70D8">
        <w:rPr>
          <w:color w:val="000000" w:themeColor="text1"/>
        </w:rPr>
        <w:t xml:space="preserve">average share of </w:t>
      </w:r>
      <w:r w:rsidR="0098613B" w:rsidRPr="00AB70D8">
        <w:rPr>
          <w:color w:val="000000" w:themeColor="text1"/>
        </w:rPr>
        <w:t xml:space="preserve">district </w:t>
      </w:r>
      <w:r w:rsidR="00305F32" w:rsidRPr="00AB70D8">
        <w:rPr>
          <w:color w:val="000000" w:themeColor="text1"/>
        </w:rPr>
        <w:t xml:space="preserve">funds allocated for education </w:t>
      </w:r>
      <w:r w:rsidR="0098613B" w:rsidRPr="00AB70D8">
        <w:rPr>
          <w:color w:val="000000" w:themeColor="text1"/>
        </w:rPr>
        <w:t xml:space="preserve">increasing </w:t>
      </w:r>
      <w:r w:rsidR="00305F32" w:rsidRPr="00AB70D8">
        <w:rPr>
          <w:color w:val="000000" w:themeColor="text1"/>
        </w:rPr>
        <w:t xml:space="preserve">to 37%. </w:t>
      </w:r>
    </w:p>
    <w:p w:rsidR="0098613B" w:rsidRPr="00AB70D8" w:rsidRDefault="00305F32" w:rsidP="0098613B">
      <w:pPr>
        <w:rPr>
          <w:color w:val="000000" w:themeColor="text1"/>
        </w:rPr>
      </w:pPr>
      <w:r w:rsidRPr="00AB70D8">
        <w:rPr>
          <w:color w:val="000000" w:themeColor="text1"/>
        </w:rPr>
        <w:t xml:space="preserve">Particularly interesting </w:t>
      </w:r>
      <w:r w:rsidR="0098613B" w:rsidRPr="00AB70D8">
        <w:rPr>
          <w:color w:val="000000" w:themeColor="text1"/>
        </w:rPr>
        <w:t xml:space="preserve">is that this strong increase in district allocations for education does not include BOS money which was distributed by districts in 2011. This is important, because there was the danger that district governments might be inclined to reduce their existing financial commitments as an offset to the ‘new’ BOS money that is channeled through the districts. The net effect for schools, would have been a reduction in total available government funding. In fact, the opposite appears to have occurred, and districts increased their education spending whilst becoming responsible for BOS distribution in 2011. There is a number of explanations for this effect. One is that districts retained their commitment as a deliberate policy setting. </w:t>
      </w:r>
      <w:r w:rsidR="00AB70D8" w:rsidRPr="00AB70D8">
        <w:rPr>
          <w:color w:val="000000" w:themeColor="text1"/>
        </w:rPr>
        <w:t>Another</w:t>
      </w:r>
      <w:r w:rsidR="00AB70D8">
        <w:rPr>
          <w:color w:val="000000" w:themeColor="text1"/>
        </w:rPr>
        <w:t xml:space="preserve"> explanation</w:t>
      </w:r>
      <w:r w:rsidR="00AB70D8" w:rsidRPr="00AB70D8">
        <w:rPr>
          <w:color w:val="000000" w:themeColor="text1"/>
        </w:rPr>
        <w:t xml:space="preserve"> </w:t>
      </w:r>
      <w:r w:rsidR="0098613B" w:rsidRPr="00AB70D8">
        <w:rPr>
          <w:color w:val="000000" w:themeColor="text1"/>
        </w:rPr>
        <w:t xml:space="preserve">is that the budget formulation process which granted the strong increases to education expenditure for operational and capital spending occurred prior to the receipt of BOS money. In that sense, the impact of the district mamanegment BOS funds on total district allocation of funds may have taken a year or more to be fully felt by the sector. </w:t>
      </w:r>
      <w:r w:rsidR="00AB70D8" w:rsidRPr="00AB70D8">
        <w:rPr>
          <w:color w:val="000000" w:themeColor="text1"/>
        </w:rPr>
        <w:t xml:space="preserve">A third explanation, is that the increased </w:t>
      </w:r>
      <w:r w:rsidR="004F5453">
        <w:rPr>
          <w:color w:val="000000" w:themeColor="text1"/>
        </w:rPr>
        <w:t xml:space="preserve">salary </w:t>
      </w:r>
      <w:r w:rsidR="00AB70D8" w:rsidRPr="00AB70D8">
        <w:rPr>
          <w:color w:val="000000" w:themeColor="text1"/>
        </w:rPr>
        <w:t>allocations for education are not decided by district but by the DAU allocations made by the centre and their upward variation reflects the costs of the teacher certification process (increases in salary and allowances).</w:t>
      </w:r>
    </w:p>
    <w:p w:rsidR="00E23127" w:rsidRPr="00CB4623" w:rsidRDefault="00E23127" w:rsidP="00E23127">
      <w:r w:rsidRPr="00CB4623">
        <w:t xml:space="preserve">Districts that have high poverty rates and are persistently allocating a significantly smaller share </w:t>
      </w:r>
      <w:r w:rsidR="00CB4623" w:rsidRPr="00CB4623">
        <w:t xml:space="preserve">(less than 15%) </w:t>
      </w:r>
      <w:r w:rsidRPr="00CB4623">
        <w:t xml:space="preserve">of resources for education than the national average </w:t>
      </w:r>
      <w:r w:rsidR="008A5181">
        <w:t>in 201</w:t>
      </w:r>
      <w:r w:rsidR="00CB4623" w:rsidRPr="00CB4623">
        <w:t xml:space="preserve">1 </w:t>
      </w:r>
      <w:r w:rsidRPr="00CB4623">
        <w:t xml:space="preserve">are </w:t>
      </w:r>
      <w:r w:rsidR="00CB4623" w:rsidRPr="00CB4623">
        <w:t xml:space="preserve">found </w:t>
      </w:r>
      <w:r w:rsidR="00020A95">
        <w:t xml:space="preserve">in only two island groups - </w:t>
      </w:r>
      <w:r w:rsidR="00CB4623" w:rsidRPr="00CB4623">
        <w:t xml:space="preserve">Papua </w:t>
      </w:r>
      <w:r w:rsidR="00020A95">
        <w:t xml:space="preserve">and </w:t>
      </w:r>
      <w:r w:rsidR="00CB4623" w:rsidRPr="00CB4623">
        <w:t xml:space="preserve">Maluku. </w:t>
      </w:r>
      <w:r w:rsidRPr="00CB4623">
        <w:t>This disadvantage is likely to be compounded each year as other, wealthier districts spend higher amounts on education.</w:t>
      </w:r>
    </w:p>
    <w:p w:rsidR="00AB70D8" w:rsidRPr="00AB70D8" w:rsidRDefault="00AB70D8" w:rsidP="00AB70D8">
      <w:pPr>
        <w:rPr>
          <w:color w:val="000000" w:themeColor="text1"/>
        </w:rPr>
      </w:pPr>
      <w:r w:rsidRPr="00AB70D8">
        <w:rPr>
          <w:color w:val="000000" w:themeColor="text1"/>
        </w:rPr>
        <w:t xml:space="preserve">This report finds that updated data provided by SIKD section of MoF for the year 2010 (data for an additional 88 districts and revisions for some districts) has reversed the finding from the 2010 FPR which found an average contraction in total district budgets in 2010. This reinforces the need for data analysis to be undertaken only when a sufficient number of districts have submitted their returns to MoF and this data has been properly validated by the SIKD section. </w:t>
      </w:r>
    </w:p>
    <w:p w:rsidR="00AB70D8" w:rsidRPr="00303DDD" w:rsidRDefault="00AB70D8" w:rsidP="00E23127">
      <w:pPr>
        <w:rPr>
          <w:color w:val="FF0000"/>
        </w:rPr>
      </w:pPr>
    </w:p>
    <w:p w:rsidR="00F84255" w:rsidRPr="00D348B7" w:rsidRDefault="00F84255" w:rsidP="00F84255">
      <w:r w:rsidRPr="00D348B7">
        <w:rPr>
          <w:b/>
          <w:i/>
        </w:rPr>
        <w:t>Recommendation:</w:t>
      </w:r>
      <w:r w:rsidRPr="00D348B7">
        <w:t xml:space="preserve"> </w:t>
      </w:r>
    </w:p>
    <w:p w:rsidR="00F84255" w:rsidRPr="0081239F" w:rsidRDefault="00CB4623" w:rsidP="00F84255">
      <w:r w:rsidRPr="0081239F">
        <w:t>MOEC</w:t>
      </w:r>
      <w:r w:rsidR="00F84255" w:rsidRPr="0081239F">
        <w:t xml:space="preserve"> should consider undertaking a detailed study focused on the poorest districts </w:t>
      </w:r>
      <w:r w:rsidRPr="0081239F">
        <w:t xml:space="preserve">in Papua and Maluku </w:t>
      </w:r>
      <w:r w:rsidR="00F84255" w:rsidRPr="0081239F">
        <w:t xml:space="preserve">(poverty quintile 5 districts) to examine why some of these districts with high poverty rates are allocating significantly smaller share of resources for education than the national average. </w:t>
      </w:r>
      <w:r w:rsidRPr="0081239F">
        <w:t>The study should look for comparisons with other districts</w:t>
      </w:r>
      <w:r w:rsidR="00DC7E93" w:rsidRPr="0081239F">
        <w:t xml:space="preserve"> in these island groups</w:t>
      </w:r>
      <w:r w:rsidRPr="0081239F">
        <w:t xml:space="preserve">, to </w:t>
      </w:r>
      <w:r w:rsidR="008223EB">
        <w:t xml:space="preserve">also </w:t>
      </w:r>
      <w:r w:rsidRPr="0081239F">
        <w:t xml:space="preserve">understand why some districts </w:t>
      </w:r>
      <w:r w:rsidR="008223EB">
        <w:t xml:space="preserve">(conversely) </w:t>
      </w:r>
      <w:r w:rsidRPr="0081239F">
        <w:t xml:space="preserve">may be spending a higher proportion </w:t>
      </w:r>
      <w:r w:rsidR="00DC7E93" w:rsidRPr="0081239F">
        <w:t>of their budget on education.</w:t>
      </w:r>
    </w:p>
    <w:p w:rsidR="00F84255" w:rsidRPr="00D348B7" w:rsidRDefault="00F84255" w:rsidP="00E23127"/>
    <w:p w:rsidR="00E5738D" w:rsidRPr="003C2B30" w:rsidRDefault="00E5738D" w:rsidP="003C2B30">
      <w:pPr>
        <w:jc w:val="left"/>
        <w:rPr>
          <w:rStyle w:val="Heading3Char"/>
        </w:rPr>
      </w:pPr>
      <w:r>
        <w:br w:type="page"/>
      </w:r>
      <w:r w:rsidRPr="003C2B30">
        <w:rPr>
          <w:rStyle w:val="Heading3Char"/>
        </w:rPr>
        <w:t>KPI 7: Annual Growth in Education</w:t>
      </w:r>
      <w:r w:rsidR="00553148" w:rsidRPr="003C2B30">
        <w:rPr>
          <w:rStyle w:val="Heading3Char"/>
        </w:rPr>
        <w:t xml:space="preserve"> </w:t>
      </w:r>
      <w:r w:rsidRPr="003C2B30">
        <w:rPr>
          <w:rStyle w:val="Heading3Char"/>
        </w:rPr>
        <w:t>Spending for the Poorest Districts</w:t>
      </w:r>
    </w:p>
    <w:p w:rsidR="00164719" w:rsidRDefault="00164719" w:rsidP="00BA7FA0">
      <w:pPr>
        <w:pStyle w:val="Caption"/>
      </w:pPr>
      <w:bookmarkStart w:id="66" w:name="_Toc343595532"/>
      <w:r w:rsidRPr="00C23B0F">
        <w:t>Annual Growth in APBD Education Expenditure, 200</w:t>
      </w:r>
      <w:r w:rsidR="00B123EA">
        <w:t>7 -2011,</w:t>
      </w:r>
      <w:r>
        <w:t xml:space="preserve"> by Poverty Quintile</w:t>
      </w:r>
      <w:bookmarkEnd w:id="66"/>
    </w:p>
    <w:p w:rsidR="001415DC" w:rsidRPr="001415DC" w:rsidRDefault="008D1291" w:rsidP="001415DC">
      <w:r>
        <w:rPr>
          <w:noProof/>
          <w:lang w:val="en-AU" w:eastAsia="en-AU"/>
        </w:rPr>
        <w:drawing>
          <wp:inline distT="0" distB="0" distL="0" distR="0" wp14:anchorId="43FCEB82" wp14:editId="58E3B736">
            <wp:extent cx="5581650" cy="4476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81650" cy="4476750"/>
                    </a:xfrm>
                    <a:prstGeom prst="rect">
                      <a:avLst/>
                    </a:prstGeom>
                    <a:noFill/>
                  </pic:spPr>
                </pic:pic>
              </a:graphicData>
            </a:graphic>
          </wp:inline>
        </w:drawing>
      </w:r>
    </w:p>
    <w:p w:rsidR="00E5738D" w:rsidRDefault="00E5738D" w:rsidP="00FE57EA">
      <w:pPr>
        <w:spacing w:after="0"/>
      </w:pPr>
    </w:p>
    <w:tbl>
      <w:tblPr>
        <w:tblW w:w="0" w:type="auto"/>
        <w:jc w:val="center"/>
        <w:tblBorders>
          <w:top w:val="single" w:sz="8" w:space="0" w:color="C0504D"/>
          <w:bottom w:val="single" w:sz="8" w:space="0" w:color="C0504D"/>
        </w:tblBorders>
        <w:tblLook w:val="00A0" w:firstRow="1" w:lastRow="0" w:firstColumn="1" w:lastColumn="0" w:noHBand="0" w:noVBand="0"/>
      </w:tblPr>
      <w:tblGrid>
        <w:gridCol w:w="1931"/>
        <w:gridCol w:w="7051"/>
      </w:tblGrid>
      <w:tr w:rsidR="00E5738D" w:rsidRPr="009B04ED">
        <w:trPr>
          <w:jc w:val="center"/>
        </w:trPr>
        <w:tc>
          <w:tcPr>
            <w:tcW w:w="1951" w:type="dxa"/>
            <w:tcBorders>
              <w:top w:val="single" w:sz="8" w:space="0" w:color="C0504D"/>
              <w:bottom w:val="single" w:sz="18" w:space="0" w:color="FFFFFF"/>
            </w:tcBorders>
            <w:shd w:val="clear" w:color="auto" w:fill="F2F2F2"/>
          </w:tcPr>
          <w:p w:rsidR="00E5738D" w:rsidRPr="009B04ED" w:rsidRDefault="00E5738D" w:rsidP="00FE57EA">
            <w:pPr>
              <w:spacing w:after="6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E5738D" w:rsidRPr="009B04ED" w:rsidRDefault="009710E2" w:rsidP="00FE57EA">
            <w:pPr>
              <w:spacing w:after="60"/>
              <w:jc w:val="left"/>
              <w:rPr>
                <w:color w:val="000000"/>
              </w:rPr>
            </w:pPr>
            <w:r>
              <w:rPr>
                <w:color w:val="000000"/>
              </w:rPr>
              <w:t>Positive</w:t>
            </w:r>
          </w:p>
        </w:tc>
      </w:tr>
      <w:tr w:rsidR="00E5738D" w:rsidRPr="00601BAF">
        <w:trPr>
          <w:jc w:val="center"/>
        </w:trPr>
        <w:tc>
          <w:tcPr>
            <w:tcW w:w="1951" w:type="dxa"/>
            <w:tcBorders>
              <w:top w:val="single" w:sz="18" w:space="0" w:color="FFFFFF"/>
              <w:bottom w:val="single" w:sz="18" w:space="0" w:color="FFFFFF"/>
            </w:tcBorders>
            <w:shd w:val="clear" w:color="auto" w:fill="F2F2F2"/>
          </w:tcPr>
          <w:p w:rsidR="00E5738D" w:rsidRPr="009B04ED" w:rsidRDefault="00E5738D" w:rsidP="00FE57EA">
            <w:pPr>
              <w:spacing w:after="60"/>
              <w:jc w:val="left"/>
              <w:rPr>
                <w:b/>
                <w:bCs/>
                <w:color w:val="000000"/>
              </w:rPr>
            </w:pPr>
            <w:r w:rsidRPr="009B04ED">
              <w:rPr>
                <w:b/>
                <w:bCs/>
                <w:color w:val="000000"/>
              </w:rPr>
              <w:t>Data Quality and Availability:</w:t>
            </w:r>
          </w:p>
        </w:tc>
        <w:tc>
          <w:tcPr>
            <w:tcW w:w="7229" w:type="dxa"/>
            <w:tcBorders>
              <w:top w:val="single" w:sz="18" w:space="0" w:color="FFFFFF"/>
              <w:bottom w:val="single" w:sz="18" w:space="0" w:color="FFFFFF"/>
            </w:tcBorders>
            <w:shd w:val="clear" w:color="auto" w:fill="F2F2F2"/>
          </w:tcPr>
          <w:p w:rsidR="00E5738D" w:rsidRPr="009B04ED" w:rsidRDefault="00E5738D" w:rsidP="00FE57EA">
            <w:pPr>
              <w:spacing w:after="60"/>
              <w:jc w:val="left"/>
              <w:rPr>
                <w:color w:val="000000"/>
              </w:rPr>
            </w:pPr>
            <w:r w:rsidRPr="009B04ED">
              <w:rPr>
                <w:color w:val="000000"/>
              </w:rPr>
              <w:t>As per KPI 6</w:t>
            </w:r>
          </w:p>
        </w:tc>
      </w:tr>
      <w:tr w:rsidR="00E5738D" w:rsidRPr="00601BAF">
        <w:trPr>
          <w:jc w:val="center"/>
        </w:trPr>
        <w:tc>
          <w:tcPr>
            <w:tcW w:w="1951" w:type="dxa"/>
            <w:tcBorders>
              <w:top w:val="single" w:sz="18" w:space="0" w:color="FFFFFF"/>
              <w:bottom w:val="single" w:sz="18" w:space="0" w:color="FFFFFF"/>
            </w:tcBorders>
            <w:shd w:val="clear" w:color="auto" w:fill="F2F2F2"/>
          </w:tcPr>
          <w:p w:rsidR="00E5738D" w:rsidRPr="009B04ED" w:rsidRDefault="00E5738D" w:rsidP="00FE57EA">
            <w:pPr>
              <w:spacing w:after="60"/>
              <w:jc w:val="left"/>
              <w:rPr>
                <w:b/>
                <w:bCs/>
                <w:color w:val="000000"/>
              </w:rPr>
            </w:pPr>
            <w:r w:rsidRPr="009B04ED">
              <w:rPr>
                <w:b/>
                <w:bCs/>
                <w:color w:val="000000"/>
              </w:rPr>
              <w:t>General Comment:</w:t>
            </w:r>
          </w:p>
        </w:tc>
        <w:tc>
          <w:tcPr>
            <w:tcW w:w="7229" w:type="dxa"/>
            <w:tcBorders>
              <w:top w:val="single" w:sz="18" w:space="0" w:color="FFFFFF"/>
              <w:bottom w:val="single" w:sz="18" w:space="0" w:color="FFFFFF"/>
            </w:tcBorders>
            <w:shd w:val="clear" w:color="auto" w:fill="F2F2F2"/>
          </w:tcPr>
          <w:p w:rsidR="005C50CB" w:rsidRDefault="0023728A" w:rsidP="00FE57EA">
            <w:pPr>
              <w:spacing w:after="120"/>
              <w:jc w:val="left"/>
              <w:rPr>
                <w:color w:val="000000"/>
              </w:rPr>
            </w:pPr>
            <w:r>
              <w:rPr>
                <w:color w:val="000000"/>
              </w:rPr>
              <w:t>Poorest districts (b</w:t>
            </w:r>
            <w:r w:rsidR="009710E2">
              <w:rPr>
                <w:color w:val="000000"/>
              </w:rPr>
              <w:t xml:space="preserve">ottom quintile) recorded a staggering 40% </w:t>
            </w:r>
            <w:r w:rsidR="00C92C15">
              <w:rPr>
                <w:color w:val="000000"/>
              </w:rPr>
              <w:t xml:space="preserve">average </w:t>
            </w:r>
            <w:r w:rsidR="009710E2">
              <w:rPr>
                <w:color w:val="000000"/>
              </w:rPr>
              <w:t>annual growth in their 2011</w:t>
            </w:r>
            <w:r>
              <w:rPr>
                <w:color w:val="000000"/>
              </w:rPr>
              <w:t xml:space="preserve"> </w:t>
            </w:r>
            <w:r w:rsidR="00E20CFE">
              <w:rPr>
                <w:color w:val="000000"/>
              </w:rPr>
              <w:t>education budget</w:t>
            </w:r>
            <w:r w:rsidR="00E00266">
              <w:rPr>
                <w:color w:val="000000"/>
              </w:rPr>
              <w:t xml:space="preserve"> on the previous year</w:t>
            </w:r>
            <w:r>
              <w:rPr>
                <w:color w:val="000000"/>
              </w:rPr>
              <w:t xml:space="preserve">. This </w:t>
            </w:r>
            <w:r w:rsidR="00E20CFE">
              <w:rPr>
                <w:color w:val="000000"/>
              </w:rPr>
              <w:t xml:space="preserve">follows </w:t>
            </w:r>
            <w:r w:rsidR="00E00266">
              <w:rPr>
                <w:color w:val="000000"/>
              </w:rPr>
              <w:t xml:space="preserve">a </w:t>
            </w:r>
            <w:r w:rsidR="009710E2">
              <w:rPr>
                <w:color w:val="000000"/>
              </w:rPr>
              <w:t xml:space="preserve">contraction in 2010, and </w:t>
            </w:r>
            <w:r w:rsidR="003E5655">
              <w:rPr>
                <w:color w:val="000000"/>
              </w:rPr>
              <w:t xml:space="preserve">annual growth of </w:t>
            </w:r>
            <w:r w:rsidR="00E00266">
              <w:rPr>
                <w:color w:val="000000"/>
              </w:rPr>
              <w:t>10</w:t>
            </w:r>
            <w:r w:rsidR="00E20CFE">
              <w:rPr>
                <w:color w:val="000000"/>
              </w:rPr>
              <w:t>% an</w:t>
            </w:r>
            <w:r w:rsidR="009077A6">
              <w:rPr>
                <w:color w:val="000000"/>
              </w:rPr>
              <w:t xml:space="preserve">d </w:t>
            </w:r>
            <w:r w:rsidR="00E00266">
              <w:rPr>
                <w:color w:val="000000"/>
              </w:rPr>
              <w:t>5</w:t>
            </w:r>
            <w:r>
              <w:rPr>
                <w:color w:val="000000"/>
              </w:rPr>
              <w:t xml:space="preserve">% </w:t>
            </w:r>
            <w:r w:rsidR="00E00266">
              <w:rPr>
                <w:color w:val="000000"/>
              </w:rPr>
              <w:t>between 2007-08</w:t>
            </w:r>
            <w:r>
              <w:rPr>
                <w:color w:val="000000"/>
              </w:rPr>
              <w:t xml:space="preserve"> and </w:t>
            </w:r>
            <w:r w:rsidR="00E00266">
              <w:rPr>
                <w:color w:val="000000"/>
              </w:rPr>
              <w:t>2008-09</w:t>
            </w:r>
            <w:r w:rsidR="00E20CFE">
              <w:rPr>
                <w:color w:val="000000"/>
              </w:rPr>
              <w:t xml:space="preserve"> </w:t>
            </w:r>
            <w:r>
              <w:rPr>
                <w:color w:val="000000"/>
              </w:rPr>
              <w:t xml:space="preserve">budgets. This is a </w:t>
            </w:r>
            <w:r w:rsidR="009710E2">
              <w:rPr>
                <w:color w:val="000000"/>
              </w:rPr>
              <w:t xml:space="preserve">very </w:t>
            </w:r>
            <w:r>
              <w:rPr>
                <w:color w:val="000000"/>
              </w:rPr>
              <w:t>positive result for the poorest districts</w:t>
            </w:r>
            <w:r w:rsidR="00E20CFE">
              <w:rPr>
                <w:color w:val="000000"/>
              </w:rPr>
              <w:t xml:space="preserve"> </w:t>
            </w:r>
            <w:r w:rsidR="00E00266">
              <w:rPr>
                <w:color w:val="000000"/>
              </w:rPr>
              <w:t>as they have managed the highest average percentage increase in the education of all the poverty quintiles</w:t>
            </w:r>
            <w:r w:rsidR="005C50CB">
              <w:rPr>
                <w:color w:val="000000"/>
              </w:rPr>
              <w:t>.</w:t>
            </w:r>
          </w:p>
          <w:p w:rsidR="00E00266" w:rsidRDefault="0023728A" w:rsidP="00FE57EA">
            <w:pPr>
              <w:spacing w:after="120"/>
              <w:jc w:val="left"/>
              <w:rPr>
                <w:color w:val="000000"/>
              </w:rPr>
            </w:pPr>
            <w:r>
              <w:rPr>
                <w:color w:val="000000"/>
              </w:rPr>
              <w:t xml:space="preserve">The continued strong growth of education budgets within the poorest districts is </w:t>
            </w:r>
            <w:r w:rsidR="009710E2">
              <w:rPr>
                <w:color w:val="000000"/>
              </w:rPr>
              <w:t xml:space="preserve">far in excess of the annual inflation rate. </w:t>
            </w:r>
          </w:p>
          <w:p w:rsidR="005C50CB" w:rsidRDefault="009710E2" w:rsidP="00FE57EA">
            <w:pPr>
              <w:spacing w:after="120"/>
              <w:jc w:val="left"/>
            </w:pPr>
            <w:r>
              <w:t xml:space="preserve">Only 6 </w:t>
            </w:r>
            <w:r w:rsidR="000D6732" w:rsidRPr="00D332F6">
              <w:rPr>
                <w:b/>
              </w:rPr>
              <w:t>poorest quintile</w:t>
            </w:r>
            <w:r w:rsidR="000D6732">
              <w:t xml:space="preserve"> </w:t>
            </w:r>
            <w:r w:rsidR="005C50CB">
              <w:t xml:space="preserve">districts </w:t>
            </w:r>
            <w:r>
              <w:t xml:space="preserve">(all in Papua) </w:t>
            </w:r>
            <w:r w:rsidR="005C50CB">
              <w:t xml:space="preserve">experienced a decline in the dedicated </w:t>
            </w:r>
            <w:r>
              <w:t xml:space="preserve">2011 </w:t>
            </w:r>
            <w:r w:rsidR="000D6732">
              <w:t xml:space="preserve">district </w:t>
            </w:r>
            <w:r w:rsidR="005C50CB">
              <w:t xml:space="preserve">budget funds for education compared with the </w:t>
            </w:r>
            <w:r w:rsidR="00C92C15">
              <w:t>previous year.</w:t>
            </w:r>
            <w:r w:rsidR="000D6732">
              <w:t xml:space="preserve"> </w:t>
            </w:r>
            <w:r>
              <w:t xml:space="preserve">This compares with 2010 when 37 poorest quintile districts recorded a contraction in their education allocations compared to the previous budget year. </w:t>
            </w:r>
          </w:p>
          <w:p w:rsidR="00351CF3" w:rsidRDefault="00351CF3" w:rsidP="00FE57EA">
            <w:pPr>
              <w:spacing w:after="120"/>
              <w:jc w:val="left"/>
            </w:pPr>
            <w:r>
              <w:t xml:space="preserve">In 2011 there were only 22 districts showing a decline in the education budget compared to the previous year. </w:t>
            </w:r>
          </w:p>
          <w:p w:rsidR="00E5738D" w:rsidRPr="009B04ED" w:rsidRDefault="009710E2" w:rsidP="009710E2">
            <w:pPr>
              <w:spacing w:after="120"/>
              <w:jc w:val="left"/>
              <w:rPr>
                <w:color w:val="000000"/>
              </w:rPr>
            </w:pPr>
            <w:r>
              <w:rPr>
                <w:color w:val="000000"/>
              </w:rPr>
              <w:t>Rural districts with an average annual growth of 38% in year to year al</w:t>
            </w:r>
            <w:r w:rsidR="00351CF3">
              <w:rPr>
                <w:color w:val="000000"/>
              </w:rPr>
              <w:t>l</w:t>
            </w:r>
            <w:r>
              <w:rPr>
                <w:color w:val="000000"/>
              </w:rPr>
              <w:t>ocations grew more strongly than urban districts (29%).</w:t>
            </w:r>
            <w:r w:rsidR="00780FB8">
              <w:rPr>
                <w:color w:val="000000"/>
              </w:rPr>
              <w:t xml:space="preserve"> </w:t>
            </w:r>
          </w:p>
        </w:tc>
      </w:tr>
      <w:tr w:rsidR="00E5738D" w:rsidRPr="00601BAF">
        <w:trPr>
          <w:jc w:val="center"/>
        </w:trPr>
        <w:tc>
          <w:tcPr>
            <w:tcW w:w="1951" w:type="dxa"/>
            <w:tcBorders>
              <w:top w:val="single" w:sz="18" w:space="0" w:color="FFFFFF"/>
              <w:bottom w:val="single" w:sz="18" w:space="0" w:color="FFFFFF"/>
            </w:tcBorders>
            <w:shd w:val="clear" w:color="auto" w:fill="F2F2F2"/>
          </w:tcPr>
          <w:p w:rsidR="00E5738D" w:rsidRPr="009B04ED" w:rsidRDefault="00E5738D" w:rsidP="00FE57EA">
            <w:pPr>
              <w:spacing w:after="60"/>
              <w:jc w:val="left"/>
              <w:rPr>
                <w:b/>
                <w:bCs/>
                <w:color w:val="000000"/>
              </w:rPr>
            </w:pPr>
            <w:r w:rsidRPr="009B04ED">
              <w:rPr>
                <w:b/>
                <w:bCs/>
                <w:color w:val="000000"/>
              </w:rPr>
              <w:t>BEP Districts:</w:t>
            </w:r>
          </w:p>
        </w:tc>
        <w:tc>
          <w:tcPr>
            <w:tcW w:w="7229" w:type="dxa"/>
            <w:tcBorders>
              <w:top w:val="single" w:sz="18" w:space="0" w:color="FFFFFF"/>
              <w:bottom w:val="single" w:sz="18" w:space="0" w:color="FFFFFF"/>
            </w:tcBorders>
            <w:shd w:val="clear" w:color="auto" w:fill="F2F2F2"/>
          </w:tcPr>
          <w:p w:rsidR="00E5738D" w:rsidRPr="009B04ED" w:rsidRDefault="00E5738D" w:rsidP="00FE57EA">
            <w:pPr>
              <w:spacing w:after="120"/>
              <w:jc w:val="left"/>
              <w:rPr>
                <w:color w:val="000000"/>
              </w:rPr>
            </w:pPr>
            <w:r w:rsidRPr="009B04ED">
              <w:rPr>
                <w:color w:val="000000"/>
              </w:rPr>
              <w:t>BEP districts showed strong positive commitment to educat</w:t>
            </w:r>
            <w:r w:rsidR="009710E2">
              <w:rPr>
                <w:color w:val="000000"/>
              </w:rPr>
              <w:t>ion with 35%</w:t>
            </w:r>
            <w:r w:rsidRPr="009B04ED">
              <w:rPr>
                <w:color w:val="000000"/>
              </w:rPr>
              <w:t xml:space="preserve"> annual growth in education funds </w:t>
            </w:r>
            <w:r w:rsidR="00780FB8">
              <w:rPr>
                <w:color w:val="000000"/>
              </w:rPr>
              <w:t>in 20</w:t>
            </w:r>
            <w:r w:rsidR="009710E2">
              <w:rPr>
                <w:color w:val="000000"/>
              </w:rPr>
              <w:t>10-11.</w:t>
            </w:r>
            <w:r>
              <w:rPr>
                <w:color w:val="000000"/>
              </w:rPr>
              <w:t xml:space="preserve"> </w:t>
            </w:r>
            <w:r w:rsidR="00351CF3">
              <w:t>The best annual growth rates in education expenditures were within the poorest BEP districts which expanded their budgets by an average 42% in 2011.</w:t>
            </w:r>
          </w:p>
          <w:p w:rsidR="00E5738D" w:rsidRPr="009B04ED" w:rsidRDefault="00E5738D" w:rsidP="009710E2">
            <w:pPr>
              <w:spacing w:after="60"/>
              <w:jc w:val="left"/>
              <w:rPr>
                <w:color w:val="000000"/>
              </w:rPr>
            </w:pPr>
            <w:r w:rsidRPr="009B04ED">
              <w:rPr>
                <w:color w:val="000000"/>
              </w:rPr>
              <w:t xml:space="preserve">Non-BEP districts </w:t>
            </w:r>
            <w:r w:rsidR="00E20CFE">
              <w:rPr>
                <w:color w:val="000000"/>
              </w:rPr>
              <w:t xml:space="preserve">also </w:t>
            </w:r>
            <w:r>
              <w:rPr>
                <w:color w:val="000000"/>
              </w:rPr>
              <w:t xml:space="preserve">displayed </w:t>
            </w:r>
            <w:r w:rsidR="00D348B7">
              <w:rPr>
                <w:color w:val="000000"/>
              </w:rPr>
              <w:t xml:space="preserve">solid </w:t>
            </w:r>
            <w:r>
              <w:rPr>
                <w:color w:val="000000"/>
              </w:rPr>
              <w:t xml:space="preserve">growth in their education expenditures </w:t>
            </w:r>
            <w:r w:rsidR="009710E2">
              <w:rPr>
                <w:color w:val="000000"/>
              </w:rPr>
              <w:t>in 2010-11 (36</w:t>
            </w:r>
            <w:r w:rsidR="005C50CB">
              <w:rPr>
                <w:color w:val="000000"/>
              </w:rPr>
              <w:t xml:space="preserve">%) </w:t>
            </w:r>
          </w:p>
        </w:tc>
      </w:tr>
      <w:tr w:rsidR="00E5738D" w:rsidRPr="00601BAF">
        <w:trPr>
          <w:jc w:val="center"/>
        </w:trPr>
        <w:tc>
          <w:tcPr>
            <w:tcW w:w="1951" w:type="dxa"/>
            <w:tcBorders>
              <w:top w:val="single" w:sz="18" w:space="0" w:color="FFFFFF"/>
              <w:bottom w:val="single" w:sz="8" w:space="0" w:color="C0504D"/>
            </w:tcBorders>
            <w:shd w:val="clear" w:color="auto" w:fill="F2F2F2"/>
          </w:tcPr>
          <w:p w:rsidR="00E5738D" w:rsidRPr="009B04ED" w:rsidRDefault="00E5738D" w:rsidP="00FE57EA">
            <w:pPr>
              <w:spacing w:after="60"/>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E5738D" w:rsidRPr="009B04ED" w:rsidRDefault="00E5738D" w:rsidP="00E20CFE">
            <w:pPr>
              <w:spacing w:after="60"/>
              <w:jc w:val="left"/>
              <w:rPr>
                <w:color w:val="000000"/>
              </w:rPr>
            </w:pPr>
            <w:r>
              <w:rPr>
                <w:color w:val="000000"/>
              </w:rPr>
              <w:t xml:space="preserve">Trend series </w:t>
            </w:r>
            <w:r w:rsidR="00E20CFE">
              <w:rPr>
                <w:color w:val="000000"/>
              </w:rPr>
              <w:t xml:space="preserve">can be updated beyond </w:t>
            </w:r>
            <w:r w:rsidR="009710E2">
              <w:rPr>
                <w:color w:val="000000"/>
              </w:rPr>
              <w:t>2010-11</w:t>
            </w:r>
            <w:r>
              <w:rPr>
                <w:color w:val="000000"/>
              </w:rPr>
              <w:t>.</w:t>
            </w:r>
          </w:p>
        </w:tc>
      </w:tr>
    </w:tbl>
    <w:p w:rsidR="00E5738D" w:rsidRDefault="00E5738D" w:rsidP="0059758C">
      <w:pPr>
        <w:spacing w:after="0"/>
        <w:rPr>
          <w:b/>
          <w:i/>
        </w:rPr>
      </w:pPr>
    </w:p>
    <w:p w:rsidR="00512CD9" w:rsidRDefault="00512CD9" w:rsidP="00512CD9">
      <w:pPr>
        <w:spacing w:after="0"/>
        <w:rPr>
          <w:b/>
          <w:i/>
        </w:rPr>
      </w:pPr>
    </w:p>
    <w:p w:rsidR="00512CD9" w:rsidRDefault="00512CD9" w:rsidP="00512CD9">
      <w:r>
        <w:t xml:space="preserve">The average </w:t>
      </w:r>
      <w:r w:rsidR="00772886">
        <w:t xml:space="preserve">annual </w:t>
      </w:r>
      <w:r>
        <w:t>growth rate of district educati</w:t>
      </w:r>
      <w:r w:rsidR="00763A2A">
        <w:t xml:space="preserve">on budgets </w:t>
      </w:r>
      <w:r w:rsidR="00772886">
        <w:t>in 2011</w:t>
      </w:r>
      <w:r w:rsidR="00763A2A">
        <w:t xml:space="preserve"> </w:t>
      </w:r>
      <w:r w:rsidR="00772886">
        <w:t xml:space="preserve">was </w:t>
      </w:r>
      <w:r w:rsidR="00DC7E93">
        <w:t xml:space="preserve">a </w:t>
      </w:r>
      <w:r w:rsidR="00772886">
        <w:t>remarkable 36%. This does come on the back of a very poor 2010 when annual growth was below inflation at 0.2%. The strongest growth was shown by the rural districts which had annual growth of 38% compared with a 29% annual growth of urban districts.</w:t>
      </w:r>
      <w:r>
        <w:t xml:space="preserve"> </w:t>
      </w:r>
    </w:p>
    <w:p w:rsidR="00512CD9" w:rsidRDefault="00512CD9" w:rsidP="00BA7FA0">
      <w:pPr>
        <w:pStyle w:val="Caption"/>
      </w:pPr>
      <w:bookmarkStart w:id="67" w:name="_Toc343595533"/>
      <w:r w:rsidRPr="006511D5">
        <w:t xml:space="preserve">Annual Growth in </w:t>
      </w:r>
      <w:r>
        <w:t>District Educat</w:t>
      </w:r>
      <w:r w:rsidR="006A5D53">
        <w:t>ion Expenditure, (APBD 2007-2011</w:t>
      </w:r>
      <w:r>
        <w:t>)</w:t>
      </w:r>
      <w:bookmarkEnd w:id="67"/>
      <w:r>
        <w:t xml:space="preserve"> </w:t>
      </w:r>
    </w:p>
    <w:p w:rsidR="00512CD9" w:rsidRPr="001415DC" w:rsidRDefault="008D1291" w:rsidP="00512CD9">
      <w:r>
        <w:rPr>
          <w:noProof/>
          <w:lang w:val="en-AU" w:eastAsia="en-AU"/>
        </w:rPr>
        <w:drawing>
          <wp:inline distT="0" distB="0" distL="0" distR="0" wp14:anchorId="32F87C6B" wp14:editId="01C9DAA2">
            <wp:extent cx="5565842" cy="347644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81650" cy="3486319"/>
                    </a:xfrm>
                    <a:prstGeom prst="rect">
                      <a:avLst/>
                    </a:prstGeom>
                    <a:noFill/>
                  </pic:spPr>
                </pic:pic>
              </a:graphicData>
            </a:graphic>
          </wp:inline>
        </w:drawing>
      </w:r>
    </w:p>
    <w:p w:rsidR="000D6732" w:rsidRDefault="00B263F8" w:rsidP="00836083">
      <w:r>
        <w:t xml:space="preserve">In 2011, only 6 of the poorest districts experienced a contraction in their education expenditure (not accounting for inflation) compared to the previous district annual budget. This is a big improvement </w:t>
      </w:r>
      <w:r w:rsidR="00D469D5">
        <w:t xml:space="preserve">on the previous year when </w:t>
      </w:r>
      <w:r>
        <w:t xml:space="preserve">37 poorest quintile districts experienced a decline in the dedicated 2010 district budget funds for education </w:t>
      </w:r>
      <w:r w:rsidR="00D469D5">
        <w:t>(</w:t>
      </w:r>
      <w:r>
        <w:t>compared with the 2009 district budget allocations</w:t>
      </w:r>
      <w:r w:rsidR="00D469D5">
        <w:t>)</w:t>
      </w:r>
      <w:r>
        <w:t>.</w:t>
      </w:r>
    </w:p>
    <w:p w:rsidR="005312F3" w:rsidRDefault="005312F3" w:rsidP="000D6732">
      <w:pPr>
        <w:spacing w:after="120"/>
        <w:jc w:val="left"/>
        <w:rPr>
          <w:color w:val="000000"/>
        </w:rPr>
      </w:pPr>
    </w:p>
    <w:p w:rsidR="00633B1B" w:rsidRDefault="00633B1B" w:rsidP="00BA7FA0">
      <w:pPr>
        <w:pStyle w:val="Caption"/>
      </w:pPr>
      <w:bookmarkStart w:id="68" w:name="_Toc343595534"/>
      <w:r>
        <w:t>Poorest Districts (Quintile 5)</w:t>
      </w:r>
      <w:r w:rsidR="00563FD4">
        <w:t>,</w:t>
      </w:r>
      <w:r>
        <w:t xml:space="preserve"> Negative </w:t>
      </w:r>
      <w:r w:rsidRPr="006511D5">
        <w:t xml:space="preserve">Annual Growth in </w:t>
      </w:r>
      <w:r>
        <w:t>Educat</w:t>
      </w:r>
      <w:r w:rsidR="00952574">
        <w:t>ion Expenditure, (APBD 2009-2011</w:t>
      </w:r>
      <w:r>
        <w:t>)</w:t>
      </w:r>
      <w:bookmarkEnd w:id="68"/>
      <w:r>
        <w:t xml:space="preserve"> </w:t>
      </w:r>
    </w:p>
    <w:p w:rsidR="00633B1B" w:rsidRDefault="008D1291" w:rsidP="0059758C">
      <w:pPr>
        <w:spacing w:after="0"/>
        <w:rPr>
          <w:b/>
          <w:i/>
        </w:rPr>
      </w:pPr>
      <w:r>
        <w:rPr>
          <w:b/>
          <w:i/>
          <w:noProof/>
          <w:lang w:val="en-AU" w:eastAsia="en-AU"/>
        </w:rPr>
        <w:drawing>
          <wp:inline distT="0" distB="0" distL="0" distR="0" wp14:anchorId="37D53073" wp14:editId="08B07D15">
            <wp:extent cx="5598543" cy="4744528"/>
            <wp:effectExtent l="0" t="0" r="254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00700" cy="4746356"/>
                    </a:xfrm>
                    <a:prstGeom prst="rect">
                      <a:avLst/>
                    </a:prstGeom>
                    <a:noFill/>
                  </pic:spPr>
                </pic:pic>
              </a:graphicData>
            </a:graphic>
          </wp:inline>
        </w:drawing>
      </w:r>
    </w:p>
    <w:p w:rsidR="00952574" w:rsidRDefault="00952574" w:rsidP="00C63CB3">
      <w:r>
        <w:t>BEP districts had a strong growth in education expenditures with a national average of 35% that was only marginally be</w:t>
      </w:r>
      <w:r w:rsidR="00DC7E93">
        <w:t>l</w:t>
      </w:r>
      <w:r>
        <w:t>ow the national average of 36% growth.</w:t>
      </w:r>
    </w:p>
    <w:p w:rsidR="00952574" w:rsidRDefault="00952574" w:rsidP="00BA7FA0">
      <w:pPr>
        <w:pStyle w:val="Caption"/>
      </w:pPr>
      <w:r>
        <w:t xml:space="preserve"> </w:t>
      </w:r>
      <w:bookmarkStart w:id="69" w:name="_Toc343595535"/>
      <w:r w:rsidRPr="00C23B0F">
        <w:t xml:space="preserve">BEP </w:t>
      </w:r>
      <w:r>
        <w:t xml:space="preserve">and Non-BEP Districts - </w:t>
      </w:r>
      <w:r w:rsidRPr="006511D5">
        <w:t xml:space="preserve">Annual Growth in </w:t>
      </w:r>
      <w:r>
        <w:t>District Education Expenditure, (APBD 2007-2011)</w:t>
      </w:r>
      <w:bookmarkEnd w:id="69"/>
      <w:r>
        <w:t xml:space="preserve"> </w:t>
      </w:r>
    </w:p>
    <w:p w:rsidR="00952574" w:rsidRDefault="008D1291" w:rsidP="00C63CB3">
      <w:r>
        <w:rPr>
          <w:noProof/>
          <w:lang w:val="en-AU" w:eastAsia="en-AU"/>
        </w:rPr>
        <w:drawing>
          <wp:inline distT="0" distB="0" distL="0" distR="0" wp14:anchorId="75BB35D0" wp14:editId="2A0C6CB1">
            <wp:extent cx="5571460" cy="3466214"/>
            <wp:effectExtent l="0" t="0" r="0" b="127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81650" cy="3472554"/>
                    </a:xfrm>
                    <a:prstGeom prst="rect">
                      <a:avLst/>
                    </a:prstGeom>
                    <a:noFill/>
                  </pic:spPr>
                </pic:pic>
              </a:graphicData>
            </a:graphic>
          </wp:inline>
        </w:drawing>
      </w:r>
    </w:p>
    <w:p w:rsidR="005312F3" w:rsidRDefault="00D469D5" w:rsidP="005312F3">
      <w:r>
        <w:t xml:space="preserve">In 2011, </w:t>
      </w:r>
      <w:r w:rsidR="00C63CB3">
        <w:t xml:space="preserve">BEP districts </w:t>
      </w:r>
      <w:r>
        <w:t xml:space="preserve">within all poverty quintiles showed strong annual </w:t>
      </w:r>
      <w:r w:rsidR="00512CD9">
        <w:t xml:space="preserve">growth </w:t>
      </w:r>
      <w:r w:rsidR="00952574">
        <w:t xml:space="preserve">in </w:t>
      </w:r>
      <w:r w:rsidR="00512CD9">
        <w:t>education expendi</w:t>
      </w:r>
      <w:r w:rsidR="00952574">
        <w:t>ture</w:t>
      </w:r>
      <w:r w:rsidR="00512CD9">
        <w:t xml:space="preserve">. </w:t>
      </w:r>
      <w:r>
        <w:t xml:space="preserve">The best </w:t>
      </w:r>
      <w:r w:rsidR="00C63CB3">
        <w:t xml:space="preserve">annual growth rates in education expenditures were within the poorest </w:t>
      </w:r>
      <w:r w:rsidR="00351CF3">
        <w:t xml:space="preserve">BEP </w:t>
      </w:r>
      <w:r w:rsidR="00C63CB3">
        <w:t>districts wh</w:t>
      </w:r>
      <w:r w:rsidR="005312F3">
        <w:t xml:space="preserve">ich expanded their budgets by </w:t>
      </w:r>
      <w:r w:rsidR="00EA09A4">
        <w:t xml:space="preserve">an average </w:t>
      </w:r>
      <w:r>
        <w:t>42% in 2011</w:t>
      </w:r>
      <w:r w:rsidR="00C63CB3">
        <w:t>. This was</w:t>
      </w:r>
      <w:r w:rsidR="005312F3">
        <w:t xml:space="preserve"> considerably higher than the 3</w:t>
      </w:r>
      <w:r>
        <w:t>6</w:t>
      </w:r>
      <w:r w:rsidR="00C63CB3">
        <w:t xml:space="preserve">% national average growth rate. </w:t>
      </w:r>
      <w:r w:rsidR="00952574">
        <w:t xml:space="preserve">The </w:t>
      </w:r>
      <w:r w:rsidR="00181064">
        <w:t xml:space="preserve">2011 annual </w:t>
      </w:r>
      <w:r w:rsidR="00952574">
        <w:t>growth rates</w:t>
      </w:r>
      <w:r w:rsidR="00181064">
        <w:t xml:space="preserve"> in district education spending </w:t>
      </w:r>
      <w:r w:rsidR="00952574">
        <w:t>were strong across all BEP poverty quintiles.</w:t>
      </w:r>
      <w:r w:rsidR="005312F3">
        <w:t xml:space="preserve"> </w:t>
      </w:r>
    </w:p>
    <w:p w:rsidR="00780FB8" w:rsidRDefault="00780FB8" w:rsidP="00BA7FA0">
      <w:pPr>
        <w:pStyle w:val="Caption"/>
      </w:pPr>
      <w:bookmarkStart w:id="70" w:name="_Toc343595536"/>
      <w:r w:rsidRPr="00C23B0F">
        <w:t xml:space="preserve">BEP </w:t>
      </w:r>
      <w:r>
        <w:t xml:space="preserve">Districts Only - </w:t>
      </w:r>
      <w:r w:rsidRPr="006511D5">
        <w:t xml:space="preserve">Annual Growth in </w:t>
      </w:r>
      <w:r>
        <w:t>District Educat</w:t>
      </w:r>
      <w:r w:rsidR="00952574">
        <w:t>ion Expenditure, (APBD 2007-2011</w:t>
      </w:r>
      <w:r>
        <w:t>)</w:t>
      </w:r>
      <w:bookmarkEnd w:id="70"/>
      <w:r>
        <w:t xml:space="preserve"> </w:t>
      </w:r>
    </w:p>
    <w:p w:rsidR="00972DDF" w:rsidRPr="00972DDF" w:rsidRDefault="008D1291" w:rsidP="00972DDF">
      <w:r>
        <w:rPr>
          <w:noProof/>
          <w:lang w:val="en-AU" w:eastAsia="en-AU"/>
        </w:rPr>
        <w:drawing>
          <wp:inline distT="0" distB="0" distL="0" distR="0" wp14:anchorId="39B28D01" wp14:editId="11D83CE0">
            <wp:extent cx="5546785" cy="3347049"/>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43550" cy="3345097"/>
                    </a:xfrm>
                    <a:prstGeom prst="rect">
                      <a:avLst/>
                    </a:prstGeom>
                    <a:noFill/>
                  </pic:spPr>
                </pic:pic>
              </a:graphicData>
            </a:graphic>
          </wp:inline>
        </w:drawing>
      </w:r>
    </w:p>
    <w:p w:rsidR="00836083" w:rsidRDefault="0060747F" w:rsidP="00836083">
      <w:r>
        <w:t xml:space="preserve">In 2011 there </w:t>
      </w:r>
      <w:r w:rsidR="0034549A">
        <w:t xml:space="preserve">were </w:t>
      </w:r>
      <w:r w:rsidR="00460133">
        <w:t>only 22</w:t>
      </w:r>
      <w:r>
        <w:t xml:space="preserve"> districts </w:t>
      </w:r>
      <w:r w:rsidR="00D4182E">
        <w:t xml:space="preserve">showing a decline in the education budget compared to the previous year. </w:t>
      </w:r>
      <w:r w:rsidR="0068326A">
        <w:t xml:space="preserve">This is a big improvement from </w:t>
      </w:r>
      <w:r w:rsidR="00460133">
        <w:t xml:space="preserve">the updated figures for </w:t>
      </w:r>
      <w:r w:rsidR="0068326A">
        <w:t xml:space="preserve">2010, </w:t>
      </w:r>
      <w:r w:rsidR="0034549A">
        <w:t>which had</w:t>
      </w:r>
      <w:r w:rsidR="00A373A7">
        <w:t xml:space="preserve"> 216</w:t>
      </w:r>
      <w:r w:rsidR="00460133">
        <w:t xml:space="preserve"> districts </w:t>
      </w:r>
      <w:r w:rsidR="0034549A">
        <w:t>experiencing</w:t>
      </w:r>
      <w:r w:rsidR="00836083">
        <w:t xml:space="preserve"> a decline in annual education budget allocation</w:t>
      </w:r>
      <w:r w:rsidR="00460133">
        <w:t>.</w:t>
      </w:r>
      <w:r w:rsidR="00836083">
        <w:t xml:space="preserve"> </w:t>
      </w:r>
      <w:r w:rsidR="00A373A7">
        <w:t>This translated</w:t>
      </w:r>
      <w:r w:rsidR="00460133">
        <w:t xml:space="preserve"> to </w:t>
      </w:r>
      <w:r w:rsidR="00A373A7">
        <w:t xml:space="preserve">more than 40% of </w:t>
      </w:r>
      <w:r w:rsidR="00460133">
        <w:t xml:space="preserve">districts showing a decline in </w:t>
      </w:r>
      <w:r w:rsidR="0034549A">
        <w:t xml:space="preserve">budget commitment towards </w:t>
      </w:r>
      <w:r w:rsidR="00460133">
        <w:t>education</w:t>
      </w:r>
      <w:r w:rsidR="0034549A">
        <w:t>.</w:t>
      </w:r>
      <w:r w:rsidR="00460133">
        <w:t xml:space="preserve"> </w:t>
      </w:r>
      <w:r w:rsidR="00A373A7">
        <w:t xml:space="preserve">The year 2011 has seen a more consistently positive financial </w:t>
      </w:r>
      <w:r w:rsidR="0034549A">
        <w:t xml:space="preserve">commitment from districts </w:t>
      </w:r>
      <w:r w:rsidR="00FF5427">
        <w:t>towards education, with less than 5%</w:t>
      </w:r>
      <w:r w:rsidR="0034549A">
        <w:t xml:space="preserve"> decreasing their allocations towards education.</w:t>
      </w:r>
    </w:p>
    <w:p w:rsidR="008A7D08" w:rsidRDefault="006A1B67" w:rsidP="00BA7FA0">
      <w:pPr>
        <w:pStyle w:val="Caption"/>
      </w:pPr>
      <w:bookmarkStart w:id="71" w:name="_Toc343595537"/>
      <w:r>
        <w:t xml:space="preserve">Number of </w:t>
      </w:r>
      <w:r w:rsidR="008A7D08" w:rsidRPr="00DA375B">
        <w:t xml:space="preserve">Districts, </w:t>
      </w:r>
      <w:r w:rsidR="008A7D08">
        <w:t xml:space="preserve">with Negative </w:t>
      </w:r>
      <w:r w:rsidR="008A7D08" w:rsidRPr="00DA375B">
        <w:t xml:space="preserve">Annual Growth in </w:t>
      </w:r>
      <w:r w:rsidR="0034549A" w:rsidRPr="00DA375B">
        <w:t>AP</w:t>
      </w:r>
      <w:r w:rsidR="0034549A">
        <w:t>BD Education Expenditure (2007</w:t>
      </w:r>
      <w:r w:rsidR="0060747F">
        <w:t>-2011</w:t>
      </w:r>
      <w:r w:rsidR="0034549A">
        <w:t>)</w:t>
      </w:r>
      <w:bookmarkEnd w:id="71"/>
      <w:r w:rsidR="00E31D92">
        <w:t xml:space="preserve"> </w:t>
      </w:r>
    </w:p>
    <w:p w:rsidR="008A7D08" w:rsidRDefault="008D1291" w:rsidP="00780FB8">
      <w:pPr>
        <w:spacing w:after="0" w:line="240" w:lineRule="auto"/>
        <w:jc w:val="left"/>
      </w:pPr>
      <w:r>
        <w:rPr>
          <w:noProof/>
          <w:lang w:val="en-AU" w:eastAsia="en-AU"/>
        </w:rPr>
        <w:drawing>
          <wp:inline distT="0" distB="0" distL="0" distR="0" wp14:anchorId="2FA42B3A" wp14:editId="481B1F58">
            <wp:extent cx="5572664" cy="2725947"/>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81650" cy="2730343"/>
                    </a:xfrm>
                    <a:prstGeom prst="rect">
                      <a:avLst/>
                    </a:prstGeom>
                    <a:noFill/>
                  </pic:spPr>
                </pic:pic>
              </a:graphicData>
            </a:graphic>
          </wp:inline>
        </w:drawing>
      </w:r>
    </w:p>
    <w:p w:rsidR="00AD7C07" w:rsidRDefault="00EA09A4" w:rsidP="00780FB8">
      <w:pPr>
        <w:spacing w:after="0" w:line="240" w:lineRule="auto"/>
        <w:jc w:val="left"/>
      </w:pPr>
      <w:r>
        <w:t xml:space="preserve">Poverty quintile analysis of </w:t>
      </w:r>
      <w:r w:rsidR="00DC7E93">
        <w:t>districts with declining</w:t>
      </w:r>
      <w:r>
        <w:t xml:space="preserve"> education budget allocations </w:t>
      </w:r>
      <w:r w:rsidR="00FF5427">
        <w:t xml:space="preserve">in 2011 </w:t>
      </w:r>
      <w:r>
        <w:t>shows them to be distributed across all quintiles</w:t>
      </w:r>
      <w:r w:rsidR="00FF5427">
        <w:t xml:space="preserve"> although 6 of the 19 are from the poorest quintile.</w:t>
      </w:r>
      <w:r>
        <w:t xml:space="preserve"> </w:t>
      </w:r>
    </w:p>
    <w:p w:rsidR="008A7D08" w:rsidRDefault="008A7D08" w:rsidP="00BA7FA0">
      <w:pPr>
        <w:pStyle w:val="Caption"/>
      </w:pPr>
      <w:bookmarkStart w:id="72" w:name="_Toc343595538"/>
      <w:r>
        <w:t xml:space="preserve">Total Number of </w:t>
      </w:r>
      <w:r w:rsidRPr="00DA375B">
        <w:t xml:space="preserve">Districts, </w:t>
      </w:r>
      <w:r>
        <w:t xml:space="preserve">with Negative </w:t>
      </w:r>
      <w:r w:rsidRPr="00DA375B">
        <w:t>Annual Growth in APBD Education Expenditure, 2007 -20</w:t>
      </w:r>
      <w:r>
        <w:t>1</w:t>
      </w:r>
      <w:r w:rsidR="0034549A">
        <w:t>1</w:t>
      </w:r>
      <w:bookmarkEnd w:id="72"/>
    </w:p>
    <w:p w:rsidR="00AD7C07" w:rsidRDefault="008D1291" w:rsidP="00780FB8">
      <w:pPr>
        <w:spacing w:after="0" w:line="240" w:lineRule="auto"/>
        <w:jc w:val="left"/>
      </w:pPr>
      <w:r>
        <w:rPr>
          <w:noProof/>
          <w:lang w:val="en-AU" w:eastAsia="en-AU"/>
        </w:rPr>
        <w:drawing>
          <wp:inline distT="0" distB="0" distL="0" distR="0" wp14:anchorId="538E538D" wp14:editId="1628273C">
            <wp:extent cx="5579663" cy="3588589"/>
            <wp:effectExtent l="0" t="0" r="254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650" cy="3589867"/>
                    </a:xfrm>
                    <a:prstGeom prst="rect">
                      <a:avLst/>
                    </a:prstGeom>
                    <a:noFill/>
                  </pic:spPr>
                </pic:pic>
              </a:graphicData>
            </a:graphic>
          </wp:inline>
        </w:drawing>
      </w:r>
    </w:p>
    <w:p w:rsidR="00AD7C07" w:rsidRDefault="00AD7C07" w:rsidP="00780FB8">
      <w:pPr>
        <w:spacing w:after="0" w:line="240" w:lineRule="auto"/>
        <w:jc w:val="left"/>
      </w:pPr>
    </w:p>
    <w:p w:rsidR="002459F7" w:rsidRDefault="002459F7" w:rsidP="00780FB8">
      <w:pPr>
        <w:spacing w:after="0" w:line="240" w:lineRule="auto"/>
        <w:jc w:val="left"/>
      </w:pPr>
    </w:p>
    <w:p w:rsidR="00AD7C07" w:rsidRDefault="00EA09A4" w:rsidP="00780FB8">
      <w:pPr>
        <w:spacing w:after="0" w:line="240" w:lineRule="auto"/>
        <w:jc w:val="left"/>
      </w:pPr>
      <w:r>
        <w:t>The BEP districts with negative annual growth in district expenditure are shown in the figure below.</w:t>
      </w:r>
    </w:p>
    <w:p w:rsidR="00AD7C07" w:rsidRDefault="00AD7C07" w:rsidP="00780FB8">
      <w:pPr>
        <w:spacing w:after="0" w:line="240" w:lineRule="auto"/>
        <w:jc w:val="left"/>
      </w:pPr>
    </w:p>
    <w:p w:rsidR="003E5655" w:rsidRDefault="00351CF3" w:rsidP="003E5655">
      <w:pPr>
        <w:spacing w:after="120"/>
        <w:rPr>
          <w:color w:val="000000"/>
        </w:rPr>
      </w:pPr>
      <w:r w:rsidRPr="00FA7E38">
        <w:rPr>
          <w:b/>
          <w:i/>
        </w:rPr>
        <w:t>Policy Implications</w:t>
      </w:r>
      <w:r>
        <w:rPr>
          <w:b/>
          <w:i/>
        </w:rPr>
        <w:t xml:space="preserve">: </w:t>
      </w:r>
      <w:r w:rsidR="003E5655" w:rsidRPr="003E5655">
        <w:rPr>
          <w:color w:val="000000"/>
        </w:rPr>
        <w:t>A</w:t>
      </w:r>
      <w:r w:rsidR="003E5655">
        <w:rPr>
          <w:color w:val="000000"/>
        </w:rPr>
        <w:t xml:space="preserve"> very positive result for the poorest districts which have the highest average percentage increase in budget allocations for education of all the poverty quintiles. Their growth of education budgets is far in excess of the annual inflation rate. Across the country in 2011, this meant </w:t>
      </w:r>
      <w:r w:rsidR="003E5655">
        <w:t xml:space="preserve">there were only 22 districts showing a decline in the education budget compared to the previous year. </w:t>
      </w:r>
      <w:r w:rsidR="003E5655">
        <w:rPr>
          <w:color w:val="000000"/>
        </w:rPr>
        <w:t xml:space="preserve"> </w:t>
      </w:r>
    </w:p>
    <w:p w:rsidR="003E5655" w:rsidRDefault="003E5655" w:rsidP="003E5655">
      <w:pPr>
        <w:spacing w:after="120"/>
      </w:pPr>
      <w:r>
        <w:t xml:space="preserve">Looking specifically at the poorest quintile districts in 2011, the problem of contracting education budgets was confined to Papua. Six (6) </w:t>
      </w:r>
      <w:r w:rsidRPr="003E5655">
        <w:t>poorest quintile</w:t>
      </w:r>
      <w:r>
        <w:t xml:space="preserve"> districts of Papua experienced a decline in the dedicated 2011 district budget funds for education compared with the 2010 district budget allocations. This compares with 2010 when 37 poorest quintile districts recorded a contraction in their education allocations compared to the previous budget year. </w:t>
      </w:r>
    </w:p>
    <w:p w:rsidR="00A57B36" w:rsidRDefault="00351CF3" w:rsidP="00351CF3">
      <w:pPr>
        <w:rPr>
          <w:b/>
          <w:i/>
        </w:rPr>
      </w:pPr>
      <w:r>
        <w:rPr>
          <w:b/>
          <w:i/>
        </w:rPr>
        <w:t xml:space="preserve">Recommendation: </w:t>
      </w:r>
    </w:p>
    <w:p w:rsidR="00351CF3" w:rsidRPr="00FF5427" w:rsidRDefault="00A57B36" w:rsidP="00351CF3">
      <w:pPr>
        <w:rPr>
          <w:color w:val="FF0000"/>
        </w:rPr>
      </w:pPr>
      <w:r w:rsidRPr="00A57B36">
        <w:t xml:space="preserve">Undertake a short research project involving meetings with education officials of a targeted group of districts to </w:t>
      </w:r>
      <w:r w:rsidR="0008640F">
        <w:t xml:space="preserve">explore </w:t>
      </w:r>
      <w:r>
        <w:t xml:space="preserve">(i) </w:t>
      </w:r>
      <w:r w:rsidRPr="00A57B36">
        <w:t>what has driven the strong increase in education spending of districts across the countr</w:t>
      </w:r>
      <w:r>
        <w:t>y, and (ii) what factors have been involved in those 22 districts which have reduced their education allocations in 2011.</w:t>
      </w:r>
    </w:p>
    <w:p w:rsidR="00FF5427" w:rsidRDefault="00FF5427">
      <w:pPr>
        <w:spacing w:after="0" w:line="240" w:lineRule="auto"/>
        <w:jc w:val="left"/>
        <w:rPr>
          <w:rFonts w:ascii="Cambria" w:hAnsi="Cambria"/>
          <w:bCs/>
          <w:i/>
          <w:sz w:val="18"/>
          <w:szCs w:val="18"/>
        </w:rPr>
      </w:pPr>
      <w:r>
        <w:br w:type="page"/>
      </w:r>
    </w:p>
    <w:p w:rsidR="00632AA3" w:rsidRDefault="00632AA3" w:rsidP="00BA7FA0">
      <w:pPr>
        <w:pStyle w:val="Caption"/>
      </w:pPr>
      <w:bookmarkStart w:id="73" w:name="_Toc343595539"/>
      <w:r w:rsidRPr="00C23B0F">
        <w:t xml:space="preserve">BEP </w:t>
      </w:r>
      <w:r>
        <w:t xml:space="preserve">Districts Only – Districts with Negative </w:t>
      </w:r>
      <w:r w:rsidRPr="006511D5">
        <w:t xml:space="preserve">Annual Growth in </w:t>
      </w:r>
      <w:r>
        <w:t>District Educat</w:t>
      </w:r>
      <w:r w:rsidR="00FF5427">
        <w:t>ion Expenditure, (APBD 2009/10-2010/11</w:t>
      </w:r>
      <w:r>
        <w:t>)</w:t>
      </w:r>
      <w:bookmarkEnd w:id="73"/>
      <w:r>
        <w:t xml:space="preserve"> </w:t>
      </w:r>
    </w:p>
    <w:p w:rsidR="00780FB8" w:rsidRDefault="008D1291" w:rsidP="00780FB8">
      <w:pPr>
        <w:spacing w:after="0" w:line="240" w:lineRule="auto"/>
        <w:jc w:val="left"/>
      </w:pPr>
      <w:r>
        <w:rPr>
          <w:noProof/>
          <w:lang w:val="en-AU" w:eastAsia="en-AU"/>
        </w:rPr>
        <w:drawing>
          <wp:inline distT="0" distB="0" distL="0" distR="0" wp14:anchorId="1D75E890" wp14:editId="4F67A5E4">
            <wp:extent cx="5581290" cy="8850702"/>
            <wp:effectExtent l="19050" t="19050" r="19685" b="2667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81650" cy="8851273"/>
                    </a:xfrm>
                    <a:prstGeom prst="rect">
                      <a:avLst/>
                    </a:prstGeom>
                    <a:noFill/>
                    <a:ln>
                      <a:solidFill>
                        <a:schemeClr val="accent1"/>
                      </a:solidFill>
                    </a:ln>
                  </pic:spPr>
                </pic:pic>
              </a:graphicData>
            </a:graphic>
          </wp:inline>
        </w:drawing>
      </w:r>
    </w:p>
    <w:p w:rsidR="009658C1" w:rsidRDefault="009658C1">
      <w:pPr>
        <w:spacing w:after="0" w:line="240" w:lineRule="auto"/>
        <w:jc w:val="left"/>
        <w:rPr>
          <w:rFonts w:ascii="Cambria" w:hAnsi="Cambria"/>
          <w:b/>
          <w:i/>
          <w:color w:val="C0504D"/>
          <w:spacing w:val="5"/>
          <w:szCs w:val="24"/>
        </w:rPr>
      </w:pPr>
      <w:r>
        <w:br w:type="page"/>
      </w:r>
    </w:p>
    <w:p w:rsidR="00E5738D" w:rsidRDefault="00E5738D" w:rsidP="00024570">
      <w:pPr>
        <w:pStyle w:val="Heading3"/>
      </w:pPr>
      <w:r>
        <w:t xml:space="preserve">KPI 8: </w:t>
      </w:r>
      <w:r w:rsidRPr="00024570">
        <w:t xml:space="preserve">Average District </w:t>
      </w:r>
      <w:r>
        <w:t>Expenditure</w:t>
      </w:r>
      <w:r w:rsidR="0059299C">
        <w:t xml:space="preserve"> per </w:t>
      </w:r>
      <w:r>
        <w:t>S</w:t>
      </w:r>
      <w:r w:rsidRPr="00024570">
        <w:t>tudent</w:t>
      </w:r>
      <w:r w:rsidR="007951B0">
        <w:t xml:space="preserve"> </w:t>
      </w:r>
      <w:r w:rsidR="007951B0" w:rsidRPr="007951B0">
        <w:rPr>
          <w:highlight w:val="yellow"/>
        </w:rPr>
        <w:t xml:space="preserve"> </w:t>
      </w:r>
    </w:p>
    <w:p w:rsidR="00E5738D" w:rsidRDefault="00E5738D" w:rsidP="00BA7FA0">
      <w:pPr>
        <w:pStyle w:val="Caption"/>
      </w:pPr>
      <w:bookmarkStart w:id="74" w:name="_Toc343595540"/>
      <w:r>
        <w:t xml:space="preserve">Average </w:t>
      </w:r>
      <w:r w:rsidR="00577643">
        <w:t xml:space="preserve">District </w:t>
      </w:r>
      <w:r>
        <w:t xml:space="preserve">Education Expenditure per </w:t>
      </w:r>
      <w:r w:rsidR="00B24617">
        <w:t xml:space="preserve">all </w:t>
      </w:r>
      <w:r>
        <w:t>Student</w:t>
      </w:r>
      <w:r w:rsidR="00577643">
        <w:t>s</w:t>
      </w:r>
      <w:r>
        <w:t xml:space="preserve">, </w:t>
      </w:r>
      <w:r w:rsidR="003214E7">
        <w:t>2006-2011</w:t>
      </w:r>
      <w:r w:rsidR="00596CE2">
        <w:t xml:space="preserve"> </w:t>
      </w:r>
      <w:r>
        <w:t>(Rp</w:t>
      </w:r>
      <w:r w:rsidR="00282A2E">
        <w:t xml:space="preserve"> millions</w:t>
      </w:r>
      <w:r>
        <w:t>.)</w:t>
      </w:r>
      <w:bookmarkEnd w:id="74"/>
    </w:p>
    <w:p w:rsidR="00E5738D" w:rsidRDefault="008D1291" w:rsidP="00024570">
      <w:pPr>
        <w:spacing w:after="0"/>
      </w:pPr>
      <w:r>
        <w:rPr>
          <w:noProof/>
          <w:lang w:val="en-AU" w:eastAsia="en-AU"/>
        </w:rPr>
        <w:drawing>
          <wp:inline distT="0" distB="0" distL="0" distR="0" wp14:anchorId="565403E7" wp14:editId="70269A38">
            <wp:extent cx="5573748" cy="2897579"/>
            <wp:effectExtent l="0" t="0" r="825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81650" cy="2901687"/>
                    </a:xfrm>
                    <a:prstGeom prst="rect">
                      <a:avLst/>
                    </a:prstGeom>
                    <a:noFill/>
                  </pic:spPr>
                </pic:pic>
              </a:graphicData>
            </a:graphic>
          </wp:inline>
        </w:drawing>
      </w:r>
    </w:p>
    <w:p w:rsidR="00282A2E" w:rsidRDefault="00282A2E" w:rsidP="00024570">
      <w:pPr>
        <w:spacing w:after="0"/>
      </w:pPr>
    </w:p>
    <w:tbl>
      <w:tblPr>
        <w:tblW w:w="0" w:type="auto"/>
        <w:jc w:val="center"/>
        <w:tblBorders>
          <w:top w:val="single" w:sz="8" w:space="0" w:color="C0504D"/>
          <w:bottom w:val="single" w:sz="8" w:space="0" w:color="C0504D"/>
        </w:tblBorders>
        <w:tblLook w:val="00A0" w:firstRow="1" w:lastRow="0" w:firstColumn="1" w:lastColumn="0" w:noHBand="0" w:noVBand="0"/>
      </w:tblPr>
      <w:tblGrid>
        <w:gridCol w:w="1930"/>
        <w:gridCol w:w="7052"/>
      </w:tblGrid>
      <w:tr w:rsidR="00E5738D" w:rsidRPr="009B04ED" w:rsidTr="00C273D5">
        <w:trPr>
          <w:jc w:val="center"/>
        </w:trPr>
        <w:tc>
          <w:tcPr>
            <w:tcW w:w="1951" w:type="dxa"/>
            <w:tcBorders>
              <w:top w:val="single" w:sz="8" w:space="0" w:color="C0504D"/>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E5738D" w:rsidRPr="009B04ED" w:rsidRDefault="00A04255" w:rsidP="00C273D5">
            <w:pPr>
              <w:spacing w:after="60"/>
              <w:jc w:val="left"/>
              <w:rPr>
                <w:color w:val="000000"/>
              </w:rPr>
            </w:pPr>
            <w:r>
              <w:rPr>
                <w:color w:val="000000"/>
              </w:rPr>
              <w:t>Positive</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Data Quality and Availability:</w:t>
            </w:r>
          </w:p>
        </w:tc>
        <w:tc>
          <w:tcPr>
            <w:tcW w:w="7229" w:type="dxa"/>
            <w:tcBorders>
              <w:top w:val="single" w:sz="18" w:space="0" w:color="FFFFFF"/>
              <w:bottom w:val="single" w:sz="18" w:space="0" w:color="FFFFFF"/>
            </w:tcBorders>
            <w:shd w:val="clear" w:color="auto" w:fill="F2F2F2"/>
          </w:tcPr>
          <w:p w:rsidR="00E5738D" w:rsidRPr="009B04ED" w:rsidRDefault="009D102C" w:rsidP="009D102C">
            <w:pPr>
              <w:spacing w:after="60"/>
              <w:jc w:val="left"/>
              <w:rPr>
                <w:color w:val="000000"/>
              </w:rPr>
            </w:pPr>
            <w:r>
              <w:rPr>
                <w:color w:val="000000"/>
              </w:rPr>
              <w:t xml:space="preserve">As per KPI 6 </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General Comment:</w:t>
            </w:r>
          </w:p>
        </w:tc>
        <w:tc>
          <w:tcPr>
            <w:tcW w:w="7229" w:type="dxa"/>
            <w:tcBorders>
              <w:top w:val="single" w:sz="18" w:space="0" w:color="FFFFFF"/>
              <w:bottom w:val="single" w:sz="18" w:space="0" w:color="FFFFFF"/>
            </w:tcBorders>
            <w:shd w:val="clear" w:color="auto" w:fill="F2F2F2"/>
          </w:tcPr>
          <w:p w:rsidR="00E5738D" w:rsidRDefault="009278E9" w:rsidP="00C273D5">
            <w:pPr>
              <w:spacing w:after="60"/>
              <w:jc w:val="left"/>
              <w:rPr>
                <w:color w:val="000000"/>
              </w:rPr>
            </w:pPr>
            <w:r>
              <w:rPr>
                <w:color w:val="000000"/>
              </w:rPr>
              <w:t>A</w:t>
            </w:r>
            <w:r w:rsidR="00E5738D">
              <w:rPr>
                <w:color w:val="000000"/>
              </w:rPr>
              <w:t>verage expenditure per student a</w:t>
            </w:r>
            <w:r w:rsidR="009D102C">
              <w:rPr>
                <w:color w:val="000000"/>
              </w:rPr>
              <w:t xml:space="preserve">cross the country </w:t>
            </w:r>
            <w:r>
              <w:rPr>
                <w:color w:val="000000"/>
              </w:rPr>
              <w:t xml:space="preserve">grew </w:t>
            </w:r>
            <w:r w:rsidR="00020A95">
              <w:rPr>
                <w:color w:val="000000"/>
              </w:rPr>
              <w:t xml:space="preserve">very </w:t>
            </w:r>
            <w:r>
              <w:rPr>
                <w:color w:val="000000"/>
              </w:rPr>
              <w:t xml:space="preserve">strongly </w:t>
            </w:r>
            <w:r w:rsidR="00020A95">
              <w:rPr>
                <w:color w:val="000000"/>
              </w:rPr>
              <w:t>in 2011. This is a big change from the stalled expenditure growth that was experienced in 2010. A</w:t>
            </w:r>
            <w:r w:rsidR="00EE0CA1">
              <w:rPr>
                <w:color w:val="000000"/>
              </w:rPr>
              <w:t xml:space="preserve">verage education expenditure per student has </w:t>
            </w:r>
            <w:r w:rsidR="00020A95">
              <w:rPr>
                <w:color w:val="000000"/>
              </w:rPr>
              <w:t xml:space="preserve">grown to Rp. 2.8 million in 2011, from an average Rp. 2 million in 2010. </w:t>
            </w:r>
          </w:p>
          <w:p w:rsidR="009D102C" w:rsidRDefault="009D102C" w:rsidP="006C420C">
            <w:pPr>
              <w:spacing w:after="60"/>
              <w:jc w:val="left"/>
              <w:rPr>
                <w:color w:val="000000"/>
              </w:rPr>
            </w:pPr>
            <w:r>
              <w:rPr>
                <w:color w:val="000000"/>
              </w:rPr>
              <w:t xml:space="preserve">Average per student expenditure </w:t>
            </w:r>
            <w:r w:rsidR="00DE11BE">
              <w:rPr>
                <w:color w:val="000000"/>
              </w:rPr>
              <w:t xml:space="preserve">is now considerably </w:t>
            </w:r>
            <w:r w:rsidR="008565DD">
              <w:rPr>
                <w:color w:val="000000"/>
              </w:rPr>
              <w:t xml:space="preserve">higher </w:t>
            </w:r>
            <w:r>
              <w:rPr>
                <w:color w:val="000000"/>
              </w:rPr>
              <w:t>in rura</w:t>
            </w:r>
            <w:r w:rsidR="00DE11BE">
              <w:rPr>
                <w:color w:val="000000"/>
              </w:rPr>
              <w:t>l districts and reached Rp. 2.8 million per student in 2011</w:t>
            </w:r>
            <w:r w:rsidR="008565DD">
              <w:rPr>
                <w:color w:val="000000"/>
              </w:rPr>
              <w:t>. This c</w:t>
            </w:r>
            <w:r w:rsidR="00DE11BE">
              <w:rPr>
                <w:color w:val="000000"/>
              </w:rPr>
              <w:t>ompares with Rp. 2.4</w:t>
            </w:r>
            <w:r>
              <w:rPr>
                <w:color w:val="000000"/>
              </w:rPr>
              <w:t xml:space="preserve"> million per student in the urban areas.</w:t>
            </w:r>
          </w:p>
          <w:p w:rsidR="00E5738D" w:rsidRDefault="00745558" w:rsidP="006C420C">
            <w:pPr>
              <w:spacing w:after="60"/>
              <w:jc w:val="left"/>
              <w:rPr>
                <w:color w:val="000000"/>
              </w:rPr>
            </w:pPr>
            <w:r>
              <w:rPr>
                <w:color w:val="000000"/>
              </w:rPr>
              <w:t xml:space="preserve">Highest </w:t>
            </w:r>
            <w:r w:rsidR="00E31D92">
              <w:rPr>
                <w:color w:val="000000"/>
              </w:rPr>
              <w:t xml:space="preserve">allocations </w:t>
            </w:r>
            <w:r w:rsidR="00F36318">
              <w:rPr>
                <w:color w:val="000000"/>
              </w:rPr>
              <w:t>per student are</w:t>
            </w:r>
            <w:r w:rsidR="00E5738D">
              <w:rPr>
                <w:color w:val="000000"/>
              </w:rPr>
              <w:t xml:space="preserve"> found in the poorest dist</w:t>
            </w:r>
            <w:r w:rsidR="009D102C">
              <w:rPr>
                <w:color w:val="000000"/>
              </w:rPr>
              <w:t xml:space="preserve">ricts (quintile 5) </w:t>
            </w:r>
            <w:r w:rsidR="00E31D92">
              <w:rPr>
                <w:color w:val="000000"/>
              </w:rPr>
              <w:t xml:space="preserve">at an </w:t>
            </w:r>
            <w:r w:rsidR="00DE11BE">
              <w:rPr>
                <w:color w:val="000000"/>
              </w:rPr>
              <w:t>average Rp. 3.3</w:t>
            </w:r>
            <w:r>
              <w:rPr>
                <w:color w:val="000000"/>
              </w:rPr>
              <w:t xml:space="preserve"> </w:t>
            </w:r>
            <w:r w:rsidR="00E5738D">
              <w:rPr>
                <w:color w:val="000000"/>
              </w:rPr>
              <w:t xml:space="preserve">million per student. This compares with an average district allocation of Rp. </w:t>
            </w:r>
            <w:r w:rsidR="00DE11BE">
              <w:rPr>
                <w:color w:val="000000"/>
              </w:rPr>
              <w:t>2.5 to 2.9</w:t>
            </w:r>
            <w:r w:rsidR="00E5738D">
              <w:rPr>
                <w:color w:val="000000"/>
              </w:rPr>
              <w:t xml:space="preserve"> million </w:t>
            </w:r>
            <w:r w:rsidR="0083176F">
              <w:rPr>
                <w:color w:val="000000"/>
              </w:rPr>
              <w:t xml:space="preserve">for </w:t>
            </w:r>
            <w:r w:rsidR="00E31D92">
              <w:rPr>
                <w:color w:val="000000"/>
              </w:rPr>
              <w:t>the other poverty quintiles</w:t>
            </w:r>
            <w:r w:rsidR="00E5738D">
              <w:rPr>
                <w:color w:val="000000"/>
              </w:rPr>
              <w:t xml:space="preserve">. </w:t>
            </w:r>
          </w:p>
          <w:p w:rsidR="00E5738D" w:rsidRPr="009B04ED" w:rsidRDefault="00E5738D" w:rsidP="009278E9">
            <w:pPr>
              <w:spacing w:after="60"/>
              <w:jc w:val="left"/>
              <w:rPr>
                <w:color w:val="000000"/>
              </w:rPr>
            </w:pPr>
            <w:r>
              <w:rPr>
                <w:color w:val="000000"/>
              </w:rPr>
              <w:t xml:space="preserve">The per student allocation is greatly affected by the sparsity of population. </w:t>
            </w:r>
            <w:r w:rsidR="009278E9">
              <w:rPr>
                <w:color w:val="000000"/>
              </w:rPr>
              <w:t>M</w:t>
            </w:r>
            <w:r>
              <w:rPr>
                <w:color w:val="000000"/>
              </w:rPr>
              <w:t xml:space="preserve">ore sparsely populated districts (such as those in the eastern region and many of those in the poorest quintile districts) have higher average salary costs. This is because of </w:t>
            </w:r>
            <w:r w:rsidR="009278E9">
              <w:rPr>
                <w:color w:val="000000"/>
              </w:rPr>
              <w:t xml:space="preserve">both </w:t>
            </w:r>
            <w:r>
              <w:rPr>
                <w:color w:val="000000"/>
              </w:rPr>
              <w:t xml:space="preserve">lower student/teacher ratios and higher salary related costs associated with remote area allowances. </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BEP Districts:</w:t>
            </w:r>
          </w:p>
        </w:tc>
        <w:tc>
          <w:tcPr>
            <w:tcW w:w="7229" w:type="dxa"/>
            <w:tcBorders>
              <w:top w:val="single" w:sz="18" w:space="0" w:color="FFFFFF"/>
              <w:bottom w:val="single" w:sz="18" w:space="0" w:color="FFFFFF"/>
            </w:tcBorders>
            <w:shd w:val="clear" w:color="auto" w:fill="F2F2F2"/>
          </w:tcPr>
          <w:p w:rsidR="0083176F" w:rsidRDefault="0083176F" w:rsidP="0083176F">
            <w:pPr>
              <w:spacing w:after="60"/>
              <w:jc w:val="left"/>
              <w:rPr>
                <w:color w:val="000000"/>
              </w:rPr>
            </w:pPr>
            <w:r>
              <w:rPr>
                <w:color w:val="000000"/>
              </w:rPr>
              <w:t>In 2011, education expenditure per student in BEP districts reached Rp. 3.4 million, and continue</w:t>
            </w:r>
            <w:r w:rsidR="004F5453">
              <w:rPr>
                <w:color w:val="000000"/>
              </w:rPr>
              <w:t>d</w:t>
            </w:r>
            <w:r>
              <w:rPr>
                <w:color w:val="000000"/>
              </w:rPr>
              <w:t xml:space="preserve"> to outspend the non-BEP districts which had an average allocation of Rp. 2.7 million per student.</w:t>
            </w:r>
          </w:p>
          <w:p w:rsidR="00E31D92" w:rsidRPr="009B04ED" w:rsidRDefault="00E5738D" w:rsidP="0083176F">
            <w:pPr>
              <w:spacing w:after="60"/>
              <w:jc w:val="left"/>
              <w:rPr>
                <w:color w:val="000000"/>
              </w:rPr>
            </w:pPr>
            <w:r>
              <w:rPr>
                <w:color w:val="000000"/>
              </w:rPr>
              <w:t>BEP districts have a higher than national average per stu</w:t>
            </w:r>
            <w:r w:rsidR="0083176F">
              <w:rPr>
                <w:color w:val="000000"/>
              </w:rPr>
              <w:t>dent allocation across all six</w:t>
            </w:r>
            <w:r w:rsidR="00E31D92">
              <w:rPr>
                <w:color w:val="000000"/>
              </w:rPr>
              <w:t xml:space="preserve"> </w:t>
            </w:r>
            <w:r>
              <w:rPr>
                <w:color w:val="000000"/>
              </w:rPr>
              <w:t xml:space="preserve">years. The higher expenditure of BEP districts is </w:t>
            </w:r>
            <w:r w:rsidR="00E31D92">
              <w:rPr>
                <w:color w:val="000000"/>
              </w:rPr>
              <w:t xml:space="preserve">in part </w:t>
            </w:r>
            <w:r>
              <w:rPr>
                <w:color w:val="000000"/>
              </w:rPr>
              <w:t>related to the fact that 90% of BEP districts are located in the Eastern region of the country. Unit costs are higher in the eastern r</w:t>
            </w:r>
            <w:r w:rsidR="0083176F">
              <w:rPr>
                <w:color w:val="000000"/>
              </w:rPr>
              <w:t>egion due to sparsity factors.</w:t>
            </w:r>
          </w:p>
        </w:tc>
      </w:tr>
      <w:tr w:rsidR="00E5738D" w:rsidRPr="00601BAF" w:rsidTr="00C273D5">
        <w:trPr>
          <w:jc w:val="center"/>
        </w:trPr>
        <w:tc>
          <w:tcPr>
            <w:tcW w:w="1951" w:type="dxa"/>
            <w:tcBorders>
              <w:top w:val="single" w:sz="18" w:space="0" w:color="FFFFFF"/>
              <w:bottom w:val="single" w:sz="8" w:space="0" w:color="C0504D"/>
            </w:tcBorders>
            <w:shd w:val="clear" w:color="auto" w:fill="F2F2F2"/>
          </w:tcPr>
          <w:p w:rsidR="00E5738D" w:rsidRPr="009B04ED" w:rsidRDefault="00E5738D" w:rsidP="00C273D5">
            <w:pPr>
              <w:spacing w:after="60"/>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E5738D" w:rsidRPr="009B04ED" w:rsidRDefault="009D102C" w:rsidP="009D102C">
            <w:pPr>
              <w:spacing w:after="60"/>
              <w:jc w:val="left"/>
              <w:rPr>
                <w:color w:val="000000"/>
              </w:rPr>
            </w:pPr>
            <w:r>
              <w:rPr>
                <w:color w:val="000000"/>
              </w:rPr>
              <w:t>Annual u</w:t>
            </w:r>
            <w:r w:rsidR="00E5738D">
              <w:rPr>
                <w:color w:val="000000"/>
              </w:rPr>
              <w:t xml:space="preserve">pdate </w:t>
            </w:r>
          </w:p>
        </w:tc>
      </w:tr>
    </w:tbl>
    <w:p w:rsidR="00D348B7" w:rsidRPr="003B25C9" w:rsidRDefault="00D348B7" w:rsidP="00D348B7">
      <w:r w:rsidRPr="003B25C9">
        <w:t>A more nuanced analysis of per student education expenditure looks at district expenditures per public M</w:t>
      </w:r>
      <w:r w:rsidR="00DC7E93" w:rsidRPr="003B25C9">
        <w:t>OEC</w:t>
      </w:r>
      <w:r w:rsidRPr="003B25C9">
        <w:t xml:space="preserve"> school students. This provides a more accurate measure because districts are only responsible for teacher salaries and other operational expenses of MoNE public schools. By excluding private school students from per student calculations it is possible to remove the bias of different rates of enrolment in private schools across districts. </w:t>
      </w:r>
    </w:p>
    <w:p w:rsidR="00D348B7" w:rsidRPr="004D77E5" w:rsidRDefault="00D348B7" w:rsidP="00D348B7">
      <w:pPr>
        <w:rPr>
          <w:color w:val="FF0000"/>
        </w:rPr>
      </w:pPr>
      <w:r w:rsidRPr="003B25C9">
        <w:t>The national average education expendit</w:t>
      </w:r>
      <w:r w:rsidR="00DE11BE" w:rsidRPr="003B25C9">
        <w:t xml:space="preserve">ure per public students in 2011 was Rp. 4 million per student (from a previous year average of Rp. 3 million). </w:t>
      </w:r>
      <w:r w:rsidR="003B25C9" w:rsidRPr="003B25C9">
        <w:t>Average expenditure per student for urban districts (Rp. 3.91</w:t>
      </w:r>
      <w:r w:rsidRPr="003B25C9">
        <w:t xml:space="preserve"> million) </w:t>
      </w:r>
      <w:r w:rsidR="003B25C9" w:rsidRPr="003B25C9">
        <w:t>remain</w:t>
      </w:r>
      <w:r w:rsidR="003B25C9">
        <w:t>s</w:t>
      </w:r>
      <w:r w:rsidR="003B25C9" w:rsidRPr="003B25C9">
        <w:t xml:space="preserve"> very close to </w:t>
      </w:r>
      <w:r w:rsidRPr="003B25C9">
        <w:t>rural dis</w:t>
      </w:r>
      <w:r w:rsidR="003B25C9" w:rsidRPr="003B25C9">
        <w:t>tricts (Rp. 3.98</w:t>
      </w:r>
      <w:r w:rsidRPr="003B25C9">
        <w:t xml:space="preserve"> million). Because there are proportionately greater numbers of private school students in urban areas, this indicator </w:t>
      </w:r>
      <w:r w:rsidR="003B25C9" w:rsidRPr="003B25C9">
        <w:t xml:space="preserve">neutralizes </w:t>
      </w:r>
      <w:r w:rsidRPr="003B25C9">
        <w:t xml:space="preserve">the trend of the broader indicator </w:t>
      </w:r>
      <w:r w:rsidRPr="003B25C9">
        <w:rPr>
          <w:i/>
        </w:rPr>
        <w:t>expenditure</w:t>
      </w:r>
      <w:r w:rsidRPr="003B25C9">
        <w:t xml:space="preserve"> </w:t>
      </w:r>
      <w:r w:rsidRPr="003B25C9">
        <w:rPr>
          <w:i/>
        </w:rPr>
        <w:t>per all students</w:t>
      </w:r>
      <w:r w:rsidR="003B25C9" w:rsidRPr="003B25C9">
        <w:rPr>
          <w:i/>
        </w:rPr>
        <w:t>.</w:t>
      </w:r>
      <w:r w:rsidR="003B25C9">
        <w:t xml:space="preserve"> </w:t>
      </w:r>
    </w:p>
    <w:p w:rsidR="00D113BE" w:rsidRDefault="00FF7E8C" w:rsidP="00BA7FA0">
      <w:pPr>
        <w:pStyle w:val="Caption"/>
      </w:pPr>
      <w:bookmarkStart w:id="75" w:name="_Toc343595541"/>
      <w:r>
        <w:t xml:space="preserve">Comparison - </w:t>
      </w:r>
      <w:r w:rsidR="00D113BE">
        <w:t xml:space="preserve">Expenditure per </w:t>
      </w:r>
      <w:r>
        <w:t xml:space="preserve">All Students </w:t>
      </w:r>
      <w:r w:rsidR="00F36318">
        <w:t>vs.</w:t>
      </w:r>
      <w:r w:rsidR="004E11D8">
        <w:t xml:space="preserve"> Expenditure per </w:t>
      </w:r>
      <w:r w:rsidR="00D113BE">
        <w:t>Public Students, (Rp. millions)</w:t>
      </w:r>
      <w:bookmarkEnd w:id="75"/>
    </w:p>
    <w:p w:rsidR="00D113BE" w:rsidRDefault="008D1291" w:rsidP="00D113BE">
      <w:pPr>
        <w:spacing w:after="0" w:line="240" w:lineRule="auto"/>
        <w:jc w:val="left"/>
      </w:pPr>
      <w:r>
        <w:rPr>
          <w:noProof/>
          <w:lang w:val="en-AU" w:eastAsia="en-AU"/>
        </w:rPr>
        <w:drawing>
          <wp:inline distT="0" distB="0" distL="0" distR="0" wp14:anchorId="13F7465D" wp14:editId="1053268B">
            <wp:extent cx="5546785" cy="3666226"/>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53075" cy="3670384"/>
                    </a:xfrm>
                    <a:prstGeom prst="rect">
                      <a:avLst/>
                    </a:prstGeom>
                    <a:noFill/>
                  </pic:spPr>
                </pic:pic>
              </a:graphicData>
            </a:graphic>
          </wp:inline>
        </w:drawing>
      </w:r>
    </w:p>
    <w:p w:rsidR="00EE0CA1" w:rsidRPr="004D77E5" w:rsidRDefault="005E426E" w:rsidP="00D348B7">
      <w:r w:rsidRPr="004D77E5">
        <w:t xml:space="preserve">BEP districts reflect a similar trend to other districts with steady increases in per student </w:t>
      </w:r>
      <w:r w:rsidR="004D77E5" w:rsidRPr="004D77E5">
        <w:t>allocations until 2009, a pause in 2010, and then sharp increase in allocations in 2011.</w:t>
      </w:r>
      <w:r w:rsidR="00EE0CA1" w:rsidRPr="004D77E5">
        <w:t xml:space="preserve"> In 2010, average per student expenditure showed no real growth on 2009, meaning that when taking into account the effects of price inflation, there was an average real decline expenditure per student in BEP </w:t>
      </w:r>
      <w:r w:rsidR="004D77E5" w:rsidRPr="004D77E5">
        <w:t xml:space="preserve">and non-BEP </w:t>
      </w:r>
      <w:r w:rsidR="00EE0CA1" w:rsidRPr="004D77E5">
        <w:t xml:space="preserve">districts. </w:t>
      </w:r>
    </w:p>
    <w:p w:rsidR="00D348B7" w:rsidRPr="004D77E5" w:rsidRDefault="004D77E5" w:rsidP="00D348B7">
      <w:r w:rsidRPr="004D77E5">
        <w:t xml:space="preserve">In 2011, education allocations in </w:t>
      </w:r>
      <w:r w:rsidR="005E426E" w:rsidRPr="004D77E5">
        <w:t xml:space="preserve">BEP districts </w:t>
      </w:r>
      <w:r w:rsidRPr="004D77E5">
        <w:t>grew by Rp. 900,000 per student, to reach an average per student allocation of Rp. 3.</w:t>
      </w:r>
      <w:r w:rsidR="00763A2A" w:rsidRPr="004D77E5">
        <w:t>4</w:t>
      </w:r>
      <w:r w:rsidR="005E426E" w:rsidRPr="004D77E5">
        <w:t xml:space="preserve"> million per all students</w:t>
      </w:r>
      <w:r w:rsidRPr="004D77E5">
        <w:t xml:space="preserve">. This </w:t>
      </w:r>
      <w:r w:rsidR="005E426E" w:rsidRPr="004D77E5">
        <w:t>compared to the o</w:t>
      </w:r>
      <w:r w:rsidR="00763A2A" w:rsidRPr="004D77E5">
        <w:t>t</w:t>
      </w:r>
      <w:r w:rsidRPr="004D77E5">
        <w:t>her districts average of Rp 2.7</w:t>
      </w:r>
      <w:r w:rsidR="00EE0CA1" w:rsidRPr="004D77E5">
        <w:t xml:space="preserve"> million</w:t>
      </w:r>
      <w:r w:rsidR="005E426E" w:rsidRPr="004D77E5">
        <w:t xml:space="preserve">. </w:t>
      </w:r>
    </w:p>
    <w:p w:rsidR="00052568" w:rsidRDefault="00052568">
      <w:pPr>
        <w:spacing w:after="0" w:line="240" w:lineRule="auto"/>
        <w:jc w:val="left"/>
        <w:rPr>
          <w:rFonts w:ascii="Cambria" w:hAnsi="Cambria"/>
          <w:bCs/>
          <w:i/>
          <w:sz w:val="18"/>
          <w:szCs w:val="18"/>
        </w:rPr>
      </w:pPr>
    </w:p>
    <w:p w:rsidR="004D77E5" w:rsidRDefault="004D77E5">
      <w:pPr>
        <w:spacing w:after="0" w:line="240" w:lineRule="auto"/>
        <w:jc w:val="left"/>
        <w:rPr>
          <w:rFonts w:ascii="Cambria" w:hAnsi="Cambria"/>
          <w:bCs/>
          <w:i/>
          <w:sz w:val="18"/>
          <w:szCs w:val="18"/>
        </w:rPr>
      </w:pPr>
      <w:r>
        <w:br w:type="page"/>
      </w:r>
    </w:p>
    <w:p w:rsidR="00E5738D" w:rsidRDefault="00E5738D" w:rsidP="00BA7FA0">
      <w:pPr>
        <w:pStyle w:val="Caption"/>
      </w:pPr>
      <w:bookmarkStart w:id="76" w:name="_Toc343595542"/>
      <w:r>
        <w:t>Average APBD Education Expenditure per Student (Rp), BEP and Non-BEP Districts</w:t>
      </w:r>
      <w:bookmarkEnd w:id="76"/>
    </w:p>
    <w:p w:rsidR="00FF7E8C" w:rsidRDefault="008D1291" w:rsidP="001D7EA8">
      <w:r>
        <w:rPr>
          <w:noProof/>
          <w:lang w:val="en-AU" w:eastAsia="en-AU"/>
        </w:rPr>
        <w:drawing>
          <wp:inline distT="0" distB="0" distL="0" distR="0" wp14:anchorId="60FA6448" wp14:editId="00E60A6F">
            <wp:extent cx="5581291" cy="2924354"/>
            <wp:effectExtent l="0" t="0" r="63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81650" cy="2924542"/>
                    </a:xfrm>
                    <a:prstGeom prst="rect">
                      <a:avLst/>
                    </a:prstGeom>
                    <a:noFill/>
                  </pic:spPr>
                </pic:pic>
              </a:graphicData>
            </a:graphic>
          </wp:inline>
        </w:drawing>
      </w:r>
    </w:p>
    <w:p w:rsidR="00763A2A" w:rsidRPr="00D472F4" w:rsidRDefault="00E5738D" w:rsidP="00763A2A">
      <w:r w:rsidRPr="00D472F4">
        <w:t xml:space="preserve">Poverty quintile analysis </w:t>
      </w:r>
      <w:r w:rsidR="00C12624" w:rsidRPr="00D472F4">
        <w:t xml:space="preserve">of </w:t>
      </w:r>
      <w:r w:rsidRPr="00D472F4">
        <w:t xml:space="preserve">average </w:t>
      </w:r>
      <w:r w:rsidR="004D77E5" w:rsidRPr="00D472F4">
        <w:t xml:space="preserve">allocations </w:t>
      </w:r>
      <w:r w:rsidR="00C12624" w:rsidRPr="00D472F4">
        <w:t xml:space="preserve">per student shows </w:t>
      </w:r>
      <w:r w:rsidR="00763A2A" w:rsidRPr="00D472F4">
        <w:t>t</w:t>
      </w:r>
      <w:r w:rsidR="00C12624" w:rsidRPr="00D472F4">
        <w:t>he poorest districts</w:t>
      </w:r>
      <w:r w:rsidR="00763A2A" w:rsidRPr="00D472F4">
        <w:t xml:space="preserve"> </w:t>
      </w:r>
      <w:r w:rsidR="004D77E5" w:rsidRPr="00D472F4">
        <w:t xml:space="preserve">in 2011 had the sharpest growth and </w:t>
      </w:r>
      <w:r w:rsidR="00763A2A" w:rsidRPr="00D472F4">
        <w:t xml:space="preserve">by 2010 </w:t>
      </w:r>
      <w:r w:rsidR="004D77E5" w:rsidRPr="00D472F4">
        <w:t xml:space="preserve">were allocating </w:t>
      </w:r>
      <w:r w:rsidR="00C12624" w:rsidRPr="00D472F4">
        <w:t xml:space="preserve">the greatest amount per student </w:t>
      </w:r>
      <w:r w:rsidR="004D77E5" w:rsidRPr="00D472F4">
        <w:t>(Rp. 3.3</w:t>
      </w:r>
      <w:r w:rsidR="00763A2A" w:rsidRPr="00D472F4">
        <w:t xml:space="preserve"> milllion). This compares with the </w:t>
      </w:r>
      <w:r w:rsidR="00C12624" w:rsidRPr="00D472F4">
        <w:t xml:space="preserve">richest districts </w:t>
      </w:r>
      <w:r w:rsidR="00763A2A" w:rsidRPr="00D472F4">
        <w:t xml:space="preserve">which </w:t>
      </w:r>
      <w:r w:rsidR="004D77E5" w:rsidRPr="00D472F4">
        <w:t xml:space="preserve">allocate the least of any quintile with </w:t>
      </w:r>
      <w:r w:rsidR="00763A2A" w:rsidRPr="00D472F4">
        <w:t>Rp. 2</w:t>
      </w:r>
      <w:r w:rsidR="004D77E5" w:rsidRPr="00D472F4">
        <w:t>.5</w:t>
      </w:r>
      <w:r w:rsidR="00763A2A" w:rsidRPr="00D472F4">
        <w:t xml:space="preserve"> million. The poorest districts are </w:t>
      </w:r>
      <w:r w:rsidR="00D472F4" w:rsidRPr="00D472F4">
        <w:t>on average allocating 28%</w:t>
      </w:r>
      <w:r w:rsidR="00763A2A" w:rsidRPr="00D472F4">
        <w:t xml:space="preserve"> more per student than the richest. </w:t>
      </w:r>
    </w:p>
    <w:p w:rsidR="00E5738D" w:rsidRDefault="00E5738D" w:rsidP="00BA7FA0">
      <w:pPr>
        <w:pStyle w:val="Caption"/>
      </w:pPr>
      <w:bookmarkStart w:id="77" w:name="_Toc343595543"/>
      <w:r>
        <w:t>Average APBD Education Expenditure per Student (Rp</w:t>
      </w:r>
      <w:r w:rsidR="00926812">
        <w:t>. Million</w:t>
      </w:r>
      <w:r>
        <w:t>), by Poverty Quintile Districts</w:t>
      </w:r>
      <w:bookmarkEnd w:id="77"/>
    </w:p>
    <w:p w:rsidR="00E5738D" w:rsidRDefault="008D1291" w:rsidP="00024570">
      <w:pPr>
        <w:spacing w:after="0"/>
        <w:rPr>
          <w:b/>
          <w:i/>
          <w:noProof/>
          <w:lang w:val="en-AU" w:eastAsia="en-AU"/>
        </w:rPr>
      </w:pPr>
      <w:r>
        <w:rPr>
          <w:b/>
          <w:i/>
          <w:noProof/>
          <w:lang w:val="en-AU" w:eastAsia="en-AU"/>
        </w:rPr>
        <w:drawing>
          <wp:inline distT="0" distB="0" distL="0" distR="0" wp14:anchorId="142AE37F" wp14:editId="4C664831">
            <wp:extent cx="5572664" cy="3079630"/>
            <wp:effectExtent l="0" t="0" r="0"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81650" cy="3084596"/>
                    </a:xfrm>
                    <a:prstGeom prst="rect">
                      <a:avLst/>
                    </a:prstGeom>
                    <a:noFill/>
                  </pic:spPr>
                </pic:pic>
              </a:graphicData>
            </a:graphic>
          </wp:inline>
        </w:drawing>
      </w:r>
    </w:p>
    <w:p w:rsidR="00E5738D" w:rsidRPr="00D472F4" w:rsidRDefault="00C12624" w:rsidP="00C12624">
      <w:r w:rsidRPr="00D472F4">
        <w:t xml:space="preserve">Average </w:t>
      </w:r>
      <w:r w:rsidR="00D472F4" w:rsidRPr="00D472F4">
        <w:t xml:space="preserve">allocations </w:t>
      </w:r>
      <w:r w:rsidRPr="00D472F4">
        <w:t xml:space="preserve">per </w:t>
      </w:r>
      <w:r w:rsidRPr="00D472F4">
        <w:rPr>
          <w:b/>
        </w:rPr>
        <w:t>public student</w:t>
      </w:r>
      <w:r w:rsidRPr="00D472F4">
        <w:t xml:space="preserve"> show the two richest quintile districts to be spending </w:t>
      </w:r>
      <w:r w:rsidR="00D472F4" w:rsidRPr="00D472F4">
        <w:t xml:space="preserve">around </w:t>
      </w:r>
      <w:r w:rsidRPr="00D472F4">
        <w:t>Rp. 3</w:t>
      </w:r>
      <w:r w:rsidR="00D472F4" w:rsidRPr="00D472F4">
        <w:t>.9</w:t>
      </w:r>
      <w:r w:rsidRPr="00D472F4">
        <w:t xml:space="preserve"> million</w:t>
      </w:r>
      <w:r w:rsidR="00763A2A" w:rsidRPr="00D472F4">
        <w:t xml:space="preserve"> per </w:t>
      </w:r>
      <w:r w:rsidR="00D472F4" w:rsidRPr="00D472F4">
        <w:t>public student in 2011</w:t>
      </w:r>
      <w:r w:rsidRPr="00D472F4">
        <w:t xml:space="preserve">. The poorest quintile districts spend </w:t>
      </w:r>
      <w:r w:rsidR="00763A2A" w:rsidRPr="00D472F4">
        <w:t xml:space="preserve">Rp. </w:t>
      </w:r>
      <w:r w:rsidR="00D472F4" w:rsidRPr="00D472F4">
        <w:t>4.8</w:t>
      </w:r>
      <w:r w:rsidRPr="00D472F4">
        <w:t xml:space="preserve"> million per public student. </w:t>
      </w:r>
      <w:r w:rsidR="00D472F4">
        <w:rPr>
          <w:color w:val="000000"/>
        </w:rPr>
        <w:t>The per student allocation is greatly affected by the sparsity of population. More sparsely populated districts (such as those in the eastern region and many of those in the poorest quintile districts) have higher average salary costs. This is because of lower student/teacher ratios and higher salary related costs associated with remote area allowances.</w:t>
      </w:r>
      <w:r w:rsidR="00131D8B">
        <w:rPr>
          <w:color w:val="000000"/>
        </w:rPr>
        <w:t xml:space="preserve"> </w:t>
      </w:r>
      <w:r w:rsidR="00131D8B" w:rsidRPr="00D472F4">
        <w:t>The relatively high per public student expenditure in the poorest di</w:t>
      </w:r>
      <w:r w:rsidR="00131D8B">
        <w:t>stricts is a positive indicator as it shows the government is making higher allocations towards those areas with higher costs for delivering services.</w:t>
      </w:r>
    </w:p>
    <w:p w:rsidR="008565DD" w:rsidRDefault="008565DD" w:rsidP="00BA7FA0">
      <w:pPr>
        <w:pStyle w:val="Caption"/>
      </w:pPr>
      <w:bookmarkStart w:id="78" w:name="_Toc343595544"/>
      <w:r>
        <w:t>Average APBD Education Expenditure per Public Student (Rp. Million), by Poverty Quintile Districts</w:t>
      </w:r>
      <w:bookmarkEnd w:id="78"/>
    </w:p>
    <w:p w:rsidR="008565DD" w:rsidRDefault="008D1291" w:rsidP="00C12624">
      <w:r>
        <w:rPr>
          <w:noProof/>
          <w:lang w:val="en-AU" w:eastAsia="en-AU"/>
        </w:rPr>
        <w:drawing>
          <wp:inline distT="0" distB="0" distL="0" distR="0" wp14:anchorId="0AEC68F7" wp14:editId="2A838FD8">
            <wp:extent cx="5581291" cy="2898475"/>
            <wp:effectExtent l="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81650" cy="2898661"/>
                    </a:xfrm>
                    <a:prstGeom prst="rect">
                      <a:avLst/>
                    </a:prstGeom>
                    <a:noFill/>
                  </pic:spPr>
                </pic:pic>
              </a:graphicData>
            </a:graphic>
          </wp:inline>
        </w:drawing>
      </w:r>
    </w:p>
    <w:p w:rsidR="00A36C16" w:rsidRDefault="00131D8B" w:rsidP="00ED5215">
      <w:r>
        <w:t>D</w:t>
      </w:r>
      <w:r w:rsidR="00E5738D" w:rsidRPr="00ED5215">
        <w:t xml:space="preserve">istricts in the </w:t>
      </w:r>
      <w:r w:rsidR="00C12624">
        <w:t xml:space="preserve">far </w:t>
      </w:r>
      <w:r w:rsidR="00E5738D" w:rsidRPr="00ED5215">
        <w:t>eastern region</w:t>
      </w:r>
      <w:r w:rsidR="00C12624">
        <w:t>s</w:t>
      </w:r>
      <w:r w:rsidR="00E5738D" w:rsidRPr="00ED5215">
        <w:t xml:space="preserve"> of the country </w:t>
      </w:r>
      <w:r>
        <w:t xml:space="preserve">tend to </w:t>
      </w:r>
      <w:r w:rsidR="00E5738D" w:rsidRPr="00ED5215">
        <w:t xml:space="preserve">have significantly higher costs per student than districts in the western region </w:t>
      </w:r>
      <w:r w:rsidR="009278E9">
        <w:t xml:space="preserve">because of </w:t>
      </w:r>
      <w:r w:rsidR="00E5738D" w:rsidRPr="00ED5215">
        <w:t xml:space="preserve">the lower density of </w:t>
      </w:r>
      <w:r w:rsidR="00F36318" w:rsidRPr="00ED5215">
        <w:t xml:space="preserve">populations. </w:t>
      </w:r>
      <w:r w:rsidR="00EE0CA1">
        <w:t>Average</w:t>
      </w:r>
      <w:r w:rsidR="005E0F08">
        <w:t xml:space="preserve"> expenditure per student in 2011</w:t>
      </w:r>
      <w:r w:rsidR="00A36C16">
        <w:t xml:space="preserve"> </w:t>
      </w:r>
      <w:r w:rsidR="005E0F08">
        <w:t>w</w:t>
      </w:r>
      <w:r w:rsidR="000F5218">
        <w:t>as</w:t>
      </w:r>
      <w:r w:rsidR="005E0F08">
        <w:t xml:space="preserve"> again </w:t>
      </w:r>
      <w:r w:rsidR="00EE0CA1">
        <w:t>highest in the</w:t>
      </w:r>
      <w:r w:rsidR="005E0F08">
        <w:t xml:space="preserve"> island groups of Papua (Rp. 6.3</w:t>
      </w:r>
      <w:r w:rsidR="00A36C16">
        <w:t xml:space="preserve"> </w:t>
      </w:r>
      <w:r w:rsidR="005E0F08">
        <w:t>million) and Kalimantan (Rp. 4.4</w:t>
      </w:r>
      <w:r w:rsidR="00A36C16">
        <w:t xml:space="preserve"> million). Lowest expenditure by a considerable margin is found </w:t>
      </w:r>
      <w:r w:rsidR="005E0F08">
        <w:t>on Java with Rp. 2.3</w:t>
      </w:r>
      <w:r w:rsidR="00A36C16">
        <w:t xml:space="preserve"> million per student. </w:t>
      </w:r>
      <w:r w:rsidR="000F5218">
        <w:t>To some extent the lower unit costs in java reflect the population density which makes it easier to run schools at maximum capacity and consistently high student:teacher ratios.</w:t>
      </w:r>
    </w:p>
    <w:p w:rsidR="00C12624" w:rsidRDefault="00A36C16" w:rsidP="00ED5215">
      <w:r>
        <w:t>Education expenditure per public st</w:t>
      </w:r>
      <w:r w:rsidR="00EE0CA1">
        <w:t>ud</w:t>
      </w:r>
      <w:r w:rsidR="000F5218">
        <w:t>ent shows Papua reaching Rp. 10.7 million in 2011</w:t>
      </w:r>
      <w:r>
        <w:t xml:space="preserve"> compared to the next highest Kalimantan </w:t>
      </w:r>
      <w:r w:rsidR="00FB0BC6">
        <w:t>(</w:t>
      </w:r>
      <w:r w:rsidR="000F5218">
        <w:t>Rp. 5.7</w:t>
      </w:r>
      <w:r>
        <w:t xml:space="preserve"> million) and </w:t>
      </w:r>
      <w:r w:rsidR="00FB0BC6">
        <w:t xml:space="preserve">Java as </w:t>
      </w:r>
      <w:r>
        <w:t>the lowest</w:t>
      </w:r>
      <w:r w:rsidR="00FB0BC6">
        <w:t xml:space="preserve"> island expendi</w:t>
      </w:r>
      <w:r w:rsidR="000F5218">
        <w:t>ture per public student (Rp. 3.5</w:t>
      </w:r>
      <w:r w:rsidR="00FB0BC6">
        <w:t xml:space="preserve"> million).</w:t>
      </w:r>
    </w:p>
    <w:p w:rsidR="00E5738D" w:rsidRDefault="00E5738D" w:rsidP="00BA7FA0">
      <w:pPr>
        <w:pStyle w:val="Caption"/>
      </w:pPr>
      <w:bookmarkStart w:id="79" w:name="_Toc343595545"/>
      <w:r>
        <w:t>Average APBD Education Expenditur</w:t>
      </w:r>
      <w:r w:rsidR="00577643">
        <w:t>e per Student (Rp), by Island</w:t>
      </w:r>
      <w:bookmarkEnd w:id="79"/>
    </w:p>
    <w:p w:rsidR="00E5738D" w:rsidRDefault="008D1291" w:rsidP="00024570">
      <w:pPr>
        <w:spacing w:after="0"/>
        <w:rPr>
          <w:b/>
          <w:i/>
        </w:rPr>
      </w:pPr>
      <w:r>
        <w:rPr>
          <w:b/>
          <w:i/>
          <w:noProof/>
          <w:lang w:val="en-AU" w:eastAsia="en-AU"/>
        </w:rPr>
        <w:drawing>
          <wp:inline distT="0" distB="0" distL="0" distR="0" wp14:anchorId="14320938" wp14:editId="5E986236">
            <wp:extent cx="5579526" cy="3441940"/>
            <wp:effectExtent l="0" t="0" r="254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81650" cy="3443251"/>
                    </a:xfrm>
                    <a:prstGeom prst="rect">
                      <a:avLst/>
                    </a:prstGeom>
                    <a:noFill/>
                  </pic:spPr>
                </pic:pic>
              </a:graphicData>
            </a:graphic>
          </wp:inline>
        </w:drawing>
      </w:r>
    </w:p>
    <w:p w:rsidR="00A812B8" w:rsidRDefault="00E5738D" w:rsidP="006C420C">
      <w:pPr>
        <w:rPr>
          <w:b/>
          <w:i/>
        </w:rPr>
      </w:pPr>
      <w:r w:rsidRPr="00FA7E38">
        <w:rPr>
          <w:b/>
          <w:i/>
        </w:rPr>
        <w:t>Policy Implications</w:t>
      </w:r>
      <w:r>
        <w:rPr>
          <w:b/>
          <w:i/>
        </w:rPr>
        <w:t xml:space="preserve">: </w:t>
      </w:r>
    </w:p>
    <w:p w:rsidR="00E5738D" w:rsidRPr="00EE6E25" w:rsidRDefault="00E5738D" w:rsidP="006C420C">
      <w:r w:rsidRPr="00EE6E25">
        <w:t>Unit cost calculations are greatly affected by the sparsity of populations and care needs to be taken when comparing districts. Care should be taken to compare like with like districts in order to get a true feel for the district government commitment and possible impact on quality.</w:t>
      </w:r>
    </w:p>
    <w:p w:rsidR="00EE0CA1" w:rsidRPr="00EE6E25" w:rsidRDefault="00EE0CA1" w:rsidP="00EE0CA1">
      <w:r w:rsidRPr="00EE6E25">
        <w:t>Reasonable distribution of public education funds should generally provide greater funding per student to the poorest areas. This weighted distribution of government funds can enable the poorest communities to overcome a financial inability to pay for services. It also helps to cover the higher cost of servicing poor communities that are also in remote or difficult to reach areas.</w:t>
      </w:r>
    </w:p>
    <w:p w:rsidR="00BA7FA0" w:rsidRDefault="00BA7FA0" w:rsidP="00BA7FA0">
      <w:pPr>
        <w:pStyle w:val="Caption"/>
      </w:pPr>
      <w:bookmarkStart w:id="80" w:name="_Toc343595546"/>
      <w:r>
        <w:t>Equity Slope of Funding - Average APBD Education Expenditure per Public Student (Rp million), by Poverty Quintile</w:t>
      </w:r>
      <w:r w:rsidR="007E5278">
        <w:t>,</w:t>
      </w:r>
      <w:bookmarkEnd w:id="80"/>
      <w:r w:rsidR="007E5278">
        <w:t xml:space="preserve"> </w:t>
      </w:r>
    </w:p>
    <w:p w:rsidR="00BA7FA0" w:rsidRPr="003537F4" w:rsidRDefault="008D1291" w:rsidP="00EE0CA1">
      <w:pPr>
        <w:rPr>
          <w:color w:val="FF0000"/>
        </w:rPr>
      </w:pPr>
      <w:r>
        <w:rPr>
          <w:noProof/>
          <w:color w:val="FF0000"/>
          <w:lang w:val="en-AU" w:eastAsia="en-AU"/>
        </w:rPr>
        <w:drawing>
          <wp:inline distT="0" distB="0" distL="0" distR="0" wp14:anchorId="16FCACA7" wp14:editId="76783FE2">
            <wp:extent cx="5581650" cy="27813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81650" cy="2781300"/>
                    </a:xfrm>
                    <a:prstGeom prst="rect">
                      <a:avLst/>
                    </a:prstGeom>
                    <a:noFill/>
                  </pic:spPr>
                </pic:pic>
              </a:graphicData>
            </a:graphic>
          </wp:inline>
        </w:drawing>
      </w:r>
    </w:p>
    <w:p w:rsidR="00EE6E25" w:rsidRPr="00EE6E25" w:rsidRDefault="00EE0CA1" w:rsidP="00EE6E25">
      <w:r w:rsidRPr="00EE6E25">
        <w:t xml:space="preserve">The </w:t>
      </w:r>
      <w:r w:rsidR="007E5278" w:rsidRPr="00EE6E25">
        <w:t>chart above illustrates the ‘equity slope’ of district school funding. The ideal equity slope would begin low at the left ha</w:t>
      </w:r>
      <w:r w:rsidR="00C510C2" w:rsidRPr="00EE6E25">
        <w:t>nd corner (least</w:t>
      </w:r>
      <w:r w:rsidR="007E5278" w:rsidRPr="00EE6E25">
        <w:t xml:space="preserve"> public resources per student for the wealthiest districts) and slope upwards </w:t>
      </w:r>
      <w:r w:rsidR="00C510C2" w:rsidRPr="00EE6E25">
        <w:t>indicating</w:t>
      </w:r>
      <w:r w:rsidR="007E5278" w:rsidRPr="00EE6E25">
        <w:t xml:space="preserve"> that those districts with the lowest socio-economic profile and catering for the most remote communities </w:t>
      </w:r>
      <w:r w:rsidR="00C510C2" w:rsidRPr="00EE6E25">
        <w:t xml:space="preserve">have the </w:t>
      </w:r>
      <w:r w:rsidR="007E5278" w:rsidRPr="00EE6E25">
        <w:t xml:space="preserve">greatest resources per student. The situation in Indonesia demonstrates a movement over time towards that kind of scenario. By 2011, districts from the two poorest quintiles had grown their allocations at a faster rate than others. This is a significant achievement </w:t>
      </w:r>
      <w:r w:rsidR="00C510C2" w:rsidRPr="00EE6E25">
        <w:t xml:space="preserve">and is beginning to move away from a </w:t>
      </w:r>
      <w:r w:rsidRPr="00EE6E25">
        <w:t>relatively flat distribution of district education funding per student across poverty quintiles</w:t>
      </w:r>
      <w:r w:rsidR="00C510C2" w:rsidRPr="00EE6E25">
        <w:t>.</w:t>
      </w:r>
      <w:r w:rsidRPr="00EE6E25">
        <w:t xml:space="preserve"> </w:t>
      </w:r>
      <w:r w:rsidR="00EE6E25">
        <w:t xml:space="preserve">It </w:t>
      </w:r>
      <w:r w:rsidR="00C510C2" w:rsidRPr="00EE6E25">
        <w:t xml:space="preserve">shows </w:t>
      </w:r>
      <w:r w:rsidRPr="00EE6E25">
        <w:t xml:space="preserve">government policies have been successful in </w:t>
      </w:r>
      <w:r w:rsidR="00C510C2" w:rsidRPr="00EE6E25">
        <w:t xml:space="preserve">moving towards a greater </w:t>
      </w:r>
      <w:r w:rsidRPr="00EE6E25">
        <w:t xml:space="preserve">share of </w:t>
      </w:r>
      <w:r w:rsidR="00C510C2" w:rsidRPr="00EE6E25">
        <w:t xml:space="preserve">public </w:t>
      </w:r>
      <w:r w:rsidRPr="00EE6E25">
        <w:t xml:space="preserve">resources being </w:t>
      </w:r>
      <w:r w:rsidR="00C510C2" w:rsidRPr="00EE6E25">
        <w:t xml:space="preserve">directed towards education in poorer districts. </w:t>
      </w:r>
      <w:r w:rsidR="00EE6E25" w:rsidRPr="00EE6E25">
        <w:t xml:space="preserve">To achieve better learning outcomes across the poorest districts, the government will need to continue to strengthen the ‘equity slope’ in its funding distribution. </w:t>
      </w:r>
    </w:p>
    <w:p w:rsidR="00EE6E25" w:rsidRPr="005D1552" w:rsidRDefault="00EE6E25" w:rsidP="00EE0CA1">
      <w:r w:rsidRPr="005D1552">
        <w:t xml:space="preserve">There is good news for the government </w:t>
      </w:r>
      <w:r w:rsidR="0083176F">
        <w:t xml:space="preserve">regarding </w:t>
      </w:r>
      <w:r w:rsidRPr="005D1552">
        <w:t xml:space="preserve">the affordability of this approach. Analysis of the distribution of students across district poverty quintiles shows that </w:t>
      </w:r>
      <w:r w:rsidR="005D1552">
        <w:t xml:space="preserve">there </w:t>
      </w:r>
      <w:r w:rsidR="005D1552" w:rsidRPr="005D1552">
        <w:t>far fewer students in the poorest quintile than any other. In 2011, there were 5.7 million students in poverty quintile 5 compared to more than 12 million in the richest quintile. The cost of serving these districts is mitigated by reduced population density of these districts. Although of course, successful policies will solve access problems and push up enrolments, however the reduced population density means there will still be fewer students to service.</w:t>
      </w:r>
    </w:p>
    <w:p w:rsidR="007E5278" w:rsidRDefault="007E5278" w:rsidP="007E5278">
      <w:pPr>
        <w:pStyle w:val="Caption"/>
      </w:pPr>
      <w:bookmarkStart w:id="81" w:name="_Toc343595547"/>
      <w:r>
        <w:t>Cost and Student Load Comparison - Average APBD Education Expenditure per Student (Rp million)and Numbers of Students, by Poverty Quintile, 2011</w:t>
      </w:r>
      <w:bookmarkEnd w:id="81"/>
    </w:p>
    <w:p w:rsidR="007E5278" w:rsidRDefault="008D1291" w:rsidP="007E5278">
      <w:pPr>
        <w:rPr>
          <w:b/>
          <w:i/>
        </w:rPr>
      </w:pPr>
      <w:r>
        <w:rPr>
          <w:b/>
          <w:i/>
          <w:noProof/>
          <w:lang w:val="en-AU" w:eastAsia="en-AU"/>
        </w:rPr>
        <w:drawing>
          <wp:inline distT="0" distB="0" distL="0" distR="0" wp14:anchorId="7E37AA4C" wp14:editId="388D26B6">
            <wp:extent cx="5563354" cy="3122762"/>
            <wp:effectExtent l="19050" t="19050" r="18415" b="2095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62600" cy="3122339"/>
                    </a:xfrm>
                    <a:prstGeom prst="rect">
                      <a:avLst/>
                    </a:prstGeom>
                    <a:noFill/>
                    <a:ln>
                      <a:solidFill>
                        <a:schemeClr val="accent1"/>
                      </a:solidFill>
                    </a:ln>
                  </pic:spPr>
                </pic:pic>
              </a:graphicData>
            </a:graphic>
          </wp:inline>
        </w:drawing>
      </w:r>
    </w:p>
    <w:p w:rsidR="005E1A38" w:rsidRPr="005D1552" w:rsidRDefault="0044625D" w:rsidP="009278E9">
      <w:r w:rsidRPr="005D1552">
        <w:t>A</w:t>
      </w:r>
      <w:r w:rsidR="00CF2102" w:rsidRPr="005D1552">
        <w:t xml:space="preserve"> </w:t>
      </w:r>
      <w:r w:rsidR="00CF2102" w:rsidRPr="005D1552">
        <w:rPr>
          <w:i/>
        </w:rPr>
        <w:t>Critical Education Funding Status</w:t>
      </w:r>
      <w:r w:rsidRPr="005D1552">
        <w:t xml:space="preserve"> </w:t>
      </w:r>
      <w:r w:rsidR="00CF2102" w:rsidRPr="005D1552">
        <w:t xml:space="preserve">(CEFS) </w:t>
      </w:r>
      <w:r w:rsidRPr="005D1552">
        <w:t xml:space="preserve">diagnostic tool </w:t>
      </w:r>
      <w:r w:rsidR="0093542F" w:rsidRPr="005D1552">
        <w:t xml:space="preserve">is </w:t>
      </w:r>
      <w:r w:rsidRPr="005D1552">
        <w:t xml:space="preserve">based on three Key Performance Indicators from this District level analysis (KPI’s 6, 7, </w:t>
      </w:r>
      <w:r w:rsidR="00F36318" w:rsidRPr="005D1552">
        <w:t>and 8</w:t>
      </w:r>
      <w:r w:rsidRPr="005D1552">
        <w:t xml:space="preserve">). The </w:t>
      </w:r>
      <w:r w:rsidR="00CF2102" w:rsidRPr="005D1552">
        <w:t xml:space="preserve">CEFS </w:t>
      </w:r>
      <w:r w:rsidRPr="005D1552">
        <w:t>diagnostic tool identifies</w:t>
      </w:r>
      <w:r w:rsidR="005E1A38" w:rsidRPr="005D1552">
        <w:t xml:space="preserve"> critical districts that have:</w:t>
      </w:r>
    </w:p>
    <w:p w:rsidR="0044625D" w:rsidRPr="005D1552" w:rsidRDefault="0044625D" w:rsidP="00F60A66">
      <w:pPr>
        <w:pStyle w:val="ListParagraph"/>
        <w:numPr>
          <w:ilvl w:val="0"/>
          <w:numId w:val="17"/>
        </w:numPr>
        <w:spacing w:after="0" w:line="240" w:lineRule="auto"/>
        <w:jc w:val="left"/>
      </w:pPr>
      <w:r w:rsidRPr="005D1552">
        <w:t>low expenditure per student (less than Rp. 2.1 million)</w:t>
      </w:r>
    </w:p>
    <w:p w:rsidR="0044625D" w:rsidRPr="005D1552" w:rsidRDefault="0044625D" w:rsidP="00F60A66">
      <w:pPr>
        <w:pStyle w:val="ListParagraph"/>
        <w:numPr>
          <w:ilvl w:val="0"/>
          <w:numId w:val="17"/>
        </w:numPr>
        <w:spacing w:after="0" w:line="240" w:lineRule="auto"/>
        <w:jc w:val="left"/>
      </w:pPr>
      <w:r w:rsidRPr="005D1552">
        <w:t xml:space="preserve">small </w:t>
      </w:r>
      <w:r w:rsidR="009278E9" w:rsidRPr="005D1552">
        <w:t xml:space="preserve">education </w:t>
      </w:r>
      <w:r w:rsidRPr="005D1552">
        <w:t>share of t</w:t>
      </w:r>
      <w:r w:rsidR="001349AA" w:rsidRPr="005D1552">
        <w:t>he district budget (less than 20</w:t>
      </w:r>
      <w:r w:rsidRPr="005D1552">
        <w:t xml:space="preserve">%)  </w:t>
      </w:r>
    </w:p>
    <w:p w:rsidR="0044625D" w:rsidRPr="005D1552" w:rsidRDefault="0044625D" w:rsidP="00F60A66">
      <w:pPr>
        <w:pStyle w:val="ListParagraph"/>
        <w:numPr>
          <w:ilvl w:val="0"/>
          <w:numId w:val="17"/>
        </w:numPr>
        <w:spacing w:after="0" w:line="240" w:lineRule="auto"/>
        <w:jc w:val="left"/>
      </w:pPr>
      <w:r w:rsidRPr="005D1552">
        <w:t xml:space="preserve">weak annual growth in their education budget (less than 20%). </w:t>
      </w:r>
    </w:p>
    <w:p w:rsidR="0044625D" w:rsidRPr="003537F4" w:rsidRDefault="0044625D" w:rsidP="0044625D">
      <w:pPr>
        <w:spacing w:after="0" w:line="240" w:lineRule="auto"/>
        <w:jc w:val="left"/>
        <w:rPr>
          <w:color w:val="FF0000"/>
        </w:rPr>
      </w:pPr>
    </w:p>
    <w:p w:rsidR="0044625D" w:rsidRPr="006065CD" w:rsidRDefault="00506348" w:rsidP="0044625D">
      <w:pPr>
        <w:spacing w:after="0" w:line="240" w:lineRule="auto"/>
        <w:jc w:val="left"/>
      </w:pPr>
      <w:r w:rsidRPr="006065CD">
        <w:t>The table</w:t>
      </w:r>
      <w:r w:rsidR="0044625D" w:rsidRPr="006065CD">
        <w:t xml:space="preserve"> below </w:t>
      </w:r>
      <w:r w:rsidR="005D1552" w:rsidRPr="006065CD">
        <w:t>shows a dramatic reduction in the number of districts in 2011</w:t>
      </w:r>
      <w:r w:rsidR="00FF5D20">
        <w:t xml:space="preserve"> (2) that are </w:t>
      </w:r>
      <w:r w:rsidR="005D1552" w:rsidRPr="006065CD">
        <w:t xml:space="preserve">meeting these criteria compared to 2009 (16) </w:t>
      </w:r>
      <w:r w:rsidR="00EE0CA1" w:rsidRPr="006065CD">
        <w:t xml:space="preserve">and </w:t>
      </w:r>
      <w:r w:rsidR="005D1552" w:rsidRPr="006065CD">
        <w:t xml:space="preserve">another </w:t>
      </w:r>
      <w:r w:rsidR="00EE0CA1" w:rsidRPr="006065CD">
        <w:t xml:space="preserve">12 districts meeting the CEFS criteria in 2010. </w:t>
      </w:r>
      <w:r w:rsidR="005D1552" w:rsidRPr="006065CD">
        <w:t xml:space="preserve">Eight </w:t>
      </w:r>
      <w:r w:rsidR="00EE0CA1" w:rsidRPr="006065CD">
        <w:t>(</w:t>
      </w:r>
      <w:r w:rsidR="005D1552" w:rsidRPr="006065CD">
        <w:t>8</w:t>
      </w:r>
      <w:r w:rsidR="00EE0CA1" w:rsidRPr="006065CD">
        <w:t xml:space="preserve">) districts were identified in both 2009 and 2010. </w:t>
      </w:r>
      <w:r w:rsidR="005D1552" w:rsidRPr="006065CD">
        <w:t>The turnaround in 2011 captures the widespread improvement in district allocations for education in 2011.</w:t>
      </w:r>
    </w:p>
    <w:p w:rsidR="006065CD" w:rsidRDefault="006065CD">
      <w:pPr>
        <w:spacing w:after="0" w:line="240" w:lineRule="auto"/>
        <w:jc w:val="left"/>
      </w:pPr>
    </w:p>
    <w:p w:rsidR="006065CD" w:rsidRDefault="006065CD" w:rsidP="006065CD">
      <w:r w:rsidRPr="00FA7E38">
        <w:rPr>
          <w:b/>
          <w:i/>
        </w:rPr>
        <w:t>Recommendation</w:t>
      </w:r>
      <w:r>
        <w:rPr>
          <w:b/>
          <w:i/>
        </w:rPr>
        <w:t>s</w:t>
      </w:r>
      <w:r w:rsidRPr="00FA7E38">
        <w:rPr>
          <w:b/>
          <w:i/>
        </w:rPr>
        <w:t>:</w:t>
      </w:r>
      <w:r>
        <w:t xml:space="preserve"> </w:t>
      </w:r>
    </w:p>
    <w:p w:rsidR="00EC4423" w:rsidRPr="00EC4423" w:rsidRDefault="006065CD" w:rsidP="00F60A66">
      <w:pPr>
        <w:pStyle w:val="ListParagraph"/>
        <w:numPr>
          <w:ilvl w:val="3"/>
          <w:numId w:val="20"/>
        </w:numPr>
        <w:ind w:left="709" w:hanging="709"/>
        <w:rPr>
          <w:color w:val="000000" w:themeColor="text1"/>
        </w:rPr>
      </w:pPr>
      <w:r w:rsidRPr="00EC4423">
        <w:rPr>
          <w:color w:val="000000" w:themeColor="text1"/>
        </w:rPr>
        <w:t xml:space="preserve">For the AusAID funded ESSP, pay attention to </w:t>
      </w:r>
      <w:r w:rsidR="00EC4423" w:rsidRPr="00EC4423">
        <w:rPr>
          <w:color w:val="000000" w:themeColor="text1"/>
        </w:rPr>
        <w:t xml:space="preserve">(i) </w:t>
      </w:r>
      <w:r w:rsidRPr="00EC4423">
        <w:rPr>
          <w:color w:val="000000" w:themeColor="text1"/>
        </w:rPr>
        <w:t xml:space="preserve">the </w:t>
      </w:r>
      <w:r w:rsidR="001D1EB3" w:rsidRPr="00EC4423">
        <w:rPr>
          <w:color w:val="000000" w:themeColor="text1"/>
        </w:rPr>
        <w:t xml:space="preserve">eight </w:t>
      </w:r>
      <w:r w:rsidRPr="00EC4423">
        <w:rPr>
          <w:color w:val="000000" w:themeColor="text1"/>
        </w:rPr>
        <w:t xml:space="preserve">districts identified in </w:t>
      </w:r>
      <w:r w:rsidR="00EC4423" w:rsidRPr="00EC4423">
        <w:rPr>
          <w:color w:val="000000" w:themeColor="text1"/>
        </w:rPr>
        <w:t xml:space="preserve">both </w:t>
      </w:r>
      <w:r w:rsidRPr="00EC4423">
        <w:rPr>
          <w:color w:val="000000" w:themeColor="text1"/>
        </w:rPr>
        <w:t>2010</w:t>
      </w:r>
      <w:r w:rsidR="001D1EB3" w:rsidRPr="00EC4423">
        <w:rPr>
          <w:color w:val="000000" w:themeColor="text1"/>
        </w:rPr>
        <w:t xml:space="preserve"> and 2011 </w:t>
      </w:r>
      <w:r w:rsidRPr="00EC4423">
        <w:rPr>
          <w:color w:val="000000" w:themeColor="text1"/>
        </w:rPr>
        <w:t>as having Critical Education Funding Status (CEFS)</w:t>
      </w:r>
      <w:r w:rsidR="00EC4423" w:rsidRPr="00EC4423">
        <w:rPr>
          <w:color w:val="000000" w:themeColor="text1"/>
        </w:rPr>
        <w:t xml:space="preserve">, and (ii) the two districts with declining education allocations in 2011. </w:t>
      </w:r>
      <w:r w:rsidRPr="00EC4423">
        <w:rPr>
          <w:color w:val="000000" w:themeColor="text1"/>
        </w:rPr>
        <w:t xml:space="preserve">ESSP disbursements managed through the districts should be reviewed </w:t>
      </w:r>
      <w:r w:rsidR="00EC4423" w:rsidRPr="00EC4423">
        <w:rPr>
          <w:color w:val="000000" w:themeColor="text1"/>
        </w:rPr>
        <w:t xml:space="preserve">and processed where the district does not reduce budget allocations for education in 2012. Where these districts are reverting to decreased per student funding in 2012 and beyond, policy dialogue with these districts should explore the reasons for the decrease before AusAID funds are committed to these districts. </w:t>
      </w:r>
    </w:p>
    <w:p w:rsidR="00EC4423" w:rsidRPr="00EC4423" w:rsidRDefault="00EC4423" w:rsidP="00EC4423">
      <w:pPr>
        <w:pStyle w:val="ListParagraph"/>
        <w:ind w:left="709"/>
        <w:rPr>
          <w:color w:val="000000" w:themeColor="text1"/>
        </w:rPr>
      </w:pPr>
    </w:p>
    <w:p w:rsidR="006065CD" w:rsidRPr="00EC4423" w:rsidRDefault="00EC4423" w:rsidP="00F60A66">
      <w:pPr>
        <w:pStyle w:val="ListParagraph"/>
        <w:numPr>
          <w:ilvl w:val="3"/>
          <w:numId w:val="20"/>
        </w:numPr>
        <w:ind w:left="709" w:hanging="709"/>
        <w:rPr>
          <w:color w:val="000000" w:themeColor="text1"/>
        </w:rPr>
      </w:pPr>
      <w:r w:rsidRPr="00EC4423">
        <w:rPr>
          <w:color w:val="000000" w:themeColor="text1"/>
        </w:rPr>
        <w:t xml:space="preserve">AusAID support GoI in the formulation of a policy framework to </w:t>
      </w:r>
      <w:r w:rsidR="006065CD" w:rsidRPr="00EC4423">
        <w:rPr>
          <w:color w:val="000000" w:themeColor="text1"/>
        </w:rPr>
        <w:t xml:space="preserve">(i) support a change in district education financing policy so that a greater volume and share of districts funds is diverted to education (where that is confirmed to be required), and (ii) mitigate the risk of </w:t>
      </w:r>
      <w:r w:rsidRPr="00EC4423">
        <w:rPr>
          <w:color w:val="000000" w:themeColor="text1"/>
        </w:rPr>
        <w:t xml:space="preserve">the </w:t>
      </w:r>
      <w:r w:rsidR="006065CD" w:rsidRPr="00EC4423">
        <w:rPr>
          <w:color w:val="000000" w:themeColor="text1"/>
        </w:rPr>
        <w:t xml:space="preserve">ESSP driving financial substitution effects at the district level which further weaken existing local allocations for education. </w:t>
      </w:r>
    </w:p>
    <w:p w:rsidR="0044625D" w:rsidRDefault="00CF2102" w:rsidP="00BA7FA0">
      <w:pPr>
        <w:pStyle w:val="Caption"/>
      </w:pPr>
      <w:bookmarkStart w:id="82" w:name="_Toc343595548"/>
      <w:r>
        <w:t xml:space="preserve">Critical Education Funding Status (CEFS) Districts </w:t>
      </w:r>
      <w:r w:rsidR="0044625D">
        <w:t>– Districts with low growth in education budget, low share of district budget and low expenditure per student</w:t>
      </w:r>
      <w:r w:rsidR="001349AA">
        <w:t>, 2009</w:t>
      </w:r>
      <w:r w:rsidR="007700A6">
        <w:t>-2011</w:t>
      </w:r>
      <w:bookmarkEnd w:id="82"/>
    </w:p>
    <w:p w:rsidR="0044625D" w:rsidRPr="00D02C7B" w:rsidRDefault="0044625D" w:rsidP="0044625D">
      <w:pPr>
        <w:spacing w:after="0"/>
        <w:rPr>
          <w:b/>
          <w:i/>
          <w:noProof/>
          <w:lang w:eastAsia="en-AU"/>
        </w:rPr>
      </w:pPr>
    </w:p>
    <w:p w:rsidR="003D08A1" w:rsidRDefault="008D1291" w:rsidP="0044625D">
      <w:pPr>
        <w:spacing w:after="0"/>
        <w:rPr>
          <w:b/>
          <w:i/>
          <w:noProof/>
          <w:lang w:val="en-AU" w:eastAsia="en-AU"/>
        </w:rPr>
      </w:pPr>
      <w:r>
        <w:rPr>
          <w:b/>
          <w:i/>
          <w:noProof/>
          <w:lang w:val="en-AU" w:eastAsia="en-AU"/>
        </w:rPr>
        <w:drawing>
          <wp:inline distT="0" distB="0" distL="0" distR="0" wp14:anchorId="1A12ECC3" wp14:editId="6311A3BE">
            <wp:extent cx="5986732" cy="7401464"/>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86153" cy="7400749"/>
                    </a:xfrm>
                    <a:prstGeom prst="rect">
                      <a:avLst/>
                    </a:prstGeom>
                    <a:noFill/>
                  </pic:spPr>
                </pic:pic>
              </a:graphicData>
            </a:graphic>
          </wp:inline>
        </w:drawing>
      </w:r>
    </w:p>
    <w:p w:rsidR="00CF2102" w:rsidRPr="00B543EF" w:rsidRDefault="00CF2102" w:rsidP="00FF5D20">
      <w:pPr>
        <w:pStyle w:val="Listbullet"/>
        <w:numPr>
          <w:ilvl w:val="0"/>
          <w:numId w:val="0"/>
        </w:numPr>
        <w:rPr>
          <w:color w:val="FF0000"/>
        </w:rPr>
      </w:pPr>
    </w:p>
    <w:p w:rsidR="00E5738D" w:rsidRDefault="00E5738D">
      <w:pPr>
        <w:spacing w:after="0" w:line="240" w:lineRule="auto"/>
        <w:jc w:val="left"/>
        <w:rPr>
          <w:rFonts w:ascii="Cambria" w:hAnsi="Cambria"/>
          <w:b/>
          <w:i/>
          <w:color w:val="C0504D"/>
          <w:spacing w:val="5"/>
          <w:szCs w:val="24"/>
        </w:rPr>
      </w:pPr>
      <w:r>
        <w:br w:type="page"/>
      </w:r>
    </w:p>
    <w:p w:rsidR="00E5738D" w:rsidRDefault="00E5738D" w:rsidP="00627C37">
      <w:pPr>
        <w:pStyle w:val="Heading3"/>
      </w:pPr>
      <w:r w:rsidRPr="00E740D9">
        <w:t>KPI</w:t>
      </w:r>
      <w:r>
        <w:t xml:space="preserve"> </w:t>
      </w:r>
      <w:r w:rsidRPr="00E740D9">
        <w:t>9: Actual district education expenditure as % of planned education expenditure</w:t>
      </w:r>
    </w:p>
    <w:p w:rsidR="00E5738D" w:rsidRDefault="00E5738D" w:rsidP="00BA7FA0">
      <w:pPr>
        <w:pStyle w:val="Caption"/>
      </w:pPr>
      <w:bookmarkStart w:id="83" w:name="_Toc343595549"/>
      <w:r w:rsidRPr="007A0542">
        <w:t xml:space="preserve">Realised Education Expenditure as % of Planned Expenditure  </w:t>
      </w:r>
      <w:r>
        <w:t>2006</w:t>
      </w:r>
      <w:r w:rsidR="00284CDF">
        <w:t xml:space="preserve"> and 2007</w:t>
      </w:r>
      <w:bookmarkEnd w:id="83"/>
    </w:p>
    <w:p w:rsidR="00AA000F" w:rsidRPr="00AA000F" w:rsidRDefault="008D1291" w:rsidP="00AA000F">
      <w:r>
        <w:rPr>
          <w:noProof/>
          <w:lang w:val="en-AU" w:eastAsia="en-AU"/>
        </w:rPr>
        <w:drawing>
          <wp:inline distT="0" distB="0" distL="0" distR="0" wp14:anchorId="36C3A4FD" wp14:editId="0A9D4625">
            <wp:extent cx="5581650" cy="35528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81650" cy="3552825"/>
                    </a:xfrm>
                    <a:prstGeom prst="rect">
                      <a:avLst/>
                    </a:prstGeom>
                    <a:noFill/>
                  </pic:spPr>
                </pic:pic>
              </a:graphicData>
            </a:graphic>
          </wp:inline>
        </w:drawing>
      </w:r>
    </w:p>
    <w:p w:rsidR="00E5738D" w:rsidRDefault="00E5738D" w:rsidP="00627C37">
      <w:pPr>
        <w:spacing w:after="0"/>
      </w:pPr>
    </w:p>
    <w:p w:rsidR="00E5738D" w:rsidRDefault="00E5738D" w:rsidP="00627C37">
      <w:pPr>
        <w:spacing w:after="0"/>
      </w:pPr>
    </w:p>
    <w:tbl>
      <w:tblPr>
        <w:tblW w:w="0" w:type="auto"/>
        <w:jc w:val="center"/>
        <w:tblBorders>
          <w:top w:val="single" w:sz="8" w:space="0" w:color="C0504D"/>
          <w:bottom w:val="single" w:sz="8" w:space="0" w:color="C0504D"/>
        </w:tblBorders>
        <w:tblLook w:val="00A0" w:firstRow="1" w:lastRow="0" w:firstColumn="1" w:lastColumn="0" w:noHBand="0" w:noVBand="0"/>
      </w:tblPr>
      <w:tblGrid>
        <w:gridCol w:w="1931"/>
        <w:gridCol w:w="7051"/>
      </w:tblGrid>
      <w:tr w:rsidR="00E5738D" w:rsidRPr="009B04ED" w:rsidTr="00C273D5">
        <w:trPr>
          <w:jc w:val="center"/>
        </w:trPr>
        <w:tc>
          <w:tcPr>
            <w:tcW w:w="1951" w:type="dxa"/>
            <w:tcBorders>
              <w:top w:val="single" w:sz="8" w:space="0" w:color="C0504D"/>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E5738D" w:rsidRPr="009B04ED" w:rsidRDefault="00E3416C" w:rsidP="00C273D5">
            <w:pPr>
              <w:spacing w:after="60"/>
              <w:jc w:val="left"/>
              <w:rPr>
                <w:color w:val="000000"/>
              </w:rPr>
            </w:pPr>
            <w:r>
              <w:rPr>
                <w:color w:val="000000"/>
              </w:rPr>
              <w:t>Positive</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Data Quality and Availability:</w:t>
            </w:r>
          </w:p>
        </w:tc>
        <w:tc>
          <w:tcPr>
            <w:tcW w:w="7229" w:type="dxa"/>
            <w:tcBorders>
              <w:top w:val="single" w:sz="18" w:space="0" w:color="FFFFFF"/>
              <w:bottom w:val="single" w:sz="18" w:space="0" w:color="FFFFFF"/>
            </w:tcBorders>
            <w:shd w:val="clear" w:color="auto" w:fill="F2F2F2"/>
          </w:tcPr>
          <w:p w:rsidR="00E5738D" w:rsidRPr="009B04ED" w:rsidRDefault="00E3416C" w:rsidP="00CF2102">
            <w:pPr>
              <w:spacing w:after="60"/>
              <w:jc w:val="left"/>
              <w:rPr>
                <w:color w:val="000000"/>
              </w:rPr>
            </w:pPr>
            <w:r>
              <w:rPr>
                <w:color w:val="000000"/>
              </w:rPr>
              <w:t>Budget data for 2006 is from the ‘final revised budget’ documents and reflect the final allocation. Revised budget data</w:t>
            </w:r>
            <w:r w:rsidR="007720E4">
              <w:rPr>
                <w:color w:val="000000"/>
              </w:rPr>
              <w:t xml:space="preserve"> for 2007 was not available. </w:t>
            </w:r>
            <w:r>
              <w:rPr>
                <w:color w:val="000000"/>
              </w:rPr>
              <w:t xml:space="preserve">Data collected is from the ‘planned budget’ documents which reflect a bid by the district education office for funds. This budget may then be revised downwards in the ‘revised final budget’. </w:t>
            </w:r>
            <w:r w:rsidR="00CF2102">
              <w:rPr>
                <w:color w:val="000000"/>
              </w:rPr>
              <w:t>The 2007 financial d</w:t>
            </w:r>
            <w:r>
              <w:rPr>
                <w:color w:val="000000"/>
              </w:rPr>
              <w:t xml:space="preserve">ata is therefore </w:t>
            </w:r>
            <w:r w:rsidR="00CF2102">
              <w:rPr>
                <w:color w:val="000000"/>
              </w:rPr>
              <w:t xml:space="preserve">not from identical planning documents </w:t>
            </w:r>
            <w:r>
              <w:rPr>
                <w:color w:val="000000"/>
              </w:rPr>
              <w:t>and may</w:t>
            </w:r>
            <w:r w:rsidR="009278E9">
              <w:rPr>
                <w:color w:val="000000"/>
              </w:rPr>
              <w:t xml:space="preserve"> </w:t>
            </w:r>
            <w:r>
              <w:rPr>
                <w:color w:val="000000"/>
              </w:rPr>
              <w:t xml:space="preserve">be responsible for an upwards shift in percentage of budget realized as actual expenditure. </w:t>
            </w:r>
            <w:r w:rsidR="0093542F">
              <w:rPr>
                <w:color w:val="000000"/>
              </w:rPr>
              <w:t>No new data was available for 2008 to update this analysis from previous report.</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General Comment:</w:t>
            </w:r>
          </w:p>
        </w:tc>
        <w:tc>
          <w:tcPr>
            <w:tcW w:w="7229" w:type="dxa"/>
            <w:tcBorders>
              <w:top w:val="single" w:sz="18" w:space="0" w:color="FFFFFF"/>
              <w:bottom w:val="single" w:sz="18" w:space="0" w:color="FFFFFF"/>
            </w:tcBorders>
            <w:shd w:val="clear" w:color="auto" w:fill="F2F2F2"/>
          </w:tcPr>
          <w:p w:rsidR="00E5738D" w:rsidRPr="009B04ED" w:rsidRDefault="00E5738D" w:rsidP="00E3416C">
            <w:pPr>
              <w:spacing w:after="60"/>
              <w:jc w:val="left"/>
              <w:rPr>
                <w:color w:val="000000"/>
              </w:rPr>
            </w:pPr>
            <w:r>
              <w:rPr>
                <w:color w:val="000000"/>
              </w:rPr>
              <w:t xml:space="preserve">Districts </w:t>
            </w:r>
            <w:r w:rsidR="00E3416C">
              <w:rPr>
                <w:color w:val="000000"/>
              </w:rPr>
              <w:t>in 2007 managed to spend nearly 100% of their planned budget. This was a significant improvement on 2006 where only 91% of funds were spent nationally.</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BEP Districts:</w:t>
            </w:r>
          </w:p>
        </w:tc>
        <w:tc>
          <w:tcPr>
            <w:tcW w:w="7229" w:type="dxa"/>
            <w:tcBorders>
              <w:top w:val="single" w:sz="18" w:space="0" w:color="FFFFFF"/>
              <w:bottom w:val="single" w:sz="18" w:space="0" w:color="FFFFFF"/>
            </w:tcBorders>
            <w:shd w:val="clear" w:color="auto" w:fill="F2F2F2"/>
          </w:tcPr>
          <w:p w:rsidR="00E5738D" w:rsidRPr="009B04ED" w:rsidRDefault="00E5738D" w:rsidP="00533DCF">
            <w:pPr>
              <w:spacing w:after="60"/>
              <w:jc w:val="left"/>
              <w:rPr>
                <w:color w:val="000000"/>
              </w:rPr>
            </w:pPr>
            <w:r>
              <w:rPr>
                <w:color w:val="000000"/>
              </w:rPr>
              <w:t xml:space="preserve">The average BEP district </w:t>
            </w:r>
            <w:r w:rsidR="00533DCF">
              <w:rPr>
                <w:color w:val="000000"/>
              </w:rPr>
              <w:t xml:space="preserve">increased its actual expenditure to 100% of budgeted allocations in 2007. This was up from a 92%  expenditure in 2006. Non-BEP districts also increased their actual expenditure to nearly 100% of budgeted allocations in 2007. </w:t>
            </w:r>
          </w:p>
        </w:tc>
      </w:tr>
      <w:tr w:rsidR="00E5738D" w:rsidRPr="00601BAF" w:rsidTr="00C273D5">
        <w:trPr>
          <w:jc w:val="center"/>
        </w:trPr>
        <w:tc>
          <w:tcPr>
            <w:tcW w:w="1951" w:type="dxa"/>
            <w:tcBorders>
              <w:top w:val="single" w:sz="18" w:space="0" w:color="FFFFFF"/>
              <w:bottom w:val="single" w:sz="8" w:space="0" w:color="C0504D"/>
            </w:tcBorders>
            <w:shd w:val="clear" w:color="auto" w:fill="F2F2F2"/>
          </w:tcPr>
          <w:p w:rsidR="00E5738D" w:rsidRPr="009B04ED" w:rsidRDefault="00E5738D" w:rsidP="00C273D5">
            <w:pPr>
              <w:spacing w:after="60"/>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E5738D" w:rsidRPr="009B04ED" w:rsidRDefault="00E5738D" w:rsidP="00C273D5">
            <w:pPr>
              <w:spacing w:after="60"/>
              <w:jc w:val="left"/>
              <w:rPr>
                <w:color w:val="000000"/>
              </w:rPr>
            </w:pPr>
            <w:r>
              <w:rPr>
                <w:color w:val="000000"/>
              </w:rPr>
              <w:t>Update 2008</w:t>
            </w:r>
            <w:r w:rsidRPr="009B04ED">
              <w:rPr>
                <w:color w:val="000000"/>
              </w:rPr>
              <w:t xml:space="preserve"> data once collected. </w:t>
            </w:r>
          </w:p>
          <w:p w:rsidR="00E5738D" w:rsidRPr="009B04ED" w:rsidRDefault="00E5738D" w:rsidP="007A0542">
            <w:pPr>
              <w:spacing w:after="60"/>
              <w:jc w:val="left"/>
              <w:rPr>
                <w:color w:val="000000"/>
              </w:rPr>
            </w:pPr>
            <w:r>
              <w:rPr>
                <w:color w:val="000000"/>
              </w:rPr>
              <w:t>Trend series to continue with realized budget data for 2007 to be collected</w:t>
            </w:r>
          </w:p>
        </w:tc>
      </w:tr>
    </w:tbl>
    <w:p w:rsidR="00E5738D" w:rsidRDefault="00E5738D" w:rsidP="00BA7FA0">
      <w:pPr>
        <w:pStyle w:val="Caption"/>
      </w:pPr>
      <w:bookmarkStart w:id="84" w:name="_Toc343595550"/>
      <w:r w:rsidRPr="007A0542">
        <w:t>Realised Education Expenditu</w:t>
      </w:r>
      <w:r>
        <w:t>re as % of Pl</w:t>
      </w:r>
      <w:r w:rsidR="00284CDF">
        <w:t>anned Expenditure 2006-07,</w:t>
      </w:r>
      <w:r>
        <w:t xml:space="preserve"> BEP and Non-BEP districts</w:t>
      </w:r>
      <w:bookmarkEnd w:id="84"/>
    </w:p>
    <w:p w:rsidR="00E5738D" w:rsidRDefault="008D1291" w:rsidP="00627C37">
      <w:pPr>
        <w:spacing w:after="0"/>
        <w:rPr>
          <w:b/>
          <w:i/>
          <w:noProof/>
          <w:lang w:val="en-AU" w:eastAsia="en-AU"/>
        </w:rPr>
      </w:pPr>
      <w:r>
        <w:rPr>
          <w:b/>
          <w:i/>
          <w:noProof/>
          <w:lang w:val="en-AU" w:eastAsia="en-AU"/>
        </w:rPr>
        <w:drawing>
          <wp:inline distT="0" distB="0" distL="0" distR="0" wp14:anchorId="4E98B0D0" wp14:editId="52C3FE51">
            <wp:extent cx="5581650" cy="3228975"/>
            <wp:effectExtent l="19050" t="19050" r="19050" b="285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81650" cy="3228975"/>
                    </a:xfrm>
                    <a:prstGeom prst="rect">
                      <a:avLst/>
                    </a:prstGeom>
                    <a:noFill/>
                    <a:ln>
                      <a:solidFill>
                        <a:schemeClr val="accent1"/>
                      </a:solidFill>
                    </a:ln>
                  </pic:spPr>
                </pic:pic>
              </a:graphicData>
            </a:graphic>
          </wp:inline>
        </w:drawing>
      </w:r>
    </w:p>
    <w:p w:rsidR="00E5738D" w:rsidRDefault="00E5738D" w:rsidP="00C27F00">
      <w:r>
        <w:t xml:space="preserve">Poverty quintile analysis shows that the </w:t>
      </w:r>
      <w:r w:rsidR="000E3805">
        <w:t xml:space="preserve">top two poverty quintile </w:t>
      </w:r>
      <w:r>
        <w:t xml:space="preserve">districts </w:t>
      </w:r>
      <w:r w:rsidR="00746188">
        <w:t xml:space="preserve">on average </w:t>
      </w:r>
      <w:r w:rsidR="000E3805">
        <w:t xml:space="preserve">overspent their planned education budget in 2007. The lowest </w:t>
      </w:r>
      <w:r w:rsidR="00746188">
        <w:t xml:space="preserve">average </w:t>
      </w:r>
      <w:r w:rsidR="005D0445">
        <w:t>rate of realis</w:t>
      </w:r>
      <w:r w:rsidR="000E3805">
        <w:t xml:space="preserve">ation was with the poorest quintile districts that only </w:t>
      </w:r>
      <w:r>
        <w:t xml:space="preserve">spent </w:t>
      </w:r>
      <w:r w:rsidR="000E3805">
        <w:t xml:space="preserve">91% of their planned budget. </w:t>
      </w:r>
    </w:p>
    <w:p w:rsidR="00E5738D" w:rsidRDefault="00E5738D" w:rsidP="00BA7FA0">
      <w:pPr>
        <w:pStyle w:val="Caption"/>
      </w:pPr>
      <w:bookmarkStart w:id="85" w:name="_Toc343595551"/>
      <w:r w:rsidRPr="007A0542">
        <w:t>Realised Education Expenditu</w:t>
      </w:r>
      <w:r>
        <w:t xml:space="preserve">re </w:t>
      </w:r>
      <w:r w:rsidR="00284CDF">
        <w:t>as % of Planned Expenditure 200</w:t>
      </w:r>
      <w:r w:rsidR="00544C85">
        <w:t>6</w:t>
      </w:r>
      <w:r w:rsidR="00284CDF">
        <w:t xml:space="preserve"> and 2007</w:t>
      </w:r>
      <w:r>
        <w:t>, by Poverty Quintile</w:t>
      </w:r>
      <w:bookmarkEnd w:id="85"/>
      <w:r>
        <w:t xml:space="preserve"> </w:t>
      </w:r>
    </w:p>
    <w:p w:rsidR="00E5738D" w:rsidRDefault="008D1291" w:rsidP="00627C37">
      <w:pPr>
        <w:spacing w:after="0" w:line="240" w:lineRule="auto"/>
        <w:jc w:val="left"/>
      </w:pPr>
      <w:r>
        <w:rPr>
          <w:noProof/>
          <w:lang w:val="en-AU" w:eastAsia="en-AU"/>
        </w:rPr>
        <w:drawing>
          <wp:inline distT="0" distB="0" distL="0" distR="0" wp14:anchorId="440052B3" wp14:editId="5B717EBC">
            <wp:extent cx="5581650" cy="4057650"/>
            <wp:effectExtent l="19050" t="19050" r="19050" b="190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81650" cy="4057650"/>
                    </a:xfrm>
                    <a:prstGeom prst="rect">
                      <a:avLst/>
                    </a:prstGeom>
                    <a:noFill/>
                    <a:ln>
                      <a:solidFill>
                        <a:schemeClr val="accent1"/>
                      </a:solidFill>
                    </a:ln>
                  </pic:spPr>
                </pic:pic>
              </a:graphicData>
            </a:graphic>
          </wp:inline>
        </w:drawing>
      </w:r>
    </w:p>
    <w:p w:rsidR="00746188" w:rsidRDefault="00746188" w:rsidP="00627C37">
      <w:pPr>
        <w:spacing w:after="0" w:line="240" w:lineRule="auto"/>
        <w:jc w:val="left"/>
      </w:pPr>
    </w:p>
    <w:p w:rsidR="00746188" w:rsidRDefault="00746188">
      <w:pPr>
        <w:spacing w:after="0" w:line="240" w:lineRule="auto"/>
        <w:jc w:val="left"/>
        <w:rPr>
          <w:rFonts w:ascii="Cambria" w:hAnsi="Cambria"/>
          <w:bCs/>
          <w:i/>
          <w:sz w:val="18"/>
          <w:szCs w:val="18"/>
        </w:rPr>
      </w:pPr>
      <w:r>
        <w:br w:type="page"/>
      </w:r>
    </w:p>
    <w:p w:rsidR="00746188" w:rsidRDefault="00746188" w:rsidP="00BA7FA0">
      <w:pPr>
        <w:pStyle w:val="Caption"/>
      </w:pPr>
      <w:bookmarkStart w:id="86" w:name="_Toc343595552"/>
      <w:r>
        <w:t>Poorest Quintile Districts that realised less than 90% of Education Budget 2007</w:t>
      </w:r>
      <w:bookmarkEnd w:id="86"/>
    </w:p>
    <w:p w:rsidR="00407F4A" w:rsidRPr="00407F4A" w:rsidRDefault="00407F4A" w:rsidP="00407F4A">
      <w:pPr>
        <w:spacing w:after="0"/>
      </w:pPr>
    </w:p>
    <w:p w:rsidR="00746188" w:rsidRDefault="008D1291" w:rsidP="00746188">
      <w:pPr>
        <w:rPr>
          <w:b/>
          <w:i/>
        </w:rPr>
      </w:pPr>
      <w:r>
        <w:rPr>
          <w:b/>
          <w:i/>
          <w:noProof/>
          <w:lang w:val="en-AU" w:eastAsia="en-AU"/>
        </w:rPr>
        <w:drawing>
          <wp:inline distT="0" distB="0" distL="0" distR="0" wp14:anchorId="2C17C6BE" wp14:editId="273035B3">
            <wp:extent cx="5581290" cy="4520242"/>
            <wp:effectExtent l="19050" t="19050" r="19685" b="1397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581650" cy="4520534"/>
                    </a:xfrm>
                    <a:prstGeom prst="rect">
                      <a:avLst/>
                    </a:prstGeom>
                    <a:noFill/>
                    <a:ln>
                      <a:solidFill>
                        <a:schemeClr val="accent1"/>
                      </a:solidFill>
                    </a:ln>
                  </pic:spPr>
                </pic:pic>
              </a:graphicData>
            </a:graphic>
          </wp:inline>
        </w:drawing>
      </w:r>
    </w:p>
    <w:p w:rsidR="00CF2102" w:rsidRDefault="00E5738D" w:rsidP="00CF2102">
      <w:r w:rsidRPr="00FA7E38">
        <w:rPr>
          <w:b/>
          <w:i/>
        </w:rPr>
        <w:t>Policy Implications</w:t>
      </w:r>
      <w:r>
        <w:rPr>
          <w:b/>
          <w:i/>
        </w:rPr>
        <w:t xml:space="preserve">: </w:t>
      </w:r>
      <w:r w:rsidR="00CF2102" w:rsidRPr="002334F0">
        <w:t xml:space="preserve">Too many districts </w:t>
      </w:r>
      <w:r w:rsidR="00CF2102">
        <w:t xml:space="preserve">may be </w:t>
      </w:r>
      <w:r w:rsidR="00CF2102" w:rsidRPr="002334F0">
        <w:t>failing</w:t>
      </w:r>
      <w:r w:rsidR="00CF2102">
        <w:t xml:space="preserve"> to expend their allocated annual education budgets. The difficulty of the poorest districts in expending their budgets is of a particular concern given the access and quality problems in these districts. The quantum of funds may not be the greatest problem facing some districts, and/or there </w:t>
      </w:r>
      <w:r w:rsidR="00F36318">
        <w:t>may be</w:t>
      </w:r>
      <w:r w:rsidR="00CF2102">
        <w:t xml:space="preserve"> other problems related to disbursement restrictions and reporting or planning requirements.</w:t>
      </w:r>
    </w:p>
    <w:p w:rsidR="00CF2102" w:rsidRDefault="00CF2102" w:rsidP="00CF2102">
      <w:r w:rsidRPr="004A7C5D">
        <w:rPr>
          <w:b/>
          <w:i/>
        </w:rPr>
        <w:t>Recommendation:</w:t>
      </w:r>
      <w:r>
        <w:t xml:space="preserve"> A study and policy dialogue with Dinas education offices is required to determine reasons for the under-expenditure of annual education budgets focused on the poorest districts. The study should propose options for improving the uptake of funds that can promote their efficient and effective use for education purposes at the district level.</w:t>
      </w:r>
    </w:p>
    <w:p w:rsidR="00436189" w:rsidRDefault="00E5738D" w:rsidP="007A0F65">
      <w:pPr>
        <w:pStyle w:val="Heading3"/>
        <w:spacing w:after="120"/>
      </w:pPr>
      <w:r>
        <w:br w:type="page"/>
      </w:r>
    </w:p>
    <w:p w:rsidR="00E5738D" w:rsidRDefault="004245BF" w:rsidP="00900951">
      <w:pPr>
        <w:pStyle w:val="Heading3"/>
      </w:pPr>
      <w:r>
        <w:t>SPI</w:t>
      </w:r>
      <w:r w:rsidR="00E5738D">
        <w:t xml:space="preserve">: </w:t>
      </w:r>
      <w:r w:rsidR="000F7FAC">
        <w:t xml:space="preserve">Discretionary </w:t>
      </w:r>
      <w:r w:rsidR="00E5738D" w:rsidRPr="004F53DB">
        <w:t xml:space="preserve">School Expenditure </w:t>
      </w:r>
      <w:r w:rsidR="00E5738D">
        <w:t>as Percentage</w:t>
      </w:r>
      <w:r w:rsidR="00E5738D" w:rsidRPr="004F53DB">
        <w:t xml:space="preserve"> </w:t>
      </w:r>
      <w:r w:rsidR="00E5738D">
        <w:t>o</w:t>
      </w:r>
      <w:r w:rsidR="00E5738D" w:rsidRPr="004F53DB">
        <w:t>f Total Education Expenditure</w:t>
      </w:r>
    </w:p>
    <w:p w:rsidR="00E5738D" w:rsidRDefault="00E5738D" w:rsidP="00BA7FA0">
      <w:pPr>
        <w:pStyle w:val="Caption"/>
      </w:pPr>
      <w:bookmarkStart w:id="87" w:name="_Toc343595553"/>
      <w:r w:rsidRPr="00D33073">
        <w:t>BOS Grants as % of</w:t>
      </w:r>
      <w:r>
        <w:t xml:space="preserve"> Education &amp; Culture Budget 2006-20</w:t>
      </w:r>
      <w:r w:rsidR="00931319">
        <w:t>10</w:t>
      </w:r>
      <w:r w:rsidR="006E1D89">
        <w:t xml:space="preserve"> (public schools only)</w:t>
      </w:r>
      <w:bookmarkEnd w:id="87"/>
    </w:p>
    <w:p w:rsidR="00407F4A" w:rsidRPr="00407F4A" w:rsidRDefault="00407F4A" w:rsidP="00407F4A">
      <w:pPr>
        <w:spacing w:after="0"/>
      </w:pPr>
    </w:p>
    <w:p w:rsidR="00E5738D" w:rsidRDefault="008D1291" w:rsidP="00D17135">
      <w:r>
        <w:rPr>
          <w:noProof/>
          <w:lang w:val="en-AU" w:eastAsia="en-AU"/>
        </w:rPr>
        <w:drawing>
          <wp:inline distT="0" distB="0" distL="0" distR="0" wp14:anchorId="7F88E339" wp14:editId="418201AF">
            <wp:extent cx="5560828" cy="3242930"/>
            <wp:effectExtent l="19050" t="19050" r="20955" b="1524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69565" cy="3248025"/>
                    </a:xfrm>
                    <a:prstGeom prst="rect">
                      <a:avLst/>
                    </a:prstGeom>
                    <a:noFill/>
                    <a:ln>
                      <a:solidFill>
                        <a:schemeClr val="accent1"/>
                      </a:solidFill>
                    </a:ln>
                  </pic:spPr>
                </pic:pic>
              </a:graphicData>
            </a:graphic>
          </wp:inline>
        </w:drawing>
      </w:r>
    </w:p>
    <w:p w:rsidR="001A2387" w:rsidRDefault="001A2387" w:rsidP="001A2387">
      <w:pPr>
        <w:pStyle w:val="Caption"/>
      </w:pPr>
      <w:bookmarkStart w:id="88" w:name="_Toc343595554"/>
      <w:r>
        <w:t xml:space="preserve">BEP and Non-BEP Districts - </w:t>
      </w:r>
      <w:r w:rsidRPr="00D33073">
        <w:t>BOS Grants as % of</w:t>
      </w:r>
      <w:r>
        <w:t xml:space="preserve"> Education &amp; Culture Budget 2006-2011</w:t>
      </w:r>
      <w:bookmarkEnd w:id="88"/>
    </w:p>
    <w:p w:rsidR="001A2387" w:rsidRPr="008E3588" w:rsidRDefault="001A2387" w:rsidP="001A2387">
      <w:pPr>
        <w:spacing w:after="0"/>
      </w:pPr>
    </w:p>
    <w:p w:rsidR="001A2387" w:rsidRDefault="001A2387" w:rsidP="001A2387">
      <w:pPr>
        <w:pStyle w:val="BodyText"/>
        <w:spacing w:after="0"/>
      </w:pPr>
      <w:r>
        <w:rPr>
          <w:noProof/>
          <w:lang w:val="en-AU" w:eastAsia="en-AU"/>
        </w:rPr>
        <w:drawing>
          <wp:inline distT="0" distB="0" distL="0" distR="0" wp14:anchorId="338779B5" wp14:editId="6F54D424">
            <wp:extent cx="5580708" cy="3681351"/>
            <wp:effectExtent l="0" t="0" r="127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581650" cy="3681972"/>
                    </a:xfrm>
                    <a:prstGeom prst="rect">
                      <a:avLst/>
                    </a:prstGeom>
                    <a:noFill/>
                  </pic:spPr>
                </pic:pic>
              </a:graphicData>
            </a:graphic>
          </wp:inline>
        </w:drawing>
      </w:r>
    </w:p>
    <w:p w:rsidR="001A2387" w:rsidRDefault="001A2387">
      <w:pPr>
        <w:spacing w:after="0" w:line="240" w:lineRule="auto"/>
        <w:jc w:val="left"/>
        <w:rPr>
          <w:sz w:val="16"/>
          <w:szCs w:val="16"/>
          <w:highlight w:val="yellow"/>
        </w:rPr>
      </w:pPr>
      <w:r>
        <w:rPr>
          <w:sz w:val="16"/>
          <w:szCs w:val="16"/>
          <w:highlight w:val="yellow"/>
        </w:rPr>
        <w:br w:type="page"/>
      </w:r>
    </w:p>
    <w:p w:rsidR="00E5738D" w:rsidRPr="005D67BF" w:rsidRDefault="00E5738D" w:rsidP="005D67BF">
      <w:pPr>
        <w:spacing w:after="0"/>
        <w:rPr>
          <w:sz w:val="16"/>
          <w:szCs w:val="16"/>
          <w:highlight w:val="yellow"/>
        </w:rPr>
      </w:pPr>
    </w:p>
    <w:tbl>
      <w:tblPr>
        <w:tblW w:w="0" w:type="auto"/>
        <w:tblBorders>
          <w:top w:val="single" w:sz="8" w:space="0" w:color="C0504D"/>
          <w:bottom w:val="single" w:sz="8" w:space="0" w:color="C0504D"/>
        </w:tblBorders>
        <w:tblLook w:val="00A0" w:firstRow="1" w:lastRow="0" w:firstColumn="1" w:lastColumn="0" w:noHBand="0" w:noVBand="0"/>
      </w:tblPr>
      <w:tblGrid>
        <w:gridCol w:w="1927"/>
        <w:gridCol w:w="7055"/>
      </w:tblGrid>
      <w:tr w:rsidR="00E5738D" w:rsidRPr="009B04ED" w:rsidTr="00E35F11">
        <w:trPr>
          <w:cantSplit/>
        </w:trPr>
        <w:tc>
          <w:tcPr>
            <w:tcW w:w="1951" w:type="dxa"/>
            <w:tcBorders>
              <w:top w:val="single" w:sz="8" w:space="0" w:color="C0504D"/>
              <w:bottom w:val="single" w:sz="18" w:space="0" w:color="FFFFFF"/>
            </w:tcBorders>
            <w:shd w:val="clear" w:color="auto" w:fill="F2F2F2"/>
          </w:tcPr>
          <w:p w:rsidR="00E5738D" w:rsidRPr="009B04ED" w:rsidRDefault="00E5738D" w:rsidP="00897386">
            <w:pPr>
              <w:spacing w:after="60"/>
              <w:jc w:val="left"/>
              <w:rPr>
                <w:b/>
                <w:bCs/>
                <w:color w:val="000000"/>
              </w:rPr>
            </w:pPr>
            <w:r w:rsidRPr="009B04ED">
              <w:rPr>
                <w:b/>
                <w:bCs/>
                <w:color w:val="000000"/>
              </w:rPr>
              <w:t>Meaning of the Indicator:</w:t>
            </w:r>
          </w:p>
        </w:tc>
        <w:tc>
          <w:tcPr>
            <w:tcW w:w="7229" w:type="dxa"/>
            <w:tcBorders>
              <w:top w:val="single" w:sz="8" w:space="0" w:color="C0504D"/>
              <w:bottom w:val="single" w:sz="18" w:space="0" w:color="FFFFFF"/>
            </w:tcBorders>
            <w:shd w:val="clear" w:color="auto" w:fill="F2F2F2"/>
          </w:tcPr>
          <w:p w:rsidR="00E5738D" w:rsidRPr="009B04ED" w:rsidRDefault="00E5738D" w:rsidP="00897386">
            <w:pPr>
              <w:spacing w:after="60"/>
              <w:jc w:val="left"/>
              <w:rPr>
                <w:color w:val="000000"/>
              </w:rPr>
            </w:pPr>
            <w:r w:rsidRPr="009B04ED">
              <w:rPr>
                <w:color w:val="000000"/>
              </w:rPr>
              <w:t>Discretionary expenditure is a key variable at the school level to enable schools to provide materials for classrooms and other activities.</w:t>
            </w:r>
          </w:p>
        </w:tc>
      </w:tr>
      <w:tr w:rsidR="00E5738D" w:rsidRPr="009B04ED" w:rsidTr="00E35F11">
        <w:trPr>
          <w:cantSplit/>
        </w:trPr>
        <w:tc>
          <w:tcPr>
            <w:tcW w:w="1951" w:type="dxa"/>
            <w:tcBorders>
              <w:top w:val="single" w:sz="8" w:space="0" w:color="C0504D"/>
              <w:bottom w:val="single" w:sz="18" w:space="0" w:color="FFFFFF"/>
            </w:tcBorders>
            <w:shd w:val="clear" w:color="auto" w:fill="F2F2F2"/>
          </w:tcPr>
          <w:p w:rsidR="00E5738D" w:rsidRPr="009B04ED" w:rsidRDefault="00E5738D" w:rsidP="00897386">
            <w:pPr>
              <w:spacing w:after="6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E5738D" w:rsidRPr="009B04ED" w:rsidRDefault="00745D20" w:rsidP="00897386">
            <w:pPr>
              <w:spacing w:after="60"/>
              <w:jc w:val="left"/>
              <w:rPr>
                <w:color w:val="000000"/>
              </w:rPr>
            </w:pPr>
            <w:r>
              <w:rPr>
                <w:color w:val="000000"/>
              </w:rPr>
              <w:t>Positive</w:t>
            </w:r>
          </w:p>
        </w:tc>
      </w:tr>
      <w:tr w:rsidR="00E5738D" w:rsidRPr="00601BAF" w:rsidTr="00E35F11">
        <w:trPr>
          <w:cantSplit/>
        </w:trPr>
        <w:tc>
          <w:tcPr>
            <w:tcW w:w="1951" w:type="dxa"/>
            <w:tcBorders>
              <w:top w:val="single" w:sz="18" w:space="0" w:color="FFFFFF"/>
              <w:bottom w:val="single" w:sz="18" w:space="0" w:color="FFFFFF"/>
            </w:tcBorders>
            <w:shd w:val="clear" w:color="auto" w:fill="F2F2F2"/>
          </w:tcPr>
          <w:p w:rsidR="00E5738D" w:rsidRPr="009B04ED" w:rsidRDefault="00E5738D" w:rsidP="00897386">
            <w:pPr>
              <w:spacing w:after="60"/>
              <w:jc w:val="left"/>
              <w:rPr>
                <w:b/>
                <w:bCs/>
                <w:color w:val="000000"/>
              </w:rPr>
            </w:pPr>
            <w:r w:rsidRPr="009B04ED">
              <w:rPr>
                <w:b/>
                <w:bCs/>
                <w:color w:val="000000"/>
              </w:rPr>
              <w:t>Data Quality:</w:t>
            </w:r>
          </w:p>
        </w:tc>
        <w:tc>
          <w:tcPr>
            <w:tcW w:w="7229" w:type="dxa"/>
            <w:tcBorders>
              <w:top w:val="single" w:sz="18" w:space="0" w:color="FFFFFF"/>
              <w:bottom w:val="single" w:sz="18" w:space="0" w:color="FFFFFF"/>
            </w:tcBorders>
            <w:shd w:val="clear" w:color="auto" w:fill="F2F2F2"/>
          </w:tcPr>
          <w:p w:rsidR="00E5738D" w:rsidRDefault="00E5738D" w:rsidP="00897386">
            <w:pPr>
              <w:spacing w:after="60"/>
              <w:jc w:val="left"/>
              <w:rPr>
                <w:color w:val="000000"/>
              </w:rPr>
            </w:pPr>
            <w:r w:rsidRPr="009B04ED">
              <w:rPr>
                <w:color w:val="000000"/>
              </w:rPr>
              <w:t>BOS grants are used as a proxy variable for discretionary expenditure. The BOS funds are distributed directly to schools from the central government via MoNE. Schools will also collect other funds from parents and/or the district level of government. These other amounts are not reported on at a national level. The BOS grants indicate the average minimum discretionary funds available to schools.</w:t>
            </w:r>
          </w:p>
          <w:p w:rsidR="00E5738D" w:rsidRPr="009B04ED" w:rsidRDefault="00F36318" w:rsidP="00A0428B">
            <w:pPr>
              <w:spacing w:after="60"/>
              <w:jc w:val="left"/>
              <w:rPr>
                <w:color w:val="000000"/>
              </w:rPr>
            </w:pPr>
            <w:r>
              <w:rPr>
                <w:color w:val="000000"/>
              </w:rPr>
              <w:t>This report (and the previous 2008</w:t>
            </w:r>
            <w:r w:rsidR="00B731AE">
              <w:rPr>
                <w:color w:val="000000"/>
              </w:rPr>
              <w:t>, 2009</w:t>
            </w:r>
            <w:r w:rsidR="00A0428B">
              <w:rPr>
                <w:color w:val="000000"/>
              </w:rPr>
              <w:t>, 2010</w:t>
            </w:r>
            <w:r>
              <w:rPr>
                <w:color w:val="000000"/>
              </w:rPr>
              <w:t xml:space="preserve"> report</w:t>
            </w:r>
            <w:r w:rsidR="00B731AE">
              <w:rPr>
                <w:color w:val="000000"/>
              </w:rPr>
              <w:t>s</w:t>
            </w:r>
            <w:r>
              <w:rPr>
                <w:color w:val="000000"/>
              </w:rPr>
              <w:t>) calculat</w:t>
            </w:r>
            <w:r w:rsidR="00A0428B">
              <w:rPr>
                <w:color w:val="000000"/>
              </w:rPr>
              <w:t>e</w:t>
            </w:r>
            <w:r w:rsidR="00745D20">
              <w:rPr>
                <w:color w:val="000000"/>
              </w:rPr>
              <w:t xml:space="preserve"> </w:t>
            </w:r>
            <w:r w:rsidR="00B731AE">
              <w:rPr>
                <w:color w:val="000000"/>
              </w:rPr>
              <w:t xml:space="preserve">the value of </w:t>
            </w:r>
            <w:r w:rsidR="00E5738D">
              <w:rPr>
                <w:color w:val="000000"/>
              </w:rPr>
              <w:t xml:space="preserve">BOS grants distributed to public schools. </w:t>
            </w:r>
            <w:r w:rsidR="00745D20">
              <w:rPr>
                <w:color w:val="000000"/>
              </w:rPr>
              <w:t xml:space="preserve">They do </w:t>
            </w:r>
            <w:r w:rsidR="00E5738D">
              <w:rPr>
                <w:color w:val="000000"/>
              </w:rPr>
              <w:t xml:space="preserve">not include BOS grants distributed by MoRA to madrasah in the district. </w:t>
            </w:r>
          </w:p>
        </w:tc>
      </w:tr>
      <w:tr w:rsidR="00E5738D" w:rsidRPr="00601BAF" w:rsidTr="00E35F11">
        <w:trPr>
          <w:cantSplit/>
        </w:trPr>
        <w:tc>
          <w:tcPr>
            <w:tcW w:w="1951" w:type="dxa"/>
            <w:tcBorders>
              <w:top w:val="single" w:sz="18" w:space="0" w:color="FFFFFF"/>
              <w:bottom w:val="single" w:sz="18" w:space="0" w:color="FFFFFF"/>
            </w:tcBorders>
            <w:shd w:val="clear" w:color="auto" w:fill="F2F2F2"/>
          </w:tcPr>
          <w:p w:rsidR="00E5738D" w:rsidRPr="009B04ED" w:rsidRDefault="00E5738D" w:rsidP="00897386">
            <w:pPr>
              <w:spacing w:after="60"/>
              <w:jc w:val="left"/>
              <w:rPr>
                <w:b/>
                <w:bCs/>
                <w:color w:val="000000"/>
              </w:rPr>
            </w:pPr>
            <w:r w:rsidRPr="009B04ED">
              <w:rPr>
                <w:b/>
                <w:bCs/>
                <w:color w:val="000000"/>
              </w:rPr>
              <w:t>General Comment:</w:t>
            </w:r>
          </w:p>
        </w:tc>
        <w:tc>
          <w:tcPr>
            <w:tcW w:w="7229" w:type="dxa"/>
            <w:tcBorders>
              <w:top w:val="single" w:sz="18" w:space="0" w:color="FFFFFF"/>
              <w:bottom w:val="single" w:sz="18" w:space="0" w:color="FFFFFF"/>
            </w:tcBorders>
            <w:shd w:val="clear" w:color="auto" w:fill="F2F2F2"/>
          </w:tcPr>
          <w:p w:rsidR="00E5738D" w:rsidRDefault="00E5738D" w:rsidP="00897386">
            <w:pPr>
              <w:spacing w:after="120"/>
              <w:jc w:val="left"/>
              <w:rPr>
                <w:color w:val="000000"/>
              </w:rPr>
            </w:pPr>
            <w:r w:rsidRPr="009B04ED">
              <w:rPr>
                <w:color w:val="000000"/>
              </w:rPr>
              <w:t xml:space="preserve">The BOS grants </w:t>
            </w:r>
            <w:r>
              <w:rPr>
                <w:color w:val="000000"/>
              </w:rPr>
              <w:t xml:space="preserve">distributed by districts provide a key source of discretionary funds available to schools under their own management. They </w:t>
            </w:r>
            <w:r w:rsidRPr="009B04ED">
              <w:rPr>
                <w:color w:val="000000"/>
              </w:rPr>
              <w:t xml:space="preserve">have injected a dramatic new dimension to school resourcing. Direct payment to schools </w:t>
            </w:r>
            <w:r w:rsidR="00745D20">
              <w:rPr>
                <w:color w:val="000000"/>
              </w:rPr>
              <w:t>minimize</w:t>
            </w:r>
            <w:r w:rsidR="00BB6C65">
              <w:rPr>
                <w:color w:val="000000"/>
              </w:rPr>
              <w:t>s</w:t>
            </w:r>
            <w:r w:rsidR="00745D20">
              <w:rPr>
                <w:color w:val="000000"/>
              </w:rPr>
              <w:t xml:space="preserve"> </w:t>
            </w:r>
            <w:r w:rsidRPr="009B04ED">
              <w:rPr>
                <w:color w:val="000000"/>
              </w:rPr>
              <w:t>the opportunities for leakage before the funds reach the school.</w:t>
            </w:r>
          </w:p>
          <w:p w:rsidR="00E5738D" w:rsidRDefault="00E5738D" w:rsidP="00897386">
            <w:pPr>
              <w:spacing w:after="120"/>
              <w:jc w:val="left"/>
              <w:rPr>
                <w:color w:val="000000"/>
              </w:rPr>
            </w:pPr>
            <w:r w:rsidRPr="009B04ED">
              <w:rPr>
                <w:color w:val="000000"/>
              </w:rPr>
              <w:t xml:space="preserve">BOS grants offer great potential for funding innovative and </w:t>
            </w:r>
            <w:r>
              <w:rPr>
                <w:color w:val="000000"/>
              </w:rPr>
              <w:t xml:space="preserve">securely </w:t>
            </w:r>
            <w:r w:rsidRPr="009B04ED">
              <w:rPr>
                <w:color w:val="000000"/>
              </w:rPr>
              <w:t xml:space="preserve">resourced interventions at schools that have an ongoing recurrent funding base. This allows school principals to plan around these allocations instead of pursuing submission based </w:t>
            </w:r>
            <w:r w:rsidR="00333263">
              <w:rPr>
                <w:color w:val="000000"/>
              </w:rPr>
              <w:t xml:space="preserve">grant </w:t>
            </w:r>
            <w:r w:rsidRPr="009B04ED">
              <w:rPr>
                <w:color w:val="000000"/>
              </w:rPr>
              <w:t>models.</w:t>
            </w:r>
          </w:p>
          <w:p w:rsidR="00E5738D" w:rsidRDefault="001F0432" w:rsidP="00897386">
            <w:pPr>
              <w:spacing w:after="120"/>
              <w:jc w:val="left"/>
              <w:rPr>
                <w:color w:val="000000"/>
              </w:rPr>
            </w:pPr>
            <w:r>
              <w:rPr>
                <w:color w:val="000000"/>
              </w:rPr>
              <w:t>I</w:t>
            </w:r>
            <w:r w:rsidR="00745D20">
              <w:rPr>
                <w:color w:val="000000"/>
              </w:rPr>
              <w:t>n 2009</w:t>
            </w:r>
            <w:r w:rsidR="00B731AE">
              <w:rPr>
                <w:color w:val="000000"/>
              </w:rPr>
              <w:t xml:space="preserve"> and 2010</w:t>
            </w:r>
            <w:r w:rsidR="00745D20">
              <w:rPr>
                <w:color w:val="000000"/>
              </w:rPr>
              <w:t xml:space="preserve"> </w:t>
            </w:r>
            <w:r w:rsidR="00E5738D">
              <w:rPr>
                <w:color w:val="000000"/>
              </w:rPr>
              <w:t>BOS contributed funds directly to pub</w:t>
            </w:r>
            <w:r w:rsidR="00745D20">
              <w:rPr>
                <w:color w:val="000000"/>
              </w:rPr>
              <w:t xml:space="preserve">lic schools </w:t>
            </w:r>
            <w:r>
              <w:rPr>
                <w:color w:val="000000"/>
              </w:rPr>
              <w:t xml:space="preserve">equivalent to </w:t>
            </w:r>
            <w:r w:rsidR="00745D20">
              <w:rPr>
                <w:color w:val="000000"/>
              </w:rPr>
              <w:t>approximate</w:t>
            </w:r>
            <w:r>
              <w:rPr>
                <w:color w:val="000000"/>
              </w:rPr>
              <w:t>ly 13</w:t>
            </w:r>
            <w:r w:rsidR="00E5738D">
              <w:rPr>
                <w:color w:val="000000"/>
              </w:rPr>
              <w:t xml:space="preserve">% of total </w:t>
            </w:r>
            <w:r w:rsidR="00E5738D" w:rsidRPr="009B04ED">
              <w:rPr>
                <w:color w:val="000000"/>
              </w:rPr>
              <w:t xml:space="preserve">district level education expenditure </w:t>
            </w:r>
            <w:r w:rsidR="00E5738D">
              <w:rPr>
                <w:color w:val="000000"/>
              </w:rPr>
              <w:t xml:space="preserve">for public schools. </w:t>
            </w:r>
          </w:p>
          <w:p w:rsidR="00A0428B" w:rsidRDefault="00030C66" w:rsidP="00897386">
            <w:pPr>
              <w:spacing w:after="120"/>
              <w:jc w:val="left"/>
            </w:pPr>
            <w:r>
              <w:t>From 2011</w:t>
            </w:r>
            <w:r w:rsidR="00A0428B">
              <w:t xml:space="preserve">, the BOS funds represent a </w:t>
            </w:r>
            <w:r>
              <w:t xml:space="preserve">slightly </w:t>
            </w:r>
            <w:r w:rsidR="00A0428B">
              <w:t>smaller share of total expenditure</w:t>
            </w:r>
            <w:r>
              <w:t xml:space="preserve"> (12%)</w:t>
            </w:r>
            <w:r w:rsidR="00A0428B">
              <w:t xml:space="preserve"> as teacher salaries and allowances increase. These salary and emolument increases are a flow on effect of the teacher certification process and will continue for a few more years (at least until 2015).</w:t>
            </w:r>
          </w:p>
          <w:p w:rsidR="00E5738D" w:rsidRPr="009B04ED" w:rsidRDefault="00A0428B" w:rsidP="008B3C5D">
            <w:pPr>
              <w:spacing w:after="120"/>
              <w:jc w:val="left"/>
              <w:rPr>
                <w:color w:val="000000"/>
              </w:rPr>
            </w:pPr>
            <w:r>
              <w:t xml:space="preserve">It is possible that BOS allocations will have another spike in 2013 or 2014 if the GoI goes ahead with stated intentions to introduce a BOS allowance for the senior secondary level of schooling. </w:t>
            </w:r>
            <w:r w:rsidR="008B3C5D">
              <w:t xml:space="preserve">In this case, </w:t>
            </w:r>
            <w:r>
              <w:t>BOS allocations are likely to equal more than 15% of total district expenditure for schooling</w:t>
            </w:r>
            <w:r w:rsidR="00030C66">
              <w:t>.</w:t>
            </w:r>
          </w:p>
        </w:tc>
      </w:tr>
      <w:tr w:rsidR="00E5738D" w:rsidRPr="00601BAF" w:rsidTr="00E35F11">
        <w:trPr>
          <w:cantSplit/>
        </w:trPr>
        <w:tc>
          <w:tcPr>
            <w:tcW w:w="1951" w:type="dxa"/>
            <w:tcBorders>
              <w:top w:val="single" w:sz="18" w:space="0" w:color="FFFFFF"/>
              <w:bottom w:val="single" w:sz="18" w:space="0" w:color="FFFFFF"/>
            </w:tcBorders>
            <w:shd w:val="clear" w:color="auto" w:fill="F2F2F2"/>
          </w:tcPr>
          <w:p w:rsidR="00E5738D" w:rsidRPr="009B04ED" w:rsidRDefault="00E5738D" w:rsidP="00897386">
            <w:pPr>
              <w:spacing w:after="60"/>
              <w:jc w:val="left"/>
              <w:rPr>
                <w:b/>
                <w:bCs/>
                <w:color w:val="000000"/>
              </w:rPr>
            </w:pPr>
            <w:r w:rsidRPr="009B04ED">
              <w:rPr>
                <w:b/>
                <w:bCs/>
                <w:color w:val="000000"/>
              </w:rPr>
              <w:t>BEP Districts:</w:t>
            </w:r>
          </w:p>
        </w:tc>
        <w:tc>
          <w:tcPr>
            <w:tcW w:w="7229" w:type="dxa"/>
            <w:tcBorders>
              <w:top w:val="single" w:sz="18" w:space="0" w:color="FFFFFF"/>
              <w:bottom w:val="single" w:sz="18" w:space="0" w:color="FFFFFF"/>
            </w:tcBorders>
            <w:shd w:val="clear" w:color="auto" w:fill="F2F2F2"/>
          </w:tcPr>
          <w:p w:rsidR="00E5738D" w:rsidRPr="009B04ED" w:rsidRDefault="00E5738D" w:rsidP="00621705">
            <w:pPr>
              <w:spacing w:after="60"/>
              <w:jc w:val="left"/>
              <w:rPr>
                <w:color w:val="000000"/>
              </w:rPr>
            </w:pPr>
            <w:r>
              <w:rPr>
                <w:color w:val="000000"/>
              </w:rPr>
              <w:t xml:space="preserve">BOS grants in BEP districts </w:t>
            </w:r>
            <w:r w:rsidR="00621705">
              <w:rPr>
                <w:color w:val="000000"/>
              </w:rPr>
              <w:t>total approximately 11% of the value of the average district budget in 2011</w:t>
            </w:r>
            <w:r w:rsidR="00B731AE">
              <w:rPr>
                <w:color w:val="000000"/>
              </w:rPr>
              <w:t>.</w:t>
            </w:r>
            <w:r>
              <w:rPr>
                <w:color w:val="000000"/>
              </w:rPr>
              <w:t xml:space="preserve"> This compares with </w:t>
            </w:r>
            <w:r w:rsidR="00745D20">
              <w:rPr>
                <w:color w:val="000000"/>
              </w:rPr>
              <w:t>non-BEP districts</w:t>
            </w:r>
            <w:r w:rsidR="00B731AE">
              <w:rPr>
                <w:color w:val="000000"/>
              </w:rPr>
              <w:t xml:space="preserve"> where </w:t>
            </w:r>
            <w:r w:rsidR="00621705">
              <w:rPr>
                <w:color w:val="000000"/>
              </w:rPr>
              <w:t>they amounted to 12% of the value of district budgets in 2011.</w:t>
            </w:r>
          </w:p>
        </w:tc>
      </w:tr>
      <w:tr w:rsidR="00E5738D" w:rsidRPr="00601BAF" w:rsidTr="00E35F11">
        <w:trPr>
          <w:cantSplit/>
        </w:trPr>
        <w:tc>
          <w:tcPr>
            <w:tcW w:w="1951" w:type="dxa"/>
            <w:tcBorders>
              <w:top w:val="single" w:sz="18" w:space="0" w:color="FFFFFF"/>
              <w:bottom w:val="single" w:sz="8" w:space="0" w:color="C0504D"/>
            </w:tcBorders>
            <w:shd w:val="clear" w:color="auto" w:fill="F2F2F2"/>
          </w:tcPr>
          <w:p w:rsidR="00E5738D" w:rsidRPr="009B04ED" w:rsidRDefault="00E5738D" w:rsidP="00897386">
            <w:pPr>
              <w:spacing w:after="60"/>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E5738D" w:rsidRPr="009B04ED" w:rsidRDefault="00E5738D" w:rsidP="00745D20">
            <w:pPr>
              <w:spacing w:after="60"/>
              <w:jc w:val="left"/>
              <w:rPr>
                <w:color w:val="000000"/>
              </w:rPr>
            </w:pPr>
            <w:r w:rsidRPr="009B04ED">
              <w:rPr>
                <w:color w:val="000000"/>
              </w:rPr>
              <w:t>U</w:t>
            </w:r>
            <w:r>
              <w:rPr>
                <w:color w:val="000000"/>
              </w:rPr>
              <w:t xml:space="preserve">pdate </w:t>
            </w:r>
            <w:r w:rsidR="00A0428B">
              <w:rPr>
                <w:color w:val="000000"/>
              </w:rPr>
              <w:t>with 2012</w:t>
            </w:r>
            <w:r w:rsidR="00745D20">
              <w:rPr>
                <w:color w:val="000000"/>
              </w:rPr>
              <w:t xml:space="preserve"> data </w:t>
            </w:r>
          </w:p>
        </w:tc>
      </w:tr>
    </w:tbl>
    <w:p w:rsidR="00E5738D" w:rsidRDefault="00E5738D" w:rsidP="005D67BF">
      <w:pPr>
        <w:pStyle w:val="BodyText"/>
        <w:spacing w:after="0"/>
      </w:pPr>
    </w:p>
    <w:p w:rsidR="00E5738D" w:rsidRPr="00E45EDE" w:rsidRDefault="00E5738D" w:rsidP="005D67BF">
      <w:r w:rsidRPr="00E45EDE">
        <w:t xml:space="preserve">BOS grants as a percentage of total education expenditure are affected by the share of students progressing to secondary education. The per capita BOS grants for junior secondary students are 35% higher in value than grants for primary students. Districts with higher proportionate enrolment at secondary level have an increased proportionate weight in their BOS grants. As a consequence, inter-poverty quintile comparisons are distorted by </w:t>
      </w:r>
      <w:r w:rsidR="00B731AE" w:rsidRPr="00E45EDE">
        <w:t xml:space="preserve">differences </w:t>
      </w:r>
      <w:r w:rsidR="00A0428B">
        <w:t xml:space="preserve">in </w:t>
      </w:r>
      <w:r w:rsidRPr="00E45EDE">
        <w:t xml:space="preserve">secondary level </w:t>
      </w:r>
      <w:r w:rsidR="00B731AE" w:rsidRPr="00E45EDE">
        <w:t xml:space="preserve">enrolment </w:t>
      </w:r>
      <w:r w:rsidRPr="00E45EDE">
        <w:t xml:space="preserve">rates. </w:t>
      </w:r>
    </w:p>
    <w:p w:rsidR="00E5738D" w:rsidRDefault="006D2220" w:rsidP="005D67BF">
      <w:r w:rsidRPr="00E45EDE">
        <w:t>T</w:t>
      </w:r>
      <w:r w:rsidR="00E5738D" w:rsidRPr="00E45EDE">
        <w:t xml:space="preserve">he significance of the BOS expenditures in comparison with total district expenditures </w:t>
      </w:r>
      <w:r w:rsidRPr="00E45EDE">
        <w:t xml:space="preserve">declined </w:t>
      </w:r>
      <w:r w:rsidR="00E5738D" w:rsidRPr="00E45EDE">
        <w:t>for districts across all poverty quintiles</w:t>
      </w:r>
      <w:r w:rsidRPr="00E45EDE">
        <w:t xml:space="preserve"> between 2007 and 2008. This reflected</w:t>
      </w:r>
      <w:r w:rsidR="00E5738D" w:rsidRPr="00E45EDE">
        <w:t xml:space="preserve"> the expanding outlays for education being made by the district levels of government during this period.</w:t>
      </w:r>
      <w:r w:rsidRPr="00E45EDE">
        <w:t xml:space="preserve"> However by 2009 and with the impact of the increase in the size of the per capita grants, the BOS had again </w:t>
      </w:r>
      <w:r w:rsidR="00333263" w:rsidRPr="00E45EDE">
        <w:t xml:space="preserve">risen </w:t>
      </w:r>
      <w:r w:rsidRPr="00E45EDE">
        <w:t>in significance to 2006 levels.</w:t>
      </w:r>
    </w:p>
    <w:p w:rsidR="00E45EDE" w:rsidRDefault="00E45EDE" w:rsidP="005D67BF">
      <w:r>
        <w:t>F</w:t>
      </w:r>
      <w:r w:rsidR="00030C66">
        <w:t>rom 2011</w:t>
      </w:r>
      <w:r>
        <w:t xml:space="preserve">, the BOS funds </w:t>
      </w:r>
      <w:r w:rsidR="00AE2452">
        <w:t xml:space="preserve">represent a smaller share of total expenditure as teacher salaries and allowances increase. These salary and emolument increases are a flow on effect of the teacher certification process and will continue for a few more years (at least until 2015). </w:t>
      </w:r>
      <w:r w:rsidR="001A2387">
        <w:t>In addition to salary increases, 2011 saw increases in district allocations for capital expenditures and other operational expenses.</w:t>
      </w:r>
    </w:p>
    <w:p w:rsidR="00AE2452" w:rsidRDefault="0046778D" w:rsidP="005D67BF">
      <w:r>
        <w:t xml:space="preserve">The BOS grants represent a smaller proportion of total expenditures for schooling </w:t>
      </w:r>
      <w:r w:rsidR="000A3241">
        <w:t xml:space="preserve">in </w:t>
      </w:r>
      <w:r>
        <w:t>the poorest districts. This is b</w:t>
      </w:r>
      <w:r w:rsidR="00AE2452">
        <w:t>ecause of the higher teacher costs (such as r</w:t>
      </w:r>
      <w:r>
        <w:t>e</w:t>
      </w:r>
      <w:r w:rsidR="00AE2452">
        <w:t xml:space="preserve">mote area allowances) </w:t>
      </w:r>
      <w:r>
        <w:t xml:space="preserve">and the </w:t>
      </w:r>
      <w:r w:rsidR="00AE2452">
        <w:t xml:space="preserve">lower student:teacher </w:t>
      </w:r>
      <w:r>
        <w:t xml:space="preserve">ratios which increase the per student teacher cost in these districts. As a consequence, the BOS funds represent a smaller contribution to the overall cost of delivering services </w:t>
      </w:r>
      <w:r w:rsidR="008B3C5D">
        <w:t xml:space="preserve">to </w:t>
      </w:r>
      <w:r>
        <w:t xml:space="preserve">these districts. All other poverty quintile districts are more closely bunched together. </w:t>
      </w:r>
    </w:p>
    <w:p w:rsidR="00AE2452" w:rsidRDefault="00AE2452" w:rsidP="005D67BF">
      <w:r>
        <w:t xml:space="preserve">It is possible that BOS allocations will have another spike in 2013 or 2014 if the GoI goes ahead with stated intentions to introduce a BOS allowance for the senior secondary level of schooling. </w:t>
      </w:r>
      <w:r w:rsidR="0046778D">
        <w:t>If this were to happen, then BOS allocations are likely to equal more than 15% of total district expenditure for schooling.</w:t>
      </w:r>
    </w:p>
    <w:p w:rsidR="00407F4A" w:rsidRPr="00407F4A" w:rsidRDefault="00E5738D" w:rsidP="00BA7FA0">
      <w:pPr>
        <w:pStyle w:val="Caption"/>
      </w:pPr>
      <w:bookmarkStart w:id="89" w:name="_Toc343595555"/>
      <w:r w:rsidRPr="00D33073">
        <w:t xml:space="preserve">BOS Grants as % of </w:t>
      </w:r>
      <w:r w:rsidR="00F82FFB">
        <w:t>Edu</w:t>
      </w:r>
      <w:r w:rsidR="007C21C5">
        <w:t>cation &amp; Culture Budget 2006-2011</w:t>
      </w:r>
      <w:r w:rsidR="00F82FFB">
        <w:t>,</w:t>
      </w:r>
      <w:r w:rsidRPr="00D33073">
        <w:t xml:space="preserve"> by Poverty Quintile</w:t>
      </w:r>
      <w:bookmarkEnd w:id="89"/>
    </w:p>
    <w:p w:rsidR="00E5738D" w:rsidRDefault="008D1291" w:rsidP="005D67BF">
      <w:pPr>
        <w:pStyle w:val="BodyText"/>
        <w:spacing w:after="0"/>
      </w:pPr>
      <w:r>
        <w:rPr>
          <w:noProof/>
          <w:lang w:val="en-AU" w:eastAsia="en-AU"/>
        </w:rPr>
        <w:drawing>
          <wp:inline distT="0" distB="0" distL="0" distR="0" wp14:anchorId="245B5C8B" wp14:editId="5FFA16E3">
            <wp:extent cx="5581650" cy="32670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81650" cy="3267075"/>
                    </a:xfrm>
                    <a:prstGeom prst="rect">
                      <a:avLst/>
                    </a:prstGeom>
                    <a:noFill/>
                  </pic:spPr>
                </pic:pic>
              </a:graphicData>
            </a:graphic>
          </wp:inline>
        </w:drawing>
      </w:r>
    </w:p>
    <w:p w:rsidR="00E5738D" w:rsidRDefault="00E5738D" w:rsidP="005D67BF">
      <w:pPr>
        <w:pStyle w:val="BodyText"/>
        <w:spacing w:after="0"/>
      </w:pPr>
    </w:p>
    <w:p w:rsidR="00E5738D" w:rsidRDefault="00E5738D" w:rsidP="005D67BF">
      <w:pPr>
        <w:pStyle w:val="BodyText"/>
        <w:spacing w:after="0"/>
      </w:pPr>
    </w:p>
    <w:p w:rsidR="00B731AE" w:rsidRPr="00E45EDE" w:rsidRDefault="00E5738D" w:rsidP="00193E45">
      <w:r w:rsidRPr="00FA7E38">
        <w:rPr>
          <w:b/>
          <w:i/>
        </w:rPr>
        <w:t>Policy Implications</w:t>
      </w:r>
      <w:r w:rsidRPr="001D3548">
        <w:rPr>
          <w:b/>
          <w:i/>
          <w:color w:val="FF0000"/>
        </w:rPr>
        <w:t xml:space="preserve">: </w:t>
      </w:r>
      <w:r w:rsidR="00763261" w:rsidRPr="00763261">
        <w:t xml:space="preserve">In 2011, the </w:t>
      </w:r>
      <w:r w:rsidR="00B731AE" w:rsidRPr="00763261">
        <w:t xml:space="preserve">BOS grants </w:t>
      </w:r>
      <w:r w:rsidR="00763261" w:rsidRPr="00763261">
        <w:t xml:space="preserve">were </w:t>
      </w:r>
      <w:r w:rsidR="00B731AE" w:rsidRPr="00763261">
        <w:t xml:space="preserve">distributed to the district level of government which will then </w:t>
      </w:r>
      <w:r w:rsidR="00763261" w:rsidRPr="00763261">
        <w:t xml:space="preserve">made </w:t>
      </w:r>
      <w:r w:rsidR="00B731AE" w:rsidRPr="00763261">
        <w:t>payments to schools.</w:t>
      </w:r>
      <w:r w:rsidR="00E45EDE">
        <w:t xml:space="preserve"> This changed flow of funding was</w:t>
      </w:r>
      <w:r w:rsidR="00B731AE" w:rsidRPr="00763261">
        <w:t xml:space="preserve"> designed to reflect the function and responsibilities of local government towards education under the decentralization policy. It provide</w:t>
      </w:r>
      <w:r w:rsidR="00763261" w:rsidRPr="00763261">
        <w:t>d</w:t>
      </w:r>
      <w:r w:rsidR="00B731AE" w:rsidRPr="00763261">
        <w:t xml:space="preserve"> districts with significantly greater non-salary related resources to distribute amongst their schools. This </w:t>
      </w:r>
      <w:r w:rsidR="00763261" w:rsidRPr="00763261">
        <w:t xml:space="preserve">was to help </w:t>
      </w:r>
      <w:r w:rsidR="00B731AE" w:rsidRPr="00763261">
        <w:t xml:space="preserve">strengthen the relevance and importance of district monitoring and support teams for schools within their </w:t>
      </w:r>
      <w:r w:rsidR="00B731AE" w:rsidRPr="00E45EDE">
        <w:t>jurisdiction.</w:t>
      </w:r>
      <w:r w:rsidR="00E45EDE" w:rsidRPr="00E45EDE">
        <w:t xml:space="preserve"> However, the policy increased the pressure and expectations of schools that were relying upon the efficiency and effectiveness of the district offices.</w:t>
      </w:r>
    </w:p>
    <w:p w:rsidR="00B731AE" w:rsidRPr="00E45EDE" w:rsidRDefault="00763261" w:rsidP="00193E45">
      <w:r w:rsidRPr="00E45EDE">
        <w:t xml:space="preserve">The district management of the BOS distribution by district governments became a matter of national controversy during 2011. The widespread failure of many districts to manage these funds properly meant that delays and errors in the distribution of BOS funding were seen as a failure at the local rather than central level. </w:t>
      </w:r>
      <w:r w:rsidR="00E45EDE" w:rsidRPr="00E45EDE">
        <w:t xml:space="preserve">By late 2011, the </w:t>
      </w:r>
      <w:r w:rsidR="00E45EDE">
        <w:t>dis</w:t>
      </w:r>
      <w:r w:rsidR="00E45EDE" w:rsidRPr="00E45EDE">
        <w:t>bursement and general management of BOS funds by the district level was considered a gross failure. The program was subsequently brought back under the control of MOEC for the 2012 school year.</w:t>
      </w:r>
    </w:p>
    <w:p w:rsidR="00B731AE" w:rsidRDefault="0049510F" w:rsidP="00193E45">
      <w:r w:rsidRPr="0049510F">
        <w:t xml:space="preserve">One significant risk that was identified in the 2010 FPR was that </w:t>
      </w:r>
      <w:r w:rsidR="00B731AE" w:rsidRPr="0049510F">
        <w:t>some district governments could be tempted to lower existing district budget allocations for education</w:t>
      </w:r>
      <w:r w:rsidRPr="0049510F">
        <w:t xml:space="preserve"> once they were given responsibility for disbursing BOS. This was because t</w:t>
      </w:r>
      <w:r w:rsidR="00B731AE" w:rsidRPr="0049510F">
        <w:t xml:space="preserve">he additional flow of BOS grants for schools entering the district coffers and appearing as an education related budget line item could disguise cuts to existing allocations. </w:t>
      </w:r>
    </w:p>
    <w:p w:rsidR="0049510F" w:rsidRPr="0049510F" w:rsidRDefault="0049510F" w:rsidP="00193E45">
      <w:r>
        <w:t>This has not happened, and in fact, district expenditures (not including BOS) have increased more strongly in 2011 than in the previous 5 years. While these increases were driven by teacher salary and allowance increases (which are not a district policy variable) the</w:t>
      </w:r>
      <w:r w:rsidR="00651DA7">
        <w:t>re were also</w:t>
      </w:r>
      <w:r>
        <w:t xml:space="preserve"> </w:t>
      </w:r>
      <w:r w:rsidR="001A2387">
        <w:t xml:space="preserve">larger </w:t>
      </w:r>
      <w:r>
        <w:t>increases in operations and capital expenditures.</w:t>
      </w:r>
      <w:r w:rsidR="00651DA7">
        <w:t xml:space="preserve"> It maybe, that if the BOS disbursements remained under the district level of government for a few more years, there would have been an impact on other district allocations for education.  It is difficult to speculate on what would have been future impacts, but it seems that in 2011, districts were happy to continue increasing other education related allocations even as they were assuming responsibility for the BOS. </w:t>
      </w:r>
    </w:p>
    <w:p w:rsidR="00311252" w:rsidRDefault="00311252" w:rsidP="00193E45">
      <w:r w:rsidRPr="00763261">
        <w:t>BOS grants provide a critical injection of funds at the school level. It is important that these funds are utilised as effectively as possible. Their importance is even greater in BEP districts where they stand as a greater than average proportion of total funds available to education. Planning and management of BOS funds should be a key planning priority for schools in BEP districts. Capacity building activities for principals and socialisation amongst parents are two obvious intervention points.</w:t>
      </w:r>
    </w:p>
    <w:p w:rsidR="00890E97" w:rsidRDefault="000E68F1" w:rsidP="00193E45">
      <w:r w:rsidRPr="000E68F1">
        <w:rPr>
          <w:b/>
          <w:i/>
        </w:rPr>
        <w:t>Recommendation:</w:t>
      </w:r>
      <w:r w:rsidRPr="000E68F1">
        <w:t xml:space="preserve">  </w:t>
      </w:r>
      <w:r w:rsidR="0082643D" w:rsidRPr="00EF72F4">
        <w:t xml:space="preserve">The AusAID funded </w:t>
      </w:r>
      <w:r w:rsidR="00EB6383" w:rsidRPr="00EF72F4">
        <w:t xml:space="preserve">ESSP should </w:t>
      </w:r>
      <w:r w:rsidR="00311252" w:rsidRPr="00EF72F4">
        <w:t>review the strengths and weaknesses of the existing BOS training programs for school principals.</w:t>
      </w:r>
      <w:r w:rsidR="00EF72F4" w:rsidRPr="00EF72F4">
        <w:t xml:space="preserve"> The purpose of the review would be to signal changes and improvements in the delivery of training for district officers, principals and community members. It should lead to the improved capacity of school principals to better plan and manage their BOS funds and to help districts better monitor and support the schools in their disbursement activities. </w:t>
      </w:r>
      <w:r w:rsidR="00311252" w:rsidRPr="00EF72F4">
        <w:t xml:space="preserve">Ideally the analysis would obtain quantitative and qualitative evidence on differences in allocative choices and efficient use of BOS funds between </w:t>
      </w:r>
      <w:r w:rsidR="00621705">
        <w:t xml:space="preserve">different groups of </w:t>
      </w:r>
      <w:r w:rsidR="00311252" w:rsidRPr="00EF72F4">
        <w:t xml:space="preserve">principals </w:t>
      </w:r>
      <w:r w:rsidR="00621705">
        <w:t xml:space="preserve">e.g. those </w:t>
      </w:r>
      <w:r w:rsidR="00311252" w:rsidRPr="00EF72F4">
        <w:t xml:space="preserve">that identify as benefiting from the training and those that do not. </w:t>
      </w:r>
    </w:p>
    <w:p w:rsidR="00890E97" w:rsidRDefault="00890E97">
      <w:pPr>
        <w:spacing w:after="0" w:line="240" w:lineRule="auto"/>
        <w:jc w:val="left"/>
      </w:pPr>
      <w:r>
        <w:br w:type="page"/>
      </w:r>
    </w:p>
    <w:p w:rsidR="00CA60B9" w:rsidRDefault="00CA60B9" w:rsidP="00CA60B9">
      <w:pPr>
        <w:pStyle w:val="Heading1"/>
      </w:pPr>
      <w:bookmarkStart w:id="90" w:name="_Toc343597089"/>
      <w:r>
        <w:t>Annexes</w:t>
      </w:r>
      <w:bookmarkEnd w:id="90"/>
    </w:p>
    <w:p w:rsidR="00E5738D" w:rsidRDefault="00CA60B9" w:rsidP="00CA60B9">
      <w:pPr>
        <w:pStyle w:val="Heading2"/>
        <w:rPr>
          <w:noProof/>
        </w:rPr>
      </w:pPr>
      <w:bookmarkStart w:id="91" w:name="_Toc343597090"/>
      <w:r w:rsidRPr="00890E97">
        <w:rPr>
          <w:noProof/>
        </w:rPr>
        <w:t>DISTRICTS IN THE AUSTRALIAN EDUCATION PARTNERSHIP WITH INDONESIA</w:t>
      </w:r>
      <w:bookmarkEnd w:id="91"/>
    </w:p>
    <w:p w:rsidR="00CA60B9" w:rsidRPr="00CA60B9" w:rsidRDefault="00CA60B9" w:rsidP="00CA60B9">
      <w:r>
        <w:t>Component 1 Districts</w:t>
      </w:r>
    </w:p>
    <w:tbl>
      <w:tblPr>
        <w:tblW w:w="8804" w:type="dxa"/>
        <w:tblInd w:w="93" w:type="dxa"/>
        <w:tblLook w:val="04A0" w:firstRow="1" w:lastRow="0" w:firstColumn="1" w:lastColumn="0" w:noHBand="0" w:noVBand="1"/>
      </w:tblPr>
      <w:tblGrid>
        <w:gridCol w:w="1149"/>
        <w:gridCol w:w="2268"/>
        <w:gridCol w:w="1418"/>
        <w:gridCol w:w="1276"/>
        <w:gridCol w:w="1275"/>
        <w:gridCol w:w="1418"/>
      </w:tblGrid>
      <w:tr w:rsidR="00890E97" w:rsidRPr="00890E97" w:rsidTr="00CA60B9">
        <w:trPr>
          <w:trHeight w:val="900"/>
          <w:tblHead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E97" w:rsidRPr="00305BF1" w:rsidRDefault="00890E97" w:rsidP="00890E97">
            <w:pPr>
              <w:spacing w:after="0" w:line="240" w:lineRule="auto"/>
              <w:jc w:val="left"/>
              <w:rPr>
                <w:rFonts w:cs="Arial"/>
                <w:b/>
                <w:color w:val="000000"/>
                <w:sz w:val="18"/>
                <w:szCs w:val="18"/>
                <w:lang w:val="en-AU" w:eastAsia="en-AU"/>
              </w:rPr>
            </w:pPr>
            <w:r w:rsidRPr="00305BF1">
              <w:rPr>
                <w:rFonts w:cs="Arial"/>
                <w:b/>
                <w:color w:val="000000"/>
                <w:sz w:val="18"/>
                <w:szCs w:val="18"/>
                <w:lang w:val="en-AU" w:eastAsia="en-AU"/>
              </w:rPr>
              <w:t>Island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90E97" w:rsidRPr="00305BF1" w:rsidRDefault="00CA60B9" w:rsidP="00890E97">
            <w:pPr>
              <w:spacing w:after="0" w:line="240" w:lineRule="auto"/>
              <w:jc w:val="left"/>
              <w:rPr>
                <w:rFonts w:cs="Arial"/>
                <w:b/>
                <w:color w:val="000000"/>
                <w:sz w:val="18"/>
                <w:szCs w:val="18"/>
                <w:lang w:val="en-AU" w:eastAsia="en-AU"/>
              </w:rPr>
            </w:pPr>
            <w:r w:rsidRPr="00305BF1">
              <w:rPr>
                <w:rFonts w:cs="Arial"/>
                <w:b/>
                <w:color w:val="000000"/>
                <w:sz w:val="18"/>
                <w:szCs w:val="18"/>
                <w:lang w:val="en-AU" w:eastAsia="en-AU"/>
              </w:rPr>
              <w:t xml:space="preserve">Component 1 </w:t>
            </w:r>
            <w:r w:rsidR="00890E97" w:rsidRPr="00305BF1">
              <w:rPr>
                <w:rFonts w:cs="Arial"/>
                <w:b/>
                <w:color w:val="000000"/>
                <w:sz w:val="18"/>
                <w:szCs w:val="18"/>
                <w:lang w:val="en-AU" w:eastAsia="en-AU"/>
              </w:rPr>
              <w:t>District</w:t>
            </w:r>
            <w:r w:rsidRPr="00305BF1">
              <w:rPr>
                <w:rFonts w:cs="Arial"/>
                <w:b/>
                <w:color w:val="000000"/>
                <w:sz w:val="18"/>
                <w:szCs w:val="18"/>
                <w:lang w:val="en-AU" w:eastAsia="en-AU"/>
              </w:rPr>
              <w:t>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90E97" w:rsidRPr="00305BF1" w:rsidRDefault="00890E97" w:rsidP="00890E97">
            <w:pPr>
              <w:spacing w:after="0" w:line="240" w:lineRule="auto"/>
              <w:jc w:val="right"/>
              <w:rPr>
                <w:rFonts w:cs="Arial"/>
                <w:b/>
                <w:color w:val="000000"/>
                <w:sz w:val="18"/>
                <w:szCs w:val="18"/>
                <w:lang w:val="en-AU" w:eastAsia="en-AU"/>
              </w:rPr>
            </w:pPr>
            <w:r w:rsidRPr="00305BF1">
              <w:rPr>
                <w:rFonts w:cs="Arial"/>
                <w:b/>
                <w:color w:val="000000"/>
                <w:sz w:val="18"/>
                <w:szCs w:val="18"/>
                <w:lang w:val="en-AU" w:eastAsia="en-AU"/>
              </w:rPr>
              <w:t xml:space="preserve">Ed. Expenditure per </w:t>
            </w:r>
            <w:r w:rsidRPr="00305BF1">
              <w:rPr>
                <w:rFonts w:cs="Arial"/>
                <w:b/>
                <w:color w:val="000000"/>
                <w:sz w:val="18"/>
                <w:szCs w:val="18"/>
                <w:lang w:val="en-AU" w:eastAsia="en-AU"/>
              </w:rPr>
              <w:br/>
              <w:t xml:space="preserve">All Students </w:t>
            </w:r>
            <w:r w:rsidRPr="00305BF1">
              <w:rPr>
                <w:rFonts w:cs="Arial"/>
                <w:b/>
                <w:color w:val="000000"/>
                <w:sz w:val="18"/>
                <w:szCs w:val="18"/>
                <w:lang w:val="en-AU" w:eastAsia="en-AU"/>
              </w:rPr>
              <w:br/>
              <w:t>(Rp. Million)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90E97" w:rsidRPr="00305BF1" w:rsidRDefault="00890E97" w:rsidP="00890E97">
            <w:pPr>
              <w:spacing w:after="0" w:line="240" w:lineRule="auto"/>
              <w:jc w:val="right"/>
              <w:rPr>
                <w:rFonts w:cs="Arial"/>
                <w:b/>
                <w:color w:val="000000"/>
                <w:sz w:val="18"/>
                <w:szCs w:val="18"/>
                <w:lang w:val="en-AU" w:eastAsia="en-AU"/>
              </w:rPr>
            </w:pPr>
            <w:r w:rsidRPr="00305BF1">
              <w:rPr>
                <w:rFonts w:cs="Arial"/>
                <w:b/>
                <w:color w:val="000000"/>
                <w:sz w:val="18"/>
                <w:szCs w:val="18"/>
                <w:lang w:val="en-AU" w:eastAsia="en-AU"/>
              </w:rPr>
              <w:t>Education</w:t>
            </w:r>
            <w:r w:rsidR="00CA60B9" w:rsidRPr="00305BF1">
              <w:rPr>
                <w:rFonts w:cs="Arial"/>
                <w:b/>
                <w:color w:val="000000"/>
                <w:sz w:val="18"/>
                <w:szCs w:val="18"/>
                <w:lang w:val="en-AU" w:eastAsia="en-AU"/>
              </w:rPr>
              <w:t xml:space="preserve"> </w:t>
            </w:r>
            <w:r w:rsidRPr="00305BF1">
              <w:rPr>
                <w:rFonts w:cs="Arial"/>
                <w:b/>
                <w:color w:val="000000"/>
                <w:sz w:val="18"/>
                <w:szCs w:val="18"/>
                <w:lang w:val="en-AU" w:eastAsia="en-AU"/>
              </w:rPr>
              <w:t>APBD</w:t>
            </w:r>
            <w:r w:rsidRPr="00305BF1">
              <w:rPr>
                <w:rFonts w:cs="Arial"/>
                <w:b/>
                <w:color w:val="000000"/>
                <w:sz w:val="18"/>
                <w:szCs w:val="18"/>
                <w:lang w:val="en-AU" w:eastAsia="en-AU"/>
              </w:rPr>
              <w:br/>
              <w:t xml:space="preserve">by District </w:t>
            </w:r>
            <w:r w:rsidRPr="00305BF1">
              <w:rPr>
                <w:rFonts w:cs="Arial"/>
                <w:b/>
                <w:color w:val="000000"/>
                <w:sz w:val="18"/>
                <w:szCs w:val="18"/>
                <w:lang w:val="en-AU" w:eastAsia="en-AU"/>
              </w:rPr>
              <w:br/>
              <w:t>(Rp. Million)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0E97" w:rsidRPr="00305BF1" w:rsidRDefault="00890E97" w:rsidP="00890E97">
            <w:pPr>
              <w:spacing w:after="0" w:line="240" w:lineRule="auto"/>
              <w:jc w:val="right"/>
              <w:rPr>
                <w:rFonts w:cs="Arial"/>
                <w:b/>
                <w:color w:val="000000"/>
                <w:sz w:val="18"/>
                <w:szCs w:val="18"/>
                <w:lang w:val="en-AU" w:eastAsia="en-AU"/>
              </w:rPr>
            </w:pPr>
            <w:r w:rsidRPr="00305BF1">
              <w:rPr>
                <w:rFonts w:cs="Arial"/>
                <w:b/>
                <w:color w:val="000000"/>
                <w:sz w:val="18"/>
                <w:szCs w:val="18"/>
                <w:lang w:val="en-AU" w:eastAsia="en-AU"/>
              </w:rPr>
              <w:t xml:space="preserve">Education Share of  </w:t>
            </w:r>
            <w:r w:rsidRPr="00305BF1">
              <w:rPr>
                <w:rFonts w:cs="Arial"/>
                <w:b/>
                <w:color w:val="000000"/>
                <w:sz w:val="18"/>
                <w:szCs w:val="18"/>
                <w:lang w:val="en-AU" w:eastAsia="en-AU"/>
              </w:rPr>
              <w:br/>
              <w:t>District Budget</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90E97" w:rsidRPr="00305BF1" w:rsidRDefault="00890E97" w:rsidP="00890E97">
            <w:pPr>
              <w:spacing w:after="0" w:line="240" w:lineRule="auto"/>
              <w:jc w:val="right"/>
              <w:rPr>
                <w:rFonts w:cs="Arial"/>
                <w:b/>
                <w:color w:val="000000"/>
                <w:sz w:val="18"/>
                <w:szCs w:val="18"/>
                <w:lang w:val="en-AU" w:eastAsia="en-AU"/>
              </w:rPr>
            </w:pPr>
            <w:r w:rsidRPr="00305BF1">
              <w:rPr>
                <w:rFonts w:cs="Arial"/>
                <w:b/>
                <w:color w:val="000000"/>
                <w:sz w:val="18"/>
                <w:szCs w:val="18"/>
                <w:lang w:val="en-AU" w:eastAsia="en-AU"/>
              </w:rPr>
              <w:t xml:space="preserve">Education Budget </w:t>
            </w:r>
            <w:r w:rsidRPr="00305BF1">
              <w:rPr>
                <w:rFonts w:cs="Arial"/>
                <w:b/>
                <w:color w:val="000000"/>
                <w:sz w:val="18"/>
                <w:szCs w:val="18"/>
                <w:lang w:val="en-AU" w:eastAsia="en-AU"/>
              </w:rPr>
              <w:br/>
              <w:t>Annual Growth</w:t>
            </w:r>
          </w:p>
        </w:tc>
      </w:tr>
      <w:tr w:rsidR="00890E97" w:rsidRPr="00890E97" w:rsidTr="00CA60B9">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Bali dan Nusa Tenggara</w:t>
            </w: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Alor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188489.93</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48%</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Belu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231241.52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Bima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365461.55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Buleleng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4.45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569326.08</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Ende</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3.28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225815.32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42%</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Flores Timur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224675.69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42%</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42%</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Karang Asem</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5.12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402099.59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Kupang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258842.39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Lembata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127756.27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Lombok Tengah</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507843.00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Lombok Timur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2.21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552455.37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49%</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Lombok Utara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115792.94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1474%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Manggarai</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184461.89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Manggarai Timur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1.91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134595.05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32%</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Nagekeo</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104417.06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Ngada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123279.17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Sabu Raijua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5.07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93822.74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 </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Sikka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196255.92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Sumba Barat</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2.28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75603.70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22%</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Sumba Barat Daya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1.74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134675.69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Sumba Timur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202889.19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62%</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Sumbawa Barat</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5.91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152610.45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Tabanan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5.43</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385366.21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Timor Tengah Selatan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307809.08</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Timor Tengah Utara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3.14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183005.67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w:t>
            </w:r>
          </w:p>
        </w:tc>
      </w:tr>
      <w:tr w:rsidR="00890E97" w:rsidRPr="00890E97" w:rsidTr="00CA60B9">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Jawa</w:t>
            </w: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Bandung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1338622.86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Bangkalan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547552.09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Batang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372039.27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48%</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Bekasi</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1.39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631127.42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Bogor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1.42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1293177.89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Bondowoso</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345957.96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Cianjur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882868.88</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Garut</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2.04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1139984.19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Grobogan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639148.33</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Indramayu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803740.80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Kebumen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2.53</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707765.55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42%</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Kota Banjar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2.83</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116430.46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29%</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Kota Malang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430310.49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Lebak</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2.06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618038.50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Lumajang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3.16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561957.13</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Nganjuk</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2.91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561400.19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Pandeglang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567559.45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Pasuruan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676572.49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Probolinggo</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488613.72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Situbondo</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383581.04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Sukabumi</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1.66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818061.98</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Tangerang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1.30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776322.60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48%</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Tasikmalaya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769882.21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42%</w:t>
            </w:r>
          </w:p>
        </w:tc>
      </w:tr>
      <w:tr w:rsidR="00890E97" w:rsidRPr="00890E97" w:rsidTr="00CA60B9">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Kalimantan</w:t>
            </w: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Balangan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5.63</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161976.16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Barito Kuala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235150.92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Barito Timur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5.93</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132204.72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Bengkayang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190487.25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Kapuas</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315987.45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Katingan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173362.25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Ketapang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3.22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311125.81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Kota Singkawang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180479.83</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Kotawaringin Barat</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2.83</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157711.26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Kubu Raya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336578.17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Lamandau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5.51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86200.05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19%</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Malinau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11.01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189124.90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Melawi</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152005.02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32%</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Murung Raya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6.07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166766.36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Pasir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6.09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305922.64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Sambas</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388932.82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Sanggau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336043.39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Sekadau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147184.62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Sintang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3.25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298013.33</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Sukamara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7.11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77595.76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19%</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Tanah Bumbu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217782.07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50%</w:t>
            </w:r>
          </w:p>
        </w:tc>
      </w:tr>
      <w:tr w:rsidR="00890E97" w:rsidRPr="00890E97" w:rsidTr="00CA60B9">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Maluku</w:t>
            </w: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Buru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141771.04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Buru Selatan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61792.35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Maluku Tengah</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3.99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445407.10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57%</w:t>
            </w:r>
          </w:p>
        </w:tc>
      </w:tr>
      <w:tr w:rsidR="00890E97" w:rsidRPr="00890E97" w:rsidTr="00CA60B9">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Sulawesi</w:t>
            </w: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Banggai Kepulauan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143768.26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Bantaeng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165214.19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Boalemo</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4.02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135448.21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32%</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Bolaang Mongondow Timur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6.55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89412.44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Bone</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2.93</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271992.08</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Buton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203226.26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Buton Utara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75534.33</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Donggala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253317.81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Enrekang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218096.64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Jeneponto</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4.42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241568.79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Kepulauan Sangihe</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6.89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170828.52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Konawe Utara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6.93</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100258.08</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Luwu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222132.90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Majene</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4.23</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168453.63</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Mamasa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136066.91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Mamuju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168650.09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108%</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Mamuju Utara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65991.57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159%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Maros</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3.19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230469.01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Morowali</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181546.32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Muna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341177.34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52%</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Pangkajene dan Kepulauan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4.87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298754.50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Parigi Moutong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188299.27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Pinrang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4.21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250907.82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Polewali Mandar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3.11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283605.10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Poso</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4.48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203523.51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Sigi</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3.97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171610.87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Sinjai</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3.22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240432.87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Tana Toraja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150799.96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Toraja Utara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1.97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130456.91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Wajo</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3.97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239787.53</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32%</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67%</w:t>
            </w:r>
          </w:p>
        </w:tc>
      </w:tr>
      <w:tr w:rsidR="00890E97" w:rsidRPr="00890E97" w:rsidTr="00CA60B9">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Sumatera</w:t>
            </w: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Aceh Barat</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199269.19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39%</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Aceh Timur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234084.48</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Aceh Utara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388117.31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Bangka Selatan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125689.03</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Bangka Tengah</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87442.77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42%</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Batu Bara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227269.78</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Belitung Timur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7.09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142997.84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Bener Meriah</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4.52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156044.56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Bengkulu Utara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185084.37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 </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Bintan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5.77</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149442.32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Deli Serdang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2.04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747497.05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Empat Lawang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128791.66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Indragiri Hulu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305276.64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Kampar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610464.87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Kaur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107266.84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Kerinci</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236617.95</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Kota Batam</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2.96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395167.97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Labuhan Batu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1.81</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246700.09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39%</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Lampung Utara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2.56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388084.07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52%</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Merangin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234195.49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60%</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Muara Enim</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460399.31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39%</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Muaro Jambi</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259397.74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39%</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52%</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Mukomuko</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3.58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134772.32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32%</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Musi Banyuasin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530656.17</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Nias</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1.79</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101462.18</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8%</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Nias Selatan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218531.33</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42%</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99%</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Ogan Komering Ilir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416777.90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Ogan Komering Ulu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202575.00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29%</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Pasaman Barat</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249800.49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Pidie</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342620.20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Pidie Jaya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3.63</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125471.64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36%</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37%</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Rokan Hulu</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2.56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262181.93</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28%</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Seluma</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3.96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166266.14</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91%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Serdang Bedagai</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2.55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349890.96</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49%</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71%</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Tanggamus</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2.30</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324796.60</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45%</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Tanjung Jabung Barat</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3.35</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210627.59</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Tapanuli Selatan</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3.02</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236277.22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41%</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42%</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Tapanuli Tengah</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3.16</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264227.52</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47%</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55%</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Toba Samosir</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3.34</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184381.81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3%</w:t>
            </w:r>
          </w:p>
        </w:tc>
      </w:tr>
      <w:tr w:rsidR="00890E97" w:rsidRPr="00890E97" w:rsidTr="00CA60B9">
        <w:trPr>
          <w:trHeight w:val="300"/>
        </w:trPr>
        <w:tc>
          <w:tcPr>
            <w:tcW w:w="1149" w:type="dxa"/>
            <w:vMerge/>
            <w:tcBorders>
              <w:top w:val="nil"/>
              <w:left w:val="single" w:sz="4" w:space="0" w:color="auto"/>
              <w:bottom w:val="single" w:sz="4" w:space="0" w:color="auto"/>
              <w:right w:val="single" w:sz="4" w:space="0" w:color="auto"/>
            </w:tcBorders>
            <w:vAlign w:val="center"/>
            <w:hideMark/>
          </w:tcPr>
          <w:p w:rsidR="00890E97" w:rsidRPr="00CA60B9" w:rsidRDefault="00890E97" w:rsidP="00890E97">
            <w:pPr>
              <w:spacing w:after="0" w:line="240" w:lineRule="auto"/>
              <w:jc w:val="left"/>
              <w:rPr>
                <w:rFonts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890E97" w:rsidRPr="00CA60B9" w:rsidRDefault="00890E97" w:rsidP="00890E97">
            <w:pPr>
              <w:spacing w:after="0" w:line="240" w:lineRule="auto"/>
              <w:jc w:val="left"/>
              <w:rPr>
                <w:rFonts w:cs="Arial"/>
                <w:color w:val="000000"/>
                <w:sz w:val="18"/>
                <w:szCs w:val="18"/>
                <w:lang w:val="en-AU" w:eastAsia="en-AU"/>
              </w:rPr>
            </w:pPr>
            <w:r w:rsidRPr="00CA60B9">
              <w:rPr>
                <w:rFonts w:cs="Arial"/>
                <w:color w:val="000000"/>
                <w:sz w:val="18"/>
                <w:szCs w:val="18"/>
                <w:lang w:val="en-AU" w:eastAsia="en-AU"/>
              </w:rPr>
              <w:t>Tulang bawang</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1.58</w:t>
            </w:r>
          </w:p>
        </w:tc>
        <w:tc>
          <w:tcPr>
            <w:tcW w:w="1276"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150960.01</w:t>
            </w:r>
          </w:p>
        </w:tc>
        <w:tc>
          <w:tcPr>
            <w:tcW w:w="1275"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24%</w:t>
            </w:r>
          </w:p>
        </w:tc>
        <w:tc>
          <w:tcPr>
            <w:tcW w:w="1418" w:type="dxa"/>
            <w:tcBorders>
              <w:top w:val="nil"/>
              <w:left w:val="nil"/>
              <w:bottom w:val="single" w:sz="4" w:space="0" w:color="auto"/>
              <w:right w:val="single" w:sz="4" w:space="0" w:color="auto"/>
            </w:tcBorders>
            <w:shd w:val="clear" w:color="auto" w:fill="auto"/>
            <w:noWrap/>
            <w:vAlign w:val="center"/>
            <w:hideMark/>
          </w:tcPr>
          <w:p w:rsidR="00890E97" w:rsidRPr="00CA60B9" w:rsidRDefault="00890E97" w:rsidP="00890E97">
            <w:pPr>
              <w:spacing w:after="0" w:line="240" w:lineRule="auto"/>
              <w:jc w:val="right"/>
              <w:rPr>
                <w:rFonts w:cs="Arial"/>
                <w:color w:val="000000"/>
                <w:sz w:val="18"/>
                <w:szCs w:val="18"/>
                <w:lang w:val="en-AU" w:eastAsia="en-AU"/>
              </w:rPr>
            </w:pPr>
            <w:r w:rsidRPr="00CA60B9">
              <w:rPr>
                <w:rFonts w:cs="Arial"/>
                <w:color w:val="000000"/>
                <w:sz w:val="18"/>
                <w:szCs w:val="18"/>
                <w:lang w:val="en-AU" w:eastAsia="en-AU"/>
              </w:rPr>
              <w:t>45%</w:t>
            </w:r>
          </w:p>
        </w:tc>
      </w:tr>
    </w:tbl>
    <w:p w:rsidR="00890E97" w:rsidRDefault="00890E97" w:rsidP="00193E45"/>
    <w:p w:rsidR="00CA60B9" w:rsidRDefault="00CA60B9" w:rsidP="00193E45"/>
    <w:p w:rsidR="00CA60B9" w:rsidRDefault="00CA60B9" w:rsidP="00193E45">
      <w:r>
        <w:t>Component 2 Districts</w:t>
      </w:r>
    </w:p>
    <w:tbl>
      <w:tblPr>
        <w:tblW w:w="8804" w:type="dxa"/>
        <w:tblInd w:w="93" w:type="dxa"/>
        <w:tblLook w:val="04A0" w:firstRow="1" w:lastRow="0" w:firstColumn="1" w:lastColumn="0" w:noHBand="0" w:noVBand="1"/>
      </w:tblPr>
      <w:tblGrid>
        <w:gridCol w:w="1149"/>
        <w:gridCol w:w="2268"/>
        <w:gridCol w:w="1418"/>
        <w:gridCol w:w="1276"/>
        <w:gridCol w:w="1324"/>
        <w:gridCol w:w="1369"/>
      </w:tblGrid>
      <w:tr w:rsidR="00305BF1" w:rsidRPr="00CA60B9" w:rsidTr="00305BF1">
        <w:trPr>
          <w:trHeight w:val="915"/>
          <w:tblHead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0B9" w:rsidRPr="00CA60B9" w:rsidRDefault="00CA60B9" w:rsidP="00CA60B9">
            <w:pPr>
              <w:spacing w:after="0" w:line="240" w:lineRule="auto"/>
              <w:jc w:val="left"/>
              <w:rPr>
                <w:rFonts w:asciiTheme="minorHAnsi" w:hAnsiTheme="minorHAnsi" w:cs="Arial"/>
                <w:b/>
                <w:color w:val="000000"/>
                <w:sz w:val="18"/>
                <w:szCs w:val="18"/>
                <w:lang w:val="en-AU" w:eastAsia="en-AU"/>
              </w:rPr>
            </w:pPr>
            <w:r w:rsidRPr="00CA60B9">
              <w:rPr>
                <w:rFonts w:asciiTheme="minorHAnsi" w:hAnsiTheme="minorHAnsi" w:cs="Arial"/>
                <w:b/>
                <w:color w:val="000000"/>
                <w:sz w:val="18"/>
                <w:szCs w:val="18"/>
                <w:lang w:val="en-AU" w:eastAsia="en-AU"/>
              </w:rPr>
              <w:t>Island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A60B9" w:rsidRPr="00CA60B9" w:rsidRDefault="00305BF1" w:rsidP="00CA60B9">
            <w:pPr>
              <w:spacing w:after="0" w:line="240" w:lineRule="auto"/>
              <w:jc w:val="left"/>
              <w:rPr>
                <w:rFonts w:asciiTheme="minorHAnsi" w:hAnsiTheme="minorHAnsi" w:cs="Arial"/>
                <w:b/>
                <w:color w:val="000000"/>
                <w:sz w:val="18"/>
                <w:szCs w:val="18"/>
                <w:lang w:val="en-AU" w:eastAsia="en-AU"/>
              </w:rPr>
            </w:pPr>
            <w:r w:rsidRPr="00305BF1">
              <w:rPr>
                <w:rFonts w:asciiTheme="minorHAnsi" w:hAnsiTheme="minorHAnsi" w:cs="Arial"/>
                <w:b/>
                <w:color w:val="000000"/>
                <w:sz w:val="18"/>
                <w:szCs w:val="18"/>
                <w:lang w:val="en-AU" w:eastAsia="en-AU"/>
              </w:rPr>
              <w:t xml:space="preserve">Component 2 </w:t>
            </w:r>
            <w:r w:rsidR="00CA60B9" w:rsidRPr="00CA60B9">
              <w:rPr>
                <w:rFonts w:asciiTheme="minorHAnsi" w:hAnsiTheme="minorHAnsi" w:cs="Arial"/>
                <w:b/>
                <w:color w:val="000000"/>
                <w:sz w:val="18"/>
                <w:szCs w:val="18"/>
                <w:lang w:val="en-AU" w:eastAsia="en-AU"/>
              </w:rPr>
              <w:t>District</w:t>
            </w:r>
            <w:r w:rsidRPr="00305BF1">
              <w:rPr>
                <w:rFonts w:asciiTheme="minorHAnsi" w:hAnsiTheme="minorHAnsi" w:cs="Arial"/>
                <w:b/>
                <w:color w:val="000000"/>
                <w:sz w:val="18"/>
                <w:szCs w:val="18"/>
                <w:lang w:val="en-AU" w:eastAsia="en-AU"/>
              </w:rPr>
              <w:t>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A60B9" w:rsidRPr="00CA60B9" w:rsidRDefault="00CA60B9" w:rsidP="00CA60B9">
            <w:pPr>
              <w:spacing w:after="0" w:line="240" w:lineRule="auto"/>
              <w:jc w:val="right"/>
              <w:rPr>
                <w:rFonts w:asciiTheme="minorHAnsi" w:hAnsiTheme="minorHAnsi" w:cs="Arial"/>
                <w:b/>
                <w:color w:val="000000"/>
                <w:sz w:val="18"/>
                <w:szCs w:val="18"/>
                <w:lang w:val="en-AU" w:eastAsia="en-AU"/>
              </w:rPr>
            </w:pPr>
            <w:r w:rsidRPr="00CA60B9">
              <w:rPr>
                <w:rFonts w:asciiTheme="minorHAnsi" w:hAnsiTheme="minorHAnsi" w:cs="Arial"/>
                <w:b/>
                <w:color w:val="000000"/>
                <w:sz w:val="18"/>
                <w:szCs w:val="18"/>
                <w:lang w:val="en-AU" w:eastAsia="en-AU"/>
              </w:rPr>
              <w:t xml:space="preserve">Ed. Expenditure per </w:t>
            </w:r>
            <w:r w:rsidRPr="00CA60B9">
              <w:rPr>
                <w:rFonts w:asciiTheme="minorHAnsi" w:hAnsiTheme="minorHAnsi" w:cs="Arial"/>
                <w:b/>
                <w:color w:val="000000"/>
                <w:sz w:val="18"/>
                <w:szCs w:val="18"/>
                <w:lang w:val="en-AU" w:eastAsia="en-AU"/>
              </w:rPr>
              <w:br/>
              <w:t xml:space="preserve">All Students </w:t>
            </w:r>
            <w:r w:rsidRPr="00CA60B9">
              <w:rPr>
                <w:rFonts w:asciiTheme="minorHAnsi" w:hAnsiTheme="minorHAnsi" w:cs="Arial"/>
                <w:b/>
                <w:color w:val="000000"/>
                <w:sz w:val="18"/>
                <w:szCs w:val="18"/>
                <w:lang w:val="en-AU" w:eastAsia="en-AU"/>
              </w:rPr>
              <w:br/>
              <w:t>(Rp. Million)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A60B9" w:rsidRPr="00CA60B9" w:rsidRDefault="00CA60B9" w:rsidP="00CA60B9">
            <w:pPr>
              <w:spacing w:after="0" w:line="240" w:lineRule="auto"/>
              <w:jc w:val="right"/>
              <w:rPr>
                <w:rFonts w:asciiTheme="minorHAnsi" w:hAnsiTheme="minorHAnsi" w:cs="Arial"/>
                <w:b/>
                <w:color w:val="000000"/>
                <w:sz w:val="18"/>
                <w:szCs w:val="18"/>
                <w:lang w:val="en-AU" w:eastAsia="en-AU"/>
              </w:rPr>
            </w:pPr>
            <w:r w:rsidRPr="00CA60B9">
              <w:rPr>
                <w:rFonts w:asciiTheme="minorHAnsi" w:hAnsiTheme="minorHAnsi" w:cs="Arial"/>
                <w:b/>
                <w:color w:val="000000"/>
                <w:sz w:val="18"/>
                <w:szCs w:val="18"/>
                <w:lang w:val="en-AU" w:eastAsia="en-AU"/>
              </w:rPr>
              <w:t>Education</w:t>
            </w:r>
            <w:r w:rsidR="00305BF1" w:rsidRPr="00305BF1">
              <w:rPr>
                <w:rFonts w:asciiTheme="minorHAnsi" w:hAnsiTheme="minorHAnsi" w:cs="Arial"/>
                <w:b/>
                <w:color w:val="000000"/>
                <w:sz w:val="18"/>
                <w:szCs w:val="18"/>
                <w:lang w:val="en-AU" w:eastAsia="en-AU"/>
              </w:rPr>
              <w:t xml:space="preserve"> </w:t>
            </w:r>
            <w:r w:rsidRPr="00CA60B9">
              <w:rPr>
                <w:rFonts w:asciiTheme="minorHAnsi" w:hAnsiTheme="minorHAnsi" w:cs="Arial"/>
                <w:b/>
                <w:color w:val="000000"/>
                <w:sz w:val="18"/>
                <w:szCs w:val="18"/>
                <w:lang w:val="en-AU" w:eastAsia="en-AU"/>
              </w:rPr>
              <w:t>APBD</w:t>
            </w:r>
            <w:r w:rsidRPr="00CA60B9">
              <w:rPr>
                <w:rFonts w:asciiTheme="minorHAnsi" w:hAnsiTheme="minorHAnsi" w:cs="Arial"/>
                <w:b/>
                <w:color w:val="000000"/>
                <w:sz w:val="18"/>
                <w:szCs w:val="18"/>
                <w:lang w:val="en-AU" w:eastAsia="en-AU"/>
              </w:rPr>
              <w:br/>
              <w:t xml:space="preserve">by District </w:t>
            </w:r>
            <w:r w:rsidRPr="00CA60B9">
              <w:rPr>
                <w:rFonts w:asciiTheme="minorHAnsi" w:hAnsiTheme="minorHAnsi" w:cs="Arial"/>
                <w:b/>
                <w:color w:val="000000"/>
                <w:sz w:val="18"/>
                <w:szCs w:val="18"/>
                <w:lang w:val="en-AU" w:eastAsia="en-AU"/>
              </w:rPr>
              <w:br/>
              <w:t>(Rp. Million)</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rsidR="00CA60B9" w:rsidRPr="00CA60B9" w:rsidRDefault="00CA60B9" w:rsidP="00CA60B9">
            <w:pPr>
              <w:spacing w:after="0" w:line="240" w:lineRule="auto"/>
              <w:jc w:val="right"/>
              <w:rPr>
                <w:rFonts w:asciiTheme="minorHAnsi" w:hAnsiTheme="minorHAnsi" w:cs="Arial"/>
                <w:b/>
                <w:color w:val="000000"/>
                <w:sz w:val="18"/>
                <w:szCs w:val="18"/>
                <w:lang w:val="en-AU" w:eastAsia="en-AU"/>
              </w:rPr>
            </w:pPr>
            <w:r w:rsidRPr="00CA60B9">
              <w:rPr>
                <w:rFonts w:asciiTheme="minorHAnsi" w:hAnsiTheme="minorHAnsi" w:cs="Arial"/>
                <w:b/>
                <w:color w:val="000000"/>
                <w:sz w:val="18"/>
                <w:szCs w:val="18"/>
                <w:lang w:val="en-AU" w:eastAsia="en-AU"/>
              </w:rPr>
              <w:t xml:space="preserve">Education Share of  </w:t>
            </w:r>
            <w:r w:rsidRPr="00CA60B9">
              <w:rPr>
                <w:rFonts w:asciiTheme="minorHAnsi" w:hAnsiTheme="minorHAnsi" w:cs="Arial"/>
                <w:b/>
                <w:color w:val="000000"/>
                <w:sz w:val="18"/>
                <w:szCs w:val="18"/>
                <w:lang w:val="en-AU" w:eastAsia="en-AU"/>
              </w:rPr>
              <w:br/>
              <w:t>District Budget</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rsidR="00CA60B9" w:rsidRPr="00CA60B9" w:rsidRDefault="00CA60B9" w:rsidP="00CA60B9">
            <w:pPr>
              <w:spacing w:after="0" w:line="240" w:lineRule="auto"/>
              <w:jc w:val="right"/>
              <w:rPr>
                <w:rFonts w:asciiTheme="minorHAnsi" w:hAnsiTheme="minorHAnsi" w:cs="Arial"/>
                <w:b/>
                <w:color w:val="000000"/>
                <w:sz w:val="18"/>
                <w:szCs w:val="18"/>
                <w:lang w:val="en-AU" w:eastAsia="en-AU"/>
              </w:rPr>
            </w:pPr>
            <w:r w:rsidRPr="00CA60B9">
              <w:rPr>
                <w:rFonts w:asciiTheme="minorHAnsi" w:hAnsiTheme="minorHAnsi" w:cs="Arial"/>
                <w:b/>
                <w:color w:val="000000"/>
                <w:sz w:val="18"/>
                <w:szCs w:val="18"/>
                <w:lang w:val="en-AU" w:eastAsia="en-AU"/>
              </w:rPr>
              <w:t xml:space="preserve">Education Budget </w:t>
            </w:r>
            <w:r w:rsidRPr="00CA60B9">
              <w:rPr>
                <w:rFonts w:asciiTheme="minorHAnsi" w:hAnsiTheme="minorHAnsi" w:cs="Arial"/>
                <w:b/>
                <w:color w:val="000000"/>
                <w:sz w:val="18"/>
                <w:szCs w:val="18"/>
                <w:lang w:val="en-AU" w:eastAsia="en-AU"/>
              </w:rPr>
              <w:br/>
              <w:t>Annual Growth</w:t>
            </w:r>
          </w:p>
        </w:tc>
      </w:tr>
      <w:tr w:rsidR="00305BF1" w:rsidRPr="00CA60B9" w:rsidTr="00305BF1">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Bali dan Nusa Tenggara</w:t>
            </w: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Alor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188489.93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Badung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352074.09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Bangli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5.39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208801.93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Bima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365461.55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Buleleng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569326.08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Ende</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225815.32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Gianyar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389601.69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Jembrana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156079.64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Karang Asem</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5.12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402099.59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Klungkung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5.81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208564.15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Denpasar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2.28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358140.13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Kupang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219453.57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Lembata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127756.27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Lombok Barat</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295746.25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Lombok Timur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2.21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552455.37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Lombok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115792.94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1474%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Manggarai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184461.89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Manggarai Timur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134595.05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Nagekeo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104417.06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Ngada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123279.17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Rote Ndao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123181.06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Sikka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196255.92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Sumba Tengah</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76256.55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Sumbawa Barat</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5.91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152610.45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Tabanan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5.43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385366.21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Timor Tengah Selatan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307809.08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Timor Tengah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183005.67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r>
      <w:tr w:rsidR="00305BF1" w:rsidRPr="00CA60B9" w:rsidTr="00305BF1">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Jawa</w:t>
            </w: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Bantul</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432473.28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Banyumas</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841648.90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Banyuwangi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1.15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344766.91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Blitar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670845.77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Bogor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1.42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1293177.89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Bojonegoro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682099.77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Brebes</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750916.10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Ciamis</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833036.87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Cilacap</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615547.91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Cirebon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891055.04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Gresik</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465901.05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Gunung Kidul</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560276.69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Jombang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535398.11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Karanganyar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502938.77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Kendal</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504170.88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Banjar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116430.46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Batu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134056.89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Bekasi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737927.38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Cimahi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268188.86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Depok</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1.32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380295.32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Jakarta Barat</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Jakarta Selatan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Jakarta Timur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Jakarta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Madiun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215075.51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Magelang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0.76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34215.31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Malang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430310.49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Semarang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667638.60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Sukabumi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0.63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49526.64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Surakarta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487615.97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Tangerang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673266.59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Tasikmalaya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304586.29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Yogyakarta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312295.15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Kulon Progo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372505.02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Lumajang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561957.13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Madiun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476718.11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Magelang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647635.54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Nganjuk</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561400.19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Ngawi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0.57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84924.64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Pacitan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416923.66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Pandeglang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567559.45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Pasuruan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676572.49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Pati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577163.38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Pekalongan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459797.74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Purbalingga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495613.41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Purworejo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548451.93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Semarang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437773.92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Serang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497236.39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Sidoarjo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710390.98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Sleman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473184.94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Sragen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583058.22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Sukabumi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818061.98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Sukoharjo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515132.06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Sumedang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616652.80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Tasikmalaya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769882.21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Tegal</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624292.50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52%</w:t>
            </w:r>
          </w:p>
        </w:tc>
      </w:tr>
      <w:tr w:rsidR="00305BF1" w:rsidRPr="00CA60B9" w:rsidTr="00305BF1">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Kalimantan</w:t>
            </w: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Banjar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312381.76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Berau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7.95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289447.44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Bulungan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10.19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266323.02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Hulu Sungai Selatan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5.81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245781.94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Hulu Sungai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256770.24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Kapuas</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315987.45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Katingan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173362.25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Kayong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109855.11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Balikpapan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415965.59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Banjarbaru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155071.53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Banjarmasin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389261.23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Bontang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11.81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396470.37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Palangka Raya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5.24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278875.63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Pontianak</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342815.21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Samarinda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623218.37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Singkawang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180479.83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Tarakan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149026.02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Kotabaru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235365.96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Kotawaringin Barat</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157711.26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Kotawaringin Timur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236089.12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Kubu Raya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336578.17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Kutai Barat</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170390.48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Kutai Kartanegara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7.93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1013978.22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Kutai Timur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7.64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387213.22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Lamandau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86200.05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Melawi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152005.02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Murung Raya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6.07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166766.36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Pasir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6.09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305922.64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Penajam Paser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7.85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238306.12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Pontianak</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186205.37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Sambas</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388932.82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Sanggau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336043.39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Seruyan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116972.99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Sintang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298013.33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Tabalong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5.24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261473.67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Tanah Bumbu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217782.07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Tanah Laut</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235361.71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Tapin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5.96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193846.18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w:t>
            </w:r>
          </w:p>
        </w:tc>
      </w:tr>
      <w:tr w:rsidR="00305BF1" w:rsidRPr="00CA60B9" w:rsidTr="00305BF1">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Maluku</w:t>
            </w: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Halmahera Barat</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69058.18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Halmahera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69181.23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Kepulauan Aru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81289.62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Kepulauan Sula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92791.89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Ambon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341730.96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Ternate</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4.52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189289.91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Tidore Kepulauan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5.22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128198.18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Tual</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70919.42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Maluku Tenggara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2.27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77667.66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90%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Seram Bagian Barat</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162820.27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w:t>
            </w:r>
          </w:p>
        </w:tc>
      </w:tr>
      <w:tr w:rsidR="00305BF1" w:rsidRPr="00CA60B9" w:rsidTr="00305BF1">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Papua</w:t>
            </w: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Fakfak</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6.97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128028.78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Jayapura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5.35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228223.55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Manokwari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239944.14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Sorong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6.08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134340.00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Sorong Selatan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6.97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92915.74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w:t>
            </w:r>
          </w:p>
        </w:tc>
      </w:tr>
      <w:tr w:rsidR="00305BF1" w:rsidRPr="00CA60B9" w:rsidTr="00305BF1">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Sulawesi</w:t>
            </w: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Bantaeng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165214.19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Barru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215420.15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Boalemo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135448.21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Bombana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104702.16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Bone</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271992.08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Bone Bolango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147656.27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Buton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75534.33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Donggala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253317.81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Enrekang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218096.64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Gorontalo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290320.72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Gowa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334777.44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Jeneponto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241568.79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Kepulauan Talaud</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6.70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132666.86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Konawe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6.93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100258.08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Gorontalo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201873.95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Kendari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247277.91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Kotamobagu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104769.88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Palu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295732.46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Tomohon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91393.00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Luwu Timur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157952.85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Majene</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168453.63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Mamuju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168650.09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Maros</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230469.01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Minahasa Selatan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160808.56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Minahasa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125310.19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Morowali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181546.32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Pangkajene dan Kepulauan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298754.50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Parigi Moutong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188299.27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Pohuwato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115746.68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Polewali Mandar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283605.10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Sidenreng Rappang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264573.94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Sigi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171610.87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Sinjai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240432.87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Tana Toraja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150799.96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toli-toli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167265.06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Wajo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239787.53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Wakatobi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125909.65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r>
      <w:tr w:rsidR="00305BF1" w:rsidRPr="00CA60B9" w:rsidTr="00305BF1">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Sumatera</w:t>
            </w: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Aceh Barat</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199269.19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Aceh Barat Daya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124585.87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Aceh Besar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281907.00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Aceh Jaya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7.34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126403.92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Aceh Selatan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197491.73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Aceh Tamiang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202818.34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Aceh Tengah</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194964.75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Aceh Tenggara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156324.36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Aceh Timur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234084.48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Aceh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388117.31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Bangka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202518.27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Bangka Barat</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129939.62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Bangka Selatan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125689.03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Bangka Tengah</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87442.77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Banyu Asin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406448.24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Belitung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4.71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150878.38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Belitung Timur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7.09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142997.84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Bener Meriah</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4.52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156044.56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Bengkalis</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6.43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797633.29</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Bengkulu Selatan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201606.94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Bengkulu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185084.37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 </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Bireuen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344147.51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Deli Serdang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747497.05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Dharmas Raya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171178.35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Kampar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610464.87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Kaur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107266.84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Kerinci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236617.95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Banda Aceh</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240128.64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Bengkulu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251689.43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Dumai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215016.80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Langsa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144067.71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Lhokseumawe</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149700.70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Lubuklinggau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154261.92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Medan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878867.35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Metro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2.97</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175114.92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Padang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586140.57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Palembang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809678.58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Pangkal Pinang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148783.20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Pariaman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5.73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158499.40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Sabang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15.15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100366.86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Kota Subulussalam</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78206.24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Kuantan Singingi</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303095.31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Lampung Tengah</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713830.01</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Lima Puluh Koto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4.74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357000.65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Mukomuko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134772.32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Nagan Raya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5.52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185611.72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Ogan Ilir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280079.33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Ogan Komering Ulu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202575.00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Padang Pariaman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427441.58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59%</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Pelalawan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3.69</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222730.67</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Pesisir Selatan</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372864.18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50%</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Pidie</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342620.20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Pidie Jaya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3.63</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125471.64</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36%</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Pringsewu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3.71</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293708.70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64%</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Rejang Lebong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2.62</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164153.35</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18%</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Rokan Hulu</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2.56</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262181.93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Sijunjung</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4.80</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229967.53</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49%</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Simeulue</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4.04</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102886.76</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Solok</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336979.82</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52%</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40%</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Tanah Datar</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3.98</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308240.80</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23%</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Tapanuli Utara</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313966.78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48%</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41%</w:t>
            </w:r>
          </w:p>
        </w:tc>
      </w:tr>
      <w:tr w:rsidR="00305BF1" w:rsidRPr="00CA60B9" w:rsidTr="00305BF1">
        <w:trPr>
          <w:trHeight w:val="300"/>
        </w:trPr>
        <w:tc>
          <w:tcPr>
            <w:tcW w:w="1149" w:type="dxa"/>
            <w:vMerge/>
            <w:tcBorders>
              <w:top w:val="nil"/>
              <w:left w:val="single" w:sz="4" w:space="0" w:color="auto"/>
              <w:bottom w:val="single" w:sz="4" w:space="0" w:color="auto"/>
              <w:right w:val="single" w:sz="4" w:space="0" w:color="auto"/>
            </w:tcBorders>
            <w:vAlign w:val="center"/>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p>
        </w:tc>
        <w:tc>
          <w:tcPr>
            <w:tcW w:w="2268" w:type="dxa"/>
            <w:tcBorders>
              <w:top w:val="nil"/>
              <w:left w:val="nil"/>
              <w:bottom w:val="single" w:sz="4" w:space="0" w:color="auto"/>
              <w:right w:val="single" w:sz="4" w:space="0" w:color="auto"/>
            </w:tcBorders>
            <w:shd w:val="clear" w:color="auto" w:fill="auto"/>
            <w:noWrap/>
            <w:hideMark/>
          </w:tcPr>
          <w:p w:rsidR="00CA60B9" w:rsidRPr="00CA60B9" w:rsidRDefault="00CA60B9" w:rsidP="00CA60B9">
            <w:pPr>
              <w:spacing w:after="0" w:line="240" w:lineRule="auto"/>
              <w:jc w:val="lef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Tebo</w:t>
            </w:r>
          </w:p>
        </w:tc>
        <w:tc>
          <w:tcPr>
            <w:tcW w:w="1418"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2.95</w:t>
            </w:r>
          </w:p>
        </w:tc>
        <w:tc>
          <w:tcPr>
            <w:tcW w:w="1276"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198072.38</w:t>
            </w:r>
          </w:p>
        </w:tc>
        <w:tc>
          <w:tcPr>
            <w:tcW w:w="1324"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35%</w:t>
            </w:r>
          </w:p>
        </w:tc>
        <w:tc>
          <w:tcPr>
            <w:tcW w:w="1369" w:type="dxa"/>
            <w:tcBorders>
              <w:top w:val="nil"/>
              <w:left w:val="nil"/>
              <w:bottom w:val="single" w:sz="4" w:space="0" w:color="auto"/>
              <w:right w:val="single" w:sz="4" w:space="0" w:color="auto"/>
            </w:tcBorders>
            <w:shd w:val="clear" w:color="auto" w:fill="auto"/>
            <w:noWrap/>
            <w:vAlign w:val="center"/>
            <w:hideMark/>
          </w:tcPr>
          <w:p w:rsidR="00CA60B9" w:rsidRPr="00CA60B9" w:rsidRDefault="00CA60B9" w:rsidP="00CA60B9">
            <w:pPr>
              <w:spacing w:after="0" w:line="240" w:lineRule="auto"/>
              <w:jc w:val="right"/>
              <w:rPr>
                <w:rFonts w:asciiTheme="minorHAnsi" w:hAnsiTheme="minorHAnsi" w:cs="Arial"/>
                <w:color w:val="000000"/>
                <w:sz w:val="18"/>
                <w:szCs w:val="18"/>
                <w:lang w:val="en-AU" w:eastAsia="en-AU"/>
              </w:rPr>
            </w:pPr>
            <w:r w:rsidRPr="00CA60B9">
              <w:rPr>
                <w:rFonts w:asciiTheme="minorHAnsi" w:hAnsiTheme="minorHAnsi" w:cs="Arial"/>
                <w:color w:val="000000"/>
                <w:sz w:val="18"/>
                <w:szCs w:val="18"/>
                <w:lang w:val="en-AU" w:eastAsia="en-AU"/>
              </w:rPr>
              <w:t>56%</w:t>
            </w:r>
          </w:p>
        </w:tc>
      </w:tr>
    </w:tbl>
    <w:p w:rsidR="00CA60B9" w:rsidRDefault="00CA60B9" w:rsidP="00193E45"/>
    <w:sectPr w:rsidR="00CA60B9" w:rsidSect="00F41D51">
      <w:headerReference w:type="default" r:id="rId68"/>
      <w:footerReference w:type="default" r:id="rId69"/>
      <w:headerReference w:type="first" r:id="rId70"/>
      <w:footerReference w:type="first" r:id="rId71"/>
      <w:pgSz w:w="11909" w:h="16834" w:code="9"/>
      <w:pgMar w:top="1134" w:right="1703" w:bottom="851" w:left="1440" w:header="567" w:footer="34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B1" w:rsidRDefault="005B45B1" w:rsidP="002E0C43">
      <w:pPr>
        <w:spacing w:after="0" w:line="240" w:lineRule="auto"/>
      </w:pPr>
      <w:r>
        <w:separator/>
      </w:r>
    </w:p>
  </w:endnote>
  <w:endnote w:type="continuationSeparator" w:id="0">
    <w:p w:rsidR="005B45B1" w:rsidRDefault="005B45B1" w:rsidP="002E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54" w:rsidRDefault="004A4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86" w:rsidRDefault="002F6F86" w:rsidP="002F6F86">
    <w:pPr>
      <w:pStyle w:val="Footer"/>
      <w:pBdr>
        <w:top w:val="single" w:sz="4" w:space="1" w:color="auto"/>
      </w:pBdr>
      <w:ind w:right="-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54" w:rsidRDefault="004A45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C00000"/>
        <w:sz w:val="16"/>
        <w:szCs w:val="16"/>
      </w:rPr>
      <w:id w:val="1316143173"/>
      <w:docPartObj>
        <w:docPartGallery w:val="Page Numbers (Bottom of Page)"/>
        <w:docPartUnique/>
      </w:docPartObj>
    </w:sdtPr>
    <w:sdtEndPr>
      <w:rPr>
        <w:spacing w:val="60"/>
        <w:sz w:val="18"/>
        <w:szCs w:val="18"/>
      </w:rPr>
    </w:sdtEndPr>
    <w:sdtContent>
      <w:p w:rsidR="002F6F86" w:rsidRPr="009E3428" w:rsidRDefault="002F6F86" w:rsidP="009E3428">
        <w:pPr>
          <w:pStyle w:val="Footer"/>
          <w:pBdr>
            <w:top w:val="single" w:sz="4" w:space="1" w:color="auto"/>
          </w:pBdr>
          <w:rPr>
            <w:b/>
            <w:bCs/>
            <w:color w:val="C00000"/>
            <w:szCs w:val="18"/>
          </w:rPr>
        </w:pPr>
        <w:r w:rsidRPr="009E3428">
          <w:rPr>
            <w:color w:val="C00000"/>
            <w:szCs w:val="18"/>
          </w:rPr>
          <w:fldChar w:fldCharType="begin"/>
        </w:r>
        <w:r w:rsidRPr="009E3428">
          <w:rPr>
            <w:color w:val="C00000"/>
            <w:szCs w:val="18"/>
          </w:rPr>
          <w:instrText xml:space="preserve"> PAGE   \* MERGEFORMAT </w:instrText>
        </w:r>
        <w:r w:rsidRPr="009E3428">
          <w:rPr>
            <w:color w:val="C00000"/>
            <w:szCs w:val="18"/>
          </w:rPr>
          <w:fldChar w:fldCharType="separate"/>
        </w:r>
        <w:r w:rsidR="004A4554" w:rsidRPr="004A4554">
          <w:rPr>
            <w:b/>
            <w:bCs/>
            <w:noProof/>
            <w:color w:val="C00000"/>
            <w:szCs w:val="18"/>
          </w:rPr>
          <w:t>x</w:t>
        </w:r>
        <w:r w:rsidRPr="009E3428">
          <w:rPr>
            <w:b/>
            <w:bCs/>
            <w:noProof/>
            <w:color w:val="C00000"/>
            <w:szCs w:val="18"/>
          </w:rPr>
          <w:fldChar w:fldCharType="end"/>
        </w:r>
        <w:r>
          <w:rPr>
            <w:b/>
            <w:bCs/>
            <w:noProof/>
            <w:color w:val="C00000"/>
            <w:szCs w:val="18"/>
          </w:rPr>
          <w:t xml:space="preserve"> </w:t>
        </w:r>
        <w:r w:rsidRPr="009E3428">
          <w:rPr>
            <w:b/>
            <w:bCs/>
            <w:color w:val="C00000"/>
            <w:szCs w:val="18"/>
          </w:rPr>
          <w:t xml:space="preserve"> </w:t>
        </w:r>
        <w:r w:rsidRPr="009E3428">
          <w:rPr>
            <w:b/>
            <w:bCs/>
            <w:color w:val="C00000"/>
            <w:szCs w:val="18"/>
            <w14:textOutline w14:w="3175" w14:cap="rnd" w14:cmpd="sng" w14:algn="ctr">
              <w14:solidFill>
                <w14:schemeClr w14:val="tx1"/>
              </w14:solidFill>
              <w14:prstDash w14:val="solid"/>
              <w14:bevel/>
            </w14:textOutline>
          </w:rPr>
          <w:t xml:space="preserve">| </w:t>
        </w:r>
        <w:r>
          <w:rPr>
            <w:b/>
            <w:color w:val="1F497D" w:themeColor="text2"/>
            <w:spacing w:val="60"/>
            <w:szCs w:val="18"/>
            <w14:textOutline w14:w="3175" w14:cap="rnd" w14:cmpd="sng" w14:algn="ctr">
              <w14:noFill/>
              <w14:prstDash w14:val="solid"/>
              <w14:bevel/>
            </w14:textOutline>
          </w:rPr>
          <w:t xml:space="preserve">Annual Sector </w:t>
        </w:r>
        <w:r w:rsidRPr="00BB1317">
          <w:rPr>
            <w:b/>
            <w:color w:val="1F497D" w:themeColor="text2"/>
            <w:spacing w:val="60"/>
            <w:szCs w:val="18"/>
            <w14:textOutline w14:w="3175" w14:cap="rnd" w14:cmpd="sng" w14:algn="ctr">
              <w14:noFill/>
              <w14:prstDash w14:val="solid"/>
              <w14:bevel/>
            </w14:textOutline>
          </w:rPr>
          <w:t xml:space="preserve">Financial </w:t>
        </w:r>
        <w:r>
          <w:rPr>
            <w:b/>
            <w:color w:val="1F497D" w:themeColor="text2"/>
            <w:spacing w:val="60"/>
            <w:szCs w:val="18"/>
            <w14:textOutline w14:w="3175" w14:cap="rnd" w14:cmpd="sng" w14:algn="ctr">
              <w14:noFill/>
              <w14:prstDash w14:val="solid"/>
              <w14:bevel/>
            </w14:textOutline>
          </w:rPr>
          <w:t>Report 2011</w:t>
        </w:r>
      </w:p>
    </w:sdtContent>
  </w:sdt>
  <w:p w:rsidR="002F6F86" w:rsidRPr="009E3428" w:rsidRDefault="002F6F86" w:rsidP="009E3428">
    <w:pPr>
      <w:pStyle w:val="Footer"/>
      <w:pBdr>
        <w:top w:val="single" w:sz="4" w:space="1" w:color="auto"/>
      </w:pBdr>
      <w:rPr>
        <w:color w:val="FFFFFF" w:themeColor="background1"/>
        <w:lang w:val="en-A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C00000"/>
        <w:sz w:val="16"/>
        <w:szCs w:val="16"/>
      </w:rPr>
      <w:id w:val="-311017820"/>
      <w:docPartObj>
        <w:docPartGallery w:val="Page Numbers (Bottom of Page)"/>
        <w:docPartUnique/>
      </w:docPartObj>
    </w:sdtPr>
    <w:sdtEndPr>
      <w:rPr>
        <w:spacing w:val="60"/>
        <w:sz w:val="18"/>
        <w:szCs w:val="18"/>
      </w:rPr>
    </w:sdtEndPr>
    <w:sdtContent>
      <w:p w:rsidR="00F41D51" w:rsidRPr="009E3428" w:rsidRDefault="00F41D51" w:rsidP="00F41D51">
        <w:pPr>
          <w:pStyle w:val="Footer"/>
          <w:pBdr>
            <w:top w:val="single" w:sz="4" w:space="1" w:color="auto"/>
          </w:pBdr>
          <w:rPr>
            <w:b/>
            <w:bCs/>
            <w:color w:val="C00000"/>
            <w:szCs w:val="18"/>
          </w:rPr>
        </w:pPr>
        <w:r w:rsidRPr="009E3428">
          <w:rPr>
            <w:color w:val="C00000"/>
            <w:szCs w:val="18"/>
          </w:rPr>
          <w:fldChar w:fldCharType="begin"/>
        </w:r>
        <w:r w:rsidRPr="009E3428">
          <w:rPr>
            <w:color w:val="C00000"/>
            <w:szCs w:val="18"/>
          </w:rPr>
          <w:instrText xml:space="preserve"> PAGE   \* MERGEFORMAT </w:instrText>
        </w:r>
        <w:r w:rsidRPr="009E3428">
          <w:rPr>
            <w:color w:val="C00000"/>
            <w:szCs w:val="18"/>
          </w:rPr>
          <w:fldChar w:fldCharType="separate"/>
        </w:r>
        <w:r w:rsidR="004A4554" w:rsidRPr="004A4554">
          <w:rPr>
            <w:b/>
            <w:bCs/>
            <w:noProof/>
            <w:color w:val="C00000"/>
            <w:szCs w:val="18"/>
          </w:rPr>
          <w:t>iv</w:t>
        </w:r>
        <w:r w:rsidRPr="009E3428">
          <w:rPr>
            <w:b/>
            <w:bCs/>
            <w:noProof/>
            <w:color w:val="C00000"/>
            <w:szCs w:val="18"/>
          </w:rPr>
          <w:fldChar w:fldCharType="end"/>
        </w:r>
        <w:r>
          <w:rPr>
            <w:b/>
            <w:bCs/>
            <w:noProof/>
            <w:color w:val="C00000"/>
            <w:szCs w:val="18"/>
          </w:rPr>
          <w:t xml:space="preserve"> </w:t>
        </w:r>
        <w:r w:rsidRPr="009E3428">
          <w:rPr>
            <w:b/>
            <w:bCs/>
            <w:color w:val="C00000"/>
            <w:szCs w:val="18"/>
          </w:rPr>
          <w:t xml:space="preserve"> </w:t>
        </w:r>
        <w:r w:rsidRPr="009E3428">
          <w:rPr>
            <w:b/>
            <w:bCs/>
            <w:color w:val="C00000"/>
            <w:szCs w:val="18"/>
            <w14:textOutline w14:w="3175" w14:cap="rnd" w14:cmpd="sng" w14:algn="ctr">
              <w14:solidFill>
                <w14:schemeClr w14:val="tx1"/>
              </w14:solidFill>
              <w14:prstDash w14:val="solid"/>
              <w14:bevel/>
            </w14:textOutline>
          </w:rPr>
          <w:t xml:space="preserve">| </w:t>
        </w:r>
        <w:r>
          <w:rPr>
            <w:b/>
            <w:color w:val="1F497D" w:themeColor="text2"/>
            <w:spacing w:val="60"/>
            <w:szCs w:val="18"/>
            <w14:textOutline w14:w="3175" w14:cap="rnd" w14:cmpd="sng" w14:algn="ctr">
              <w14:noFill/>
              <w14:prstDash w14:val="solid"/>
              <w14:bevel/>
            </w14:textOutline>
          </w:rPr>
          <w:t xml:space="preserve">Annual Sector </w:t>
        </w:r>
        <w:r w:rsidRPr="00BB1317">
          <w:rPr>
            <w:b/>
            <w:color w:val="1F497D" w:themeColor="text2"/>
            <w:spacing w:val="60"/>
            <w:szCs w:val="18"/>
            <w14:textOutline w14:w="3175" w14:cap="rnd" w14:cmpd="sng" w14:algn="ctr">
              <w14:noFill/>
              <w14:prstDash w14:val="solid"/>
              <w14:bevel/>
            </w14:textOutline>
          </w:rPr>
          <w:t xml:space="preserve">Financial </w:t>
        </w:r>
        <w:r>
          <w:rPr>
            <w:b/>
            <w:color w:val="1F497D" w:themeColor="text2"/>
            <w:spacing w:val="60"/>
            <w:szCs w:val="18"/>
            <w14:textOutline w14:w="3175" w14:cap="rnd" w14:cmpd="sng" w14:algn="ctr">
              <w14:noFill/>
              <w14:prstDash w14:val="solid"/>
              <w14:bevel/>
            </w14:textOutline>
          </w:rPr>
          <w:t>Report 2011</w:t>
        </w:r>
      </w:p>
    </w:sdtContent>
  </w:sdt>
  <w:p w:rsidR="002F6F86" w:rsidRPr="00AF550B" w:rsidRDefault="002F6F86" w:rsidP="00AF55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C00000"/>
        <w:sz w:val="16"/>
        <w:szCs w:val="16"/>
      </w:rPr>
      <w:id w:val="-1486856206"/>
      <w:docPartObj>
        <w:docPartGallery w:val="Page Numbers (Bottom of Page)"/>
        <w:docPartUnique/>
      </w:docPartObj>
    </w:sdtPr>
    <w:sdtEndPr>
      <w:rPr>
        <w:spacing w:val="60"/>
        <w:sz w:val="18"/>
        <w:szCs w:val="18"/>
      </w:rPr>
    </w:sdtEndPr>
    <w:sdtContent>
      <w:p w:rsidR="00AF550B" w:rsidRPr="009E3428" w:rsidRDefault="00AF550B" w:rsidP="00AF550B">
        <w:pPr>
          <w:pStyle w:val="Footer"/>
          <w:pBdr>
            <w:top w:val="single" w:sz="4" w:space="1" w:color="auto"/>
          </w:pBdr>
          <w:rPr>
            <w:b/>
            <w:bCs/>
            <w:color w:val="C00000"/>
            <w:szCs w:val="18"/>
          </w:rPr>
        </w:pPr>
        <w:r w:rsidRPr="009E3428">
          <w:rPr>
            <w:color w:val="C00000"/>
            <w:szCs w:val="18"/>
          </w:rPr>
          <w:fldChar w:fldCharType="begin"/>
        </w:r>
        <w:r w:rsidRPr="009E3428">
          <w:rPr>
            <w:color w:val="C00000"/>
            <w:szCs w:val="18"/>
          </w:rPr>
          <w:instrText xml:space="preserve"> PAGE   \* MERGEFORMAT </w:instrText>
        </w:r>
        <w:r w:rsidRPr="009E3428">
          <w:rPr>
            <w:color w:val="C00000"/>
            <w:szCs w:val="18"/>
          </w:rPr>
          <w:fldChar w:fldCharType="separate"/>
        </w:r>
        <w:r w:rsidR="004A4554" w:rsidRPr="004A4554">
          <w:rPr>
            <w:b/>
            <w:bCs/>
            <w:noProof/>
            <w:color w:val="C00000"/>
            <w:szCs w:val="18"/>
          </w:rPr>
          <w:t>ix</w:t>
        </w:r>
        <w:r w:rsidRPr="009E3428">
          <w:rPr>
            <w:b/>
            <w:bCs/>
            <w:noProof/>
            <w:color w:val="C00000"/>
            <w:szCs w:val="18"/>
          </w:rPr>
          <w:fldChar w:fldCharType="end"/>
        </w:r>
        <w:r>
          <w:rPr>
            <w:b/>
            <w:bCs/>
            <w:noProof/>
            <w:color w:val="C00000"/>
            <w:szCs w:val="18"/>
          </w:rPr>
          <w:t xml:space="preserve"> </w:t>
        </w:r>
        <w:r w:rsidRPr="009E3428">
          <w:rPr>
            <w:b/>
            <w:bCs/>
            <w:color w:val="C00000"/>
            <w:szCs w:val="18"/>
          </w:rPr>
          <w:t xml:space="preserve"> </w:t>
        </w:r>
        <w:r w:rsidRPr="009E3428">
          <w:rPr>
            <w:b/>
            <w:bCs/>
            <w:color w:val="C00000"/>
            <w:szCs w:val="18"/>
            <w14:textOutline w14:w="3175" w14:cap="rnd" w14:cmpd="sng" w14:algn="ctr">
              <w14:solidFill>
                <w14:schemeClr w14:val="tx1"/>
              </w14:solidFill>
              <w14:prstDash w14:val="solid"/>
              <w14:bevel/>
            </w14:textOutline>
          </w:rPr>
          <w:t xml:space="preserve">| </w:t>
        </w:r>
        <w:r>
          <w:rPr>
            <w:b/>
            <w:color w:val="1F497D" w:themeColor="text2"/>
            <w:spacing w:val="60"/>
            <w:szCs w:val="18"/>
            <w14:textOutline w14:w="3175" w14:cap="rnd" w14:cmpd="sng" w14:algn="ctr">
              <w14:noFill/>
              <w14:prstDash w14:val="solid"/>
              <w14:bevel/>
            </w14:textOutline>
          </w:rPr>
          <w:t xml:space="preserve">Annual Sector </w:t>
        </w:r>
        <w:r w:rsidRPr="00BB1317">
          <w:rPr>
            <w:b/>
            <w:color w:val="1F497D" w:themeColor="text2"/>
            <w:spacing w:val="60"/>
            <w:szCs w:val="18"/>
            <w14:textOutline w14:w="3175" w14:cap="rnd" w14:cmpd="sng" w14:algn="ctr">
              <w14:noFill/>
              <w14:prstDash w14:val="solid"/>
              <w14:bevel/>
            </w14:textOutline>
          </w:rPr>
          <w:t xml:space="preserve">Financial </w:t>
        </w:r>
        <w:r>
          <w:rPr>
            <w:b/>
            <w:color w:val="1F497D" w:themeColor="text2"/>
            <w:spacing w:val="60"/>
            <w:szCs w:val="18"/>
            <w14:textOutline w14:w="3175" w14:cap="rnd" w14:cmpd="sng" w14:algn="ctr">
              <w14:noFill/>
              <w14:prstDash w14:val="solid"/>
              <w14:bevel/>
            </w14:textOutline>
          </w:rPr>
          <w:t>Report 2011</w:t>
        </w:r>
      </w:p>
    </w:sdtContent>
  </w:sdt>
  <w:p w:rsidR="00AF550B" w:rsidRPr="00AF550B" w:rsidRDefault="00AF550B" w:rsidP="00AF55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C00000"/>
        <w:sz w:val="16"/>
        <w:szCs w:val="16"/>
      </w:rPr>
      <w:id w:val="923762686"/>
      <w:docPartObj>
        <w:docPartGallery w:val="Page Numbers (Bottom of Page)"/>
        <w:docPartUnique/>
      </w:docPartObj>
    </w:sdtPr>
    <w:sdtEndPr>
      <w:rPr>
        <w:spacing w:val="60"/>
        <w:sz w:val="18"/>
        <w:szCs w:val="18"/>
      </w:rPr>
    </w:sdtEndPr>
    <w:sdtContent>
      <w:p w:rsidR="00F41D51" w:rsidRPr="009E3428" w:rsidRDefault="00F41D51" w:rsidP="00F41D51">
        <w:pPr>
          <w:pStyle w:val="Footer"/>
          <w:pBdr>
            <w:top w:val="single" w:sz="4" w:space="1" w:color="auto"/>
          </w:pBdr>
          <w:rPr>
            <w:b/>
            <w:bCs/>
            <w:color w:val="C00000"/>
            <w:szCs w:val="18"/>
          </w:rPr>
        </w:pPr>
        <w:r w:rsidRPr="009E3428">
          <w:rPr>
            <w:color w:val="C00000"/>
            <w:szCs w:val="18"/>
          </w:rPr>
          <w:fldChar w:fldCharType="begin"/>
        </w:r>
        <w:r w:rsidRPr="009E3428">
          <w:rPr>
            <w:color w:val="C00000"/>
            <w:szCs w:val="18"/>
          </w:rPr>
          <w:instrText xml:space="preserve"> PAGE   \* MERGEFORMAT </w:instrText>
        </w:r>
        <w:r w:rsidRPr="009E3428">
          <w:rPr>
            <w:color w:val="C00000"/>
            <w:szCs w:val="18"/>
          </w:rPr>
          <w:fldChar w:fldCharType="separate"/>
        </w:r>
        <w:r w:rsidR="004A4554" w:rsidRPr="004A4554">
          <w:rPr>
            <w:b/>
            <w:bCs/>
            <w:noProof/>
            <w:color w:val="C00000"/>
            <w:szCs w:val="18"/>
          </w:rPr>
          <w:t>52</w:t>
        </w:r>
        <w:r w:rsidRPr="009E3428">
          <w:rPr>
            <w:b/>
            <w:bCs/>
            <w:noProof/>
            <w:color w:val="C00000"/>
            <w:szCs w:val="18"/>
          </w:rPr>
          <w:fldChar w:fldCharType="end"/>
        </w:r>
        <w:r>
          <w:rPr>
            <w:b/>
            <w:bCs/>
            <w:noProof/>
            <w:color w:val="C00000"/>
            <w:szCs w:val="18"/>
          </w:rPr>
          <w:t xml:space="preserve"> </w:t>
        </w:r>
        <w:r w:rsidRPr="009E3428">
          <w:rPr>
            <w:b/>
            <w:bCs/>
            <w:color w:val="C00000"/>
            <w:szCs w:val="18"/>
          </w:rPr>
          <w:t xml:space="preserve"> </w:t>
        </w:r>
        <w:r w:rsidRPr="009E3428">
          <w:rPr>
            <w:b/>
            <w:bCs/>
            <w:color w:val="C00000"/>
            <w:szCs w:val="18"/>
            <w14:textOutline w14:w="3175" w14:cap="rnd" w14:cmpd="sng" w14:algn="ctr">
              <w14:solidFill>
                <w14:schemeClr w14:val="tx1"/>
              </w14:solidFill>
              <w14:prstDash w14:val="solid"/>
              <w14:bevel/>
            </w14:textOutline>
          </w:rPr>
          <w:t xml:space="preserve">| </w:t>
        </w:r>
        <w:r>
          <w:rPr>
            <w:b/>
            <w:color w:val="1F497D" w:themeColor="text2"/>
            <w:spacing w:val="60"/>
            <w:szCs w:val="18"/>
            <w14:textOutline w14:w="3175" w14:cap="rnd" w14:cmpd="sng" w14:algn="ctr">
              <w14:noFill/>
              <w14:prstDash w14:val="solid"/>
              <w14:bevel/>
            </w14:textOutline>
          </w:rPr>
          <w:t xml:space="preserve">Annual Sector </w:t>
        </w:r>
        <w:r w:rsidRPr="00BB1317">
          <w:rPr>
            <w:b/>
            <w:color w:val="1F497D" w:themeColor="text2"/>
            <w:spacing w:val="60"/>
            <w:szCs w:val="18"/>
            <w14:textOutline w14:w="3175" w14:cap="rnd" w14:cmpd="sng" w14:algn="ctr">
              <w14:noFill/>
              <w14:prstDash w14:val="solid"/>
              <w14:bevel/>
            </w14:textOutline>
          </w:rPr>
          <w:t xml:space="preserve">Financial </w:t>
        </w:r>
        <w:r>
          <w:rPr>
            <w:b/>
            <w:color w:val="1F497D" w:themeColor="text2"/>
            <w:spacing w:val="60"/>
            <w:szCs w:val="18"/>
            <w14:textOutline w14:w="3175" w14:cap="rnd" w14:cmpd="sng" w14:algn="ctr">
              <w14:noFill/>
              <w14:prstDash w14:val="solid"/>
              <w14:bevel/>
            </w14:textOutline>
          </w:rPr>
          <w:t>Report 2011</w:t>
        </w:r>
      </w:p>
    </w:sdtContent>
  </w:sdt>
  <w:p w:rsidR="009A4096" w:rsidRPr="00AF550B" w:rsidRDefault="009A4096" w:rsidP="00AF550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C00000"/>
        <w:sz w:val="16"/>
        <w:szCs w:val="16"/>
      </w:rPr>
      <w:id w:val="-2019611225"/>
      <w:docPartObj>
        <w:docPartGallery w:val="Page Numbers (Bottom of Page)"/>
        <w:docPartUnique/>
      </w:docPartObj>
    </w:sdtPr>
    <w:sdtEndPr>
      <w:rPr>
        <w:spacing w:val="60"/>
        <w:sz w:val="18"/>
        <w:szCs w:val="18"/>
      </w:rPr>
    </w:sdtEndPr>
    <w:sdtContent>
      <w:p w:rsidR="00AF550B" w:rsidRPr="009E3428" w:rsidRDefault="00AF550B" w:rsidP="00AF550B">
        <w:pPr>
          <w:pStyle w:val="Footer"/>
          <w:pBdr>
            <w:top w:val="single" w:sz="4" w:space="1" w:color="auto"/>
          </w:pBdr>
          <w:rPr>
            <w:b/>
            <w:bCs/>
            <w:color w:val="C00000"/>
            <w:szCs w:val="18"/>
          </w:rPr>
        </w:pPr>
        <w:r w:rsidRPr="009E3428">
          <w:rPr>
            <w:color w:val="C00000"/>
            <w:szCs w:val="18"/>
          </w:rPr>
          <w:fldChar w:fldCharType="begin"/>
        </w:r>
        <w:r w:rsidRPr="009E3428">
          <w:rPr>
            <w:color w:val="C00000"/>
            <w:szCs w:val="18"/>
          </w:rPr>
          <w:instrText xml:space="preserve"> PAGE   \* MERGEFORMAT </w:instrText>
        </w:r>
        <w:r w:rsidRPr="009E3428">
          <w:rPr>
            <w:color w:val="C00000"/>
            <w:szCs w:val="18"/>
          </w:rPr>
          <w:fldChar w:fldCharType="separate"/>
        </w:r>
        <w:r w:rsidR="004A4554" w:rsidRPr="004A4554">
          <w:rPr>
            <w:b/>
            <w:bCs/>
            <w:noProof/>
            <w:color w:val="C00000"/>
            <w:szCs w:val="18"/>
          </w:rPr>
          <w:t>1</w:t>
        </w:r>
        <w:r w:rsidRPr="009E3428">
          <w:rPr>
            <w:b/>
            <w:bCs/>
            <w:noProof/>
            <w:color w:val="C00000"/>
            <w:szCs w:val="18"/>
          </w:rPr>
          <w:fldChar w:fldCharType="end"/>
        </w:r>
        <w:r>
          <w:rPr>
            <w:b/>
            <w:bCs/>
            <w:noProof/>
            <w:color w:val="C00000"/>
            <w:szCs w:val="18"/>
          </w:rPr>
          <w:t xml:space="preserve"> </w:t>
        </w:r>
        <w:r w:rsidRPr="009E3428">
          <w:rPr>
            <w:b/>
            <w:bCs/>
            <w:color w:val="C00000"/>
            <w:szCs w:val="18"/>
          </w:rPr>
          <w:t xml:space="preserve"> </w:t>
        </w:r>
        <w:r w:rsidRPr="009E3428">
          <w:rPr>
            <w:b/>
            <w:bCs/>
            <w:color w:val="C00000"/>
            <w:szCs w:val="18"/>
            <w14:textOutline w14:w="3175" w14:cap="rnd" w14:cmpd="sng" w14:algn="ctr">
              <w14:solidFill>
                <w14:schemeClr w14:val="tx1"/>
              </w14:solidFill>
              <w14:prstDash w14:val="solid"/>
              <w14:bevel/>
            </w14:textOutline>
          </w:rPr>
          <w:t xml:space="preserve">| </w:t>
        </w:r>
        <w:r>
          <w:rPr>
            <w:b/>
            <w:color w:val="1F497D" w:themeColor="text2"/>
            <w:spacing w:val="60"/>
            <w:szCs w:val="18"/>
            <w14:textOutline w14:w="3175" w14:cap="rnd" w14:cmpd="sng" w14:algn="ctr">
              <w14:noFill/>
              <w14:prstDash w14:val="solid"/>
              <w14:bevel/>
            </w14:textOutline>
          </w:rPr>
          <w:t xml:space="preserve">Annual Sector </w:t>
        </w:r>
        <w:r w:rsidRPr="00BB1317">
          <w:rPr>
            <w:b/>
            <w:color w:val="1F497D" w:themeColor="text2"/>
            <w:spacing w:val="60"/>
            <w:szCs w:val="18"/>
            <w14:textOutline w14:w="3175" w14:cap="rnd" w14:cmpd="sng" w14:algn="ctr">
              <w14:noFill/>
              <w14:prstDash w14:val="solid"/>
              <w14:bevel/>
            </w14:textOutline>
          </w:rPr>
          <w:t xml:space="preserve">Financial </w:t>
        </w:r>
        <w:r>
          <w:rPr>
            <w:b/>
            <w:color w:val="1F497D" w:themeColor="text2"/>
            <w:spacing w:val="60"/>
            <w:szCs w:val="18"/>
            <w14:textOutline w14:w="3175" w14:cap="rnd" w14:cmpd="sng" w14:algn="ctr">
              <w14:noFill/>
              <w14:prstDash w14:val="solid"/>
              <w14:bevel/>
            </w14:textOutline>
          </w:rPr>
          <w:t>Report 2011</w:t>
        </w:r>
      </w:p>
    </w:sdtContent>
  </w:sdt>
  <w:p w:rsidR="00AF550B" w:rsidRPr="00AF550B" w:rsidRDefault="00AF550B" w:rsidP="00AF5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B1" w:rsidRDefault="005B45B1" w:rsidP="002E0C43">
      <w:pPr>
        <w:spacing w:after="0" w:line="240" w:lineRule="auto"/>
      </w:pPr>
      <w:r>
        <w:separator/>
      </w:r>
    </w:p>
  </w:footnote>
  <w:footnote w:type="continuationSeparator" w:id="0">
    <w:p w:rsidR="005B45B1" w:rsidRDefault="005B45B1" w:rsidP="002E0C43">
      <w:pPr>
        <w:spacing w:after="0" w:line="240" w:lineRule="auto"/>
      </w:pPr>
      <w:r>
        <w:continuationSeparator/>
      </w:r>
    </w:p>
  </w:footnote>
  <w:footnote w:id="1">
    <w:p w:rsidR="002F6F86" w:rsidRDefault="002F6F86" w:rsidP="008B1F47">
      <w:pPr>
        <w:pStyle w:val="Footer"/>
      </w:pPr>
      <w:r w:rsidRPr="00C9434D">
        <w:rPr>
          <w:rStyle w:val="FootnoteReference"/>
          <w:sz w:val="16"/>
          <w:szCs w:val="16"/>
        </w:rPr>
        <w:footnoteRef/>
      </w:r>
      <w:r w:rsidRPr="00C9434D">
        <w:t xml:space="preserve"> Conceptually, “lead and lag indicators” have originated in the development of performance scorecards for use by business analysts. They are adapted here for use within the education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54" w:rsidRDefault="004A4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54" w:rsidRDefault="004A4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54" w:rsidRDefault="004A45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86" w:rsidRPr="00BB1317" w:rsidRDefault="002F6F86" w:rsidP="00AC5D96">
    <w:pPr>
      <w:pBdr>
        <w:bottom w:val="single" w:sz="4" w:space="1" w:color="943634"/>
      </w:pBdr>
      <w:tabs>
        <w:tab w:val="left" w:pos="5880"/>
        <w:tab w:val="right" w:pos="9027"/>
      </w:tabs>
      <w:spacing w:after="0" w:line="240" w:lineRule="auto"/>
      <w:jc w:val="right"/>
      <w:rPr>
        <w:b/>
        <w:color w:val="1F497D" w:themeColor="text2"/>
        <w:spacing w:val="60"/>
        <w:sz w:val="18"/>
        <w:szCs w:val="18"/>
        <w14:textOutline w14:w="3175" w14:cap="rnd" w14:cmpd="sng" w14:algn="ctr">
          <w14:noFill/>
          <w14:prstDash w14:val="solid"/>
          <w14:bevel/>
        </w14:textOutline>
      </w:rPr>
    </w:pPr>
    <w:r w:rsidRPr="00BB1317">
      <w:rPr>
        <w:b/>
        <w:color w:val="1F497D" w:themeColor="text2"/>
        <w:spacing w:val="60"/>
        <w:sz w:val="18"/>
        <w:szCs w:val="18"/>
        <w14:textOutline w14:w="3175" w14:cap="rnd" w14:cmpd="sng" w14:algn="ctr">
          <w14:noFill/>
          <w14:prstDash w14:val="solid"/>
          <w14:bevel/>
        </w14:textOutline>
      </w:rPr>
      <w:fldChar w:fldCharType="begin"/>
    </w:r>
    <w:r w:rsidRPr="00BB1317">
      <w:rPr>
        <w:b/>
        <w:color w:val="1F497D" w:themeColor="text2"/>
        <w:spacing w:val="60"/>
        <w:sz w:val="18"/>
        <w:szCs w:val="18"/>
        <w14:textOutline w14:w="3175" w14:cap="rnd" w14:cmpd="sng" w14:algn="ctr">
          <w14:noFill/>
          <w14:prstDash w14:val="solid"/>
          <w14:bevel/>
        </w14:textOutline>
      </w:rPr>
      <w:instrText xml:space="preserve"> STYLEREF  "1" </w:instrText>
    </w:r>
    <w:r w:rsidRPr="00BB1317">
      <w:rPr>
        <w:b/>
        <w:color w:val="1F497D" w:themeColor="text2"/>
        <w:spacing w:val="60"/>
        <w:sz w:val="18"/>
        <w:szCs w:val="18"/>
        <w14:textOutline w14:w="3175" w14:cap="rnd" w14:cmpd="sng" w14:algn="ctr">
          <w14:noFill/>
          <w14:prstDash w14:val="solid"/>
          <w14:bevel/>
        </w14:textOutline>
      </w:rPr>
      <w:fldChar w:fldCharType="separate"/>
    </w:r>
    <w:r w:rsidR="004A4554">
      <w:rPr>
        <w:b/>
        <w:noProof/>
        <w:color w:val="1F497D" w:themeColor="text2"/>
        <w:spacing w:val="60"/>
        <w:sz w:val="18"/>
        <w:szCs w:val="18"/>
        <w14:textOutline w14:w="3175" w14:cap="rnd" w14:cmpd="sng" w14:algn="ctr">
          <w14:noFill/>
          <w14:prstDash w14:val="solid"/>
          <w14:bevel/>
        </w14:textOutline>
      </w:rPr>
      <w:t>List of Figures</w:t>
    </w:r>
    <w:r w:rsidRPr="00BB1317">
      <w:rPr>
        <w:b/>
        <w:color w:val="1F497D" w:themeColor="text2"/>
        <w:spacing w:val="60"/>
        <w:sz w:val="18"/>
        <w:szCs w:val="18"/>
        <w14:textOutline w14:w="3175" w14:cap="rnd" w14:cmpd="sng" w14:algn="ctr">
          <w14:noFill/>
          <w14:prstDash w14:val="solid"/>
          <w14:bevel/>
        </w14:textOutline>
      </w:rPr>
      <w:fldChar w:fldCharType="end"/>
    </w:r>
  </w:p>
  <w:p w:rsidR="002F6F86" w:rsidRPr="00193E45" w:rsidRDefault="002F6F86" w:rsidP="00AC5D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62" w:rsidRPr="00F41D51" w:rsidRDefault="001E2062" w:rsidP="00F41D5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0B" w:rsidRPr="00AF550B" w:rsidRDefault="00AF550B" w:rsidP="00AF55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86" w:rsidRPr="000E68F1" w:rsidRDefault="002F6F86" w:rsidP="00AC5D96">
    <w:pPr>
      <w:pBdr>
        <w:bottom w:val="single" w:sz="4" w:space="1" w:color="943634"/>
      </w:pBdr>
      <w:tabs>
        <w:tab w:val="left" w:pos="5880"/>
        <w:tab w:val="right" w:pos="9027"/>
      </w:tabs>
      <w:spacing w:after="0" w:line="240" w:lineRule="auto"/>
      <w:jc w:val="right"/>
      <w:rPr>
        <w:b/>
        <w:color w:val="1F497D" w:themeColor="text2"/>
        <w:spacing w:val="60"/>
        <w:sz w:val="18"/>
        <w:szCs w:val="18"/>
        <w14:textOutline w14:w="3175" w14:cap="rnd" w14:cmpd="sng" w14:algn="ctr">
          <w14:noFill/>
          <w14:prstDash w14:val="solid"/>
          <w14:bevel/>
        </w14:textOutline>
      </w:rPr>
    </w:pPr>
    <w:r w:rsidRPr="000E68F1">
      <w:rPr>
        <w:b/>
        <w:color w:val="1F497D" w:themeColor="text2"/>
        <w:spacing w:val="60"/>
        <w:sz w:val="18"/>
        <w:szCs w:val="18"/>
        <w14:textOutline w14:w="3175" w14:cap="rnd" w14:cmpd="sng" w14:algn="ctr">
          <w14:noFill/>
          <w14:prstDash w14:val="solid"/>
          <w14:bevel/>
        </w14:textOutline>
      </w:rPr>
      <w:fldChar w:fldCharType="begin"/>
    </w:r>
    <w:r w:rsidRPr="000E68F1">
      <w:rPr>
        <w:b/>
        <w:color w:val="1F497D" w:themeColor="text2"/>
        <w:spacing w:val="60"/>
        <w:sz w:val="18"/>
        <w:szCs w:val="18"/>
        <w14:textOutline w14:w="3175" w14:cap="rnd" w14:cmpd="sng" w14:algn="ctr">
          <w14:noFill/>
          <w14:prstDash w14:val="solid"/>
          <w14:bevel/>
        </w14:textOutline>
      </w:rPr>
      <w:instrText xml:space="preserve"> STYLEREF  "1" </w:instrText>
    </w:r>
    <w:r w:rsidRPr="000E68F1">
      <w:rPr>
        <w:b/>
        <w:color w:val="1F497D" w:themeColor="text2"/>
        <w:spacing w:val="60"/>
        <w:sz w:val="18"/>
        <w:szCs w:val="18"/>
        <w14:textOutline w14:w="3175" w14:cap="rnd" w14:cmpd="sng" w14:algn="ctr">
          <w14:noFill/>
          <w14:prstDash w14:val="solid"/>
          <w14:bevel/>
        </w14:textOutline>
      </w:rPr>
      <w:fldChar w:fldCharType="separate"/>
    </w:r>
    <w:r w:rsidR="004A4554">
      <w:rPr>
        <w:b/>
        <w:noProof/>
        <w:color w:val="1F497D" w:themeColor="text2"/>
        <w:spacing w:val="60"/>
        <w:sz w:val="18"/>
        <w:szCs w:val="18"/>
        <w14:textOutline w14:w="3175" w14:cap="rnd" w14:cmpd="sng" w14:algn="ctr">
          <w14:noFill/>
          <w14:prstDash w14:val="solid"/>
          <w14:bevel/>
        </w14:textOutline>
      </w:rPr>
      <w:t>Annexes</w:t>
    </w:r>
    <w:r w:rsidRPr="000E68F1">
      <w:rPr>
        <w:b/>
        <w:color w:val="1F497D" w:themeColor="text2"/>
        <w:spacing w:val="60"/>
        <w:sz w:val="18"/>
        <w:szCs w:val="18"/>
        <w14:textOutline w14:w="3175" w14:cap="rnd" w14:cmpd="sng" w14:algn="ctr">
          <w14:noFill/>
          <w14:prstDash w14:val="solid"/>
          <w14:bevel/>
        </w14:textOutline>
      </w:rPr>
      <w:fldChar w:fldCharType="end"/>
    </w:r>
  </w:p>
  <w:p w:rsidR="002F6F86" w:rsidRPr="00193E45" w:rsidRDefault="002F6F86" w:rsidP="00AC5D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20" w:rsidRDefault="00144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47E169A"/>
    <w:lvl w:ilvl="0">
      <w:start w:val="1"/>
      <w:numFmt w:val="decimal"/>
      <w:pStyle w:val="ListNumber2"/>
      <w:lvlText w:val="%1."/>
      <w:lvlJc w:val="left"/>
      <w:pPr>
        <w:tabs>
          <w:tab w:val="num" w:pos="643"/>
        </w:tabs>
        <w:ind w:left="643" w:hanging="360"/>
      </w:pPr>
      <w:rPr>
        <w:rFonts w:cs="Times New Roman"/>
      </w:rPr>
    </w:lvl>
  </w:abstractNum>
  <w:abstractNum w:abstractNumId="1">
    <w:nsid w:val="FFFFFF82"/>
    <w:multiLevelType w:val="singleLevel"/>
    <w:tmpl w:val="D844302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876A5C4A"/>
    <w:lvl w:ilvl="0">
      <w:start w:val="1"/>
      <w:numFmt w:val="decimal"/>
      <w:lvlText w:val="%1."/>
      <w:lvlJc w:val="left"/>
      <w:pPr>
        <w:tabs>
          <w:tab w:val="num" w:pos="360"/>
        </w:tabs>
        <w:ind w:left="360" w:hanging="360"/>
      </w:pPr>
      <w:rPr>
        <w:rFonts w:cs="Times New Roman"/>
      </w:rPr>
    </w:lvl>
  </w:abstractNum>
  <w:abstractNum w:abstractNumId="3">
    <w:nsid w:val="18D275BD"/>
    <w:multiLevelType w:val="hybridMultilevel"/>
    <w:tmpl w:val="328A4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687D99"/>
    <w:multiLevelType w:val="multilevel"/>
    <w:tmpl w:val="0A188BEE"/>
    <w:lvl w:ilvl="0">
      <w:start w:val="1"/>
      <w:numFmt w:val="decimal"/>
      <w:pStyle w:val="CaptionT"/>
      <w:lvlText w:val="Table %1. "/>
      <w:lvlJc w:val="left"/>
      <w:pPr>
        <w:tabs>
          <w:tab w:val="num" w:pos="786"/>
        </w:tabs>
        <w:ind w:left="786" w:hanging="360"/>
      </w:pPr>
      <w:rPr>
        <w:rFonts w:ascii="Cambria" w:hAnsi="Cambria" w:cs="Times New Roman" w:hint="default"/>
        <w:b w:val="0"/>
        <w:i/>
        <w:sz w:val="18"/>
        <w:szCs w:val="18"/>
      </w:rPr>
    </w:lvl>
    <w:lvl w:ilvl="1">
      <w:start w:val="1"/>
      <w:numFmt w:val="decimal"/>
      <w:lvlText w:val="%1.%2."/>
      <w:lvlJc w:val="left"/>
      <w:pPr>
        <w:tabs>
          <w:tab w:val="num" w:pos="1218"/>
        </w:tabs>
        <w:ind w:left="1218" w:hanging="432"/>
      </w:pPr>
      <w:rPr>
        <w:rFonts w:cs="Times New Roman" w:hint="default"/>
      </w:rPr>
    </w:lvl>
    <w:lvl w:ilvl="2">
      <w:start w:val="1"/>
      <w:numFmt w:val="decimal"/>
      <w:lvlText w:val="%1.%2.%3."/>
      <w:lvlJc w:val="left"/>
      <w:pPr>
        <w:tabs>
          <w:tab w:val="num" w:pos="1650"/>
        </w:tabs>
        <w:ind w:left="1650" w:hanging="504"/>
      </w:pPr>
      <w:rPr>
        <w:rFonts w:cs="Times New Roman" w:hint="default"/>
      </w:rPr>
    </w:lvl>
    <w:lvl w:ilvl="3">
      <w:start w:val="1"/>
      <w:numFmt w:val="decimal"/>
      <w:lvlText w:val="%1.%2.%3.%4."/>
      <w:lvlJc w:val="left"/>
      <w:pPr>
        <w:tabs>
          <w:tab w:val="num" w:pos="2226"/>
        </w:tabs>
        <w:ind w:left="2154" w:hanging="648"/>
      </w:pPr>
      <w:rPr>
        <w:rFonts w:cs="Times New Roman" w:hint="default"/>
      </w:rPr>
    </w:lvl>
    <w:lvl w:ilvl="4">
      <w:start w:val="1"/>
      <w:numFmt w:val="decimal"/>
      <w:lvlText w:val="%1.%2.%3.%4.%5."/>
      <w:lvlJc w:val="left"/>
      <w:pPr>
        <w:tabs>
          <w:tab w:val="num" w:pos="2946"/>
        </w:tabs>
        <w:ind w:left="2658" w:hanging="792"/>
      </w:pPr>
      <w:rPr>
        <w:rFonts w:cs="Times New Roman" w:hint="default"/>
      </w:rPr>
    </w:lvl>
    <w:lvl w:ilvl="5">
      <w:start w:val="1"/>
      <w:numFmt w:val="decimal"/>
      <w:lvlText w:val="%1.%2.%3.%4.%5.%6."/>
      <w:lvlJc w:val="left"/>
      <w:pPr>
        <w:tabs>
          <w:tab w:val="num" w:pos="3306"/>
        </w:tabs>
        <w:ind w:left="3162" w:hanging="936"/>
      </w:pPr>
      <w:rPr>
        <w:rFonts w:cs="Times New Roman" w:hint="default"/>
      </w:rPr>
    </w:lvl>
    <w:lvl w:ilvl="6">
      <w:start w:val="1"/>
      <w:numFmt w:val="decimal"/>
      <w:lvlText w:val="%1.%2.%3.%4.%5.%6.%7."/>
      <w:lvlJc w:val="left"/>
      <w:pPr>
        <w:tabs>
          <w:tab w:val="num" w:pos="4026"/>
        </w:tabs>
        <w:ind w:left="3666" w:hanging="1080"/>
      </w:pPr>
      <w:rPr>
        <w:rFonts w:cs="Times New Roman" w:hint="default"/>
      </w:rPr>
    </w:lvl>
    <w:lvl w:ilvl="7">
      <w:start w:val="1"/>
      <w:numFmt w:val="decimal"/>
      <w:lvlText w:val="%1.%2.%3.%4.%5.%6.%7.%8."/>
      <w:lvlJc w:val="left"/>
      <w:pPr>
        <w:tabs>
          <w:tab w:val="num" w:pos="4386"/>
        </w:tabs>
        <w:ind w:left="4170" w:hanging="1224"/>
      </w:pPr>
      <w:rPr>
        <w:rFonts w:cs="Times New Roman" w:hint="default"/>
      </w:rPr>
    </w:lvl>
    <w:lvl w:ilvl="8">
      <w:start w:val="1"/>
      <w:numFmt w:val="decimal"/>
      <w:lvlText w:val="%1.%2.%3.%4.%5.%6.%7.%8.%9."/>
      <w:lvlJc w:val="left"/>
      <w:pPr>
        <w:tabs>
          <w:tab w:val="num" w:pos="5106"/>
        </w:tabs>
        <w:ind w:left="4746" w:hanging="1440"/>
      </w:pPr>
      <w:rPr>
        <w:rFonts w:cs="Times New Roman" w:hint="default"/>
      </w:rPr>
    </w:lvl>
  </w:abstractNum>
  <w:abstractNum w:abstractNumId="5">
    <w:nsid w:val="37544AE5"/>
    <w:multiLevelType w:val="hybridMultilevel"/>
    <w:tmpl w:val="F04C27AC"/>
    <w:lvl w:ilvl="0" w:tplc="34588BD2">
      <w:start w:val="1"/>
      <w:numFmt w:val="decimal"/>
      <w:pStyle w:val="SectionNumber"/>
      <w:lvlText w:val="%1"/>
      <w:lvlJc w:val="right"/>
      <w:pPr>
        <w:tabs>
          <w:tab w:val="num" w:pos="720"/>
        </w:tabs>
        <w:ind w:left="720" w:hanging="360"/>
      </w:pPr>
      <w:rPr>
        <w:rFonts w:ascii="Verdana" w:hAnsi="Verdana" w:cs="Times New Roman" w:hint="default"/>
        <w:color w:val="000000"/>
        <w:sz w:val="96"/>
        <w:szCs w:val="9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
    <w:nsid w:val="37AC6F26"/>
    <w:multiLevelType w:val="hybridMultilevel"/>
    <w:tmpl w:val="FAAC47F6"/>
    <w:lvl w:ilvl="0" w:tplc="F5B60A02">
      <w:start w:val="1"/>
      <w:numFmt w:val="bullet"/>
      <w:pStyle w:val="List1"/>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436A7126"/>
    <w:multiLevelType w:val="hybridMultilevel"/>
    <w:tmpl w:val="3104ACDA"/>
    <w:lvl w:ilvl="0" w:tplc="FDE01EF6">
      <w:start w:val="1"/>
      <w:numFmt w:val="decimal"/>
      <w:pStyle w:val="StyleSPI"/>
      <w:lvlText w:val="SPI %1.     "/>
      <w:lvlJc w:val="left"/>
      <w:pPr>
        <w:tabs>
          <w:tab w:val="num" w:pos="1401"/>
        </w:tabs>
        <w:ind w:left="1401" w:hanging="360"/>
      </w:pPr>
      <w:rPr>
        <w:rFonts w:ascii="Arial Bold" w:hAnsi="Arial Bold" w:cs="Times New Roman" w:hint="default"/>
        <w:b/>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89D7366"/>
    <w:multiLevelType w:val="multilevel"/>
    <w:tmpl w:val="F4864DDE"/>
    <w:lvl w:ilvl="0">
      <w:start w:val="1"/>
      <w:numFmt w:val="decimal"/>
      <w:pStyle w:val="Figureheader"/>
      <w:lvlText w:val="Figure %1. "/>
      <w:lvlJc w:val="left"/>
      <w:pPr>
        <w:tabs>
          <w:tab w:val="num" w:pos="785"/>
        </w:tabs>
        <w:ind w:left="785" w:hanging="360"/>
      </w:pPr>
      <w:rPr>
        <w:rFonts w:ascii="Garamond" w:hAnsi="Garamond" w:cs="Times New Roman" w:hint="default"/>
        <w:b/>
        <w:i w:val="0"/>
        <w:sz w:val="20"/>
        <w:szCs w:val="20"/>
      </w:rPr>
    </w:lvl>
    <w:lvl w:ilvl="1">
      <w:start w:val="1"/>
      <w:numFmt w:val="decimal"/>
      <w:lvlText w:val="%1.%2."/>
      <w:lvlJc w:val="left"/>
      <w:pPr>
        <w:tabs>
          <w:tab w:val="num" w:pos="517"/>
        </w:tabs>
        <w:ind w:left="517" w:hanging="432"/>
      </w:pPr>
      <w:rPr>
        <w:rFonts w:cs="Times New Roman" w:hint="default"/>
      </w:rPr>
    </w:lvl>
    <w:lvl w:ilvl="2">
      <w:start w:val="1"/>
      <w:numFmt w:val="decimal"/>
      <w:lvlText w:val="%1.%2.%3."/>
      <w:lvlJc w:val="left"/>
      <w:pPr>
        <w:tabs>
          <w:tab w:val="num" w:pos="949"/>
        </w:tabs>
        <w:ind w:left="949" w:hanging="504"/>
      </w:pPr>
      <w:rPr>
        <w:rFonts w:cs="Times New Roman" w:hint="default"/>
      </w:rPr>
    </w:lvl>
    <w:lvl w:ilvl="3">
      <w:start w:val="1"/>
      <w:numFmt w:val="decimal"/>
      <w:lvlText w:val="%1.%2.%3.%4."/>
      <w:lvlJc w:val="left"/>
      <w:pPr>
        <w:tabs>
          <w:tab w:val="num" w:pos="1525"/>
        </w:tabs>
        <w:ind w:left="1453" w:hanging="648"/>
      </w:pPr>
      <w:rPr>
        <w:rFonts w:cs="Times New Roman" w:hint="default"/>
      </w:rPr>
    </w:lvl>
    <w:lvl w:ilvl="4">
      <w:start w:val="1"/>
      <w:numFmt w:val="decimal"/>
      <w:lvlText w:val="%1.%2.%3.%4.%5."/>
      <w:lvlJc w:val="left"/>
      <w:pPr>
        <w:tabs>
          <w:tab w:val="num" w:pos="2245"/>
        </w:tabs>
        <w:ind w:left="1957" w:hanging="792"/>
      </w:pPr>
      <w:rPr>
        <w:rFonts w:cs="Times New Roman" w:hint="default"/>
      </w:rPr>
    </w:lvl>
    <w:lvl w:ilvl="5">
      <w:start w:val="1"/>
      <w:numFmt w:val="decimal"/>
      <w:lvlText w:val="%1.%2.%3.%4.%5.%6."/>
      <w:lvlJc w:val="left"/>
      <w:pPr>
        <w:tabs>
          <w:tab w:val="num" w:pos="2605"/>
        </w:tabs>
        <w:ind w:left="2461" w:hanging="936"/>
      </w:pPr>
      <w:rPr>
        <w:rFonts w:cs="Times New Roman" w:hint="default"/>
      </w:rPr>
    </w:lvl>
    <w:lvl w:ilvl="6">
      <w:start w:val="1"/>
      <w:numFmt w:val="decimal"/>
      <w:lvlText w:val="%1.%2.%3.%4.%5.%6.%7."/>
      <w:lvlJc w:val="left"/>
      <w:pPr>
        <w:tabs>
          <w:tab w:val="num" w:pos="3325"/>
        </w:tabs>
        <w:ind w:left="2965" w:hanging="1080"/>
      </w:pPr>
      <w:rPr>
        <w:rFonts w:cs="Times New Roman" w:hint="default"/>
      </w:rPr>
    </w:lvl>
    <w:lvl w:ilvl="7">
      <w:start w:val="1"/>
      <w:numFmt w:val="decimal"/>
      <w:lvlText w:val="%1.%2.%3.%4.%5.%6.%7.%8."/>
      <w:lvlJc w:val="left"/>
      <w:pPr>
        <w:tabs>
          <w:tab w:val="num" w:pos="3685"/>
        </w:tabs>
        <w:ind w:left="3469" w:hanging="1224"/>
      </w:pPr>
      <w:rPr>
        <w:rFonts w:cs="Times New Roman" w:hint="default"/>
      </w:rPr>
    </w:lvl>
    <w:lvl w:ilvl="8">
      <w:start w:val="1"/>
      <w:numFmt w:val="decimal"/>
      <w:lvlText w:val="%1.%2.%3.%4.%5.%6.%7.%8.%9."/>
      <w:lvlJc w:val="left"/>
      <w:pPr>
        <w:tabs>
          <w:tab w:val="num" w:pos="4405"/>
        </w:tabs>
        <w:ind w:left="4045" w:hanging="1440"/>
      </w:pPr>
      <w:rPr>
        <w:rFonts w:cs="Times New Roman" w:hint="default"/>
      </w:rPr>
    </w:lvl>
  </w:abstractNum>
  <w:abstractNum w:abstractNumId="9">
    <w:nsid w:val="498537F1"/>
    <w:multiLevelType w:val="multilevel"/>
    <w:tmpl w:val="664019F4"/>
    <w:lvl w:ilvl="0">
      <w:start w:val="1"/>
      <w:numFmt w:val="decimal"/>
      <w:pStyle w:val="Tableheader"/>
      <w:lvlText w:val="Table %1. "/>
      <w:lvlJc w:val="left"/>
      <w:pPr>
        <w:tabs>
          <w:tab w:val="num" w:pos="781"/>
        </w:tabs>
        <w:ind w:left="781" w:hanging="360"/>
      </w:pPr>
      <w:rPr>
        <w:rFonts w:ascii="Garamond" w:hAnsi="Garamond" w:cs="Times New Roman" w:hint="default"/>
        <w:b/>
        <w:i w:val="0"/>
        <w:sz w:val="20"/>
        <w:szCs w:val="20"/>
      </w:rPr>
    </w:lvl>
    <w:lvl w:ilvl="1">
      <w:start w:val="1"/>
      <w:numFmt w:val="decimal"/>
      <w:lvlText w:val="%1.%2."/>
      <w:lvlJc w:val="left"/>
      <w:pPr>
        <w:tabs>
          <w:tab w:val="num" w:pos="1213"/>
        </w:tabs>
        <w:ind w:left="1213" w:hanging="432"/>
      </w:pPr>
      <w:rPr>
        <w:rFonts w:cs="Times New Roman" w:hint="default"/>
      </w:rPr>
    </w:lvl>
    <w:lvl w:ilvl="2">
      <w:start w:val="1"/>
      <w:numFmt w:val="decimal"/>
      <w:lvlText w:val="%1.%2.%3."/>
      <w:lvlJc w:val="left"/>
      <w:pPr>
        <w:tabs>
          <w:tab w:val="num" w:pos="1861"/>
        </w:tabs>
        <w:ind w:left="1645" w:hanging="504"/>
      </w:pPr>
      <w:rPr>
        <w:rFonts w:cs="Times New Roman" w:hint="default"/>
      </w:rPr>
    </w:lvl>
    <w:lvl w:ilvl="3">
      <w:start w:val="1"/>
      <w:numFmt w:val="decimal"/>
      <w:lvlText w:val="%1.%2.%3.%4."/>
      <w:lvlJc w:val="left"/>
      <w:pPr>
        <w:tabs>
          <w:tab w:val="num" w:pos="2221"/>
        </w:tabs>
        <w:ind w:left="2149" w:hanging="648"/>
      </w:pPr>
      <w:rPr>
        <w:rFonts w:cs="Times New Roman" w:hint="default"/>
      </w:rPr>
    </w:lvl>
    <w:lvl w:ilvl="4">
      <w:start w:val="1"/>
      <w:numFmt w:val="decimal"/>
      <w:lvlText w:val="%1.%2.%3.%4.%5."/>
      <w:lvlJc w:val="left"/>
      <w:pPr>
        <w:tabs>
          <w:tab w:val="num" w:pos="2941"/>
        </w:tabs>
        <w:ind w:left="2653" w:hanging="792"/>
      </w:pPr>
      <w:rPr>
        <w:rFonts w:cs="Times New Roman" w:hint="default"/>
      </w:rPr>
    </w:lvl>
    <w:lvl w:ilvl="5">
      <w:start w:val="1"/>
      <w:numFmt w:val="decimal"/>
      <w:lvlText w:val="%1.%2.%3.%4.%5.%6."/>
      <w:lvlJc w:val="left"/>
      <w:pPr>
        <w:tabs>
          <w:tab w:val="num" w:pos="3301"/>
        </w:tabs>
        <w:ind w:left="3157" w:hanging="936"/>
      </w:pPr>
      <w:rPr>
        <w:rFonts w:cs="Times New Roman" w:hint="default"/>
      </w:rPr>
    </w:lvl>
    <w:lvl w:ilvl="6">
      <w:start w:val="1"/>
      <w:numFmt w:val="decimal"/>
      <w:lvlText w:val="%1.%2.%3.%4.%5.%6.%7."/>
      <w:lvlJc w:val="left"/>
      <w:pPr>
        <w:tabs>
          <w:tab w:val="num" w:pos="4021"/>
        </w:tabs>
        <w:ind w:left="3661" w:hanging="1080"/>
      </w:pPr>
      <w:rPr>
        <w:rFonts w:cs="Times New Roman" w:hint="default"/>
      </w:rPr>
    </w:lvl>
    <w:lvl w:ilvl="7">
      <w:start w:val="1"/>
      <w:numFmt w:val="decimal"/>
      <w:lvlText w:val="%1.%2.%3.%4.%5.%6.%7.%8."/>
      <w:lvlJc w:val="left"/>
      <w:pPr>
        <w:tabs>
          <w:tab w:val="num" w:pos="4381"/>
        </w:tabs>
        <w:ind w:left="4165" w:hanging="1224"/>
      </w:pPr>
      <w:rPr>
        <w:rFonts w:cs="Times New Roman" w:hint="default"/>
      </w:rPr>
    </w:lvl>
    <w:lvl w:ilvl="8">
      <w:start w:val="1"/>
      <w:numFmt w:val="decimal"/>
      <w:lvlText w:val="%1.%2.%3.%4.%5.%6.%7.%8.%9."/>
      <w:lvlJc w:val="left"/>
      <w:pPr>
        <w:tabs>
          <w:tab w:val="num" w:pos="5101"/>
        </w:tabs>
        <w:ind w:left="4741" w:hanging="1440"/>
      </w:pPr>
      <w:rPr>
        <w:rFonts w:cs="Times New Roman" w:hint="default"/>
      </w:rPr>
    </w:lvl>
  </w:abstractNum>
  <w:abstractNum w:abstractNumId="10">
    <w:nsid w:val="4BBC2762"/>
    <w:multiLevelType w:val="hybridMultilevel"/>
    <w:tmpl w:val="A5BCBE38"/>
    <w:lvl w:ilvl="0" w:tplc="087CF562">
      <w:start w:val="1"/>
      <w:numFmt w:val="decimal"/>
      <w:pStyle w:val="SPI"/>
      <w:lvlText w:val="SPI %1.     "/>
      <w:lvlJc w:val="left"/>
      <w:pPr>
        <w:tabs>
          <w:tab w:val="num" w:pos="1401"/>
        </w:tabs>
        <w:ind w:left="1401" w:hanging="360"/>
      </w:pPr>
      <w:rPr>
        <w:rFonts w:ascii="Arial Bold" w:hAnsi="Arial Bold" w:cs="Times New Roman" w:hint="default"/>
        <w:b/>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C732E0C"/>
    <w:multiLevelType w:val="hybridMultilevel"/>
    <w:tmpl w:val="AE5EE552"/>
    <w:lvl w:ilvl="0" w:tplc="1E448106">
      <w:start w:val="1"/>
      <w:numFmt w:val="decimal"/>
      <w:pStyle w:val="Caption"/>
      <w:lvlText w:val="Figure %1:"/>
      <w:lvlJc w:val="left"/>
      <w:pPr>
        <w:ind w:left="5888" w:hanging="360"/>
      </w:pPr>
      <w:rPr>
        <w:rFonts w:cs="Times New Roman" w:hint="default"/>
        <w:b w:val="0"/>
      </w:rPr>
    </w:lvl>
    <w:lvl w:ilvl="1" w:tplc="0C090019" w:tentative="1">
      <w:start w:val="1"/>
      <w:numFmt w:val="lowerLetter"/>
      <w:lvlText w:val="%2."/>
      <w:lvlJc w:val="left"/>
      <w:pPr>
        <w:ind w:left="6542" w:hanging="360"/>
      </w:pPr>
      <w:rPr>
        <w:rFonts w:cs="Times New Roman"/>
      </w:rPr>
    </w:lvl>
    <w:lvl w:ilvl="2" w:tplc="0C09001B" w:tentative="1">
      <w:start w:val="1"/>
      <w:numFmt w:val="lowerRoman"/>
      <w:lvlText w:val="%3."/>
      <w:lvlJc w:val="right"/>
      <w:pPr>
        <w:ind w:left="7262" w:hanging="180"/>
      </w:pPr>
      <w:rPr>
        <w:rFonts w:cs="Times New Roman"/>
      </w:rPr>
    </w:lvl>
    <w:lvl w:ilvl="3" w:tplc="0C09000F" w:tentative="1">
      <w:start w:val="1"/>
      <w:numFmt w:val="decimal"/>
      <w:lvlText w:val="%4."/>
      <w:lvlJc w:val="left"/>
      <w:pPr>
        <w:ind w:left="7982" w:hanging="360"/>
      </w:pPr>
      <w:rPr>
        <w:rFonts w:cs="Times New Roman"/>
      </w:rPr>
    </w:lvl>
    <w:lvl w:ilvl="4" w:tplc="0C090019" w:tentative="1">
      <w:start w:val="1"/>
      <w:numFmt w:val="lowerLetter"/>
      <w:lvlText w:val="%5."/>
      <w:lvlJc w:val="left"/>
      <w:pPr>
        <w:ind w:left="8702" w:hanging="360"/>
      </w:pPr>
      <w:rPr>
        <w:rFonts w:cs="Times New Roman"/>
      </w:rPr>
    </w:lvl>
    <w:lvl w:ilvl="5" w:tplc="0C09001B" w:tentative="1">
      <w:start w:val="1"/>
      <w:numFmt w:val="lowerRoman"/>
      <w:lvlText w:val="%6."/>
      <w:lvlJc w:val="right"/>
      <w:pPr>
        <w:ind w:left="9422" w:hanging="180"/>
      </w:pPr>
      <w:rPr>
        <w:rFonts w:cs="Times New Roman"/>
      </w:rPr>
    </w:lvl>
    <w:lvl w:ilvl="6" w:tplc="0C09000F" w:tentative="1">
      <w:start w:val="1"/>
      <w:numFmt w:val="decimal"/>
      <w:lvlText w:val="%7."/>
      <w:lvlJc w:val="left"/>
      <w:pPr>
        <w:ind w:left="10142" w:hanging="360"/>
      </w:pPr>
      <w:rPr>
        <w:rFonts w:cs="Times New Roman"/>
      </w:rPr>
    </w:lvl>
    <w:lvl w:ilvl="7" w:tplc="0C090019" w:tentative="1">
      <w:start w:val="1"/>
      <w:numFmt w:val="lowerLetter"/>
      <w:lvlText w:val="%8."/>
      <w:lvlJc w:val="left"/>
      <w:pPr>
        <w:ind w:left="10862" w:hanging="360"/>
      </w:pPr>
      <w:rPr>
        <w:rFonts w:cs="Times New Roman"/>
      </w:rPr>
    </w:lvl>
    <w:lvl w:ilvl="8" w:tplc="0C09001B" w:tentative="1">
      <w:start w:val="1"/>
      <w:numFmt w:val="lowerRoman"/>
      <w:lvlText w:val="%9."/>
      <w:lvlJc w:val="right"/>
      <w:pPr>
        <w:ind w:left="11582" w:hanging="180"/>
      </w:pPr>
      <w:rPr>
        <w:rFonts w:cs="Times New Roman"/>
      </w:rPr>
    </w:lvl>
  </w:abstractNum>
  <w:abstractNum w:abstractNumId="12">
    <w:nsid w:val="4D190A80"/>
    <w:multiLevelType w:val="hybridMultilevel"/>
    <w:tmpl w:val="141A67D4"/>
    <w:lvl w:ilvl="0" w:tplc="A88ECBE4">
      <w:start w:val="1"/>
      <w:numFmt w:val="decimal"/>
      <w:pStyle w:val="CaptionA"/>
      <w:lvlText w:val="Annex  %1.   "/>
      <w:lvlJc w:val="left"/>
      <w:pPr>
        <w:tabs>
          <w:tab w:val="num" w:pos="1138"/>
        </w:tabs>
      </w:pPr>
      <w:rPr>
        <w:rFonts w:ascii="Arial Bold" w:hAnsi="Arial Bold" w:cs="Times New Roman" w:hint="default"/>
        <w:b/>
        <w:i/>
        <w:sz w:val="21"/>
        <w:szCs w:val="2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FDF61CB"/>
    <w:multiLevelType w:val="multilevel"/>
    <w:tmpl w:val="A1C231A6"/>
    <w:lvl w:ilvl="0">
      <w:start w:val="1"/>
      <w:numFmt w:val="decimal"/>
      <w:pStyle w:val="CaptionF"/>
      <w:lvlText w:val="Figure %1. "/>
      <w:lvlJc w:val="left"/>
      <w:pPr>
        <w:tabs>
          <w:tab w:val="num" w:pos="360"/>
        </w:tabs>
        <w:ind w:left="360" w:hanging="360"/>
      </w:pPr>
      <w:rPr>
        <w:rFonts w:ascii="Arial" w:hAnsi="Arial" w:cs="Arial" w:hint="default"/>
        <w:b/>
        <w:i w:val="0"/>
        <w:sz w:val="20"/>
        <w:szCs w:val="20"/>
      </w:rPr>
    </w:lvl>
    <w:lvl w:ilvl="1">
      <w:start w:val="1"/>
      <w:numFmt w:val="decimal"/>
      <w:pStyle w:val="StyleHeading2Centered"/>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513E7B2F"/>
    <w:multiLevelType w:val="multilevel"/>
    <w:tmpl w:val="0409001F"/>
    <w:styleLink w:val="111111"/>
    <w:lvl w:ilvl="0">
      <w:start w:val="1"/>
      <w:numFmt w:val="decimal"/>
      <w:pStyle w:val="Bodytextnumbered"/>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5">
    <w:nsid w:val="530C3DF5"/>
    <w:multiLevelType w:val="hybridMultilevel"/>
    <w:tmpl w:val="F9549C16"/>
    <w:lvl w:ilvl="0" w:tplc="0CC2C732">
      <w:start w:val="1"/>
      <w:numFmt w:val="bullet"/>
      <w:pStyle w:val="Listbullet"/>
      <w:lvlText w:val=""/>
      <w:lvlJc w:val="left"/>
      <w:pPr>
        <w:ind w:left="720" w:hanging="360"/>
      </w:pPr>
      <w:rPr>
        <w:rFonts w:ascii="Symbol" w:hAnsi="Symbol" w:hint="default"/>
      </w:rPr>
    </w:lvl>
    <w:lvl w:ilvl="1" w:tplc="56440644" w:tentative="1">
      <w:start w:val="1"/>
      <w:numFmt w:val="bullet"/>
      <w:lvlText w:val="o"/>
      <w:lvlJc w:val="left"/>
      <w:pPr>
        <w:ind w:left="1440" w:hanging="360"/>
      </w:pPr>
      <w:rPr>
        <w:rFonts w:ascii="Courier New" w:hAnsi="Courier New" w:hint="default"/>
      </w:rPr>
    </w:lvl>
    <w:lvl w:ilvl="2" w:tplc="D6E4987C" w:tentative="1">
      <w:start w:val="1"/>
      <w:numFmt w:val="bullet"/>
      <w:lvlText w:val=""/>
      <w:lvlJc w:val="left"/>
      <w:pPr>
        <w:ind w:left="2160" w:hanging="360"/>
      </w:pPr>
      <w:rPr>
        <w:rFonts w:ascii="Wingdings" w:hAnsi="Wingdings" w:hint="default"/>
      </w:rPr>
    </w:lvl>
    <w:lvl w:ilvl="3" w:tplc="7ABE611C" w:tentative="1">
      <w:start w:val="1"/>
      <w:numFmt w:val="bullet"/>
      <w:lvlText w:val=""/>
      <w:lvlJc w:val="left"/>
      <w:pPr>
        <w:ind w:left="2880" w:hanging="360"/>
      </w:pPr>
      <w:rPr>
        <w:rFonts w:ascii="Symbol" w:hAnsi="Symbol" w:hint="default"/>
      </w:rPr>
    </w:lvl>
    <w:lvl w:ilvl="4" w:tplc="FED0390C" w:tentative="1">
      <w:start w:val="1"/>
      <w:numFmt w:val="bullet"/>
      <w:lvlText w:val="o"/>
      <w:lvlJc w:val="left"/>
      <w:pPr>
        <w:ind w:left="3600" w:hanging="360"/>
      </w:pPr>
      <w:rPr>
        <w:rFonts w:ascii="Courier New" w:hAnsi="Courier New" w:hint="default"/>
      </w:rPr>
    </w:lvl>
    <w:lvl w:ilvl="5" w:tplc="EDEE43B0" w:tentative="1">
      <w:start w:val="1"/>
      <w:numFmt w:val="bullet"/>
      <w:lvlText w:val=""/>
      <w:lvlJc w:val="left"/>
      <w:pPr>
        <w:ind w:left="4320" w:hanging="360"/>
      </w:pPr>
      <w:rPr>
        <w:rFonts w:ascii="Wingdings" w:hAnsi="Wingdings" w:hint="default"/>
      </w:rPr>
    </w:lvl>
    <w:lvl w:ilvl="6" w:tplc="2ADE1172" w:tentative="1">
      <w:start w:val="1"/>
      <w:numFmt w:val="bullet"/>
      <w:lvlText w:val=""/>
      <w:lvlJc w:val="left"/>
      <w:pPr>
        <w:ind w:left="5040" w:hanging="360"/>
      </w:pPr>
      <w:rPr>
        <w:rFonts w:ascii="Symbol" w:hAnsi="Symbol" w:hint="default"/>
      </w:rPr>
    </w:lvl>
    <w:lvl w:ilvl="7" w:tplc="865E667E" w:tentative="1">
      <w:start w:val="1"/>
      <w:numFmt w:val="bullet"/>
      <w:lvlText w:val="o"/>
      <w:lvlJc w:val="left"/>
      <w:pPr>
        <w:ind w:left="5760" w:hanging="360"/>
      </w:pPr>
      <w:rPr>
        <w:rFonts w:ascii="Courier New" w:hAnsi="Courier New" w:hint="default"/>
      </w:rPr>
    </w:lvl>
    <w:lvl w:ilvl="8" w:tplc="5E80DB10" w:tentative="1">
      <w:start w:val="1"/>
      <w:numFmt w:val="bullet"/>
      <w:lvlText w:val=""/>
      <w:lvlJc w:val="left"/>
      <w:pPr>
        <w:ind w:left="6480" w:hanging="360"/>
      </w:pPr>
      <w:rPr>
        <w:rFonts w:ascii="Wingdings" w:hAnsi="Wingdings" w:hint="default"/>
      </w:rPr>
    </w:lvl>
  </w:abstractNum>
  <w:abstractNum w:abstractNumId="16">
    <w:nsid w:val="53150C89"/>
    <w:multiLevelType w:val="multilevel"/>
    <w:tmpl w:val="647419AC"/>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7">
    <w:nsid w:val="7AEA3510"/>
    <w:multiLevelType w:val="hybridMultilevel"/>
    <w:tmpl w:val="D53E27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7B182796"/>
    <w:multiLevelType w:val="multilevel"/>
    <w:tmpl w:val="376A52EA"/>
    <w:lvl w:ilvl="0">
      <w:start w:val="1"/>
      <w:numFmt w:val="decimal"/>
      <w:pStyle w:val="CONLevel1"/>
      <w:lvlText w:val="%1."/>
      <w:lvlJc w:val="left"/>
      <w:pPr>
        <w:tabs>
          <w:tab w:val="num" w:pos="720"/>
        </w:tabs>
        <w:ind w:left="720" w:hanging="720"/>
      </w:pPr>
      <w:rPr>
        <w:rFonts w:ascii="Garamond" w:hAnsi="Garamond" w:cs="Times New Roman" w:hint="default"/>
        <w:b w:val="0"/>
        <w:i w:val="0"/>
        <w:sz w:val="20"/>
        <w:szCs w:val="20"/>
      </w:rPr>
    </w:lvl>
    <w:lvl w:ilvl="1">
      <w:start w:val="1"/>
      <w:numFmt w:val="decimal"/>
      <w:pStyle w:val="CONLevel11Char"/>
      <w:lvlText w:val="%1.%2"/>
      <w:lvlJc w:val="left"/>
      <w:pPr>
        <w:tabs>
          <w:tab w:val="num" w:pos="1246"/>
        </w:tabs>
        <w:ind w:left="1246" w:hanging="706"/>
      </w:pPr>
      <w:rPr>
        <w:rFonts w:ascii="Garamond" w:hAnsi="Garamond" w:cs="Times New Roman" w:hint="default"/>
        <w:b w:val="0"/>
        <w:i w:val="0"/>
        <w:sz w:val="20"/>
        <w:szCs w:val="20"/>
      </w:rPr>
    </w:lvl>
    <w:lvl w:ilvl="2">
      <w:start w:val="1"/>
      <w:numFmt w:val="lowerLetter"/>
      <w:pStyle w:val="CONLevelaChar"/>
      <w:lvlText w:val="(%3)"/>
      <w:lvlJc w:val="left"/>
      <w:pPr>
        <w:tabs>
          <w:tab w:val="num" w:pos="1260"/>
        </w:tabs>
        <w:ind w:left="1260" w:hanging="720"/>
      </w:pPr>
      <w:rPr>
        <w:rFonts w:ascii="Garamond" w:hAnsi="Garamond" w:cs="Times New Roman" w:hint="default"/>
        <w:b w:val="0"/>
        <w:i w:val="0"/>
        <w:color w:val="auto"/>
        <w:sz w:val="20"/>
        <w:szCs w:val="20"/>
      </w:rPr>
    </w:lvl>
    <w:lvl w:ilvl="3">
      <w:start w:val="1"/>
      <w:numFmt w:val="lowerRoman"/>
      <w:pStyle w:val="CONLeveli"/>
      <w:lvlText w:val="(%4)"/>
      <w:lvlJc w:val="left"/>
      <w:pPr>
        <w:tabs>
          <w:tab w:val="num" w:pos="2160"/>
        </w:tabs>
        <w:ind w:left="2160" w:hanging="720"/>
      </w:pPr>
      <w:rPr>
        <w:rFonts w:ascii="Garamond" w:hAnsi="Garamond" w:cs="Times New Roman" w:hint="default"/>
        <w:b w:val="0"/>
        <w:i w:val="0"/>
        <w:sz w:val="20"/>
        <w:szCs w:val="20"/>
      </w:rPr>
    </w:lvl>
    <w:lvl w:ilvl="4">
      <w:start w:val="1"/>
      <w:numFmt w:val="upperLetter"/>
      <w:pStyle w:val="CONLevelA"/>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9">
    <w:nsid w:val="7BAA7D7B"/>
    <w:multiLevelType w:val="hybridMultilevel"/>
    <w:tmpl w:val="468A6A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6"/>
  </w:num>
  <w:num w:numId="3">
    <w:abstractNumId w:val="5"/>
  </w:num>
  <w:num w:numId="4">
    <w:abstractNumId w:val="14"/>
  </w:num>
  <w:num w:numId="5">
    <w:abstractNumId w:val="6"/>
  </w:num>
  <w:num w:numId="6">
    <w:abstractNumId w:val="18"/>
  </w:num>
  <w:num w:numId="7">
    <w:abstractNumId w:val="13"/>
  </w:num>
  <w:num w:numId="8">
    <w:abstractNumId w:val="12"/>
  </w:num>
  <w:num w:numId="9">
    <w:abstractNumId w:val="7"/>
  </w:num>
  <w:num w:numId="10">
    <w:abstractNumId w:val="10"/>
  </w:num>
  <w:num w:numId="11">
    <w:abstractNumId w:val="4"/>
  </w:num>
  <w:num w:numId="12">
    <w:abstractNumId w:val="8"/>
  </w:num>
  <w:num w:numId="13">
    <w:abstractNumId w:val="9"/>
  </w:num>
  <w:num w:numId="14">
    <w:abstractNumId w:val="11"/>
  </w:num>
  <w:num w:numId="15">
    <w:abstractNumId w:val="0"/>
  </w:num>
  <w:num w:numId="16">
    <w:abstractNumId w:val="2"/>
  </w:num>
  <w:num w:numId="17">
    <w:abstractNumId w:val="3"/>
  </w:num>
  <w:num w:numId="18">
    <w:abstractNumId w:val="1"/>
  </w:num>
  <w:num w:numId="19">
    <w:abstractNumId w:val="2"/>
    <w:lvlOverride w:ilvl="0">
      <w:startOverride w:val="1"/>
    </w:lvlOverride>
  </w:num>
  <w:num w:numId="20">
    <w:abstractNumId w:val="19"/>
  </w:num>
  <w:num w:numId="21">
    <w:abstractNumId w:val="17"/>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rawingGridVerticalSpacing w:val="1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46"/>
    <w:rsid w:val="0000086A"/>
    <w:rsid w:val="000010EA"/>
    <w:rsid w:val="00002E53"/>
    <w:rsid w:val="00006D30"/>
    <w:rsid w:val="00011D46"/>
    <w:rsid w:val="00011ECE"/>
    <w:rsid w:val="00013166"/>
    <w:rsid w:val="00013FF8"/>
    <w:rsid w:val="00014C41"/>
    <w:rsid w:val="00014FBC"/>
    <w:rsid w:val="000158B4"/>
    <w:rsid w:val="00015A8A"/>
    <w:rsid w:val="00016965"/>
    <w:rsid w:val="00016F7A"/>
    <w:rsid w:val="000170ED"/>
    <w:rsid w:val="00017FCF"/>
    <w:rsid w:val="00020A95"/>
    <w:rsid w:val="000217C1"/>
    <w:rsid w:val="0002217A"/>
    <w:rsid w:val="00022D6B"/>
    <w:rsid w:val="00023C9F"/>
    <w:rsid w:val="00024570"/>
    <w:rsid w:val="00026F84"/>
    <w:rsid w:val="00030047"/>
    <w:rsid w:val="000303A8"/>
    <w:rsid w:val="00030C66"/>
    <w:rsid w:val="000318A4"/>
    <w:rsid w:val="00032744"/>
    <w:rsid w:val="00032DB3"/>
    <w:rsid w:val="00033E0B"/>
    <w:rsid w:val="000360DE"/>
    <w:rsid w:val="00036346"/>
    <w:rsid w:val="000365B5"/>
    <w:rsid w:val="00040D4D"/>
    <w:rsid w:val="0004291E"/>
    <w:rsid w:val="000443D3"/>
    <w:rsid w:val="0004470C"/>
    <w:rsid w:val="00046AF6"/>
    <w:rsid w:val="00047D3F"/>
    <w:rsid w:val="00051E95"/>
    <w:rsid w:val="00052568"/>
    <w:rsid w:val="00053DF2"/>
    <w:rsid w:val="00054DCC"/>
    <w:rsid w:val="00054F9D"/>
    <w:rsid w:val="0005652D"/>
    <w:rsid w:val="00056693"/>
    <w:rsid w:val="000601D1"/>
    <w:rsid w:val="000641EB"/>
    <w:rsid w:val="00064A4F"/>
    <w:rsid w:val="00064C8A"/>
    <w:rsid w:val="0006619D"/>
    <w:rsid w:val="000669B8"/>
    <w:rsid w:val="00067052"/>
    <w:rsid w:val="000677B5"/>
    <w:rsid w:val="00067C23"/>
    <w:rsid w:val="00071734"/>
    <w:rsid w:val="00071748"/>
    <w:rsid w:val="00072521"/>
    <w:rsid w:val="00072FC2"/>
    <w:rsid w:val="000735E1"/>
    <w:rsid w:val="000740E5"/>
    <w:rsid w:val="000765E3"/>
    <w:rsid w:val="00080A5D"/>
    <w:rsid w:val="0008574D"/>
    <w:rsid w:val="0008640F"/>
    <w:rsid w:val="00090ED6"/>
    <w:rsid w:val="00094D0B"/>
    <w:rsid w:val="000971BD"/>
    <w:rsid w:val="000977A1"/>
    <w:rsid w:val="000A25C1"/>
    <w:rsid w:val="000A2655"/>
    <w:rsid w:val="000A3241"/>
    <w:rsid w:val="000A54DD"/>
    <w:rsid w:val="000A5985"/>
    <w:rsid w:val="000A6C05"/>
    <w:rsid w:val="000A6F51"/>
    <w:rsid w:val="000B2AA0"/>
    <w:rsid w:val="000B5B11"/>
    <w:rsid w:val="000B67BD"/>
    <w:rsid w:val="000B67E8"/>
    <w:rsid w:val="000B7484"/>
    <w:rsid w:val="000C11F6"/>
    <w:rsid w:val="000C2B8F"/>
    <w:rsid w:val="000C43F6"/>
    <w:rsid w:val="000C6410"/>
    <w:rsid w:val="000C7DEE"/>
    <w:rsid w:val="000D0055"/>
    <w:rsid w:val="000D0996"/>
    <w:rsid w:val="000D0B96"/>
    <w:rsid w:val="000D6732"/>
    <w:rsid w:val="000D7794"/>
    <w:rsid w:val="000E0E2D"/>
    <w:rsid w:val="000E1AA3"/>
    <w:rsid w:val="000E3805"/>
    <w:rsid w:val="000E3DA0"/>
    <w:rsid w:val="000E586C"/>
    <w:rsid w:val="000E68F1"/>
    <w:rsid w:val="000E6E0B"/>
    <w:rsid w:val="000E6FC3"/>
    <w:rsid w:val="000F1F52"/>
    <w:rsid w:val="000F43B3"/>
    <w:rsid w:val="000F4B68"/>
    <w:rsid w:val="000F4BC4"/>
    <w:rsid w:val="000F5218"/>
    <w:rsid w:val="000F7FAC"/>
    <w:rsid w:val="00100DA2"/>
    <w:rsid w:val="001012C6"/>
    <w:rsid w:val="00102525"/>
    <w:rsid w:val="00102A59"/>
    <w:rsid w:val="00102E5B"/>
    <w:rsid w:val="0010721C"/>
    <w:rsid w:val="00110CC2"/>
    <w:rsid w:val="0011402F"/>
    <w:rsid w:val="00115577"/>
    <w:rsid w:val="00117A9C"/>
    <w:rsid w:val="00121B1D"/>
    <w:rsid w:val="00122F37"/>
    <w:rsid w:val="00125075"/>
    <w:rsid w:val="00125811"/>
    <w:rsid w:val="00127F57"/>
    <w:rsid w:val="00131D8B"/>
    <w:rsid w:val="00132154"/>
    <w:rsid w:val="001349AA"/>
    <w:rsid w:val="0013540E"/>
    <w:rsid w:val="00135C53"/>
    <w:rsid w:val="00136753"/>
    <w:rsid w:val="001368AD"/>
    <w:rsid w:val="001376C3"/>
    <w:rsid w:val="00137D7A"/>
    <w:rsid w:val="001401E7"/>
    <w:rsid w:val="001415DC"/>
    <w:rsid w:val="001430AD"/>
    <w:rsid w:val="00144220"/>
    <w:rsid w:val="0014432A"/>
    <w:rsid w:val="00144FC2"/>
    <w:rsid w:val="001459EE"/>
    <w:rsid w:val="00150F25"/>
    <w:rsid w:val="00151C28"/>
    <w:rsid w:val="00153263"/>
    <w:rsid w:val="00155458"/>
    <w:rsid w:val="001617E0"/>
    <w:rsid w:val="00162312"/>
    <w:rsid w:val="00164719"/>
    <w:rsid w:val="00167DDB"/>
    <w:rsid w:val="00170F64"/>
    <w:rsid w:val="001724DF"/>
    <w:rsid w:val="00172FF0"/>
    <w:rsid w:val="001734E7"/>
    <w:rsid w:val="00173FB5"/>
    <w:rsid w:val="0017559B"/>
    <w:rsid w:val="00175788"/>
    <w:rsid w:val="00175EC2"/>
    <w:rsid w:val="00177DCC"/>
    <w:rsid w:val="00180790"/>
    <w:rsid w:val="001809F4"/>
    <w:rsid w:val="00181064"/>
    <w:rsid w:val="00181A1E"/>
    <w:rsid w:val="00181EF6"/>
    <w:rsid w:val="001842FA"/>
    <w:rsid w:val="00184FAF"/>
    <w:rsid w:val="00185175"/>
    <w:rsid w:val="00191A88"/>
    <w:rsid w:val="00193E45"/>
    <w:rsid w:val="00193ECA"/>
    <w:rsid w:val="00197A1B"/>
    <w:rsid w:val="001A0033"/>
    <w:rsid w:val="001A16CC"/>
    <w:rsid w:val="001A2387"/>
    <w:rsid w:val="001A3926"/>
    <w:rsid w:val="001A6302"/>
    <w:rsid w:val="001A7BB4"/>
    <w:rsid w:val="001A7C6D"/>
    <w:rsid w:val="001B0AA4"/>
    <w:rsid w:val="001B2981"/>
    <w:rsid w:val="001B350B"/>
    <w:rsid w:val="001C025D"/>
    <w:rsid w:val="001C08B5"/>
    <w:rsid w:val="001C0AAC"/>
    <w:rsid w:val="001C4F77"/>
    <w:rsid w:val="001C5AEA"/>
    <w:rsid w:val="001C6BE6"/>
    <w:rsid w:val="001C6EAC"/>
    <w:rsid w:val="001C7262"/>
    <w:rsid w:val="001D1EB3"/>
    <w:rsid w:val="001D3548"/>
    <w:rsid w:val="001D48ED"/>
    <w:rsid w:val="001D4D9F"/>
    <w:rsid w:val="001D7EA8"/>
    <w:rsid w:val="001D7ED5"/>
    <w:rsid w:val="001E131D"/>
    <w:rsid w:val="001E13E6"/>
    <w:rsid w:val="001E2062"/>
    <w:rsid w:val="001E60C3"/>
    <w:rsid w:val="001F0432"/>
    <w:rsid w:val="001F0563"/>
    <w:rsid w:val="001F09AF"/>
    <w:rsid w:val="001F26B5"/>
    <w:rsid w:val="001F33FF"/>
    <w:rsid w:val="001F7745"/>
    <w:rsid w:val="00201A10"/>
    <w:rsid w:val="00205000"/>
    <w:rsid w:val="00205B69"/>
    <w:rsid w:val="002061CB"/>
    <w:rsid w:val="002062BF"/>
    <w:rsid w:val="00214B6E"/>
    <w:rsid w:val="00214FDD"/>
    <w:rsid w:val="00220271"/>
    <w:rsid w:val="002209DA"/>
    <w:rsid w:val="00227005"/>
    <w:rsid w:val="0022760A"/>
    <w:rsid w:val="00227A1D"/>
    <w:rsid w:val="0023031A"/>
    <w:rsid w:val="002326AC"/>
    <w:rsid w:val="00232787"/>
    <w:rsid w:val="00233400"/>
    <w:rsid w:val="002334F0"/>
    <w:rsid w:val="00233CD2"/>
    <w:rsid w:val="002347AC"/>
    <w:rsid w:val="00234983"/>
    <w:rsid w:val="002349A6"/>
    <w:rsid w:val="00234D68"/>
    <w:rsid w:val="0023728A"/>
    <w:rsid w:val="00240994"/>
    <w:rsid w:val="00240D8D"/>
    <w:rsid w:val="00241AB9"/>
    <w:rsid w:val="00242C09"/>
    <w:rsid w:val="002430E6"/>
    <w:rsid w:val="002439D9"/>
    <w:rsid w:val="00245262"/>
    <w:rsid w:val="002459F7"/>
    <w:rsid w:val="00245AE0"/>
    <w:rsid w:val="00246120"/>
    <w:rsid w:val="00246BA0"/>
    <w:rsid w:val="0025048F"/>
    <w:rsid w:val="00251032"/>
    <w:rsid w:val="00251518"/>
    <w:rsid w:val="00251856"/>
    <w:rsid w:val="0025541D"/>
    <w:rsid w:val="002576BD"/>
    <w:rsid w:val="00257991"/>
    <w:rsid w:val="00260C52"/>
    <w:rsid w:val="00261068"/>
    <w:rsid w:val="00261684"/>
    <w:rsid w:val="00262628"/>
    <w:rsid w:val="00262743"/>
    <w:rsid w:val="00262B7F"/>
    <w:rsid w:val="00271174"/>
    <w:rsid w:val="002724A8"/>
    <w:rsid w:val="002738BE"/>
    <w:rsid w:val="00274EE6"/>
    <w:rsid w:val="002767A5"/>
    <w:rsid w:val="00280B70"/>
    <w:rsid w:val="00281B7A"/>
    <w:rsid w:val="00282A2E"/>
    <w:rsid w:val="00282CBD"/>
    <w:rsid w:val="00283C77"/>
    <w:rsid w:val="00284680"/>
    <w:rsid w:val="00284CDF"/>
    <w:rsid w:val="0028630D"/>
    <w:rsid w:val="00287CB8"/>
    <w:rsid w:val="00294C79"/>
    <w:rsid w:val="002A0157"/>
    <w:rsid w:val="002A0355"/>
    <w:rsid w:val="002A088F"/>
    <w:rsid w:val="002A1BB1"/>
    <w:rsid w:val="002A2E7B"/>
    <w:rsid w:val="002A2FE6"/>
    <w:rsid w:val="002A54B6"/>
    <w:rsid w:val="002A5C07"/>
    <w:rsid w:val="002B2781"/>
    <w:rsid w:val="002B2BCA"/>
    <w:rsid w:val="002B3FAC"/>
    <w:rsid w:val="002B427A"/>
    <w:rsid w:val="002B7AB2"/>
    <w:rsid w:val="002C06FC"/>
    <w:rsid w:val="002C3A53"/>
    <w:rsid w:val="002C4C38"/>
    <w:rsid w:val="002C5C61"/>
    <w:rsid w:val="002C605B"/>
    <w:rsid w:val="002D07D2"/>
    <w:rsid w:val="002D1B76"/>
    <w:rsid w:val="002D2F44"/>
    <w:rsid w:val="002D3C66"/>
    <w:rsid w:val="002D4A38"/>
    <w:rsid w:val="002D53E0"/>
    <w:rsid w:val="002D561E"/>
    <w:rsid w:val="002D5CAD"/>
    <w:rsid w:val="002D67B9"/>
    <w:rsid w:val="002D68A8"/>
    <w:rsid w:val="002D6F7C"/>
    <w:rsid w:val="002D7EC1"/>
    <w:rsid w:val="002E0C43"/>
    <w:rsid w:val="002E1430"/>
    <w:rsid w:val="002E19E7"/>
    <w:rsid w:val="002E34A7"/>
    <w:rsid w:val="002E3F6F"/>
    <w:rsid w:val="002E4E8E"/>
    <w:rsid w:val="002E6130"/>
    <w:rsid w:val="002E677C"/>
    <w:rsid w:val="002F1337"/>
    <w:rsid w:val="002F2157"/>
    <w:rsid w:val="002F217D"/>
    <w:rsid w:val="002F3200"/>
    <w:rsid w:val="002F3CBD"/>
    <w:rsid w:val="002F3E77"/>
    <w:rsid w:val="002F67F6"/>
    <w:rsid w:val="002F6F86"/>
    <w:rsid w:val="002F74F6"/>
    <w:rsid w:val="002F786F"/>
    <w:rsid w:val="002F7B22"/>
    <w:rsid w:val="003018E8"/>
    <w:rsid w:val="003023B6"/>
    <w:rsid w:val="00302F35"/>
    <w:rsid w:val="00303BFC"/>
    <w:rsid w:val="00303DDD"/>
    <w:rsid w:val="0030533F"/>
    <w:rsid w:val="00305905"/>
    <w:rsid w:val="00305BF1"/>
    <w:rsid w:val="00305F32"/>
    <w:rsid w:val="00306678"/>
    <w:rsid w:val="003073DE"/>
    <w:rsid w:val="003078BC"/>
    <w:rsid w:val="00307B17"/>
    <w:rsid w:val="00307DDB"/>
    <w:rsid w:val="0031027B"/>
    <w:rsid w:val="00311252"/>
    <w:rsid w:val="00313195"/>
    <w:rsid w:val="00313749"/>
    <w:rsid w:val="003138D5"/>
    <w:rsid w:val="0031511F"/>
    <w:rsid w:val="00316E7A"/>
    <w:rsid w:val="00320F44"/>
    <w:rsid w:val="00321162"/>
    <w:rsid w:val="003214E7"/>
    <w:rsid w:val="0032179B"/>
    <w:rsid w:val="00321B39"/>
    <w:rsid w:val="0032206F"/>
    <w:rsid w:val="0032682D"/>
    <w:rsid w:val="0032799E"/>
    <w:rsid w:val="00327AEC"/>
    <w:rsid w:val="00333263"/>
    <w:rsid w:val="003351FB"/>
    <w:rsid w:val="0033531F"/>
    <w:rsid w:val="0033542B"/>
    <w:rsid w:val="00336162"/>
    <w:rsid w:val="00336919"/>
    <w:rsid w:val="00337865"/>
    <w:rsid w:val="00337A9C"/>
    <w:rsid w:val="00340540"/>
    <w:rsid w:val="00340842"/>
    <w:rsid w:val="0034549A"/>
    <w:rsid w:val="00345553"/>
    <w:rsid w:val="00351CF3"/>
    <w:rsid w:val="00351EE9"/>
    <w:rsid w:val="00352A05"/>
    <w:rsid w:val="003537F4"/>
    <w:rsid w:val="00354C12"/>
    <w:rsid w:val="00355A20"/>
    <w:rsid w:val="00356191"/>
    <w:rsid w:val="003650D2"/>
    <w:rsid w:val="00365B6C"/>
    <w:rsid w:val="00366B56"/>
    <w:rsid w:val="00370639"/>
    <w:rsid w:val="00371999"/>
    <w:rsid w:val="00375580"/>
    <w:rsid w:val="00376412"/>
    <w:rsid w:val="00377898"/>
    <w:rsid w:val="00383DF8"/>
    <w:rsid w:val="00386441"/>
    <w:rsid w:val="003874CA"/>
    <w:rsid w:val="0038783E"/>
    <w:rsid w:val="00387BA9"/>
    <w:rsid w:val="003911CB"/>
    <w:rsid w:val="0039226E"/>
    <w:rsid w:val="00392783"/>
    <w:rsid w:val="003929CA"/>
    <w:rsid w:val="003932BE"/>
    <w:rsid w:val="0039714D"/>
    <w:rsid w:val="003A481E"/>
    <w:rsid w:val="003A5038"/>
    <w:rsid w:val="003A7393"/>
    <w:rsid w:val="003B0398"/>
    <w:rsid w:val="003B25C9"/>
    <w:rsid w:val="003B4FDD"/>
    <w:rsid w:val="003B50C8"/>
    <w:rsid w:val="003B533B"/>
    <w:rsid w:val="003C2072"/>
    <w:rsid w:val="003C2B30"/>
    <w:rsid w:val="003C466D"/>
    <w:rsid w:val="003D08A1"/>
    <w:rsid w:val="003D0D82"/>
    <w:rsid w:val="003D299F"/>
    <w:rsid w:val="003D6B9F"/>
    <w:rsid w:val="003D7206"/>
    <w:rsid w:val="003D79CC"/>
    <w:rsid w:val="003E0382"/>
    <w:rsid w:val="003E0798"/>
    <w:rsid w:val="003E082E"/>
    <w:rsid w:val="003E12B9"/>
    <w:rsid w:val="003E19E7"/>
    <w:rsid w:val="003E25E5"/>
    <w:rsid w:val="003E47B7"/>
    <w:rsid w:val="003E5655"/>
    <w:rsid w:val="003E72E0"/>
    <w:rsid w:val="003F0795"/>
    <w:rsid w:val="003F569A"/>
    <w:rsid w:val="003F5A6F"/>
    <w:rsid w:val="003F5AE9"/>
    <w:rsid w:val="003F72D0"/>
    <w:rsid w:val="003F7450"/>
    <w:rsid w:val="003F7A88"/>
    <w:rsid w:val="00401AD6"/>
    <w:rsid w:val="0040310E"/>
    <w:rsid w:val="004034AC"/>
    <w:rsid w:val="00404961"/>
    <w:rsid w:val="00405736"/>
    <w:rsid w:val="0040691B"/>
    <w:rsid w:val="004077F1"/>
    <w:rsid w:val="00407F4A"/>
    <w:rsid w:val="0041227A"/>
    <w:rsid w:val="00412F11"/>
    <w:rsid w:val="0041361C"/>
    <w:rsid w:val="00413FEB"/>
    <w:rsid w:val="00416198"/>
    <w:rsid w:val="004161F2"/>
    <w:rsid w:val="004165F3"/>
    <w:rsid w:val="00416913"/>
    <w:rsid w:val="00417BCA"/>
    <w:rsid w:val="004245BF"/>
    <w:rsid w:val="00425C8F"/>
    <w:rsid w:val="00426115"/>
    <w:rsid w:val="004271C3"/>
    <w:rsid w:val="00432D5D"/>
    <w:rsid w:val="004342E0"/>
    <w:rsid w:val="0043615C"/>
    <w:rsid w:val="00436189"/>
    <w:rsid w:val="00436E3E"/>
    <w:rsid w:val="004402FB"/>
    <w:rsid w:val="0044038D"/>
    <w:rsid w:val="00442BF0"/>
    <w:rsid w:val="00442CD9"/>
    <w:rsid w:val="004457C9"/>
    <w:rsid w:val="00445F84"/>
    <w:rsid w:val="0044625D"/>
    <w:rsid w:val="00447C58"/>
    <w:rsid w:val="00455725"/>
    <w:rsid w:val="0045581D"/>
    <w:rsid w:val="00455F93"/>
    <w:rsid w:val="00456EAA"/>
    <w:rsid w:val="00460133"/>
    <w:rsid w:val="00463155"/>
    <w:rsid w:val="004632BC"/>
    <w:rsid w:val="00463C5E"/>
    <w:rsid w:val="00464439"/>
    <w:rsid w:val="00464B20"/>
    <w:rsid w:val="0046503A"/>
    <w:rsid w:val="004657AA"/>
    <w:rsid w:val="0046624F"/>
    <w:rsid w:val="004667BF"/>
    <w:rsid w:val="00467622"/>
    <w:rsid w:val="0046778D"/>
    <w:rsid w:val="00467C4E"/>
    <w:rsid w:val="00470457"/>
    <w:rsid w:val="00470B09"/>
    <w:rsid w:val="00470DA6"/>
    <w:rsid w:val="00470DCC"/>
    <w:rsid w:val="004720D9"/>
    <w:rsid w:val="00473239"/>
    <w:rsid w:val="00473A0F"/>
    <w:rsid w:val="00475AD3"/>
    <w:rsid w:val="00477FD8"/>
    <w:rsid w:val="004816B7"/>
    <w:rsid w:val="00482086"/>
    <w:rsid w:val="00482E52"/>
    <w:rsid w:val="00482FF4"/>
    <w:rsid w:val="00484D90"/>
    <w:rsid w:val="00484FAD"/>
    <w:rsid w:val="00487108"/>
    <w:rsid w:val="004877A7"/>
    <w:rsid w:val="0049021A"/>
    <w:rsid w:val="0049383E"/>
    <w:rsid w:val="004947DB"/>
    <w:rsid w:val="00494ACF"/>
    <w:rsid w:val="0049510F"/>
    <w:rsid w:val="0049639F"/>
    <w:rsid w:val="004972E3"/>
    <w:rsid w:val="004A0974"/>
    <w:rsid w:val="004A4554"/>
    <w:rsid w:val="004A4998"/>
    <w:rsid w:val="004A5567"/>
    <w:rsid w:val="004A620B"/>
    <w:rsid w:val="004A766C"/>
    <w:rsid w:val="004A7C5D"/>
    <w:rsid w:val="004B013E"/>
    <w:rsid w:val="004B2ECC"/>
    <w:rsid w:val="004B36F0"/>
    <w:rsid w:val="004B3E07"/>
    <w:rsid w:val="004B450A"/>
    <w:rsid w:val="004B4FCE"/>
    <w:rsid w:val="004C0679"/>
    <w:rsid w:val="004C0B8C"/>
    <w:rsid w:val="004C10A9"/>
    <w:rsid w:val="004C25A4"/>
    <w:rsid w:val="004C33CB"/>
    <w:rsid w:val="004C4111"/>
    <w:rsid w:val="004C5D02"/>
    <w:rsid w:val="004D01C3"/>
    <w:rsid w:val="004D138E"/>
    <w:rsid w:val="004D1559"/>
    <w:rsid w:val="004D1716"/>
    <w:rsid w:val="004D238A"/>
    <w:rsid w:val="004D2E0E"/>
    <w:rsid w:val="004D49E5"/>
    <w:rsid w:val="004D6016"/>
    <w:rsid w:val="004D77E5"/>
    <w:rsid w:val="004D7CF1"/>
    <w:rsid w:val="004E0FC9"/>
    <w:rsid w:val="004E11D8"/>
    <w:rsid w:val="004E29CE"/>
    <w:rsid w:val="004E2D3A"/>
    <w:rsid w:val="004E4407"/>
    <w:rsid w:val="004E4436"/>
    <w:rsid w:val="004E6985"/>
    <w:rsid w:val="004F079C"/>
    <w:rsid w:val="004F0D39"/>
    <w:rsid w:val="004F0F30"/>
    <w:rsid w:val="004F108D"/>
    <w:rsid w:val="004F221D"/>
    <w:rsid w:val="004F2511"/>
    <w:rsid w:val="004F361C"/>
    <w:rsid w:val="004F42B4"/>
    <w:rsid w:val="004F52C9"/>
    <w:rsid w:val="004F53DB"/>
    <w:rsid w:val="004F5453"/>
    <w:rsid w:val="004F5D8B"/>
    <w:rsid w:val="004F6CD4"/>
    <w:rsid w:val="004F6F56"/>
    <w:rsid w:val="004F7F70"/>
    <w:rsid w:val="0050067F"/>
    <w:rsid w:val="0050155E"/>
    <w:rsid w:val="00501616"/>
    <w:rsid w:val="005016AE"/>
    <w:rsid w:val="00501B04"/>
    <w:rsid w:val="00502FBB"/>
    <w:rsid w:val="00506348"/>
    <w:rsid w:val="00510051"/>
    <w:rsid w:val="005102AF"/>
    <w:rsid w:val="00511E86"/>
    <w:rsid w:val="00512CD9"/>
    <w:rsid w:val="00515561"/>
    <w:rsid w:val="005167B6"/>
    <w:rsid w:val="00520532"/>
    <w:rsid w:val="00520790"/>
    <w:rsid w:val="00521058"/>
    <w:rsid w:val="00522ACE"/>
    <w:rsid w:val="00523DA5"/>
    <w:rsid w:val="00524CA4"/>
    <w:rsid w:val="00524E92"/>
    <w:rsid w:val="005253F8"/>
    <w:rsid w:val="00530FC5"/>
    <w:rsid w:val="005312F3"/>
    <w:rsid w:val="00533DCF"/>
    <w:rsid w:val="00534F0E"/>
    <w:rsid w:val="0053799E"/>
    <w:rsid w:val="00542443"/>
    <w:rsid w:val="00542D53"/>
    <w:rsid w:val="00543E44"/>
    <w:rsid w:val="0054494A"/>
    <w:rsid w:val="00544C85"/>
    <w:rsid w:val="00545FEB"/>
    <w:rsid w:val="00551417"/>
    <w:rsid w:val="00553148"/>
    <w:rsid w:val="0055350F"/>
    <w:rsid w:val="005548EB"/>
    <w:rsid w:val="0055552E"/>
    <w:rsid w:val="00560277"/>
    <w:rsid w:val="00562025"/>
    <w:rsid w:val="00562414"/>
    <w:rsid w:val="00563EB2"/>
    <w:rsid w:val="00563FD4"/>
    <w:rsid w:val="00564C1D"/>
    <w:rsid w:val="00566375"/>
    <w:rsid w:val="00566CD5"/>
    <w:rsid w:val="005676C5"/>
    <w:rsid w:val="00570952"/>
    <w:rsid w:val="00570D67"/>
    <w:rsid w:val="00572AE7"/>
    <w:rsid w:val="00573808"/>
    <w:rsid w:val="00573EF3"/>
    <w:rsid w:val="00575A8B"/>
    <w:rsid w:val="00577643"/>
    <w:rsid w:val="00584D64"/>
    <w:rsid w:val="0058516E"/>
    <w:rsid w:val="00585423"/>
    <w:rsid w:val="00585542"/>
    <w:rsid w:val="00585F50"/>
    <w:rsid w:val="005877EC"/>
    <w:rsid w:val="005908D2"/>
    <w:rsid w:val="00591A12"/>
    <w:rsid w:val="0059299C"/>
    <w:rsid w:val="00593BA0"/>
    <w:rsid w:val="00595EE2"/>
    <w:rsid w:val="00596CE2"/>
    <w:rsid w:val="0059758C"/>
    <w:rsid w:val="00597B17"/>
    <w:rsid w:val="005A03ED"/>
    <w:rsid w:val="005A28DB"/>
    <w:rsid w:val="005A40C5"/>
    <w:rsid w:val="005A7E05"/>
    <w:rsid w:val="005B0410"/>
    <w:rsid w:val="005B0EE5"/>
    <w:rsid w:val="005B2580"/>
    <w:rsid w:val="005B45B1"/>
    <w:rsid w:val="005B7BEB"/>
    <w:rsid w:val="005C08CC"/>
    <w:rsid w:val="005C1EF4"/>
    <w:rsid w:val="005C2E88"/>
    <w:rsid w:val="005C3ECC"/>
    <w:rsid w:val="005C50CB"/>
    <w:rsid w:val="005C5E07"/>
    <w:rsid w:val="005D02D9"/>
    <w:rsid w:val="005D0445"/>
    <w:rsid w:val="005D1552"/>
    <w:rsid w:val="005D183D"/>
    <w:rsid w:val="005D2808"/>
    <w:rsid w:val="005D30DC"/>
    <w:rsid w:val="005D4312"/>
    <w:rsid w:val="005D48BD"/>
    <w:rsid w:val="005D4E97"/>
    <w:rsid w:val="005D5DBE"/>
    <w:rsid w:val="005D5E51"/>
    <w:rsid w:val="005D67BF"/>
    <w:rsid w:val="005D6D73"/>
    <w:rsid w:val="005E0F08"/>
    <w:rsid w:val="005E1A38"/>
    <w:rsid w:val="005E1D24"/>
    <w:rsid w:val="005E29FE"/>
    <w:rsid w:val="005E393F"/>
    <w:rsid w:val="005E426E"/>
    <w:rsid w:val="005E679B"/>
    <w:rsid w:val="005E6D75"/>
    <w:rsid w:val="005F1B25"/>
    <w:rsid w:val="005F248A"/>
    <w:rsid w:val="005F603B"/>
    <w:rsid w:val="005F721E"/>
    <w:rsid w:val="00601293"/>
    <w:rsid w:val="00601527"/>
    <w:rsid w:val="00601BAF"/>
    <w:rsid w:val="0060214A"/>
    <w:rsid w:val="00602847"/>
    <w:rsid w:val="006030EC"/>
    <w:rsid w:val="00603600"/>
    <w:rsid w:val="00603AC0"/>
    <w:rsid w:val="006040FA"/>
    <w:rsid w:val="00605B97"/>
    <w:rsid w:val="00605BE5"/>
    <w:rsid w:val="0060621E"/>
    <w:rsid w:val="006065CD"/>
    <w:rsid w:val="0060705E"/>
    <w:rsid w:val="0060747F"/>
    <w:rsid w:val="006109A1"/>
    <w:rsid w:val="00612A13"/>
    <w:rsid w:val="00614FEB"/>
    <w:rsid w:val="00615748"/>
    <w:rsid w:val="0061658E"/>
    <w:rsid w:val="006168C3"/>
    <w:rsid w:val="006203AC"/>
    <w:rsid w:val="00621705"/>
    <w:rsid w:val="006220A9"/>
    <w:rsid w:val="00624A35"/>
    <w:rsid w:val="00627933"/>
    <w:rsid w:val="00627C37"/>
    <w:rsid w:val="00627EEB"/>
    <w:rsid w:val="00631126"/>
    <w:rsid w:val="00632AA3"/>
    <w:rsid w:val="006331CD"/>
    <w:rsid w:val="00633B1B"/>
    <w:rsid w:val="00636F06"/>
    <w:rsid w:val="00642119"/>
    <w:rsid w:val="00644187"/>
    <w:rsid w:val="00650E86"/>
    <w:rsid w:val="00650EC4"/>
    <w:rsid w:val="006511D5"/>
    <w:rsid w:val="00651DA7"/>
    <w:rsid w:val="00651F4A"/>
    <w:rsid w:val="00652565"/>
    <w:rsid w:val="006529E3"/>
    <w:rsid w:val="00652B8A"/>
    <w:rsid w:val="006569EE"/>
    <w:rsid w:val="00656ACC"/>
    <w:rsid w:val="006607AC"/>
    <w:rsid w:val="00660BAF"/>
    <w:rsid w:val="0066110D"/>
    <w:rsid w:val="00661D78"/>
    <w:rsid w:val="00662491"/>
    <w:rsid w:val="00663B64"/>
    <w:rsid w:val="00663DCF"/>
    <w:rsid w:val="00664FA2"/>
    <w:rsid w:val="00665600"/>
    <w:rsid w:val="00666063"/>
    <w:rsid w:val="00666AD8"/>
    <w:rsid w:val="00670B1C"/>
    <w:rsid w:val="00670C96"/>
    <w:rsid w:val="00672670"/>
    <w:rsid w:val="00673670"/>
    <w:rsid w:val="00676792"/>
    <w:rsid w:val="00677C2A"/>
    <w:rsid w:val="0068054E"/>
    <w:rsid w:val="006814AA"/>
    <w:rsid w:val="00681CC1"/>
    <w:rsid w:val="0068292D"/>
    <w:rsid w:val="0068326A"/>
    <w:rsid w:val="006843EA"/>
    <w:rsid w:val="006861B2"/>
    <w:rsid w:val="006923D2"/>
    <w:rsid w:val="00692A11"/>
    <w:rsid w:val="00693B7E"/>
    <w:rsid w:val="00696D1A"/>
    <w:rsid w:val="006A0EC4"/>
    <w:rsid w:val="006A1B67"/>
    <w:rsid w:val="006A238B"/>
    <w:rsid w:val="006A2825"/>
    <w:rsid w:val="006A4C92"/>
    <w:rsid w:val="006A5C44"/>
    <w:rsid w:val="006A5D53"/>
    <w:rsid w:val="006A764C"/>
    <w:rsid w:val="006B32AB"/>
    <w:rsid w:val="006B686E"/>
    <w:rsid w:val="006B70A5"/>
    <w:rsid w:val="006C0344"/>
    <w:rsid w:val="006C3CDF"/>
    <w:rsid w:val="006C420C"/>
    <w:rsid w:val="006C46CD"/>
    <w:rsid w:val="006C480E"/>
    <w:rsid w:val="006C4D2C"/>
    <w:rsid w:val="006C616C"/>
    <w:rsid w:val="006D156A"/>
    <w:rsid w:val="006D2220"/>
    <w:rsid w:val="006D436A"/>
    <w:rsid w:val="006D4D18"/>
    <w:rsid w:val="006D6952"/>
    <w:rsid w:val="006D73ED"/>
    <w:rsid w:val="006D7F81"/>
    <w:rsid w:val="006E03ED"/>
    <w:rsid w:val="006E1705"/>
    <w:rsid w:val="006E1D89"/>
    <w:rsid w:val="006E2840"/>
    <w:rsid w:val="006E2A7D"/>
    <w:rsid w:val="006E2B08"/>
    <w:rsid w:val="006F1A37"/>
    <w:rsid w:val="006F3859"/>
    <w:rsid w:val="006F702F"/>
    <w:rsid w:val="00702A09"/>
    <w:rsid w:val="00704907"/>
    <w:rsid w:val="00704E1C"/>
    <w:rsid w:val="00705066"/>
    <w:rsid w:val="007051C4"/>
    <w:rsid w:val="00706F98"/>
    <w:rsid w:val="007142ED"/>
    <w:rsid w:val="007145A0"/>
    <w:rsid w:val="00714FA7"/>
    <w:rsid w:val="00717E03"/>
    <w:rsid w:val="00721053"/>
    <w:rsid w:val="00721215"/>
    <w:rsid w:val="00721AE1"/>
    <w:rsid w:val="00721B22"/>
    <w:rsid w:val="007221C6"/>
    <w:rsid w:val="007230D0"/>
    <w:rsid w:val="00726915"/>
    <w:rsid w:val="00731E38"/>
    <w:rsid w:val="007357EE"/>
    <w:rsid w:val="00735800"/>
    <w:rsid w:val="00735912"/>
    <w:rsid w:val="00737D00"/>
    <w:rsid w:val="00737DEF"/>
    <w:rsid w:val="007419D9"/>
    <w:rsid w:val="00745558"/>
    <w:rsid w:val="00745D20"/>
    <w:rsid w:val="00746188"/>
    <w:rsid w:val="0074668D"/>
    <w:rsid w:val="00746E67"/>
    <w:rsid w:val="007518AE"/>
    <w:rsid w:val="00752F5C"/>
    <w:rsid w:val="00753F89"/>
    <w:rsid w:val="007553E6"/>
    <w:rsid w:val="007566BD"/>
    <w:rsid w:val="00756F97"/>
    <w:rsid w:val="00757356"/>
    <w:rsid w:val="00760C45"/>
    <w:rsid w:val="00760F0A"/>
    <w:rsid w:val="00762537"/>
    <w:rsid w:val="00763261"/>
    <w:rsid w:val="00763A2A"/>
    <w:rsid w:val="00764DEC"/>
    <w:rsid w:val="007652FD"/>
    <w:rsid w:val="00765D74"/>
    <w:rsid w:val="00765F64"/>
    <w:rsid w:val="007700A6"/>
    <w:rsid w:val="0077101F"/>
    <w:rsid w:val="00771C47"/>
    <w:rsid w:val="007720E4"/>
    <w:rsid w:val="007721A5"/>
    <w:rsid w:val="00772886"/>
    <w:rsid w:val="00776190"/>
    <w:rsid w:val="00780FB8"/>
    <w:rsid w:val="00781198"/>
    <w:rsid w:val="007833FA"/>
    <w:rsid w:val="00784991"/>
    <w:rsid w:val="00785167"/>
    <w:rsid w:val="00785B4A"/>
    <w:rsid w:val="00785C72"/>
    <w:rsid w:val="00790862"/>
    <w:rsid w:val="00791211"/>
    <w:rsid w:val="007951B0"/>
    <w:rsid w:val="007A043F"/>
    <w:rsid w:val="007A0542"/>
    <w:rsid w:val="007A0F65"/>
    <w:rsid w:val="007A0FCA"/>
    <w:rsid w:val="007A166C"/>
    <w:rsid w:val="007A46EC"/>
    <w:rsid w:val="007A6167"/>
    <w:rsid w:val="007A696F"/>
    <w:rsid w:val="007A6DDB"/>
    <w:rsid w:val="007A75E4"/>
    <w:rsid w:val="007A78B8"/>
    <w:rsid w:val="007B2C5D"/>
    <w:rsid w:val="007B70C7"/>
    <w:rsid w:val="007B77EE"/>
    <w:rsid w:val="007B7CE9"/>
    <w:rsid w:val="007C21C5"/>
    <w:rsid w:val="007C32F2"/>
    <w:rsid w:val="007C7ACB"/>
    <w:rsid w:val="007C7E5D"/>
    <w:rsid w:val="007D1FF6"/>
    <w:rsid w:val="007D63D3"/>
    <w:rsid w:val="007D689F"/>
    <w:rsid w:val="007D7E84"/>
    <w:rsid w:val="007E109E"/>
    <w:rsid w:val="007E19B0"/>
    <w:rsid w:val="007E232E"/>
    <w:rsid w:val="007E4404"/>
    <w:rsid w:val="007E5278"/>
    <w:rsid w:val="007F0AEC"/>
    <w:rsid w:val="007F415E"/>
    <w:rsid w:val="007F607F"/>
    <w:rsid w:val="007F69E2"/>
    <w:rsid w:val="007F70FA"/>
    <w:rsid w:val="008011FA"/>
    <w:rsid w:val="00802AFC"/>
    <w:rsid w:val="00802B5D"/>
    <w:rsid w:val="00803B29"/>
    <w:rsid w:val="0080690C"/>
    <w:rsid w:val="00807399"/>
    <w:rsid w:val="008079E1"/>
    <w:rsid w:val="0081175F"/>
    <w:rsid w:val="0081239F"/>
    <w:rsid w:val="00812649"/>
    <w:rsid w:val="008129EE"/>
    <w:rsid w:val="008178FE"/>
    <w:rsid w:val="00820961"/>
    <w:rsid w:val="008213E9"/>
    <w:rsid w:val="0082146C"/>
    <w:rsid w:val="008223EB"/>
    <w:rsid w:val="008225F3"/>
    <w:rsid w:val="0082643D"/>
    <w:rsid w:val="00827DAE"/>
    <w:rsid w:val="00827EB9"/>
    <w:rsid w:val="00830B48"/>
    <w:rsid w:val="0083176F"/>
    <w:rsid w:val="00831996"/>
    <w:rsid w:val="00832DC1"/>
    <w:rsid w:val="00834C93"/>
    <w:rsid w:val="00834D4E"/>
    <w:rsid w:val="00835201"/>
    <w:rsid w:val="008359F1"/>
    <w:rsid w:val="00836083"/>
    <w:rsid w:val="0083622B"/>
    <w:rsid w:val="008369FB"/>
    <w:rsid w:val="00836A76"/>
    <w:rsid w:val="00836E4D"/>
    <w:rsid w:val="00837D79"/>
    <w:rsid w:val="00840447"/>
    <w:rsid w:val="0084516D"/>
    <w:rsid w:val="008454CF"/>
    <w:rsid w:val="00845C12"/>
    <w:rsid w:val="00846722"/>
    <w:rsid w:val="00846EB0"/>
    <w:rsid w:val="00850016"/>
    <w:rsid w:val="008514A3"/>
    <w:rsid w:val="008516CB"/>
    <w:rsid w:val="0085354B"/>
    <w:rsid w:val="008538DD"/>
    <w:rsid w:val="0085395C"/>
    <w:rsid w:val="0085407D"/>
    <w:rsid w:val="008546C5"/>
    <w:rsid w:val="008565DD"/>
    <w:rsid w:val="0086340C"/>
    <w:rsid w:val="00863F40"/>
    <w:rsid w:val="008647C6"/>
    <w:rsid w:val="0086689C"/>
    <w:rsid w:val="00872AEB"/>
    <w:rsid w:val="00876458"/>
    <w:rsid w:val="00876FCC"/>
    <w:rsid w:val="00877A6E"/>
    <w:rsid w:val="00880BF9"/>
    <w:rsid w:val="00885075"/>
    <w:rsid w:val="00885260"/>
    <w:rsid w:val="00886CF9"/>
    <w:rsid w:val="00890519"/>
    <w:rsid w:val="00890E97"/>
    <w:rsid w:val="00891285"/>
    <w:rsid w:val="00893FBC"/>
    <w:rsid w:val="00894C88"/>
    <w:rsid w:val="008972D4"/>
    <w:rsid w:val="00897386"/>
    <w:rsid w:val="008976BC"/>
    <w:rsid w:val="008A0F55"/>
    <w:rsid w:val="008A4A7B"/>
    <w:rsid w:val="008A5181"/>
    <w:rsid w:val="008A6F11"/>
    <w:rsid w:val="008A7D08"/>
    <w:rsid w:val="008B1E23"/>
    <w:rsid w:val="008B1F47"/>
    <w:rsid w:val="008B3C5D"/>
    <w:rsid w:val="008B3E0F"/>
    <w:rsid w:val="008B5920"/>
    <w:rsid w:val="008B64DD"/>
    <w:rsid w:val="008B6D13"/>
    <w:rsid w:val="008B750A"/>
    <w:rsid w:val="008B756B"/>
    <w:rsid w:val="008C0513"/>
    <w:rsid w:val="008C20C4"/>
    <w:rsid w:val="008C2A84"/>
    <w:rsid w:val="008C3501"/>
    <w:rsid w:val="008C73D1"/>
    <w:rsid w:val="008C7EF6"/>
    <w:rsid w:val="008D1291"/>
    <w:rsid w:val="008D175F"/>
    <w:rsid w:val="008D182F"/>
    <w:rsid w:val="008D29D0"/>
    <w:rsid w:val="008D5FDE"/>
    <w:rsid w:val="008D66DD"/>
    <w:rsid w:val="008E184A"/>
    <w:rsid w:val="008E1D91"/>
    <w:rsid w:val="008E245A"/>
    <w:rsid w:val="008E3588"/>
    <w:rsid w:val="008E4B22"/>
    <w:rsid w:val="008F0523"/>
    <w:rsid w:val="008F0A2F"/>
    <w:rsid w:val="008F2110"/>
    <w:rsid w:val="008F29B1"/>
    <w:rsid w:val="008F5BAA"/>
    <w:rsid w:val="008F6EEA"/>
    <w:rsid w:val="008F7076"/>
    <w:rsid w:val="008F735E"/>
    <w:rsid w:val="00900951"/>
    <w:rsid w:val="00900CF8"/>
    <w:rsid w:val="00903914"/>
    <w:rsid w:val="009048CB"/>
    <w:rsid w:val="00906D60"/>
    <w:rsid w:val="009077A6"/>
    <w:rsid w:val="009100B0"/>
    <w:rsid w:val="009119F1"/>
    <w:rsid w:val="009141F5"/>
    <w:rsid w:val="00914209"/>
    <w:rsid w:val="009148D1"/>
    <w:rsid w:val="00915FFD"/>
    <w:rsid w:val="009263E3"/>
    <w:rsid w:val="00926812"/>
    <w:rsid w:val="009278E9"/>
    <w:rsid w:val="0093009C"/>
    <w:rsid w:val="00931319"/>
    <w:rsid w:val="00932936"/>
    <w:rsid w:val="00932D53"/>
    <w:rsid w:val="00933755"/>
    <w:rsid w:val="00933D18"/>
    <w:rsid w:val="0093445F"/>
    <w:rsid w:val="00934CA4"/>
    <w:rsid w:val="0093542F"/>
    <w:rsid w:val="00936454"/>
    <w:rsid w:val="0093746B"/>
    <w:rsid w:val="009375A6"/>
    <w:rsid w:val="00944937"/>
    <w:rsid w:val="009457E2"/>
    <w:rsid w:val="00947555"/>
    <w:rsid w:val="0095039D"/>
    <w:rsid w:val="00952574"/>
    <w:rsid w:val="0095289B"/>
    <w:rsid w:val="0095340A"/>
    <w:rsid w:val="00954468"/>
    <w:rsid w:val="009574D2"/>
    <w:rsid w:val="00961949"/>
    <w:rsid w:val="00963F50"/>
    <w:rsid w:val="009658C1"/>
    <w:rsid w:val="0096624D"/>
    <w:rsid w:val="0096670C"/>
    <w:rsid w:val="0096791A"/>
    <w:rsid w:val="00970D90"/>
    <w:rsid w:val="009710E2"/>
    <w:rsid w:val="00972485"/>
    <w:rsid w:val="00972DDF"/>
    <w:rsid w:val="009737B0"/>
    <w:rsid w:val="00976308"/>
    <w:rsid w:val="00977383"/>
    <w:rsid w:val="00977A8F"/>
    <w:rsid w:val="00977DA5"/>
    <w:rsid w:val="00977E55"/>
    <w:rsid w:val="00977FCB"/>
    <w:rsid w:val="00985E4E"/>
    <w:rsid w:val="0098613B"/>
    <w:rsid w:val="00986DEE"/>
    <w:rsid w:val="00987BCD"/>
    <w:rsid w:val="00991543"/>
    <w:rsid w:val="00991885"/>
    <w:rsid w:val="00992187"/>
    <w:rsid w:val="00993A61"/>
    <w:rsid w:val="0099509E"/>
    <w:rsid w:val="00995126"/>
    <w:rsid w:val="009951E3"/>
    <w:rsid w:val="009978D8"/>
    <w:rsid w:val="009A1264"/>
    <w:rsid w:val="009A1387"/>
    <w:rsid w:val="009A4096"/>
    <w:rsid w:val="009A41C2"/>
    <w:rsid w:val="009A5887"/>
    <w:rsid w:val="009B03A8"/>
    <w:rsid w:val="009B04ED"/>
    <w:rsid w:val="009B0578"/>
    <w:rsid w:val="009B0E14"/>
    <w:rsid w:val="009B1384"/>
    <w:rsid w:val="009B15FE"/>
    <w:rsid w:val="009B271E"/>
    <w:rsid w:val="009B28C4"/>
    <w:rsid w:val="009B2B3F"/>
    <w:rsid w:val="009B533D"/>
    <w:rsid w:val="009B6538"/>
    <w:rsid w:val="009B7566"/>
    <w:rsid w:val="009B76BA"/>
    <w:rsid w:val="009C1064"/>
    <w:rsid w:val="009C1222"/>
    <w:rsid w:val="009C3BE0"/>
    <w:rsid w:val="009C4BD4"/>
    <w:rsid w:val="009C5E58"/>
    <w:rsid w:val="009D04BD"/>
    <w:rsid w:val="009D102C"/>
    <w:rsid w:val="009D2952"/>
    <w:rsid w:val="009D36DE"/>
    <w:rsid w:val="009D3DCC"/>
    <w:rsid w:val="009E16A8"/>
    <w:rsid w:val="009E183E"/>
    <w:rsid w:val="009E297B"/>
    <w:rsid w:val="009E2FB8"/>
    <w:rsid w:val="009E3088"/>
    <w:rsid w:val="009E3428"/>
    <w:rsid w:val="009E5C27"/>
    <w:rsid w:val="009F4728"/>
    <w:rsid w:val="009F5FED"/>
    <w:rsid w:val="009F7B70"/>
    <w:rsid w:val="00A0021D"/>
    <w:rsid w:val="00A0055D"/>
    <w:rsid w:val="00A00BB3"/>
    <w:rsid w:val="00A01864"/>
    <w:rsid w:val="00A04255"/>
    <w:rsid w:val="00A0428B"/>
    <w:rsid w:val="00A04775"/>
    <w:rsid w:val="00A04A45"/>
    <w:rsid w:val="00A0517C"/>
    <w:rsid w:val="00A0540F"/>
    <w:rsid w:val="00A1322C"/>
    <w:rsid w:val="00A1380C"/>
    <w:rsid w:val="00A13A0C"/>
    <w:rsid w:val="00A145BE"/>
    <w:rsid w:val="00A157E8"/>
    <w:rsid w:val="00A16153"/>
    <w:rsid w:val="00A1739B"/>
    <w:rsid w:val="00A22160"/>
    <w:rsid w:val="00A221E4"/>
    <w:rsid w:val="00A245FD"/>
    <w:rsid w:val="00A26336"/>
    <w:rsid w:val="00A3077B"/>
    <w:rsid w:val="00A30E3B"/>
    <w:rsid w:val="00A32AA7"/>
    <w:rsid w:val="00A33BF0"/>
    <w:rsid w:val="00A3423A"/>
    <w:rsid w:val="00A344DB"/>
    <w:rsid w:val="00A35BCF"/>
    <w:rsid w:val="00A367FC"/>
    <w:rsid w:val="00A36C16"/>
    <w:rsid w:val="00A373A7"/>
    <w:rsid w:val="00A374A3"/>
    <w:rsid w:val="00A377E1"/>
    <w:rsid w:val="00A44444"/>
    <w:rsid w:val="00A45174"/>
    <w:rsid w:val="00A47130"/>
    <w:rsid w:val="00A479D7"/>
    <w:rsid w:val="00A51A4E"/>
    <w:rsid w:val="00A524E7"/>
    <w:rsid w:val="00A52646"/>
    <w:rsid w:val="00A541BF"/>
    <w:rsid w:val="00A554DF"/>
    <w:rsid w:val="00A565BF"/>
    <w:rsid w:val="00A57B36"/>
    <w:rsid w:val="00A6033E"/>
    <w:rsid w:val="00A60DCB"/>
    <w:rsid w:val="00A63746"/>
    <w:rsid w:val="00A64717"/>
    <w:rsid w:val="00A651CE"/>
    <w:rsid w:val="00A65392"/>
    <w:rsid w:val="00A662FA"/>
    <w:rsid w:val="00A72C4D"/>
    <w:rsid w:val="00A74999"/>
    <w:rsid w:val="00A75185"/>
    <w:rsid w:val="00A77122"/>
    <w:rsid w:val="00A778C4"/>
    <w:rsid w:val="00A812B8"/>
    <w:rsid w:val="00A81A0E"/>
    <w:rsid w:val="00A81EEA"/>
    <w:rsid w:val="00A829B5"/>
    <w:rsid w:val="00A8384B"/>
    <w:rsid w:val="00A8396F"/>
    <w:rsid w:val="00A86A9A"/>
    <w:rsid w:val="00A86BA1"/>
    <w:rsid w:val="00A87F9A"/>
    <w:rsid w:val="00A90373"/>
    <w:rsid w:val="00A917DA"/>
    <w:rsid w:val="00A93CDF"/>
    <w:rsid w:val="00A960F4"/>
    <w:rsid w:val="00A96BA9"/>
    <w:rsid w:val="00AA000F"/>
    <w:rsid w:val="00AA0211"/>
    <w:rsid w:val="00AA1472"/>
    <w:rsid w:val="00AA1696"/>
    <w:rsid w:val="00AA23C5"/>
    <w:rsid w:val="00AA4C90"/>
    <w:rsid w:val="00AB1830"/>
    <w:rsid w:val="00AB20A3"/>
    <w:rsid w:val="00AB46A3"/>
    <w:rsid w:val="00AB47A5"/>
    <w:rsid w:val="00AB5F6A"/>
    <w:rsid w:val="00AB70D8"/>
    <w:rsid w:val="00AC0469"/>
    <w:rsid w:val="00AC2D66"/>
    <w:rsid w:val="00AC5D7A"/>
    <w:rsid w:val="00AC5D96"/>
    <w:rsid w:val="00AC6C55"/>
    <w:rsid w:val="00AD254D"/>
    <w:rsid w:val="00AD6099"/>
    <w:rsid w:val="00AD7C07"/>
    <w:rsid w:val="00AE0660"/>
    <w:rsid w:val="00AE2452"/>
    <w:rsid w:val="00AE577B"/>
    <w:rsid w:val="00AF02A6"/>
    <w:rsid w:val="00AF0E12"/>
    <w:rsid w:val="00AF14A7"/>
    <w:rsid w:val="00AF1632"/>
    <w:rsid w:val="00AF2E4E"/>
    <w:rsid w:val="00AF550B"/>
    <w:rsid w:val="00AF689C"/>
    <w:rsid w:val="00B000F5"/>
    <w:rsid w:val="00B01EE0"/>
    <w:rsid w:val="00B02E57"/>
    <w:rsid w:val="00B031DD"/>
    <w:rsid w:val="00B0410B"/>
    <w:rsid w:val="00B04149"/>
    <w:rsid w:val="00B045C1"/>
    <w:rsid w:val="00B05E94"/>
    <w:rsid w:val="00B06260"/>
    <w:rsid w:val="00B06ADC"/>
    <w:rsid w:val="00B06CDC"/>
    <w:rsid w:val="00B10222"/>
    <w:rsid w:val="00B105BB"/>
    <w:rsid w:val="00B1191B"/>
    <w:rsid w:val="00B123EA"/>
    <w:rsid w:val="00B14B38"/>
    <w:rsid w:val="00B14C29"/>
    <w:rsid w:val="00B16C88"/>
    <w:rsid w:val="00B21B16"/>
    <w:rsid w:val="00B22FF4"/>
    <w:rsid w:val="00B23872"/>
    <w:rsid w:val="00B24617"/>
    <w:rsid w:val="00B24DD9"/>
    <w:rsid w:val="00B263F8"/>
    <w:rsid w:val="00B27EB4"/>
    <w:rsid w:val="00B34F98"/>
    <w:rsid w:val="00B354B6"/>
    <w:rsid w:val="00B360E5"/>
    <w:rsid w:val="00B36961"/>
    <w:rsid w:val="00B41D9B"/>
    <w:rsid w:val="00B536F1"/>
    <w:rsid w:val="00B543EF"/>
    <w:rsid w:val="00B5490C"/>
    <w:rsid w:val="00B57B87"/>
    <w:rsid w:val="00B60DDF"/>
    <w:rsid w:val="00B6367B"/>
    <w:rsid w:val="00B6440A"/>
    <w:rsid w:val="00B64820"/>
    <w:rsid w:val="00B655F7"/>
    <w:rsid w:val="00B67F91"/>
    <w:rsid w:val="00B70C59"/>
    <w:rsid w:val="00B70EA1"/>
    <w:rsid w:val="00B7246B"/>
    <w:rsid w:val="00B731AE"/>
    <w:rsid w:val="00B7377B"/>
    <w:rsid w:val="00B76647"/>
    <w:rsid w:val="00B77CC9"/>
    <w:rsid w:val="00B77DC0"/>
    <w:rsid w:val="00B80CFB"/>
    <w:rsid w:val="00B83B23"/>
    <w:rsid w:val="00B85E95"/>
    <w:rsid w:val="00B90632"/>
    <w:rsid w:val="00B90797"/>
    <w:rsid w:val="00B91ED1"/>
    <w:rsid w:val="00B92B83"/>
    <w:rsid w:val="00B94646"/>
    <w:rsid w:val="00B9482F"/>
    <w:rsid w:val="00BA0824"/>
    <w:rsid w:val="00BA238A"/>
    <w:rsid w:val="00BA287B"/>
    <w:rsid w:val="00BA2B64"/>
    <w:rsid w:val="00BA3F60"/>
    <w:rsid w:val="00BA442B"/>
    <w:rsid w:val="00BA4A47"/>
    <w:rsid w:val="00BA4FDA"/>
    <w:rsid w:val="00BA6348"/>
    <w:rsid w:val="00BA63EA"/>
    <w:rsid w:val="00BA702D"/>
    <w:rsid w:val="00BA7916"/>
    <w:rsid w:val="00BA7CE6"/>
    <w:rsid w:val="00BA7FA0"/>
    <w:rsid w:val="00BB0138"/>
    <w:rsid w:val="00BB01EB"/>
    <w:rsid w:val="00BB03B2"/>
    <w:rsid w:val="00BB1317"/>
    <w:rsid w:val="00BB6C65"/>
    <w:rsid w:val="00BB704E"/>
    <w:rsid w:val="00BC14C7"/>
    <w:rsid w:val="00BC1DDD"/>
    <w:rsid w:val="00BC1FDC"/>
    <w:rsid w:val="00BC2DB5"/>
    <w:rsid w:val="00BC4720"/>
    <w:rsid w:val="00BC5FE3"/>
    <w:rsid w:val="00BC772F"/>
    <w:rsid w:val="00BD080D"/>
    <w:rsid w:val="00BD1973"/>
    <w:rsid w:val="00BD2FCB"/>
    <w:rsid w:val="00BD3278"/>
    <w:rsid w:val="00BD41F7"/>
    <w:rsid w:val="00BD55A7"/>
    <w:rsid w:val="00BD5F4D"/>
    <w:rsid w:val="00BD72BB"/>
    <w:rsid w:val="00BD7DBA"/>
    <w:rsid w:val="00BE0DB4"/>
    <w:rsid w:val="00BE3D33"/>
    <w:rsid w:val="00BE4110"/>
    <w:rsid w:val="00BE4412"/>
    <w:rsid w:val="00BE6242"/>
    <w:rsid w:val="00BF0E01"/>
    <w:rsid w:val="00BF29CA"/>
    <w:rsid w:val="00BF4D66"/>
    <w:rsid w:val="00BF6BB3"/>
    <w:rsid w:val="00BF7327"/>
    <w:rsid w:val="00BF7B62"/>
    <w:rsid w:val="00BF7FE0"/>
    <w:rsid w:val="00C00252"/>
    <w:rsid w:val="00C0222F"/>
    <w:rsid w:val="00C0250D"/>
    <w:rsid w:val="00C04EF7"/>
    <w:rsid w:val="00C06B2C"/>
    <w:rsid w:val="00C0789A"/>
    <w:rsid w:val="00C102BE"/>
    <w:rsid w:val="00C1208F"/>
    <w:rsid w:val="00C12624"/>
    <w:rsid w:val="00C12BF6"/>
    <w:rsid w:val="00C12C67"/>
    <w:rsid w:val="00C14205"/>
    <w:rsid w:val="00C170CA"/>
    <w:rsid w:val="00C23B0F"/>
    <w:rsid w:val="00C24E3B"/>
    <w:rsid w:val="00C25E7B"/>
    <w:rsid w:val="00C273D5"/>
    <w:rsid w:val="00C27F00"/>
    <w:rsid w:val="00C30CEB"/>
    <w:rsid w:val="00C311C5"/>
    <w:rsid w:val="00C31457"/>
    <w:rsid w:val="00C33E45"/>
    <w:rsid w:val="00C35430"/>
    <w:rsid w:val="00C42E1D"/>
    <w:rsid w:val="00C453C3"/>
    <w:rsid w:val="00C47599"/>
    <w:rsid w:val="00C47D39"/>
    <w:rsid w:val="00C510C2"/>
    <w:rsid w:val="00C51C0B"/>
    <w:rsid w:val="00C52844"/>
    <w:rsid w:val="00C532C4"/>
    <w:rsid w:val="00C556E8"/>
    <w:rsid w:val="00C6010D"/>
    <w:rsid w:val="00C63CB3"/>
    <w:rsid w:val="00C640F0"/>
    <w:rsid w:val="00C65C51"/>
    <w:rsid w:val="00C65D97"/>
    <w:rsid w:val="00C66321"/>
    <w:rsid w:val="00C66876"/>
    <w:rsid w:val="00C70425"/>
    <w:rsid w:val="00C75451"/>
    <w:rsid w:val="00C8089A"/>
    <w:rsid w:val="00C819A0"/>
    <w:rsid w:val="00C824DF"/>
    <w:rsid w:val="00C82E5A"/>
    <w:rsid w:val="00C8389B"/>
    <w:rsid w:val="00C84C17"/>
    <w:rsid w:val="00C858C9"/>
    <w:rsid w:val="00C91522"/>
    <w:rsid w:val="00C91F02"/>
    <w:rsid w:val="00C920A2"/>
    <w:rsid w:val="00C92C15"/>
    <w:rsid w:val="00C935D1"/>
    <w:rsid w:val="00C93C49"/>
    <w:rsid w:val="00C93FF0"/>
    <w:rsid w:val="00C9434D"/>
    <w:rsid w:val="00C9445B"/>
    <w:rsid w:val="00C95547"/>
    <w:rsid w:val="00C96168"/>
    <w:rsid w:val="00C96439"/>
    <w:rsid w:val="00C96760"/>
    <w:rsid w:val="00C97564"/>
    <w:rsid w:val="00CA16B2"/>
    <w:rsid w:val="00CA60B9"/>
    <w:rsid w:val="00CA67F6"/>
    <w:rsid w:val="00CB0820"/>
    <w:rsid w:val="00CB36FB"/>
    <w:rsid w:val="00CB4623"/>
    <w:rsid w:val="00CB4CEA"/>
    <w:rsid w:val="00CB5E5A"/>
    <w:rsid w:val="00CB6158"/>
    <w:rsid w:val="00CB699C"/>
    <w:rsid w:val="00CC60DD"/>
    <w:rsid w:val="00CD1684"/>
    <w:rsid w:val="00CD2216"/>
    <w:rsid w:val="00CD2BFD"/>
    <w:rsid w:val="00CD4630"/>
    <w:rsid w:val="00CD571C"/>
    <w:rsid w:val="00CE02E5"/>
    <w:rsid w:val="00CE21BB"/>
    <w:rsid w:val="00CE47CC"/>
    <w:rsid w:val="00CE52F4"/>
    <w:rsid w:val="00CE5913"/>
    <w:rsid w:val="00CE61CF"/>
    <w:rsid w:val="00CE7EE4"/>
    <w:rsid w:val="00CF1136"/>
    <w:rsid w:val="00CF2102"/>
    <w:rsid w:val="00CF5CCF"/>
    <w:rsid w:val="00CF70E6"/>
    <w:rsid w:val="00D001F0"/>
    <w:rsid w:val="00D018B4"/>
    <w:rsid w:val="00D02C7B"/>
    <w:rsid w:val="00D03251"/>
    <w:rsid w:val="00D033B6"/>
    <w:rsid w:val="00D04D22"/>
    <w:rsid w:val="00D05C5D"/>
    <w:rsid w:val="00D113BE"/>
    <w:rsid w:val="00D13440"/>
    <w:rsid w:val="00D14BE1"/>
    <w:rsid w:val="00D17135"/>
    <w:rsid w:val="00D17643"/>
    <w:rsid w:val="00D22C9A"/>
    <w:rsid w:val="00D23416"/>
    <w:rsid w:val="00D2397E"/>
    <w:rsid w:val="00D24203"/>
    <w:rsid w:val="00D24E22"/>
    <w:rsid w:val="00D27D8D"/>
    <w:rsid w:val="00D31445"/>
    <w:rsid w:val="00D33073"/>
    <w:rsid w:val="00D33189"/>
    <w:rsid w:val="00D332F6"/>
    <w:rsid w:val="00D33B54"/>
    <w:rsid w:val="00D34877"/>
    <w:rsid w:val="00D348B7"/>
    <w:rsid w:val="00D351DF"/>
    <w:rsid w:val="00D35411"/>
    <w:rsid w:val="00D356B0"/>
    <w:rsid w:val="00D358E2"/>
    <w:rsid w:val="00D36C07"/>
    <w:rsid w:val="00D37BEF"/>
    <w:rsid w:val="00D4182E"/>
    <w:rsid w:val="00D428FE"/>
    <w:rsid w:val="00D42E67"/>
    <w:rsid w:val="00D4388B"/>
    <w:rsid w:val="00D444CC"/>
    <w:rsid w:val="00D469D5"/>
    <w:rsid w:val="00D472F4"/>
    <w:rsid w:val="00D50510"/>
    <w:rsid w:val="00D50A33"/>
    <w:rsid w:val="00D52203"/>
    <w:rsid w:val="00D567B7"/>
    <w:rsid w:val="00D56E8E"/>
    <w:rsid w:val="00D57F34"/>
    <w:rsid w:val="00D616D5"/>
    <w:rsid w:val="00D6222C"/>
    <w:rsid w:val="00D624B1"/>
    <w:rsid w:val="00D62625"/>
    <w:rsid w:val="00D62D50"/>
    <w:rsid w:val="00D63E75"/>
    <w:rsid w:val="00D64722"/>
    <w:rsid w:val="00D655A8"/>
    <w:rsid w:val="00D7142E"/>
    <w:rsid w:val="00D71E72"/>
    <w:rsid w:val="00D72AA4"/>
    <w:rsid w:val="00D74058"/>
    <w:rsid w:val="00D75943"/>
    <w:rsid w:val="00D76317"/>
    <w:rsid w:val="00D77C2A"/>
    <w:rsid w:val="00D802F8"/>
    <w:rsid w:val="00D82BF9"/>
    <w:rsid w:val="00D833D9"/>
    <w:rsid w:val="00D86348"/>
    <w:rsid w:val="00D91FFC"/>
    <w:rsid w:val="00D93346"/>
    <w:rsid w:val="00D93D2A"/>
    <w:rsid w:val="00D951C8"/>
    <w:rsid w:val="00D9629F"/>
    <w:rsid w:val="00DA0110"/>
    <w:rsid w:val="00DA02B5"/>
    <w:rsid w:val="00DA1C41"/>
    <w:rsid w:val="00DA1E60"/>
    <w:rsid w:val="00DA24DB"/>
    <w:rsid w:val="00DA26AA"/>
    <w:rsid w:val="00DA3443"/>
    <w:rsid w:val="00DA375B"/>
    <w:rsid w:val="00DA470F"/>
    <w:rsid w:val="00DA5256"/>
    <w:rsid w:val="00DA60E0"/>
    <w:rsid w:val="00DA7F37"/>
    <w:rsid w:val="00DB04BC"/>
    <w:rsid w:val="00DB2C42"/>
    <w:rsid w:val="00DB4709"/>
    <w:rsid w:val="00DB4AAB"/>
    <w:rsid w:val="00DC1732"/>
    <w:rsid w:val="00DC2887"/>
    <w:rsid w:val="00DC2891"/>
    <w:rsid w:val="00DC4B87"/>
    <w:rsid w:val="00DC568B"/>
    <w:rsid w:val="00DC7E93"/>
    <w:rsid w:val="00DD0CFD"/>
    <w:rsid w:val="00DD443D"/>
    <w:rsid w:val="00DD63FB"/>
    <w:rsid w:val="00DD6784"/>
    <w:rsid w:val="00DD6C84"/>
    <w:rsid w:val="00DD7C2E"/>
    <w:rsid w:val="00DD7E94"/>
    <w:rsid w:val="00DE11BE"/>
    <w:rsid w:val="00DE2F1C"/>
    <w:rsid w:val="00DE4981"/>
    <w:rsid w:val="00DF0B29"/>
    <w:rsid w:val="00DF2789"/>
    <w:rsid w:val="00DF3351"/>
    <w:rsid w:val="00DF355B"/>
    <w:rsid w:val="00E00266"/>
    <w:rsid w:val="00E008F5"/>
    <w:rsid w:val="00E00DEA"/>
    <w:rsid w:val="00E03F3A"/>
    <w:rsid w:val="00E053F8"/>
    <w:rsid w:val="00E05ED5"/>
    <w:rsid w:val="00E070C5"/>
    <w:rsid w:val="00E1043B"/>
    <w:rsid w:val="00E10946"/>
    <w:rsid w:val="00E14E8D"/>
    <w:rsid w:val="00E15DFE"/>
    <w:rsid w:val="00E17ADC"/>
    <w:rsid w:val="00E2023B"/>
    <w:rsid w:val="00E20CFE"/>
    <w:rsid w:val="00E20E17"/>
    <w:rsid w:val="00E20F62"/>
    <w:rsid w:val="00E210E0"/>
    <w:rsid w:val="00E21ACE"/>
    <w:rsid w:val="00E23127"/>
    <w:rsid w:val="00E23F5F"/>
    <w:rsid w:val="00E24489"/>
    <w:rsid w:val="00E24E22"/>
    <w:rsid w:val="00E2576E"/>
    <w:rsid w:val="00E27545"/>
    <w:rsid w:val="00E30E45"/>
    <w:rsid w:val="00E31D92"/>
    <w:rsid w:val="00E32BE3"/>
    <w:rsid w:val="00E32EBE"/>
    <w:rsid w:val="00E3416C"/>
    <w:rsid w:val="00E355F7"/>
    <w:rsid w:val="00E35F11"/>
    <w:rsid w:val="00E3601F"/>
    <w:rsid w:val="00E37FAF"/>
    <w:rsid w:val="00E40AE1"/>
    <w:rsid w:val="00E41E8B"/>
    <w:rsid w:val="00E42689"/>
    <w:rsid w:val="00E45E02"/>
    <w:rsid w:val="00E45EDE"/>
    <w:rsid w:val="00E4612A"/>
    <w:rsid w:val="00E50672"/>
    <w:rsid w:val="00E51049"/>
    <w:rsid w:val="00E527CC"/>
    <w:rsid w:val="00E53790"/>
    <w:rsid w:val="00E564CC"/>
    <w:rsid w:val="00E57293"/>
    <w:rsid w:val="00E5738D"/>
    <w:rsid w:val="00E60417"/>
    <w:rsid w:val="00E61527"/>
    <w:rsid w:val="00E6316A"/>
    <w:rsid w:val="00E72522"/>
    <w:rsid w:val="00E740D9"/>
    <w:rsid w:val="00E747D8"/>
    <w:rsid w:val="00E751B1"/>
    <w:rsid w:val="00E7530A"/>
    <w:rsid w:val="00E75A1E"/>
    <w:rsid w:val="00E849B8"/>
    <w:rsid w:val="00E864C3"/>
    <w:rsid w:val="00E87B9E"/>
    <w:rsid w:val="00E90532"/>
    <w:rsid w:val="00E9153C"/>
    <w:rsid w:val="00E94E76"/>
    <w:rsid w:val="00E9571C"/>
    <w:rsid w:val="00E961A5"/>
    <w:rsid w:val="00E96BB9"/>
    <w:rsid w:val="00EA09A4"/>
    <w:rsid w:val="00EA2F53"/>
    <w:rsid w:val="00EA3816"/>
    <w:rsid w:val="00EA4C51"/>
    <w:rsid w:val="00EA56E8"/>
    <w:rsid w:val="00EA58C3"/>
    <w:rsid w:val="00EB0ACB"/>
    <w:rsid w:val="00EB0F5D"/>
    <w:rsid w:val="00EB3157"/>
    <w:rsid w:val="00EB39A6"/>
    <w:rsid w:val="00EB3DE9"/>
    <w:rsid w:val="00EB6383"/>
    <w:rsid w:val="00EB6F56"/>
    <w:rsid w:val="00EB7284"/>
    <w:rsid w:val="00EC0BD2"/>
    <w:rsid w:val="00EC2779"/>
    <w:rsid w:val="00EC4423"/>
    <w:rsid w:val="00EC454A"/>
    <w:rsid w:val="00EC4862"/>
    <w:rsid w:val="00EC4BB8"/>
    <w:rsid w:val="00EC5F8C"/>
    <w:rsid w:val="00EC74A8"/>
    <w:rsid w:val="00EC7576"/>
    <w:rsid w:val="00ED0E85"/>
    <w:rsid w:val="00ED35AC"/>
    <w:rsid w:val="00ED5084"/>
    <w:rsid w:val="00ED5215"/>
    <w:rsid w:val="00EE0CA1"/>
    <w:rsid w:val="00EE2598"/>
    <w:rsid w:val="00EE2D42"/>
    <w:rsid w:val="00EE42B1"/>
    <w:rsid w:val="00EE485C"/>
    <w:rsid w:val="00EE4870"/>
    <w:rsid w:val="00EE54B8"/>
    <w:rsid w:val="00EE568D"/>
    <w:rsid w:val="00EE6E25"/>
    <w:rsid w:val="00EE7E14"/>
    <w:rsid w:val="00EF41A6"/>
    <w:rsid w:val="00EF72F4"/>
    <w:rsid w:val="00EF794A"/>
    <w:rsid w:val="00F00562"/>
    <w:rsid w:val="00F06D80"/>
    <w:rsid w:val="00F076FE"/>
    <w:rsid w:val="00F07F5D"/>
    <w:rsid w:val="00F101AA"/>
    <w:rsid w:val="00F1233E"/>
    <w:rsid w:val="00F12391"/>
    <w:rsid w:val="00F13B61"/>
    <w:rsid w:val="00F1505D"/>
    <w:rsid w:val="00F20CC3"/>
    <w:rsid w:val="00F23113"/>
    <w:rsid w:val="00F24814"/>
    <w:rsid w:val="00F2684F"/>
    <w:rsid w:val="00F271C7"/>
    <w:rsid w:val="00F2784F"/>
    <w:rsid w:val="00F27EA0"/>
    <w:rsid w:val="00F309B9"/>
    <w:rsid w:val="00F32102"/>
    <w:rsid w:val="00F32AC1"/>
    <w:rsid w:val="00F32C0F"/>
    <w:rsid w:val="00F3384B"/>
    <w:rsid w:val="00F33A6B"/>
    <w:rsid w:val="00F34B50"/>
    <w:rsid w:val="00F36318"/>
    <w:rsid w:val="00F36400"/>
    <w:rsid w:val="00F3693A"/>
    <w:rsid w:val="00F37F09"/>
    <w:rsid w:val="00F40D5E"/>
    <w:rsid w:val="00F41D51"/>
    <w:rsid w:val="00F4333A"/>
    <w:rsid w:val="00F43C7D"/>
    <w:rsid w:val="00F44675"/>
    <w:rsid w:val="00F46206"/>
    <w:rsid w:val="00F4757B"/>
    <w:rsid w:val="00F50C25"/>
    <w:rsid w:val="00F5223D"/>
    <w:rsid w:val="00F527DE"/>
    <w:rsid w:val="00F52A3D"/>
    <w:rsid w:val="00F5345C"/>
    <w:rsid w:val="00F534CF"/>
    <w:rsid w:val="00F5517B"/>
    <w:rsid w:val="00F55217"/>
    <w:rsid w:val="00F55C36"/>
    <w:rsid w:val="00F5752A"/>
    <w:rsid w:val="00F575C6"/>
    <w:rsid w:val="00F60A66"/>
    <w:rsid w:val="00F62361"/>
    <w:rsid w:val="00F62810"/>
    <w:rsid w:val="00F65AD2"/>
    <w:rsid w:val="00F70F76"/>
    <w:rsid w:val="00F71758"/>
    <w:rsid w:val="00F71A05"/>
    <w:rsid w:val="00F71F9A"/>
    <w:rsid w:val="00F73911"/>
    <w:rsid w:val="00F75B40"/>
    <w:rsid w:val="00F80EB3"/>
    <w:rsid w:val="00F81A6A"/>
    <w:rsid w:val="00F8298C"/>
    <w:rsid w:val="00F82FFB"/>
    <w:rsid w:val="00F836D8"/>
    <w:rsid w:val="00F84255"/>
    <w:rsid w:val="00F90181"/>
    <w:rsid w:val="00F91758"/>
    <w:rsid w:val="00F9239C"/>
    <w:rsid w:val="00F926B5"/>
    <w:rsid w:val="00F93BC4"/>
    <w:rsid w:val="00F95815"/>
    <w:rsid w:val="00F964A5"/>
    <w:rsid w:val="00F976D9"/>
    <w:rsid w:val="00FA04E2"/>
    <w:rsid w:val="00FA2C29"/>
    <w:rsid w:val="00FA2E16"/>
    <w:rsid w:val="00FA52B9"/>
    <w:rsid w:val="00FA54A6"/>
    <w:rsid w:val="00FA5B31"/>
    <w:rsid w:val="00FA5CC6"/>
    <w:rsid w:val="00FA6519"/>
    <w:rsid w:val="00FA79BE"/>
    <w:rsid w:val="00FA7E38"/>
    <w:rsid w:val="00FB0BC6"/>
    <w:rsid w:val="00FB126F"/>
    <w:rsid w:val="00FB27F7"/>
    <w:rsid w:val="00FB347E"/>
    <w:rsid w:val="00FB3518"/>
    <w:rsid w:val="00FB426F"/>
    <w:rsid w:val="00FB4D4A"/>
    <w:rsid w:val="00FB728F"/>
    <w:rsid w:val="00FC0283"/>
    <w:rsid w:val="00FC0E57"/>
    <w:rsid w:val="00FC1BA0"/>
    <w:rsid w:val="00FC3234"/>
    <w:rsid w:val="00FC36FA"/>
    <w:rsid w:val="00FC40C4"/>
    <w:rsid w:val="00FC43CB"/>
    <w:rsid w:val="00FD0796"/>
    <w:rsid w:val="00FD1F7B"/>
    <w:rsid w:val="00FD3444"/>
    <w:rsid w:val="00FD7D77"/>
    <w:rsid w:val="00FE0ABD"/>
    <w:rsid w:val="00FE34AB"/>
    <w:rsid w:val="00FE57EA"/>
    <w:rsid w:val="00FE7CE4"/>
    <w:rsid w:val="00FF0B12"/>
    <w:rsid w:val="00FF0CCD"/>
    <w:rsid w:val="00FF2533"/>
    <w:rsid w:val="00FF2747"/>
    <w:rsid w:val="00FF31FB"/>
    <w:rsid w:val="00FF38AE"/>
    <w:rsid w:val="00FF5427"/>
    <w:rsid w:val="00FF5D20"/>
    <w:rsid w:val="00FF77B6"/>
    <w:rsid w:val="00FF7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65D97"/>
    <w:pPr>
      <w:spacing w:after="200" w:line="276" w:lineRule="auto"/>
      <w:jc w:val="both"/>
    </w:pPr>
    <w:rPr>
      <w:sz w:val="22"/>
      <w:lang w:val="en-US" w:eastAsia="en-US"/>
    </w:rPr>
  </w:style>
  <w:style w:type="paragraph" w:styleId="Heading1">
    <w:name w:val="heading 1"/>
    <w:basedOn w:val="Normal"/>
    <w:next w:val="Normal"/>
    <w:link w:val="Heading1Char"/>
    <w:autoRedefine/>
    <w:uiPriority w:val="99"/>
    <w:qFormat/>
    <w:rsid w:val="00877A6E"/>
    <w:pPr>
      <w:numPr>
        <w:numId w:val="2"/>
      </w:numPr>
      <w:pBdr>
        <w:bottom w:val="single" w:sz="12" w:space="1" w:color="C0504D"/>
      </w:pBdr>
      <w:spacing w:after="480" w:line="240" w:lineRule="auto"/>
      <w:jc w:val="left"/>
      <w:outlineLvl w:val="0"/>
    </w:pPr>
    <w:rPr>
      <w:rFonts w:asciiTheme="minorHAnsi" w:hAnsiTheme="minorHAnsi"/>
      <w:b/>
      <w:smallCaps/>
      <w:color w:val="1F497D" w:themeColor="text2"/>
      <w:spacing w:val="5"/>
      <w:sz w:val="28"/>
      <w:szCs w:val="32"/>
    </w:rPr>
  </w:style>
  <w:style w:type="paragraph" w:styleId="Heading2">
    <w:name w:val="heading 2"/>
    <w:basedOn w:val="Normal"/>
    <w:next w:val="Normal"/>
    <w:link w:val="Heading2Char"/>
    <w:autoRedefine/>
    <w:uiPriority w:val="99"/>
    <w:qFormat/>
    <w:rsid w:val="00877A6E"/>
    <w:pPr>
      <w:numPr>
        <w:ilvl w:val="1"/>
        <w:numId w:val="2"/>
      </w:numPr>
      <w:pBdr>
        <w:bottom w:val="single" w:sz="8" w:space="1" w:color="FFFFFF" w:themeColor="background1"/>
      </w:pBdr>
      <w:spacing w:before="240" w:after="240"/>
      <w:ind w:left="0"/>
      <w:jc w:val="left"/>
      <w:outlineLvl w:val="1"/>
    </w:pPr>
    <w:rPr>
      <w:rFonts w:asciiTheme="minorHAnsi" w:hAnsiTheme="minorHAnsi"/>
      <w:b/>
      <w:color w:val="1F497D" w:themeColor="text2"/>
      <w:spacing w:val="4"/>
      <w:sz w:val="24"/>
      <w:szCs w:val="28"/>
    </w:rPr>
  </w:style>
  <w:style w:type="paragraph" w:styleId="Heading3">
    <w:name w:val="heading 3"/>
    <w:basedOn w:val="Normal"/>
    <w:next w:val="Normal"/>
    <w:link w:val="Heading3Char"/>
    <w:autoRedefine/>
    <w:uiPriority w:val="99"/>
    <w:qFormat/>
    <w:rsid w:val="00846EB0"/>
    <w:pPr>
      <w:spacing w:before="240" w:after="240"/>
      <w:jc w:val="left"/>
      <w:outlineLvl w:val="2"/>
    </w:pPr>
    <w:rPr>
      <w:rFonts w:asciiTheme="minorHAnsi" w:hAnsiTheme="minorHAnsi"/>
      <w:b/>
      <w:i/>
      <w:color w:val="4F81BD" w:themeColor="accent1"/>
      <w:spacing w:val="5"/>
      <w:szCs w:val="24"/>
    </w:rPr>
  </w:style>
  <w:style w:type="paragraph" w:styleId="Heading4">
    <w:name w:val="heading 4"/>
    <w:basedOn w:val="Normal"/>
    <w:next w:val="Normal"/>
    <w:link w:val="Heading4Char"/>
    <w:uiPriority w:val="99"/>
    <w:qFormat/>
    <w:rsid w:val="00A86A9A"/>
    <w:pPr>
      <w:numPr>
        <w:ilvl w:val="3"/>
        <w:numId w:val="2"/>
      </w:numPr>
      <w:spacing w:before="240" w:after="0"/>
      <w:jc w:val="left"/>
      <w:outlineLvl w:val="3"/>
    </w:pPr>
    <w:rPr>
      <w:smallCaps/>
      <w:spacing w:val="10"/>
      <w:szCs w:val="22"/>
    </w:rPr>
  </w:style>
  <w:style w:type="paragraph" w:styleId="Heading5">
    <w:name w:val="heading 5"/>
    <w:basedOn w:val="Normal"/>
    <w:next w:val="Normal"/>
    <w:link w:val="Heading5Char"/>
    <w:uiPriority w:val="99"/>
    <w:qFormat/>
    <w:rsid w:val="00A86A9A"/>
    <w:pPr>
      <w:numPr>
        <w:ilvl w:val="4"/>
        <w:numId w:val="2"/>
      </w:numPr>
      <w:spacing w:before="200" w:after="0"/>
      <w:jc w:val="left"/>
      <w:outlineLvl w:val="4"/>
    </w:pPr>
    <w:rPr>
      <w:smallCaps/>
      <w:color w:val="943634"/>
      <w:spacing w:val="10"/>
      <w:szCs w:val="26"/>
    </w:rPr>
  </w:style>
  <w:style w:type="paragraph" w:styleId="Heading6">
    <w:name w:val="heading 6"/>
    <w:basedOn w:val="Normal"/>
    <w:next w:val="Normal"/>
    <w:link w:val="Heading6Char"/>
    <w:uiPriority w:val="99"/>
    <w:qFormat/>
    <w:rsid w:val="00A86A9A"/>
    <w:pPr>
      <w:numPr>
        <w:ilvl w:val="5"/>
        <w:numId w:val="2"/>
      </w:numPr>
      <w:spacing w:after="0"/>
      <w:jc w:val="left"/>
      <w:outlineLvl w:val="5"/>
    </w:pPr>
    <w:rPr>
      <w:smallCaps/>
      <w:color w:val="C0504D"/>
      <w:spacing w:val="5"/>
    </w:rPr>
  </w:style>
  <w:style w:type="paragraph" w:styleId="Heading7">
    <w:name w:val="heading 7"/>
    <w:basedOn w:val="Normal"/>
    <w:next w:val="Normal"/>
    <w:link w:val="Heading7Char"/>
    <w:uiPriority w:val="99"/>
    <w:qFormat/>
    <w:rsid w:val="00A86A9A"/>
    <w:pPr>
      <w:numPr>
        <w:ilvl w:val="6"/>
        <w:numId w:val="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A86A9A"/>
    <w:pPr>
      <w:numPr>
        <w:ilvl w:val="7"/>
        <w:numId w:val="2"/>
      </w:numPr>
      <w:spacing w:after="0"/>
      <w:jc w:val="left"/>
      <w:outlineLvl w:val="7"/>
    </w:pPr>
    <w:rPr>
      <w:b/>
      <w:i/>
      <w:smallCaps/>
      <w:color w:val="943634"/>
    </w:rPr>
  </w:style>
  <w:style w:type="paragraph" w:styleId="Heading9">
    <w:name w:val="heading 9"/>
    <w:basedOn w:val="Normal"/>
    <w:next w:val="Normal"/>
    <w:link w:val="Heading9Char"/>
    <w:uiPriority w:val="99"/>
    <w:qFormat/>
    <w:rsid w:val="00A86A9A"/>
    <w:pPr>
      <w:numPr>
        <w:ilvl w:val="8"/>
        <w:numId w:val="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7A6E"/>
    <w:rPr>
      <w:rFonts w:asciiTheme="minorHAnsi" w:hAnsiTheme="minorHAnsi"/>
      <w:b/>
      <w:smallCaps/>
      <w:color w:val="1F497D" w:themeColor="text2"/>
      <w:spacing w:val="5"/>
      <w:sz w:val="28"/>
      <w:szCs w:val="32"/>
      <w:lang w:val="en-US" w:eastAsia="en-US"/>
    </w:rPr>
  </w:style>
  <w:style w:type="character" w:customStyle="1" w:styleId="Heading2Char">
    <w:name w:val="Heading 2 Char"/>
    <w:basedOn w:val="DefaultParagraphFont"/>
    <w:link w:val="Heading2"/>
    <w:uiPriority w:val="99"/>
    <w:locked/>
    <w:rsid w:val="00877A6E"/>
    <w:rPr>
      <w:rFonts w:asciiTheme="minorHAnsi" w:hAnsiTheme="minorHAnsi"/>
      <w:b/>
      <w:color w:val="1F497D" w:themeColor="text2"/>
      <w:spacing w:val="4"/>
      <w:sz w:val="24"/>
      <w:szCs w:val="28"/>
      <w:lang w:val="en-US" w:eastAsia="en-US"/>
    </w:rPr>
  </w:style>
  <w:style w:type="character" w:customStyle="1" w:styleId="Heading3Char">
    <w:name w:val="Heading 3 Char"/>
    <w:basedOn w:val="DefaultParagraphFont"/>
    <w:link w:val="Heading3"/>
    <w:uiPriority w:val="99"/>
    <w:locked/>
    <w:rsid w:val="00846EB0"/>
    <w:rPr>
      <w:rFonts w:asciiTheme="minorHAnsi" w:hAnsiTheme="minorHAnsi"/>
      <w:b/>
      <w:i/>
      <w:color w:val="4F81BD" w:themeColor="accent1"/>
      <w:spacing w:val="5"/>
      <w:sz w:val="22"/>
      <w:szCs w:val="24"/>
      <w:lang w:val="en-US" w:eastAsia="en-US"/>
    </w:rPr>
  </w:style>
  <w:style w:type="character" w:customStyle="1" w:styleId="Heading4Char">
    <w:name w:val="Heading 4 Char"/>
    <w:basedOn w:val="DefaultParagraphFont"/>
    <w:link w:val="Heading4"/>
    <w:uiPriority w:val="99"/>
    <w:locked/>
    <w:rsid w:val="00A86A9A"/>
    <w:rPr>
      <w:smallCaps/>
      <w:spacing w:val="10"/>
      <w:sz w:val="22"/>
      <w:szCs w:val="22"/>
      <w:lang w:val="en-US" w:eastAsia="en-US"/>
    </w:rPr>
  </w:style>
  <w:style w:type="character" w:customStyle="1" w:styleId="Heading5Char">
    <w:name w:val="Heading 5 Char"/>
    <w:basedOn w:val="DefaultParagraphFont"/>
    <w:link w:val="Heading5"/>
    <w:uiPriority w:val="99"/>
    <w:locked/>
    <w:rsid w:val="00A86A9A"/>
    <w:rPr>
      <w:smallCaps/>
      <w:color w:val="943634"/>
      <w:spacing w:val="10"/>
      <w:sz w:val="22"/>
      <w:szCs w:val="26"/>
      <w:lang w:val="en-US" w:eastAsia="en-US"/>
    </w:rPr>
  </w:style>
  <w:style w:type="character" w:customStyle="1" w:styleId="Heading6Char">
    <w:name w:val="Heading 6 Char"/>
    <w:basedOn w:val="DefaultParagraphFont"/>
    <w:link w:val="Heading6"/>
    <w:uiPriority w:val="99"/>
    <w:locked/>
    <w:rsid w:val="00A86A9A"/>
    <w:rPr>
      <w:smallCaps/>
      <w:color w:val="C0504D"/>
      <w:spacing w:val="5"/>
      <w:sz w:val="22"/>
      <w:lang w:val="en-US" w:eastAsia="en-US"/>
    </w:rPr>
  </w:style>
  <w:style w:type="character" w:customStyle="1" w:styleId="Heading7Char">
    <w:name w:val="Heading 7 Char"/>
    <w:basedOn w:val="DefaultParagraphFont"/>
    <w:link w:val="Heading7"/>
    <w:uiPriority w:val="99"/>
    <w:locked/>
    <w:rsid w:val="00A86A9A"/>
    <w:rPr>
      <w:b/>
      <w:smallCaps/>
      <w:color w:val="C0504D"/>
      <w:spacing w:val="10"/>
      <w:sz w:val="22"/>
      <w:lang w:val="en-US" w:eastAsia="en-US"/>
    </w:rPr>
  </w:style>
  <w:style w:type="character" w:customStyle="1" w:styleId="Heading8Char">
    <w:name w:val="Heading 8 Char"/>
    <w:basedOn w:val="DefaultParagraphFont"/>
    <w:link w:val="Heading8"/>
    <w:uiPriority w:val="99"/>
    <w:locked/>
    <w:rsid w:val="00A86A9A"/>
    <w:rPr>
      <w:b/>
      <w:i/>
      <w:smallCaps/>
      <w:color w:val="943634"/>
      <w:sz w:val="22"/>
      <w:lang w:val="en-US" w:eastAsia="en-US"/>
    </w:rPr>
  </w:style>
  <w:style w:type="character" w:customStyle="1" w:styleId="Heading9Char">
    <w:name w:val="Heading 9 Char"/>
    <w:basedOn w:val="DefaultParagraphFont"/>
    <w:link w:val="Heading9"/>
    <w:uiPriority w:val="99"/>
    <w:locked/>
    <w:rsid w:val="00A86A9A"/>
    <w:rPr>
      <w:b/>
      <w:i/>
      <w:smallCaps/>
      <w:color w:val="622423"/>
      <w:sz w:val="22"/>
      <w:lang w:val="en-US" w:eastAsia="en-US"/>
    </w:rPr>
  </w:style>
  <w:style w:type="paragraph" w:styleId="Title">
    <w:name w:val="Title"/>
    <w:basedOn w:val="Normal"/>
    <w:next w:val="Normal"/>
    <w:link w:val="TitleChar"/>
    <w:uiPriority w:val="99"/>
    <w:qFormat/>
    <w:rsid w:val="00A86A9A"/>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99"/>
    <w:locked/>
    <w:rsid w:val="00A86A9A"/>
    <w:rPr>
      <w:rFonts w:cs="Times New Roman"/>
      <w:smallCaps/>
      <w:sz w:val="48"/>
      <w:szCs w:val="48"/>
    </w:rPr>
  </w:style>
  <w:style w:type="paragraph" w:styleId="Caption">
    <w:name w:val="caption"/>
    <w:aliases w:val="Figure"/>
    <w:basedOn w:val="Normal"/>
    <w:next w:val="Normal"/>
    <w:autoRedefine/>
    <w:uiPriority w:val="99"/>
    <w:qFormat/>
    <w:rsid w:val="00BA7FA0"/>
    <w:pPr>
      <w:keepNext/>
      <w:numPr>
        <w:numId w:val="14"/>
      </w:numPr>
      <w:pBdr>
        <w:bottom w:val="single" w:sz="4" w:space="1" w:color="D99594"/>
      </w:pBdr>
      <w:tabs>
        <w:tab w:val="left" w:pos="993"/>
      </w:tabs>
      <w:spacing w:before="360" w:after="120" w:line="240" w:lineRule="auto"/>
      <w:ind w:left="993" w:hanging="993"/>
    </w:pPr>
    <w:rPr>
      <w:rFonts w:ascii="Cambria" w:hAnsi="Cambria"/>
      <w:bCs/>
      <w:i/>
      <w:sz w:val="18"/>
      <w:szCs w:val="18"/>
    </w:rPr>
  </w:style>
  <w:style w:type="paragraph" w:styleId="Subtitle">
    <w:name w:val="Subtitle"/>
    <w:basedOn w:val="Normal"/>
    <w:next w:val="Normal"/>
    <w:link w:val="SubtitleChar"/>
    <w:uiPriority w:val="99"/>
    <w:qFormat/>
    <w:rsid w:val="00A86A9A"/>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99"/>
    <w:locked/>
    <w:rsid w:val="00A86A9A"/>
    <w:rPr>
      <w:rFonts w:ascii="Cambria" w:hAnsi="Cambria" w:cs="Times New Roman"/>
      <w:sz w:val="22"/>
      <w:szCs w:val="22"/>
    </w:rPr>
  </w:style>
  <w:style w:type="character" w:styleId="Strong">
    <w:name w:val="Strong"/>
    <w:basedOn w:val="DefaultParagraphFont"/>
    <w:uiPriority w:val="99"/>
    <w:qFormat/>
    <w:rsid w:val="00A86A9A"/>
    <w:rPr>
      <w:rFonts w:cs="Times New Roman"/>
      <w:b/>
      <w:color w:val="C0504D"/>
    </w:rPr>
  </w:style>
  <w:style w:type="character" w:styleId="Emphasis">
    <w:name w:val="Emphasis"/>
    <w:basedOn w:val="DefaultParagraphFont"/>
    <w:uiPriority w:val="99"/>
    <w:qFormat/>
    <w:rsid w:val="00A86A9A"/>
    <w:rPr>
      <w:rFonts w:cs="Times New Roman"/>
      <w:b/>
      <w:i/>
      <w:spacing w:val="10"/>
    </w:rPr>
  </w:style>
  <w:style w:type="paragraph" w:styleId="NoSpacing">
    <w:name w:val="No Spacing"/>
    <w:basedOn w:val="Normal"/>
    <w:link w:val="NoSpacingChar"/>
    <w:uiPriority w:val="99"/>
    <w:qFormat/>
    <w:rsid w:val="007652FD"/>
    <w:pPr>
      <w:spacing w:after="0" w:line="240" w:lineRule="auto"/>
    </w:pPr>
  </w:style>
  <w:style w:type="character" w:customStyle="1" w:styleId="NoSpacingChar">
    <w:name w:val="No Spacing Char"/>
    <w:basedOn w:val="DefaultParagraphFont"/>
    <w:link w:val="NoSpacing"/>
    <w:uiPriority w:val="99"/>
    <w:locked/>
    <w:rsid w:val="007652FD"/>
    <w:rPr>
      <w:rFonts w:cs="Times New Roman"/>
      <w:sz w:val="22"/>
    </w:rPr>
  </w:style>
  <w:style w:type="paragraph" w:styleId="ListParagraph">
    <w:name w:val="List Paragraph"/>
    <w:basedOn w:val="Normal"/>
    <w:uiPriority w:val="99"/>
    <w:qFormat/>
    <w:rsid w:val="00A86A9A"/>
    <w:pPr>
      <w:ind w:left="720"/>
      <w:contextualSpacing/>
    </w:pPr>
  </w:style>
  <w:style w:type="paragraph" w:styleId="Quote">
    <w:name w:val="Quote"/>
    <w:basedOn w:val="Normal"/>
    <w:next w:val="Normal"/>
    <w:link w:val="QuoteChar"/>
    <w:uiPriority w:val="99"/>
    <w:qFormat/>
    <w:rsid w:val="00A86A9A"/>
    <w:rPr>
      <w:i/>
    </w:rPr>
  </w:style>
  <w:style w:type="character" w:customStyle="1" w:styleId="QuoteChar">
    <w:name w:val="Quote Char"/>
    <w:basedOn w:val="DefaultParagraphFont"/>
    <w:link w:val="Quote"/>
    <w:uiPriority w:val="99"/>
    <w:locked/>
    <w:rsid w:val="00A86A9A"/>
    <w:rPr>
      <w:rFonts w:cs="Times New Roman"/>
      <w:i/>
    </w:rPr>
  </w:style>
  <w:style w:type="paragraph" w:styleId="IntenseQuote">
    <w:name w:val="Intense Quote"/>
    <w:basedOn w:val="Normal"/>
    <w:next w:val="Normal"/>
    <w:link w:val="IntenseQuoteChar"/>
    <w:uiPriority w:val="99"/>
    <w:qFormat/>
    <w:rsid w:val="00A86A9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99"/>
    <w:locked/>
    <w:rsid w:val="00A86A9A"/>
    <w:rPr>
      <w:rFonts w:cs="Times New Roman"/>
      <w:b/>
      <w:i/>
      <w:color w:val="FFFFFF"/>
      <w:shd w:val="clear" w:color="auto" w:fill="C0504D"/>
    </w:rPr>
  </w:style>
  <w:style w:type="character" w:styleId="SubtleEmphasis">
    <w:name w:val="Subtle Emphasis"/>
    <w:basedOn w:val="DefaultParagraphFont"/>
    <w:uiPriority w:val="99"/>
    <w:qFormat/>
    <w:rsid w:val="00A86A9A"/>
    <w:rPr>
      <w:rFonts w:cs="Times New Roman"/>
      <w:i/>
    </w:rPr>
  </w:style>
  <w:style w:type="character" w:styleId="IntenseEmphasis">
    <w:name w:val="Intense Emphasis"/>
    <w:basedOn w:val="DefaultParagraphFont"/>
    <w:uiPriority w:val="99"/>
    <w:qFormat/>
    <w:rsid w:val="00A86A9A"/>
    <w:rPr>
      <w:rFonts w:cs="Times New Roman"/>
      <w:b/>
      <w:i/>
      <w:color w:val="C0504D"/>
      <w:spacing w:val="10"/>
    </w:rPr>
  </w:style>
  <w:style w:type="character" w:styleId="SubtleReference">
    <w:name w:val="Subtle Reference"/>
    <w:basedOn w:val="DefaultParagraphFont"/>
    <w:uiPriority w:val="99"/>
    <w:qFormat/>
    <w:rsid w:val="00A86A9A"/>
    <w:rPr>
      <w:rFonts w:cs="Times New Roman"/>
      <w:b/>
    </w:rPr>
  </w:style>
  <w:style w:type="character" w:styleId="IntenseReference">
    <w:name w:val="Intense Reference"/>
    <w:basedOn w:val="DefaultParagraphFont"/>
    <w:uiPriority w:val="99"/>
    <w:qFormat/>
    <w:rsid w:val="00A86A9A"/>
    <w:rPr>
      <w:rFonts w:cs="Times New Roman"/>
      <w:b/>
      <w:smallCaps/>
      <w:spacing w:val="5"/>
      <w:sz w:val="22"/>
      <w:u w:val="single"/>
    </w:rPr>
  </w:style>
  <w:style w:type="character" w:styleId="BookTitle">
    <w:name w:val="Book Title"/>
    <w:basedOn w:val="DefaultParagraphFont"/>
    <w:uiPriority w:val="99"/>
    <w:qFormat/>
    <w:rsid w:val="00A86A9A"/>
    <w:rPr>
      <w:rFonts w:ascii="Cambria" w:hAnsi="Cambria" w:cs="Times New Roman"/>
      <w:i/>
      <w:sz w:val="20"/>
    </w:rPr>
  </w:style>
  <w:style w:type="paragraph" w:styleId="TOCHeading">
    <w:name w:val="TOC Heading"/>
    <w:basedOn w:val="Heading1"/>
    <w:next w:val="Normal"/>
    <w:uiPriority w:val="39"/>
    <w:qFormat/>
    <w:rsid w:val="00A86A9A"/>
    <w:pPr>
      <w:outlineLvl w:val="9"/>
    </w:pPr>
  </w:style>
  <w:style w:type="paragraph" w:styleId="FootnoteText">
    <w:name w:val="footnote text"/>
    <w:aliases w:val="Footnote Text Char Char,Footnote Text Char Char Char Char,Footnote Text Char Char Char Char Char Char Char Char,Footnote Text Char Char Char Char Char Char Char,Footnote Text Char Char Char Char Char Char Char Char Char"/>
    <w:basedOn w:val="Normal"/>
    <w:link w:val="FootnoteTextChar"/>
    <w:uiPriority w:val="99"/>
    <w:semiHidden/>
    <w:rsid w:val="002E0C43"/>
    <w:pPr>
      <w:spacing w:after="0" w:line="240" w:lineRule="auto"/>
      <w:jc w:val="left"/>
    </w:pPr>
    <w:rPr>
      <w:rFonts w:ascii="Times New Roman" w:hAnsi="Times New Roman"/>
      <w:lang w:val="en-AU" w:eastAsia="en-AU"/>
    </w:rPr>
  </w:style>
  <w:style w:type="character" w:customStyle="1" w:styleId="FootnoteTextChar">
    <w:name w:val="Footnote Text Char"/>
    <w:aliases w:val="Footnote Text Char Char Char,Footnote Text Char Char Char Char Char,Footnote Text Char Char Char Char Char Char Char Char Char1,Footnote Text Char Char Char Char Char Char Char Char1"/>
    <w:basedOn w:val="DefaultParagraphFont"/>
    <w:link w:val="FootnoteText"/>
    <w:uiPriority w:val="99"/>
    <w:locked/>
    <w:rsid w:val="002E0C43"/>
    <w:rPr>
      <w:rFonts w:ascii="Times New Roman" w:hAnsi="Times New Roman" w:cs="Times New Roman"/>
      <w:lang w:val="en-AU" w:eastAsia="en-AU" w:bidi="ar-SA"/>
    </w:rPr>
  </w:style>
  <w:style w:type="character" w:styleId="FootnoteReference">
    <w:name w:val="footnote reference"/>
    <w:basedOn w:val="DefaultParagraphFont"/>
    <w:uiPriority w:val="99"/>
    <w:semiHidden/>
    <w:rsid w:val="002E0C43"/>
    <w:rPr>
      <w:rFonts w:cs="Times New Roman"/>
      <w:vertAlign w:val="superscript"/>
    </w:rPr>
  </w:style>
  <w:style w:type="paragraph" w:styleId="BalloonText">
    <w:name w:val="Balloon Text"/>
    <w:basedOn w:val="Normal"/>
    <w:link w:val="BalloonTextChar"/>
    <w:uiPriority w:val="99"/>
    <w:semiHidden/>
    <w:rsid w:val="00D8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2BF9"/>
    <w:rPr>
      <w:rFonts w:ascii="Tahoma" w:hAnsi="Tahoma" w:cs="Tahoma"/>
      <w:sz w:val="16"/>
      <w:szCs w:val="16"/>
    </w:rPr>
  </w:style>
  <w:style w:type="paragraph" w:styleId="Header">
    <w:name w:val="header"/>
    <w:basedOn w:val="Normal"/>
    <w:link w:val="HeaderChar"/>
    <w:uiPriority w:val="99"/>
    <w:rsid w:val="001E60C3"/>
    <w:pPr>
      <w:tabs>
        <w:tab w:val="center" w:pos="4153"/>
        <w:tab w:val="right" w:pos="8306"/>
      </w:tabs>
      <w:spacing w:after="0" w:line="240" w:lineRule="auto"/>
      <w:jc w:val="left"/>
    </w:pPr>
    <w:rPr>
      <w:rFonts w:ascii="Times New Roman" w:hAnsi="Times New Roman"/>
      <w:sz w:val="24"/>
      <w:szCs w:val="24"/>
      <w:lang w:val="en-AU" w:eastAsia="en-AU"/>
    </w:rPr>
  </w:style>
  <w:style w:type="character" w:customStyle="1" w:styleId="HeaderChar">
    <w:name w:val="Header Char"/>
    <w:basedOn w:val="DefaultParagraphFont"/>
    <w:link w:val="Header"/>
    <w:uiPriority w:val="99"/>
    <w:locked/>
    <w:rsid w:val="001E60C3"/>
    <w:rPr>
      <w:rFonts w:ascii="Times New Roman" w:hAnsi="Times New Roman" w:cs="Times New Roman"/>
      <w:sz w:val="24"/>
      <w:szCs w:val="24"/>
      <w:lang w:val="en-AU" w:eastAsia="en-AU" w:bidi="ar-SA"/>
    </w:rPr>
  </w:style>
  <w:style w:type="paragraph" w:styleId="BodyText">
    <w:name w:val="Body Text"/>
    <w:basedOn w:val="Normal"/>
    <w:link w:val="BodyTextChar"/>
    <w:uiPriority w:val="99"/>
    <w:rsid w:val="00987BCD"/>
    <w:pPr>
      <w:spacing w:after="120" w:line="240" w:lineRule="auto"/>
      <w:jc w:val="left"/>
    </w:pPr>
    <w:rPr>
      <w:rFonts w:ascii="Arial" w:hAnsi="Arial"/>
      <w:sz w:val="24"/>
      <w:szCs w:val="24"/>
    </w:rPr>
  </w:style>
  <w:style w:type="character" w:customStyle="1" w:styleId="BodyTextChar">
    <w:name w:val="Body Text Char"/>
    <w:basedOn w:val="DefaultParagraphFont"/>
    <w:link w:val="BodyText"/>
    <w:uiPriority w:val="99"/>
    <w:locked/>
    <w:rsid w:val="00987BCD"/>
    <w:rPr>
      <w:rFonts w:ascii="Arial" w:hAnsi="Arial" w:cs="Times New Roman"/>
      <w:sz w:val="24"/>
      <w:szCs w:val="24"/>
      <w:lang w:bidi="ar-SA"/>
    </w:rPr>
  </w:style>
  <w:style w:type="paragraph" w:styleId="Footer">
    <w:name w:val="footer"/>
    <w:basedOn w:val="Normal"/>
    <w:link w:val="FooterChar"/>
    <w:rsid w:val="008B1F47"/>
    <w:pPr>
      <w:tabs>
        <w:tab w:val="center" w:pos="4680"/>
        <w:tab w:val="right" w:pos="9360"/>
      </w:tabs>
      <w:spacing w:after="0" w:line="240" w:lineRule="auto"/>
    </w:pPr>
    <w:rPr>
      <w:sz w:val="18"/>
    </w:rPr>
  </w:style>
  <w:style w:type="character" w:customStyle="1" w:styleId="FooterChar">
    <w:name w:val="Footer Char"/>
    <w:basedOn w:val="DefaultParagraphFont"/>
    <w:link w:val="Footer"/>
    <w:locked/>
    <w:rsid w:val="008B1F47"/>
    <w:rPr>
      <w:sz w:val="18"/>
    </w:rPr>
  </w:style>
  <w:style w:type="table" w:styleId="TableGrid">
    <w:name w:val="Table Grid"/>
    <w:basedOn w:val="TableNormal"/>
    <w:uiPriority w:val="99"/>
    <w:rsid w:val="005B7B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12F11"/>
    <w:pPr>
      <w:spacing w:before="100" w:beforeAutospacing="1" w:after="100" w:afterAutospacing="1" w:line="240" w:lineRule="auto"/>
      <w:jc w:val="left"/>
    </w:pPr>
    <w:rPr>
      <w:rFonts w:ascii="Times New Roman" w:hAnsi="Times New Roman"/>
      <w:sz w:val="24"/>
      <w:szCs w:val="24"/>
    </w:rPr>
  </w:style>
  <w:style w:type="paragraph" w:styleId="TOC1">
    <w:name w:val="toc 1"/>
    <w:basedOn w:val="Normal"/>
    <w:next w:val="Normal"/>
    <w:autoRedefine/>
    <w:uiPriority w:val="39"/>
    <w:qFormat/>
    <w:rsid w:val="00A64717"/>
    <w:pPr>
      <w:tabs>
        <w:tab w:val="left" w:pos="450"/>
        <w:tab w:val="right" w:leader="dot" w:pos="9017"/>
      </w:tabs>
      <w:spacing w:before="120" w:after="120"/>
      <w:jc w:val="left"/>
    </w:pPr>
    <w:rPr>
      <w:b/>
      <w:bCs/>
      <w:caps/>
      <w:sz w:val="20"/>
    </w:rPr>
  </w:style>
  <w:style w:type="paragraph" w:styleId="TOC2">
    <w:name w:val="toc 2"/>
    <w:basedOn w:val="Normal"/>
    <w:next w:val="Normal"/>
    <w:autoRedefine/>
    <w:uiPriority w:val="39"/>
    <w:qFormat/>
    <w:rsid w:val="00CB699C"/>
    <w:pPr>
      <w:spacing w:after="0"/>
      <w:ind w:left="220"/>
      <w:jc w:val="left"/>
    </w:pPr>
    <w:rPr>
      <w:smallCaps/>
      <w:sz w:val="20"/>
    </w:rPr>
  </w:style>
  <w:style w:type="character" w:styleId="Hyperlink">
    <w:name w:val="Hyperlink"/>
    <w:basedOn w:val="DefaultParagraphFont"/>
    <w:uiPriority w:val="99"/>
    <w:rsid w:val="0010721C"/>
    <w:rPr>
      <w:rFonts w:cs="Times New Roman"/>
      <w:color w:val="0000FF"/>
      <w:u w:val="single"/>
    </w:rPr>
  </w:style>
  <w:style w:type="paragraph" w:styleId="TOC3">
    <w:name w:val="toc 3"/>
    <w:basedOn w:val="Normal"/>
    <w:next w:val="Normal"/>
    <w:autoRedefine/>
    <w:uiPriority w:val="39"/>
    <w:qFormat/>
    <w:rsid w:val="00E87B9E"/>
    <w:pPr>
      <w:spacing w:after="0"/>
      <w:ind w:left="440"/>
      <w:jc w:val="left"/>
    </w:pPr>
    <w:rPr>
      <w:i/>
      <w:iCs/>
      <w:sz w:val="20"/>
    </w:rPr>
  </w:style>
  <w:style w:type="paragraph" w:customStyle="1" w:styleId="FrontPageHeading2">
    <w:name w:val="Front Page Heading 2"/>
    <w:basedOn w:val="Normal"/>
    <w:uiPriority w:val="99"/>
    <w:rsid w:val="007652FD"/>
    <w:pPr>
      <w:tabs>
        <w:tab w:val="left" w:pos="900"/>
        <w:tab w:val="left" w:pos="7560"/>
      </w:tabs>
      <w:spacing w:before="120" w:after="120" w:line="240" w:lineRule="auto"/>
      <w:jc w:val="center"/>
      <w:outlineLvl w:val="0"/>
    </w:pPr>
    <w:rPr>
      <w:rFonts w:ascii="Arial Bold" w:hAnsi="Arial Bold" w:cs="Arial"/>
      <w:b/>
      <w:bCs/>
      <w:color w:val="000000"/>
      <w:kern w:val="28"/>
      <w:sz w:val="36"/>
      <w:szCs w:val="36"/>
    </w:rPr>
  </w:style>
  <w:style w:type="paragraph" w:customStyle="1" w:styleId="TableText">
    <w:name w:val="Table Text"/>
    <w:basedOn w:val="Normal"/>
    <w:link w:val="TableTextChar"/>
    <w:uiPriority w:val="99"/>
    <w:rsid w:val="007652FD"/>
    <w:pPr>
      <w:autoSpaceDE w:val="0"/>
      <w:autoSpaceDN w:val="0"/>
      <w:adjustRightInd w:val="0"/>
      <w:spacing w:after="0" w:line="240" w:lineRule="auto"/>
      <w:jc w:val="right"/>
    </w:pPr>
    <w:rPr>
      <w:rFonts w:cs="Calibri"/>
      <w:color w:val="000000"/>
      <w:sz w:val="18"/>
      <w:szCs w:val="22"/>
      <w:lang w:val="en-AU"/>
    </w:rPr>
  </w:style>
  <w:style w:type="character" w:customStyle="1" w:styleId="TableTextChar">
    <w:name w:val="Table Text Char"/>
    <w:basedOn w:val="DefaultParagraphFont"/>
    <w:link w:val="TableText"/>
    <w:uiPriority w:val="99"/>
    <w:locked/>
    <w:rsid w:val="007652FD"/>
    <w:rPr>
      <w:rFonts w:cs="Calibri"/>
      <w:color w:val="000000"/>
      <w:sz w:val="22"/>
      <w:szCs w:val="22"/>
      <w:lang w:val="en-AU"/>
    </w:rPr>
  </w:style>
  <w:style w:type="table" w:styleId="ColorfulList-Accent2">
    <w:name w:val="Colorful List Accent 2"/>
    <w:basedOn w:val="TableNormal"/>
    <w:uiPriority w:val="99"/>
    <w:rsid w:val="00316E7A"/>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paragraph" w:customStyle="1" w:styleId="Listbullet">
    <w:name w:val="List bullet'"/>
    <w:basedOn w:val="NoSpacing"/>
    <w:uiPriority w:val="99"/>
    <w:rsid w:val="00B14B38"/>
    <w:pPr>
      <w:numPr>
        <w:numId w:val="1"/>
      </w:numPr>
    </w:pPr>
  </w:style>
  <w:style w:type="paragraph" w:styleId="ListBullet0">
    <w:name w:val="List Bullet"/>
    <w:basedOn w:val="Normal"/>
    <w:uiPriority w:val="99"/>
    <w:rsid w:val="00B14B38"/>
    <w:pPr>
      <w:ind w:left="360" w:hanging="360"/>
    </w:pPr>
  </w:style>
  <w:style w:type="paragraph" w:styleId="TOC4">
    <w:name w:val="toc 4"/>
    <w:basedOn w:val="Normal"/>
    <w:next w:val="Normal"/>
    <w:autoRedefine/>
    <w:uiPriority w:val="99"/>
    <w:rsid w:val="007C7E5D"/>
    <w:pPr>
      <w:spacing w:after="0"/>
      <w:ind w:left="660"/>
      <w:jc w:val="left"/>
    </w:pPr>
    <w:rPr>
      <w:sz w:val="18"/>
      <w:szCs w:val="18"/>
    </w:rPr>
  </w:style>
  <w:style w:type="paragraph" w:styleId="TOC5">
    <w:name w:val="toc 5"/>
    <w:basedOn w:val="Normal"/>
    <w:next w:val="Normal"/>
    <w:autoRedefine/>
    <w:uiPriority w:val="99"/>
    <w:rsid w:val="007C7E5D"/>
    <w:pPr>
      <w:spacing w:after="0"/>
      <w:ind w:left="880"/>
      <w:jc w:val="left"/>
    </w:pPr>
    <w:rPr>
      <w:sz w:val="18"/>
      <w:szCs w:val="18"/>
    </w:rPr>
  </w:style>
  <w:style w:type="paragraph" w:styleId="TOC6">
    <w:name w:val="toc 6"/>
    <w:basedOn w:val="Normal"/>
    <w:next w:val="Normal"/>
    <w:autoRedefine/>
    <w:uiPriority w:val="99"/>
    <w:rsid w:val="007C7E5D"/>
    <w:pPr>
      <w:spacing w:after="0"/>
      <w:ind w:left="1100"/>
      <w:jc w:val="left"/>
    </w:pPr>
    <w:rPr>
      <w:sz w:val="18"/>
      <w:szCs w:val="18"/>
    </w:rPr>
  </w:style>
  <w:style w:type="paragraph" w:styleId="TOC7">
    <w:name w:val="toc 7"/>
    <w:basedOn w:val="Normal"/>
    <w:next w:val="Normal"/>
    <w:autoRedefine/>
    <w:uiPriority w:val="99"/>
    <w:rsid w:val="007C7E5D"/>
    <w:pPr>
      <w:spacing w:after="0"/>
      <w:ind w:left="1320"/>
      <w:jc w:val="left"/>
    </w:pPr>
    <w:rPr>
      <w:sz w:val="18"/>
      <w:szCs w:val="18"/>
    </w:rPr>
  </w:style>
  <w:style w:type="paragraph" w:styleId="TOC8">
    <w:name w:val="toc 8"/>
    <w:basedOn w:val="Normal"/>
    <w:next w:val="Normal"/>
    <w:autoRedefine/>
    <w:uiPriority w:val="99"/>
    <w:rsid w:val="007C7E5D"/>
    <w:pPr>
      <w:spacing w:after="0"/>
      <w:ind w:left="1540"/>
      <w:jc w:val="left"/>
    </w:pPr>
    <w:rPr>
      <w:sz w:val="18"/>
      <w:szCs w:val="18"/>
    </w:rPr>
  </w:style>
  <w:style w:type="paragraph" w:styleId="TOC9">
    <w:name w:val="toc 9"/>
    <w:basedOn w:val="Normal"/>
    <w:next w:val="Normal"/>
    <w:autoRedefine/>
    <w:uiPriority w:val="99"/>
    <w:rsid w:val="007C7E5D"/>
    <w:pPr>
      <w:spacing w:after="0"/>
      <w:ind w:left="1760"/>
      <w:jc w:val="left"/>
    </w:pPr>
    <w:rPr>
      <w:sz w:val="18"/>
      <w:szCs w:val="18"/>
    </w:rPr>
  </w:style>
  <w:style w:type="table" w:styleId="TableSimple1">
    <w:name w:val="Table Simple 1"/>
    <w:basedOn w:val="TableNormal"/>
    <w:uiPriority w:val="99"/>
    <w:rsid w:val="00193E45"/>
    <w:rPr>
      <w:rFonts w:ascii="Arial Narrow" w:eastAsia="MS Mincho" w:hAnsi="Arial Narrow"/>
      <w:sz w:val="18"/>
      <w:szCs w:val="18"/>
    </w:rPr>
    <w:tblPr>
      <w:tblBorders>
        <w:top w:val="single" w:sz="12" w:space="0" w:color="990000"/>
        <w:bottom w:val="single" w:sz="12" w:space="0" w:color="990000"/>
        <w:insideH w:val="single" w:sz="12" w:space="0" w:color="990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ectionNumber">
    <w:name w:val="Section Number"/>
    <w:basedOn w:val="Normal"/>
    <w:autoRedefine/>
    <w:uiPriority w:val="99"/>
    <w:rsid w:val="00193E45"/>
    <w:pPr>
      <w:numPr>
        <w:numId w:val="3"/>
      </w:numPr>
      <w:shd w:val="clear" w:color="auto" w:fill="800080"/>
      <w:spacing w:after="0" w:line="240" w:lineRule="auto"/>
    </w:pPr>
    <w:rPr>
      <w:rFonts w:ascii="Verdana" w:hAnsi="Verdana"/>
      <w:szCs w:val="22"/>
    </w:rPr>
  </w:style>
  <w:style w:type="paragraph" w:customStyle="1" w:styleId="Bodytextnumbered">
    <w:name w:val="Body text numbered"/>
    <w:basedOn w:val="BodyText"/>
    <w:autoRedefine/>
    <w:uiPriority w:val="99"/>
    <w:rsid w:val="00193E45"/>
    <w:pPr>
      <w:numPr>
        <w:numId w:val="4"/>
      </w:numPr>
      <w:tabs>
        <w:tab w:val="clear" w:pos="720"/>
        <w:tab w:val="num" w:pos="500"/>
      </w:tabs>
      <w:ind w:left="500" w:hanging="500"/>
    </w:pPr>
    <w:rPr>
      <w:sz w:val="21"/>
      <w:szCs w:val="22"/>
    </w:rPr>
  </w:style>
  <w:style w:type="paragraph" w:customStyle="1" w:styleId="Tablefont">
    <w:name w:val="Table font"/>
    <w:basedOn w:val="Normal"/>
    <w:link w:val="TablefontChar"/>
    <w:autoRedefine/>
    <w:uiPriority w:val="99"/>
    <w:rsid w:val="00193E45"/>
    <w:pPr>
      <w:spacing w:after="120" w:line="240" w:lineRule="auto"/>
      <w:jc w:val="left"/>
    </w:pPr>
    <w:rPr>
      <w:rFonts w:ascii="Arial Narrow" w:hAnsi="Arial Narrow" w:cs="Arial Narrow"/>
      <w:sz w:val="20"/>
      <w:szCs w:val="24"/>
    </w:rPr>
  </w:style>
  <w:style w:type="paragraph" w:customStyle="1" w:styleId="List1">
    <w:name w:val="List 1"/>
    <w:basedOn w:val="Normal"/>
    <w:uiPriority w:val="99"/>
    <w:rsid w:val="00193E45"/>
    <w:pPr>
      <w:numPr>
        <w:numId w:val="5"/>
      </w:numPr>
      <w:spacing w:after="120" w:line="240" w:lineRule="auto"/>
    </w:pPr>
    <w:rPr>
      <w:rFonts w:ascii="Arial" w:hAnsi="Arial"/>
      <w:szCs w:val="24"/>
    </w:rPr>
  </w:style>
  <w:style w:type="paragraph" w:customStyle="1" w:styleId="CONLevel1">
    <w:name w:val=".CON  Level   1."/>
    <w:basedOn w:val="Normal"/>
    <w:next w:val="Normal"/>
    <w:uiPriority w:val="99"/>
    <w:rsid w:val="00193E45"/>
    <w:pPr>
      <w:keepNext/>
      <w:numPr>
        <w:numId w:val="6"/>
      </w:numPr>
      <w:spacing w:before="240" w:after="0" w:line="240" w:lineRule="auto"/>
      <w:jc w:val="left"/>
      <w:outlineLvl w:val="1"/>
    </w:pPr>
    <w:rPr>
      <w:rFonts w:ascii="Times New Roman" w:hAnsi="Times New Roman"/>
      <w:b/>
      <w:smallCaps/>
      <w:sz w:val="24"/>
      <w:szCs w:val="24"/>
      <w:lang w:val="en-AU"/>
    </w:rPr>
  </w:style>
  <w:style w:type="paragraph" w:customStyle="1" w:styleId="CONLevel11Char">
    <w:name w:val=".CON  Level   1.1 Char"/>
    <w:basedOn w:val="Normal"/>
    <w:next w:val="Normal"/>
    <w:link w:val="CONLevel11CharChar"/>
    <w:uiPriority w:val="99"/>
    <w:rsid w:val="00193E45"/>
    <w:pPr>
      <w:numPr>
        <w:ilvl w:val="1"/>
        <w:numId w:val="6"/>
      </w:numPr>
      <w:spacing w:before="240" w:after="0" w:line="240" w:lineRule="auto"/>
      <w:jc w:val="left"/>
      <w:outlineLvl w:val="2"/>
    </w:pPr>
    <w:rPr>
      <w:rFonts w:ascii="Times New Roman" w:hAnsi="Times New Roman"/>
      <w:sz w:val="24"/>
      <w:szCs w:val="22"/>
      <w:lang w:val="en-AU"/>
    </w:rPr>
  </w:style>
  <w:style w:type="paragraph" w:customStyle="1" w:styleId="CONLevelaChar">
    <w:name w:val=".CON  Level  (a) Char"/>
    <w:basedOn w:val="Normal"/>
    <w:next w:val="Normal"/>
    <w:link w:val="CONLevelaCharChar"/>
    <w:uiPriority w:val="99"/>
    <w:rsid w:val="00193E45"/>
    <w:pPr>
      <w:numPr>
        <w:ilvl w:val="2"/>
        <w:numId w:val="6"/>
      </w:numPr>
      <w:spacing w:before="240" w:after="0" w:line="240" w:lineRule="auto"/>
      <w:jc w:val="left"/>
      <w:outlineLvl w:val="3"/>
    </w:pPr>
    <w:rPr>
      <w:rFonts w:ascii="Times New Roman" w:hAnsi="Times New Roman"/>
      <w:sz w:val="24"/>
      <w:szCs w:val="22"/>
      <w:lang w:val="en-AU"/>
    </w:rPr>
  </w:style>
  <w:style w:type="paragraph" w:customStyle="1" w:styleId="CONLeveli">
    <w:name w:val=".CON  Level  (i)"/>
    <w:basedOn w:val="Normal"/>
    <w:next w:val="Normal"/>
    <w:uiPriority w:val="99"/>
    <w:rsid w:val="00193E45"/>
    <w:pPr>
      <w:numPr>
        <w:ilvl w:val="3"/>
        <w:numId w:val="6"/>
      </w:numPr>
      <w:spacing w:before="240" w:after="0" w:line="240" w:lineRule="auto"/>
      <w:jc w:val="left"/>
      <w:outlineLvl w:val="4"/>
    </w:pPr>
    <w:rPr>
      <w:rFonts w:ascii="Times New Roman" w:hAnsi="Times New Roman"/>
      <w:sz w:val="24"/>
      <w:szCs w:val="22"/>
      <w:lang w:val="en-AU"/>
    </w:rPr>
  </w:style>
  <w:style w:type="paragraph" w:customStyle="1" w:styleId="CONLevelA">
    <w:name w:val=".CON  Level (A)"/>
    <w:basedOn w:val="Normal"/>
    <w:next w:val="Normal"/>
    <w:uiPriority w:val="99"/>
    <w:rsid w:val="00193E45"/>
    <w:pPr>
      <w:numPr>
        <w:ilvl w:val="4"/>
        <w:numId w:val="6"/>
      </w:numPr>
      <w:spacing w:before="240" w:after="0" w:line="240" w:lineRule="auto"/>
      <w:jc w:val="left"/>
      <w:outlineLvl w:val="5"/>
    </w:pPr>
    <w:rPr>
      <w:rFonts w:ascii="Times New Roman" w:hAnsi="Times New Roman"/>
      <w:sz w:val="24"/>
      <w:szCs w:val="22"/>
      <w:lang w:val="en-AU"/>
    </w:rPr>
  </w:style>
  <w:style w:type="paragraph" w:customStyle="1" w:styleId="CONLevelI0">
    <w:name w:val=".CON  Level (I)"/>
    <w:basedOn w:val="Normal"/>
    <w:next w:val="Normal"/>
    <w:uiPriority w:val="99"/>
    <w:rsid w:val="00193E45"/>
    <w:pPr>
      <w:numPr>
        <w:ilvl w:val="5"/>
        <w:numId w:val="6"/>
      </w:numPr>
      <w:spacing w:before="240" w:after="0" w:line="240" w:lineRule="auto"/>
      <w:jc w:val="left"/>
      <w:outlineLvl w:val="6"/>
    </w:pPr>
    <w:rPr>
      <w:rFonts w:ascii="Times New Roman" w:hAnsi="Times New Roman"/>
      <w:sz w:val="24"/>
      <w:szCs w:val="22"/>
      <w:lang w:val="en-AU"/>
    </w:rPr>
  </w:style>
  <w:style w:type="character" w:customStyle="1" w:styleId="CONLevel11CharChar">
    <w:name w:val=".CON  Level   1.1 Char Char"/>
    <w:basedOn w:val="DefaultParagraphFont"/>
    <w:link w:val="CONLevel11Char"/>
    <w:uiPriority w:val="99"/>
    <w:locked/>
    <w:rsid w:val="00193E45"/>
    <w:rPr>
      <w:rFonts w:ascii="Times New Roman" w:hAnsi="Times New Roman"/>
      <w:sz w:val="24"/>
      <w:szCs w:val="22"/>
      <w:lang w:eastAsia="en-US"/>
    </w:rPr>
  </w:style>
  <w:style w:type="character" w:customStyle="1" w:styleId="CONLevelaCharChar">
    <w:name w:val=".CON  Level  (a) Char Char"/>
    <w:basedOn w:val="DefaultParagraphFont"/>
    <w:link w:val="CONLevelaChar"/>
    <w:uiPriority w:val="99"/>
    <w:locked/>
    <w:rsid w:val="00193E45"/>
    <w:rPr>
      <w:rFonts w:ascii="Times New Roman" w:hAnsi="Times New Roman"/>
      <w:sz w:val="24"/>
      <w:szCs w:val="22"/>
      <w:lang w:eastAsia="en-US"/>
    </w:rPr>
  </w:style>
  <w:style w:type="character" w:styleId="PageNumber">
    <w:name w:val="page number"/>
    <w:basedOn w:val="DefaultParagraphFont"/>
    <w:uiPriority w:val="99"/>
    <w:rsid w:val="00193E45"/>
    <w:rPr>
      <w:rFonts w:cs="Times New Roman"/>
    </w:rPr>
  </w:style>
  <w:style w:type="paragraph" w:styleId="EndnoteText">
    <w:name w:val="endnote text"/>
    <w:basedOn w:val="Normal"/>
    <w:link w:val="EndnoteTextChar"/>
    <w:uiPriority w:val="99"/>
    <w:semiHidden/>
    <w:rsid w:val="00193E45"/>
    <w:pPr>
      <w:spacing w:after="0" w:line="240" w:lineRule="auto"/>
      <w:jc w:val="left"/>
    </w:pPr>
    <w:rPr>
      <w:rFonts w:ascii="Times New Roman" w:hAnsi="Times New Roman"/>
      <w:sz w:val="20"/>
    </w:rPr>
  </w:style>
  <w:style w:type="character" w:customStyle="1" w:styleId="EndnoteTextChar">
    <w:name w:val="Endnote Text Char"/>
    <w:basedOn w:val="DefaultParagraphFont"/>
    <w:link w:val="EndnoteText"/>
    <w:uiPriority w:val="99"/>
    <w:semiHidden/>
    <w:locked/>
    <w:rsid w:val="00193E45"/>
    <w:rPr>
      <w:rFonts w:ascii="Times New Roman" w:hAnsi="Times New Roman" w:cs="Times New Roman"/>
    </w:rPr>
  </w:style>
  <w:style w:type="paragraph" w:customStyle="1" w:styleId="CaptionT">
    <w:name w:val="Caption T"/>
    <w:basedOn w:val="BodyText"/>
    <w:link w:val="CaptionTChar"/>
    <w:autoRedefine/>
    <w:uiPriority w:val="99"/>
    <w:rsid w:val="00CF70E6"/>
    <w:pPr>
      <w:numPr>
        <w:numId w:val="11"/>
      </w:numPr>
      <w:tabs>
        <w:tab w:val="num" w:pos="0"/>
        <w:tab w:val="left" w:pos="500"/>
        <w:tab w:val="left" w:pos="1200"/>
      </w:tabs>
      <w:ind w:left="0" w:firstLine="0"/>
    </w:pPr>
    <w:rPr>
      <w:rFonts w:ascii="Cambria" w:hAnsi="Cambria"/>
      <w:i/>
      <w:sz w:val="18"/>
      <w:szCs w:val="18"/>
    </w:rPr>
  </w:style>
  <w:style w:type="paragraph" w:customStyle="1" w:styleId="CaptionF">
    <w:name w:val="Caption F"/>
    <w:basedOn w:val="CaptionT"/>
    <w:next w:val="BodyText"/>
    <w:autoRedefine/>
    <w:uiPriority w:val="99"/>
    <w:rsid w:val="00193E45"/>
    <w:pPr>
      <w:numPr>
        <w:numId w:val="7"/>
      </w:numPr>
      <w:tabs>
        <w:tab w:val="clear" w:pos="360"/>
        <w:tab w:val="num" w:pos="720"/>
        <w:tab w:val="num" w:pos="786"/>
      </w:tabs>
      <w:ind w:left="720" w:hanging="720"/>
    </w:pPr>
    <w:rPr>
      <w:sz w:val="20"/>
      <w:szCs w:val="20"/>
    </w:rPr>
  </w:style>
  <w:style w:type="paragraph" w:customStyle="1" w:styleId="KPI">
    <w:name w:val="KPI"/>
    <w:basedOn w:val="Heading3"/>
    <w:next w:val="BodyText"/>
    <w:link w:val="KPIChar"/>
    <w:autoRedefine/>
    <w:uiPriority w:val="99"/>
    <w:rsid w:val="00193E45"/>
    <w:pPr>
      <w:keepNext/>
      <w:tabs>
        <w:tab w:val="num" w:pos="200"/>
      </w:tabs>
      <w:spacing w:after="60" w:line="240" w:lineRule="auto"/>
      <w:ind w:left="632" w:hanging="432"/>
      <w:jc w:val="both"/>
    </w:pPr>
    <w:rPr>
      <w:rFonts w:ascii="Arial" w:hAnsi="Arial" w:cs="Arial"/>
      <w:bCs/>
      <w:i w:val="0"/>
      <w:color w:val="auto"/>
      <w:spacing w:val="0"/>
      <w:szCs w:val="26"/>
    </w:rPr>
  </w:style>
  <w:style w:type="paragraph" w:customStyle="1" w:styleId="StyleHeading2Centered">
    <w:name w:val="Style Heading 2 + Centered"/>
    <w:basedOn w:val="Normal"/>
    <w:uiPriority w:val="99"/>
    <w:rsid w:val="00193E45"/>
    <w:pPr>
      <w:numPr>
        <w:ilvl w:val="1"/>
        <w:numId w:val="7"/>
      </w:numPr>
      <w:spacing w:after="0" w:line="240" w:lineRule="auto"/>
    </w:pPr>
    <w:rPr>
      <w:rFonts w:ascii="Arial" w:hAnsi="Arial"/>
      <w:szCs w:val="22"/>
    </w:rPr>
  </w:style>
  <w:style w:type="paragraph" w:customStyle="1" w:styleId="CaptionA">
    <w:name w:val="Caption A"/>
    <w:basedOn w:val="BodyText"/>
    <w:next w:val="BodyText"/>
    <w:autoRedefine/>
    <w:uiPriority w:val="99"/>
    <w:rsid w:val="00193E45"/>
    <w:pPr>
      <w:numPr>
        <w:numId w:val="8"/>
      </w:numPr>
      <w:tabs>
        <w:tab w:val="left" w:pos="500"/>
      </w:tabs>
    </w:pPr>
    <w:rPr>
      <w:sz w:val="21"/>
      <w:szCs w:val="22"/>
    </w:rPr>
  </w:style>
  <w:style w:type="paragraph" w:customStyle="1" w:styleId="SPI">
    <w:name w:val="SPI"/>
    <w:basedOn w:val="BodyText"/>
    <w:next w:val="BodyText"/>
    <w:autoRedefine/>
    <w:uiPriority w:val="99"/>
    <w:rsid w:val="00193E45"/>
    <w:pPr>
      <w:numPr>
        <w:numId w:val="10"/>
      </w:numPr>
      <w:tabs>
        <w:tab w:val="left" w:pos="0"/>
        <w:tab w:val="left" w:pos="500"/>
        <w:tab w:val="left" w:pos="1000"/>
      </w:tabs>
      <w:ind w:hanging="1301"/>
    </w:pPr>
    <w:rPr>
      <w:b/>
      <w:sz w:val="21"/>
      <w:szCs w:val="22"/>
    </w:rPr>
  </w:style>
  <w:style w:type="character" w:customStyle="1" w:styleId="TablefontChar">
    <w:name w:val="Table font Char"/>
    <w:basedOn w:val="DefaultParagraphFont"/>
    <w:link w:val="Tablefont"/>
    <w:uiPriority w:val="99"/>
    <w:locked/>
    <w:rsid w:val="00193E45"/>
    <w:rPr>
      <w:rFonts w:ascii="Arial Narrow" w:hAnsi="Arial Narrow" w:cs="Arial Narrow"/>
      <w:sz w:val="24"/>
      <w:szCs w:val="24"/>
    </w:rPr>
  </w:style>
  <w:style w:type="character" w:customStyle="1" w:styleId="CaptionTChar">
    <w:name w:val="Caption T Char"/>
    <w:basedOn w:val="BodyTextChar"/>
    <w:link w:val="CaptionT"/>
    <w:uiPriority w:val="99"/>
    <w:locked/>
    <w:rsid w:val="00CF70E6"/>
    <w:rPr>
      <w:rFonts w:ascii="Cambria" w:hAnsi="Cambria" w:cs="Times New Roman"/>
      <w:i/>
      <w:sz w:val="18"/>
      <w:szCs w:val="18"/>
      <w:lang w:val="en-US" w:eastAsia="en-US" w:bidi="ar-SA"/>
    </w:rPr>
  </w:style>
  <w:style w:type="character" w:customStyle="1" w:styleId="KPIChar">
    <w:name w:val="KPI Char"/>
    <w:basedOn w:val="Heading3Char"/>
    <w:link w:val="KPI"/>
    <w:uiPriority w:val="99"/>
    <w:locked/>
    <w:rsid w:val="00193E45"/>
    <w:rPr>
      <w:rFonts w:ascii="Arial" w:hAnsi="Arial" w:cs="Arial"/>
      <w:b/>
      <w:bCs/>
      <w:i/>
      <w:color w:val="9D3333"/>
      <w:spacing w:val="5"/>
      <w:sz w:val="26"/>
      <w:szCs w:val="26"/>
      <w:lang w:val="en-US" w:eastAsia="en-US"/>
    </w:rPr>
  </w:style>
  <w:style w:type="paragraph" w:customStyle="1" w:styleId="Title1">
    <w:name w:val="Title 1"/>
    <w:basedOn w:val="Heading1"/>
    <w:link w:val="Title1Char"/>
    <w:autoRedefine/>
    <w:uiPriority w:val="99"/>
    <w:rsid w:val="00193E45"/>
    <w:pPr>
      <w:keepNext/>
      <w:numPr>
        <w:numId w:val="0"/>
      </w:numPr>
      <w:pBdr>
        <w:bottom w:val="none" w:sz="0" w:space="0" w:color="auto"/>
      </w:pBdr>
      <w:spacing w:before="240" w:after="120"/>
      <w:jc w:val="center"/>
    </w:pPr>
    <w:rPr>
      <w:rFonts w:ascii="Garamond" w:hAnsi="Garamond" w:cs="Arial"/>
      <w:bCs/>
      <w:smallCaps w:val="0"/>
      <w:color w:val="000080"/>
      <w:spacing w:val="0"/>
      <w:kern w:val="32"/>
      <w:sz w:val="32"/>
    </w:rPr>
  </w:style>
  <w:style w:type="paragraph" w:customStyle="1" w:styleId="Title2">
    <w:name w:val="Title 2"/>
    <w:basedOn w:val="Title1"/>
    <w:link w:val="Title2Char"/>
    <w:autoRedefine/>
    <w:uiPriority w:val="99"/>
    <w:rsid w:val="00193E45"/>
    <w:rPr>
      <w:sz w:val="72"/>
    </w:rPr>
  </w:style>
  <w:style w:type="character" w:customStyle="1" w:styleId="Title1Char">
    <w:name w:val="Title 1 Char"/>
    <w:basedOn w:val="Heading1Char"/>
    <w:link w:val="Title1"/>
    <w:uiPriority w:val="99"/>
    <w:locked/>
    <w:rsid w:val="00193E45"/>
    <w:rPr>
      <w:rFonts w:ascii="Garamond" w:hAnsi="Garamond" w:cs="Arial"/>
      <w:b/>
      <w:bCs/>
      <w:smallCaps/>
      <w:color w:val="000080"/>
      <w:spacing w:val="5"/>
      <w:kern w:val="32"/>
      <w:sz w:val="28"/>
      <w:szCs w:val="32"/>
      <w:lang w:val="en-US" w:eastAsia="en-US"/>
    </w:rPr>
  </w:style>
  <w:style w:type="character" w:customStyle="1" w:styleId="Title2Char">
    <w:name w:val="Title 2 Char"/>
    <w:basedOn w:val="Title1Char"/>
    <w:link w:val="Title2"/>
    <w:uiPriority w:val="99"/>
    <w:locked/>
    <w:rsid w:val="00193E45"/>
    <w:rPr>
      <w:rFonts w:ascii="Garamond" w:hAnsi="Garamond" w:cs="Arial"/>
      <w:b/>
      <w:bCs/>
      <w:smallCaps/>
      <w:color w:val="000080"/>
      <w:spacing w:val="5"/>
      <w:kern w:val="32"/>
      <w:sz w:val="28"/>
      <w:szCs w:val="32"/>
      <w:lang w:val="en-US" w:eastAsia="en-US"/>
    </w:rPr>
  </w:style>
  <w:style w:type="paragraph" w:customStyle="1" w:styleId="StyleSPI">
    <w:name w:val="Style SPI"/>
    <w:basedOn w:val="SPI"/>
    <w:autoRedefine/>
    <w:uiPriority w:val="99"/>
    <w:rsid w:val="00193E45"/>
    <w:pPr>
      <w:numPr>
        <w:numId w:val="9"/>
      </w:numPr>
    </w:pPr>
    <w:rPr>
      <w:bCs/>
      <w:szCs w:val="20"/>
    </w:rPr>
  </w:style>
  <w:style w:type="paragraph" w:customStyle="1" w:styleId="Tableheader">
    <w:name w:val="Table header"/>
    <w:basedOn w:val="BodyText"/>
    <w:autoRedefine/>
    <w:uiPriority w:val="99"/>
    <w:rsid w:val="00193E45"/>
    <w:pPr>
      <w:numPr>
        <w:numId w:val="13"/>
      </w:numPr>
      <w:ind w:right="-60" w:hanging="781"/>
      <w:jc w:val="both"/>
    </w:pPr>
    <w:rPr>
      <w:rFonts w:ascii="Garamond" w:hAnsi="Garamond"/>
      <w:b/>
      <w:sz w:val="18"/>
      <w:szCs w:val="18"/>
    </w:rPr>
  </w:style>
  <w:style w:type="paragraph" w:customStyle="1" w:styleId="Figureheader">
    <w:name w:val="Figure header"/>
    <w:basedOn w:val="Tableheader"/>
    <w:next w:val="BodyText"/>
    <w:autoRedefine/>
    <w:uiPriority w:val="99"/>
    <w:rsid w:val="00193E45"/>
    <w:pPr>
      <w:numPr>
        <w:numId w:val="12"/>
      </w:numPr>
      <w:spacing w:after="240"/>
      <w:ind w:right="-562"/>
      <w:jc w:val="center"/>
    </w:pPr>
    <w:rPr>
      <w:sz w:val="20"/>
      <w:szCs w:val="20"/>
    </w:rPr>
  </w:style>
  <w:style w:type="paragraph" w:styleId="ListNumber">
    <w:name w:val="List Number"/>
    <w:basedOn w:val="Normal"/>
    <w:link w:val="ListNumberChar"/>
    <w:uiPriority w:val="99"/>
    <w:rsid w:val="00193E45"/>
    <w:pPr>
      <w:tabs>
        <w:tab w:val="num" w:pos="360"/>
      </w:tabs>
      <w:ind w:left="357" w:hanging="357"/>
    </w:pPr>
  </w:style>
  <w:style w:type="table" w:styleId="ColorfulGrid-Accent2">
    <w:name w:val="Colorful Grid Accent 2"/>
    <w:basedOn w:val="TableNormal"/>
    <w:uiPriority w:val="99"/>
    <w:rsid w:val="00387BA9"/>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List1-Accent2">
    <w:name w:val="Medium List 1 Accent 2"/>
    <w:basedOn w:val="TableNormal"/>
    <w:uiPriority w:val="99"/>
    <w:rsid w:val="00387BA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paragraph" w:styleId="Revision">
    <w:name w:val="Revision"/>
    <w:hidden/>
    <w:uiPriority w:val="99"/>
    <w:semiHidden/>
    <w:rsid w:val="00246120"/>
    <w:rPr>
      <w:sz w:val="22"/>
      <w:lang w:val="en-US" w:eastAsia="en-US"/>
    </w:rPr>
  </w:style>
  <w:style w:type="paragraph" w:styleId="TableofFigures">
    <w:name w:val="table of figures"/>
    <w:basedOn w:val="Normal"/>
    <w:next w:val="Normal"/>
    <w:uiPriority w:val="99"/>
    <w:rsid w:val="000740E5"/>
    <w:pPr>
      <w:spacing w:after="0"/>
      <w:ind w:left="440" w:hanging="440"/>
      <w:jc w:val="left"/>
    </w:pPr>
    <w:rPr>
      <w:smallCaps/>
      <w:sz w:val="20"/>
    </w:rPr>
  </w:style>
  <w:style w:type="character" w:styleId="FollowedHyperlink">
    <w:name w:val="FollowedHyperlink"/>
    <w:basedOn w:val="DefaultParagraphFont"/>
    <w:uiPriority w:val="99"/>
    <w:semiHidden/>
    <w:rsid w:val="00C9434D"/>
    <w:rPr>
      <w:rFonts w:cs="Times New Roman"/>
      <w:color w:val="800080"/>
      <w:u w:val="single"/>
    </w:rPr>
  </w:style>
  <w:style w:type="character" w:customStyle="1" w:styleId="CharChar15">
    <w:name w:val="Char Char15"/>
    <w:basedOn w:val="DefaultParagraphFont"/>
    <w:uiPriority w:val="99"/>
    <w:rsid w:val="007145A0"/>
    <w:rPr>
      <w:rFonts w:ascii="Cambria" w:hAnsi="Cambria" w:cs="Times New Roman"/>
      <w:b/>
      <w:color w:val="C0504D"/>
      <w:spacing w:val="5"/>
      <w:sz w:val="28"/>
      <w:szCs w:val="28"/>
      <w:lang w:val="en-US" w:eastAsia="en-US"/>
    </w:rPr>
  </w:style>
  <w:style w:type="character" w:customStyle="1" w:styleId="CharChar14">
    <w:name w:val="Char Char14"/>
    <w:basedOn w:val="DefaultParagraphFont"/>
    <w:uiPriority w:val="99"/>
    <w:rsid w:val="007145A0"/>
    <w:rPr>
      <w:rFonts w:ascii="Cambria" w:hAnsi="Cambria" w:cs="Times New Roman"/>
      <w:b/>
      <w:i/>
      <w:color w:val="C0504D"/>
      <w:spacing w:val="5"/>
      <w:sz w:val="24"/>
      <w:szCs w:val="24"/>
      <w:lang w:val="en-US" w:eastAsia="en-US"/>
    </w:rPr>
  </w:style>
  <w:style w:type="character" w:customStyle="1" w:styleId="CharChar3">
    <w:name w:val="Char Char3"/>
    <w:basedOn w:val="DefaultParagraphFont"/>
    <w:uiPriority w:val="99"/>
    <w:rsid w:val="007145A0"/>
    <w:rPr>
      <w:rFonts w:ascii="Arial" w:hAnsi="Arial" w:cs="Times New Roman"/>
      <w:sz w:val="24"/>
      <w:szCs w:val="24"/>
      <w:lang w:val="en-US" w:eastAsia="en-US" w:bidi="ar-SA"/>
    </w:rPr>
  </w:style>
  <w:style w:type="paragraph" w:customStyle="1" w:styleId="Paraheading">
    <w:name w:val="Para heading"/>
    <w:basedOn w:val="ListNumber"/>
    <w:link w:val="ParaheadingChar"/>
    <w:uiPriority w:val="99"/>
    <w:rsid w:val="007145A0"/>
    <w:pPr>
      <w:tabs>
        <w:tab w:val="clear" w:pos="360"/>
      </w:tabs>
      <w:ind w:left="0" w:firstLine="0"/>
    </w:pPr>
    <w:rPr>
      <w:b/>
      <w:lang w:val="en-AU"/>
    </w:rPr>
  </w:style>
  <w:style w:type="character" w:customStyle="1" w:styleId="ListNumberChar">
    <w:name w:val="List Number Char"/>
    <w:basedOn w:val="DefaultParagraphFont"/>
    <w:link w:val="ListNumber"/>
    <w:uiPriority w:val="99"/>
    <w:locked/>
    <w:rsid w:val="007145A0"/>
    <w:rPr>
      <w:rFonts w:cs="Times New Roman"/>
      <w:sz w:val="20"/>
      <w:szCs w:val="20"/>
    </w:rPr>
  </w:style>
  <w:style w:type="character" w:customStyle="1" w:styleId="ParaheadingChar">
    <w:name w:val="Para heading Char"/>
    <w:basedOn w:val="ListNumberChar"/>
    <w:link w:val="Paraheading"/>
    <w:uiPriority w:val="99"/>
    <w:locked/>
    <w:rsid w:val="007145A0"/>
    <w:rPr>
      <w:rFonts w:cs="Times New Roman"/>
      <w:b/>
      <w:sz w:val="20"/>
      <w:szCs w:val="20"/>
      <w:lang w:val="en-AU"/>
    </w:rPr>
  </w:style>
  <w:style w:type="character" w:styleId="CommentReference">
    <w:name w:val="annotation reference"/>
    <w:basedOn w:val="DefaultParagraphFont"/>
    <w:uiPriority w:val="99"/>
    <w:semiHidden/>
    <w:locked/>
    <w:rsid w:val="00D50A33"/>
    <w:rPr>
      <w:rFonts w:cs="Times New Roman"/>
      <w:sz w:val="16"/>
      <w:szCs w:val="16"/>
    </w:rPr>
  </w:style>
  <w:style w:type="paragraph" w:styleId="CommentText">
    <w:name w:val="annotation text"/>
    <w:basedOn w:val="Normal"/>
    <w:link w:val="CommentTextChar"/>
    <w:uiPriority w:val="99"/>
    <w:semiHidden/>
    <w:locked/>
    <w:rsid w:val="00D50A33"/>
    <w:pPr>
      <w:spacing w:line="240" w:lineRule="auto"/>
    </w:pPr>
    <w:rPr>
      <w:sz w:val="20"/>
    </w:rPr>
  </w:style>
  <w:style w:type="character" w:customStyle="1" w:styleId="CommentTextChar">
    <w:name w:val="Comment Text Char"/>
    <w:basedOn w:val="DefaultParagraphFont"/>
    <w:link w:val="CommentText"/>
    <w:uiPriority w:val="99"/>
    <w:semiHidden/>
    <w:locked/>
    <w:rsid w:val="00D50A33"/>
    <w:rPr>
      <w:rFonts w:cs="Times New Roman"/>
      <w:sz w:val="20"/>
      <w:szCs w:val="20"/>
    </w:rPr>
  </w:style>
  <w:style w:type="paragraph" w:styleId="CommentSubject">
    <w:name w:val="annotation subject"/>
    <w:basedOn w:val="CommentText"/>
    <w:next w:val="CommentText"/>
    <w:link w:val="CommentSubjectChar"/>
    <w:uiPriority w:val="99"/>
    <w:semiHidden/>
    <w:locked/>
    <w:rsid w:val="00D50A33"/>
    <w:rPr>
      <w:b/>
      <w:bCs/>
    </w:rPr>
  </w:style>
  <w:style w:type="character" w:customStyle="1" w:styleId="CommentSubjectChar">
    <w:name w:val="Comment Subject Char"/>
    <w:basedOn w:val="CommentTextChar"/>
    <w:link w:val="CommentSubject"/>
    <w:uiPriority w:val="99"/>
    <w:semiHidden/>
    <w:locked/>
    <w:rsid w:val="00D50A33"/>
    <w:rPr>
      <w:rFonts w:cs="Times New Roman"/>
      <w:b/>
      <w:bCs/>
      <w:sz w:val="20"/>
      <w:szCs w:val="20"/>
    </w:rPr>
  </w:style>
  <w:style w:type="paragraph" w:styleId="ListNumber2">
    <w:name w:val="List Number 2"/>
    <w:basedOn w:val="Normal"/>
    <w:uiPriority w:val="99"/>
    <w:locked/>
    <w:rsid w:val="00D616D5"/>
    <w:pPr>
      <w:numPr>
        <w:numId w:val="15"/>
      </w:numPr>
    </w:pPr>
  </w:style>
  <w:style w:type="numbering" w:styleId="111111">
    <w:name w:val="Outline List 2"/>
    <w:basedOn w:val="NoList"/>
    <w:uiPriority w:val="99"/>
    <w:semiHidden/>
    <w:unhideWhenUsed/>
    <w:locked/>
    <w:rsid w:val="00394A45"/>
    <w:pPr>
      <w:numPr>
        <w:numId w:val="4"/>
      </w:numPr>
    </w:pPr>
  </w:style>
  <w:style w:type="character" w:customStyle="1" w:styleId="apple-style-span">
    <w:name w:val="apple-style-span"/>
    <w:basedOn w:val="DefaultParagraphFont"/>
    <w:rsid w:val="00EE485C"/>
  </w:style>
  <w:style w:type="table" w:customStyle="1" w:styleId="LightList-Accent11">
    <w:name w:val="Light List - Accent 11"/>
    <w:basedOn w:val="TableNormal"/>
    <w:uiPriority w:val="61"/>
    <w:rsid w:val="00AF0E1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AF0E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
    <w:name w:val="Medium Shading 1 - Accent 11"/>
    <w:basedOn w:val="TableNormal"/>
    <w:uiPriority w:val="63"/>
    <w:rsid w:val="0034555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xl63">
    <w:name w:val="xl63"/>
    <w:basedOn w:val="Normal"/>
    <w:rsid w:val="009E5C27"/>
    <w:pPr>
      <w:spacing w:before="100" w:beforeAutospacing="1" w:after="100" w:afterAutospacing="1" w:line="240" w:lineRule="auto"/>
      <w:jc w:val="left"/>
    </w:pPr>
    <w:rPr>
      <w:rFonts w:ascii="Times New Roman" w:hAnsi="Times New Roman"/>
      <w:sz w:val="20"/>
      <w:lang w:val="en-AU" w:eastAsia="en-AU"/>
    </w:rPr>
  </w:style>
  <w:style w:type="paragraph" w:customStyle="1" w:styleId="xl64">
    <w:name w:val="xl64"/>
    <w:basedOn w:val="Normal"/>
    <w:rsid w:val="009E5C27"/>
    <w:pPr>
      <w:spacing w:before="100" w:beforeAutospacing="1" w:after="100" w:afterAutospacing="1" w:line="240" w:lineRule="auto"/>
      <w:jc w:val="left"/>
    </w:pPr>
    <w:rPr>
      <w:rFonts w:ascii="Times New Roman" w:hAnsi="Times New Roman"/>
      <w:sz w:val="20"/>
      <w:lang w:val="en-AU" w:eastAsia="en-AU"/>
    </w:rPr>
  </w:style>
  <w:style w:type="paragraph" w:customStyle="1" w:styleId="xl65">
    <w:name w:val="xl65"/>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6">
    <w:name w:val="xl66"/>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7">
    <w:name w:val="xl67"/>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8">
    <w:name w:val="xl68"/>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8"/>
      <w:szCs w:val="18"/>
      <w:lang w:val="en-AU" w:eastAsia="en-AU"/>
    </w:rPr>
  </w:style>
  <w:style w:type="paragraph" w:customStyle="1" w:styleId="xl69">
    <w:name w:val="xl69"/>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70">
    <w:name w:val="xl70"/>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8"/>
      <w:szCs w:val="18"/>
      <w:lang w:val="en-AU" w:eastAsia="en-AU"/>
    </w:rPr>
  </w:style>
  <w:style w:type="paragraph" w:customStyle="1" w:styleId="xl71">
    <w:name w:val="xl71"/>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8"/>
      <w:szCs w:val="18"/>
      <w:lang w:val="en-AU" w:eastAsia="en-AU"/>
    </w:rPr>
  </w:style>
  <w:style w:type="paragraph" w:customStyle="1" w:styleId="xl72">
    <w:name w:val="xl72"/>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Narrow" w:hAnsi="Arial Narrow"/>
      <w:sz w:val="18"/>
      <w:szCs w:val="18"/>
      <w:lang w:val="en-AU" w:eastAsia="en-AU"/>
    </w:rPr>
  </w:style>
  <w:style w:type="paragraph" w:customStyle="1" w:styleId="xl73">
    <w:name w:val="xl73"/>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table" w:customStyle="1" w:styleId="MediumShading2-Accent11">
    <w:name w:val="Medium Shading 2 - Accent 11"/>
    <w:basedOn w:val="TableNormal"/>
    <w:uiPriority w:val="64"/>
    <w:rsid w:val="00EC74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836A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Bullet3">
    <w:name w:val="List Bullet 3"/>
    <w:basedOn w:val="Normal"/>
    <w:uiPriority w:val="99"/>
    <w:semiHidden/>
    <w:unhideWhenUsed/>
    <w:locked/>
    <w:rsid w:val="00337A9C"/>
    <w:pPr>
      <w:numPr>
        <w:numId w:val="18"/>
      </w:numPr>
      <w:contextualSpacing/>
    </w:pPr>
  </w:style>
  <w:style w:type="paragraph" w:customStyle="1" w:styleId="BlueHeadingindent">
    <w:name w:val="Blue Heading indent"/>
    <w:basedOn w:val="Normal"/>
    <w:rsid w:val="002F6F86"/>
    <w:pPr>
      <w:tabs>
        <w:tab w:val="left" w:pos="2340"/>
      </w:tabs>
      <w:spacing w:after="240"/>
    </w:pPr>
    <w:rPr>
      <w:rFonts w:ascii="Helvetica" w:hAnsi="Helvetica"/>
      <w:smallCaps/>
      <w:color w:val="004071"/>
      <w:sz w:val="48"/>
      <w:szCs w:val="48"/>
      <w:lang w:val="en-AU"/>
    </w:rPr>
  </w:style>
  <w:style w:type="paragraph" w:customStyle="1" w:styleId="Style16ptBoldCenteredAfter0pt">
    <w:name w:val="Style 16 pt Bold Centered After:  0 pt"/>
    <w:basedOn w:val="Normal"/>
    <w:rsid w:val="002F6F86"/>
    <w:pPr>
      <w:spacing w:after="240" w:line="240" w:lineRule="auto"/>
      <w:jc w:val="center"/>
    </w:pPr>
    <w:rPr>
      <w:rFonts w:eastAsia="Calibri" w:cs="Garamond"/>
      <w:b/>
      <w:bCs/>
      <w:sz w:val="40"/>
      <w:szCs w:val="4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65D97"/>
    <w:pPr>
      <w:spacing w:after="200" w:line="276" w:lineRule="auto"/>
      <w:jc w:val="both"/>
    </w:pPr>
    <w:rPr>
      <w:sz w:val="22"/>
      <w:lang w:val="en-US" w:eastAsia="en-US"/>
    </w:rPr>
  </w:style>
  <w:style w:type="paragraph" w:styleId="Heading1">
    <w:name w:val="heading 1"/>
    <w:basedOn w:val="Normal"/>
    <w:next w:val="Normal"/>
    <w:link w:val="Heading1Char"/>
    <w:autoRedefine/>
    <w:uiPriority w:val="99"/>
    <w:qFormat/>
    <w:rsid w:val="00877A6E"/>
    <w:pPr>
      <w:numPr>
        <w:numId w:val="2"/>
      </w:numPr>
      <w:pBdr>
        <w:bottom w:val="single" w:sz="12" w:space="1" w:color="C0504D"/>
      </w:pBdr>
      <w:spacing w:after="480" w:line="240" w:lineRule="auto"/>
      <w:jc w:val="left"/>
      <w:outlineLvl w:val="0"/>
    </w:pPr>
    <w:rPr>
      <w:rFonts w:asciiTheme="minorHAnsi" w:hAnsiTheme="minorHAnsi"/>
      <w:b/>
      <w:smallCaps/>
      <w:color w:val="1F497D" w:themeColor="text2"/>
      <w:spacing w:val="5"/>
      <w:sz w:val="28"/>
      <w:szCs w:val="32"/>
    </w:rPr>
  </w:style>
  <w:style w:type="paragraph" w:styleId="Heading2">
    <w:name w:val="heading 2"/>
    <w:basedOn w:val="Normal"/>
    <w:next w:val="Normal"/>
    <w:link w:val="Heading2Char"/>
    <w:autoRedefine/>
    <w:uiPriority w:val="99"/>
    <w:qFormat/>
    <w:rsid w:val="00877A6E"/>
    <w:pPr>
      <w:numPr>
        <w:ilvl w:val="1"/>
        <w:numId w:val="2"/>
      </w:numPr>
      <w:pBdr>
        <w:bottom w:val="single" w:sz="8" w:space="1" w:color="FFFFFF" w:themeColor="background1"/>
      </w:pBdr>
      <w:spacing w:before="240" w:after="240"/>
      <w:ind w:left="0"/>
      <w:jc w:val="left"/>
      <w:outlineLvl w:val="1"/>
    </w:pPr>
    <w:rPr>
      <w:rFonts w:asciiTheme="minorHAnsi" w:hAnsiTheme="minorHAnsi"/>
      <w:b/>
      <w:color w:val="1F497D" w:themeColor="text2"/>
      <w:spacing w:val="4"/>
      <w:sz w:val="24"/>
      <w:szCs w:val="28"/>
    </w:rPr>
  </w:style>
  <w:style w:type="paragraph" w:styleId="Heading3">
    <w:name w:val="heading 3"/>
    <w:basedOn w:val="Normal"/>
    <w:next w:val="Normal"/>
    <w:link w:val="Heading3Char"/>
    <w:autoRedefine/>
    <w:uiPriority w:val="99"/>
    <w:qFormat/>
    <w:rsid w:val="00846EB0"/>
    <w:pPr>
      <w:spacing w:before="240" w:after="240"/>
      <w:jc w:val="left"/>
      <w:outlineLvl w:val="2"/>
    </w:pPr>
    <w:rPr>
      <w:rFonts w:asciiTheme="minorHAnsi" w:hAnsiTheme="minorHAnsi"/>
      <w:b/>
      <w:i/>
      <w:color w:val="4F81BD" w:themeColor="accent1"/>
      <w:spacing w:val="5"/>
      <w:szCs w:val="24"/>
    </w:rPr>
  </w:style>
  <w:style w:type="paragraph" w:styleId="Heading4">
    <w:name w:val="heading 4"/>
    <w:basedOn w:val="Normal"/>
    <w:next w:val="Normal"/>
    <w:link w:val="Heading4Char"/>
    <w:uiPriority w:val="99"/>
    <w:qFormat/>
    <w:rsid w:val="00A86A9A"/>
    <w:pPr>
      <w:numPr>
        <w:ilvl w:val="3"/>
        <w:numId w:val="2"/>
      </w:numPr>
      <w:spacing w:before="240" w:after="0"/>
      <w:jc w:val="left"/>
      <w:outlineLvl w:val="3"/>
    </w:pPr>
    <w:rPr>
      <w:smallCaps/>
      <w:spacing w:val="10"/>
      <w:szCs w:val="22"/>
    </w:rPr>
  </w:style>
  <w:style w:type="paragraph" w:styleId="Heading5">
    <w:name w:val="heading 5"/>
    <w:basedOn w:val="Normal"/>
    <w:next w:val="Normal"/>
    <w:link w:val="Heading5Char"/>
    <w:uiPriority w:val="99"/>
    <w:qFormat/>
    <w:rsid w:val="00A86A9A"/>
    <w:pPr>
      <w:numPr>
        <w:ilvl w:val="4"/>
        <w:numId w:val="2"/>
      </w:numPr>
      <w:spacing w:before="200" w:after="0"/>
      <w:jc w:val="left"/>
      <w:outlineLvl w:val="4"/>
    </w:pPr>
    <w:rPr>
      <w:smallCaps/>
      <w:color w:val="943634"/>
      <w:spacing w:val="10"/>
      <w:szCs w:val="26"/>
    </w:rPr>
  </w:style>
  <w:style w:type="paragraph" w:styleId="Heading6">
    <w:name w:val="heading 6"/>
    <w:basedOn w:val="Normal"/>
    <w:next w:val="Normal"/>
    <w:link w:val="Heading6Char"/>
    <w:uiPriority w:val="99"/>
    <w:qFormat/>
    <w:rsid w:val="00A86A9A"/>
    <w:pPr>
      <w:numPr>
        <w:ilvl w:val="5"/>
        <w:numId w:val="2"/>
      </w:numPr>
      <w:spacing w:after="0"/>
      <w:jc w:val="left"/>
      <w:outlineLvl w:val="5"/>
    </w:pPr>
    <w:rPr>
      <w:smallCaps/>
      <w:color w:val="C0504D"/>
      <w:spacing w:val="5"/>
    </w:rPr>
  </w:style>
  <w:style w:type="paragraph" w:styleId="Heading7">
    <w:name w:val="heading 7"/>
    <w:basedOn w:val="Normal"/>
    <w:next w:val="Normal"/>
    <w:link w:val="Heading7Char"/>
    <w:uiPriority w:val="99"/>
    <w:qFormat/>
    <w:rsid w:val="00A86A9A"/>
    <w:pPr>
      <w:numPr>
        <w:ilvl w:val="6"/>
        <w:numId w:val="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A86A9A"/>
    <w:pPr>
      <w:numPr>
        <w:ilvl w:val="7"/>
        <w:numId w:val="2"/>
      </w:numPr>
      <w:spacing w:after="0"/>
      <w:jc w:val="left"/>
      <w:outlineLvl w:val="7"/>
    </w:pPr>
    <w:rPr>
      <w:b/>
      <w:i/>
      <w:smallCaps/>
      <w:color w:val="943634"/>
    </w:rPr>
  </w:style>
  <w:style w:type="paragraph" w:styleId="Heading9">
    <w:name w:val="heading 9"/>
    <w:basedOn w:val="Normal"/>
    <w:next w:val="Normal"/>
    <w:link w:val="Heading9Char"/>
    <w:uiPriority w:val="99"/>
    <w:qFormat/>
    <w:rsid w:val="00A86A9A"/>
    <w:pPr>
      <w:numPr>
        <w:ilvl w:val="8"/>
        <w:numId w:val="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7A6E"/>
    <w:rPr>
      <w:rFonts w:asciiTheme="minorHAnsi" w:hAnsiTheme="minorHAnsi"/>
      <w:b/>
      <w:smallCaps/>
      <w:color w:val="1F497D" w:themeColor="text2"/>
      <w:spacing w:val="5"/>
      <w:sz w:val="28"/>
      <w:szCs w:val="32"/>
      <w:lang w:val="en-US" w:eastAsia="en-US"/>
    </w:rPr>
  </w:style>
  <w:style w:type="character" w:customStyle="1" w:styleId="Heading2Char">
    <w:name w:val="Heading 2 Char"/>
    <w:basedOn w:val="DefaultParagraphFont"/>
    <w:link w:val="Heading2"/>
    <w:uiPriority w:val="99"/>
    <w:locked/>
    <w:rsid w:val="00877A6E"/>
    <w:rPr>
      <w:rFonts w:asciiTheme="minorHAnsi" w:hAnsiTheme="minorHAnsi"/>
      <w:b/>
      <w:color w:val="1F497D" w:themeColor="text2"/>
      <w:spacing w:val="4"/>
      <w:sz w:val="24"/>
      <w:szCs w:val="28"/>
      <w:lang w:val="en-US" w:eastAsia="en-US"/>
    </w:rPr>
  </w:style>
  <w:style w:type="character" w:customStyle="1" w:styleId="Heading3Char">
    <w:name w:val="Heading 3 Char"/>
    <w:basedOn w:val="DefaultParagraphFont"/>
    <w:link w:val="Heading3"/>
    <w:uiPriority w:val="99"/>
    <w:locked/>
    <w:rsid w:val="00846EB0"/>
    <w:rPr>
      <w:rFonts w:asciiTheme="minorHAnsi" w:hAnsiTheme="minorHAnsi"/>
      <w:b/>
      <w:i/>
      <w:color w:val="4F81BD" w:themeColor="accent1"/>
      <w:spacing w:val="5"/>
      <w:sz w:val="22"/>
      <w:szCs w:val="24"/>
      <w:lang w:val="en-US" w:eastAsia="en-US"/>
    </w:rPr>
  </w:style>
  <w:style w:type="character" w:customStyle="1" w:styleId="Heading4Char">
    <w:name w:val="Heading 4 Char"/>
    <w:basedOn w:val="DefaultParagraphFont"/>
    <w:link w:val="Heading4"/>
    <w:uiPriority w:val="99"/>
    <w:locked/>
    <w:rsid w:val="00A86A9A"/>
    <w:rPr>
      <w:smallCaps/>
      <w:spacing w:val="10"/>
      <w:sz w:val="22"/>
      <w:szCs w:val="22"/>
      <w:lang w:val="en-US" w:eastAsia="en-US"/>
    </w:rPr>
  </w:style>
  <w:style w:type="character" w:customStyle="1" w:styleId="Heading5Char">
    <w:name w:val="Heading 5 Char"/>
    <w:basedOn w:val="DefaultParagraphFont"/>
    <w:link w:val="Heading5"/>
    <w:uiPriority w:val="99"/>
    <w:locked/>
    <w:rsid w:val="00A86A9A"/>
    <w:rPr>
      <w:smallCaps/>
      <w:color w:val="943634"/>
      <w:spacing w:val="10"/>
      <w:sz w:val="22"/>
      <w:szCs w:val="26"/>
      <w:lang w:val="en-US" w:eastAsia="en-US"/>
    </w:rPr>
  </w:style>
  <w:style w:type="character" w:customStyle="1" w:styleId="Heading6Char">
    <w:name w:val="Heading 6 Char"/>
    <w:basedOn w:val="DefaultParagraphFont"/>
    <w:link w:val="Heading6"/>
    <w:uiPriority w:val="99"/>
    <w:locked/>
    <w:rsid w:val="00A86A9A"/>
    <w:rPr>
      <w:smallCaps/>
      <w:color w:val="C0504D"/>
      <w:spacing w:val="5"/>
      <w:sz w:val="22"/>
      <w:lang w:val="en-US" w:eastAsia="en-US"/>
    </w:rPr>
  </w:style>
  <w:style w:type="character" w:customStyle="1" w:styleId="Heading7Char">
    <w:name w:val="Heading 7 Char"/>
    <w:basedOn w:val="DefaultParagraphFont"/>
    <w:link w:val="Heading7"/>
    <w:uiPriority w:val="99"/>
    <w:locked/>
    <w:rsid w:val="00A86A9A"/>
    <w:rPr>
      <w:b/>
      <w:smallCaps/>
      <w:color w:val="C0504D"/>
      <w:spacing w:val="10"/>
      <w:sz w:val="22"/>
      <w:lang w:val="en-US" w:eastAsia="en-US"/>
    </w:rPr>
  </w:style>
  <w:style w:type="character" w:customStyle="1" w:styleId="Heading8Char">
    <w:name w:val="Heading 8 Char"/>
    <w:basedOn w:val="DefaultParagraphFont"/>
    <w:link w:val="Heading8"/>
    <w:uiPriority w:val="99"/>
    <w:locked/>
    <w:rsid w:val="00A86A9A"/>
    <w:rPr>
      <w:b/>
      <w:i/>
      <w:smallCaps/>
      <w:color w:val="943634"/>
      <w:sz w:val="22"/>
      <w:lang w:val="en-US" w:eastAsia="en-US"/>
    </w:rPr>
  </w:style>
  <w:style w:type="character" w:customStyle="1" w:styleId="Heading9Char">
    <w:name w:val="Heading 9 Char"/>
    <w:basedOn w:val="DefaultParagraphFont"/>
    <w:link w:val="Heading9"/>
    <w:uiPriority w:val="99"/>
    <w:locked/>
    <w:rsid w:val="00A86A9A"/>
    <w:rPr>
      <w:b/>
      <w:i/>
      <w:smallCaps/>
      <w:color w:val="622423"/>
      <w:sz w:val="22"/>
      <w:lang w:val="en-US" w:eastAsia="en-US"/>
    </w:rPr>
  </w:style>
  <w:style w:type="paragraph" w:styleId="Title">
    <w:name w:val="Title"/>
    <w:basedOn w:val="Normal"/>
    <w:next w:val="Normal"/>
    <w:link w:val="TitleChar"/>
    <w:uiPriority w:val="99"/>
    <w:qFormat/>
    <w:rsid w:val="00A86A9A"/>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99"/>
    <w:locked/>
    <w:rsid w:val="00A86A9A"/>
    <w:rPr>
      <w:rFonts w:cs="Times New Roman"/>
      <w:smallCaps/>
      <w:sz w:val="48"/>
      <w:szCs w:val="48"/>
    </w:rPr>
  </w:style>
  <w:style w:type="paragraph" w:styleId="Caption">
    <w:name w:val="caption"/>
    <w:aliases w:val="Figure"/>
    <w:basedOn w:val="Normal"/>
    <w:next w:val="Normal"/>
    <w:autoRedefine/>
    <w:uiPriority w:val="99"/>
    <w:qFormat/>
    <w:rsid w:val="00BA7FA0"/>
    <w:pPr>
      <w:keepNext/>
      <w:numPr>
        <w:numId w:val="14"/>
      </w:numPr>
      <w:pBdr>
        <w:bottom w:val="single" w:sz="4" w:space="1" w:color="D99594"/>
      </w:pBdr>
      <w:tabs>
        <w:tab w:val="left" w:pos="993"/>
      </w:tabs>
      <w:spacing w:before="360" w:after="120" w:line="240" w:lineRule="auto"/>
      <w:ind w:left="993" w:hanging="993"/>
    </w:pPr>
    <w:rPr>
      <w:rFonts w:ascii="Cambria" w:hAnsi="Cambria"/>
      <w:bCs/>
      <w:i/>
      <w:sz w:val="18"/>
      <w:szCs w:val="18"/>
    </w:rPr>
  </w:style>
  <w:style w:type="paragraph" w:styleId="Subtitle">
    <w:name w:val="Subtitle"/>
    <w:basedOn w:val="Normal"/>
    <w:next w:val="Normal"/>
    <w:link w:val="SubtitleChar"/>
    <w:uiPriority w:val="99"/>
    <w:qFormat/>
    <w:rsid w:val="00A86A9A"/>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99"/>
    <w:locked/>
    <w:rsid w:val="00A86A9A"/>
    <w:rPr>
      <w:rFonts w:ascii="Cambria" w:hAnsi="Cambria" w:cs="Times New Roman"/>
      <w:sz w:val="22"/>
      <w:szCs w:val="22"/>
    </w:rPr>
  </w:style>
  <w:style w:type="character" w:styleId="Strong">
    <w:name w:val="Strong"/>
    <w:basedOn w:val="DefaultParagraphFont"/>
    <w:uiPriority w:val="99"/>
    <w:qFormat/>
    <w:rsid w:val="00A86A9A"/>
    <w:rPr>
      <w:rFonts w:cs="Times New Roman"/>
      <w:b/>
      <w:color w:val="C0504D"/>
    </w:rPr>
  </w:style>
  <w:style w:type="character" w:styleId="Emphasis">
    <w:name w:val="Emphasis"/>
    <w:basedOn w:val="DefaultParagraphFont"/>
    <w:uiPriority w:val="99"/>
    <w:qFormat/>
    <w:rsid w:val="00A86A9A"/>
    <w:rPr>
      <w:rFonts w:cs="Times New Roman"/>
      <w:b/>
      <w:i/>
      <w:spacing w:val="10"/>
    </w:rPr>
  </w:style>
  <w:style w:type="paragraph" w:styleId="NoSpacing">
    <w:name w:val="No Spacing"/>
    <w:basedOn w:val="Normal"/>
    <w:link w:val="NoSpacingChar"/>
    <w:uiPriority w:val="99"/>
    <w:qFormat/>
    <w:rsid w:val="007652FD"/>
    <w:pPr>
      <w:spacing w:after="0" w:line="240" w:lineRule="auto"/>
    </w:pPr>
  </w:style>
  <w:style w:type="character" w:customStyle="1" w:styleId="NoSpacingChar">
    <w:name w:val="No Spacing Char"/>
    <w:basedOn w:val="DefaultParagraphFont"/>
    <w:link w:val="NoSpacing"/>
    <w:uiPriority w:val="99"/>
    <w:locked/>
    <w:rsid w:val="007652FD"/>
    <w:rPr>
      <w:rFonts w:cs="Times New Roman"/>
      <w:sz w:val="22"/>
    </w:rPr>
  </w:style>
  <w:style w:type="paragraph" w:styleId="ListParagraph">
    <w:name w:val="List Paragraph"/>
    <w:basedOn w:val="Normal"/>
    <w:uiPriority w:val="99"/>
    <w:qFormat/>
    <w:rsid w:val="00A86A9A"/>
    <w:pPr>
      <w:ind w:left="720"/>
      <w:contextualSpacing/>
    </w:pPr>
  </w:style>
  <w:style w:type="paragraph" w:styleId="Quote">
    <w:name w:val="Quote"/>
    <w:basedOn w:val="Normal"/>
    <w:next w:val="Normal"/>
    <w:link w:val="QuoteChar"/>
    <w:uiPriority w:val="99"/>
    <w:qFormat/>
    <w:rsid w:val="00A86A9A"/>
    <w:rPr>
      <w:i/>
    </w:rPr>
  </w:style>
  <w:style w:type="character" w:customStyle="1" w:styleId="QuoteChar">
    <w:name w:val="Quote Char"/>
    <w:basedOn w:val="DefaultParagraphFont"/>
    <w:link w:val="Quote"/>
    <w:uiPriority w:val="99"/>
    <w:locked/>
    <w:rsid w:val="00A86A9A"/>
    <w:rPr>
      <w:rFonts w:cs="Times New Roman"/>
      <w:i/>
    </w:rPr>
  </w:style>
  <w:style w:type="paragraph" w:styleId="IntenseQuote">
    <w:name w:val="Intense Quote"/>
    <w:basedOn w:val="Normal"/>
    <w:next w:val="Normal"/>
    <w:link w:val="IntenseQuoteChar"/>
    <w:uiPriority w:val="99"/>
    <w:qFormat/>
    <w:rsid w:val="00A86A9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99"/>
    <w:locked/>
    <w:rsid w:val="00A86A9A"/>
    <w:rPr>
      <w:rFonts w:cs="Times New Roman"/>
      <w:b/>
      <w:i/>
      <w:color w:val="FFFFFF"/>
      <w:shd w:val="clear" w:color="auto" w:fill="C0504D"/>
    </w:rPr>
  </w:style>
  <w:style w:type="character" w:styleId="SubtleEmphasis">
    <w:name w:val="Subtle Emphasis"/>
    <w:basedOn w:val="DefaultParagraphFont"/>
    <w:uiPriority w:val="99"/>
    <w:qFormat/>
    <w:rsid w:val="00A86A9A"/>
    <w:rPr>
      <w:rFonts w:cs="Times New Roman"/>
      <w:i/>
    </w:rPr>
  </w:style>
  <w:style w:type="character" w:styleId="IntenseEmphasis">
    <w:name w:val="Intense Emphasis"/>
    <w:basedOn w:val="DefaultParagraphFont"/>
    <w:uiPriority w:val="99"/>
    <w:qFormat/>
    <w:rsid w:val="00A86A9A"/>
    <w:rPr>
      <w:rFonts w:cs="Times New Roman"/>
      <w:b/>
      <w:i/>
      <w:color w:val="C0504D"/>
      <w:spacing w:val="10"/>
    </w:rPr>
  </w:style>
  <w:style w:type="character" w:styleId="SubtleReference">
    <w:name w:val="Subtle Reference"/>
    <w:basedOn w:val="DefaultParagraphFont"/>
    <w:uiPriority w:val="99"/>
    <w:qFormat/>
    <w:rsid w:val="00A86A9A"/>
    <w:rPr>
      <w:rFonts w:cs="Times New Roman"/>
      <w:b/>
    </w:rPr>
  </w:style>
  <w:style w:type="character" w:styleId="IntenseReference">
    <w:name w:val="Intense Reference"/>
    <w:basedOn w:val="DefaultParagraphFont"/>
    <w:uiPriority w:val="99"/>
    <w:qFormat/>
    <w:rsid w:val="00A86A9A"/>
    <w:rPr>
      <w:rFonts w:cs="Times New Roman"/>
      <w:b/>
      <w:smallCaps/>
      <w:spacing w:val="5"/>
      <w:sz w:val="22"/>
      <w:u w:val="single"/>
    </w:rPr>
  </w:style>
  <w:style w:type="character" w:styleId="BookTitle">
    <w:name w:val="Book Title"/>
    <w:basedOn w:val="DefaultParagraphFont"/>
    <w:uiPriority w:val="99"/>
    <w:qFormat/>
    <w:rsid w:val="00A86A9A"/>
    <w:rPr>
      <w:rFonts w:ascii="Cambria" w:hAnsi="Cambria" w:cs="Times New Roman"/>
      <w:i/>
      <w:sz w:val="20"/>
    </w:rPr>
  </w:style>
  <w:style w:type="paragraph" w:styleId="TOCHeading">
    <w:name w:val="TOC Heading"/>
    <w:basedOn w:val="Heading1"/>
    <w:next w:val="Normal"/>
    <w:uiPriority w:val="39"/>
    <w:qFormat/>
    <w:rsid w:val="00A86A9A"/>
    <w:pPr>
      <w:outlineLvl w:val="9"/>
    </w:pPr>
  </w:style>
  <w:style w:type="paragraph" w:styleId="FootnoteText">
    <w:name w:val="footnote text"/>
    <w:aliases w:val="Footnote Text Char Char,Footnote Text Char Char Char Char,Footnote Text Char Char Char Char Char Char Char Char,Footnote Text Char Char Char Char Char Char Char,Footnote Text Char Char Char Char Char Char Char Char Char"/>
    <w:basedOn w:val="Normal"/>
    <w:link w:val="FootnoteTextChar"/>
    <w:uiPriority w:val="99"/>
    <w:semiHidden/>
    <w:rsid w:val="002E0C43"/>
    <w:pPr>
      <w:spacing w:after="0" w:line="240" w:lineRule="auto"/>
      <w:jc w:val="left"/>
    </w:pPr>
    <w:rPr>
      <w:rFonts w:ascii="Times New Roman" w:hAnsi="Times New Roman"/>
      <w:lang w:val="en-AU" w:eastAsia="en-AU"/>
    </w:rPr>
  </w:style>
  <w:style w:type="character" w:customStyle="1" w:styleId="FootnoteTextChar">
    <w:name w:val="Footnote Text Char"/>
    <w:aliases w:val="Footnote Text Char Char Char,Footnote Text Char Char Char Char Char,Footnote Text Char Char Char Char Char Char Char Char Char1,Footnote Text Char Char Char Char Char Char Char Char1"/>
    <w:basedOn w:val="DefaultParagraphFont"/>
    <w:link w:val="FootnoteText"/>
    <w:uiPriority w:val="99"/>
    <w:locked/>
    <w:rsid w:val="002E0C43"/>
    <w:rPr>
      <w:rFonts w:ascii="Times New Roman" w:hAnsi="Times New Roman" w:cs="Times New Roman"/>
      <w:lang w:val="en-AU" w:eastAsia="en-AU" w:bidi="ar-SA"/>
    </w:rPr>
  </w:style>
  <w:style w:type="character" w:styleId="FootnoteReference">
    <w:name w:val="footnote reference"/>
    <w:basedOn w:val="DefaultParagraphFont"/>
    <w:uiPriority w:val="99"/>
    <w:semiHidden/>
    <w:rsid w:val="002E0C43"/>
    <w:rPr>
      <w:rFonts w:cs="Times New Roman"/>
      <w:vertAlign w:val="superscript"/>
    </w:rPr>
  </w:style>
  <w:style w:type="paragraph" w:styleId="BalloonText">
    <w:name w:val="Balloon Text"/>
    <w:basedOn w:val="Normal"/>
    <w:link w:val="BalloonTextChar"/>
    <w:uiPriority w:val="99"/>
    <w:semiHidden/>
    <w:rsid w:val="00D8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2BF9"/>
    <w:rPr>
      <w:rFonts w:ascii="Tahoma" w:hAnsi="Tahoma" w:cs="Tahoma"/>
      <w:sz w:val="16"/>
      <w:szCs w:val="16"/>
    </w:rPr>
  </w:style>
  <w:style w:type="paragraph" w:styleId="Header">
    <w:name w:val="header"/>
    <w:basedOn w:val="Normal"/>
    <w:link w:val="HeaderChar"/>
    <w:uiPriority w:val="99"/>
    <w:rsid w:val="001E60C3"/>
    <w:pPr>
      <w:tabs>
        <w:tab w:val="center" w:pos="4153"/>
        <w:tab w:val="right" w:pos="8306"/>
      </w:tabs>
      <w:spacing w:after="0" w:line="240" w:lineRule="auto"/>
      <w:jc w:val="left"/>
    </w:pPr>
    <w:rPr>
      <w:rFonts w:ascii="Times New Roman" w:hAnsi="Times New Roman"/>
      <w:sz w:val="24"/>
      <w:szCs w:val="24"/>
      <w:lang w:val="en-AU" w:eastAsia="en-AU"/>
    </w:rPr>
  </w:style>
  <w:style w:type="character" w:customStyle="1" w:styleId="HeaderChar">
    <w:name w:val="Header Char"/>
    <w:basedOn w:val="DefaultParagraphFont"/>
    <w:link w:val="Header"/>
    <w:uiPriority w:val="99"/>
    <w:locked/>
    <w:rsid w:val="001E60C3"/>
    <w:rPr>
      <w:rFonts w:ascii="Times New Roman" w:hAnsi="Times New Roman" w:cs="Times New Roman"/>
      <w:sz w:val="24"/>
      <w:szCs w:val="24"/>
      <w:lang w:val="en-AU" w:eastAsia="en-AU" w:bidi="ar-SA"/>
    </w:rPr>
  </w:style>
  <w:style w:type="paragraph" w:styleId="BodyText">
    <w:name w:val="Body Text"/>
    <w:basedOn w:val="Normal"/>
    <w:link w:val="BodyTextChar"/>
    <w:uiPriority w:val="99"/>
    <w:rsid w:val="00987BCD"/>
    <w:pPr>
      <w:spacing w:after="120" w:line="240" w:lineRule="auto"/>
      <w:jc w:val="left"/>
    </w:pPr>
    <w:rPr>
      <w:rFonts w:ascii="Arial" w:hAnsi="Arial"/>
      <w:sz w:val="24"/>
      <w:szCs w:val="24"/>
    </w:rPr>
  </w:style>
  <w:style w:type="character" w:customStyle="1" w:styleId="BodyTextChar">
    <w:name w:val="Body Text Char"/>
    <w:basedOn w:val="DefaultParagraphFont"/>
    <w:link w:val="BodyText"/>
    <w:uiPriority w:val="99"/>
    <w:locked/>
    <w:rsid w:val="00987BCD"/>
    <w:rPr>
      <w:rFonts w:ascii="Arial" w:hAnsi="Arial" w:cs="Times New Roman"/>
      <w:sz w:val="24"/>
      <w:szCs w:val="24"/>
      <w:lang w:bidi="ar-SA"/>
    </w:rPr>
  </w:style>
  <w:style w:type="paragraph" w:styleId="Footer">
    <w:name w:val="footer"/>
    <w:basedOn w:val="Normal"/>
    <w:link w:val="FooterChar"/>
    <w:rsid w:val="008B1F47"/>
    <w:pPr>
      <w:tabs>
        <w:tab w:val="center" w:pos="4680"/>
        <w:tab w:val="right" w:pos="9360"/>
      </w:tabs>
      <w:spacing w:after="0" w:line="240" w:lineRule="auto"/>
    </w:pPr>
    <w:rPr>
      <w:sz w:val="18"/>
    </w:rPr>
  </w:style>
  <w:style w:type="character" w:customStyle="1" w:styleId="FooterChar">
    <w:name w:val="Footer Char"/>
    <w:basedOn w:val="DefaultParagraphFont"/>
    <w:link w:val="Footer"/>
    <w:locked/>
    <w:rsid w:val="008B1F47"/>
    <w:rPr>
      <w:sz w:val="18"/>
    </w:rPr>
  </w:style>
  <w:style w:type="table" w:styleId="TableGrid">
    <w:name w:val="Table Grid"/>
    <w:basedOn w:val="TableNormal"/>
    <w:uiPriority w:val="99"/>
    <w:rsid w:val="005B7B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12F11"/>
    <w:pPr>
      <w:spacing w:before="100" w:beforeAutospacing="1" w:after="100" w:afterAutospacing="1" w:line="240" w:lineRule="auto"/>
      <w:jc w:val="left"/>
    </w:pPr>
    <w:rPr>
      <w:rFonts w:ascii="Times New Roman" w:hAnsi="Times New Roman"/>
      <w:sz w:val="24"/>
      <w:szCs w:val="24"/>
    </w:rPr>
  </w:style>
  <w:style w:type="paragraph" w:styleId="TOC1">
    <w:name w:val="toc 1"/>
    <w:basedOn w:val="Normal"/>
    <w:next w:val="Normal"/>
    <w:autoRedefine/>
    <w:uiPriority w:val="39"/>
    <w:qFormat/>
    <w:rsid w:val="00A64717"/>
    <w:pPr>
      <w:tabs>
        <w:tab w:val="left" w:pos="450"/>
        <w:tab w:val="right" w:leader="dot" w:pos="9017"/>
      </w:tabs>
      <w:spacing w:before="120" w:after="120"/>
      <w:jc w:val="left"/>
    </w:pPr>
    <w:rPr>
      <w:b/>
      <w:bCs/>
      <w:caps/>
      <w:sz w:val="20"/>
    </w:rPr>
  </w:style>
  <w:style w:type="paragraph" w:styleId="TOC2">
    <w:name w:val="toc 2"/>
    <w:basedOn w:val="Normal"/>
    <w:next w:val="Normal"/>
    <w:autoRedefine/>
    <w:uiPriority w:val="39"/>
    <w:qFormat/>
    <w:rsid w:val="00CB699C"/>
    <w:pPr>
      <w:spacing w:after="0"/>
      <w:ind w:left="220"/>
      <w:jc w:val="left"/>
    </w:pPr>
    <w:rPr>
      <w:smallCaps/>
      <w:sz w:val="20"/>
    </w:rPr>
  </w:style>
  <w:style w:type="character" w:styleId="Hyperlink">
    <w:name w:val="Hyperlink"/>
    <w:basedOn w:val="DefaultParagraphFont"/>
    <w:uiPriority w:val="99"/>
    <w:rsid w:val="0010721C"/>
    <w:rPr>
      <w:rFonts w:cs="Times New Roman"/>
      <w:color w:val="0000FF"/>
      <w:u w:val="single"/>
    </w:rPr>
  </w:style>
  <w:style w:type="paragraph" w:styleId="TOC3">
    <w:name w:val="toc 3"/>
    <w:basedOn w:val="Normal"/>
    <w:next w:val="Normal"/>
    <w:autoRedefine/>
    <w:uiPriority w:val="39"/>
    <w:qFormat/>
    <w:rsid w:val="00E87B9E"/>
    <w:pPr>
      <w:spacing w:after="0"/>
      <w:ind w:left="440"/>
      <w:jc w:val="left"/>
    </w:pPr>
    <w:rPr>
      <w:i/>
      <w:iCs/>
      <w:sz w:val="20"/>
    </w:rPr>
  </w:style>
  <w:style w:type="paragraph" w:customStyle="1" w:styleId="FrontPageHeading2">
    <w:name w:val="Front Page Heading 2"/>
    <w:basedOn w:val="Normal"/>
    <w:uiPriority w:val="99"/>
    <w:rsid w:val="007652FD"/>
    <w:pPr>
      <w:tabs>
        <w:tab w:val="left" w:pos="900"/>
        <w:tab w:val="left" w:pos="7560"/>
      </w:tabs>
      <w:spacing w:before="120" w:after="120" w:line="240" w:lineRule="auto"/>
      <w:jc w:val="center"/>
      <w:outlineLvl w:val="0"/>
    </w:pPr>
    <w:rPr>
      <w:rFonts w:ascii="Arial Bold" w:hAnsi="Arial Bold" w:cs="Arial"/>
      <w:b/>
      <w:bCs/>
      <w:color w:val="000000"/>
      <w:kern w:val="28"/>
      <w:sz w:val="36"/>
      <w:szCs w:val="36"/>
    </w:rPr>
  </w:style>
  <w:style w:type="paragraph" w:customStyle="1" w:styleId="TableText">
    <w:name w:val="Table Text"/>
    <w:basedOn w:val="Normal"/>
    <w:link w:val="TableTextChar"/>
    <w:uiPriority w:val="99"/>
    <w:rsid w:val="007652FD"/>
    <w:pPr>
      <w:autoSpaceDE w:val="0"/>
      <w:autoSpaceDN w:val="0"/>
      <w:adjustRightInd w:val="0"/>
      <w:spacing w:after="0" w:line="240" w:lineRule="auto"/>
      <w:jc w:val="right"/>
    </w:pPr>
    <w:rPr>
      <w:rFonts w:cs="Calibri"/>
      <w:color w:val="000000"/>
      <w:sz w:val="18"/>
      <w:szCs w:val="22"/>
      <w:lang w:val="en-AU"/>
    </w:rPr>
  </w:style>
  <w:style w:type="character" w:customStyle="1" w:styleId="TableTextChar">
    <w:name w:val="Table Text Char"/>
    <w:basedOn w:val="DefaultParagraphFont"/>
    <w:link w:val="TableText"/>
    <w:uiPriority w:val="99"/>
    <w:locked/>
    <w:rsid w:val="007652FD"/>
    <w:rPr>
      <w:rFonts w:cs="Calibri"/>
      <w:color w:val="000000"/>
      <w:sz w:val="22"/>
      <w:szCs w:val="22"/>
      <w:lang w:val="en-AU"/>
    </w:rPr>
  </w:style>
  <w:style w:type="table" w:styleId="ColorfulList-Accent2">
    <w:name w:val="Colorful List Accent 2"/>
    <w:basedOn w:val="TableNormal"/>
    <w:uiPriority w:val="99"/>
    <w:rsid w:val="00316E7A"/>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paragraph" w:customStyle="1" w:styleId="Listbullet">
    <w:name w:val="List bullet'"/>
    <w:basedOn w:val="NoSpacing"/>
    <w:uiPriority w:val="99"/>
    <w:rsid w:val="00B14B38"/>
    <w:pPr>
      <w:numPr>
        <w:numId w:val="1"/>
      </w:numPr>
    </w:pPr>
  </w:style>
  <w:style w:type="paragraph" w:styleId="ListBullet0">
    <w:name w:val="List Bullet"/>
    <w:basedOn w:val="Normal"/>
    <w:uiPriority w:val="99"/>
    <w:rsid w:val="00B14B38"/>
    <w:pPr>
      <w:ind w:left="360" w:hanging="360"/>
    </w:pPr>
  </w:style>
  <w:style w:type="paragraph" w:styleId="TOC4">
    <w:name w:val="toc 4"/>
    <w:basedOn w:val="Normal"/>
    <w:next w:val="Normal"/>
    <w:autoRedefine/>
    <w:uiPriority w:val="99"/>
    <w:rsid w:val="007C7E5D"/>
    <w:pPr>
      <w:spacing w:after="0"/>
      <w:ind w:left="660"/>
      <w:jc w:val="left"/>
    </w:pPr>
    <w:rPr>
      <w:sz w:val="18"/>
      <w:szCs w:val="18"/>
    </w:rPr>
  </w:style>
  <w:style w:type="paragraph" w:styleId="TOC5">
    <w:name w:val="toc 5"/>
    <w:basedOn w:val="Normal"/>
    <w:next w:val="Normal"/>
    <w:autoRedefine/>
    <w:uiPriority w:val="99"/>
    <w:rsid w:val="007C7E5D"/>
    <w:pPr>
      <w:spacing w:after="0"/>
      <w:ind w:left="880"/>
      <w:jc w:val="left"/>
    </w:pPr>
    <w:rPr>
      <w:sz w:val="18"/>
      <w:szCs w:val="18"/>
    </w:rPr>
  </w:style>
  <w:style w:type="paragraph" w:styleId="TOC6">
    <w:name w:val="toc 6"/>
    <w:basedOn w:val="Normal"/>
    <w:next w:val="Normal"/>
    <w:autoRedefine/>
    <w:uiPriority w:val="99"/>
    <w:rsid w:val="007C7E5D"/>
    <w:pPr>
      <w:spacing w:after="0"/>
      <w:ind w:left="1100"/>
      <w:jc w:val="left"/>
    </w:pPr>
    <w:rPr>
      <w:sz w:val="18"/>
      <w:szCs w:val="18"/>
    </w:rPr>
  </w:style>
  <w:style w:type="paragraph" w:styleId="TOC7">
    <w:name w:val="toc 7"/>
    <w:basedOn w:val="Normal"/>
    <w:next w:val="Normal"/>
    <w:autoRedefine/>
    <w:uiPriority w:val="99"/>
    <w:rsid w:val="007C7E5D"/>
    <w:pPr>
      <w:spacing w:after="0"/>
      <w:ind w:left="1320"/>
      <w:jc w:val="left"/>
    </w:pPr>
    <w:rPr>
      <w:sz w:val="18"/>
      <w:szCs w:val="18"/>
    </w:rPr>
  </w:style>
  <w:style w:type="paragraph" w:styleId="TOC8">
    <w:name w:val="toc 8"/>
    <w:basedOn w:val="Normal"/>
    <w:next w:val="Normal"/>
    <w:autoRedefine/>
    <w:uiPriority w:val="99"/>
    <w:rsid w:val="007C7E5D"/>
    <w:pPr>
      <w:spacing w:after="0"/>
      <w:ind w:left="1540"/>
      <w:jc w:val="left"/>
    </w:pPr>
    <w:rPr>
      <w:sz w:val="18"/>
      <w:szCs w:val="18"/>
    </w:rPr>
  </w:style>
  <w:style w:type="paragraph" w:styleId="TOC9">
    <w:name w:val="toc 9"/>
    <w:basedOn w:val="Normal"/>
    <w:next w:val="Normal"/>
    <w:autoRedefine/>
    <w:uiPriority w:val="99"/>
    <w:rsid w:val="007C7E5D"/>
    <w:pPr>
      <w:spacing w:after="0"/>
      <w:ind w:left="1760"/>
      <w:jc w:val="left"/>
    </w:pPr>
    <w:rPr>
      <w:sz w:val="18"/>
      <w:szCs w:val="18"/>
    </w:rPr>
  </w:style>
  <w:style w:type="table" w:styleId="TableSimple1">
    <w:name w:val="Table Simple 1"/>
    <w:basedOn w:val="TableNormal"/>
    <w:uiPriority w:val="99"/>
    <w:rsid w:val="00193E45"/>
    <w:rPr>
      <w:rFonts w:ascii="Arial Narrow" w:eastAsia="MS Mincho" w:hAnsi="Arial Narrow"/>
      <w:sz w:val="18"/>
      <w:szCs w:val="18"/>
    </w:rPr>
    <w:tblPr>
      <w:tblBorders>
        <w:top w:val="single" w:sz="12" w:space="0" w:color="990000"/>
        <w:bottom w:val="single" w:sz="12" w:space="0" w:color="990000"/>
        <w:insideH w:val="single" w:sz="12" w:space="0" w:color="990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ectionNumber">
    <w:name w:val="Section Number"/>
    <w:basedOn w:val="Normal"/>
    <w:autoRedefine/>
    <w:uiPriority w:val="99"/>
    <w:rsid w:val="00193E45"/>
    <w:pPr>
      <w:numPr>
        <w:numId w:val="3"/>
      </w:numPr>
      <w:shd w:val="clear" w:color="auto" w:fill="800080"/>
      <w:spacing w:after="0" w:line="240" w:lineRule="auto"/>
    </w:pPr>
    <w:rPr>
      <w:rFonts w:ascii="Verdana" w:hAnsi="Verdana"/>
      <w:szCs w:val="22"/>
    </w:rPr>
  </w:style>
  <w:style w:type="paragraph" w:customStyle="1" w:styleId="Bodytextnumbered">
    <w:name w:val="Body text numbered"/>
    <w:basedOn w:val="BodyText"/>
    <w:autoRedefine/>
    <w:uiPriority w:val="99"/>
    <w:rsid w:val="00193E45"/>
    <w:pPr>
      <w:numPr>
        <w:numId w:val="4"/>
      </w:numPr>
      <w:tabs>
        <w:tab w:val="clear" w:pos="720"/>
        <w:tab w:val="num" w:pos="500"/>
      </w:tabs>
      <w:ind w:left="500" w:hanging="500"/>
    </w:pPr>
    <w:rPr>
      <w:sz w:val="21"/>
      <w:szCs w:val="22"/>
    </w:rPr>
  </w:style>
  <w:style w:type="paragraph" w:customStyle="1" w:styleId="Tablefont">
    <w:name w:val="Table font"/>
    <w:basedOn w:val="Normal"/>
    <w:link w:val="TablefontChar"/>
    <w:autoRedefine/>
    <w:uiPriority w:val="99"/>
    <w:rsid w:val="00193E45"/>
    <w:pPr>
      <w:spacing w:after="120" w:line="240" w:lineRule="auto"/>
      <w:jc w:val="left"/>
    </w:pPr>
    <w:rPr>
      <w:rFonts w:ascii="Arial Narrow" w:hAnsi="Arial Narrow" w:cs="Arial Narrow"/>
      <w:sz w:val="20"/>
      <w:szCs w:val="24"/>
    </w:rPr>
  </w:style>
  <w:style w:type="paragraph" w:customStyle="1" w:styleId="List1">
    <w:name w:val="List 1"/>
    <w:basedOn w:val="Normal"/>
    <w:uiPriority w:val="99"/>
    <w:rsid w:val="00193E45"/>
    <w:pPr>
      <w:numPr>
        <w:numId w:val="5"/>
      </w:numPr>
      <w:spacing w:after="120" w:line="240" w:lineRule="auto"/>
    </w:pPr>
    <w:rPr>
      <w:rFonts w:ascii="Arial" w:hAnsi="Arial"/>
      <w:szCs w:val="24"/>
    </w:rPr>
  </w:style>
  <w:style w:type="paragraph" w:customStyle="1" w:styleId="CONLevel1">
    <w:name w:val=".CON  Level   1."/>
    <w:basedOn w:val="Normal"/>
    <w:next w:val="Normal"/>
    <w:uiPriority w:val="99"/>
    <w:rsid w:val="00193E45"/>
    <w:pPr>
      <w:keepNext/>
      <w:numPr>
        <w:numId w:val="6"/>
      </w:numPr>
      <w:spacing w:before="240" w:after="0" w:line="240" w:lineRule="auto"/>
      <w:jc w:val="left"/>
      <w:outlineLvl w:val="1"/>
    </w:pPr>
    <w:rPr>
      <w:rFonts w:ascii="Times New Roman" w:hAnsi="Times New Roman"/>
      <w:b/>
      <w:smallCaps/>
      <w:sz w:val="24"/>
      <w:szCs w:val="24"/>
      <w:lang w:val="en-AU"/>
    </w:rPr>
  </w:style>
  <w:style w:type="paragraph" w:customStyle="1" w:styleId="CONLevel11Char">
    <w:name w:val=".CON  Level   1.1 Char"/>
    <w:basedOn w:val="Normal"/>
    <w:next w:val="Normal"/>
    <w:link w:val="CONLevel11CharChar"/>
    <w:uiPriority w:val="99"/>
    <w:rsid w:val="00193E45"/>
    <w:pPr>
      <w:numPr>
        <w:ilvl w:val="1"/>
        <w:numId w:val="6"/>
      </w:numPr>
      <w:spacing w:before="240" w:after="0" w:line="240" w:lineRule="auto"/>
      <w:jc w:val="left"/>
      <w:outlineLvl w:val="2"/>
    </w:pPr>
    <w:rPr>
      <w:rFonts w:ascii="Times New Roman" w:hAnsi="Times New Roman"/>
      <w:sz w:val="24"/>
      <w:szCs w:val="22"/>
      <w:lang w:val="en-AU"/>
    </w:rPr>
  </w:style>
  <w:style w:type="paragraph" w:customStyle="1" w:styleId="CONLevelaChar">
    <w:name w:val=".CON  Level  (a) Char"/>
    <w:basedOn w:val="Normal"/>
    <w:next w:val="Normal"/>
    <w:link w:val="CONLevelaCharChar"/>
    <w:uiPriority w:val="99"/>
    <w:rsid w:val="00193E45"/>
    <w:pPr>
      <w:numPr>
        <w:ilvl w:val="2"/>
        <w:numId w:val="6"/>
      </w:numPr>
      <w:spacing w:before="240" w:after="0" w:line="240" w:lineRule="auto"/>
      <w:jc w:val="left"/>
      <w:outlineLvl w:val="3"/>
    </w:pPr>
    <w:rPr>
      <w:rFonts w:ascii="Times New Roman" w:hAnsi="Times New Roman"/>
      <w:sz w:val="24"/>
      <w:szCs w:val="22"/>
      <w:lang w:val="en-AU"/>
    </w:rPr>
  </w:style>
  <w:style w:type="paragraph" w:customStyle="1" w:styleId="CONLeveli">
    <w:name w:val=".CON  Level  (i)"/>
    <w:basedOn w:val="Normal"/>
    <w:next w:val="Normal"/>
    <w:uiPriority w:val="99"/>
    <w:rsid w:val="00193E45"/>
    <w:pPr>
      <w:numPr>
        <w:ilvl w:val="3"/>
        <w:numId w:val="6"/>
      </w:numPr>
      <w:spacing w:before="240" w:after="0" w:line="240" w:lineRule="auto"/>
      <w:jc w:val="left"/>
      <w:outlineLvl w:val="4"/>
    </w:pPr>
    <w:rPr>
      <w:rFonts w:ascii="Times New Roman" w:hAnsi="Times New Roman"/>
      <w:sz w:val="24"/>
      <w:szCs w:val="22"/>
      <w:lang w:val="en-AU"/>
    </w:rPr>
  </w:style>
  <w:style w:type="paragraph" w:customStyle="1" w:styleId="CONLevelA">
    <w:name w:val=".CON  Level (A)"/>
    <w:basedOn w:val="Normal"/>
    <w:next w:val="Normal"/>
    <w:uiPriority w:val="99"/>
    <w:rsid w:val="00193E45"/>
    <w:pPr>
      <w:numPr>
        <w:ilvl w:val="4"/>
        <w:numId w:val="6"/>
      </w:numPr>
      <w:spacing w:before="240" w:after="0" w:line="240" w:lineRule="auto"/>
      <w:jc w:val="left"/>
      <w:outlineLvl w:val="5"/>
    </w:pPr>
    <w:rPr>
      <w:rFonts w:ascii="Times New Roman" w:hAnsi="Times New Roman"/>
      <w:sz w:val="24"/>
      <w:szCs w:val="22"/>
      <w:lang w:val="en-AU"/>
    </w:rPr>
  </w:style>
  <w:style w:type="paragraph" w:customStyle="1" w:styleId="CONLevelI0">
    <w:name w:val=".CON  Level (I)"/>
    <w:basedOn w:val="Normal"/>
    <w:next w:val="Normal"/>
    <w:uiPriority w:val="99"/>
    <w:rsid w:val="00193E45"/>
    <w:pPr>
      <w:numPr>
        <w:ilvl w:val="5"/>
        <w:numId w:val="6"/>
      </w:numPr>
      <w:spacing w:before="240" w:after="0" w:line="240" w:lineRule="auto"/>
      <w:jc w:val="left"/>
      <w:outlineLvl w:val="6"/>
    </w:pPr>
    <w:rPr>
      <w:rFonts w:ascii="Times New Roman" w:hAnsi="Times New Roman"/>
      <w:sz w:val="24"/>
      <w:szCs w:val="22"/>
      <w:lang w:val="en-AU"/>
    </w:rPr>
  </w:style>
  <w:style w:type="character" w:customStyle="1" w:styleId="CONLevel11CharChar">
    <w:name w:val=".CON  Level   1.1 Char Char"/>
    <w:basedOn w:val="DefaultParagraphFont"/>
    <w:link w:val="CONLevel11Char"/>
    <w:uiPriority w:val="99"/>
    <w:locked/>
    <w:rsid w:val="00193E45"/>
    <w:rPr>
      <w:rFonts w:ascii="Times New Roman" w:hAnsi="Times New Roman"/>
      <w:sz w:val="24"/>
      <w:szCs w:val="22"/>
      <w:lang w:eastAsia="en-US"/>
    </w:rPr>
  </w:style>
  <w:style w:type="character" w:customStyle="1" w:styleId="CONLevelaCharChar">
    <w:name w:val=".CON  Level  (a) Char Char"/>
    <w:basedOn w:val="DefaultParagraphFont"/>
    <w:link w:val="CONLevelaChar"/>
    <w:uiPriority w:val="99"/>
    <w:locked/>
    <w:rsid w:val="00193E45"/>
    <w:rPr>
      <w:rFonts w:ascii="Times New Roman" w:hAnsi="Times New Roman"/>
      <w:sz w:val="24"/>
      <w:szCs w:val="22"/>
      <w:lang w:eastAsia="en-US"/>
    </w:rPr>
  </w:style>
  <w:style w:type="character" w:styleId="PageNumber">
    <w:name w:val="page number"/>
    <w:basedOn w:val="DefaultParagraphFont"/>
    <w:uiPriority w:val="99"/>
    <w:rsid w:val="00193E45"/>
    <w:rPr>
      <w:rFonts w:cs="Times New Roman"/>
    </w:rPr>
  </w:style>
  <w:style w:type="paragraph" w:styleId="EndnoteText">
    <w:name w:val="endnote text"/>
    <w:basedOn w:val="Normal"/>
    <w:link w:val="EndnoteTextChar"/>
    <w:uiPriority w:val="99"/>
    <w:semiHidden/>
    <w:rsid w:val="00193E45"/>
    <w:pPr>
      <w:spacing w:after="0" w:line="240" w:lineRule="auto"/>
      <w:jc w:val="left"/>
    </w:pPr>
    <w:rPr>
      <w:rFonts w:ascii="Times New Roman" w:hAnsi="Times New Roman"/>
      <w:sz w:val="20"/>
    </w:rPr>
  </w:style>
  <w:style w:type="character" w:customStyle="1" w:styleId="EndnoteTextChar">
    <w:name w:val="Endnote Text Char"/>
    <w:basedOn w:val="DefaultParagraphFont"/>
    <w:link w:val="EndnoteText"/>
    <w:uiPriority w:val="99"/>
    <w:semiHidden/>
    <w:locked/>
    <w:rsid w:val="00193E45"/>
    <w:rPr>
      <w:rFonts w:ascii="Times New Roman" w:hAnsi="Times New Roman" w:cs="Times New Roman"/>
    </w:rPr>
  </w:style>
  <w:style w:type="paragraph" w:customStyle="1" w:styleId="CaptionT">
    <w:name w:val="Caption T"/>
    <w:basedOn w:val="BodyText"/>
    <w:link w:val="CaptionTChar"/>
    <w:autoRedefine/>
    <w:uiPriority w:val="99"/>
    <w:rsid w:val="00CF70E6"/>
    <w:pPr>
      <w:numPr>
        <w:numId w:val="11"/>
      </w:numPr>
      <w:tabs>
        <w:tab w:val="num" w:pos="0"/>
        <w:tab w:val="left" w:pos="500"/>
        <w:tab w:val="left" w:pos="1200"/>
      </w:tabs>
      <w:ind w:left="0" w:firstLine="0"/>
    </w:pPr>
    <w:rPr>
      <w:rFonts w:ascii="Cambria" w:hAnsi="Cambria"/>
      <w:i/>
      <w:sz w:val="18"/>
      <w:szCs w:val="18"/>
    </w:rPr>
  </w:style>
  <w:style w:type="paragraph" w:customStyle="1" w:styleId="CaptionF">
    <w:name w:val="Caption F"/>
    <w:basedOn w:val="CaptionT"/>
    <w:next w:val="BodyText"/>
    <w:autoRedefine/>
    <w:uiPriority w:val="99"/>
    <w:rsid w:val="00193E45"/>
    <w:pPr>
      <w:numPr>
        <w:numId w:val="7"/>
      </w:numPr>
      <w:tabs>
        <w:tab w:val="clear" w:pos="360"/>
        <w:tab w:val="num" w:pos="720"/>
        <w:tab w:val="num" w:pos="786"/>
      </w:tabs>
      <w:ind w:left="720" w:hanging="720"/>
    </w:pPr>
    <w:rPr>
      <w:sz w:val="20"/>
      <w:szCs w:val="20"/>
    </w:rPr>
  </w:style>
  <w:style w:type="paragraph" w:customStyle="1" w:styleId="KPI">
    <w:name w:val="KPI"/>
    <w:basedOn w:val="Heading3"/>
    <w:next w:val="BodyText"/>
    <w:link w:val="KPIChar"/>
    <w:autoRedefine/>
    <w:uiPriority w:val="99"/>
    <w:rsid w:val="00193E45"/>
    <w:pPr>
      <w:keepNext/>
      <w:tabs>
        <w:tab w:val="num" w:pos="200"/>
      </w:tabs>
      <w:spacing w:after="60" w:line="240" w:lineRule="auto"/>
      <w:ind w:left="632" w:hanging="432"/>
      <w:jc w:val="both"/>
    </w:pPr>
    <w:rPr>
      <w:rFonts w:ascii="Arial" w:hAnsi="Arial" w:cs="Arial"/>
      <w:bCs/>
      <w:i w:val="0"/>
      <w:color w:val="auto"/>
      <w:spacing w:val="0"/>
      <w:szCs w:val="26"/>
    </w:rPr>
  </w:style>
  <w:style w:type="paragraph" w:customStyle="1" w:styleId="StyleHeading2Centered">
    <w:name w:val="Style Heading 2 + Centered"/>
    <w:basedOn w:val="Normal"/>
    <w:uiPriority w:val="99"/>
    <w:rsid w:val="00193E45"/>
    <w:pPr>
      <w:numPr>
        <w:ilvl w:val="1"/>
        <w:numId w:val="7"/>
      </w:numPr>
      <w:spacing w:after="0" w:line="240" w:lineRule="auto"/>
    </w:pPr>
    <w:rPr>
      <w:rFonts w:ascii="Arial" w:hAnsi="Arial"/>
      <w:szCs w:val="22"/>
    </w:rPr>
  </w:style>
  <w:style w:type="paragraph" w:customStyle="1" w:styleId="CaptionA">
    <w:name w:val="Caption A"/>
    <w:basedOn w:val="BodyText"/>
    <w:next w:val="BodyText"/>
    <w:autoRedefine/>
    <w:uiPriority w:val="99"/>
    <w:rsid w:val="00193E45"/>
    <w:pPr>
      <w:numPr>
        <w:numId w:val="8"/>
      </w:numPr>
      <w:tabs>
        <w:tab w:val="left" w:pos="500"/>
      </w:tabs>
    </w:pPr>
    <w:rPr>
      <w:sz w:val="21"/>
      <w:szCs w:val="22"/>
    </w:rPr>
  </w:style>
  <w:style w:type="paragraph" w:customStyle="1" w:styleId="SPI">
    <w:name w:val="SPI"/>
    <w:basedOn w:val="BodyText"/>
    <w:next w:val="BodyText"/>
    <w:autoRedefine/>
    <w:uiPriority w:val="99"/>
    <w:rsid w:val="00193E45"/>
    <w:pPr>
      <w:numPr>
        <w:numId w:val="10"/>
      </w:numPr>
      <w:tabs>
        <w:tab w:val="left" w:pos="0"/>
        <w:tab w:val="left" w:pos="500"/>
        <w:tab w:val="left" w:pos="1000"/>
      </w:tabs>
      <w:ind w:hanging="1301"/>
    </w:pPr>
    <w:rPr>
      <w:b/>
      <w:sz w:val="21"/>
      <w:szCs w:val="22"/>
    </w:rPr>
  </w:style>
  <w:style w:type="character" w:customStyle="1" w:styleId="TablefontChar">
    <w:name w:val="Table font Char"/>
    <w:basedOn w:val="DefaultParagraphFont"/>
    <w:link w:val="Tablefont"/>
    <w:uiPriority w:val="99"/>
    <w:locked/>
    <w:rsid w:val="00193E45"/>
    <w:rPr>
      <w:rFonts w:ascii="Arial Narrow" w:hAnsi="Arial Narrow" w:cs="Arial Narrow"/>
      <w:sz w:val="24"/>
      <w:szCs w:val="24"/>
    </w:rPr>
  </w:style>
  <w:style w:type="character" w:customStyle="1" w:styleId="CaptionTChar">
    <w:name w:val="Caption T Char"/>
    <w:basedOn w:val="BodyTextChar"/>
    <w:link w:val="CaptionT"/>
    <w:uiPriority w:val="99"/>
    <w:locked/>
    <w:rsid w:val="00CF70E6"/>
    <w:rPr>
      <w:rFonts w:ascii="Cambria" w:hAnsi="Cambria" w:cs="Times New Roman"/>
      <w:i/>
      <w:sz w:val="18"/>
      <w:szCs w:val="18"/>
      <w:lang w:val="en-US" w:eastAsia="en-US" w:bidi="ar-SA"/>
    </w:rPr>
  </w:style>
  <w:style w:type="character" w:customStyle="1" w:styleId="KPIChar">
    <w:name w:val="KPI Char"/>
    <w:basedOn w:val="Heading3Char"/>
    <w:link w:val="KPI"/>
    <w:uiPriority w:val="99"/>
    <w:locked/>
    <w:rsid w:val="00193E45"/>
    <w:rPr>
      <w:rFonts w:ascii="Arial" w:hAnsi="Arial" w:cs="Arial"/>
      <w:b/>
      <w:bCs/>
      <w:i/>
      <w:color w:val="9D3333"/>
      <w:spacing w:val="5"/>
      <w:sz w:val="26"/>
      <w:szCs w:val="26"/>
      <w:lang w:val="en-US" w:eastAsia="en-US"/>
    </w:rPr>
  </w:style>
  <w:style w:type="paragraph" w:customStyle="1" w:styleId="Title1">
    <w:name w:val="Title 1"/>
    <w:basedOn w:val="Heading1"/>
    <w:link w:val="Title1Char"/>
    <w:autoRedefine/>
    <w:uiPriority w:val="99"/>
    <w:rsid w:val="00193E45"/>
    <w:pPr>
      <w:keepNext/>
      <w:numPr>
        <w:numId w:val="0"/>
      </w:numPr>
      <w:pBdr>
        <w:bottom w:val="none" w:sz="0" w:space="0" w:color="auto"/>
      </w:pBdr>
      <w:spacing w:before="240" w:after="120"/>
      <w:jc w:val="center"/>
    </w:pPr>
    <w:rPr>
      <w:rFonts w:ascii="Garamond" w:hAnsi="Garamond" w:cs="Arial"/>
      <w:bCs/>
      <w:smallCaps w:val="0"/>
      <w:color w:val="000080"/>
      <w:spacing w:val="0"/>
      <w:kern w:val="32"/>
      <w:sz w:val="32"/>
    </w:rPr>
  </w:style>
  <w:style w:type="paragraph" w:customStyle="1" w:styleId="Title2">
    <w:name w:val="Title 2"/>
    <w:basedOn w:val="Title1"/>
    <w:link w:val="Title2Char"/>
    <w:autoRedefine/>
    <w:uiPriority w:val="99"/>
    <w:rsid w:val="00193E45"/>
    <w:rPr>
      <w:sz w:val="72"/>
    </w:rPr>
  </w:style>
  <w:style w:type="character" w:customStyle="1" w:styleId="Title1Char">
    <w:name w:val="Title 1 Char"/>
    <w:basedOn w:val="Heading1Char"/>
    <w:link w:val="Title1"/>
    <w:uiPriority w:val="99"/>
    <w:locked/>
    <w:rsid w:val="00193E45"/>
    <w:rPr>
      <w:rFonts w:ascii="Garamond" w:hAnsi="Garamond" w:cs="Arial"/>
      <w:b/>
      <w:bCs/>
      <w:smallCaps/>
      <w:color w:val="000080"/>
      <w:spacing w:val="5"/>
      <w:kern w:val="32"/>
      <w:sz w:val="28"/>
      <w:szCs w:val="32"/>
      <w:lang w:val="en-US" w:eastAsia="en-US"/>
    </w:rPr>
  </w:style>
  <w:style w:type="character" w:customStyle="1" w:styleId="Title2Char">
    <w:name w:val="Title 2 Char"/>
    <w:basedOn w:val="Title1Char"/>
    <w:link w:val="Title2"/>
    <w:uiPriority w:val="99"/>
    <w:locked/>
    <w:rsid w:val="00193E45"/>
    <w:rPr>
      <w:rFonts w:ascii="Garamond" w:hAnsi="Garamond" w:cs="Arial"/>
      <w:b/>
      <w:bCs/>
      <w:smallCaps/>
      <w:color w:val="000080"/>
      <w:spacing w:val="5"/>
      <w:kern w:val="32"/>
      <w:sz w:val="28"/>
      <w:szCs w:val="32"/>
      <w:lang w:val="en-US" w:eastAsia="en-US"/>
    </w:rPr>
  </w:style>
  <w:style w:type="paragraph" w:customStyle="1" w:styleId="StyleSPI">
    <w:name w:val="Style SPI"/>
    <w:basedOn w:val="SPI"/>
    <w:autoRedefine/>
    <w:uiPriority w:val="99"/>
    <w:rsid w:val="00193E45"/>
    <w:pPr>
      <w:numPr>
        <w:numId w:val="9"/>
      </w:numPr>
    </w:pPr>
    <w:rPr>
      <w:bCs/>
      <w:szCs w:val="20"/>
    </w:rPr>
  </w:style>
  <w:style w:type="paragraph" w:customStyle="1" w:styleId="Tableheader">
    <w:name w:val="Table header"/>
    <w:basedOn w:val="BodyText"/>
    <w:autoRedefine/>
    <w:uiPriority w:val="99"/>
    <w:rsid w:val="00193E45"/>
    <w:pPr>
      <w:numPr>
        <w:numId w:val="13"/>
      </w:numPr>
      <w:ind w:right="-60" w:hanging="781"/>
      <w:jc w:val="both"/>
    </w:pPr>
    <w:rPr>
      <w:rFonts w:ascii="Garamond" w:hAnsi="Garamond"/>
      <w:b/>
      <w:sz w:val="18"/>
      <w:szCs w:val="18"/>
    </w:rPr>
  </w:style>
  <w:style w:type="paragraph" w:customStyle="1" w:styleId="Figureheader">
    <w:name w:val="Figure header"/>
    <w:basedOn w:val="Tableheader"/>
    <w:next w:val="BodyText"/>
    <w:autoRedefine/>
    <w:uiPriority w:val="99"/>
    <w:rsid w:val="00193E45"/>
    <w:pPr>
      <w:numPr>
        <w:numId w:val="12"/>
      </w:numPr>
      <w:spacing w:after="240"/>
      <w:ind w:right="-562"/>
      <w:jc w:val="center"/>
    </w:pPr>
    <w:rPr>
      <w:sz w:val="20"/>
      <w:szCs w:val="20"/>
    </w:rPr>
  </w:style>
  <w:style w:type="paragraph" w:styleId="ListNumber">
    <w:name w:val="List Number"/>
    <w:basedOn w:val="Normal"/>
    <w:link w:val="ListNumberChar"/>
    <w:uiPriority w:val="99"/>
    <w:rsid w:val="00193E45"/>
    <w:pPr>
      <w:tabs>
        <w:tab w:val="num" w:pos="360"/>
      </w:tabs>
      <w:ind w:left="357" w:hanging="357"/>
    </w:pPr>
  </w:style>
  <w:style w:type="table" w:styleId="ColorfulGrid-Accent2">
    <w:name w:val="Colorful Grid Accent 2"/>
    <w:basedOn w:val="TableNormal"/>
    <w:uiPriority w:val="99"/>
    <w:rsid w:val="00387BA9"/>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List1-Accent2">
    <w:name w:val="Medium List 1 Accent 2"/>
    <w:basedOn w:val="TableNormal"/>
    <w:uiPriority w:val="99"/>
    <w:rsid w:val="00387BA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paragraph" w:styleId="Revision">
    <w:name w:val="Revision"/>
    <w:hidden/>
    <w:uiPriority w:val="99"/>
    <w:semiHidden/>
    <w:rsid w:val="00246120"/>
    <w:rPr>
      <w:sz w:val="22"/>
      <w:lang w:val="en-US" w:eastAsia="en-US"/>
    </w:rPr>
  </w:style>
  <w:style w:type="paragraph" w:styleId="TableofFigures">
    <w:name w:val="table of figures"/>
    <w:basedOn w:val="Normal"/>
    <w:next w:val="Normal"/>
    <w:uiPriority w:val="99"/>
    <w:rsid w:val="000740E5"/>
    <w:pPr>
      <w:spacing w:after="0"/>
      <w:ind w:left="440" w:hanging="440"/>
      <w:jc w:val="left"/>
    </w:pPr>
    <w:rPr>
      <w:smallCaps/>
      <w:sz w:val="20"/>
    </w:rPr>
  </w:style>
  <w:style w:type="character" w:styleId="FollowedHyperlink">
    <w:name w:val="FollowedHyperlink"/>
    <w:basedOn w:val="DefaultParagraphFont"/>
    <w:uiPriority w:val="99"/>
    <w:semiHidden/>
    <w:rsid w:val="00C9434D"/>
    <w:rPr>
      <w:rFonts w:cs="Times New Roman"/>
      <w:color w:val="800080"/>
      <w:u w:val="single"/>
    </w:rPr>
  </w:style>
  <w:style w:type="character" w:customStyle="1" w:styleId="CharChar15">
    <w:name w:val="Char Char15"/>
    <w:basedOn w:val="DefaultParagraphFont"/>
    <w:uiPriority w:val="99"/>
    <w:rsid w:val="007145A0"/>
    <w:rPr>
      <w:rFonts w:ascii="Cambria" w:hAnsi="Cambria" w:cs="Times New Roman"/>
      <w:b/>
      <w:color w:val="C0504D"/>
      <w:spacing w:val="5"/>
      <w:sz w:val="28"/>
      <w:szCs w:val="28"/>
      <w:lang w:val="en-US" w:eastAsia="en-US"/>
    </w:rPr>
  </w:style>
  <w:style w:type="character" w:customStyle="1" w:styleId="CharChar14">
    <w:name w:val="Char Char14"/>
    <w:basedOn w:val="DefaultParagraphFont"/>
    <w:uiPriority w:val="99"/>
    <w:rsid w:val="007145A0"/>
    <w:rPr>
      <w:rFonts w:ascii="Cambria" w:hAnsi="Cambria" w:cs="Times New Roman"/>
      <w:b/>
      <w:i/>
      <w:color w:val="C0504D"/>
      <w:spacing w:val="5"/>
      <w:sz w:val="24"/>
      <w:szCs w:val="24"/>
      <w:lang w:val="en-US" w:eastAsia="en-US"/>
    </w:rPr>
  </w:style>
  <w:style w:type="character" w:customStyle="1" w:styleId="CharChar3">
    <w:name w:val="Char Char3"/>
    <w:basedOn w:val="DefaultParagraphFont"/>
    <w:uiPriority w:val="99"/>
    <w:rsid w:val="007145A0"/>
    <w:rPr>
      <w:rFonts w:ascii="Arial" w:hAnsi="Arial" w:cs="Times New Roman"/>
      <w:sz w:val="24"/>
      <w:szCs w:val="24"/>
      <w:lang w:val="en-US" w:eastAsia="en-US" w:bidi="ar-SA"/>
    </w:rPr>
  </w:style>
  <w:style w:type="paragraph" w:customStyle="1" w:styleId="Paraheading">
    <w:name w:val="Para heading"/>
    <w:basedOn w:val="ListNumber"/>
    <w:link w:val="ParaheadingChar"/>
    <w:uiPriority w:val="99"/>
    <w:rsid w:val="007145A0"/>
    <w:pPr>
      <w:tabs>
        <w:tab w:val="clear" w:pos="360"/>
      </w:tabs>
      <w:ind w:left="0" w:firstLine="0"/>
    </w:pPr>
    <w:rPr>
      <w:b/>
      <w:lang w:val="en-AU"/>
    </w:rPr>
  </w:style>
  <w:style w:type="character" w:customStyle="1" w:styleId="ListNumberChar">
    <w:name w:val="List Number Char"/>
    <w:basedOn w:val="DefaultParagraphFont"/>
    <w:link w:val="ListNumber"/>
    <w:uiPriority w:val="99"/>
    <w:locked/>
    <w:rsid w:val="007145A0"/>
    <w:rPr>
      <w:rFonts w:cs="Times New Roman"/>
      <w:sz w:val="20"/>
      <w:szCs w:val="20"/>
    </w:rPr>
  </w:style>
  <w:style w:type="character" w:customStyle="1" w:styleId="ParaheadingChar">
    <w:name w:val="Para heading Char"/>
    <w:basedOn w:val="ListNumberChar"/>
    <w:link w:val="Paraheading"/>
    <w:uiPriority w:val="99"/>
    <w:locked/>
    <w:rsid w:val="007145A0"/>
    <w:rPr>
      <w:rFonts w:cs="Times New Roman"/>
      <w:b/>
      <w:sz w:val="20"/>
      <w:szCs w:val="20"/>
      <w:lang w:val="en-AU"/>
    </w:rPr>
  </w:style>
  <w:style w:type="character" w:styleId="CommentReference">
    <w:name w:val="annotation reference"/>
    <w:basedOn w:val="DefaultParagraphFont"/>
    <w:uiPriority w:val="99"/>
    <w:semiHidden/>
    <w:locked/>
    <w:rsid w:val="00D50A33"/>
    <w:rPr>
      <w:rFonts w:cs="Times New Roman"/>
      <w:sz w:val="16"/>
      <w:szCs w:val="16"/>
    </w:rPr>
  </w:style>
  <w:style w:type="paragraph" w:styleId="CommentText">
    <w:name w:val="annotation text"/>
    <w:basedOn w:val="Normal"/>
    <w:link w:val="CommentTextChar"/>
    <w:uiPriority w:val="99"/>
    <w:semiHidden/>
    <w:locked/>
    <w:rsid w:val="00D50A33"/>
    <w:pPr>
      <w:spacing w:line="240" w:lineRule="auto"/>
    </w:pPr>
    <w:rPr>
      <w:sz w:val="20"/>
    </w:rPr>
  </w:style>
  <w:style w:type="character" w:customStyle="1" w:styleId="CommentTextChar">
    <w:name w:val="Comment Text Char"/>
    <w:basedOn w:val="DefaultParagraphFont"/>
    <w:link w:val="CommentText"/>
    <w:uiPriority w:val="99"/>
    <w:semiHidden/>
    <w:locked/>
    <w:rsid w:val="00D50A33"/>
    <w:rPr>
      <w:rFonts w:cs="Times New Roman"/>
      <w:sz w:val="20"/>
      <w:szCs w:val="20"/>
    </w:rPr>
  </w:style>
  <w:style w:type="paragraph" w:styleId="CommentSubject">
    <w:name w:val="annotation subject"/>
    <w:basedOn w:val="CommentText"/>
    <w:next w:val="CommentText"/>
    <w:link w:val="CommentSubjectChar"/>
    <w:uiPriority w:val="99"/>
    <w:semiHidden/>
    <w:locked/>
    <w:rsid w:val="00D50A33"/>
    <w:rPr>
      <w:b/>
      <w:bCs/>
    </w:rPr>
  </w:style>
  <w:style w:type="character" w:customStyle="1" w:styleId="CommentSubjectChar">
    <w:name w:val="Comment Subject Char"/>
    <w:basedOn w:val="CommentTextChar"/>
    <w:link w:val="CommentSubject"/>
    <w:uiPriority w:val="99"/>
    <w:semiHidden/>
    <w:locked/>
    <w:rsid w:val="00D50A33"/>
    <w:rPr>
      <w:rFonts w:cs="Times New Roman"/>
      <w:b/>
      <w:bCs/>
      <w:sz w:val="20"/>
      <w:szCs w:val="20"/>
    </w:rPr>
  </w:style>
  <w:style w:type="paragraph" w:styleId="ListNumber2">
    <w:name w:val="List Number 2"/>
    <w:basedOn w:val="Normal"/>
    <w:uiPriority w:val="99"/>
    <w:locked/>
    <w:rsid w:val="00D616D5"/>
    <w:pPr>
      <w:numPr>
        <w:numId w:val="15"/>
      </w:numPr>
    </w:pPr>
  </w:style>
  <w:style w:type="numbering" w:styleId="111111">
    <w:name w:val="Outline List 2"/>
    <w:basedOn w:val="NoList"/>
    <w:uiPriority w:val="99"/>
    <w:semiHidden/>
    <w:unhideWhenUsed/>
    <w:locked/>
    <w:rsid w:val="00394A45"/>
    <w:pPr>
      <w:numPr>
        <w:numId w:val="4"/>
      </w:numPr>
    </w:pPr>
  </w:style>
  <w:style w:type="character" w:customStyle="1" w:styleId="apple-style-span">
    <w:name w:val="apple-style-span"/>
    <w:basedOn w:val="DefaultParagraphFont"/>
    <w:rsid w:val="00EE485C"/>
  </w:style>
  <w:style w:type="table" w:customStyle="1" w:styleId="LightList-Accent11">
    <w:name w:val="Light List - Accent 11"/>
    <w:basedOn w:val="TableNormal"/>
    <w:uiPriority w:val="61"/>
    <w:rsid w:val="00AF0E1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AF0E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
    <w:name w:val="Medium Shading 1 - Accent 11"/>
    <w:basedOn w:val="TableNormal"/>
    <w:uiPriority w:val="63"/>
    <w:rsid w:val="0034555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xl63">
    <w:name w:val="xl63"/>
    <w:basedOn w:val="Normal"/>
    <w:rsid w:val="009E5C27"/>
    <w:pPr>
      <w:spacing w:before="100" w:beforeAutospacing="1" w:after="100" w:afterAutospacing="1" w:line="240" w:lineRule="auto"/>
      <w:jc w:val="left"/>
    </w:pPr>
    <w:rPr>
      <w:rFonts w:ascii="Times New Roman" w:hAnsi="Times New Roman"/>
      <w:sz w:val="20"/>
      <w:lang w:val="en-AU" w:eastAsia="en-AU"/>
    </w:rPr>
  </w:style>
  <w:style w:type="paragraph" w:customStyle="1" w:styleId="xl64">
    <w:name w:val="xl64"/>
    <w:basedOn w:val="Normal"/>
    <w:rsid w:val="009E5C27"/>
    <w:pPr>
      <w:spacing w:before="100" w:beforeAutospacing="1" w:after="100" w:afterAutospacing="1" w:line="240" w:lineRule="auto"/>
      <w:jc w:val="left"/>
    </w:pPr>
    <w:rPr>
      <w:rFonts w:ascii="Times New Roman" w:hAnsi="Times New Roman"/>
      <w:sz w:val="20"/>
      <w:lang w:val="en-AU" w:eastAsia="en-AU"/>
    </w:rPr>
  </w:style>
  <w:style w:type="paragraph" w:customStyle="1" w:styleId="xl65">
    <w:name w:val="xl65"/>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6">
    <w:name w:val="xl66"/>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7">
    <w:name w:val="xl67"/>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8">
    <w:name w:val="xl68"/>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8"/>
      <w:szCs w:val="18"/>
      <w:lang w:val="en-AU" w:eastAsia="en-AU"/>
    </w:rPr>
  </w:style>
  <w:style w:type="paragraph" w:customStyle="1" w:styleId="xl69">
    <w:name w:val="xl69"/>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70">
    <w:name w:val="xl70"/>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8"/>
      <w:szCs w:val="18"/>
      <w:lang w:val="en-AU" w:eastAsia="en-AU"/>
    </w:rPr>
  </w:style>
  <w:style w:type="paragraph" w:customStyle="1" w:styleId="xl71">
    <w:name w:val="xl71"/>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8"/>
      <w:szCs w:val="18"/>
      <w:lang w:val="en-AU" w:eastAsia="en-AU"/>
    </w:rPr>
  </w:style>
  <w:style w:type="paragraph" w:customStyle="1" w:styleId="xl72">
    <w:name w:val="xl72"/>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Narrow" w:hAnsi="Arial Narrow"/>
      <w:sz w:val="18"/>
      <w:szCs w:val="18"/>
      <w:lang w:val="en-AU" w:eastAsia="en-AU"/>
    </w:rPr>
  </w:style>
  <w:style w:type="paragraph" w:customStyle="1" w:styleId="xl73">
    <w:name w:val="xl73"/>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table" w:customStyle="1" w:styleId="MediumShading2-Accent11">
    <w:name w:val="Medium Shading 2 - Accent 11"/>
    <w:basedOn w:val="TableNormal"/>
    <w:uiPriority w:val="64"/>
    <w:rsid w:val="00EC74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836A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Bullet3">
    <w:name w:val="List Bullet 3"/>
    <w:basedOn w:val="Normal"/>
    <w:uiPriority w:val="99"/>
    <w:semiHidden/>
    <w:unhideWhenUsed/>
    <w:locked/>
    <w:rsid w:val="00337A9C"/>
    <w:pPr>
      <w:numPr>
        <w:numId w:val="18"/>
      </w:numPr>
      <w:contextualSpacing/>
    </w:pPr>
  </w:style>
  <w:style w:type="paragraph" w:customStyle="1" w:styleId="BlueHeadingindent">
    <w:name w:val="Blue Heading indent"/>
    <w:basedOn w:val="Normal"/>
    <w:rsid w:val="002F6F86"/>
    <w:pPr>
      <w:tabs>
        <w:tab w:val="left" w:pos="2340"/>
      </w:tabs>
      <w:spacing w:after="240"/>
    </w:pPr>
    <w:rPr>
      <w:rFonts w:ascii="Helvetica" w:hAnsi="Helvetica"/>
      <w:smallCaps/>
      <w:color w:val="004071"/>
      <w:sz w:val="48"/>
      <w:szCs w:val="48"/>
      <w:lang w:val="en-AU"/>
    </w:rPr>
  </w:style>
  <w:style w:type="paragraph" w:customStyle="1" w:styleId="Style16ptBoldCenteredAfter0pt">
    <w:name w:val="Style 16 pt Bold Centered After:  0 pt"/>
    <w:basedOn w:val="Normal"/>
    <w:rsid w:val="002F6F86"/>
    <w:pPr>
      <w:spacing w:after="240" w:line="240" w:lineRule="auto"/>
      <w:jc w:val="center"/>
    </w:pPr>
    <w:rPr>
      <w:rFonts w:eastAsia="Calibri" w:cs="Garamond"/>
      <w:b/>
      <w:bCs/>
      <w:sz w:val="40"/>
      <w:szCs w:val="4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020">
      <w:bodyDiv w:val="1"/>
      <w:marLeft w:val="0"/>
      <w:marRight w:val="0"/>
      <w:marTop w:val="0"/>
      <w:marBottom w:val="0"/>
      <w:divBdr>
        <w:top w:val="none" w:sz="0" w:space="0" w:color="auto"/>
        <w:left w:val="none" w:sz="0" w:space="0" w:color="auto"/>
        <w:bottom w:val="none" w:sz="0" w:space="0" w:color="auto"/>
        <w:right w:val="none" w:sz="0" w:space="0" w:color="auto"/>
      </w:divBdr>
    </w:div>
    <w:div w:id="109864661">
      <w:bodyDiv w:val="1"/>
      <w:marLeft w:val="0"/>
      <w:marRight w:val="0"/>
      <w:marTop w:val="0"/>
      <w:marBottom w:val="0"/>
      <w:divBdr>
        <w:top w:val="none" w:sz="0" w:space="0" w:color="auto"/>
        <w:left w:val="none" w:sz="0" w:space="0" w:color="auto"/>
        <w:bottom w:val="none" w:sz="0" w:space="0" w:color="auto"/>
        <w:right w:val="none" w:sz="0" w:space="0" w:color="auto"/>
      </w:divBdr>
    </w:div>
    <w:div w:id="373769941">
      <w:bodyDiv w:val="1"/>
      <w:marLeft w:val="0"/>
      <w:marRight w:val="0"/>
      <w:marTop w:val="0"/>
      <w:marBottom w:val="0"/>
      <w:divBdr>
        <w:top w:val="none" w:sz="0" w:space="0" w:color="auto"/>
        <w:left w:val="none" w:sz="0" w:space="0" w:color="auto"/>
        <w:bottom w:val="none" w:sz="0" w:space="0" w:color="auto"/>
        <w:right w:val="none" w:sz="0" w:space="0" w:color="auto"/>
      </w:divBdr>
    </w:div>
    <w:div w:id="443575794">
      <w:bodyDiv w:val="1"/>
      <w:marLeft w:val="0"/>
      <w:marRight w:val="0"/>
      <w:marTop w:val="0"/>
      <w:marBottom w:val="0"/>
      <w:divBdr>
        <w:top w:val="none" w:sz="0" w:space="0" w:color="auto"/>
        <w:left w:val="none" w:sz="0" w:space="0" w:color="auto"/>
        <w:bottom w:val="none" w:sz="0" w:space="0" w:color="auto"/>
        <w:right w:val="none" w:sz="0" w:space="0" w:color="auto"/>
      </w:divBdr>
    </w:div>
    <w:div w:id="488446493">
      <w:bodyDiv w:val="1"/>
      <w:marLeft w:val="0"/>
      <w:marRight w:val="0"/>
      <w:marTop w:val="0"/>
      <w:marBottom w:val="0"/>
      <w:divBdr>
        <w:top w:val="none" w:sz="0" w:space="0" w:color="auto"/>
        <w:left w:val="none" w:sz="0" w:space="0" w:color="auto"/>
        <w:bottom w:val="none" w:sz="0" w:space="0" w:color="auto"/>
        <w:right w:val="none" w:sz="0" w:space="0" w:color="auto"/>
      </w:divBdr>
    </w:div>
    <w:div w:id="653025254">
      <w:bodyDiv w:val="1"/>
      <w:marLeft w:val="0"/>
      <w:marRight w:val="0"/>
      <w:marTop w:val="0"/>
      <w:marBottom w:val="0"/>
      <w:divBdr>
        <w:top w:val="none" w:sz="0" w:space="0" w:color="auto"/>
        <w:left w:val="none" w:sz="0" w:space="0" w:color="auto"/>
        <w:bottom w:val="none" w:sz="0" w:space="0" w:color="auto"/>
        <w:right w:val="none" w:sz="0" w:space="0" w:color="auto"/>
      </w:divBdr>
    </w:div>
    <w:div w:id="776560314">
      <w:bodyDiv w:val="1"/>
      <w:marLeft w:val="0"/>
      <w:marRight w:val="0"/>
      <w:marTop w:val="0"/>
      <w:marBottom w:val="0"/>
      <w:divBdr>
        <w:top w:val="none" w:sz="0" w:space="0" w:color="auto"/>
        <w:left w:val="none" w:sz="0" w:space="0" w:color="auto"/>
        <w:bottom w:val="none" w:sz="0" w:space="0" w:color="auto"/>
        <w:right w:val="none" w:sz="0" w:space="0" w:color="auto"/>
      </w:divBdr>
    </w:div>
    <w:div w:id="1043408884">
      <w:bodyDiv w:val="1"/>
      <w:marLeft w:val="0"/>
      <w:marRight w:val="0"/>
      <w:marTop w:val="0"/>
      <w:marBottom w:val="0"/>
      <w:divBdr>
        <w:top w:val="none" w:sz="0" w:space="0" w:color="auto"/>
        <w:left w:val="none" w:sz="0" w:space="0" w:color="auto"/>
        <w:bottom w:val="none" w:sz="0" w:space="0" w:color="auto"/>
        <w:right w:val="none" w:sz="0" w:space="0" w:color="auto"/>
      </w:divBdr>
    </w:div>
    <w:div w:id="1196381608">
      <w:bodyDiv w:val="1"/>
      <w:marLeft w:val="0"/>
      <w:marRight w:val="0"/>
      <w:marTop w:val="0"/>
      <w:marBottom w:val="0"/>
      <w:divBdr>
        <w:top w:val="none" w:sz="0" w:space="0" w:color="auto"/>
        <w:left w:val="none" w:sz="0" w:space="0" w:color="auto"/>
        <w:bottom w:val="none" w:sz="0" w:space="0" w:color="auto"/>
        <w:right w:val="none" w:sz="0" w:space="0" w:color="auto"/>
      </w:divBdr>
    </w:div>
    <w:div w:id="1225028249">
      <w:bodyDiv w:val="1"/>
      <w:marLeft w:val="0"/>
      <w:marRight w:val="0"/>
      <w:marTop w:val="0"/>
      <w:marBottom w:val="0"/>
      <w:divBdr>
        <w:top w:val="none" w:sz="0" w:space="0" w:color="auto"/>
        <w:left w:val="none" w:sz="0" w:space="0" w:color="auto"/>
        <w:bottom w:val="none" w:sz="0" w:space="0" w:color="auto"/>
        <w:right w:val="none" w:sz="0" w:space="0" w:color="auto"/>
      </w:divBdr>
    </w:div>
    <w:div w:id="1342272511">
      <w:bodyDiv w:val="1"/>
      <w:marLeft w:val="0"/>
      <w:marRight w:val="0"/>
      <w:marTop w:val="0"/>
      <w:marBottom w:val="0"/>
      <w:divBdr>
        <w:top w:val="none" w:sz="0" w:space="0" w:color="auto"/>
        <w:left w:val="none" w:sz="0" w:space="0" w:color="auto"/>
        <w:bottom w:val="none" w:sz="0" w:space="0" w:color="auto"/>
        <w:right w:val="none" w:sz="0" w:space="0" w:color="auto"/>
      </w:divBdr>
    </w:div>
    <w:div w:id="1462917386">
      <w:bodyDiv w:val="1"/>
      <w:marLeft w:val="0"/>
      <w:marRight w:val="0"/>
      <w:marTop w:val="0"/>
      <w:marBottom w:val="0"/>
      <w:divBdr>
        <w:top w:val="none" w:sz="0" w:space="0" w:color="auto"/>
        <w:left w:val="none" w:sz="0" w:space="0" w:color="auto"/>
        <w:bottom w:val="none" w:sz="0" w:space="0" w:color="auto"/>
        <w:right w:val="none" w:sz="0" w:space="0" w:color="auto"/>
      </w:divBdr>
    </w:div>
    <w:div w:id="1499996670">
      <w:bodyDiv w:val="1"/>
      <w:marLeft w:val="0"/>
      <w:marRight w:val="0"/>
      <w:marTop w:val="0"/>
      <w:marBottom w:val="0"/>
      <w:divBdr>
        <w:top w:val="none" w:sz="0" w:space="0" w:color="auto"/>
        <w:left w:val="none" w:sz="0" w:space="0" w:color="auto"/>
        <w:bottom w:val="none" w:sz="0" w:space="0" w:color="auto"/>
        <w:right w:val="none" w:sz="0" w:space="0" w:color="auto"/>
      </w:divBdr>
    </w:div>
    <w:div w:id="1861427970">
      <w:bodyDiv w:val="1"/>
      <w:marLeft w:val="0"/>
      <w:marRight w:val="0"/>
      <w:marTop w:val="0"/>
      <w:marBottom w:val="0"/>
      <w:divBdr>
        <w:top w:val="none" w:sz="0" w:space="0" w:color="auto"/>
        <w:left w:val="none" w:sz="0" w:space="0" w:color="auto"/>
        <w:bottom w:val="none" w:sz="0" w:space="0" w:color="auto"/>
        <w:right w:val="none" w:sz="0" w:space="0" w:color="auto"/>
      </w:divBdr>
    </w:div>
    <w:div w:id="1952475395">
      <w:marLeft w:val="0"/>
      <w:marRight w:val="0"/>
      <w:marTop w:val="0"/>
      <w:marBottom w:val="0"/>
      <w:divBdr>
        <w:top w:val="none" w:sz="0" w:space="0" w:color="auto"/>
        <w:left w:val="none" w:sz="0" w:space="0" w:color="auto"/>
        <w:bottom w:val="none" w:sz="0" w:space="0" w:color="auto"/>
        <w:right w:val="none" w:sz="0" w:space="0" w:color="auto"/>
      </w:divBdr>
    </w:div>
    <w:div w:id="1952475396">
      <w:marLeft w:val="0"/>
      <w:marRight w:val="0"/>
      <w:marTop w:val="0"/>
      <w:marBottom w:val="0"/>
      <w:divBdr>
        <w:top w:val="none" w:sz="0" w:space="0" w:color="auto"/>
        <w:left w:val="none" w:sz="0" w:space="0" w:color="auto"/>
        <w:bottom w:val="none" w:sz="0" w:space="0" w:color="auto"/>
        <w:right w:val="none" w:sz="0" w:space="0" w:color="auto"/>
      </w:divBdr>
    </w:div>
    <w:div w:id="1952475397">
      <w:marLeft w:val="0"/>
      <w:marRight w:val="0"/>
      <w:marTop w:val="0"/>
      <w:marBottom w:val="0"/>
      <w:divBdr>
        <w:top w:val="none" w:sz="0" w:space="0" w:color="auto"/>
        <w:left w:val="none" w:sz="0" w:space="0" w:color="auto"/>
        <w:bottom w:val="none" w:sz="0" w:space="0" w:color="auto"/>
        <w:right w:val="none" w:sz="0" w:space="0" w:color="auto"/>
      </w:divBdr>
    </w:div>
    <w:div w:id="1952475398">
      <w:marLeft w:val="0"/>
      <w:marRight w:val="0"/>
      <w:marTop w:val="0"/>
      <w:marBottom w:val="0"/>
      <w:divBdr>
        <w:top w:val="none" w:sz="0" w:space="0" w:color="auto"/>
        <w:left w:val="none" w:sz="0" w:space="0" w:color="auto"/>
        <w:bottom w:val="none" w:sz="0" w:space="0" w:color="auto"/>
        <w:right w:val="none" w:sz="0" w:space="0" w:color="auto"/>
      </w:divBdr>
    </w:div>
    <w:div w:id="1952475400">
      <w:marLeft w:val="0"/>
      <w:marRight w:val="0"/>
      <w:marTop w:val="0"/>
      <w:marBottom w:val="0"/>
      <w:divBdr>
        <w:top w:val="none" w:sz="0" w:space="0" w:color="auto"/>
        <w:left w:val="none" w:sz="0" w:space="0" w:color="auto"/>
        <w:bottom w:val="none" w:sz="0" w:space="0" w:color="auto"/>
        <w:right w:val="none" w:sz="0" w:space="0" w:color="auto"/>
      </w:divBdr>
    </w:div>
    <w:div w:id="1952475401">
      <w:marLeft w:val="0"/>
      <w:marRight w:val="0"/>
      <w:marTop w:val="0"/>
      <w:marBottom w:val="0"/>
      <w:divBdr>
        <w:top w:val="none" w:sz="0" w:space="0" w:color="auto"/>
        <w:left w:val="none" w:sz="0" w:space="0" w:color="auto"/>
        <w:bottom w:val="none" w:sz="0" w:space="0" w:color="auto"/>
        <w:right w:val="none" w:sz="0" w:space="0" w:color="auto"/>
      </w:divBdr>
    </w:div>
    <w:div w:id="1952475402">
      <w:marLeft w:val="0"/>
      <w:marRight w:val="0"/>
      <w:marTop w:val="0"/>
      <w:marBottom w:val="0"/>
      <w:divBdr>
        <w:top w:val="none" w:sz="0" w:space="0" w:color="auto"/>
        <w:left w:val="none" w:sz="0" w:space="0" w:color="auto"/>
        <w:bottom w:val="none" w:sz="0" w:space="0" w:color="auto"/>
        <w:right w:val="none" w:sz="0" w:space="0" w:color="auto"/>
      </w:divBdr>
      <w:divsChild>
        <w:div w:id="1952475405">
          <w:marLeft w:val="0"/>
          <w:marRight w:val="0"/>
          <w:marTop w:val="0"/>
          <w:marBottom w:val="0"/>
          <w:divBdr>
            <w:top w:val="none" w:sz="0" w:space="0" w:color="auto"/>
            <w:left w:val="none" w:sz="0" w:space="0" w:color="auto"/>
            <w:bottom w:val="none" w:sz="0" w:space="0" w:color="auto"/>
            <w:right w:val="none" w:sz="0" w:space="0" w:color="auto"/>
          </w:divBdr>
          <w:divsChild>
            <w:div w:id="1952475404">
              <w:marLeft w:val="0"/>
              <w:marRight w:val="0"/>
              <w:marTop w:val="0"/>
              <w:marBottom w:val="0"/>
              <w:divBdr>
                <w:top w:val="none" w:sz="0" w:space="0" w:color="auto"/>
                <w:left w:val="none" w:sz="0" w:space="0" w:color="auto"/>
                <w:bottom w:val="none" w:sz="0" w:space="0" w:color="auto"/>
                <w:right w:val="none" w:sz="0" w:space="0" w:color="auto"/>
              </w:divBdr>
              <w:divsChild>
                <w:div w:id="19524753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52475403">
      <w:marLeft w:val="0"/>
      <w:marRight w:val="0"/>
      <w:marTop w:val="0"/>
      <w:marBottom w:val="0"/>
      <w:divBdr>
        <w:top w:val="none" w:sz="0" w:space="0" w:color="auto"/>
        <w:left w:val="none" w:sz="0" w:space="0" w:color="auto"/>
        <w:bottom w:val="none" w:sz="0" w:space="0" w:color="auto"/>
        <w:right w:val="none" w:sz="0" w:space="0" w:color="auto"/>
      </w:divBdr>
    </w:div>
    <w:div w:id="1952475406">
      <w:marLeft w:val="0"/>
      <w:marRight w:val="0"/>
      <w:marTop w:val="0"/>
      <w:marBottom w:val="0"/>
      <w:divBdr>
        <w:top w:val="none" w:sz="0" w:space="0" w:color="auto"/>
        <w:left w:val="none" w:sz="0" w:space="0" w:color="auto"/>
        <w:bottom w:val="none" w:sz="0" w:space="0" w:color="auto"/>
        <w:right w:val="none" w:sz="0" w:space="0" w:color="auto"/>
      </w:divBdr>
    </w:div>
    <w:div w:id="1952475407">
      <w:marLeft w:val="0"/>
      <w:marRight w:val="0"/>
      <w:marTop w:val="0"/>
      <w:marBottom w:val="0"/>
      <w:divBdr>
        <w:top w:val="none" w:sz="0" w:space="0" w:color="auto"/>
        <w:left w:val="none" w:sz="0" w:space="0" w:color="auto"/>
        <w:bottom w:val="none" w:sz="0" w:space="0" w:color="auto"/>
        <w:right w:val="none" w:sz="0" w:space="0" w:color="auto"/>
      </w:divBdr>
    </w:div>
    <w:div w:id="1952475408">
      <w:marLeft w:val="0"/>
      <w:marRight w:val="0"/>
      <w:marTop w:val="0"/>
      <w:marBottom w:val="0"/>
      <w:divBdr>
        <w:top w:val="none" w:sz="0" w:space="0" w:color="auto"/>
        <w:left w:val="none" w:sz="0" w:space="0" w:color="auto"/>
        <w:bottom w:val="none" w:sz="0" w:space="0" w:color="auto"/>
        <w:right w:val="none" w:sz="0" w:space="0" w:color="auto"/>
      </w:divBdr>
    </w:div>
    <w:div w:id="1952475409">
      <w:marLeft w:val="0"/>
      <w:marRight w:val="0"/>
      <w:marTop w:val="0"/>
      <w:marBottom w:val="0"/>
      <w:divBdr>
        <w:top w:val="none" w:sz="0" w:space="0" w:color="auto"/>
        <w:left w:val="none" w:sz="0" w:space="0" w:color="auto"/>
        <w:bottom w:val="none" w:sz="0" w:space="0" w:color="auto"/>
        <w:right w:val="none" w:sz="0" w:space="0" w:color="auto"/>
      </w:divBdr>
    </w:div>
    <w:div w:id="1952475410">
      <w:marLeft w:val="0"/>
      <w:marRight w:val="0"/>
      <w:marTop w:val="0"/>
      <w:marBottom w:val="0"/>
      <w:divBdr>
        <w:top w:val="none" w:sz="0" w:space="0" w:color="auto"/>
        <w:left w:val="none" w:sz="0" w:space="0" w:color="auto"/>
        <w:bottom w:val="none" w:sz="0" w:space="0" w:color="auto"/>
        <w:right w:val="none" w:sz="0" w:space="0" w:color="auto"/>
      </w:divBdr>
    </w:div>
    <w:div w:id="1952475411">
      <w:marLeft w:val="0"/>
      <w:marRight w:val="0"/>
      <w:marTop w:val="0"/>
      <w:marBottom w:val="0"/>
      <w:divBdr>
        <w:top w:val="none" w:sz="0" w:space="0" w:color="auto"/>
        <w:left w:val="none" w:sz="0" w:space="0" w:color="auto"/>
        <w:bottom w:val="none" w:sz="0" w:space="0" w:color="auto"/>
        <w:right w:val="none" w:sz="0" w:space="0" w:color="auto"/>
      </w:divBdr>
    </w:div>
    <w:div w:id="1952475412">
      <w:marLeft w:val="0"/>
      <w:marRight w:val="0"/>
      <w:marTop w:val="0"/>
      <w:marBottom w:val="0"/>
      <w:divBdr>
        <w:top w:val="none" w:sz="0" w:space="0" w:color="auto"/>
        <w:left w:val="none" w:sz="0" w:space="0" w:color="auto"/>
        <w:bottom w:val="none" w:sz="0" w:space="0" w:color="auto"/>
        <w:right w:val="none" w:sz="0" w:space="0" w:color="auto"/>
      </w:divBdr>
    </w:div>
    <w:div w:id="1952475413">
      <w:marLeft w:val="0"/>
      <w:marRight w:val="0"/>
      <w:marTop w:val="0"/>
      <w:marBottom w:val="0"/>
      <w:divBdr>
        <w:top w:val="none" w:sz="0" w:space="0" w:color="auto"/>
        <w:left w:val="none" w:sz="0" w:space="0" w:color="auto"/>
        <w:bottom w:val="none" w:sz="0" w:space="0" w:color="auto"/>
        <w:right w:val="none" w:sz="0" w:space="0" w:color="auto"/>
      </w:divBdr>
    </w:div>
    <w:div w:id="1952475414">
      <w:marLeft w:val="0"/>
      <w:marRight w:val="0"/>
      <w:marTop w:val="0"/>
      <w:marBottom w:val="0"/>
      <w:divBdr>
        <w:top w:val="none" w:sz="0" w:space="0" w:color="auto"/>
        <w:left w:val="none" w:sz="0" w:space="0" w:color="auto"/>
        <w:bottom w:val="none" w:sz="0" w:space="0" w:color="auto"/>
        <w:right w:val="none" w:sz="0" w:space="0" w:color="auto"/>
      </w:divBdr>
    </w:div>
    <w:div w:id="1952475415">
      <w:marLeft w:val="0"/>
      <w:marRight w:val="0"/>
      <w:marTop w:val="0"/>
      <w:marBottom w:val="0"/>
      <w:divBdr>
        <w:top w:val="none" w:sz="0" w:space="0" w:color="auto"/>
        <w:left w:val="none" w:sz="0" w:space="0" w:color="auto"/>
        <w:bottom w:val="none" w:sz="0" w:space="0" w:color="auto"/>
        <w:right w:val="none" w:sz="0" w:space="0" w:color="auto"/>
      </w:divBdr>
    </w:div>
    <w:div w:id="1952475416">
      <w:marLeft w:val="0"/>
      <w:marRight w:val="0"/>
      <w:marTop w:val="0"/>
      <w:marBottom w:val="0"/>
      <w:divBdr>
        <w:top w:val="none" w:sz="0" w:space="0" w:color="auto"/>
        <w:left w:val="none" w:sz="0" w:space="0" w:color="auto"/>
        <w:bottom w:val="none" w:sz="0" w:space="0" w:color="auto"/>
        <w:right w:val="none" w:sz="0" w:space="0" w:color="auto"/>
      </w:divBdr>
    </w:div>
    <w:div w:id="1952475417">
      <w:marLeft w:val="0"/>
      <w:marRight w:val="0"/>
      <w:marTop w:val="0"/>
      <w:marBottom w:val="0"/>
      <w:divBdr>
        <w:top w:val="none" w:sz="0" w:space="0" w:color="auto"/>
        <w:left w:val="none" w:sz="0" w:space="0" w:color="auto"/>
        <w:bottom w:val="none" w:sz="0" w:space="0" w:color="auto"/>
        <w:right w:val="none" w:sz="0" w:space="0" w:color="auto"/>
      </w:divBdr>
    </w:div>
    <w:div w:id="1952475418">
      <w:marLeft w:val="0"/>
      <w:marRight w:val="0"/>
      <w:marTop w:val="0"/>
      <w:marBottom w:val="0"/>
      <w:divBdr>
        <w:top w:val="none" w:sz="0" w:space="0" w:color="auto"/>
        <w:left w:val="none" w:sz="0" w:space="0" w:color="auto"/>
        <w:bottom w:val="none" w:sz="0" w:space="0" w:color="auto"/>
        <w:right w:val="none" w:sz="0" w:space="0" w:color="auto"/>
      </w:divBdr>
    </w:div>
    <w:div w:id="1952475419">
      <w:marLeft w:val="0"/>
      <w:marRight w:val="0"/>
      <w:marTop w:val="0"/>
      <w:marBottom w:val="0"/>
      <w:divBdr>
        <w:top w:val="none" w:sz="0" w:space="0" w:color="auto"/>
        <w:left w:val="none" w:sz="0" w:space="0" w:color="auto"/>
        <w:bottom w:val="none" w:sz="0" w:space="0" w:color="auto"/>
        <w:right w:val="none" w:sz="0" w:space="0" w:color="auto"/>
      </w:divBdr>
    </w:div>
    <w:div w:id="19524754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gif"/><Relationship Id="rId21" Type="http://schemas.openxmlformats.org/officeDocument/2006/relationships/footer" Target="footer6.xml"/><Relationship Id="rId42" Type="http://schemas.openxmlformats.org/officeDocument/2006/relationships/image" Target="media/image19.gif"/><Relationship Id="rId47" Type="http://schemas.openxmlformats.org/officeDocument/2006/relationships/image" Target="media/image24.gif"/><Relationship Id="rId63" Type="http://schemas.openxmlformats.org/officeDocument/2006/relationships/image" Target="media/image40.gif"/><Relationship Id="rId6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image" Target="media/image3.gif"/><Relationship Id="rId32" Type="http://schemas.openxmlformats.org/officeDocument/2006/relationships/image" Target="media/image9.gif"/><Relationship Id="rId37" Type="http://schemas.openxmlformats.org/officeDocument/2006/relationships/image" Target="media/image14.gif"/><Relationship Id="rId40" Type="http://schemas.openxmlformats.org/officeDocument/2006/relationships/image" Target="media/image17.gif"/><Relationship Id="rId45" Type="http://schemas.openxmlformats.org/officeDocument/2006/relationships/image" Target="media/image22.gif"/><Relationship Id="rId53" Type="http://schemas.openxmlformats.org/officeDocument/2006/relationships/image" Target="media/image30.gif"/><Relationship Id="rId58" Type="http://schemas.openxmlformats.org/officeDocument/2006/relationships/image" Target="media/image35.gif"/><Relationship Id="rId66" Type="http://schemas.openxmlformats.org/officeDocument/2006/relationships/image" Target="media/image43.gif"/><Relationship Id="rId74" Type="http://schemas.openxmlformats.org/officeDocument/2006/relationships/customXml" Target="../customXml/item2.xml"/><Relationship Id="rId5" Type="http://schemas.openxmlformats.org/officeDocument/2006/relationships/settings" Target="settings.xml"/><Relationship Id="rId61" Type="http://schemas.openxmlformats.org/officeDocument/2006/relationships/image" Target="media/image38.gif"/><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chart" Target="charts/chart1.xml"/><Relationship Id="rId30" Type="http://schemas.openxmlformats.org/officeDocument/2006/relationships/image" Target="media/image70.png"/><Relationship Id="rId35" Type="http://schemas.openxmlformats.org/officeDocument/2006/relationships/image" Target="media/image12.gif"/><Relationship Id="rId43" Type="http://schemas.openxmlformats.org/officeDocument/2006/relationships/image" Target="media/image20.gif"/><Relationship Id="rId48" Type="http://schemas.openxmlformats.org/officeDocument/2006/relationships/image" Target="media/image25.gif"/><Relationship Id="rId56" Type="http://schemas.openxmlformats.org/officeDocument/2006/relationships/image" Target="media/image33.gif"/><Relationship Id="rId64" Type="http://schemas.openxmlformats.org/officeDocument/2006/relationships/image" Target="media/image41.gif"/><Relationship Id="rId69"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image" Target="media/image28.gi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gif"/><Relationship Id="rId33" Type="http://schemas.openxmlformats.org/officeDocument/2006/relationships/image" Target="media/image10.gif"/><Relationship Id="rId38" Type="http://schemas.openxmlformats.org/officeDocument/2006/relationships/image" Target="media/image15.gif"/><Relationship Id="rId46" Type="http://schemas.openxmlformats.org/officeDocument/2006/relationships/image" Target="media/image23.gif"/><Relationship Id="rId59" Type="http://schemas.openxmlformats.org/officeDocument/2006/relationships/image" Target="media/image36.gif"/><Relationship Id="rId67" Type="http://schemas.openxmlformats.org/officeDocument/2006/relationships/image" Target="media/image44.gif"/><Relationship Id="rId20" Type="http://schemas.openxmlformats.org/officeDocument/2006/relationships/footer" Target="footer5.xml"/><Relationship Id="rId41" Type="http://schemas.openxmlformats.org/officeDocument/2006/relationships/image" Target="media/image18.gif"/><Relationship Id="rId54" Type="http://schemas.openxmlformats.org/officeDocument/2006/relationships/image" Target="media/image31.gif"/><Relationship Id="rId62" Type="http://schemas.openxmlformats.org/officeDocument/2006/relationships/image" Target="media/image39.gif"/><Relationship Id="rId70" Type="http://schemas.openxmlformats.org/officeDocument/2006/relationships/header" Target="header8.xml"/><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dds.bps.go.id/eng/download_file/Booklet_indikatorkunci.pdf" TargetMode="External"/><Relationship Id="rId28" Type="http://schemas.openxmlformats.org/officeDocument/2006/relationships/image" Target="media/image6.gif"/><Relationship Id="rId36" Type="http://schemas.openxmlformats.org/officeDocument/2006/relationships/image" Target="media/image13.gif"/><Relationship Id="rId49" Type="http://schemas.openxmlformats.org/officeDocument/2006/relationships/image" Target="media/image26.gif"/><Relationship Id="rId57" Type="http://schemas.openxmlformats.org/officeDocument/2006/relationships/image" Target="media/image34.gif"/><Relationship Id="rId10" Type="http://schemas.openxmlformats.org/officeDocument/2006/relationships/image" Target="media/image2.jpeg"/><Relationship Id="rId31" Type="http://schemas.openxmlformats.org/officeDocument/2006/relationships/image" Target="media/image8.gif"/><Relationship Id="rId44" Type="http://schemas.openxmlformats.org/officeDocument/2006/relationships/image" Target="media/image21.gif"/><Relationship Id="rId52" Type="http://schemas.openxmlformats.org/officeDocument/2006/relationships/image" Target="media/image29.gif"/><Relationship Id="rId60" Type="http://schemas.openxmlformats.org/officeDocument/2006/relationships/image" Target="media/image37.gif"/><Relationship Id="rId65" Type="http://schemas.openxmlformats.org/officeDocument/2006/relationships/image" Target="media/image42.gif"/><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image" Target="media/image16.gif"/><Relationship Id="rId34" Type="http://schemas.openxmlformats.org/officeDocument/2006/relationships/image" Target="media/image11.gif"/><Relationship Id="rId50" Type="http://schemas.openxmlformats.org/officeDocument/2006/relationships/image" Target="media/image27.gif"/><Relationship Id="rId55" Type="http://schemas.openxmlformats.org/officeDocument/2006/relationships/image" Target="media/image32.gif"/><Relationship Id="rId76" Type="http://schemas.openxmlformats.org/officeDocument/2006/relationships/customXml" Target="../customXml/item4.xml"/><Relationship Id="rId7" Type="http://schemas.openxmlformats.org/officeDocument/2006/relationships/footnotes" Target="footnotes.xml"/><Relationship Id="rId71" Type="http://schemas.openxmlformats.org/officeDocument/2006/relationships/footer" Target="footer8.xml"/></Relationships>
</file>

<file path=word/charts/_rels/chart1.xml.rels><?xml version="1.0" encoding="UTF-8" standalone="yes"?>
<Relationships xmlns="http://schemas.openxmlformats.org/package/2006/relationships"><Relationship Id="rId1" Type="http://schemas.openxmlformats.org/officeDocument/2006/relationships/oleObject" Target="file:///E:\AR%20Active%20Files\CSAS\Financial%20Performance%20Report\FPR%202011\National%20finance%20data%20analysis%2020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57841483979765"/>
          <c:y val="2.0289855072463767E-2"/>
          <c:w val="0.74536256323777406"/>
          <c:h val="0.76841596524572364"/>
        </c:manualLayout>
      </c:layout>
      <c:lineChart>
        <c:grouping val="standard"/>
        <c:varyColors val="0"/>
        <c:ser>
          <c:idx val="0"/>
          <c:order val="0"/>
          <c:tx>
            <c:strRef>
              <c:f>'Share of public expenditure'!$A$8</c:f>
              <c:strCache>
                <c:ptCount val="1"/>
                <c:pt idx="0">
                  <c:v>National Education 
Exp. (% GDP)</c:v>
                </c:pt>
              </c:strCache>
            </c:strRef>
          </c:tx>
          <c:spPr>
            <a:ln w="12700">
              <a:solidFill>
                <a:srgbClr val="000080"/>
              </a:solidFill>
              <a:prstDash val="solid"/>
            </a:ln>
          </c:spPr>
          <c:marker>
            <c:symbol val="diamond"/>
            <c:size val="5"/>
            <c:spPr>
              <a:solidFill>
                <a:srgbClr val="C00000"/>
              </a:solidFill>
              <a:ln>
                <a:solidFill>
                  <a:srgbClr val="000080"/>
                </a:solidFill>
                <a:prstDash val="solid"/>
              </a:ln>
            </c:spPr>
          </c:marker>
          <c:cat>
            <c:numRef>
              <c:f>'Share of public expenditure'!$B$2:$L$2</c:f>
              <c:numCache>
                <c:formatCode>General</c:formatCode>
                <c:ptCount val="11"/>
                <c:pt idx="0">
                  <c:v>2001</c:v>
                </c:pt>
                <c:pt idx="1">
                  <c:v>2002</c:v>
                </c:pt>
                <c:pt idx="2">
                  <c:v>2003</c:v>
                </c:pt>
                <c:pt idx="3">
                  <c:v>2004</c:v>
                </c:pt>
                <c:pt idx="4">
                  <c:v>2005</c:v>
                </c:pt>
                <c:pt idx="5">
                  <c:v>2006</c:v>
                </c:pt>
                <c:pt idx="6">
                  <c:v>2007</c:v>
                </c:pt>
                <c:pt idx="7">
                  <c:v>2008</c:v>
                </c:pt>
                <c:pt idx="8">
                  <c:v>2009</c:v>
                </c:pt>
                <c:pt idx="9">
                  <c:v>2010</c:v>
                </c:pt>
                <c:pt idx="10">
                  <c:v>2011</c:v>
                </c:pt>
              </c:numCache>
            </c:numRef>
          </c:cat>
          <c:val>
            <c:numRef>
              <c:f>'Share of public expenditure'!$B$8:$L$8</c:f>
              <c:numCache>
                <c:formatCode>0.0%</c:formatCode>
                <c:ptCount val="11"/>
                <c:pt idx="0">
                  <c:v>2.5118764845605698E-2</c:v>
                </c:pt>
                <c:pt idx="1">
                  <c:v>2.7979766044894088E-2</c:v>
                </c:pt>
                <c:pt idx="2">
                  <c:v>3.2181168057210968E-2</c:v>
                </c:pt>
                <c:pt idx="3">
                  <c:v>2.7759447450618101E-2</c:v>
                </c:pt>
                <c:pt idx="4">
                  <c:v>2.8794373008022858E-2</c:v>
                </c:pt>
                <c:pt idx="5">
                  <c:v>3.6832175371346428E-2</c:v>
                </c:pt>
                <c:pt idx="6">
                  <c:v>3.6006380877623881E-2</c:v>
                </c:pt>
                <c:pt idx="7">
                  <c:v>3.1085991118288251E-2</c:v>
                </c:pt>
                <c:pt idx="8">
                  <c:v>3.6949086115366805E-2</c:v>
                </c:pt>
                <c:pt idx="9">
                  <c:v>3.4989204152528694E-2</c:v>
                </c:pt>
                <c:pt idx="10">
                  <c:v>3.2758473511684122E-2</c:v>
                </c:pt>
              </c:numCache>
            </c:numRef>
          </c:val>
          <c:smooth val="0"/>
        </c:ser>
        <c:dLbls>
          <c:showLegendKey val="0"/>
          <c:showVal val="0"/>
          <c:showCatName val="0"/>
          <c:showSerName val="0"/>
          <c:showPercent val="0"/>
          <c:showBubbleSize val="0"/>
        </c:dLbls>
        <c:marker val="1"/>
        <c:smooth val="0"/>
        <c:axId val="127409152"/>
        <c:axId val="131724416"/>
      </c:lineChart>
      <c:catAx>
        <c:axId val="1274091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Narrow"/>
                <a:ea typeface="Arial Narrow"/>
                <a:cs typeface="Arial Narrow"/>
              </a:defRPr>
            </a:pPr>
            <a:endParaRPr lang="en-US"/>
          </a:p>
        </c:txPr>
        <c:crossAx val="131724416"/>
        <c:crosses val="autoZero"/>
        <c:auto val="1"/>
        <c:lblAlgn val="ctr"/>
        <c:lblOffset val="100"/>
        <c:tickMarkSkip val="1"/>
        <c:noMultiLvlLbl val="0"/>
      </c:catAx>
      <c:valAx>
        <c:axId val="131724416"/>
        <c:scaling>
          <c:orientation val="minMax"/>
          <c:max val="0.05"/>
        </c:scaling>
        <c:delete val="0"/>
        <c:axPos val="l"/>
        <c:majorGridlines>
          <c:spPr>
            <a:ln w="3175">
              <a:solidFill>
                <a:srgbClr val="000000"/>
              </a:solidFill>
              <a:prstDash val="solid"/>
            </a:ln>
          </c:spPr>
        </c:majorGridlines>
        <c:title>
          <c:tx>
            <c:rich>
              <a:bodyPr/>
              <a:lstStyle/>
              <a:p>
                <a:pPr>
                  <a:defRPr sz="900" b="0" i="0" u="none" strike="noStrike" baseline="0">
                    <a:solidFill>
                      <a:srgbClr val="000000"/>
                    </a:solidFill>
                    <a:latin typeface="Arial" pitchFamily="34" charset="0"/>
                    <a:ea typeface="Calibri"/>
                    <a:cs typeface="Arial" pitchFamily="34" charset="0"/>
                  </a:defRPr>
                </a:pPr>
                <a:r>
                  <a:rPr lang="en-AU" sz="900" b="1" i="0" u="none" strike="noStrike" baseline="0">
                    <a:solidFill>
                      <a:srgbClr val="000000"/>
                    </a:solidFill>
                    <a:latin typeface="Arial" pitchFamily="34" charset="0"/>
                    <a:cs typeface="Arial" pitchFamily="34" charset="0"/>
                  </a:rPr>
                  <a:t>Education Expenditure as </a:t>
                </a:r>
              </a:p>
              <a:p>
                <a:pPr>
                  <a:defRPr sz="900" b="0" i="0" u="none" strike="noStrike" baseline="0">
                    <a:solidFill>
                      <a:srgbClr val="000000"/>
                    </a:solidFill>
                    <a:latin typeface="Arial" pitchFamily="34" charset="0"/>
                    <a:ea typeface="Calibri"/>
                    <a:cs typeface="Arial" pitchFamily="34" charset="0"/>
                  </a:defRPr>
                </a:pPr>
                <a:r>
                  <a:rPr lang="en-AU" sz="900" b="1" i="0" u="none" strike="noStrike" baseline="0">
                    <a:solidFill>
                      <a:srgbClr val="000000"/>
                    </a:solidFill>
                    <a:latin typeface="Arial" pitchFamily="34" charset="0"/>
                    <a:cs typeface="Arial" pitchFamily="34" charset="0"/>
                  </a:rPr>
                  <a:t>Percentage of GDP (%)</a:t>
                </a:r>
              </a:p>
            </c:rich>
          </c:tx>
          <c:layout>
            <c:manualLayout>
              <c:xMode val="edge"/>
              <c:yMode val="edge"/>
              <c:x val="0.108860998079938"/>
              <c:y val="0.2063549012895127"/>
            </c:manualLayout>
          </c:layout>
          <c:overlay val="0"/>
          <c:spPr>
            <a:noFill/>
            <a:ln w="25400">
              <a:noFill/>
            </a:ln>
          </c:spPr>
        </c:title>
        <c:numFmt formatCode="0.0%" sourceLinked="1"/>
        <c:majorTickMark val="out"/>
        <c:minorTickMark val="none"/>
        <c:tickLblPos val="nextTo"/>
        <c:spPr>
          <a:ln w="3175">
            <a:solidFill>
              <a:srgbClr val="FFFFFF"/>
            </a:solidFill>
            <a:prstDash val="solid"/>
          </a:ln>
        </c:spPr>
        <c:txPr>
          <a:bodyPr rot="0" vert="horz"/>
          <a:lstStyle/>
          <a:p>
            <a:pPr>
              <a:defRPr sz="875" b="0" i="0" u="none" strike="noStrike" baseline="0">
                <a:solidFill>
                  <a:srgbClr val="000000"/>
                </a:solidFill>
                <a:latin typeface="Arial Narrow"/>
                <a:ea typeface="Arial Narrow"/>
                <a:cs typeface="Arial Narrow"/>
              </a:defRPr>
            </a:pPr>
            <a:endParaRPr lang="en-US"/>
          </a:p>
        </c:txPr>
        <c:crossAx val="127409152"/>
        <c:crosses val="autoZero"/>
        <c:crossBetween val="between"/>
      </c:valAx>
      <c:dTable>
        <c:showHorzBorder val="1"/>
        <c:showVertBorder val="1"/>
        <c:showOutline val="1"/>
        <c:showKeys val="0"/>
        <c:spPr>
          <a:ln w="3175">
            <a:solidFill>
              <a:schemeClr val="tx1"/>
            </a:solidFill>
            <a:prstDash val="solid"/>
          </a:ln>
        </c:spPr>
        <c:txPr>
          <a:bodyPr/>
          <a:lstStyle/>
          <a:p>
            <a:pPr rtl="0">
              <a:defRPr sz="875" b="0" i="0" u="none" strike="noStrike" baseline="0">
                <a:solidFill>
                  <a:srgbClr val="000000"/>
                </a:solidFill>
                <a:latin typeface="Arial Narrow"/>
                <a:ea typeface="Arial Narrow"/>
                <a:cs typeface="Arial Narrow"/>
              </a:defRPr>
            </a:pPr>
            <a:endParaRPr lang="en-US"/>
          </a:p>
        </c:txPr>
      </c:dTable>
      <c:spPr>
        <a:solidFill>
          <a:srgbClr val="FFFFFF"/>
        </a:solidFill>
        <a:ln w="25400">
          <a:noFill/>
        </a:ln>
      </c:spPr>
    </c:plotArea>
    <c:plotVisOnly val="1"/>
    <c:dispBlanksAs val="gap"/>
    <c:showDLblsOverMax val="0"/>
  </c:chart>
  <c:spPr>
    <a:solidFill>
      <a:srgbClr val="FFFFFF"/>
    </a:solidFill>
    <a:ln w="9525">
      <a:solidFill>
        <a:schemeClr val="accent1"/>
      </a:solidFill>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0E65C-B0DB-453F-9C79-645A75C05ABB}"/>
</file>

<file path=customXml/itemProps2.xml><?xml version="1.0" encoding="utf-8"?>
<ds:datastoreItem xmlns:ds="http://schemas.openxmlformats.org/officeDocument/2006/customXml" ds:itemID="{BC7C3467-6330-48A6-84F9-B42319F1120A}"/>
</file>

<file path=customXml/itemProps3.xml><?xml version="1.0" encoding="utf-8"?>
<ds:datastoreItem xmlns:ds="http://schemas.openxmlformats.org/officeDocument/2006/customXml" ds:itemID="{8B0F74D2-4555-48AC-80E4-C3C28EECC3CF}"/>
</file>

<file path=customXml/itemProps4.xml><?xml version="1.0" encoding="utf-8"?>
<ds:datastoreItem xmlns:ds="http://schemas.openxmlformats.org/officeDocument/2006/customXml" ds:itemID="{266606D7-3506-45DB-A5E7-1C81B796A4DC}"/>
</file>

<file path=docProps/app.xml><?xml version="1.0" encoding="utf-8"?>
<Properties xmlns="http://schemas.openxmlformats.org/officeDocument/2006/extended-properties" xmlns:vt="http://schemas.openxmlformats.org/officeDocument/2006/docPropsVTypes">
  <Template>F950E743.dotm</Template>
  <TotalTime>0</TotalTime>
  <Pages>64</Pages>
  <Words>16174</Words>
  <Characters>92018</Characters>
  <Application>Microsoft Office Word</Application>
  <DocSecurity>0</DocSecurity>
  <Lines>766</Lines>
  <Paragraphs>215</Paragraphs>
  <ScaleCrop>false</ScaleCrop>
  <Company/>
  <LinksUpToDate>false</LinksUpToDate>
  <CharactersWithSpaces>107977</CharactersWithSpaces>
  <SharedDoc>false</SharedDoc>
  <HLinks>
    <vt:vector size="126" baseType="variant">
      <vt:variant>
        <vt:i4>6684785</vt:i4>
      </vt:variant>
      <vt:variant>
        <vt:i4>255</vt:i4>
      </vt:variant>
      <vt:variant>
        <vt:i4>0</vt:i4>
      </vt:variant>
      <vt:variant>
        <vt:i4>5</vt:i4>
      </vt:variant>
      <vt:variant>
        <vt:lpwstr>http://dds.bps.go.id/eng/download_file/Booklet_indikatorkunci.pdf</vt:lpwstr>
      </vt:variant>
      <vt:variant>
        <vt:lpwstr/>
      </vt:variant>
      <vt:variant>
        <vt:i4>1048631</vt:i4>
      </vt:variant>
      <vt:variant>
        <vt:i4>122</vt:i4>
      </vt:variant>
      <vt:variant>
        <vt:i4>0</vt:i4>
      </vt:variant>
      <vt:variant>
        <vt:i4>5</vt:i4>
      </vt:variant>
      <vt:variant>
        <vt:lpwstr/>
      </vt:variant>
      <vt:variant>
        <vt:lpwstr>_Toc252711649</vt:lpwstr>
      </vt:variant>
      <vt:variant>
        <vt:i4>1048631</vt:i4>
      </vt:variant>
      <vt:variant>
        <vt:i4>116</vt:i4>
      </vt:variant>
      <vt:variant>
        <vt:i4>0</vt:i4>
      </vt:variant>
      <vt:variant>
        <vt:i4>5</vt:i4>
      </vt:variant>
      <vt:variant>
        <vt:lpwstr/>
      </vt:variant>
      <vt:variant>
        <vt:lpwstr>_Toc252711648</vt:lpwstr>
      </vt:variant>
      <vt:variant>
        <vt:i4>1048631</vt:i4>
      </vt:variant>
      <vt:variant>
        <vt:i4>110</vt:i4>
      </vt:variant>
      <vt:variant>
        <vt:i4>0</vt:i4>
      </vt:variant>
      <vt:variant>
        <vt:i4>5</vt:i4>
      </vt:variant>
      <vt:variant>
        <vt:lpwstr/>
      </vt:variant>
      <vt:variant>
        <vt:lpwstr>_Toc252711647</vt:lpwstr>
      </vt:variant>
      <vt:variant>
        <vt:i4>1048631</vt:i4>
      </vt:variant>
      <vt:variant>
        <vt:i4>104</vt:i4>
      </vt:variant>
      <vt:variant>
        <vt:i4>0</vt:i4>
      </vt:variant>
      <vt:variant>
        <vt:i4>5</vt:i4>
      </vt:variant>
      <vt:variant>
        <vt:lpwstr/>
      </vt:variant>
      <vt:variant>
        <vt:lpwstr>_Toc252711646</vt:lpwstr>
      </vt:variant>
      <vt:variant>
        <vt:i4>1048631</vt:i4>
      </vt:variant>
      <vt:variant>
        <vt:i4>98</vt:i4>
      </vt:variant>
      <vt:variant>
        <vt:i4>0</vt:i4>
      </vt:variant>
      <vt:variant>
        <vt:i4>5</vt:i4>
      </vt:variant>
      <vt:variant>
        <vt:lpwstr/>
      </vt:variant>
      <vt:variant>
        <vt:lpwstr>_Toc252711645</vt:lpwstr>
      </vt:variant>
      <vt:variant>
        <vt:i4>1048631</vt:i4>
      </vt:variant>
      <vt:variant>
        <vt:i4>92</vt:i4>
      </vt:variant>
      <vt:variant>
        <vt:i4>0</vt:i4>
      </vt:variant>
      <vt:variant>
        <vt:i4>5</vt:i4>
      </vt:variant>
      <vt:variant>
        <vt:lpwstr/>
      </vt:variant>
      <vt:variant>
        <vt:lpwstr>_Toc252711644</vt:lpwstr>
      </vt:variant>
      <vt:variant>
        <vt:i4>1048631</vt:i4>
      </vt:variant>
      <vt:variant>
        <vt:i4>86</vt:i4>
      </vt:variant>
      <vt:variant>
        <vt:i4>0</vt:i4>
      </vt:variant>
      <vt:variant>
        <vt:i4>5</vt:i4>
      </vt:variant>
      <vt:variant>
        <vt:lpwstr/>
      </vt:variant>
      <vt:variant>
        <vt:lpwstr>_Toc252711643</vt:lpwstr>
      </vt:variant>
      <vt:variant>
        <vt:i4>1048631</vt:i4>
      </vt:variant>
      <vt:variant>
        <vt:i4>80</vt:i4>
      </vt:variant>
      <vt:variant>
        <vt:i4>0</vt:i4>
      </vt:variant>
      <vt:variant>
        <vt:i4>5</vt:i4>
      </vt:variant>
      <vt:variant>
        <vt:lpwstr/>
      </vt:variant>
      <vt:variant>
        <vt:lpwstr>_Toc252711642</vt:lpwstr>
      </vt:variant>
      <vt:variant>
        <vt:i4>1048631</vt:i4>
      </vt:variant>
      <vt:variant>
        <vt:i4>74</vt:i4>
      </vt:variant>
      <vt:variant>
        <vt:i4>0</vt:i4>
      </vt:variant>
      <vt:variant>
        <vt:i4>5</vt:i4>
      </vt:variant>
      <vt:variant>
        <vt:lpwstr/>
      </vt:variant>
      <vt:variant>
        <vt:lpwstr>_Toc252711641</vt:lpwstr>
      </vt:variant>
      <vt:variant>
        <vt:i4>1048631</vt:i4>
      </vt:variant>
      <vt:variant>
        <vt:i4>68</vt:i4>
      </vt:variant>
      <vt:variant>
        <vt:i4>0</vt:i4>
      </vt:variant>
      <vt:variant>
        <vt:i4>5</vt:i4>
      </vt:variant>
      <vt:variant>
        <vt:lpwstr/>
      </vt:variant>
      <vt:variant>
        <vt:lpwstr>_Toc252711640</vt:lpwstr>
      </vt:variant>
      <vt:variant>
        <vt:i4>1507383</vt:i4>
      </vt:variant>
      <vt:variant>
        <vt:i4>62</vt:i4>
      </vt:variant>
      <vt:variant>
        <vt:i4>0</vt:i4>
      </vt:variant>
      <vt:variant>
        <vt:i4>5</vt:i4>
      </vt:variant>
      <vt:variant>
        <vt:lpwstr/>
      </vt:variant>
      <vt:variant>
        <vt:lpwstr>_Toc252711639</vt:lpwstr>
      </vt:variant>
      <vt:variant>
        <vt:i4>1507383</vt:i4>
      </vt:variant>
      <vt:variant>
        <vt:i4>56</vt:i4>
      </vt:variant>
      <vt:variant>
        <vt:i4>0</vt:i4>
      </vt:variant>
      <vt:variant>
        <vt:i4>5</vt:i4>
      </vt:variant>
      <vt:variant>
        <vt:lpwstr/>
      </vt:variant>
      <vt:variant>
        <vt:lpwstr>_Toc252711638</vt:lpwstr>
      </vt:variant>
      <vt:variant>
        <vt:i4>1507383</vt:i4>
      </vt:variant>
      <vt:variant>
        <vt:i4>50</vt:i4>
      </vt:variant>
      <vt:variant>
        <vt:i4>0</vt:i4>
      </vt:variant>
      <vt:variant>
        <vt:i4>5</vt:i4>
      </vt:variant>
      <vt:variant>
        <vt:lpwstr/>
      </vt:variant>
      <vt:variant>
        <vt:lpwstr>_Toc252711637</vt:lpwstr>
      </vt:variant>
      <vt:variant>
        <vt:i4>1507383</vt:i4>
      </vt:variant>
      <vt:variant>
        <vt:i4>44</vt:i4>
      </vt:variant>
      <vt:variant>
        <vt:i4>0</vt:i4>
      </vt:variant>
      <vt:variant>
        <vt:i4>5</vt:i4>
      </vt:variant>
      <vt:variant>
        <vt:lpwstr/>
      </vt:variant>
      <vt:variant>
        <vt:lpwstr>_Toc252711636</vt:lpwstr>
      </vt:variant>
      <vt:variant>
        <vt:i4>1507383</vt:i4>
      </vt:variant>
      <vt:variant>
        <vt:i4>38</vt:i4>
      </vt:variant>
      <vt:variant>
        <vt:i4>0</vt:i4>
      </vt:variant>
      <vt:variant>
        <vt:i4>5</vt:i4>
      </vt:variant>
      <vt:variant>
        <vt:lpwstr/>
      </vt:variant>
      <vt:variant>
        <vt:lpwstr>_Toc252711635</vt:lpwstr>
      </vt:variant>
      <vt:variant>
        <vt:i4>1507383</vt:i4>
      </vt:variant>
      <vt:variant>
        <vt:i4>32</vt:i4>
      </vt:variant>
      <vt:variant>
        <vt:i4>0</vt:i4>
      </vt:variant>
      <vt:variant>
        <vt:i4>5</vt:i4>
      </vt:variant>
      <vt:variant>
        <vt:lpwstr/>
      </vt:variant>
      <vt:variant>
        <vt:lpwstr>_Toc252711634</vt:lpwstr>
      </vt:variant>
      <vt:variant>
        <vt:i4>1507383</vt:i4>
      </vt:variant>
      <vt:variant>
        <vt:i4>26</vt:i4>
      </vt:variant>
      <vt:variant>
        <vt:i4>0</vt:i4>
      </vt:variant>
      <vt:variant>
        <vt:i4>5</vt:i4>
      </vt:variant>
      <vt:variant>
        <vt:lpwstr/>
      </vt:variant>
      <vt:variant>
        <vt:lpwstr>_Toc252711633</vt:lpwstr>
      </vt:variant>
      <vt:variant>
        <vt:i4>1507383</vt:i4>
      </vt:variant>
      <vt:variant>
        <vt:i4>20</vt:i4>
      </vt:variant>
      <vt:variant>
        <vt:i4>0</vt:i4>
      </vt:variant>
      <vt:variant>
        <vt:i4>5</vt:i4>
      </vt:variant>
      <vt:variant>
        <vt:lpwstr/>
      </vt:variant>
      <vt:variant>
        <vt:lpwstr>_Toc252711632</vt:lpwstr>
      </vt:variant>
      <vt:variant>
        <vt:i4>1507383</vt:i4>
      </vt:variant>
      <vt:variant>
        <vt:i4>14</vt:i4>
      </vt:variant>
      <vt:variant>
        <vt:i4>0</vt:i4>
      </vt:variant>
      <vt:variant>
        <vt:i4>5</vt:i4>
      </vt:variant>
      <vt:variant>
        <vt:lpwstr/>
      </vt:variant>
      <vt:variant>
        <vt:lpwstr>_Toc252711631</vt:lpwstr>
      </vt:variant>
      <vt:variant>
        <vt:i4>1507383</vt:i4>
      </vt:variant>
      <vt:variant>
        <vt:i4>8</vt:i4>
      </vt:variant>
      <vt:variant>
        <vt:i4>0</vt:i4>
      </vt:variant>
      <vt:variant>
        <vt:i4>5</vt:i4>
      </vt:variant>
      <vt:variant>
        <vt:lpwstr/>
      </vt:variant>
      <vt:variant>
        <vt:lpwstr>_Toc252711630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2015-08-25T06:30:00Z</dcterms:created>
  <dcterms:modified xsi:type="dcterms:W3CDTF">2015-08-25T06:30:00Z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959800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