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2.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45CC8" w:rsidRDefault="003F5678" w:rsidP="00854A82">
      <w:r>
        <w:rPr>
          <w:rFonts w:asciiTheme="minorHAnsi" w:hAnsiTheme="minorHAnsi" w:cstheme="minorHAnsi"/>
          <w:noProof/>
          <w:lang w:val="en-AU" w:eastAsia="en-AU"/>
        </w:rPr>
        <mc:AlternateContent>
          <mc:Choice Requires="wpg">
            <w:drawing>
              <wp:anchor distT="0" distB="0" distL="114300" distR="114300" simplePos="0" relativeHeight="251685888" behindDoc="0" locked="0" layoutInCell="1" allowOverlap="1" wp14:anchorId="43897043" wp14:editId="0AA4A4F7">
                <wp:simplePos x="0" y="0"/>
                <wp:positionH relativeFrom="column">
                  <wp:posOffset>-914400</wp:posOffset>
                </wp:positionH>
                <wp:positionV relativeFrom="paragraph">
                  <wp:posOffset>-914400</wp:posOffset>
                </wp:positionV>
                <wp:extent cx="7347585" cy="2413000"/>
                <wp:effectExtent l="0" t="0" r="0" b="0"/>
                <wp:wrapNone/>
                <wp:docPr id="3" name="Group 3"/>
                <wp:cNvGraphicFramePr/>
                <a:graphic xmlns:a="http://schemas.openxmlformats.org/drawingml/2006/main">
                  <a:graphicData uri="http://schemas.microsoft.com/office/word/2010/wordprocessingGroup">
                    <wpg:wgp>
                      <wpg:cNvGrpSpPr/>
                      <wpg:grpSpPr>
                        <a:xfrm>
                          <a:off x="0" y="0"/>
                          <a:ext cx="7347585" cy="2413000"/>
                          <a:chOff x="0" y="0"/>
                          <a:chExt cx="7347585" cy="2413000"/>
                        </a:xfrm>
                      </wpg:grpSpPr>
                      <pic:pic xmlns:pic="http://schemas.openxmlformats.org/drawingml/2006/picture">
                        <pic:nvPicPr>
                          <pic:cNvPr id="2618" name="Picture 9"/>
                          <pic:cNvPicPr>
                            <a:picLocks noChangeAspect="1"/>
                          </pic:cNvPicPr>
                        </pic:nvPicPr>
                        <pic:blipFill>
                          <a:blip r:embed="rId9">
                            <a:extLst>
                              <a:ext uri="{28A0092B-C50C-407E-A947-70E740481C1C}">
                                <a14:useLocalDpi xmlns:a14="http://schemas.microsoft.com/office/drawing/2010/main" val="0"/>
                              </a:ext>
                            </a:extLst>
                          </a:blip>
                          <a:srcRect r="3587"/>
                          <a:stretch>
                            <a:fillRect/>
                          </a:stretch>
                        </pic:blipFill>
                        <pic:spPr bwMode="auto">
                          <a:xfrm>
                            <a:off x="0" y="0"/>
                            <a:ext cx="7347585" cy="2413000"/>
                          </a:xfrm>
                          <a:prstGeom prst="rect">
                            <a:avLst/>
                          </a:prstGeom>
                          <a:noFill/>
                          <a:ln>
                            <a:noFill/>
                          </a:ln>
                        </pic:spPr>
                      </pic:pic>
                      <pic:pic xmlns:pic="http://schemas.openxmlformats.org/drawingml/2006/picture">
                        <pic:nvPicPr>
                          <pic:cNvPr id="2619"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446567" y="382772"/>
                            <a:ext cx="4102735" cy="621665"/>
                          </a:xfrm>
                          <a:prstGeom prst="rect">
                            <a:avLst/>
                          </a:prstGeom>
                          <a:noFill/>
                          <a:ln>
                            <a:noFill/>
                          </a:ln>
                        </pic:spPr>
                      </pic:pic>
                    </wpg:wgp>
                  </a:graphicData>
                </a:graphic>
              </wp:anchor>
            </w:drawing>
          </mc:Choice>
          <mc:Fallback>
            <w:pict>
              <v:group id="Group 3" o:spid="_x0000_s1026" style="position:absolute;margin-left:-1in;margin-top:-1in;width:578.55pt;height:190pt;z-index:251685888" coordsize="73475,2413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73475;height:24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i6wnDAAAA3QAAAA8AAABkcnMvZG93bnJldi54bWxET91qwjAUvhd8h3AEb2SmetGNapQpCBUU&#10;pu4Bzppj09mclCZq9emXi4GXH9//fNnZWtyo9ZVjBZNxAoK4cLriUsH3afP2AcIHZI21Y1LwIA/L&#10;Rb83x0y7Ox/odgyliCHsM1RgQmgyKX1hyKIfu4Y4cmfXWgwRtqXULd5juK3lNElSabHi2GCwobWh&#10;4nK8WgU/uyrf5pff1dU8R1+Y7g/707tRajjoPmcgAnXhJf5351rBNJ3EufFNfAJ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mLrCcMAAADdAAAADwAAAAAAAAAAAAAAAACf&#10;AgAAZHJzL2Rvd25yZXYueG1sUEsFBgAAAAAEAAQA9wAAAI8DAAAAAA==&#10;">
                  <v:imagedata r:id="rId11" o:title="" cropright="2351f"/>
                  <v:path arrowok="t"/>
                </v:shape>
                <v:shape id="Picture 3" o:spid="_x0000_s1028" type="#_x0000_t75" style="position:absolute;left:4465;top:3827;width:41028;height:6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QqPGAAAA3QAAAA8AAABkcnMvZG93bnJldi54bWxEj0+LwjAUxO+C3yE8wZumeihrNUoRZHc9&#10;rH/B67N5tsXmpTRZ7e6nN4LgcZiZ3zCzRWsqcaPGlZYVjIYRCOLM6pJzBcfDavABwnlkjZVlUvBH&#10;DhbzbmeGibZ33tFt73MRIOwSVFB4XydSuqwgg25oa+LgXWxj0AfZ5FI3eA9wU8lxFMXSYMlhocCa&#10;lgVl1/2vUbC5/n+u+GS+T9vzLo3jdXr8qbdK9XttOgXhqfXv8Kv9pRWM49EEnm/CE5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35Co8YAAADdAAAADwAAAAAAAAAAAAAA&#10;AACfAgAAZHJzL2Rvd25yZXYueG1sUEsFBgAAAAAEAAQA9wAAAJIDAAAAAA==&#10;">
                  <v:imagedata r:id="rId12" o:title=""/>
                  <v:path arrowok="t"/>
                </v:shape>
              </v:group>
            </w:pict>
          </mc:Fallback>
        </mc:AlternateContent>
      </w:r>
    </w:p>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645CC8" w:rsidP="00231C98">
      <w:pPr>
        <w:jc w:val="right"/>
      </w:pPr>
    </w:p>
    <w:p w:rsidR="00645CC8" w:rsidRDefault="00645CC8" w:rsidP="00854A82"/>
    <w:tbl>
      <w:tblPr>
        <w:tblpPr w:leftFromText="187" w:rightFromText="187" w:vertAnchor="text" w:horzAnchor="margin" w:tblpXSpec="center" w:tblpY="1"/>
        <w:tblOverlap w:val="never"/>
        <w:tblW w:w="5000" w:type="pct"/>
        <w:jc w:val="center"/>
        <w:tblLook w:val="04A0" w:firstRow="1" w:lastRow="0" w:firstColumn="1" w:lastColumn="0" w:noHBand="0" w:noVBand="1"/>
      </w:tblPr>
      <w:tblGrid>
        <w:gridCol w:w="9245"/>
      </w:tblGrid>
      <w:tr w:rsidR="00645CC8" w:rsidRPr="00C820A7" w:rsidTr="00A36DA5">
        <w:trPr>
          <w:trHeight w:val="270"/>
          <w:jc w:val="center"/>
        </w:trPr>
        <w:tc>
          <w:tcPr>
            <w:tcW w:w="5000" w:type="pct"/>
          </w:tcPr>
          <w:p w:rsidR="00645CC8" w:rsidRPr="00D51AD9" w:rsidRDefault="00D64F12" w:rsidP="00A36DA5">
            <w:pPr>
              <w:pStyle w:val="NoSpacing"/>
              <w:rPr>
                <w:rFonts w:asciiTheme="minorHAnsi" w:eastAsiaTheme="majorEastAsia" w:hAnsiTheme="minorHAnsi" w:cstheme="minorHAnsi"/>
                <w:caps/>
                <w:color w:val="68BAD6"/>
              </w:rPr>
            </w:pPr>
            <w:r>
              <w:rPr>
                <w:rFonts w:asciiTheme="minorHAnsi" w:eastAsiaTheme="majorEastAsia" w:hAnsiTheme="minorHAnsi" w:cstheme="minorHAnsi"/>
                <w:caps/>
                <w:color w:val="68BAD6"/>
                <w:sz w:val="32"/>
              </w:rPr>
              <w:t>FINAL</w:t>
            </w:r>
            <w:r w:rsidR="001409A2">
              <w:rPr>
                <w:rFonts w:asciiTheme="minorHAnsi" w:eastAsiaTheme="majorEastAsia" w:hAnsiTheme="minorHAnsi" w:cstheme="minorHAnsi"/>
                <w:caps/>
                <w:color w:val="68BAD6"/>
                <w:sz w:val="32"/>
              </w:rPr>
              <w:t xml:space="preserve"> </w:t>
            </w:r>
            <w:r w:rsidR="00645CC8" w:rsidRPr="00D51AD9">
              <w:rPr>
                <w:rFonts w:asciiTheme="minorHAnsi" w:eastAsiaTheme="majorEastAsia" w:hAnsiTheme="minorHAnsi" w:cstheme="minorHAnsi"/>
                <w:caps/>
                <w:color w:val="68BAD6"/>
                <w:sz w:val="32"/>
              </w:rPr>
              <w:t>REPORT</w:t>
            </w:r>
          </w:p>
        </w:tc>
      </w:tr>
      <w:tr w:rsidR="00645CC8" w:rsidRPr="00C820A7" w:rsidTr="00A36DA5">
        <w:trPr>
          <w:trHeight w:val="582"/>
          <w:jc w:val="center"/>
        </w:trPr>
        <w:tc>
          <w:tcPr>
            <w:tcW w:w="5000" w:type="pct"/>
            <w:vAlign w:val="center"/>
          </w:tcPr>
          <w:p w:rsidR="00645CC8" w:rsidRDefault="00045CAA" w:rsidP="00A36DA5">
            <w:pPr>
              <w:pStyle w:val="NoSpacing"/>
              <w:rPr>
                <w:rFonts w:asciiTheme="minorHAnsi" w:eastAsiaTheme="majorEastAsia" w:hAnsiTheme="minorHAnsi" w:cstheme="minorHAnsi"/>
                <w:color w:val="595959" w:themeColor="text1" w:themeTint="A6"/>
                <w:sz w:val="56"/>
                <w:szCs w:val="60"/>
              </w:rPr>
            </w:pPr>
            <w:r w:rsidRPr="00045CAA">
              <w:rPr>
                <w:rFonts w:asciiTheme="minorHAnsi" w:eastAsiaTheme="majorEastAsia" w:hAnsiTheme="minorHAnsi" w:cstheme="minorHAnsi"/>
                <w:color w:val="595959" w:themeColor="text1" w:themeTint="A6"/>
                <w:sz w:val="56"/>
                <w:szCs w:val="60"/>
              </w:rPr>
              <w:t xml:space="preserve">Annual Sector </w:t>
            </w:r>
            <w:r w:rsidR="00B31112">
              <w:rPr>
                <w:rFonts w:asciiTheme="minorHAnsi" w:eastAsiaTheme="majorEastAsia" w:hAnsiTheme="minorHAnsi" w:cstheme="minorHAnsi"/>
                <w:color w:val="595959" w:themeColor="text1" w:themeTint="A6"/>
                <w:sz w:val="56"/>
                <w:szCs w:val="60"/>
              </w:rPr>
              <w:t>Financial</w:t>
            </w:r>
            <w:r w:rsidRPr="00045CAA">
              <w:rPr>
                <w:rFonts w:asciiTheme="minorHAnsi" w:eastAsiaTheme="majorEastAsia" w:hAnsiTheme="minorHAnsi" w:cstheme="minorHAnsi"/>
                <w:color w:val="595959" w:themeColor="text1" w:themeTint="A6"/>
                <w:sz w:val="56"/>
                <w:szCs w:val="60"/>
              </w:rPr>
              <w:t xml:space="preserve"> Report </w:t>
            </w:r>
            <w:r w:rsidR="00B31112">
              <w:rPr>
                <w:rFonts w:asciiTheme="minorHAnsi" w:eastAsiaTheme="majorEastAsia" w:hAnsiTheme="minorHAnsi" w:cstheme="minorHAnsi"/>
                <w:color w:val="595959" w:themeColor="text1" w:themeTint="A6"/>
                <w:sz w:val="56"/>
                <w:szCs w:val="60"/>
              </w:rPr>
              <w:t>(</w:t>
            </w:r>
            <w:r w:rsidRPr="00045CAA">
              <w:rPr>
                <w:rFonts w:asciiTheme="minorHAnsi" w:eastAsiaTheme="majorEastAsia" w:hAnsiTheme="minorHAnsi" w:cstheme="minorHAnsi"/>
                <w:color w:val="595959" w:themeColor="text1" w:themeTint="A6"/>
                <w:sz w:val="56"/>
                <w:szCs w:val="60"/>
              </w:rPr>
              <w:t>201</w:t>
            </w:r>
            <w:r w:rsidR="005533BC">
              <w:rPr>
                <w:rFonts w:asciiTheme="minorHAnsi" w:eastAsiaTheme="majorEastAsia" w:hAnsiTheme="minorHAnsi" w:cstheme="minorHAnsi"/>
                <w:color w:val="595959" w:themeColor="text1" w:themeTint="A6"/>
                <w:sz w:val="56"/>
                <w:szCs w:val="60"/>
              </w:rPr>
              <w:t>3</w:t>
            </w:r>
            <w:r w:rsidR="00B31112">
              <w:rPr>
                <w:rFonts w:asciiTheme="minorHAnsi" w:eastAsiaTheme="majorEastAsia" w:hAnsiTheme="minorHAnsi" w:cstheme="minorHAnsi"/>
                <w:color w:val="595959" w:themeColor="text1" w:themeTint="A6"/>
                <w:sz w:val="56"/>
                <w:szCs w:val="60"/>
              </w:rPr>
              <w:t xml:space="preserve">): </w:t>
            </w:r>
            <w:r w:rsidR="00B31112" w:rsidRPr="00B31112">
              <w:rPr>
                <w:rFonts w:asciiTheme="minorHAnsi" w:eastAsiaTheme="majorEastAsia" w:hAnsiTheme="minorHAnsi" w:cstheme="minorHAnsi"/>
                <w:color w:val="595959" w:themeColor="text1" w:themeTint="A6"/>
                <w:sz w:val="32"/>
                <w:szCs w:val="32"/>
              </w:rPr>
              <w:t>An annual review of Indonesian education sector financing</w:t>
            </w:r>
          </w:p>
          <w:p w:rsidR="001409A2" w:rsidRDefault="001409A2" w:rsidP="00A36DA5">
            <w:pPr>
              <w:pStyle w:val="NoSpacing"/>
              <w:rPr>
                <w:rFonts w:asciiTheme="minorHAnsi" w:eastAsiaTheme="majorEastAsia" w:hAnsiTheme="minorHAnsi" w:cstheme="minorHAnsi"/>
                <w:color w:val="595959" w:themeColor="text1" w:themeTint="A6"/>
                <w:sz w:val="32"/>
                <w:szCs w:val="32"/>
              </w:rPr>
            </w:pPr>
          </w:p>
          <w:p w:rsidR="00B31112" w:rsidRPr="00B9330C" w:rsidRDefault="00D64F12" w:rsidP="00F16DBD">
            <w:pPr>
              <w:pStyle w:val="NoSpacing"/>
              <w:rPr>
                <w:rFonts w:asciiTheme="minorHAnsi" w:eastAsiaTheme="majorEastAsia" w:hAnsiTheme="minorHAnsi" w:cstheme="minorHAnsi"/>
                <w:color w:val="595959" w:themeColor="text1" w:themeTint="A6"/>
                <w:sz w:val="24"/>
                <w:szCs w:val="24"/>
              </w:rPr>
            </w:pPr>
            <w:r>
              <w:rPr>
                <w:rFonts w:asciiTheme="minorHAnsi" w:eastAsiaTheme="majorEastAsia" w:hAnsiTheme="minorHAnsi" w:cstheme="minorHAnsi"/>
                <w:color w:val="595959" w:themeColor="text1" w:themeTint="A6"/>
                <w:sz w:val="24"/>
                <w:szCs w:val="24"/>
              </w:rPr>
              <w:t>07 July</w:t>
            </w:r>
            <w:r w:rsidR="00B31112" w:rsidRPr="00B9330C">
              <w:rPr>
                <w:rFonts w:asciiTheme="minorHAnsi" w:eastAsiaTheme="majorEastAsia" w:hAnsiTheme="minorHAnsi" w:cstheme="minorHAnsi"/>
                <w:color w:val="595959" w:themeColor="text1" w:themeTint="A6"/>
                <w:sz w:val="24"/>
                <w:szCs w:val="24"/>
              </w:rPr>
              <w:t xml:space="preserve"> </w:t>
            </w:r>
            <w:r w:rsidR="00F16DBD">
              <w:rPr>
                <w:rFonts w:asciiTheme="minorHAnsi" w:eastAsiaTheme="majorEastAsia" w:hAnsiTheme="minorHAnsi" w:cstheme="minorHAnsi"/>
                <w:color w:val="595959" w:themeColor="text1" w:themeTint="A6"/>
                <w:sz w:val="24"/>
                <w:szCs w:val="24"/>
              </w:rPr>
              <w:t>2015</w:t>
            </w:r>
          </w:p>
        </w:tc>
      </w:tr>
      <w:tr w:rsidR="00645CC8" w:rsidRPr="00C820A7" w:rsidTr="00A36DA5">
        <w:trPr>
          <w:trHeight w:val="393"/>
          <w:jc w:val="center"/>
          <w:hidden/>
        </w:trPr>
        <w:tc>
          <w:tcPr>
            <w:tcW w:w="5000" w:type="pct"/>
            <w:vAlign w:val="center"/>
          </w:tcPr>
          <w:p w:rsidR="00045CAA" w:rsidRDefault="00045CAA" w:rsidP="00A36DA5">
            <w:pPr>
              <w:pStyle w:val="NoSpacing"/>
              <w:rPr>
                <w:rFonts w:asciiTheme="minorHAnsi" w:eastAsiaTheme="majorEastAsia" w:hAnsiTheme="minorHAnsi" w:cstheme="minorHAnsi"/>
                <w:vanish/>
                <w:color w:val="595959" w:themeColor="text1" w:themeTint="A6"/>
                <w:sz w:val="40"/>
                <w:szCs w:val="44"/>
              </w:rPr>
            </w:pPr>
            <w:r w:rsidRPr="00045CAA">
              <w:rPr>
                <w:rFonts w:asciiTheme="minorHAnsi" w:eastAsiaTheme="majorEastAsia" w:hAnsiTheme="minorHAnsi" w:cstheme="minorHAnsi"/>
                <w:vanish/>
                <w:color w:val="595959" w:themeColor="text1" w:themeTint="A6"/>
                <w:sz w:val="40"/>
                <w:szCs w:val="44"/>
              </w:rPr>
              <w:t>Draft Report</w:t>
            </w:r>
          </w:p>
          <w:p w:rsidR="00645CC8" w:rsidRPr="00D51AD9" w:rsidRDefault="00045CAA" w:rsidP="00A36DA5">
            <w:pPr>
              <w:pStyle w:val="NoSpacing"/>
              <w:rPr>
                <w:rFonts w:asciiTheme="minorHAnsi" w:eastAsiaTheme="majorEastAsia" w:hAnsiTheme="minorHAnsi" w:cstheme="minorHAnsi"/>
                <w:color w:val="595959" w:themeColor="text1" w:themeTint="A6"/>
                <w:sz w:val="40"/>
                <w:szCs w:val="44"/>
              </w:rPr>
            </w:pPr>
            <w:r w:rsidRPr="00045CAA">
              <w:rPr>
                <w:rFonts w:asciiTheme="minorHAnsi" w:eastAsiaTheme="majorEastAsia" w:hAnsiTheme="minorHAnsi" w:cstheme="minorHAnsi"/>
                <w:vanish/>
                <w:color w:val="FF0000"/>
                <w:sz w:val="32"/>
                <w:szCs w:val="44"/>
              </w:rPr>
              <w:t>For DFAT – Australian Aid only</w:t>
            </w:r>
          </w:p>
        </w:tc>
      </w:tr>
      <w:tr w:rsidR="00645CC8" w:rsidRPr="00C820A7" w:rsidTr="00A36DA5">
        <w:trPr>
          <w:trHeight w:val="393"/>
          <w:jc w:val="center"/>
          <w:hidden/>
        </w:trPr>
        <w:tc>
          <w:tcPr>
            <w:tcW w:w="5000" w:type="pct"/>
            <w:vAlign w:val="center"/>
          </w:tcPr>
          <w:p w:rsidR="00645CC8" w:rsidRPr="00B1509E" w:rsidRDefault="00645CC8" w:rsidP="00A36DA5">
            <w:pPr>
              <w:pStyle w:val="NoSpacing"/>
              <w:rPr>
                <w:rFonts w:asciiTheme="minorHAnsi" w:eastAsiaTheme="majorEastAsia" w:hAnsiTheme="minorHAnsi" w:cstheme="minorHAnsi"/>
                <w:b/>
                <w:vanish/>
                <w:color w:val="595959" w:themeColor="text1" w:themeTint="A6"/>
                <w:sz w:val="40"/>
                <w:szCs w:val="44"/>
              </w:rPr>
            </w:pPr>
          </w:p>
        </w:tc>
      </w:tr>
    </w:tbl>
    <w:p w:rsidR="00645CC8" w:rsidRPr="00861922" w:rsidRDefault="00645CC8" w:rsidP="00A36DA5">
      <w:pPr>
        <w:jc w:val="center"/>
        <w:rPr>
          <w:color w:val="68BAD6"/>
          <w:sz w:val="24"/>
        </w:rPr>
      </w:pPr>
      <w:r w:rsidRPr="00C820A7">
        <w:rPr>
          <w:rFonts w:asciiTheme="minorHAnsi" w:hAnsiTheme="minorHAnsi" w:cstheme="minorHAnsi"/>
          <w:b/>
          <w:noProof/>
          <w:color w:val="595959" w:themeColor="text1" w:themeTint="A6"/>
          <w:sz w:val="24"/>
          <w:lang w:val="en-AU" w:eastAsia="en-AU"/>
        </w:rPr>
        <w:drawing>
          <wp:anchor distT="0" distB="0" distL="114300" distR="114300" simplePos="0" relativeHeight="251670528" behindDoc="0" locked="1" layoutInCell="0" allowOverlap="1" wp14:anchorId="1CA18466" wp14:editId="7B60EDD4">
            <wp:simplePos x="0" y="0"/>
            <wp:positionH relativeFrom="column">
              <wp:posOffset>-592455</wp:posOffset>
            </wp:positionH>
            <wp:positionV relativeFrom="page">
              <wp:posOffset>10134600</wp:posOffset>
            </wp:positionV>
            <wp:extent cx="7086600" cy="40195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ORK\EPOS\REPORT &amp; STATIONARY\emf\Watermark sky blue 50.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86600"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1922">
        <w:rPr>
          <w:color w:val="68BAD6"/>
          <w:sz w:val="24"/>
          <w:szCs w:val="24"/>
        </w:rPr>
        <w:t xml:space="preserve">Australian Aid—managed by </w:t>
      </w:r>
      <w:r>
        <w:rPr>
          <w:color w:val="68BAD6"/>
          <w:sz w:val="24"/>
          <w:szCs w:val="24"/>
        </w:rPr>
        <w:t>GRM International</w:t>
      </w:r>
      <w:r w:rsidRPr="00861922">
        <w:rPr>
          <w:color w:val="68BAD6"/>
          <w:sz w:val="24"/>
          <w:szCs w:val="24"/>
        </w:rPr>
        <w:t xml:space="preserve"> on behalf of </w:t>
      </w:r>
      <w:r w:rsidR="00EC2E73">
        <w:rPr>
          <w:color w:val="68BAD6"/>
          <w:sz w:val="24"/>
          <w:szCs w:val="24"/>
        </w:rPr>
        <w:t xml:space="preserve">the </w:t>
      </w:r>
      <w:r>
        <w:rPr>
          <w:color w:val="68BAD6"/>
          <w:sz w:val="24"/>
          <w:szCs w:val="24"/>
        </w:rPr>
        <w:t>Australian Government</w:t>
      </w:r>
    </w:p>
    <w:p w:rsidR="00A36DA5" w:rsidRDefault="00A36DA5" w:rsidP="00854A82">
      <w:pPr>
        <w:sectPr w:rsidR="00A36DA5" w:rsidSect="00732091">
          <w:headerReference w:type="even" r:id="rId14"/>
          <w:headerReference w:type="default" r:id="rId15"/>
          <w:footerReference w:type="even" r:id="rId16"/>
          <w:footerReference w:type="default" r:id="rId17"/>
          <w:headerReference w:type="first" r:id="rId18"/>
          <w:footerReference w:type="first" r:id="rId19"/>
          <w:footnotePr>
            <w:numRestart w:val="eachSect"/>
          </w:footnotePr>
          <w:endnotePr>
            <w:numRestart w:val="eachSect"/>
          </w:endnotePr>
          <w:type w:val="oddPage"/>
          <w:pgSz w:w="11909" w:h="16834" w:code="9"/>
          <w:pgMar w:top="1440" w:right="1440" w:bottom="1440" w:left="1440" w:header="432" w:footer="720" w:gutter="0"/>
          <w:pgNumType w:fmt="lowerRoman"/>
          <w:cols w:space="720"/>
          <w:docGrid w:linePitch="360"/>
        </w:sectPr>
      </w:pPr>
    </w:p>
    <w:p w:rsidR="00645CC8" w:rsidRPr="003F5678" w:rsidRDefault="00645CC8" w:rsidP="003F5678">
      <w:pPr>
        <w:pStyle w:val="Heading1"/>
        <w:numPr>
          <w:ilvl w:val="0"/>
          <w:numId w:val="0"/>
        </w:numPr>
        <w:spacing w:after="1320"/>
        <w:rPr>
          <w:color w:val="68BAD6"/>
        </w:rPr>
      </w:pPr>
      <w:bookmarkStart w:id="1" w:name="_Toc359183496"/>
      <w:bookmarkStart w:id="2" w:name="_Toc359185247"/>
      <w:bookmarkStart w:id="3" w:name="_Toc359185320"/>
      <w:bookmarkStart w:id="4" w:name="_Toc365448953"/>
      <w:bookmarkStart w:id="5" w:name="_Toc380740264"/>
      <w:r w:rsidRPr="003F5678">
        <w:rPr>
          <w:color w:val="68BAD6"/>
        </w:rPr>
        <w:lastRenderedPageBreak/>
        <w:t>TABLE OF CONTENTS</w:t>
      </w:r>
      <w:bookmarkEnd w:id="1"/>
      <w:bookmarkEnd w:id="2"/>
      <w:bookmarkEnd w:id="3"/>
      <w:bookmarkEnd w:id="4"/>
      <w:bookmarkEnd w:id="5"/>
      <w:r w:rsidRPr="003F5678">
        <w:rPr>
          <w:color w:val="68BAD6"/>
        </w:rPr>
        <w:tab/>
      </w:r>
    </w:p>
    <w:p w:rsidR="00EC2E73" w:rsidRPr="00EC2E73" w:rsidRDefault="00645CC8">
      <w:pPr>
        <w:pStyle w:val="TOC1"/>
        <w:rPr>
          <w:rFonts w:asciiTheme="minorHAnsi" w:eastAsiaTheme="minorEastAsia" w:hAnsiTheme="minorHAnsi" w:cstheme="minorBidi"/>
          <w:b w:val="0"/>
          <w:bCs w:val="0"/>
          <w:caps w:val="0"/>
          <w:color w:val="auto"/>
          <w:sz w:val="22"/>
          <w:szCs w:val="22"/>
          <w:lang w:val="en-AU" w:eastAsia="en-AU"/>
        </w:rPr>
      </w:pPr>
      <w:r w:rsidRPr="00EC2E73">
        <w:rPr>
          <w:rFonts w:asciiTheme="minorHAnsi" w:eastAsiaTheme="majorEastAsia" w:hAnsiTheme="minorHAnsi" w:cs="Arial"/>
          <w:b w:val="0"/>
          <w:caps w:val="0"/>
          <w:color w:val="000000" w:themeColor="text1"/>
          <w:sz w:val="22"/>
          <w:szCs w:val="22"/>
        </w:rPr>
        <w:fldChar w:fldCharType="begin"/>
      </w:r>
      <w:r w:rsidRPr="00EC2E73">
        <w:rPr>
          <w:rFonts w:asciiTheme="minorHAnsi" w:eastAsiaTheme="majorEastAsia" w:hAnsiTheme="minorHAnsi" w:cs="Arial"/>
          <w:b w:val="0"/>
          <w:caps w:val="0"/>
          <w:color w:val="000000" w:themeColor="text1"/>
          <w:sz w:val="22"/>
          <w:szCs w:val="22"/>
        </w:rPr>
        <w:instrText xml:space="preserve"> TOC \o "1-1" \h \z \u </w:instrText>
      </w:r>
      <w:r w:rsidRPr="00EC2E73">
        <w:rPr>
          <w:rFonts w:asciiTheme="minorHAnsi" w:eastAsiaTheme="majorEastAsia" w:hAnsiTheme="minorHAnsi" w:cs="Arial"/>
          <w:b w:val="0"/>
          <w:caps w:val="0"/>
          <w:color w:val="000000" w:themeColor="text1"/>
          <w:sz w:val="22"/>
          <w:szCs w:val="22"/>
        </w:rPr>
        <w:fldChar w:fldCharType="separate"/>
      </w:r>
      <w:hyperlink w:anchor="_Toc380740264" w:history="1">
        <w:r w:rsidR="00EC2E73" w:rsidRPr="00EC2E73">
          <w:rPr>
            <w:rStyle w:val="Hyperlink"/>
            <w:b w:val="0"/>
          </w:rPr>
          <w:t>TABLE OF CONTENTS</w:t>
        </w:r>
        <w:r w:rsidR="00EC2E73" w:rsidRPr="00EC2E73">
          <w:rPr>
            <w:b w:val="0"/>
            <w:webHidden/>
          </w:rPr>
          <w:tab/>
        </w:r>
        <w:r w:rsidR="00EC2E73" w:rsidRPr="00EC2E73">
          <w:rPr>
            <w:b w:val="0"/>
            <w:webHidden/>
          </w:rPr>
          <w:fldChar w:fldCharType="begin"/>
        </w:r>
        <w:r w:rsidR="00EC2E73" w:rsidRPr="00EC2E73">
          <w:rPr>
            <w:b w:val="0"/>
            <w:webHidden/>
          </w:rPr>
          <w:instrText xml:space="preserve"> PAGEREF _Toc380740264 \h </w:instrText>
        </w:r>
        <w:r w:rsidR="00EC2E73" w:rsidRPr="00EC2E73">
          <w:rPr>
            <w:b w:val="0"/>
            <w:webHidden/>
          </w:rPr>
        </w:r>
        <w:r w:rsidR="00EC2E73" w:rsidRPr="00EC2E73">
          <w:rPr>
            <w:b w:val="0"/>
            <w:webHidden/>
          </w:rPr>
          <w:fldChar w:fldCharType="separate"/>
        </w:r>
        <w:r w:rsidR="00884208">
          <w:rPr>
            <w:b w:val="0"/>
            <w:webHidden/>
          </w:rPr>
          <w:t>i</w:t>
        </w:r>
        <w:r w:rsidR="00EC2E73" w:rsidRPr="00EC2E73">
          <w:rPr>
            <w:b w:val="0"/>
            <w:webHidden/>
          </w:rPr>
          <w:fldChar w:fldCharType="end"/>
        </w:r>
      </w:hyperlink>
    </w:p>
    <w:p w:rsidR="00EC2E73" w:rsidRPr="00EC2E73" w:rsidRDefault="004C599E">
      <w:pPr>
        <w:pStyle w:val="TOC1"/>
        <w:rPr>
          <w:rFonts w:asciiTheme="minorHAnsi" w:eastAsiaTheme="minorEastAsia" w:hAnsiTheme="minorHAnsi" w:cstheme="minorBidi"/>
          <w:b w:val="0"/>
          <w:bCs w:val="0"/>
          <w:caps w:val="0"/>
          <w:color w:val="auto"/>
          <w:sz w:val="22"/>
          <w:szCs w:val="22"/>
          <w:lang w:val="en-AU" w:eastAsia="en-AU"/>
        </w:rPr>
      </w:pPr>
      <w:hyperlink w:anchor="_Toc380740265" w:history="1">
        <w:r w:rsidR="00EC2E73" w:rsidRPr="00EC2E73">
          <w:rPr>
            <w:rStyle w:val="Hyperlink"/>
            <w:b w:val="0"/>
          </w:rPr>
          <w:t>LIST OF TABLES AND FIGURES</w:t>
        </w:r>
        <w:r w:rsidR="00EC2E73" w:rsidRPr="00EC2E73">
          <w:rPr>
            <w:b w:val="0"/>
            <w:webHidden/>
          </w:rPr>
          <w:tab/>
        </w:r>
        <w:r w:rsidR="00EC2E73" w:rsidRPr="00EC2E73">
          <w:rPr>
            <w:b w:val="0"/>
            <w:webHidden/>
          </w:rPr>
          <w:fldChar w:fldCharType="begin"/>
        </w:r>
        <w:r w:rsidR="00EC2E73" w:rsidRPr="00EC2E73">
          <w:rPr>
            <w:b w:val="0"/>
            <w:webHidden/>
          </w:rPr>
          <w:instrText xml:space="preserve"> PAGEREF _Toc380740265 \h </w:instrText>
        </w:r>
        <w:r w:rsidR="00EC2E73" w:rsidRPr="00EC2E73">
          <w:rPr>
            <w:b w:val="0"/>
            <w:webHidden/>
          </w:rPr>
        </w:r>
        <w:r w:rsidR="00EC2E73" w:rsidRPr="00EC2E73">
          <w:rPr>
            <w:b w:val="0"/>
            <w:webHidden/>
          </w:rPr>
          <w:fldChar w:fldCharType="separate"/>
        </w:r>
        <w:r w:rsidR="00884208">
          <w:rPr>
            <w:b w:val="0"/>
            <w:webHidden/>
          </w:rPr>
          <w:t>ii</w:t>
        </w:r>
        <w:r w:rsidR="00EC2E73" w:rsidRPr="00EC2E73">
          <w:rPr>
            <w:b w:val="0"/>
            <w:webHidden/>
          </w:rPr>
          <w:fldChar w:fldCharType="end"/>
        </w:r>
      </w:hyperlink>
    </w:p>
    <w:p w:rsidR="00EC2E73" w:rsidRPr="00EC2E73" w:rsidRDefault="004C599E">
      <w:pPr>
        <w:pStyle w:val="TOC1"/>
        <w:rPr>
          <w:rFonts w:asciiTheme="minorHAnsi" w:eastAsiaTheme="minorEastAsia" w:hAnsiTheme="minorHAnsi" w:cstheme="minorBidi"/>
          <w:b w:val="0"/>
          <w:bCs w:val="0"/>
          <w:caps w:val="0"/>
          <w:color w:val="auto"/>
          <w:sz w:val="22"/>
          <w:szCs w:val="22"/>
          <w:lang w:val="en-AU" w:eastAsia="en-AU"/>
        </w:rPr>
      </w:pPr>
      <w:hyperlink w:anchor="_Toc380740266" w:history="1">
        <w:r w:rsidR="00EC2E73" w:rsidRPr="00EC2E73">
          <w:rPr>
            <w:rStyle w:val="Hyperlink"/>
            <w:b w:val="0"/>
          </w:rPr>
          <w:t>ABBREVIATIONS AND ACRONYMS</w:t>
        </w:r>
        <w:r w:rsidR="00EC2E73" w:rsidRPr="00EC2E73">
          <w:rPr>
            <w:b w:val="0"/>
            <w:webHidden/>
          </w:rPr>
          <w:tab/>
        </w:r>
        <w:r w:rsidR="00EC2E73" w:rsidRPr="00EC2E73">
          <w:rPr>
            <w:b w:val="0"/>
            <w:webHidden/>
          </w:rPr>
          <w:fldChar w:fldCharType="begin"/>
        </w:r>
        <w:r w:rsidR="00EC2E73" w:rsidRPr="00EC2E73">
          <w:rPr>
            <w:b w:val="0"/>
            <w:webHidden/>
          </w:rPr>
          <w:instrText xml:space="preserve"> PAGEREF _Toc380740266 \h </w:instrText>
        </w:r>
        <w:r w:rsidR="00EC2E73" w:rsidRPr="00EC2E73">
          <w:rPr>
            <w:b w:val="0"/>
            <w:webHidden/>
          </w:rPr>
        </w:r>
        <w:r w:rsidR="00EC2E73" w:rsidRPr="00EC2E73">
          <w:rPr>
            <w:b w:val="0"/>
            <w:webHidden/>
          </w:rPr>
          <w:fldChar w:fldCharType="separate"/>
        </w:r>
        <w:r w:rsidR="00884208">
          <w:rPr>
            <w:b w:val="0"/>
            <w:webHidden/>
          </w:rPr>
          <w:t>v</w:t>
        </w:r>
        <w:r w:rsidR="00EC2E73" w:rsidRPr="00EC2E73">
          <w:rPr>
            <w:b w:val="0"/>
            <w:webHidden/>
          </w:rPr>
          <w:fldChar w:fldCharType="end"/>
        </w:r>
      </w:hyperlink>
    </w:p>
    <w:p w:rsidR="00EC2E73" w:rsidRPr="00EC2E73" w:rsidRDefault="004C599E">
      <w:pPr>
        <w:pStyle w:val="TOC1"/>
        <w:rPr>
          <w:rFonts w:asciiTheme="minorHAnsi" w:eastAsiaTheme="minorEastAsia" w:hAnsiTheme="minorHAnsi" w:cstheme="minorBidi"/>
          <w:b w:val="0"/>
          <w:bCs w:val="0"/>
          <w:caps w:val="0"/>
          <w:color w:val="auto"/>
          <w:sz w:val="22"/>
          <w:szCs w:val="22"/>
          <w:lang w:val="en-AU" w:eastAsia="en-AU"/>
        </w:rPr>
      </w:pPr>
      <w:hyperlink w:anchor="_Toc380740267" w:history="1">
        <w:r w:rsidR="00EC2E73" w:rsidRPr="00EC2E73">
          <w:rPr>
            <w:rStyle w:val="Hyperlink"/>
            <w:b w:val="0"/>
          </w:rPr>
          <w:t>PREFACE</w:t>
        </w:r>
        <w:r w:rsidR="00EC2E73" w:rsidRPr="00EC2E73">
          <w:rPr>
            <w:b w:val="0"/>
            <w:webHidden/>
          </w:rPr>
          <w:tab/>
        </w:r>
        <w:r w:rsidR="00EC2E73" w:rsidRPr="00EC2E73">
          <w:rPr>
            <w:b w:val="0"/>
            <w:webHidden/>
          </w:rPr>
          <w:fldChar w:fldCharType="begin"/>
        </w:r>
        <w:r w:rsidR="00EC2E73" w:rsidRPr="00EC2E73">
          <w:rPr>
            <w:b w:val="0"/>
            <w:webHidden/>
          </w:rPr>
          <w:instrText xml:space="preserve"> PAGEREF _Toc380740267 \h </w:instrText>
        </w:r>
        <w:r w:rsidR="00EC2E73" w:rsidRPr="00EC2E73">
          <w:rPr>
            <w:b w:val="0"/>
            <w:webHidden/>
          </w:rPr>
        </w:r>
        <w:r w:rsidR="00EC2E73" w:rsidRPr="00EC2E73">
          <w:rPr>
            <w:b w:val="0"/>
            <w:webHidden/>
          </w:rPr>
          <w:fldChar w:fldCharType="separate"/>
        </w:r>
        <w:r w:rsidR="00884208">
          <w:rPr>
            <w:b w:val="0"/>
            <w:webHidden/>
          </w:rPr>
          <w:t>vii</w:t>
        </w:r>
        <w:r w:rsidR="00EC2E73" w:rsidRPr="00EC2E73">
          <w:rPr>
            <w:b w:val="0"/>
            <w:webHidden/>
          </w:rPr>
          <w:fldChar w:fldCharType="end"/>
        </w:r>
      </w:hyperlink>
    </w:p>
    <w:p w:rsidR="00EC2E73" w:rsidRPr="00EC2E73" w:rsidRDefault="004C599E">
      <w:pPr>
        <w:pStyle w:val="TOC1"/>
        <w:rPr>
          <w:rFonts w:asciiTheme="minorHAnsi" w:eastAsiaTheme="minorEastAsia" w:hAnsiTheme="minorHAnsi" w:cstheme="minorBidi"/>
          <w:b w:val="0"/>
          <w:bCs w:val="0"/>
          <w:caps w:val="0"/>
          <w:color w:val="auto"/>
          <w:sz w:val="22"/>
          <w:szCs w:val="22"/>
          <w:lang w:val="en-AU" w:eastAsia="en-AU"/>
        </w:rPr>
      </w:pPr>
      <w:hyperlink w:anchor="_Toc380740268" w:history="1">
        <w:r w:rsidR="00EC2E73" w:rsidRPr="00EC2E73">
          <w:rPr>
            <w:rStyle w:val="Hyperlink"/>
            <w:b w:val="0"/>
          </w:rPr>
          <w:t>EXECUTIVE SUMMARY</w:t>
        </w:r>
        <w:r w:rsidR="00EC2E73" w:rsidRPr="00EC2E73">
          <w:rPr>
            <w:b w:val="0"/>
            <w:webHidden/>
          </w:rPr>
          <w:tab/>
        </w:r>
        <w:r w:rsidR="00EC2E73" w:rsidRPr="00EC2E73">
          <w:rPr>
            <w:b w:val="0"/>
            <w:webHidden/>
          </w:rPr>
          <w:fldChar w:fldCharType="begin"/>
        </w:r>
        <w:r w:rsidR="00EC2E73" w:rsidRPr="00EC2E73">
          <w:rPr>
            <w:b w:val="0"/>
            <w:webHidden/>
          </w:rPr>
          <w:instrText xml:space="preserve"> PAGEREF _Toc380740268 \h </w:instrText>
        </w:r>
        <w:r w:rsidR="00EC2E73" w:rsidRPr="00EC2E73">
          <w:rPr>
            <w:b w:val="0"/>
            <w:webHidden/>
          </w:rPr>
        </w:r>
        <w:r w:rsidR="00EC2E73" w:rsidRPr="00EC2E73">
          <w:rPr>
            <w:b w:val="0"/>
            <w:webHidden/>
          </w:rPr>
          <w:fldChar w:fldCharType="separate"/>
        </w:r>
        <w:r w:rsidR="00884208">
          <w:rPr>
            <w:b w:val="0"/>
            <w:webHidden/>
          </w:rPr>
          <w:t>viii</w:t>
        </w:r>
        <w:r w:rsidR="00EC2E73" w:rsidRPr="00EC2E73">
          <w:rPr>
            <w:b w:val="0"/>
            <w:webHidden/>
          </w:rPr>
          <w:fldChar w:fldCharType="end"/>
        </w:r>
      </w:hyperlink>
    </w:p>
    <w:p w:rsidR="00EC2E73" w:rsidRPr="00EC2E73" w:rsidRDefault="004C599E">
      <w:pPr>
        <w:pStyle w:val="TOC1"/>
        <w:rPr>
          <w:rFonts w:asciiTheme="minorHAnsi" w:eastAsiaTheme="minorEastAsia" w:hAnsiTheme="minorHAnsi" w:cstheme="minorBidi"/>
          <w:b w:val="0"/>
          <w:bCs w:val="0"/>
          <w:caps w:val="0"/>
          <w:color w:val="auto"/>
          <w:sz w:val="22"/>
          <w:szCs w:val="22"/>
          <w:lang w:val="en-AU" w:eastAsia="en-AU"/>
        </w:rPr>
      </w:pPr>
      <w:hyperlink w:anchor="_Toc380740269" w:history="1">
        <w:r w:rsidR="00EC2E73" w:rsidRPr="00EC2E73">
          <w:rPr>
            <w:rStyle w:val="Hyperlink"/>
            <w:b w:val="0"/>
          </w:rPr>
          <w:t>1</w:t>
        </w:r>
        <w:r w:rsidR="00EC2E73" w:rsidRPr="00EC2E73">
          <w:rPr>
            <w:rFonts w:asciiTheme="minorHAnsi" w:eastAsiaTheme="minorEastAsia" w:hAnsiTheme="minorHAnsi" w:cstheme="minorBidi"/>
            <w:b w:val="0"/>
            <w:bCs w:val="0"/>
            <w:caps w:val="0"/>
            <w:color w:val="auto"/>
            <w:sz w:val="22"/>
            <w:szCs w:val="22"/>
            <w:lang w:val="en-AU" w:eastAsia="en-AU"/>
          </w:rPr>
          <w:tab/>
        </w:r>
        <w:r w:rsidR="00EC2E73" w:rsidRPr="00EC2E73">
          <w:rPr>
            <w:rStyle w:val="Hyperlink"/>
            <w:b w:val="0"/>
          </w:rPr>
          <w:t>INTRODUCTION, APPROACH AND METHODOLOGY</w:t>
        </w:r>
        <w:r w:rsidR="00EC2E73" w:rsidRPr="00EC2E73">
          <w:rPr>
            <w:b w:val="0"/>
            <w:webHidden/>
          </w:rPr>
          <w:tab/>
        </w:r>
        <w:r w:rsidR="00EC2E73" w:rsidRPr="00EC2E73">
          <w:rPr>
            <w:b w:val="0"/>
            <w:webHidden/>
          </w:rPr>
          <w:fldChar w:fldCharType="begin"/>
        </w:r>
        <w:r w:rsidR="00EC2E73" w:rsidRPr="00EC2E73">
          <w:rPr>
            <w:b w:val="0"/>
            <w:webHidden/>
          </w:rPr>
          <w:instrText xml:space="preserve"> PAGEREF _Toc380740269 \h </w:instrText>
        </w:r>
        <w:r w:rsidR="00EC2E73" w:rsidRPr="00EC2E73">
          <w:rPr>
            <w:b w:val="0"/>
            <w:webHidden/>
          </w:rPr>
        </w:r>
        <w:r w:rsidR="00EC2E73" w:rsidRPr="00EC2E73">
          <w:rPr>
            <w:b w:val="0"/>
            <w:webHidden/>
          </w:rPr>
          <w:fldChar w:fldCharType="separate"/>
        </w:r>
        <w:r w:rsidR="00884208">
          <w:rPr>
            <w:b w:val="0"/>
            <w:webHidden/>
          </w:rPr>
          <w:t>2</w:t>
        </w:r>
        <w:r w:rsidR="00EC2E73" w:rsidRPr="00EC2E73">
          <w:rPr>
            <w:b w:val="0"/>
            <w:webHidden/>
          </w:rPr>
          <w:fldChar w:fldCharType="end"/>
        </w:r>
      </w:hyperlink>
    </w:p>
    <w:p w:rsidR="00EC2E73" w:rsidRPr="00EC2E73" w:rsidRDefault="004C599E">
      <w:pPr>
        <w:pStyle w:val="TOC1"/>
        <w:rPr>
          <w:rFonts w:asciiTheme="minorHAnsi" w:eastAsiaTheme="minorEastAsia" w:hAnsiTheme="minorHAnsi" w:cstheme="minorBidi"/>
          <w:b w:val="0"/>
          <w:bCs w:val="0"/>
          <w:caps w:val="0"/>
          <w:color w:val="auto"/>
          <w:sz w:val="22"/>
          <w:szCs w:val="22"/>
          <w:lang w:val="en-AU" w:eastAsia="en-AU"/>
        </w:rPr>
      </w:pPr>
      <w:hyperlink w:anchor="_Toc380740270" w:history="1">
        <w:r w:rsidR="00EC2E73" w:rsidRPr="00EC2E73">
          <w:rPr>
            <w:rStyle w:val="Hyperlink"/>
            <w:b w:val="0"/>
          </w:rPr>
          <w:t>2</w:t>
        </w:r>
        <w:r w:rsidR="00EC2E73" w:rsidRPr="00EC2E73">
          <w:rPr>
            <w:rFonts w:asciiTheme="minorHAnsi" w:eastAsiaTheme="minorEastAsia" w:hAnsiTheme="minorHAnsi" w:cstheme="minorBidi"/>
            <w:b w:val="0"/>
            <w:bCs w:val="0"/>
            <w:caps w:val="0"/>
            <w:color w:val="auto"/>
            <w:sz w:val="22"/>
            <w:szCs w:val="22"/>
            <w:lang w:val="en-AU" w:eastAsia="en-AU"/>
          </w:rPr>
          <w:tab/>
        </w:r>
        <w:r w:rsidR="00EC2E73" w:rsidRPr="00EC2E73">
          <w:rPr>
            <w:rStyle w:val="Hyperlink"/>
            <w:b w:val="0"/>
          </w:rPr>
          <w:t>FINANCIAL PERFORMANCE AT NATIONAL LEVEL</w:t>
        </w:r>
        <w:r w:rsidR="00EC2E73" w:rsidRPr="00EC2E73">
          <w:rPr>
            <w:b w:val="0"/>
            <w:webHidden/>
          </w:rPr>
          <w:tab/>
        </w:r>
        <w:r w:rsidR="00EC2E73" w:rsidRPr="00EC2E73">
          <w:rPr>
            <w:b w:val="0"/>
            <w:webHidden/>
          </w:rPr>
          <w:fldChar w:fldCharType="begin"/>
        </w:r>
        <w:r w:rsidR="00EC2E73" w:rsidRPr="00EC2E73">
          <w:rPr>
            <w:b w:val="0"/>
            <w:webHidden/>
          </w:rPr>
          <w:instrText xml:space="preserve"> PAGEREF _Toc380740270 \h </w:instrText>
        </w:r>
        <w:r w:rsidR="00EC2E73" w:rsidRPr="00EC2E73">
          <w:rPr>
            <w:b w:val="0"/>
            <w:webHidden/>
          </w:rPr>
        </w:r>
        <w:r w:rsidR="00EC2E73" w:rsidRPr="00EC2E73">
          <w:rPr>
            <w:b w:val="0"/>
            <w:webHidden/>
          </w:rPr>
          <w:fldChar w:fldCharType="separate"/>
        </w:r>
        <w:r w:rsidR="00884208">
          <w:rPr>
            <w:b w:val="0"/>
            <w:webHidden/>
          </w:rPr>
          <w:t>7</w:t>
        </w:r>
        <w:r w:rsidR="00EC2E73" w:rsidRPr="00EC2E73">
          <w:rPr>
            <w:b w:val="0"/>
            <w:webHidden/>
          </w:rPr>
          <w:fldChar w:fldCharType="end"/>
        </w:r>
      </w:hyperlink>
    </w:p>
    <w:p w:rsidR="00EC2E73" w:rsidRPr="00EC2E73" w:rsidRDefault="004C599E">
      <w:pPr>
        <w:pStyle w:val="TOC1"/>
        <w:rPr>
          <w:rFonts w:asciiTheme="minorHAnsi" w:eastAsiaTheme="minorEastAsia" w:hAnsiTheme="minorHAnsi" w:cstheme="minorBidi"/>
          <w:b w:val="0"/>
          <w:bCs w:val="0"/>
          <w:caps w:val="0"/>
          <w:color w:val="auto"/>
          <w:sz w:val="22"/>
          <w:szCs w:val="22"/>
          <w:lang w:val="en-AU" w:eastAsia="en-AU"/>
        </w:rPr>
      </w:pPr>
      <w:hyperlink w:anchor="_Toc380740271" w:history="1">
        <w:r w:rsidR="00EC2E73" w:rsidRPr="00EC2E73">
          <w:rPr>
            <w:rStyle w:val="Hyperlink"/>
            <w:b w:val="0"/>
          </w:rPr>
          <w:t>3</w:t>
        </w:r>
        <w:r w:rsidR="00EC2E73" w:rsidRPr="00EC2E73">
          <w:rPr>
            <w:rFonts w:asciiTheme="minorHAnsi" w:eastAsiaTheme="minorEastAsia" w:hAnsiTheme="minorHAnsi" w:cstheme="minorBidi"/>
            <w:b w:val="0"/>
            <w:bCs w:val="0"/>
            <w:caps w:val="0"/>
            <w:color w:val="auto"/>
            <w:sz w:val="22"/>
            <w:szCs w:val="22"/>
            <w:lang w:val="en-AU" w:eastAsia="en-AU"/>
          </w:rPr>
          <w:tab/>
        </w:r>
        <w:r w:rsidR="00EC2E73" w:rsidRPr="00EC2E73">
          <w:rPr>
            <w:rStyle w:val="Hyperlink"/>
            <w:b w:val="0"/>
          </w:rPr>
          <w:t>FINANCIAL PERFORMANCE AT DISTRICT LEVEL</w:t>
        </w:r>
        <w:r w:rsidR="00EC2E73" w:rsidRPr="00EC2E73">
          <w:rPr>
            <w:b w:val="0"/>
            <w:webHidden/>
          </w:rPr>
          <w:tab/>
        </w:r>
        <w:r w:rsidR="00EC2E73" w:rsidRPr="00EC2E73">
          <w:rPr>
            <w:b w:val="0"/>
            <w:webHidden/>
          </w:rPr>
          <w:fldChar w:fldCharType="begin"/>
        </w:r>
        <w:r w:rsidR="00EC2E73" w:rsidRPr="00EC2E73">
          <w:rPr>
            <w:b w:val="0"/>
            <w:webHidden/>
          </w:rPr>
          <w:instrText xml:space="preserve"> PAGEREF _Toc380740271 \h </w:instrText>
        </w:r>
        <w:r w:rsidR="00EC2E73" w:rsidRPr="00EC2E73">
          <w:rPr>
            <w:b w:val="0"/>
            <w:webHidden/>
          </w:rPr>
        </w:r>
        <w:r w:rsidR="00EC2E73" w:rsidRPr="00EC2E73">
          <w:rPr>
            <w:b w:val="0"/>
            <w:webHidden/>
          </w:rPr>
          <w:fldChar w:fldCharType="separate"/>
        </w:r>
        <w:r w:rsidR="00884208">
          <w:rPr>
            <w:b w:val="0"/>
            <w:webHidden/>
          </w:rPr>
          <w:t>17</w:t>
        </w:r>
        <w:r w:rsidR="00EC2E73" w:rsidRPr="00EC2E73">
          <w:rPr>
            <w:b w:val="0"/>
            <w:webHidden/>
          </w:rPr>
          <w:fldChar w:fldCharType="end"/>
        </w:r>
      </w:hyperlink>
    </w:p>
    <w:p w:rsidR="00EC2E73" w:rsidRPr="00EC2E73" w:rsidRDefault="004C599E">
      <w:pPr>
        <w:pStyle w:val="TOC1"/>
        <w:rPr>
          <w:rFonts w:asciiTheme="minorHAnsi" w:eastAsiaTheme="minorEastAsia" w:hAnsiTheme="minorHAnsi" w:cstheme="minorBidi"/>
          <w:b w:val="0"/>
          <w:bCs w:val="0"/>
          <w:caps w:val="0"/>
          <w:color w:val="auto"/>
          <w:sz w:val="22"/>
          <w:szCs w:val="22"/>
          <w:lang w:val="en-AU" w:eastAsia="en-AU"/>
        </w:rPr>
      </w:pPr>
      <w:hyperlink w:anchor="_Toc380740272" w:history="1">
        <w:r w:rsidR="00EC2E73" w:rsidRPr="00EC2E73">
          <w:rPr>
            <w:rStyle w:val="Hyperlink"/>
            <w:b w:val="0"/>
          </w:rPr>
          <w:t>4</w:t>
        </w:r>
        <w:r w:rsidR="00EC2E73" w:rsidRPr="00EC2E73">
          <w:rPr>
            <w:rFonts w:asciiTheme="minorHAnsi" w:eastAsiaTheme="minorEastAsia" w:hAnsiTheme="minorHAnsi" w:cstheme="minorBidi"/>
            <w:b w:val="0"/>
            <w:bCs w:val="0"/>
            <w:caps w:val="0"/>
            <w:color w:val="auto"/>
            <w:sz w:val="22"/>
            <w:szCs w:val="22"/>
            <w:lang w:val="en-AU" w:eastAsia="en-AU"/>
          </w:rPr>
          <w:tab/>
        </w:r>
        <w:r w:rsidR="00EC2E73" w:rsidRPr="00EC2E73">
          <w:rPr>
            <w:rStyle w:val="Hyperlink"/>
            <w:b w:val="0"/>
          </w:rPr>
          <w:t>THE BOTTOM-LINE</w:t>
        </w:r>
        <w:r w:rsidR="00EC2E73" w:rsidRPr="00EC2E73">
          <w:rPr>
            <w:b w:val="0"/>
            <w:webHidden/>
          </w:rPr>
          <w:tab/>
        </w:r>
        <w:r w:rsidR="00EC2E73" w:rsidRPr="00EC2E73">
          <w:rPr>
            <w:b w:val="0"/>
            <w:webHidden/>
          </w:rPr>
          <w:fldChar w:fldCharType="begin"/>
        </w:r>
        <w:r w:rsidR="00EC2E73" w:rsidRPr="00EC2E73">
          <w:rPr>
            <w:b w:val="0"/>
            <w:webHidden/>
          </w:rPr>
          <w:instrText xml:space="preserve"> PAGEREF _Toc380740272 \h </w:instrText>
        </w:r>
        <w:r w:rsidR="00EC2E73" w:rsidRPr="00EC2E73">
          <w:rPr>
            <w:b w:val="0"/>
            <w:webHidden/>
          </w:rPr>
        </w:r>
        <w:r w:rsidR="00EC2E73" w:rsidRPr="00EC2E73">
          <w:rPr>
            <w:b w:val="0"/>
            <w:webHidden/>
          </w:rPr>
          <w:fldChar w:fldCharType="separate"/>
        </w:r>
        <w:r w:rsidR="00884208">
          <w:rPr>
            <w:b w:val="0"/>
            <w:webHidden/>
          </w:rPr>
          <w:t>64</w:t>
        </w:r>
        <w:r w:rsidR="00EC2E73" w:rsidRPr="00EC2E73">
          <w:rPr>
            <w:b w:val="0"/>
            <w:webHidden/>
          </w:rPr>
          <w:fldChar w:fldCharType="end"/>
        </w:r>
      </w:hyperlink>
    </w:p>
    <w:p w:rsidR="00EC2E73" w:rsidRPr="00EC2E73" w:rsidRDefault="004C599E">
      <w:pPr>
        <w:pStyle w:val="TOC1"/>
        <w:rPr>
          <w:rFonts w:asciiTheme="minorHAnsi" w:eastAsiaTheme="minorEastAsia" w:hAnsiTheme="minorHAnsi" w:cstheme="minorBidi"/>
          <w:b w:val="0"/>
          <w:bCs w:val="0"/>
          <w:caps w:val="0"/>
          <w:color w:val="auto"/>
          <w:sz w:val="22"/>
          <w:szCs w:val="22"/>
          <w:lang w:val="en-AU" w:eastAsia="en-AU"/>
        </w:rPr>
      </w:pPr>
      <w:hyperlink w:anchor="_Toc380740273" w:history="1">
        <w:r w:rsidR="00EC2E73" w:rsidRPr="00EC2E73">
          <w:rPr>
            <w:rStyle w:val="Hyperlink"/>
            <w:b w:val="0"/>
          </w:rPr>
          <w:t>5</w:t>
        </w:r>
        <w:r w:rsidR="00EC2E73" w:rsidRPr="00EC2E73">
          <w:rPr>
            <w:rFonts w:asciiTheme="minorHAnsi" w:eastAsiaTheme="minorEastAsia" w:hAnsiTheme="minorHAnsi" w:cstheme="minorBidi"/>
            <w:b w:val="0"/>
            <w:bCs w:val="0"/>
            <w:caps w:val="0"/>
            <w:color w:val="auto"/>
            <w:sz w:val="22"/>
            <w:szCs w:val="22"/>
            <w:lang w:val="en-AU" w:eastAsia="en-AU"/>
          </w:rPr>
          <w:tab/>
        </w:r>
        <w:r w:rsidR="00EC2E73" w:rsidRPr="00EC2E73">
          <w:rPr>
            <w:rStyle w:val="Hyperlink"/>
            <w:b w:val="0"/>
          </w:rPr>
          <w:t>NEXT STEPS</w:t>
        </w:r>
        <w:r w:rsidR="00EC2E73" w:rsidRPr="00EC2E73">
          <w:rPr>
            <w:b w:val="0"/>
            <w:webHidden/>
          </w:rPr>
          <w:tab/>
        </w:r>
        <w:r w:rsidR="00EC2E73" w:rsidRPr="00EC2E73">
          <w:rPr>
            <w:b w:val="0"/>
            <w:webHidden/>
          </w:rPr>
          <w:fldChar w:fldCharType="begin"/>
        </w:r>
        <w:r w:rsidR="00EC2E73" w:rsidRPr="00EC2E73">
          <w:rPr>
            <w:b w:val="0"/>
            <w:webHidden/>
          </w:rPr>
          <w:instrText xml:space="preserve"> PAGEREF _Toc380740273 \h </w:instrText>
        </w:r>
        <w:r w:rsidR="00EC2E73" w:rsidRPr="00EC2E73">
          <w:rPr>
            <w:b w:val="0"/>
            <w:webHidden/>
          </w:rPr>
        </w:r>
        <w:r w:rsidR="00EC2E73" w:rsidRPr="00EC2E73">
          <w:rPr>
            <w:b w:val="0"/>
            <w:webHidden/>
          </w:rPr>
          <w:fldChar w:fldCharType="separate"/>
        </w:r>
        <w:r w:rsidR="00884208">
          <w:rPr>
            <w:b w:val="0"/>
            <w:webHidden/>
          </w:rPr>
          <w:t>71</w:t>
        </w:r>
        <w:r w:rsidR="00EC2E73" w:rsidRPr="00EC2E73">
          <w:rPr>
            <w:b w:val="0"/>
            <w:webHidden/>
          </w:rPr>
          <w:fldChar w:fldCharType="end"/>
        </w:r>
      </w:hyperlink>
    </w:p>
    <w:p w:rsidR="00EC2E73" w:rsidRPr="00EC2E73" w:rsidRDefault="004C599E">
      <w:pPr>
        <w:pStyle w:val="TOC1"/>
        <w:rPr>
          <w:rFonts w:asciiTheme="minorHAnsi" w:eastAsiaTheme="minorEastAsia" w:hAnsiTheme="minorHAnsi" w:cstheme="minorBidi"/>
          <w:b w:val="0"/>
          <w:bCs w:val="0"/>
          <w:caps w:val="0"/>
          <w:color w:val="auto"/>
          <w:sz w:val="22"/>
          <w:szCs w:val="22"/>
          <w:lang w:val="en-AU" w:eastAsia="en-AU"/>
        </w:rPr>
      </w:pPr>
      <w:hyperlink w:anchor="_Toc380740274" w:history="1">
        <w:r w:rsidR="00EC2E73" w:rsidRPr="00EC2E73">
          <w:rPr>
            <w:rStyle w:val="Hyperlink"/>
            <w:b w:val="0"/>
          </w:rPr>
          <w:t>Annex A - EP LOGIC ARCHITECTURE</w:t>
        </w:r>
        <w:r w:rsidR="00EC2E73" w:rsidRPr="00EC2E73">
          <w:rPr>
            <w:b w:val="0"/>
            <w:webHidden/>
          </w:rPr>
          <w:tab/>
        </w:r>
        <w:r w:rsidR="00EC2E73" w:rsidRPr="00EC2E73">
          <w:rPr>
            <w:b w:val="0"/>
            <w:webHidden/>
          </w:rPr>
          <w:fldChar w:fldCharType="begin"/>
        </w:r>
        <w:r w:rsidR="00EC2E73" w:rsidRPr="00EC2E73">
          <w:rPr>
            <w:b w:val="0"/>
            <w:webHidden/>
          </w:rPr>
          <w:instrText xml:space="preserve"> PAGEREF _Toc380740274 \h </w:instrText>
        </w:r>
        <w:r w:rsidR="00EC2E73" w:rsidRPr="00EC2E73">
          <w:rPr>
            <w:b w:val="0"/>
            <w:webHidden/>
          </w:rPr>
        </w:r>
        <w:r w:rsidR="00EC2E73" w:rsidRPr="00EC2E73">
          <w:rPr>
            <w:b w:val="0"/>
            <w:webHidden/>
          </w:rPr>
          <w:fldChar w:fldCharType="separate"/>
        </w:r>
        <w:r w:rsidR="00884208">
          <w:rPr>
            <w:b w:val="0"/>
            <w:webHidden/>
          </w:rPr>
          <w:t>72</w:t>
        </w:r>
        <w:r w:rsidR="00EC2E73" w:rsidRPr="00EC2E73">
          <w:rPr>
            <w:b w:val="0"/>
            <w:webHidden/>
          </w:rPr>
          <w:fldChar w:fldCharType="end"/>
        </w:r>
      </w:hyperlink>
    </w:p>
    <w:p w:rsidR="00EC2E73" w:rsidRPr="00EC2E73" w:rsidRDefault="004C599E">
      <w:pPr>
        <w:pStyle w:val="TOC1"/>
        <w:rPr>
          <w:rFonts w:asciiTheme="minorHAnsi" w:eastAsiaTheme="minorEastAsia" w:hAnsiTheme="minorHAnsi" w:cstheme="minorBidi"/>
          <w:b w:val="0"/>
          <w:bCs w:val="0"/>
          <w:caps w:val="0"/>
          <w:color w:val="auto"/>
          <w:sz w:val="22"/>
          <w:szCs w:val="22"/>
          <w:lang w:val="en-AU" w:eastAsia="en-AU"/>
        </w:rPr>
      </w:pPr>
      <w:hyperlink w:anchor="_Toc380740275" w:history="1">
        <w:r w:rsidR="00EC2E73" w:rsidRPr="00EC2E73">
          <w:rPr>
            <w:rStyle w:val="Hyperlink"/>
            <w:b w:val="0"/>
          </w:rPr>
          <w:t>Annex B – Statistical Table Related to EP Districts</w:t>
        </w:r>
        <w:r w:rsidR="00EC2E73" w:rsidRPr="00EC2E73">
          <w:rPr>
            <w:b w:val="0"/>
            <w:webHidden/>
          </w:rPr>
          <w:tab/>
        </w:r>
        <w:r w:rsidR="00EC2E73" w:rsidRPr="00EC2E73">
          <w:rPr>
            <w:b w:val="0"/>
            <w:webHidden/>
          </w:rPr>
          <w:fldChar w:fldCharType="begin"/>
        </w:r>
        <w:r w:rsidR="00EC2E73" w:rsidRPr="00EC2E73">
          <w:rPr>
            <w:b w:val="0"/>
            <w:webHidden/>
          </w:rPr>
          <w:instrText xml:space="preserve"> PAGEREF _Toc380740275 \h </w:instrText>
        </w:r>
        <w:r w:rsidR="00EC2E73" w:rsidRPr="00EC2E73">
          <w:rPr>
            <w:b w:val="0"/>
            <w:webHidden/>
          </w:rPr>
        </w:r>
        <w:r w:rsidR="00EC2E73" w:rsidRPr="00EC2E73">
          <w:rPr>
            <w:b w:val="0"/>
            <w:webHidden/>
          </w:rPr>
          <w:fldChar w:fldCharType="separate"/>
        </w:r>
        <w:r w:rsidR="00884208">
          <w:rPr>
            <w:b w:val="0"/>
            <w:webHidden/>
          </w:rPr>
          <w:t>73</w:t>
        </w:r>
        <w:r w:rsidR="00EC2E73" w:rsidRPr="00EC2E73">
          <w:rPr>
            <w:b w:val="0"/>
            <w:webHidden/>
          </w:rPr>
          <w:fldChar w:fldCharType="end"/>
        </w:r>
      </w:hyperlink>
    </w:p>
    <w:p w:rsidR="00645CC8" w:rsidRDefault="00645CC8" w:rsidP="00645CC8">
      <w:pPr>
        <w:rPr>
          <w:rFonts w:ascii="Arial" w:eastAsiaTheme="majorEastAsia" w:hAnsi="Arial" w:cs="Arial"/>
          <w:bCs/>
          <w:color w:val="365F91" w:themeColor="accent1" w:themeShade="BF"/>
        </w:rPr>
      </w:pPr>
      <w:r w:rsidRPr="00EC2E73">
        <w:rPr>
          <w:rFonts w:asciiTheme="minorHAnsi" w:eastAsiaTheme="majorEastAsia" w:hAnsiTheme="minorHAnsi" w:cs="Arial"/>
          <w:bCs/>
          <w:color w:val="000000" w:themeColor="text1"/>
        </w:rPr>
        <w:fldChar w:fldCharType="end"/>
      </w:r>
    </w:p>
    <w:p w:rsidR="0032365A" w:rsidRDefault="0032365A" w:rsidP="003F5678">
      <w:pPr>
        <w:pStyle w:val="Heading1"/>
        <w:numPr>
          <w:ilvl w:val="0"/>
          <w:numId w:val="0"/>
        </w:numPr>
        <w:spacing w:after="1320"/>
        <w:rPr>
          <w:color w:val="68BAD6"/>
        </w:rPr>
        <w:sectPr w:rsidR="0032365A" w:rsidSect="0038463D">
          <w:headerReference w:type="default" r:id="rId20"/>
          <w:footerReference w:type="default" r:id="rId21"/>
          <w:headerReference w:type="first" r:id="rId22"/>
          <w:footerReference w:type="first" r:id="rId23"/>
          <w:footnotePr>
            <w:numRestart w:val="eachSect"/>
          </w:footnotePr>
          <w:endnotePr>
            <w:numRestart w:val="eachSect"/>
          </w:endnotePr>
          <w:pgSz w:w="11909" w:h="16834" w:code="9"/>
          <w:pgMar w:top="357" w:right="1440" w:bottom="1304" w:left="1440" w:header="431" w:footer="425" w:gutter="0"/>
          <w:pgNumType w:fmt="lowerRoman" w:start="1"/>
          <w:cols w:space="720"/>
          <w:titlePg/>
          <w:docGrid w:linePitch="360"/>
        </w:sectPr>
      </w:pPr>
    </w:p>
    <w:p w:rsidR="00B9330C" w:rsidRPr="003F5678" w:rsidRDefault="00B9330C" w:rsidP="003F5678">
      <w:pPr>
        <w:pStyle w:val="Heading1"/>
        <w:numPr>
          <w:ilvl w:val="0"/>
          <w:numId w:val="0"/>
        </w:numPr>
        <w:spacing w:after="1320"/>
        <w:rPr>
          <w:color w:val="68BAD6"/>
        </w:rPr>
      </w:pPr>
      <w:bookmarkStart w:id="6" w:name="_Toc380740265"/>
      <w:r w:rsidRPr="003F5678">
        <w:rPr>
          <w:color w:val="68BAD6"/>
        </w:rPr>
        <w:lastRenderedPageBreak/>
        <w:t xml:space="preserve">LIST OF </w:t>
      </w:r>
      <w:r w:rsidR="00DB052E">
        <w:rPr>
          <w:color w:val="68BAD6"/>
        </w:rPr>
        <w:t xml:space="preserve">TABLES AND </w:t>
      </w:r>
      <w:r w:rsidRPr="003F5678">
        <w:rPr>
          <w:color w:val="68BAD6"/>
        </w:rPr>
        <w:t>FIGURES</w:t>
      </w:r>
      <w:bookmarkEnd w:id="6"/>
    </w:p>
    <w:p w:rsidR="00884208" w:rsidRDefault="000B523C">
      <w:pPr>
        <w:pStyle w:val="TableofFigures"/>
        <w:tabs>
          <w:tab w:val="left" w:pos="1100"/>
          <w:tab w:val="right" w:leader="dot" w:pos="9019"/>
        </w:tabs>
        <w:rPr>
          <w:rFonts w:asciiTheme="minorHAnsi" w:eastAsiaTheme="minorEastAsia" w:hAnsiTheme="minorHAnsi" w:cstheme="minorBidi"/>
          <w:noProof/>
          <w:lang w:val="en-AU" w:eastAsia="en-AU"/>
        </w:rPr>
      </w:pPr>
      <w:r w:rsidRPr="003F5678">
        <w:rPr>
          <w:rFonts w:asciiTheme="minorHAnsi" w:hAnsiTheme="minorHAnsi"/>
        </w:rPr>
        <w:fldChar w:fldCharType="begin"/>
      </w:r>
      <w:r w:rsidRPr="003F5678">
        <w:rPr>
          <w:rFonts w:asciiTheme="minorHAnsi" w:hAnsiTheme="minorHAnsi"/>
        </w:rPr>
        <w:instrText xml:space="preserve"> TOC \h \z \t "Caption,Figure" \c </w:instrText>
      </w:r>
      <w:r w:rsidRPr="003F5678">
        <w:rPr>
          <w:rFonts w:asciiTheme="minorHAnsi" w:hAnsiTheme="minorHAnsi"/>
        </w:rPr>
        <w:fldChar w:fldCharType="separate"/>
      </w:r>
      <w:hyperlink w:anchor="_Toc414281533" w:history="1">
        <w:r w:rsidR="00884208" w:rsidRPr="00502E93">
          <w:rPr>
            <w:rStyle w:val="Hyperlink"/>
            <w:bCs/>
            <w:noProof/>
          </w:rPr>
          <w:t>Figure 1:</w:t>
        </w:r>
        <w:r w:rsidR="00884208">
          <w:rPr>
            <w:rFonts w:asciiTheme="minorHAnsi" w:eastAsiaTheme="minorEastAsia" w:hAnsiTheme="minorHAnsi" w:cstheme="minorBidi"/>
            <w:noProof/>
            <w:lang w:val="en-AU" w:eastAsia="en-AU"/>
          </w:rPr>
          <w:tab/>
        </w:r>
        <w:r w:rsidR="00884208" w:rsidRPr="00502E93">
          <w:rPr>
            <w:rStyle w:val="Hyperlink"/>
            <w:bCs/>
            <w:noProof/>
          </w:rPr>
          <w:t>Education Expenditure as Proportion of Total National Public Expenditure, 2001-2013</w:t>
        </w:r>
        <w:r w:rsidR="00884208">
          <w:rPr>
            <w:noProof/>
            <w:webHidden/>
          </w:rPr>
          <w:tab/>
        </w:r>
        <w:r w:rsidR="00884208">
          <w:rPr>
            <w:noProof/>
            <w:webHidden/>
          </w:rPr>
          <w:fldChar w:fldCharType="begin"/>
        </w:r>
        <w:r w:rsidR="00884208">
          <w:rPr>
            <w:noProof/>
            <w:webHidden/>
          </w:rPr>
          <w:instrText xml:space="preserve"> PAGEREF _Toc414281533 \h </w:instrText>
        </w:r>
        <w:r w:rsidR="00884208">
          <w:rPr>
            <w:noProof/>
            <w:webHidden/>
          </w:rPr>
        </w:r>
        <w:r w:rsidR="00884208">
          <w:rPr>
            <w:noProof/>
            <w:webHidden/>
          </w:rPr>
          <w:fldChar w:fldCharType="separate"/>
        </w:r>
        <w:r w:rsidR="00884208">
          <w:rPr>
            <w:noProof/>
            <w:webHidden/>
          </w:rPr>
          <w:t>9</w:t>
        </w:r>
        <w:r w:rsidR="00884208">
          <w:rPr>
            <w:noProof/>
            <w:webHidden/>
          </w:rPr>
          <w:fldChar w:fldCharType="end"/>
        </w:r>
      </w:hyperlink>
    </w:p>
    <w:p w:rsidR="00884208" w:rsidRDefault="004C599E">
      <w:pPr>
        <w:pStyle w:val="TableofFigures"/>
        <w:tabs>
          <w:tab w:val="left" w:pos="1100"/>
          <w:tab w:val="right" w:leader="dot" w:pos="9019"/>
        </w:tabs>
        <w:rPr>
          <w:rFonts w:asciiTheme="minorHAnsi" w:eastAsiaTheme="minorEastAsia" w:hAnsiTheme="minorHAnsi" w:cstheme="minorBidi"/>
          <w:noProof/>
          <w:lang w:val="en-AU" w:eastAsia="en-AU"/>
        </w:rPr>
      </w:pPr>
      <w:hyperlink w:anchor="_Toc414281534" w:history="1">
        <w:r w:rsidR="00884208" w:rsidRPr="00502E93">
          <w:rPr>
            <w:rStyle w:val="Hyperlink"/>
            <w:noProof/>
          </w:rPr>
          <w:t>Figure 2:</w:t>
        </w:r>
        <w:r w:rsidR="00884208">
          <w:rPr>
            <w:rFonts w:asciiTheme="minorHAnsi" w:eastAsiaTheme="minorEastAsia" w:hAnsiTheme="minorHAnsi" w:cstheme="minorBidi"/>
            <w:noProof/>
            <w:lang w:val="en-AU" w:eastAsia="en-AU"/>
          </w:rPr>
          <w:tab/>
        </w:r>
        <w:r w:rsidR="00884208" w:rsidRPr="00502E93">
          <w:rPr>
            <w:rStyle w:val="Hyperlink"/>
            <w:noProof/>
          </w:rPr>
          <w:t>National Public Expenditure on Education, Rp. Trillion 2001-2013</w:t>
        </w:r>
        <w:r w:rsidR="00884208">
          <w:rPr>
            <w:noProof/>
            <w:webHidden/>
          </w:rPr>
          <w:tab/>
        </w:r>
        <w:r w:rsidR="00884208">
          <w:rPr>
            <w:noProof/>
            <w:webHidden/>
          </w:rPr>
          <w:fldChar w:fldCharType="begin"/>
        </w:r>
        <w:r w:rsidR="00884208">
          <w:rPr>
            <w:noProof/>
            <w:webHidden/>
          </w:rPr>
          <w:instrText xml:space="preserve"> PAGEREF _Toc414281534 \h </w:instrText>
        </w:r>
        <w:r w:rsidR="00884208">
          <w:rPr>
            <w:noProof/>
            <w:webHidden/>
          </w:rPr>
        </w:r>
        <w:r w:rsidR="00884208">
          <w:rPr>
            <w:noProof/>
            <w:webHidden/>
          </w:rPr>
          <w:fldChar w:fldCharType="separate"/>
        </w:r>
        <w:r w:rsidR="00884208">
          <w:rPr>
            <w:noProof/>
            <w:webHidden/>
          </w:rPr>
          <w:t>11</w:t>
        </w:r>
        <w:r w:rsidR="00884208">
          <w:rPr>
            <w:noProof/>
            <w:webHidden/>
          </w:rPr>
          <w:fldChar w:fldCharType="end"/>
        </w:r>
      </w:hyperlink>
    </w:p>
    <w:p w:rsidR="00884208" w:rsidRDefault="004C599E">
      <w:pPr>
        <w:pStyle w:val="TableofFigures"/>
        <w:tabs>
          <w:tab w:val="left" w:pos="1100"/>
          <w:tab w:val="right" w:leader="dot" w:pos="9019"/>
        </w:tabs>
        <w:rPr>
          <w:rFonts w:asciiTheme="minorHAnsi" w:eastAsiaTheme="minorEastAsia" w:hAnsiTheme="minorHAnsi" w:cstheme="minorBidi"/>
          <w:noProof/>
          <w:lang w:val="en-AU" w:eastAsia="en-AU"/>
        </w:rPr>
      </w:pPr>
      <w:hyperlink w:anchor="_Toc414281535" w:history="1">
        <w:r w:rsidR="00884208" w:rsidRPr="00502E93">
          <w:rPr>
            <w:rStyle w:val="Hyperlink"/>
            <w:noProof/>
          </w:rPr>
          <w:t>Figure 3:</w:t>
        </w:r>
        <w:r w:rsidR="00884208">
          <w:rPr>
            <w:rFonts w:asciiTheme="minorHAnsi" w:eastAsiaTheme="minorEastAsia" w:hAnsiTheme="minorHAnsi" w:cstheme="minorBidi"/>
            <w:noProof/>
            <w:lang w:val="en-AU" w:eastAsia="en-AU"/>
          </w:rPr>
          <w:tab/>
        </w:r>
        <w:r w:rsidR="00884208" w:rsidRPr="00502E93">
          <w:rPr>
            <w:rStyle w:val="Hyperlink"/>
            <w:noProof/>
          </w:rPr>
          <w:t>Annual Growth in Education Expenditure (Rp. trillion), 2001-2013</w:t>
        </w:r>
        <w:r w:rsidR="00884208">
          <w:rPr>
            <w:noProof/>
            <w:webHidden/>
          </w:rPr>
          <w:tab/>
        </w:r>
        <w:r w:rsidR="00884208">
          <w:rPr>
            <w:noProof/>
            <w:webHidden/>
          </w:rPr>
          <w:fldChar w:fldCharType="begin"/>
        </w:r>
        <w:r w:rsidR="00884208">
          <w:rPr>
            <w:noProof/>
            <w:webHidden/>
          </w:rPr>
          <w:instrText xml:space="preserve"> PAGEREF _Toc414281535 \h </w:instrText>
        </w:r>
        <w:r w:rsidR="00884208">
          <w:rPr>
            <w:noProof/>
            <w:webHidden/>
          </w:rPr>
        </w:r>
        <w:r w:rsidR="00884208">
          <w:rPr>
            <w:noProof/>
            <w:webHidden/>
          </w:rPr>
          <w:fldChar w:fldCharType="separate"/>
        </w:r>
        <w:r w:rsidR="00884208">
          <w:rPr>
            <w:noProof/>
            <w:webHidden/>
          </w:rPr>
          <w:t>11</w:t>
        </w:r>
        <w:r w:rsidR="00884208">
          <w:rPr>
            <w:noProof/>
            <w:webHidden/>
          </w:rPr>
          <w:fldChar w:fldCharType="end"/>
        </w:r>
      </w:hyperlink>
    </w:p>
    <w:p w:rsidR="00884208" w:rsidRDefault="004C599E">
      <w:pPr>
        <w:pStyle w:val="TableofFigures"/>
        <w:tabs>
          <w:tab w:val="left" w:pos="1100"/>
          <w:tab w:val="right" w:leader="dot" w:pos="9019"/>
        </w:tabs>
        <w:rPr>
          <w:rFonts w:asciiTheme="minorHAnsi" w:eastAsiaTheme="minorEastAsia" w:hAnsiTheme="minorHAnsi" w:cstheme="minorBidi"/>
          <w:noProof/>
          <w:lang w:val="en-AU" w:eastAsia="en-AU"/>
        </w:rPr>
      </w:pPr>
      <w:hyperlink w:anchor="_Toc414281536" w:history="1">
        <w:r w:rsidR="00884208" w:rsidRPr="00502E93">
          <w:rPr>
            <w:rStyle w:val="Hyperlink"/>
            <w:noProof/>
          </w:rPr>
          <w:t>Figure 4:</w:t>
        </w:r>
        <w:r w:rsidR="00884208">
          <w:rPr>
            <w:rFonts w:asciiTheme="minorHAnsi" w:eastAsiaTheme="minorEastAsia" w:hAnsiTheme="minorHAnsi" w:cstheme="minorBidi"/>
            <w:noProof/>
            <w:lang w:val="en-AU" w:eastAsia="en-AU"/>
          </w:rPr>
          <w:tab/>
        </w:r>
        <w:r w:rsidR="00884208" w:rsidRPr="00502E93">
          <w:rPr>
            <w:rStyle w:val="Hyperlink"/>
            <w:noProof/>
          </w:rPr>
          <w:t>Education Expenditure as Proportion of GDP, 2001-2013</w:t>
        </w:r>
        <w:r w:rsidR="00884208">
          <w:rPr>
            <w:noProof/>
            <w:webHidden/>
          </w:rPr>
          <w:tab/>
        </w:r>
        <w:r w:rsidR="00884208">
          <w:rPr>
            <w:noProof/>
            <w:webHidden/>
          </w:rPr>
          <w:fldChar w:fldCharType="begin"/>
        </w:r>
        <w:r w:rsidR="00884208">
          <w:rPr>
            <w:noProof/>
            <w:webHidden/>
          </w:rPr>
          <w:instrText xml:space="preserve"> PAGEREF _Toc414281536 \h </w:instrText>
        </w:r>
        <w:r w:rsidR="00884208">
          <w:rPr>
            <w:noProof/>
            <w:webHidden/>
          </w:rPr>
        </w:r>
        <w:r w:rsidR="00884208">
          <w:rPr>
            <w:noProof/>
            <w:webHidden/>
          </w:rPr>
          <w:fldChar w:fldCharType="separate"/>
        </w:r>
        <w:r w:rsidR="00884208">
          <w:rPr>
            <w:noProof/>
            <w:webHidden/>
          </w:rPr>
          <w:t>12</w:t>
        </w:r>
        <w:r w:rsidR="00884208">
          <w:rPr>
            <w:noProof/>
            <w:webHidden/>
          </w:rPr>
          <w:fldChar w:fldCharType="end"/>
        </w:r>
      </w:hyperlink>
    </w:p>
    <w:p w:rsidR="00884208" w:rsidRDefault="004C599E">
      <w:pPr>
        <w:pStyle w:val="TableofFigures"/>
        <w:tabs>
          <w:tab w:val="left" w:pos="1100"/>
          <w:tab w:val="right" w:leader="dot" w:pos="9019"/>
        </w:tabs>
        <w:rPr>
          <w:rFonts w:asciiTheme="minorHAnsi" w:eastAsiaTheme="minorEastAsia" w:hAnsiTheme="minorHAnsi" w:cstheme="minorBidi"/>
          <w:noProof/>
          <w:lang w:val="en-AU" w:eastAsia="en-AU"/>
        </w:rPr>
      </w:pPr>
      <w:hyperlink w:anchor="_Toc414281537" w:history="1">
        <w:r w:rsidR="00884208" w:rsidRPr="00502E93">
          <w:rPr>
            <w:rStyle w:val="Hyperlink"/>
            <w:noProof/>
          </w:rPr>
          <w:t>Figure 5:</w:t>
        </w:r>
        <w:r w:rsidR="00884208">
          <w:rPr>
            <w:rFonts w:asciiTheme="minorHAnsi" w:eastAsiaTheme="minorEastAsia" w:hAnsiTheme="minorHAnsi" w:cstheme="minorBidi"/>
            <w:noProof/>
            <w:lang w:val="en-AU" w:eastAsia="en-AU"/>
          </w:rPr>
          <w:tab/>
        </w:r>
        <w:r w:rsidR="00884208" w:rsidRPr="00502E93">
          <w:rPr>
            <w:rStyle w:val="Hyperlink"/>
            <w:noProof/>
          </w:rPr>
          <w:t>Composition of Aggregate District Education Expenditure, 2009-2011</w:t>
        </w:r>
        <w:r w:rsidR="00884208">
          <w:rPr>
            <w:noProof/>
            <w:webHidden/>
          </w:rPr>
          <w:tab/>
        </w:r>
        <w:r w:rsidR="00884208">
          <w:rPr>
            <w:noProof/>
            <w:webHidden/>
          </w:rPr>
          <w:fldChar w:fldCharType="begin"/>
        </w:r>
        <w:r w:rsidR="00884208">
          <w:rPr>
            <w:noProof/>
            <w:webHidden/>
          </w:rPr>
          <w:instrText xml:space="preserve"> PAGEREF _Toc414281537 \h </w:instrText>
        </w:r>
        <w:r w:rsidR="00884208">
          <w:rPr>
            <w:noProof/>
            <w:webHidden/>
          </w:rPr>
        </w:r>
        <w:r w:rsidR="00884208">
          <w:rPr>
            <w:noProof/>
            <w:webHidden/>
          </w:rPr>
          <w:fldChar w:fldCharType="separate"/>
        </w:r>
        <w:r w:rsidR="00884208">
          <w:rPr>
            <w:noProof/>
            <w:webHidden/>
          </w:rPr>
          <w:t>13</w:t>
        </w:r>
        <w:r w:rsidR="00884208">
          <w:rPr>
            <w:noProof/>
            <w:webHidden/>
          </w:rPr>
          <w:fldChar w:fldCharType="end"/>
        </w:r>
      </w:hyperlink>
    </w:p>
    <w:p w:rsidR="00884208" w:rsidRDefault="004C599E">
      <w:pPr>
        <w:pStyle w:val="TableofFigures"/>
        <w:tabs>
          <w:tab w:val="left" w:pos="1100"/>
          <w:tab w:val="right" w:leader="dot" w:pos="9019"/>
        </w:tabs>
        <w:rPr>
          <w:rFonts w:asciiTheme="minorHAnsi" w:eastAsiaTheme="minorEastAsia" w:hAnsiTheme="minorHAnsi" w:cstheme="minorBidi"/>
          <w:noProof/>
          <w:lang w:val="en-AU" w:eastAsia="en-AU"/>
        </w:rPr>
      </w:pPr>
      <w:hyperlink w:anchor="_Toc414281538" w:history="1">
        <w:r w:rsidR="00884208" w:rsidRPr="00502E93">
          <w:rPr>
            <w:rStyle w:val="Hyperlink"/>
            <w:noProof/>
          </w:rPr>
          <w:t>Figure 6:</w:t>
        </w:r>
        <w:r w:rsidR="00884208">
          <w:rPr>
            <w:rFonts w:asciiTheme="minorHAnsi" w:eastAsiaTheme="minorEastAsia" w:hAnsiTheme="minorHAnsi" w:cstheme="minorBidi"/>
            <w:noProof/>
            <w:lang w:val="en-AU" w:eastAsia="en-AU"/>
          </w:rPr>
          <w:tab/>
        </w:r>
        <w:r w:rsidR="00884208" w:rsidRPr="00502E93">
          <w:rPr>
            <w:rStyle w:val="Hyperlink"/>
            <w:noProof/>
          </w:rPr>
          <w:t>Number of Districts Included in ASFR Analysis, (2007-2013)</w:t>
        </w:r>
        <w:r w:rsidR="00884208">
          <w:rPr>
            <w:noProof/>
            <w:webHidden/>
          </w:rPr>
          <w:tab/>
        </w:r>
        <w:r w:rsidR="00884208">
          <w:rPr>
            <w:noProof/>
            <w:webHidden/>
          </w:rPr>
          <w:fldChar w:fldCharType="begin"/>
        </w:r>
        <w:r w:rsidR="00884208">
          <w:rPr>
            <w:noProof/>
            <w:webHidden/>
          </w:rPr>
          <w:instrText xml:space="preserve"> PAGEREF _Toc414281538 \h </w:instrText>
        </w:r>
        <w:r w:rsidR="00884208">
          <w:rPr>
            <w:noProof/>
            <w:webHidden/>
          </w:rPr>
        </w:r>
        <w:r w:rsidR="00884208">
          <w:rPr>
            <w:noProof/>
            <w:webHidden/>
          </w:rPr>
          <w:fldChar w:fldCharType="separate"/>
        </w:r>
        <w:r w:rsidR="00884208">
          <w:rPr>
            <w:noProof/>
            <w:webHidden/>
          </w:rPr>
          <w:t>18</w:t>
        </w:r>
        <w:r w:rsidR="00884208">
          <w:rPr>
            <w:noProof/>
            <w:webHidden/>
          </w:rPr>
          <w:fldChar w:fldCharType="end"/>
        </w:r>
      </w:hyperlink>
    </w:p>
    <w:p w:rsidR="00884208" w:rsidRDefault="004C599E">
      <w:pPr>
        <w:pStyle w:val="TableofFigures"/>
        <w:tabs>
          <w:tab w:val="left" w:pos="1100"/>
          <w:tab w:val="right" w:leader="dot" w:pos="9019"/>
        </w:tabs>
        <w:rPr>
          <w:rFonts w:asciiTheme="minorHAnsi" w:eastAsiaTheme="minorEastAsia" w:hAnsiTheme="minorHAnsi" w:cstheme="minorBidi"/>
          <w:noProof/>
          <w:lang w:val="en-AU" w:eastAsia="en-AU"/>
        </w:rPr>
      </w:pPr>
      <w:hyperlink w:anchor="_Toc414281539" w:history="1">
        <w:r w:rsidR="00884208" w:rsidRPr="00502E93">
          <w:rPr>
            <w:rStyle w:val="Hyperlink"/>
            <w:noProof/>
          </w:rPr>
          <w:t>Figure 7:</w:t>
        </w:r>
        <w:r w:rsidR="00884208">
          <w:rPr>
            <w:rFonts w:asciiTheme="minorHAnsi" w:eastAsiaTheme="minorEastAsia" w:hAnsiTheme="minorHAnsi" w:cstheme="minorBidi"/>
            <w:noProof/>
            <w:lang w:val="en-AU" w:eastAsia="en-AU"/>
          </w:rPr>
          <w:tab/>
        </w:r>
        <w:r w:rsidR="00884208" w:rsidRPr="00502E93">
          <w:rPr>
            <w:rStyle w:val="Hyperlink"/>
            <w:noProof/>
          </w:rPr>
          <w:t>Education Expenditure as % of Total District Budget (APBD 2006-2013)</w:t>
        </w:r>
        <w:r w:rsidR="00884208">
          <w:rPr>
            <w:noProof/>
            <w:webHidden/>
          </w:rPr>
          <w:tab/>
        </w:r>
        <w:r w:rsidR="00884208">
          <w:rPr>
            <w:noProof/>
            <w:webHidden/>
          </w:rPr>
          <w:fldChar w:fldCharType="begin"/>
        </w:r>
        <w:r w:rsidR="00884208">
          <w:rPr>
            <w:noProof/>
            <w:webHidden/>
          </w:rPr>
          <w:instrText xml:space="preserve"> PAGEREF _Toc414281539 \h </w:instrText>
        </w:r>
        <w:r w:rsidR="00884208">
          <w:rPr>
            <w:noProof/>
            <w:webHidden/>
          </w:rPr>
        </w:r>
        <w:r w:rsidR="00884208">
          <w:rPr>
            <w:noProof/>
            <w:webHidden/>
          </w:rPr>
          <w:fldChar w:fldCharType="separate"/>
        </w:r>
        <w:r w:rsidR="00884208">
          <w:rPr>
            <w:noProof/>
            <w:webHidden/>
          </w:rPr>
          <w:t>18</w:t>
        </w:r>
        <w:r w:rsidR="00884208">
          <w:rPr>
            <w:noProof/>
            <w:webHidden/>
          </w:rPr>
          <w:fldChar w:fldCharType="end"/>
        </w:r>
      </w:hyperlink>
    </w:p>
    <w:p w:rsidR="00884208" w:rsidRDefault="004C599E">
      <w:pPr>
        <w:pStyle w:val="TableofFigures"/>
        <w:tabs>
          <w:tab w:val="left" w:pos="1100"/>
          <w:tab w:val="right" w:leader="dot" w:pos="9019"/>
        </w:tabs>
        <w:rPr>
          <w:rFonts w:asciiTheme="minorHAnsi" w:eastAsiaTheme="minorEastAsia" w:hAnsiTheme="minorHAnsi" w:cstheme="minorBidi"/>
          <w:noProof/>
          <w:lang w:val="en-AU" w:eastAsia="en-AU"/>
        </w:rPr>
      </w:pPr>
      <w:hyperlink w:anchor="_Toc414281540" w:history="1">
        <w:r w:rsidR="00884208" w:rsidRPr="00502E93">
          <w:rPr>
            <w:rStyle w:val="Hyperlink"/>
            <w:noProof/>
          </w:rPr>
          <w:t>Figure 8:</w:t>
        </w:r>
        <w:r w:rsidR="00884208">
          <w:rPr>
            <w:rFonts w:asciiTheme="minorHAnsi" w:eastAsiaTheme="minorEastAsia" w:hAnsiTheme="minorHAnsi" w:cstheme="minorBidi"/>
            <w:noProof/>
            <w:lang w:val="en-AU" w:eastAsia="en-AU"/>
          </w:rPr>
          <w:tab/>
        </w:r>
        <w:r w:rsidR="00884208" w:rsidRPr="00502E93">
          <w:rPr>
            <w:rStyle w:val="Hyperlink"/>
            <w:noProof/>
          </w:rPr>
          <w:t>Average District APBD and APBD for Education, 2006-2013</w:t>
        </w:r>
        <w:r w:rsidR="00884208">
          <w:rPr>
            <w:noProof/>
            <w:webHidden/>
          </w:rPr>
          <w:tab/>
        </w:r>
        <w:r w:rsidR="00884208">
          <w:rPr>
            <w:noProof/>
            <w:webHidden/>
          </w:rPr>
          <w:fldChar w:fldCharType="begin"/>
        </w:r>
        <w:r w:rsidR="00884208">
          <w:rPr>
            <w:noProof/>
            <w:webHidden/>
          </w:rPr>
          <w:instrText xml:space="preserve"> PAGEREF _Toc414281540 \h </w:instrText>
        </w:r>
        <w:r w:rsidR="00884208">
          <w:rPr>
            <w:noProof/>
            <w:webHidden/>
          </w:rPr>
        </w:r>
        <w:r w:rsidR="00884208">
          <w:rPr>
            <w:noProof/>
            <w:webHidden/>
          </w:rPr>
          <w:fldChar w:fldCharType="separate"/>
        </w:r>
        <w:r w:rsidR="00884208">
          <w:rPr>
            <w:noProof/>
            <w:webHidden/>
          </w:rPr>
          <w:t>20</w:t>
        </w:r>
        <w:r w:rsidR="00884208">
          <w:rPr>
            <w:noProof/>
            <w:webHidden/>
          </w:rPr>
          <w:fldChar w:fldCharType="end"/>
        </w:r>
      </w:hyperlink>
    </w:p>
    <w:p w:rsidR="00884208" w:rsidRDefault="004C599E">
      <w:pPr>
        <w:pStyle w:val="TableofFigures"/>
        <w:tabs>
          <w:tab w:val="left" w:pos="1100"/>
          <w:tab w:val="right" w:leader="dot" w:pos="9019"/>
        </w:tabs>
        <w:rPr>
          <w:rFonts w:asciiTheme="minorHAnsi" w:eastAsiaTheme="minorEastAsia" w:hAnsiTheme="minorHAnsi" w:cstheme="minorBidi"/>
          <w:noProof/>
          <w:lang w:val="en-AU" w:eastAsia="en-AU"/>
        </w:rPr>
      </w:pPr>
      <w:hyperlink w:anchor="_Toc414281541" w:history="1">
        <w:r w:rsidR="00884208" w:rsidRPr="00502E93">
          <w:rPr>
            <w:rStyle w:val="Hyperlink"/>
            <w:noProof/>
          </w:rPr>
          <w:t>Figure 9:</w:t>
        </w:r>
        <w:r w:rsidR="00884208">
          <w:rPr>
            <w:rFonts w:asciiTheme="minorHAnsi" w:eastAsiaTheme="minorEastAsia" w:hAnsiTheme="minorHAnsi" w:cstheme="minorBidi"/>
            <w:noProof/>
            <w:lang w:val="en-AU" w:eastAsia="en-AU"/>
          </w:rPr>
          <w:tab/>
        </w:r>
        <w:r w:rsidR="00884208" w:rsidRPr="00502E93">
          <w:rPr>
            <w:rStyle w:val="Hyperlink"/>
            <w:noProof/>
          </w:rPr>
          <w:t>Rural and Urban District Education Expenditure as % of Total District Budget (APBD 2006-2013)</w:t>
        </w:r>
        <w:r w:rsidR="00884208">
          <w:rPr>
            <w:noProof/>
            <w:webHidden/>
          </w:rPr>
          <w:tab/>
        </w:r>
        <w:r w:rsidR="00884208">
          <w:rPr>
            <w:noProof/>
            <w:webHidden/>
          </w:rPr>
          <w:fldChar w:fldCharType="begin"/>
        </w:r>
        <w:r w:rsidR="00884208">
          <w:rPr>
            <w:noProof/>
            <w:webHidden/>
          </w:rPr>
          <w:instrText xml:space="preserve"> PAGEREF _Toc414281541 \h </w:instrText>
        </w:r>
        <w:r w:rsidR="00884208">
          <w:rPr>
            <w:noProof/>
            <w:webHidden/>
          </w:rPr>
        </w:r>
        <w:r w:rsidR="00884208">
          <w:rPr>
            <w:noProof/>
            <w:webHidden/>
          </w:rPr>
          <w:fldChar w:fldCharType="separate"/>
        </w:r>
        <w:r w:rsidR="00884208">
          <w:rPr>
            <w:noProof/>
            <w:webHidden/>
          </w:rPr>
          <w:t>21</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42" w:history="1">
        <w:r w:rsidR="00884208" w:rsidRPr="00502E93">
          <w:rPr>
            <w:rStyle w:val="Hyperlink"/>
            <w:noProof/>
          </w:rPr>
          <w:t>Figure 10:</w:t>
        </w:r>
        <w:r w:rsidR="00884208">
          <w:rPr>
            <w:rFonts w:asciiTheme="minorHAnsi" w:eastAsiaTheme="minorEastAsia" w:hAnsiTheme="minorHAnsi" w:cstheme="minorBidi"/>
            <w:noProof/>
            <w:lang w:val="en-AU" w:eastAsia="en-AU"/>
          </w:rPr>
          <w:tab/>
        </w:r>
        <w:r w:rsidR="00884208" w:rsidRPr="00502E93">
          <w:rPr>
            <w:rStyle w:val="Hyperlink"/>
            <w:noProof/>
          </w:rPr>
          <w:t>Education Expenditure as % of Total District Expenditure by Districts according to Poverty Quintile, (APBD 2006-2013)</w:t>
        </w:r>
        <w:r w:rsidR="00884208">
          <w:rPr>
            <w:noProof/>
            <w:webHidden/>
          </w:rPr>
          <w:tab/>
        </w:r>
        <w:r w:rsidR="00884208">
          <w:rPr>
            <w:noProof/>
            <w:webHidden/>
          </w:rPr>
          <w:fldChar w:fldCharType="begin"/>
        </w:r>
        <w:r w:rsidR="00884208">
          <w:rPr>
            <w:noProof/>
            <w:webHidden/>
          </w:rPr>
          <w:instrText xml:space="preserve"> PAGEREF _Toc414281542 \h </w:instrText>
        </w:r>
        <w:r w:rsidR="00884208">
          <w:rPr>
            <w:noProof/>
            <w:webHidden/>
          </w:rPr>
        </w:r>
        <w:r w:rsidR="00884208">
          <w:rPr>
            <w:noProof/>
            <w:webHidden/>
          </w:rPr>
          <w:fldChar w:fldCharType="separate"/>
        </w:r>
        <w:r w:rsidR="00884208">
          <w:rPr>
            <w:noProof/>
            <w:webHidden/>
          </w:rPr>
          <w:t>22</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43" w:history="1">
        <w:r w:rsidR="00884208" w:rsidRPr="00502E93">
          <w:rPr>
            <w:rStyle w:val="Hyperlink"/>
            <w:noProof/>
          </w:rPr>
          <w:t>Figure 11:</w:t>
        </w:r>
        <w:r w:rsidR="00884208">
          <w:rPr>
            <w:rFonts w:asciiTheme="minorHAnsi" w:eastAsiaTheme="minorEastAsia" w:hAnsiTheme="minorHAnsi" w:cstheme="minorBidi"/>
            <w:noProof/>
            <w:lang w:val="en-AU" w:eastAsia="en-AU"/>
          </w:rPr>
          <w:tab/>
        </w:r>
        <w:r w:rsidR="00884208" w:rsidRPr="00502E93">
          <w:rPr>
            <w:rStyle w:val="Hyperlink"/>
            <w:noProof/>
          </w:rPr>
          <w:t>Average District APBD and APBD for Education, by poverty quintile 2006-2013</w:t>
        </w:r>
        <w:r w:rsidR="00884208">
          <w:rPr>
            <w:noProof/>
            <w:webHidden/>
          </w:rPr>
          <w:tab/>
        </w:r>
        <w:r w:rsidR="00884208">
          <w:rPr>
            <w:noProof/>
            <w:webHidden/>
          </w:rPr>
          <w:fldChar w:fldCharType="begin"/>
        </w:r>
        <w:r w:rsidR="00884208">
          <w:rPr>
            <w:noProof/>
            <w:webHidden/>
          </w:rPr>
          <w:instrText xml:space="preserve"> PAGEREF _Toc414281543 \h </w:instrText>
        </w:r>
        <w:r w:rsidR="00884208">
          <w:rPr>
            <w:noProof/>
            <w:webHidden/>
          </w:rPr>
        </w:r>
        <w:r w:rsidR="00884208">
          <w:rPr>
            <w:noProof/>
            <w:webHidden/>
          </w:rPr>
          <w:fldChar w:fldCharType="separate"/>
        </w:r>
        <w:r w:rsidR="00884208">
          <w:rPr>
            <w:noProof/>
            <w:webHidden/>
          </w:rPr>
          <w:t>22</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44" w:history="1">
        <w:r w:rsidR="00884208" w:rsidRPr="00502E93">
          <w:rPr>
            <w:rStyle w:val="Hyperlink"/>
            <w:noProof/>
          </w:rPr>
          <w:t>Figure 12:</w:t>
        </w:r>
        <w:r w:rsidR="00884208">
          <w:rPr>
            <w:rFonts w:asciiTheme="minorHAnsi" w:eastAsiaTheme="minorEastAsia" w:hAnsiTheme="minorHAnsi" w:cstheme="minorBidi"/>
            <w:noProof/>
            <w:lang w:val="en-AU" w:eastAsia="en-AU"/>
          </w:rPr>
          <w:tab/>
        </w:r>
        <w:r w:rsidR="00884208" w:rsidRPr="00502E93">
          <w:rPr>
            <w:rStyle w:val="Hyperlink"/>
            <w:noProof/>
          </w:rPr>
          <w:t>Education Expenditure as % of Total District Expenditure by Island Grouping (APBD 2006-2013)</w:t>
        </w:r>
        <w:r w:rsidR="00884208">
          <w:rPr>
            <w:noProof/>
            <w:webHidden/>
          </w:rPr>
          <w:tab/>
        </w:r>
        <w:r w:rsidR="00884208">
          <w:rPr>
            <w:noProof/>
            <w:webHidden/>
          </w:rPr>
          <w:fldChar w:fldCharType="begin"/>
        </w:r>
        <w:r w:rsidR="00884208">
          <w:rPr>
            <w:noProof/>
            <w:webHidden/>
          </w:rPr>
          <w:instrText xml:space="preserve"> PAGEREF _Toc414281544 \h </w:instrText>
        </w:r>
        <w:r w:rsidR="00884208">
          <w:rPr>
            <w:noProof/>
            <w:webHidden/>
          </w:rPr>
        </w:r>
        <w:r w:rsidR="00884208">
          <w:rPr>
            <w:noProof/>
            <w:webHidden/>
          </w:rPr>
          <w:fldChar w:fldCharType="separate"/>
        </w:r>
        <w:r w:rsidR="00884208">
          <w:rPr>
            <w:noProof/>
            <w:webHidden/>
          </w:rPr>
          <w:t>23</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45" w:history="1">
        <w:r w:rsidR="00884208" w:rsidRPr="00502E93">
          <w:rPr>
            <w:rStyle w:val="Hyperlink"/>
            <w:noProof/>
          </w:rPr>
          <w:t>Figure 13:</w:t>
        </w:r>
        <w:r w:rsidR="00884208">
          <w:rPr>
            <w:rFonts w:asciiTheme="minorHAnsi" w:eastAsiaTheme="minorEastAsia" w:hAnsiTheme="minorHAnsi" w:cstheme="minorBidi"/>
            <w:noProof/>
            <w:lang w:val="en-AU" w:eastAsia="en-AU"/>
          </w:rPr>
          <w:tab/>
        </w:r>
        <w:r w:rsidR="00884208" w:rsidRPr="00502E93">
          <w:rPr>
            <w:rStyle w:val="Hyperlink"/>
            <w:noProof/>
          </w:rPr>
          <w:t>EP Districts - Average Education Allocations as Proportion of District Budget,2006-2013</w:t>
        </w:r>
        <w:r w:rsidR="00884208">
          <w:rPr>
            <w:noProof/>
            <w:webHidden/>
          </w:rPr>
          <w:tab/>
        </w:r>
        <w:r w:rsidR="00884208">
          <w:rPr>
            <w:noProof/>
            <w:webHidden/>
          </w:rPr>
          <w:fldChar w:fldCharType="begin"/>
        </w:r>
        <w:r w:rsidR="00884208">
          <w:rPr>
            <w:noProof/>
            <w:webHidden/>
          </w:rPr>
          <w:instrText xml:space="preserve"> PAGEREF _Toc414281545 \h </w:instrText>
        </w:r>
        <w:r w:rsidR="00884208">
          <w:rPr>
            <w:noProof/>
            <w:webHidden/>
          </w:rPr>
        </w:r>
        <w:r w:rsidR="00884208">
          <w:rPr>
            <w:noProof/>
            <w:webHidden/>
          </w:rPr>
          <w:fldChar w:fldCharType="separate"/>
        </w:r>
        <w:r w:rsidR="00884208">
          <w:rPr>
            <w:noProof/>
            <w:webHidden/>
          </w:rPr>
          <w:t>24</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46" w:history="1">
        <w:r w:rsidR="00884208" w:rsidRPr="00502E93">
          <w:rPr>
            <w:rStyle w:val="Hyperlink"/>
            <w:noProof/>
          </w:rPr>
          <w:t>Figure 14:</w:t>
        </w:r>
        <w:r w:rsidR="00884208">
          <w:rPr>
            <w:rFonts w:asciiTheme="minorHAnsi" w:eastAsiaTheme="minorEastAsia" w:hAnsiTheme="minorHAnsi" w:cstheme="minorBidi"/>
            <w:noProof/>
            <w:lang w:val="en-AU" w:eastAsia="en-AU"/>
          </w:rPr>
          <w:tab/>
        </w:r>
        <w:r w:rsidR="00884208" w:rsidRPr="00502E93">
          <w:rPr>
            <w:rStyle w:val="Hyperlink"/>
            <w:noProof/>
          </w:rPr>
          <w:t>EP Districts with Low Budget Allocation for Education (&lt; than 20% of district budget), 2011-2013</w:t>
        </w:r>
        <w:r w:rsidR="00884208">
          <w:rPr>
            <w:noProof/>
            <w:webHidden/>
          </w:rPr>
          <w:tab/>
        </w:r>
        <w:r w:rsidR="00884208">
          <w:rPr>
            <w:noProof/>
            <w:webHidden/>
          </w:rPr>
          <w:fldChar w:fldCharType="begin"/>
        </w:r>
        <w:r w:rsidR="00884208">
          <w:rPr>
            <w:noProof/>
            <w:webHidden/>
          </w:rPr>
          <w:instrText xml:space="preserve"> PAGEREF _Toc414281546 \h </w:instrText>
        </w:r>
        <w:r w:rsidR="00884208">
          <w:rPr>
            <w:noProof/>
            <w:webHidden/>
          </w:rPr>
        </w:r>
        <w:r w:rsidR="00884208">
          <w:rPr>
            <w:noProof/>
            <w:webHidden/>
          </w:rPr>
          <w:fldChar w:fldCharType="separate"/>
        </w:r>
        <w:r w:rsidR="00884208">
          <w:rPr>
            <w:noProof/>
            <w:webHidden/>
          </w:rPr>
          <w:t>25</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47" w:history="1">
        <w:r w:rsidR="00884208" w:rsidRPr="00502E93">
          <w:rPr>
            <w:rStyle w:val="Hyperlink"/>
            <w:noProof/>
          </w:rPr>
          <w:t>Figure 15:</w:t>
        </w:r>
        <w:r w:rsidR="00884208">
          <w:rPr>
            <w:rFonts w:asciiTheme="minorHAnsi" w:eastAsiaTheme="minorEastAsia" w:hAnsiTheme="minorHAnsi" w:cstheme="minorBidi"/>
            <w:noProof/>
            <w:lang w:val="en-AU" w:eastAsia="en-AU"/>
          </w:rPr>
          <w:tab/>
        </w:r>
        <w:r w:rsidR="00884208" w:rsidRPr="00502E93">
          <w:rPr>
            <w:rStyle w:val="Hyperlink"/>
            <w:noProof/>
          </w:rPr>
          <w:t>EP Districts with high Budget Allocation for Education (&gt;than 50% of district budget), 2012-2013</w:t>
        </w:r>
        <w:r w:rsidR="00884208">
          <w:rPr>
            <w:noProof/>
            <w:webHidden/>
          </w:rPr>
          <w:tab/>
        </w:r>
        <w:r w:rsidR="00884208">
          <w:rPr>
            <w:noProof/>
            <w:webHidden/>
          </w:rPr>
          <w:fldChar w:fldCharType="begin"/>
        </w:r>
        <w:r w:rsidR="00884208">
          <w:rPr>
            <w:noProof/>
            <w:webHidden/>
          </w:rPr>
          <w:instrText xml:space="preserve"> PAGEREF _Toc414281547 \h </w:instrText>
        </w:r>
        <w:r w:rsidR="00884208">
          <w:rPr>
            <w:noProof/>
            <w:webHidden/>
          </w:rPr>
        </w:r>
        <w:r w:rsidR="00884208">
          <w:rPr>
            <w:noProof/>
            <w:webHidden/>
          </w:rPr>
          <w:fldChar w:fldCharType="separate"/>
        </w:r>
        <w:r w:rsidR="00884208">
          <w:rPr>
            <w:noProof/>
            <w:webHidden/>
          </w:rPr>
          <w:t>26</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48" w:history="1">
        <w:r w:rsidR="00884208" w:rsidRPr="00502E93">
          <w:rPr>
            <w:rStyle w:val="Hyperlink"/>
            <w:noProof/>
          </w:rPr>
          <w:t>Figure 16:</w:t>
        </w:r>
        <w:r w:rsidR="00884208">
          <w:rPr>
            <w:rFonts w:asciiTheme="minorHAnsi" w:eastAsiaTheme="minorEastAsia" w:hAnsiTheme="minorHAnsi" w:cstheme="minorBidi"/>
            <w:noProof/>
            <w:lang w:val="en-AU" w:eastAsia="en-AU"/>
          </w:rPr>
          <w:tab/>
        </w:r>
        <w:r w:rsidR="00884208" w:rsidRPr="00502E93">
          <w:rPr>
            <w:rStyle w:val="Hyperlink"/>
            <w:noProof/>
          </w:rPr>
          <w:t>Districts with very low financial share for education (less than 15% of APBD Expenditure) 2010 -2013</w:t>
        </w:r>
        <w:r w:rsidR="00884208">
          <w:rPr>
            <w:noProof/>
            <w:webHidden/>
          </w:rPr>
          <w:tab/>
        </w:r>
        <w:r w:rsidR="00884208">
          <w:rPr>
            <w:noProof/>
            <w:webHidden/>
          </w:rPr>
          <w:fldChar w:fldCharType="begin"/>
        </w:r>
        <w:r w:rsidR="00884208">
          <w:rPr>
            <w:noProof/>
            <w:webHidden/>
          </w:rPr>
          <w:instrText xml:space="preserve"> PAGEREF _Toc414281548 \h </w:instrText>
        </w:r>
        <w:r w:rsidR="00884208">
          <w:rPr>
            <w:noProof/>
            <w:webHidden/>
          </w:rPr>
        </w:r>
        <w:r w:rsidR="00884208">
          <w:rPr>
            <w:noProof/>
            <w:webHidden/>
          </w:rPr>
          <w:fldChar w:fldCharType="separate"/>
        </w:r>
        <w:r w:rsidR="00884208">
          <w:rPr>
            <w:noProof/>
            <w:webHidden/>
          </w:rPr>
          <w:t>27</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49" w:history="1">
        <w:r w:rsidR="00884208" w:rsidRPr="00502E93">
          <w:rPr>
            <w:rStyle w:val="Hyperlink"/>
            <w:noProof/>
          </w:rPr>
          <w:t>Figure 17:</w:t>
        </w:r>
        <w:r w:rsidR="00884208">
          <w:rPr>
            <w:rFonts w:asciiTheme="minorHAnsi" w:eastAsiaTheme="minorEastAsia" w:hAnsiTheme="minorHAnsi" w:cstheme="minorBidi"/>
            <w:noProof/>
            <w:lang w:val="en-AU" w:eastAsia="en-AU"/>
          </w:rPr>
          <w:tab/>
        </w:r>
        <w:r w:rsidR="00884208" w:rsidRPr="00502E93">
          <w:rPr>
            <w:rStyle w:val="Hyperlink"/>
            <w:noProof/>
          </w:rPr>
          <w:t>Poorest Districts with very low financial share for education (less than 15% of APBD Expenditure) 2011-2013</w:t>
        </w:r>
        <w:r w:rsidR="00884208">
          <w:rPr>
            <w:noProof/>
            <w:webHidden/>
          </w:rPr>
          <w:tab/>
        </w:r>
        <w:r w:rsidR="00884208">
          <w:rPr>
            <w:noProof/>
            <w:webHidden/>
          </w:rPr>
          <w:fldChar w:fldCharType="begin"/>
        </w:r>
        <w:r w:rsidR="00884208">
          <w:rPr>
            <w:noProof/>
            <w:webHidden/>
          </w:rPr>
          <w:instrText xml:space="preserve"> PAGEREF _Toc414281549 \h </w:instrText>
        </w:r>
        <w:r w:rsidR="00884208">
          <w:rPr>
            <w:noProof/>
            <w:webHidden/>
          </w:rPr>
        </w:r>
        <w:r w:rsidR="00884208">
          <w:rPr>
            <w:noProof/>
            <w:webHidden/>
          </w:rPr>
          <w:fldChar w:fldCharType="separate"/>
        </w:r>
        <w:r w:rsidR="00884208">
          <w:rPr>
            <w:noProof/>
            <w:webHidden/>
          </w:rPr>
          <w:t>28</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50" w:history="1">
        <w:r w:rsidR="00884208" w:rsidRPr="00502E93">
          <w:rPr>
            <w:rStyle w:val="Hyperlink"/>
            <w:noProof/>
          </w:rPr>
          <w:t>Figure 18:</w:t>
        </w:r>
        <w:r w:rsidR="00884208">
          <w:rPr>
            <w:rFonts w:asciiTheme="minorHAnsi" w:eastAsiaTheme="minorEastAsia" w:hAnsiTheme="minorHAnsi" w:cstheme="minorBidi"/>
            <w:noProof/>
            <w:lang w:val="en-AU" w:eastAsia="en-AU"/>
          </w:rPr>
          <w:tab/>
        </w:r>
        <w:r w:rsidR="00884208" w:rsidRPr="00502E93">
          <w:rPr>
            <w:rStyle w:val="Hyperlink"/>
            <w:noProof/>
          </w:rPr>
          <w:t>APBD Education Expenditure as % of Total district Expenditure in BEP and Non-BEP Supported Districts (APBD 2006-2013)</w:t>
        </w:r>
        <w:r w:rsidR="00884208">
          <w:rPr>
            <w:noProof/>
            <w:webHidden/>
          </w:rPr>
          <w:tab/>
        </w:r>
        <w:r w:rsidR="00884208">
          <w:rPr>
            <w:noProof/>
            <w:webHidden/>
          </w:rPr>
          <w:fldChar w:fldCharType="begin"/>
        </w:r>
        <w:r w:rsidR="00884208">
          <w:rPr>
            <w:noProof/>
            <w:webHidden/>
          </w:rPr>
          <w:instrText xml:space="preserve"> PAGEREF _Toc414281550 \h </w:instrText>
        </w:r>
        <w:r w:rsidR="00884208">
          <w:rPr>
            <w:noProof/>
            <w:webHidden/>
          </w:rPr>
        </w:r>
        <w:r w:rsidR="00884208">
          <w:rPr>
            <w:noProof/>
            <w:webHidden/>
          </w:rPr>
          <w:fldChar w:fldCharType="separate"/>
        </w:r>
        <w:r w:rsidR="00884208">
          <w:rPr>
            <w:noProof/>
            <w:webHidden/>
          </w:rPr>
          <w:t>29</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51" w:history="1">
        <w:r w:rsidR="00884208" w:rsidRPr="00502E93">
          <w:rPr>
            <w:rStyle w:val="Hyperlink"/>
            <w:noProof/>
          </w:rPr>
          <w:t>Figure 19:</w:t>
        </w:r>
        <w:r w:rsidR="00884208">
          <w:rPr>
            <w:rFonts w:asciiTheme="minorHAnsi" w:eastAsiaTheme="minorEastAsia" w:hAnsiTheme="minorHAnsi" w:cstheme="minorBidi"/>
            <w:noProof/>
            <w:lang w:val="en-AU" w:eastAsia="en-AU"/>
          </w:rPr>
          <w:tab/>
        </w:r>
        <w:r w:rsidR="00884208" w:rsidRPr="00502E93">
          <w:rPr>
            <w:rStyle w:val="Hyperlink"/>
            <w:noProof/>
          </w:rPr>
          <w:t>BEP Districts with low financial share for education (less than 20% of APBD Expenditure) 2009 and 2013</w:t>
        </w:r>
        <w:r w:rsidR="00884208">
          <w:rPr>
            <w:noProof/>
            <w:webHidden/>
          </w:rPr>
          <w:tab/>
        </w:r>
        <w:r w:rsidR="00884208">
          <w:rPr>
            <w:noProof/>
            <w:webHidden/>
          </w:rPr>
          <w:fldChar w:fldCharType="begin"/>
        </w:r>
        <w:r w:rsidR="00884208">
          <w:rPr>
            <w:noProof/>
            <w:webHidden/>
          </w:rPr>
          <w:instrText xml:space="preserve"> PAGEREF _Toc414281551 \h </w:instrText>
        </w:r>
        <w:r w:rsidR="00884208">
          <w:rPr>
            <w:noProof/>
            <w:webHidden/>
          </w:rPr>
        </w:r>
        <w:r w:rsidR="00884208">
          <w:rPr>
            <w:noProof/>
            <w:webHidden/>
          </w:rPr>
          <w:fldChar w:fldCharType="separate"/>
        </w:r>
        <w:r w:rsidR="00884208">
          <w:rPr>
            <w:noProof/>
            <w:webHidden/>
          </w:rPr>
          <w:t>30</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52" w:history="1">
        <w:r w:rsidR="00884208" w:rsidRPr="00502E93">
          <w:rPr>
            <w:rStyle w:val="Hyperlink"/>
            <w:noProof/>
          </w:rPr>
          <w:t>Figure 20:</w:t>
        </w:r>
        <w:r w:rsidR="00884208">
          <w:rPr>
            <w:rFonts w:asciiTheme="minorHAnsi" w:eastAsiaTheme="minorEastAsia" w:hAnsiTheme="minorHAnsi" w:cstheme="minorBidi"/>
            <w:noProof/>
            <w:lang w:val="en-AU" w:eastAsia="en-AU"/>
          </w:rPr>
          <w:tab/>
        </w:r>
        <w:r w:rsidR="00884208" w:rsidRPr="00502E93">
          <w:rPr>
            <w:rStyle w:val="Hyperlink"/>
            <w:noProof/>
          </w:rPr>
          <w:t>Figure 22: Annual Growth in APBD Education Expenditure, 2007 -2013, by Poverty Quintile</w:t>
        </w:r>
        <w:r w:rsidR="00884208">
          <w:rPr>
            <w:noProof/>
            <w:webHidden/>
          </w:rPr>
          <w:tab/>
        </w:r>
        <w:r w:rsidR="00884208">
          <w:rPr>
            <w:noProof/>
            <w:webHidden/>
          </w:rPr>
          <w:fldChar w:fldCharType="begin"/>
        </w:r>
        <w:r w:rsidR="00884208">
          <w:rPr>
            <w:noProof/>
            <w:webHidden/>
          </w:rPr>
          <w:instrText xml:space="preserve"> PAGEREF _Toc414281552 \h </w:instrText>
        </w:r>
        <w:r w:rsidR="00884208">
          <w:rPr>
            <w:noProof/>
            <w:webHidden/>
          </w:rPr>
        </w:r>
        <w:r w:rsidR="00884208">
          <w:rPr>
            <w:noProof/>
            <w:webHidden/>
          </w:rPr>
          <w:fldChar w:fldCharType="separate"/>
        </w:r>
        <w:r w:rsidR="00884208">
          <w:rPr>
            <w:noProof/>
            <w:webHidden/>
          </w:rPr>
          <w:t>31</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53" w:history="1">
        <w:r w:rsidR="00884208" w:rsidRPr="00502E93">
          <w:rPr>
            <w:rStyle w:val="Hyperlink"/>
            <w:noProof/>
          </w:rPr>
          <w:t>Figure 21:</w:t>
        </w:r>
        <w:r w:rsidR="00884208">
          <w:rPr>
            <w:rFonts w:asciiTheme="minorHAnsi" w:eastAsiaTheme="minorEastAsia" w:hAnsiTheme="minorHAnsi" w:cstheme="minorBidi"/>
            <w:noProof/>
            <w:lang w:val="en-AU" w:eastAsia="en-AU"/>
          </w:rPr>
          <w:tab/>
        </w:r>
        <w:r w:rsidR="00884208" w:rsidRPr="00502E93">
          <w:rPr>
            <w:rStyle w:val="Hyperlink"/>
            <w:noProof/>
          </w:rPr>
          <w:t>Annual Growth in District Education Expenditure, (APBD 2007-2013)</w:t>
        </w:r>
        <w:r w:rsidR="00884208">
          <w:rPr>
            <w:noProof/>
            <w:webHidden/>
          </w:rPr>
          <w:tab/>
        </w:r>
        <w:r w:rsidR="00884208">
          <w:rPr>
            <w:noProof/>
            <w:webHidden/>
          </w:rPr>
          <w:fldChar w:fldCharType="begin"/>
        </w:r>
        <w:r w:rsidR="00884208">
          <w:rPr>
            <w:noProof/>
            <w:webHidden/>
          </w:rPr>
          <w:instrText xml:space="preserve"> PAGEREF _Toc414281553 \h </w:instrText>
        </w:r>
        <w:r w:rsidR="00884208">
          <w:rPr>
            <w:noProof/>
            <w:webHidden/>
          </w:rPr>
        </w:r>
        <w:r w:rsidR="00884208">
          <w:rPr>
            <w:noProof/>
            <w:webHidden/>
          </w:rPr>
          <w:fldChar w:fldCharType="separate"/>
        </w:r>
        <w:r w:rsidR="00884208">
          <w:rPr>
            <w:noProof/>
            <w:webHidden/>
          </w:rPr>
          <w:t>33</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54" w:history="1">
        <w:r w:rsidR="00884208" w:rsidRPr="00502E93">
          <w:rPr>
            <w:rStyle w:val="Hyperlink"/>
            <w:noProof/>
          </w:rPr>
          <w:t>Figure 22:</w:t>
        </w:r>
        <w:r w:rsidR="00884208">
          <w:rPr>
            <w:rFonts w:asciiTheme="minorHAnsi" w:eastAsiaTheme="minorEastAsia" w:hAnsiTheme="minorHAnsi" w:cstheme="minorBidi"/>
            <w:noProof/>
            <w:lang w:val="en-AU" w:eastAsia="en-AU"/>
          </w:rPr>
          <w:tab/>
        </w:r>
        <w:r w:rsidR="00884208" w:rsidRPr="00502E93">
          <w:rPr>
            <w:rStyle w:val="Hyperlink"/>
            <w:noProof/>
          </w:rPr>
          <w:t>Poorest Districts (Quintile 5), Negative Annual Growth in Education Expenditure, (APBD 2011-2013)</w:t>
        </w:r>
        <w:r w:rsidR="00884208">
          <w:rPr>
            <w:noProof/>
            <w:webHidden/>
          </w:rPr>
          <w:tab/>
        </w:r>
        <w:r w:rsidR="00884208">
          <w:rPr>
            <w:noProof/>
            <w:webHidden/>
          </w:rPr>
          <w:fldChar w:fldCharType="begin"/>
        </w:r>
        <w:r w:rsidR="00884208">
          <w:rPr>
            <w:noProof/>
            <w:webHidden/>
          </w:rPr>
          <w:instrText xml:space="preserve"> PAGEREF _Toc414281554 \h </w:instrText>
        </w:r>
        <w:r w:rsidR="00884208">
          <w:rPr>
            <w:noProof/>
            <w:webHidden/>
          </w:rPr>
        </w:r>
        <w:r w:rsidR="00884208">
          <w:rPr>
            <w:noProof/>
            <w:webHidden/>
          </w:rPr>
          <w:fldChar w:fldCharType="separate"/>
        </w:r>
        <w:r w:rsidR="00884208">
          <w:rPr>
            <w:noProof/>
            <w:webHidden/>
          </w:rPr>
          <w:t>34</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55" w:history="1">
        <w:r w:rsidR="00884208" w:rsidRPr="00502E93">
          <w:rPr>
            <w:rStyle w:val="Hyperlink"/>
            <w:noProof/>
          </w:rPr>
          <w:t>Figure 23:</w:t>
        </w:r>
        <w:r w:rsidR="00884208">
          <w:rPr>
            <w:rFonts w:asciiTheme="minorHAnsi" w:eastAsiaTheme="minorEastAsia" w:hAnsiTheme="minorHAnsi" w:cstheme="minorBidi"/>
            <w:noProof/>
            <w:lang w:val="en-AU" w:eastAsia="en-AU"/>
          </w:rPr>
          <w:tab/>
        </w:r>
        <w:r w:rsidR="00884208" w:rsidRPr="00502E93">
          <w:rPr>
            <w:rStyle w:val="Hyperlink"/>
            <w:noProof/>
          </w:rPr>
          <w:t>Total Number of Districts, with Negative Annual Growth in APBD Education Expenditure, 2007 -2013</w:t>
        </w:r>
        <w:r w:rsidR="00884208">
          <w:rPr>
            <w:noProof/>
            <w:webHidden/>
          </w:rPr>
          <w:tab/>
        </w:r>
        <w:r w:rsidR="00884208">
          <w:rPr>
            <w:noProof/>
            <w:webHidden/>
          </w:rPr>
          <w:fldChar w:fldCharType="begin"/>
        </w:r>
        <w:r w:rsidR="00884208">
          <w:rPr>
            <w:noProof/>
            <w:webHidden/>
          </w:rPr>
          <w:instrText xml:space="preserve"> PAGEREF _Toc414281555 \h </w:instrText>
        </w:r>
        <w:r w:rsidR="00884208">
          <w:rPr>
            <w:noProof/>
            <w:webHidden/>
          </w:rPr>
        </w:r>
        <w:r w:rsidR="00884208">
          <w:rPr>
            <w:noProof/>
            <w:webHidden/>
          </w:rPr>
          <w:fldChar w:fldCharType="separate"/>
        </w:r>
        <w:r w:rsidR="00884208">
          <w:rPr>
            <w:noProof/>
            <w:webHidden/>
          </w:rPr>
          <w:t>35</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56" w:history="1">
        <w:r w:rsidR="00884208" w:rsidRPr="00502E93">
          <w:rPr>
            <w:rStyle w:val="Hyperlink"/>
            <w:noProof/>
          </w:rPr>
          <w:t>Figure 24:</w:t>
        </w:r>
        <w:r w:rsidR="00884208">
          <w:rPr>
            <w:rFonts w:asciiTheme="minorHAnsi" w:eastAsiaTheme="minorEastAsia" w:hAnsiTheme="minorHAnsi" w:cstheme="minorBidi"/>
            <w:noProof/>
            <w:lang w:val="en-AU" w:eastAsia="en-AU"/>
          </w:rPr>
          <w:tab/>
        </w:r>
        <w:r w:rsidR="00884208" w:rsidRPr="00502E93">
          <w:rPr>
            <w:rStyle w:val="Hyperlink"/>
            <w:noProof/>
          </w:rPr>
          <w:t>Number of Districts with declining annual education expenditure, 2010 - 2013</w:t>
        </w:r>
        <w:r w:rsidR="00884208">
          <w:rPr>
            <w:noProof/>
            <w:webHidden/>
          </w:rPr>
          <w:tab/>
        </w:r>
        <w:r w:rsidR="00884208">
          <w:rPr>
            <w:noProof/>
            <w:webHidden/>
          </w:rPr>
          <w:fldChar w:fldCharType="begin"/>
        </w:r>
        <w:r w:rsidR="00884208">
          <w:rPr>
            <w:noProof/>
            <w:webHidden/>
          </w:rPr>
          <w:instrText xml:space="preserve"> PAGEREF _Toc414281556 \h </w:instrText>
        </w:r>
        <w:r w:rsidR="00884208">
          <w:rPr>
            <w:noProof/>
            <w:webHidden/>
          </w:rPr>
        </w:r>
        <w:r w:rsidR="00884208">
          <w:rPr>
            <w:noProof/>
            <w:webHidden/>
          </w:rPr>
          <w:fldChar w:fldCharType="separate"/>
        </w:r>
        <w:r w:rsidR="00884208">
          <w:rPr>
            <w:noProof/>
            <w:webHidden/>
          </w:rPr>
          <w:t>35</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57" w:history="1">
        <w:r w:rsidR="00884208" w:rsidRPr="00502E93">
          <w:rPr>
            <w:rStyle w:val="Hyperlink"/>
            <w:noProof/>
          </w:rPr>
          <w:t>Figure 25:</w:t>
        </w:r>
        <w:r w:rsidR="00884208">
          <w:rPr>
            <w:rFonts w:asciiTheme="minorHAnsi" w:eastAsiaTheme="minorEastAsia" w:hAnsiTheme="minorHAnsi" w:cstheme="minorBidi"/>
            <w:noProof/>
            <w:lang w:val="en-AU" w:eastAsia="en-AU"/>
          </w:rPr>
          <w:tab/>
        </w:r>
        <w:r w:rsidR="00884208" w:rsidRPr="00502E93">
          <w:rPr>
            <w:rStyle w:val="Hyperlink"/>
            <w:noProof/>
          </w:rPr>
          <w:t>EP Poorest Districts with declining annual education expenditure (2012 and 2013)</w:t>
        </w:r>
        <w:r w:rsidR="00884208">
          <w:rPr>
            <w:noProof/>
            <w:webHidden/>
          </w:rPr>
          <w:tab/>
        </w:r>
        <w:r w:rsidR="00884208">
          <w:rPr>
            <w:noProof/>
            <w:webHidden/>
          </w:rPr>
          <w:fldChar w:fldCharType="begin"/>
        </w:r>
        <w:r w:rsidR="00884208">
          <w:rPr>
            <w:noProof/>
            <w:webHidden/>
          </w:rPr>
          <w:instrText xml:space="preserve"> PAGEREF _Toc414281557 \h </w:instrText>
        </w:r>
        <w:r w:rsidR="00884208">
          <w:rPr>
            <w:noProof/>
            <w:webHidden/>
          </w:rPr>
        </w:r>
        <w:r w:rsidR="00884208">
          <w:rPr>
            <w:noProof/>
            <w:webHidden/>
          </w:rPr>
          <w:fldChar w:fldCharType="separate"/>
        </w:r>
        <w:r w:rsidR="00884208">
          <w:rPr>
            <w:noProof/>
            <w:webHidden/>
          </w:rPr>
          <w:t>36</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58" w:history="1">
        <w:r w:rsidR="00884208" w:rsidRPr="00502E93">
          <w:rPr>
            <w:rStyle w:val="Hyperlink"/>
            <w:noProof/>
          </w:rPr>
          <w:t>Figure 26:</w:t>
        </w:r>
        <w:r w:rsidR="00884208">
          <w:rPr>
            <w:rFonts w:asciiTheme="minorHAnsi" w:eastAsiaTheme="minorEastAsia" w:hAnsiTheme="minorHAnsi" w:cstheme="minorBidi"/>
            <w:noProof/>
            <w:lang w:val="en-AU" w:eastAsia="en-AU"/>
          </w:rPr>
          <w:tab/>
        </w:r>
        <w:r w:rsidR="00884208" w:rsidRPr="00502E93">
          <w:rPr>
            <w:rStyle w:val="Hyperlink"/>
            <w:noProof/>
          </w:rPr>
          <w:t>Component 1 districts with declining annual education expenditure (2013 vs 2012)</w:t>
        </w:r>
        <w:r w:rsidR="00884208">
          <w:rPr>
            <w:noProof/>
            <w:webHidden/>
          </w:rPr>
          <w:tab/>
        </w:r>
        <w:r w:rsidR="00884208">
          <w:rPr>
            <w:noProof/>
            <w:webHidden/>
          </w:rPr>
          <w:fldChar w:fldCharType="begin"/>
        </w:r>
        <w:r w:rsidR="00884208">
          <w:rPr>
            <w:noProof/>
            <w:webHidden/>
          </w:rPr>
          <w:instrText xml:space="preserve"> PAGEREF _Toc414281558 \h </w:instrText>
        </w:r>
        <w:r w:rsidR="00884208">
          <w:rPr>
            <w:noProof/>
            <w:webHidden/>
          </w:rPr>
        </w:r>
        <w:r w:rsidR="00884208">
          <w:rPr>
            <w:noProof/>
            <w:webHidden/>
          </w:rPr>
          <w:fldChar w:fldCharType="separate"/>
        </w:r>
        <w:r w:rsidR="00884208">
          <w:rPr>
            <w:noProof/>
            <w:webHidden/>
          </w:rPr>
          <w:t>36</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59" w:history="1">
        <w:r w:rsidR="00884208" w:rsidRPr="00502E93">
          <w:rPr>
            <w:rStyle w:val="Hyperlink"/>
            <w:noProof/>
          </w:rPr>
          <w:t>Figure 27:</w:t>
        </w:r>
        <w:r w:rsidR="00884208">
          <w:rPr>
            <w:rFonts w:asciiTheme="minorHAnsi" w:eastAsiaTheme="minorEastAsia" w:hAnsiTheme="minorHAnsi" w:cstheme="minorBidi"/>
            <w:noProof/>
            <w:lang w:val="en-AU" w:eastAsia="en-AU"/>
          </w:rPr>
          <w:tab/>
        </w:r>
        <w:r w:rsidR="00884208" w:rsidRPr="00502E93">
          <w:rPr>
            <w:rStyle w:val="Hyperlink"/>
            <w:noProof/>
          </w:rPr>
          <w:t>Component 2 districts with declining annual education expenditure (2013 vs 2012)</w:t>
        </w:r>
        <w:r w:rsidR="00884208">
          <w:rPr>
            <w:noProof/>
            <w:webHidden/>
          </w:rPr>
          <w:tab/>
        </w:r>
        <w:r w:rsidR="00884208">
          <w:rPr>
            <w:noProof/>
            <w:webHidden/>
          </w:rPr>
          <w:fldChar w:fldCharType="begin"/>
        </w:r>
        <w:r w:rsidR="00884208">
          <w:rPr>
            <w:noProof/>
            <w:webHidden/>
          </w:rPr>
          <w:instrText xml:space="preserve"> PAGEREF _Toc414281559 \h </w:instrText>
        </w:r>
        <w:r w:rsidR="00884208">
          <w:rPr>
            <w:noProof/>
            <w:webHidden/>
          </w:rPr>
        </w:r>
        <w:r w:rsidR="00884208">
          <w:rPr>
            <w:noProof/>
            <w:webHidden/>
          </w:rPr>
          <w:fldChar w:fldCharType="separate"/>
        </w:r>
        <w:r w:rsidR="00884208">
          <w:rPr>
            <w:noProof/>
            <w:webHidden/>
          </w:rPr>
          <w:t>37</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60" w:history="1">
        <w:r w:rsidR="00884208" w:rsidRPr="00502E93">
          <w:rPr>
            <w:rStyle w:val="Hyperlink"/>
            <w:noProof/>
          </w:rPr>
          <w:t>Figure 28:</w:t>
        </w:r>
        <w:r w:rsidR="00884208">
          <w:rPr>
            <w:rFonts w:asciiTheme="minorHAnsi" w:eastAsiaTheme="minorEastAsia" w:hAnsiTheme="minorHAnsi" w:cstheme="minorBidi"/>
            <w:noProof/>
            <w:lang w:val="en-AU" w:eastAsia="en-AU"/>
          </w:rPr>
          <w:tab/>
        </w:r>
        <w:r w:rsidR="00884208" w:rsidRPr="00502E93">
          <w:rPr>
            <w:rStyle w:val="Hyperlink"/>
            <w:noProof/>
          </w:rPr>
          <w:t>Component 1 &amp; 2 districts with declining annual education expenditure (2013 vs 2012)</w:t>
        </w:r>
        <w:r w:rsidR="00884208">
          <w:rPr>
            <w:noProof/>
            <w:webHidden/>
          </w:rPr>
          <w:tab/>
        </w:r>
        <w:r w:rsidR="00884208">
          <w:rPr>
            <w:noProof/>
            <w:webHidden/>
          </w:rPr>
          <w:fldChar w:fldCharType="begin"/>
        </w:r>
        <w:r w:rsidR="00884208">
          <w:rPr>
            <w:noProof/>
            <w:webHidden/>
          </w:rPr>
          <w:instrText xml:space="preserve"> PAGEREF _Toc414281560 \h </w:instrText>
        </w:r>
        <w:r w:rsidR="00884208">
          <w:rPr>
            <w:noProof/>
            <w:webHidden/>
          </w:rPr>
        </w:r>
        <w:r w:rsidR="00884208">
          <w:rPr>
            <w:noProof/>
            <w:webHidden/>
          </w:rPr>
          <w:fldChar w:fldCharType="separate"/>
        </w:r>
        <w:r w:rsidR="00884208">
          <w:rPr>
            <w:noProof/>
            <w:webHidden/>
          </w:rPr>
          <w:t>37</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61" w:history="1">
        <w:r w:rsidR="00884208" w:rsidRPr="00502E93">
          <w:rPr>
            <w:rStyle w:val="Hyperlink"/>
            <w:noProof/>
          </w:rPr>
          <w:t>Figure 29:</w:t>
        </w:r>
        <w:r w:rsidR="00884208">
          <w:rPr>
            <w:rFonts w:asciiTheme="minorHAnsi" w:eastAsiaTheme="minorEastAsia" w:hAnsiTheme="minorHAnsi" w:cstheme="minorBidi"/>
            <w:noProof/>
            <w:lang w:val="en-AU" w:eastAsia="en-AU"/>
          </w:rPr>
          <w:tab/>
        </w:r>
        <w:r w:rsidR="00884208" w:rsidRPr="00502E93">
          <w:rPr>
            <w:rStyle w:val="Hyperlink"/>
            <w:noProof/>
          </w:rPr>
          <w:t>BEP and Non-BEP Districts - Annual Growth in District Education Expenditure, (APBD 2007-2013)</w:t>
        </w:r>
        <w:r w:rsidR="00884208">
          <w:rPr>
            <w:noProof/>
            <w:webHidden/>
          </w:rPr>
          <w:tab/>
        </w:r>
        <w:r w:rsidR="00884208">
          <w:rPr>
            <w:noProof/>
            <w:webHidden/>
          </w:rPr>
          <w:fldChar w:fldCharType="begin"/>
        </w:r>
        <w:r w:rsidR="00884208">
          <w:rPr>
            <w:noProof/>
            <w:webHidden/>
          </w:rPr>
          <w:instrText xml:space="preserve"> PAGEREF _Toc414281561 \h </w:instrText>
        </w:r>
        <w:r w:rsidR="00884208">
          <w:rPr>
            <w:noProof/>
            <w:webHidden/>
          </w:rPr>
        </w:r>
        <w:r w:rsidR="00884208">
          <w:rPr>
            <w:noProof/>
            <w:webHidden/>
          </w:rPr>
          <w:fldChar w:fldCharType="separate"/>
        </w:r>
        <w:r w:rsidR="00884208">
          <w:rPr>
            <w:noProof/>
            <w:webHidden/>
          </w:rPr>
          <w:t>38</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62" w:history="1">
        <w:r w:rsidR="00884208" w:rsidRPr="00502E93">
          <w:rPr>
            <w:rStyle w:val="Hyperlink"/>
            <w:noProof/>
          </w:rPr>
          <w:t>Figure 30:</w:t>
        </w:r>
        <w:r w:rsidR="00884208">
          <w:rPr>
            <w:rFonts w:asciiTheme="minorHAnsi" w:eastAsiaTheme="minorEastAsia" w:hAnsiTheme="minorHAnsi" w:cstheme="minorBidi"/>
            <w:noProof/>
            <w:lang w:val="en-AU" w:eastAsia="en-AU"/>
          </w:rPr>
          <w:tab/>
        </w:r>
        <w:r w:rsidR="00884208" w:rsidRPr="00502E93">
          <w:rPr>
            <w:rStyle w:val="Hyperlink"/>
            <w:noProof/>
          </w:rPr>
          <w:t>Number of Districts, with Negative Annual Growth in APBD Education Expenditure (2009-2013)</w:t>
        </w:r>
        <w:r w:rsidR="00884208">
          <w:rPr>
            <w:noProof/>
            <w:webHidden/>
          </w:rPr>
          <w:tab/>
        </w:r>
        <w:r w:rsidR="00884208">
          <w:rPr>
            <w:noProof/>
            <w:webHidden/>
          </w:rPr>
          <w:fldChar w:fldCharType="begin"/>
        </w:r>
        <w:r w:rsidR="00884208">
          <w:rPr>
            <w:noProof/>
            <w:webHidden/>
          </w:rPr>
          <w:instrText xml:space="preserve"> PAGEREF _Toc414281562 \h </w:instrText>
        </w:r>
        <w:r w:rsidR="00884208">
          <w:rPr>
            <w:noProof/>
            <w:webHidden/>
          </w:rPr>
        </w:r>
        <w:r w:rsidR="00884208">
          <w:rPr>
            <w:noProof/>
            <w:webHidden/>
          </w:rPr>
          <w:fldChar w:fldCharType="separate"/>
        </w:r>
        <w:r w:rsidR="00884208">
          <w:rPr>
            <w:noProof/>
            <w:webHidden/>
          </w:rPr>
          <w:t>38</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63" w:history="1">
        <w:r w:rsidR="00884208" w:rsidRPr="00502E93">
          <w:rPr>
            <w:rStyle w:val="Hyperlink"/>
            <w:noProof/>
          </w:rPr>
          <w:t>Figure 31:</w:t>
        </w:r>
        <w:r w:rsidR="00884208">
          <w:rPr>
            <w:rFonts w:asciiTheme="minorHAnsi" w:eastAsiaTheme="minorEastAsia" w:hAnsiTheme="minorHAnsi" w:cstheme="minorBidi"/>
            <w:noProof/>
            <w:lang w:val="en-AU" w:eastAsia="en-AU"/>
          </w:rPr>
          <w:tab/>
        </w:r>
        <w:r w:rsidR="00884208" w:rsidRPr="00502E93">
          <w:rPr>
            <w:rStyle w:val="Hyperlink"/>
            <w:noProof/>
          </w:rPr>
          <w:t>Average District Education Expenditure per all Students, 2006-2013 (Rp. millions.)</w:t>
        </w:r>
        <w:r w:rsidR="00884208">
          <w:rPr>
            <w:noProof/>
            <w:webHidden/>
          </w:rPr>
          <w:tab/>
        </w:r>
        <w:r w:rsidR="00884208">
          <w:rPr>
            <w:noProof/>
            <w:webHidden/>
          </w:rPr>
          <w:fldChar w:fldCharType="begin"/>
        </w:r>
        <w:r w:rsidR="00884208">
          <w:rPr>
            <w:noProof/>
            <w:webHidden/>
          </w:rPr>
          <w:instrText xml:space="preserve"> PAGEREF _Toc414281563 \h </w:instrText>
        </w:r>
        <w:r w:rsidR="00884208">
          <w:rPr>
            <w:noProof/>
            <w:webHidden/>
          </w:rPr>
        </w:r>
        <w:r w:rsidR="00884208">
          <w:rPr>
            <w:noProof/>
            <w:webHidden/>
          </w:rPr>
          <w:fldChar w:fldCharType="separate"/>
        </w:r>
        <w:r w:rsidR="00884208">
          <w:rPr>
            <w:noProof/>
            <w:webHidden/>
          </w:rPr>
          <w:t>39</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64" w:history="1">
        <w:r w:rsidR="00884208" w:rsidRPr="00502E93">
          <w:rPr>
            <w:rStyle w:val="Hyperlink"/>
            <w:noProof/>
          </w:rPr>
          <w:t>Figure 32:</w:t>
        </w:r>
        <w:r w:rsidR="00884208">
          <w:rPr>
            <w:rFonts w:asciiTheme="minorHAnsi" w:eastAsiaTheme="minorEastAsia" w:hAnsiTheme="minorHAnsi" w:cstheme="minorBidi"/>
            <w:noProof/>
            <w:lang w:val="en-AU" w:eastAsia="en-AU"/>
          </w:rPr>
          <w:tab/>
        </w:r>
        <w:r w:rsidR="00884208" w:rsidRPr="00502E93">
          <w:rPr>
            <w:rStyle w:val="Hyperlink"/>
            <w:noProof/>
          </w:rPr>
          <w:t>Comparison - Expenditure per All Students vs. Expenditure per Public Students, (Rp. millions)</w:t>
        </w:r>
        <w:r w:rsidR="00884208">
          <w:rPr>
            <w:noProof/>
            <w:webHidden/>
          </w:rPr>
          <w:tab/>
        </w:r>
        <w:r w:rsidR="00884208">
          <w:rPr>
            <w:noProof/>
            <w:webHidden/>
          </w:rPr>
          <w:fldChar w:fldCharType="begin"/>
        </w:r>
        <w:r w:rsidR="00884208">
          <w:rPr>
            <w:noProof/>
            <w:webHidden/>
          </w:rPr>
          <w:instrText xml:space="preserve"> PAGEREF _Toc414281564 \h </w:instrText>
        </w:r>
        <w:r w:rsidR="00884208">
          <w:rPr>
            <w:noProof/>
            <w:webHidden/>
          </w:rPr>
        </w:r>
        <w:r w:rsidR="00884208">
          <w:rPr>
            <w:noProof/>
            <w:webHidden/>
          </w:rPr>
          <w:fldChar w:fldCharType="separate"/>
        </w:r>
        <w:r w:rsidR="00884208">
          <w:rPr>
            <w:noProof/>
            <w:webHidden/>
          </w:rPr>
          <w:t>41</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65" w:history="1">
        <w:r w:rsidR="00884208" w:rsidRPr="00502E93">
          <w:rPr>
            <w:rStyle w:val="Hyperlink"/>
            <w:noProof/>
          </w:rPr>
          <w:t>Figure 33:</w:t>
        </w:r>
        <w:r w:rsidR="00884208">
          <w:rPr>
            <w:rFonts w:asciiTheme="minorHAnsi" w:eastAsiaTheme="minorEastAsia" w:hAnsiTheme="minorHAnsi" w:cstheme="minorBidi"/>
            <w:noProof/>
            <w:lang w:val="en-AU" w:eastAsia="en-AU"/>
          </w:rPr>
          <w:tab/>
        </w:r>
        <w:r w:rsidR="00884208" w:rsidRPr="00502E93">
          <w:rPr>
            <w:rStyle w:val="Hyperlink"/>
            <w:noProof/>
          </w:rPr>
          <w:t>Average APBD Education Expenditure per Student (Rp. millions), 2010-13 by Island</w:t>
        </w:r>
        <w:r w:rsidR="00884208">
          <w:rPr>
            <w:noProof/>
            <w:webHidden/>
          </w:rPr>
          <w:tab/>
        </w:r>
        <w:r w:rsidR="00884208">
          <w:rPr>
            <w:noProof/>
            <w:webHidden/>
          </w:rPr>
          <w:fldChar w:fldCharType="begin"/>
        </w:r>
        <w:r w:rsidR="00884208">
          <w:rPr>
            <w:noProof/>
            <w:webHidden/>
          </w:rPr>
          <w:instrText xml:space="preserve"> PAGEREF _Toc414281565 \h </w:instrText>
        </w:r>
        <w:r w:rsidR="00884208">
          <w:rPr>
            <w:noProof/>
            <w:webHidden/>
          </w:rPr>
        </w:r>
        <w:r w:rsidR="00884208">
          <w:rPr>
            <w:noProof/>
            <w:webHidden/>
          </w:rPr>
          <w:fldChar w:fldCharType="separate"/>
        </w:r>
        <w:r w:rsidR="00884208">
          <w:rPr>
            <w:noProof/>
            <w:webHidden/>
          </w:rPr>
          <w:t>42</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66" w:history="1">
        <w:r w:rsidR="00884208" w:rsidRPr="00502E93">
          <w:rPr>
            <w:rStyle w:val="Hyperlink"/>
            <w:noProof/>
          </w:rPr>
          <w:t>Figure 34:</w:t>
        </w:r>
        <w:r w:rsidR="00884208">
          <w:rPr>
            <w:rFonts w:asciiTheme="minorHAnsi" w:eastAsiaTheme="minorEastAsia" w:hAnsiTheme="minorHAnsi" w:cstheme="minorBidi"/>
            <w:noProof/>
            <w:lang w:val="en-AU" w:eastAsia="en-AU"/>
          </w:rPr>
          <w:tab/>
        </w:r>
        <w:r w:rsidR="00884208" w:rsidRPr="00502E93">
          <w:rPr>
            <w:rStyle w:val="Hyperlink"/>
            <w:noProof/>
          </w:rPr>
          <w:t>Papua: Average Annual Growth in District Education Budget, (Rp. millions) 2010-13</w:t>
        </w:r>
        <w:r w:rsidR="00884208">
          <w:rPr>
            <w:noProof/>
            <w:webHidden/>
          </w:rPr>
          <w:tab/>
        </w:r>
        <w:r w:rsidR="00884208">
          <w:rPr>
            <w:noProof/>
            <w:webHidden/>
          </w:rPr>
          <w:fldChar w:fldCharType="begin"/>
        </w:r>
        <w:r w:rsidR="00884208">
          <w:rPr>
            <w:noProof/>
            <w:webHidden/>
          </w:rPr>
          <w:instrText xml:space="preserve"> PAGEREF _Toc414281566 \h </w:instrText>
        </w:r>
        <w:r w:rsidR="00884208">
          <w:rPr>
            <w:noProof/>
            <w:webHidden/>
          </w:rPr>
        </w:r>
        <w:r w:rsidR="00884208">
          <w:rPr>
            <w:noProof/>
            <w:webHidden/>
          </w:rPr>
          <w:fldChar w:fldCharType="separate"/>
        </w:r>
        <w:r w:rsidR="00884208">
          <w:rPr>
            <w:noProof/>
            <w:webHidden/>
          </w:rPr>
          <w:t>43</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67" w:history="1">
        <w:r w:rsidR="00884208" w:rsidRPr="00502E93">
          <w:rPr>
            <w:rStyle w:val="Hyperlink"/>
            <w:noProof/>
          </w:rPr>
          <w:t>Figure 35:</w:t>
        </w:r>
        <w:r w:rsidR="00884208">
          <w:rPr>
            <w:rFonts w:asciiTheme="minorHAnsi" w:eastAsiaTheme="minorEastAsia" w:hAnsiTheme="minorHAnsi" w:cstheme="minorBidi"/>
            <w:noProof/>
            <w:lang w:val="en-AU" w:eastAsia="en-AU"/>
          </w:rPr>
          <w:tab/>
        </w:r>
        <w:r w:rsidR="00884208" w:rsidRPr="00502E93">
          <w:rPr>
            <w:rStyle w:val="Hyperlink"/>
            <w:noProof/>
          </w:rPr>
          <w:t>Average District Expenditure per Student, EP Districts and Others (Rp. millions)</w:t>
        </w:r>
        <w:r w:rsidR="00884208">
          <w:rPr>
            <w:noProof/>
            <w:webHidden/>
          </w:rPr>
          <w:tab/>
        </w:r>
        <w:r w:rsidR="00884208">
          <w:rPr>
            <w:noProof/>
            <w:webHidden/>
          </w:rPr>
          <w:fldChar w:fldCharType="begin"/>
        </w:r>
        <w:r w:rsidR="00884208">
          <w:rPr>
            <w:noProof/>
            <w:webHidden/>
          </w:rPr>
          <w:instrText xml:space="preserve"> PAGEREF _Toc414281567 \h </w:instrText>
        </w:r>
        <w:r w:rsidR="00884208">
          <w:rPr>
            <w:noProof/>
            <w:webHidden/>
          </w:rPr>
        </w:r>
        <w:r w:rsidR="00884208">
          <w:rPr>
            <w:noProof/>
            <w:webHidden/>
          </w:rPr>
          <w:fldChar w:fldCharType="separate"/>
        </w:r>
        <w:r w:rsidR="00884208">
          <w:rPr>
            <w:noProof/>
            <w:webHidden/>
          </w:rPr>
          <w:t>44</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68" w:history="1">
        <w:r w:rsidR="00884208" w:rsidRPr="00502E93">
          <w:rPr>
            <w:rStyle w:val="Hyperlink"/>
            <w:noProof/>
          </w:rPr>
          <w:t>Figure 36:</w:t>
        </w:r>
        <w:r w:rsidR="00884208">
          <w:rPr>
            <w:rFonts w:asciiTheme="minorHAnsi" w:eastAsiaTheme="minorEastAsia" w:hAnsiTheme="minorHAnsi" w:cstheme="minorBidi"/>
            <w:noProof/>
            <w:lang w:val="en-AU" w:eastAsia="en-AU"/>
          </w:rPr>
          <w:tab/>
        </w:r>
        <w:r w:rsidR="00884208" w:rsidRPr="00502E93">
          <w:rPr>
            <w:rStyle w:val="Hyperlink"/>
            <w:noProof/>
          </w:rPr>
          <w:t>EP Districts with Low Expenditure per Student, 2013 (Rp. Less than 2.63 million)</w:t>
        </w:r>
        <w:r w:rsidR="00884208">
          <w:rPr>
            <w:noProof/>
            <w:webHidden/>
          </w:rPr>
          <w:tab/>
        </w:r>
        <w:r w:rsidR="00884208">
          <w:rPr>
            <w:noProof/>
            <w:webHidden/>
          </w:rPr>
          <w:fldChar w:fldCharType="begin"/>
        </w:r>
        <w:r w:rsidR="00884208">
          <w:rPr>
            <w:noProof/>
            <w:webHidden/>
          </w:rPr>
          <w:instrText xml:space="preserve"> PAGEREF _Toc414281568 \h </w:instrText>
        </w:r>
        <w:r w:rsidR="00884208">
          <w:rPr>
            <w:noProof/>
            <w:webHidden/>
          </w:rPr>
        </w:r>
        <w:r w:rsidR="00884208">
          <w:rPr>
            <w:noProof/>
            <w:webHidden/>
          </w:rPr>
          <w:fldChar w:fldCharType="separate"/>
        </w:r>
        <w:r w:rsidR="00884208">
          <w:rPr>
            <w:noProof/>
            <w:webHidden/>
          </w:rPr>
          <w:t>45</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69" w:history="1">
        <w:r w:rsidR="00884208" w:rsidRPr="00502E93">
          <w:rPr>
            <w:rStyle w:val="Hyperlink"/>
            <w:noProof/>
          </w:rPr>
          <w:t>Figure 37:</w:t>
        </w:r>
        <w:r w:rsidR="00884208">
          <w:rPr>
            <w:rFonts w:asciiTheme="minorHAnsi" w:eastAsiaTheme="minorEastAsia" w:hAnsiTheme="minorHAnsi" w:cstheme="minorBidi"/>
            <w:noProof/>
            <w:lang w:val="en-AU" w:eastAsia="en-AU"/>
          </w:rPr>
          <w:tab/>
        </w:r>
        <w:r w:rsidR="00884208" w:rsidRPr="00502E93">
          <w:rPr>
            <w:rStyle w:val="Hyperlink"/>
            <w:noProof/>
          </w:rPr>
          <w:t>EP Districts with very high per student expenditure, 2013 (Rp. millions)</w:t>
        </w:r>
        <w:r w:rsidR="00884208">
          <w:rPr>
            <w:noProof/>
            <w:webHidden/>
          </w:rPr>
          <w:tab/>
        </w:r>
        <w:r w:rsidR="00884208">
          <w:rPr>
            <w:noProof/>
            <w:webHidden/>
          </w:rPr>
          <w:fldChar w:fldCharType="begin"/>
        </w:r>
        <w:r w:rsidR="00884208">
          <w:rPr>
            <w:noProof/>
            <w:webHidden/>
          </w:rPr>
          <w:instrText xml:space="preserve"> PAGEREF _Toc414281569 \h </w:instrText>
        </w:r>
        <w:r w:rsidR="00884208">
          <w:rPr>
            <w:noProof/>
            <w:webHidden/>
          </w:rPr>
        </w:r>
        <w:r w:rsidR="00884208">
          <w:rPr>
            <w:noProof/>
            <w:webHidden/>
          </w:rPr>
          <w:fldChar w:fldCharType="separate"/>
        </w:r>
        <w:r w:rsidR="00884208">
          <w:rPr>
            <w:noProof/>
            <w:webHidden/>
          </w:rPr>
          <w:t>46</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70" w:history="1">
        <w:r w:rsidR="00884208" w:rsidRPr="00502E93">
          <w:rPr>
            <w:rStyle w:val="Hyperlink"/>
            <w:noProof/>
          </w:rPr>
          <w:t>Figure 38:</w:t>
        </w:r>
        <w:r w:rsidR="00884208">
          <w:rPr>
            <w:rFonts w:asciiTheme="minorHAnsi" w:eastAsiaTheme="minorEastAsia" w:hAnsiTheme="minorHAnsi" w:cstheme="minorBidi"/>
            <w:noProof/>
            <w:lang w:val="en-AU" w:eastAsia="en-AU"/>
          </w:rPr>
          <w:tab/>
        </w:r>
        <w:r w:rsidR="00884208" w:rsidRPr="00502E93">
          <w:rPr>
            <w:rStyle w:val="Hyperlink"/>
            <w:noProof/>
          </w:rPr>
          <w:t>Equity Slope of Funding - Average APBD Education Expenditure per Student (Rp millions), by Poverty Quintile, 2010-13</w:t>
        </w:r>
        <w:r w:rsidR="00884208">
          <w:rPr>
            <w:noProof/>
            <w:webHidden/>
          </w:rPr>
          <w:tab/>
        </w:r>
        <w:r w:rsidR="00884208">
          <w:rPr>
            <w:noProof/>
            <w:webHidden/>
          </w:rPr>
          <w:fldChar w:fldCharType="begin"/>
        </w:r>
        <w:r w:rsidR="00884208">
          <w:rPr>
            <w:noProof/>
            <w:webHidden/>
          </w:rPr>
          <w:instrText xml:space="preserve"> PAGEREF _Toc414281570 \h </w:instrText>
        </w:r>
        <w:r w:rsidR="00884208">
          <w:rPr>
            <w:noProof/>
            <w:webHidden/>
          </w:rPr>
        </w:r>
        <w:r w:rsidR="00884208">
          <w:rPr>
            <w:noProof/>
            <w:webHidden/>
          </w:rPr>
          <w:fldChar w:fldCharType="separate"/>
        </w:r>
        <w:r w:rsidR="00884208">
          <w:rPr>
            <w:noProof/>
            <w:webHidden/>
          </w:rPr>
          <w:t>47</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71" w:history="1">
        <w:r w:rsidR="00884208" w:rsidRPr="00502E93">
          <w:rPr>
            <w:rStyle w:val="Hyperlink"/>
            <w:noProof/>
          </w:rPr>
          <w:t>Figure 39:</w:t>
        </w:r>
        <w:r w:rsidR="00884208">
          <w:rPr>
            <w:rFonts w:asciiTheme="minorHAnsi" w:eastAsiaTheme="minorEastAsia" w:hAnsiTheme="minorHAnsi" w:cstheme="minorBidi"/>
            <w:noProof/>
            <w:lang w:val="en-AU" w:eastAsia="en-AU"/>
          </w:rPr>
          <w:tab/>
        </w:r>
        <w:r w:rsidR="00884208" w:rsidRPr="00502E93">
          <w:rPr>
            <w:rStyle w:val="Hyperlink"/>
            <w:noProof/>
          </w:rPr>
          <w:t>BEP District budget allocations per student, 2006-2013</w:t>
        </w:r>
        <w:r w:rsidR="00884208">
          <w:rPr>
            <w:noProof/>
            <w:webHidden/>
          </w:rPr>
          <w:tab/>
        </w:r>
        <w:r w:rsidR="00884208">
          <w:rPr>
            <w:noProof/>
            <w:webHidden/>
          </w:rPr>
          <w:fldChar w:fldCharType="begin"/>
        </w:r>
        <w:r w:rsidR="00884208">
          <w:rPr>
            <w:noProof/>
            <w:webHidden/>
          </w:rPr>
          <w:instrText xml:space="preserve"> PAGEREF _Toc414281571 \h </w:instrText>
        </w:r>
        <w:r w:rsidR="00884208">
          <w:rPr>
            <w:noProof/>
            <w:webHidden/>
          </w:rPr>
        </w:r>
        <w:r w:rsidR="00884208">
          <w:rPr>
            <w:noProof/>
            <w:webHidden/>
          </w:rPr>
          <w:fldChar w:fldCharType="separate"/>
        </w:r>
        <w:r w:rsidR="00884208">
          <w:rPr>
            <w:noProof/>
            <w:webHidden/>
          </w:rPr>
          <w:t>48</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72" w:history="1">
        <w:r w:rsidR="00884208" w:rsidRPr="00502E93">
          <w:rPr>
            <w:rStyle w:val="Hyperlink"/>
            <w:noProof/>
          </w:rPr>
          <w:t>Figure 40:</w:t>
        </w:r>
        <w:r w:rsidR="00884208">
          <w:rPr>
            <w:rFonts w:asciiTheme="minorHAnsi" w:eastAsiaTheme="minorEastAsia" w:hAnsiTheme="minorHAnsi" w:cstheme="minorBidi"/>
            <w:noProof/>
            <w:lang w:val="en-AU" w:eastAsia="en-AU"/>
          </w:rPr>
          <w:tab/>
        </w:r>
        <w:r w:rsidR="00884208" w:rsidRPr="00502E93">
          <w:rPr>
            <w:rStyle w:val="Hyperlink"/>
            <w:noProof/>
          </w:rPr>
          <w:t>Critical Education Funding Status (CEFS) Districts – Districts with low growth in education budget, low share of district budget and low expenditure per student, 2010-2013</w:t>
        </w:r>
        <w:r w:rsidR="00884208">
          <w:rPr>
            <w:noProof/>
            <w:webHidden/>
          </w:rPr>
          <w:tab/>
        </w:r>
        <w:r w:rsidR="00884208">
          <w:rPr>
            <w:noProof/>
            <w:webHidden/>
          </w:rPr>
          <w:fldChar w:fldCharType="begin"/>
        </w:r>
        <w:r w:rsidR="00884208">
          <w:rPr>
            <w:noProof/>
            <w:webHidden/>
          </w:rPr>
          <w:instrText xml:space="preserve"> PAGEREF _Toc414281572 \h </w:instrText>
        </w:r>
        <w:r w:rsidR="00884208">
          <w:rPr>
            <w:noProof/>
            <w:webHidden/>
          </w:rPr>
        </w:r>
        <w:r w:rsidR="00884208">
          <w:rPr>
            <w:noProof/>
            <w:webHidden/>
          </w:rPr>
          <w:fldChar w:fldCharType="separate"/>
        </w:r>
        <w:r w:rsidR="00884208">
          <w:rPr>
            <w:noProof/>
            <w:webHidden/>
          </w:rPr>
          <w:t>48</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73" w:history="1">
        <w:r w:rsidR="00884208" w:rsidRPr="00502E93">
          <w:rPr>
            <w:rStyle w:val="Hyperlink"/>
            <w:noProof/>
          </w:rPr>
          <w:t>Figure 41:</w:t>
        </w:r>
        <w:r w:rsidR="00884208">
          <w:rPr>
            <w:rFonts w:asciiTheme="minorHAnsi" w:eastAsiaTheme="minorEastAsia" w:hAnsiTheme="minorHAnsi" w:cstheme="minorBidi"/>
            <w:noProof/>
            <w:lang w:val="en-AU" w:eastAsia="en-AU"/>
          </w:rPr>
          <w:tab/>
        </w:r>
        <w:r w:rsidR="00884208" w:rsidRPr="00502E93">
          <w:rPr>
            <w:rStyle w:val="Hyperlink"/>
            <w:noProof/>
          </w:rPr>
          <w:t>Realised Education Expenditure as % of Planned Expenditure 2006 -2007</w:t>
        </w:r>
        <w:r w:rsidR="00884208">
          <w:rPr>
            <w:noProof/>
            <w:webHidden/>
          </w:rPr>
          <w:tab/>
        </w:r>
        <w:r w:rsidR="00884208">
          <w:rPr>
            <w:noProof/>
            <w:webHidden/>
          </w:rPr>
          <w:fldChar w:fldCharType="begin"/>
        </w:r>
        <w:r w:rsidR="00884208">
          <w:rPr>
            <w:noProof/>
            <w:webHidden/>
          </w:rPr>
          <w:instrText xml:space="preserve"> PAGEREF _Toc414281573 \h </w:instrText>
        </w:r>
        <w:r w:rsidR="00884208">
          <w:rPr>
            <w:noProof/>
            <w:webHidden/>
          </w:rPr>
        </w:r>
        <w:r w:rsidR="00884208">
          <w:rPr>
            <w:noProof/>
            <w:webHidden/>
          </w:rPr>
          <w:fldChar w:fldCharType="separate"/>
        </w:r>
        <w:r w:rsidR="00884208">
          <w:rPr>
            <w:noProof/>
            <w:webHidden/>
          </w:rPr>
          <w:t>49</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74" w:history="1">
        <w:r w:rsidR="00884208" w:rsidRPr="00502E93">
          <w:rPr>
            <w:rStyle w:val="Hyperlink"/>
            <w:noProof/>
          </w:rPr>
          <w:t>Figure 42:</w:t>
        </w:r>
        <w:r w:rsidR="00884208">
          <w:rPr>
            <w:rFonts w:asciiTheme="minorHAnsi" w:eastAsiaTheme="minorEastAsia" w:hAnsiTheme="minorHAnsi" w:cstheme="minorBidi"/>
            <w:noProof/>
            <w:lang w:val="en-AU" w:eastAsia="en-AU"/>
          </w:rPr>
          <w:tab/>
        </w:r>
        <w:r w:rsidR="00884208" w:rsidRPr="00502E93">
          <w:rPr>
            <w:rStyle w:val="Hyperlink"/>
            <w:noProof/>
          </w:rPr>
          <w:t>Realised Education Expenditure as % of Planned Expenditure 2006-07, EP and Non-EP districts</w:t>
        </w:r>
        <w:r w:rsidR="00884208">
          <w:rPr>
            <w:noProof/>
            <w:webHidden/>
          </w:rPr>
          <w:tab/>
        </w:r>
        <w:r w:rsidR="00884208">
          <w:rPr>
            <w:noProof/>
            <w:webHidden/>
          </w:rPr>
          <w:fldChar w:fldCharType="begin"/>
        </w:r>
        <w:r w:rsidR="00884208">
          <w:rPr>
            <w:noProof/>
            <w:webHidden/>
          </w:rPr>
          <w:instrText xml:space="preserve"> PAGEREF _Toc414281574 \h </w:instrText>
        </w:r>
        <w:r w:rsidR="00884208">
          <w:rPr>
            <w:noProof/>
            <w:webHidden/>
          </w:rPr>
        </w:r>
        <w:r w:rsidR="00884208">
          <w:rPr>
            <w:noProof/>
            <w:webHidden/>
          </w:rPr>
          <w:fldChar w:fldCharType="separate"/>
        </w:r>
        <w:r w:rsidR="00884208">
          <w:rPr>
            <w:noProof/>
            <w:webHidden/>
          </w:rPr>
          <w:t>50</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75" w:history="1">
        <w:r w:rsidR="00884208" w:rsidRPr="00502E93">
          <w:rPr>
            <w:rStyle w:val="Hyperlink"/>
            <w:noProof/>
          </w:rPr>
          <w:t>Figure 43:</w:t>
        </w:r>
        <w:r w:rsidR="00884208">
          <w:rPr>
            <w:rFonts w:asciiTheme="minorHAnsi" w:eastAsiaTheme="minorEastAsia" w:hAnsiTheme="minorHAnsi" w:cstheme="minorBidi"/>
            <w:noProof/>
            <w:lang w:val="en-AU" w:eastAsia="en-AU"/>
          </w:rPr>
          <w:tab/>
        </w:r>
        <w:r w:rsidR="00884208" w:rsidRPr="00502E93">
          <w:rPr>
            <w:rStyle w:val="Hyperlink"/>
            <w:noProof/>
          </w:rPr>
          <w:t>Realised Education Expenditure as % of Planned Expenditure 2006 - 2007, by Poverty Quintile</w:t>
        </w:r>
        <w:r w:rsidR="00884208">
          <w:rPr>
            <w:noProof/>
            <w:webHidden/>
          </w:rPr>
          <w:tab/>
        </w:r>
        <w:r w:rsidR="00884208">
          <w:rPr>
            <w:noProof/>
            <w:webHidden/>
          </w:rPr>
          <w:fldChar w:fldCharType="begin"/>
        </w:r>
        <w:r w:rsidR="00884208">
          <w:rPr>
            <w:noProof/>
            <w:webHidden/>
          </w:rPr>
          <w:instrText xml:space="preserve"> PAGEREF _Toc414281575 \h </w:instrText>
        </w:r>
        <w:r w:rsidR="00884208">
          <w:rPr>
            <w:noProof/>
            <w:webHidden/>
          </w:rPr>
        </w:r>
        <w:r w:rsidR="00884208">
          <w:rPr>
            <w:noProof/>
            <w:webHidden/>
          </w:rPr>
          <w:fldChar w:fldCharType="separate"/>
        </w:r>
        <w:r w:rsidR="00884208">
          <w:rPr>
            <w:noProof/>
            <w:webHidden/>
          </w:rPr>
          <w:t>51</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76" w:history="1">
        <w:r w:rsidR="00884208" w:rsidRPr="00502E93">
          <w:rPr>
            <w:rStyle w:val="Hyperlink"/>
            <w:noProof/>
          </w:rPr>
          <w:t>Figure 44:</w:t>
        </w:r>
        <w:r w:rsidR="00884208">
          <w:rPr>
            <w:rFonts w:asciiTheme="minorHAnsi" w:eastAsiaTheme="minorEastAsia" w:hAnsiTheme="minorHAnsi" w:cstheme="minorBidi"/>
            <w:noProof/>
            <w:lang w:val="en-AU" w:eastAsia="en-AU"/>
          </w:rPr>
          <w:tab/>
        </w:r>
        <w:r w:rsidR="00884208" w:rsidRPr="00502E93">
          <w:rPr>
            <w:rStyle w:val="Hyperlink"/>
            <w:noProof/>
          </w:rPr>
          <w:t>BOS Grants as % of Education &amp; Culture Budget 2006-2013</w:t>
        </w:r>
        <w:r w:rsidR="00884208">
          <w:rPr>
            <w:noProof/>
            <w:webHidden/>
          </w:rPr>
          <w:tab/>
        </w:r>
        <w:r w:rsidR="00884208">
          <w:rPr>
            <w:noProof/>
            <w:webHidden/>
          </w:rPr>
          <w:fldChar w:fldCharType="begin"/>
        </w:r>
        <w:r w:rsidR="00884208">
          <w:rPr>
            <w:noProof/>
            <w:webHidden/>
          </w:rPr>
          <w:instrText xml:space="preserve"> PAGEREF _Toc414281576 \h </w:instrText>
        </w:r>
        <w:r w:rsidR="00884208">
          <w:rPr>
            <w:noProof/>
            <w:webHidden/>
          </w:rPr>
        </w:r>
        <w:r w:rsidR="00884208">
          <w:rPr>
            <w:noProof/>
            <w:webHidden/>
          </w:rPr>
          <w:fldChar w:fldCharType="separate"/>
        </w:r>
        <w:r w:rsidR="00884208">
          <w:rPr>
            <w:noProof/>
            <w:webHidden/>
          </w:rPr>
          <w:t>52</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77" w:history="1">
        <w:r w:rsidR="00884208" w:rsidRPr="00502E93">
          <w:rPr>
            <w:rStyle w:val="Hyperlink"/>
            <w:noProof/>
          </w:rPr>
          <w:t>Figure 45:</w:t>
        </w:r>
        <w:r w:rsidR="00884208">
          <w:rPr>
            <w:rFonts w:asciiTheme="minorHAnsi" w:eastAsiaTheme="minorEastAsia" w:hAnsiTheme="minorHAnsi" w:cstheme="minorBidi"/>
            <w:noProof/>
            <w:lang w:val="en-AU" w:eastAsia="en-AU"/>
          </w:rPr>
          <w:tab/>
        </w:r>
        <w:r w:rsidR="00884208" w:rsidRPr="00502E93">
          <w:rPr>
            <w:rStyle w:val="Hyperlink"/>
            <w:noProof/>
          </w:rPr>
          <w:t>BOS Grants as % of District Budget 2006-2013, by Poverty Quintile</w:t>
        </w:r>
        <w:r w:rsidR="00884208">
          <w:rPr>
            <w:noProof/>
            <w:webHidden/>
          </w:rPr>
          <w:tab/>
        </w:r>
        <w:r w:rsidR="00884208">
          <w:rPr>
            <w:noProof/>
            <w:webHidden/>
          </w:rPr>
          <w:fldChar w:fldCharType="begin"/>
        </w:r>
        <w:r w:rsidR="00884208">
          <w:rPr>
            <w:noProof/>
            <w:webHidden/>
          </w:rPr>
          <w:instrText xml:space="preserve"> PAGEREF _Toc414281577 \h </w:instrText>
        </w:r>
        <w:r w:rsidR="00884208">
          <w:rPr>
            <w:noProof/>
            <w:webHidden/>
          </w:rPr>
        </w:r>
        <w:r w:rsidR="00884208">
          <w:rPr>
            <w:noProof/>
            <w:webHidden/>
          </w:rPr>
          <w:fldChar w:fldCharType="separate"/>
        </w:r>
        <w:r w:rsidR="00884208">
          <w:rPr>
            <w:noProof/>
            <w:webHidden/>
          </w:rPr>
          <w:t>54</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78" w:history="1">
        <w:r w:rsidR="00884208" w:rsidRPr="00502E93">
          <w:rPr>
            <w:rStyle w:val="Hyperlink"/>
            <w:noProof/>
          </w:rPr>
          <w:t>Figure 46:</w:t>
        </w:r>
        <w:r w:rsidR="00884208">
          <w:rPr>
            <w:rFonts w:asciiTheme="minorHAnsi" w:eastAsiaTheme="minorEastAsia" w:hAnsiTheme="minorHAnsi" w:cstheme="minorBidi"/>
            <w:noProof/>
            <w:lang w:val="en-AU" w:eastAsia="en-AU"/>
          </w:rPr>
          <w:tab/>
        </w:r>
        <w:r w:rsidR="00884208" w:rsidRPr="00502E93">
          <w:rPr>
            <w:rStyle w:val="Hyperlink"/>
            <w:noProof/>
          </w:rPr>
          <w:t>Education and Health – Average shares of district budgets 2007-2013</w:t>
        </w:r>
        <w:r w:rsidR="00884208">
          <w:rPr>
            <w:noProof/>
            <w:webHidden/>
          </w:rPr>
          <w:tab/>
        </w:r>
        <w:r w:rsidR="00884208">
          <w:rPr>
            <w:noProof/>
            <w:webHidden/>
          </w:rPr>
          <w:fldChar w:fldCharType="begin"/>
        </w:r>
        <w:r w:rsidR="00884208">
          <w:rPr>
            <w:noProof/>
            <w:webHidden/>
          </w:rPr>
          <w:instrText xml:space="preserve"> PAGEREF _Toc414281578 \h </w:instrText>
        </w:r>
        <w:r w:rsidR="00884208">
          <w:rPr>
            <w:noProof/>
            <w:webHidden/>
          </w:rPr>
        </w:r>
        <w:r w:rsidR="00884208">
          <w:rPr>
            <w:noProof/>
            <w:webHidden/>
          </w:rPr>
          <w:fldChar w:fldCharType="separate"/>
        </w:r>
        <w:r w:rsidR="00884208">
          <w:rPr>
            <w:noProof/>
            <w:webHidden/>
          </w:rPr>
          <w:t>55</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79" w:history="1">
        <w:r w:rsidR="00884208" w:rsidRPr="00502E93">
          <w:rPr>
            <w:rStyle w:val="Hyperlink"/>
            <w:noProof/>
          </w:rPr>
          <w:t>Figure 47:</w:t>
        </w:r>
        <w:r w:rsidR="00884208">
          <w:rPr>
            <w:rFonts w:asciiTheme="minorHAnsi" w:eastAsiaTheme="minorEastAsia" w:hAnsiTheme="minorHAnsi" w:cstheme="minorBidi"/>
            <w:noProof/>
            <w:lang w:val="en-AU" w:eastAsia="en-AU"/>
          </w:rPr>
          <w:tab/>
        </w:r>
        <w:r w:rsidR="00884208" w:rsidRPr="00502E93">
          <w:rPr>
            <w:rStyle w:val="Hyperlink"/>
            <w:noProof/>
          </w:rPr>
          <w:t>Per Capita Health and Education district expenditure, 2007-2013</w:t>
        </w:r>
        <w:r w:rsidR="00884208">
          <w:rPr>
            <w:noProof/>
            <w:webHidden/>
          </w:rPr>
          <w:tab/>
        </w:r>
        <w:r w:rsidR="00884208">
          <w:rPr>
            <w:noProof/>
            <w:webHidden/>
          </w:rPr>
          <w:fldChar w:fldCharType="begin"/>
        </w:r>
        <w:r w:rsidR="00884208">
          <w:rPr>
            <w:noProof/>
            <w:webHidden/>
          </w:rPr>
          <w:instrText xml:space="preserve"> PAGEREF _Toc414281579 \h </w:instrText>
        </w:r>
        <w:r w:rsidR="00884208">
          <w:rPr>
            <w:noProof/>
            <w:webHidden/>
          </w:rPr>
        </w:r>
        <w:r w:rsidR="00884208">
          <w:rPr>
            <w:noProof/>
            <w:webHidden/>
          </w:rPr>
          <w:fldChar w:fldCharType="separate"/>
        </w:r>
        <w:r w:rsidR="00884208">
          <w:rPr>
            <w:noProof/>
            <w:webHidden/>
          </w:rPr>
          <w:t>56</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80" w:history="1">
        <w:r w:rsidR="00884208" w:rsidRPr="00502E93">
          <w:rPr>
            <w:rStyle w:val="Hyperlink"/>
            <w:noProof/>
          </w:rPr>
          <w:t>Figure 48:</w:t>
        </w:r>
        <w:r w:rsidR="00884208">
          <w:rPr>
            <w:rFonts w:asciiTheme="minorHAnsi" w:eastAsiaTheme="minorEastAsia" w:hAnsiTheme="minorHAnsi" w:cstheme="minorBidi"/>
            <w:noProof/>
            <w:lang w:val="en-AU" w:eastAsia="en-AU"/>
          </w:rPr>
          <w:tab/>
        </w:r>
        <w:r w:rsidR="00884208" w:rsidRPr="00502E93">
          <w:rPr>
            <w:rStyle w:val="Hyperlink"/>
            <w:noProof/>
          </w:rPr>
          <w:t>Health shares in poorest districts with very low education allocations, 2013</w:t>
        </w:r>
        <w:r w:rsidR="00884208">
          <w:rPr>
            <w:noProof/>
            <w:webHidden/>
          </w:rPr>
          <w:tab/>
        </w:r>
        <w:r w:rsidR="00884208">
          <w:rPr>
            <w:noProof/>
            <w:webHidden/>
          </w:rPr>
          <w:fldChar w:fldCharType="begin"/>
        </w:r>
        <w:r w:rsidR="00884208">
          <w:rPr>
            <w:noProof/>
            <w:webHidden/>
          </w:rPr>
          <w:instrText xml:space="preserve"> PAGEREF _Toc414281580 \h </w:instrText>
        </w:r>
        <w:r w:rsidR="00884208">
          <w:rPr>
            <w:noProof/>
            <w:webHidden/>
          </w:rPr>
        </w:r>
        <w:r w:rsidR="00884208">
          <w:rPr>
            <w:noProof/>
            <w:webHidden/>
          </w:rPr>
          <w:fldChar w:fldCharType="separate"/>
        </w:r>
        <w:r w:rsidR="00884208">
          <w:rPr>
            <w:noProof/>
            <w:webHidden/>
          </w:rPr>
          <w:t>56</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81" w:history="1">
        <w:r w:rsidR="00884208" w:rsidRPr="00502E93">
          <w:rPr>
            <w:rStyle w:val="Hyperlink"/>
            <w:noProof/>
          </w:rPr>
          <w:t>Figure 49:</w:t>
        </w:r>
        <w:r w:rsidR="00884208">
          <w:rPr>
            <w:rFonts w:asciiTheme="minorHAnsi" w:eastAsiaTheme="minorEastAsia" w:hAnsiTheme="minorHAnsi" w:cstheme="minorBidi"/>
            <w:noProof/>
            <w:lang w:val="en-AU" w:eastAsia="en-AU"/>
          </w:rPr>
          <w:tab/>
        </w:r>
        <w:r w:rsidR="00884208" w:rsidRPr="00502E93">
          <w:rPr>
            <w:rStyle w:val="Hyperlink"/>
            <w:noProof/>
          </w:rPr>
          <w:t>Health shares in districts with very high education allocations (&gt;50%), 2013</w:t>
        </w:r>
        <w:r w:rsidR="00884208">
          <w:rPr>
            <w:noProof/>
            <w:webHidden/>
          </w:rPr>
          <w:tab/>
        </w:r>
        <w:r w:rsidR="00884208">
          <w:rPr>
            <w:noProof/>
            <w:webHidden/>
          </w:rPr>
          <w:fldChar w:fldCharType="begin"/>
        </w:r>
        <w:r w:rsidR="00884208">
          <w:rPr>
            <w:noProof/>
            <w:webHidden/>
          </w:rPr>
          <w:instrText xml:space="preserve"> PAGEREF _Toc414281581 \h </w:instrText>
        </w:r>
        <w:r w:rsidR="00884208">
          <w:rPr>
            <w:noProof/>
            <w:webHidden/>
          </w:rPr>
        </w:r>
        <w:r w:rsidR="00884208">
          <w:rPr>
            <w:noProof/>
            <w:webHidden/>
          </w:rPr>
          <w:fldChar w:fldCharType="separate"/>
        </w:r>
        <w:r w:rsidR="00884208">
          <w:rPr>
            <w:noProof/>
            <w:webHidden/>
          </w:rPr>
          <w:t>57</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82" w:history="1">
        <w:r w:rsidR="00884208" w:rsidRPr="00502E93">
          <w:rPr>
            <w:rStyle w:val="Hyperlink"/>
            <w:noProof/>
          </w:rPr>
          <w:t>Figure 50:</w:t>
        </w:r>
        <w:r w:rsidR="00884208">
          <w:rPr>
            <w:rFonts w:asciiTheme="minorHAnsi" w:eastAsiaTheme="minorEastAsia" w:hAnsiTheme="minorHAnsi" w:cstheme="minorBidi"/>
            <w:noProof/>
            <w:lang w:val="en-AU" w:eastAsia="en-AU"/>
          </w:rPr>
          <w:tab/>
        </w:r>
        <w:r w:rsidR="00884208" w:rsidRPr="00502E93">
          <w:rPr>
            <w:rStyle w:val="Hyperlink"/>
            <w:noProof/>
          </w:rPr>
          <w:t>Year Districts Created – Average shares of district budgets 2007-2013</w:t>
        </w:r>
        <w:r w:rsidR="00884208">
          <w:rPr>
            <w:noProof/>
            <w:webHidden/>
          </w:rPr>
          <w:tab/>
        </w:r>
        <w:r w:rsidR="00884208">
          <w:rPr>
            <w:noProof/>
            <w:webHidden/>
          </w:rPr>
          <w:fldChar w:fldCharType="begin"/>
        </w:r>
        <w:r w:rsidR="00884208">
          <w:rPr>
            <w:noProof/>
            <w:webHidden/>
          </w:rPr>
          <w:instrText xml:space="preserve"> PAGEREF _Toc414281582 \h </w:instrText>
        </w:r>
        <w:r w:rsidR="00884208">
          <w:rPr>
            <w:noProof/>
            <w:webHidden/>
          </w:rPr>
        </w:r>
        <w:r w:rsidR="00884208">
          <w:rPr>
            <w:noProof/>
            <w:webHidden/>
          </w:rPr>
          <w:fldChar w:fldCharType="separate"/>
        </w:r>
        <w:r w:rsidR="00884208">
          <w:rPr>
            <w:noProof/>
            <w:webHidden/>
          </w:rPr>
          <w:t>57</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83" w:history="1">
        <w:r w:rsidR="00884208" w:rsidRPr="00502E93">
          <w:rPr>
            <w:rStyle w:val="Hyperlink"/>
            <w:noProof/>
          </w:rPr>
          <w:t>Figure 51:</w:t>
        </w:r>
        <w:r w:rsidR="00884208">
          <w:rPr>
            <w:rFonts w:asciiTheme="minorHAnsi" w:eastAsiaTheme="minorEastAsia" w:hAnsiTheme="minorHAnsi" w:cstheme="minorBidi"/>
            <w:noProof/>
            <w:lang w:val="en-AU" w:eastAsia="en-AU"/>
          </w:rPr>
          <w:tab/>
        </w:r>
        <w:r w:rsidR="00884208" w:rsidRPr="00502E93">
          <w:rPr>
            <w:rStyle w:val="Hyperlink"/>
            <w:noProof/>
          </w:rPr>
          <w:t>Average District Allocations for Education, 2013 (Rp. million)</w:t>
        </w:r>
        <w:r w:rsidR="00884208">
          <w:rPr>
            <w:noProof/>
            <w:webHidden/>
          </w:rPr>
          <w:tab/>
        </w:r>
        <w:r w:rsidR="00884208">
          <w:rPr>
            <w:noProof/>
            <w:webHidden/>
          </w:rPr>
          <w:fldChar w:fldCharType="begin"/>
        </w:r>
        <w:r w:rsidR="00884208">
          <w:rPr>
            <w:noProof/>
            <w:webHidden/>
          </w:rPr>
          <w:instrText xml:space="preserve"> PAGEREF _Toc414281583 \h </w:instrText>
        </w:r>
        <w:r w:rsidR="00884208">
          <w:rPr>
            <w:noProof/>
            <w:webHidden/>
          </w:rPr>
        </w:r>
        <w:r w:rsidR="00884208">
          <w:rPr>
            <w:noProof/>
            <w:webHidden/>
          </w:rPr>
          <w:fldChar w:fldCharType="separate"/>
        </w:r>
        <w:r w:rsidR="00884208">
          <w:rPr>
            <w:noProof/>
            <w:webHidden/>
          </w:rPr>
          <w:t>59</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84" w:history="1">
        <w:r w:rsidR="00884208" w:rsidRPr="00502E93">
          <w:rPr>
            <w:rStyle w:val="Hyperlink"/>
            <w:noProof/>
          </w:rPr>
          <w:t>Figure 52:</w:t>
        </w:r>
        <w:r w:rsidR="00884208">
          <w:rPr>
            <w:rFonts w:asciiTheme="minorHAnsi" w:eastAsiaTheme="minorEastAsia" w:hAnsiTheme="minorHAnsi" w:cstheme="minorBidi"/>
            <w:noProof/>
            <w:lang w:val="en-AU" w:eastAsia="en-AU"/>
          </w:rPr>
          <w:tab/>
        </w:r>
        <w:r w:rsidR="00884208" w:rsidRPr="00502E93">
          <w:rPr>
            <w:rStyle w:val="Hyperlink"/>
            <w:noProof/>
          </w:rPr>
          <w:t>Average population size of districts by year created, 2013</w:t>
        </w:r>
        <w:r w:rsidR="00884208">
          <w:rPr>
            <w:noProof/>
            <w:webHidden/>
          </w:rPr>
          <w:tab/>
        </w:r>
        <w:r w:rsidR="00884208">
          <w:rPr>
            <w:noProof/>
            <w:webHidden/>
          </w:rPr>
          <w:fldChar w:fldCharType="begin"/>
        </w:r>
        <w:r w:rsidR="00884208">
          <w:rPr>
            <w:noProof/>
            <w:webHidden/>
          </w:rPr>
          <w:instrText xml:space="preserve"> PAGEREF _Toc414281584 \h </w:instrText>
        </w:r>
        <w:r w:rsidR="00884208">
          <w:rPr>
            <w:noProof/>
            <w:webHidden/>
          </w:rPr>
        </w:r>
        <w:r w:rsidR="00884208">
          <w:rPr>
            <w:noProof/>
            <w:webHidden/>
          </w:rPr>
          <w:fldChar w:fldCharType="separate"/>
        </w:r>
        <w:r w:rsidR="00884208">
          <w:rPr>
            <w:noProof/>
            <w:webHidden/>
          </w:rPr>
          <w:t>59</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85" w:history="1">
        <w:r w:rsidR="00884208" w:rsidRPr="00502E93">
          <w:rPr>
            <w:rStyle w:val="Hyperlink"/>
            <w:noProof/>
          </w:rPr>
          <w:t>Figure 53:</w:t>
        </w:r>
        <w:r w:rsidR="00884208">
          <w:rPr>
            <w:rFonts w:asciiTheme="minorHAnsi" w:eastAsiaTheme="minorEastAsia" w:hAnsiTheme="minorHAnsi" w:cstheme="minorBidi"/>
            <w:noProof/>
            <w:lang w:val="en-AU" w:eastAsia="en-AU"/>
          </w:rPr>
          <w:tab/>
        </w:r>
        <w:r w:rsidR="00884208" w:rsidRPr="00502E93">
          <w:rPr>
            <w:rStyle w:val="Hyperlink"/>
            <w:noProof/>
          </w:rPr>
          <w:t>Average allocations per student, by year district created</w:t>
        </w:r>
        <w:r w:rsidR="00884208">
          <w:rPr>
            <w:noProof/>
            <w:webHidden/>
          </w:rPr>
          <w:tab/>
        </w:r>
        <w:r w:rsidR="00884208">
          <w:rPr>
            <w:noProof/>
            <w:webHidden/>
          </w:rPr>
          <w:fldChar w:fldCharType="begin"/>
        </w:r>
        <w:r w:rsidR="00884208">
          <w:rPr>
            <w:noProof/>
            <w:webHidden/>
          </w:rPr>
          <w:instrText xml:space="preserve"> PAGEREF _Toc414281585 \h </w:instrText>
        </w:r>
        <w:r w:rsidR="00884208">
          <w:rPr>
            <w:noProof/>
            <w:webHidden/>
          </w:rPr>
        </w:r>
        <w:r w:rsidR="00884208">
          <w:rPr>
            <w:noProof/>
            <w:webHidden/>
          </w:rPr>
          <w:fldChar w:fldCharType="separate"/>
        </w:r>
        <w:r w:rsidR="00884208">
          <w:rPr>
            <w:noProof/>
            <w:webHidden/>
          </w:rPr>
          <w:t>60</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86" w:history="1">
        <w:r w:rsidR="00884208" w:rsidRPr="00502E93">
          <w:rPr>
            <w:rStyle w:val="Hyperlink"/>
            <w:noProof/>
          </w:rPr>
          <w:t>Figure 54:</w:t>
        </w:r>
        <w:r w:rsidR="00884208">
          <w:rPr>
            <w:rFonts w:asciiTheme="minorHAnsi" w:eastAsiaTheme="minorEastAsia" w:hAnsiTheme="minorHAnsi" w:cstheme="minorBidi"/>
            <w:noProof/>
            <w:lang w:val="en-AU" w:eastAsia="en-AU"/>
          </w:rPr>
          <w:tab/>
        </w:r>
        <w:r w:rsidR="00884208" w:rsidRPr="00502E93">
          <w:rPr>
            <w:rStyle w:val="Hyperlink"/>
            <w:noProof/>
          </w:rPr>
          <w:t>Growth rates in total and education sector district budgets, 2010-2013</w:t>
        </w:r>
        <w:r w:rsidR="00884208">
          <w:rPr>
            <w:noProof/>
            <w:webHidden/>
          </w:rPr>
          <w:tab/>
        </w:r>
        <w:r w:rsidR="00884208">
          <w:rPr>
            <w:noProof/>
            <w:webHidden/>
          </w:rPr>
          <w:fldChar w:fldCharType="begin"/>
        </w:r>
        <w:r w:rsidR="00884208">
          <w:rPr>
            <w:noProof/>
            <w:webHidden/>
          </w:rPr>
          <w:instrText xml:space="preserve"> PAGEREF _Toc414281586 \h </w:instrText>
        </w:r>
        <w:r w:rsidR="00884208">
          <w:rPr>
            <w:noProof/>
            <w:webHidden/>
          </w:rPr>
        </w:r>
        <w:r w:rsidR="00884208">
          <w:rPr>
            <w:noProof/>
            <w:webHidden/>
          </w:rPr>
          <w:fldChar w:fldCharType="separate"/>
        </w:r>
        <w:r w:rsidR="00884208">
          <w:rPr>
            <w:noProof/>
            <w:webHidden/>
          </w:rPr>
          <w:t>60</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87" w:history="1">
        <w:r w:rsidR="00884208" w:rsidRPr="00502E93">
          <w:rPr>
            <w:rStyle w:val="Hyperlink"/>
            <w:noProof/>
          </w:rPr>
          <w:t>Figure 55:</w:t>
        </w:r>
        <w:r w:rsidR="00884208">
          <w:rPr>
            <w:rFonts w:asciiTheme="minorHAnsi" w:eastAsiaTheme="minorEastAsia" w:hAnsiTheme="minorHAnsi" w:cstheme="minorBidi"/>
            <w:noProof/>
            <w:lang w:val="en-AU" w:eastAsia="en-AU"/>
          </w:rPr>
          <w:tab/>
        </w:r>
        <w:r w:rsidR="00884208" w:rsidRPr="00502E93">
          <w:rPr>
            <w:rStyle w:val="Hyperlink"/>
            <w:noProof/>
          </w:rPr>
          <w:t>All districts, education share of district budget</w:t>
        </w:r>
        <w:r w:rsidR="00884208">
          <w:rPr>
            <w:noProof/>
            <w:webHidden/>
          </w:rPr>
          <w:tab/>
        </w:r>
        <w:r w:rsidR="00884208">
          <w:rPr>
            <w:noProof/>
            <w:webHidden/>
          </w:rPr>
          <w:fldChar w:fldCharType="begin"/>
        </w:r>
        <w:r w:rsidR="00884208">
          <w:rPr>
            <w:noProof/>
            <w:webHidden/>
          </w:rPr>
          <w:instrText xml:space="preserve"> PAGEREF _Toc414281587 \h </w:instrText>
        </w:r>
        <w:r w:rsidR="00884208">
          <w:rPr>
            <w:noProof/>
            <w:webHidden/>
          </w:rPr>
        </w:r>
        <w:r w:rsidR="00884208">
          <w:rPr>
            <w:noProof/>
            <w:webHidden/>
          </w:rPr>
          <w:fldChar w:fldCharType="separate"/>
        </w:r>
        <w:r w:rsidR="00884208">
          <w:rPr>
            <w:noProof/>
            <w:webHidden/>
          </w:rPr>
          <w:t>61</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88" w:history="1">
        <w:r w:rsidR="00884208" w:rsidRPr="00502E93">
          <w:rPr>
            <w:rStyle w:val="Hyperlink"/>
            <w:noProof/>
          </w:rPr>
          <w:t>Figure 56:</w:t>
        </w:r>
        <w:r w:rsidR="00884208">
          <w:rPr>
            <w:rFonts w:asciiTheme="minorHAnsi" w:eastAsiaTheme="minorEastAsia" w:hAnsiTheme="minorHAnsi" w:cstheme="minorBidi"/>
            <w:noProof/>
            <w:lang w:val="en-AU" w:eastAsia="en-AU"/>
          </w:rPr>
          <w:tab/>
        </w:r>
        <w:r w:rsidR="00884208" w:rsidRPr="00502E93">
          <w:rPr>
            <w:rStyle w:val="Hyperlink"/>
            <w:noProof/>
          </w:rPr>
          <w:t>Excluding newest districts, education share of district budget</w:t>
        </w:r>
        <w:r w:rsidR="00884208">
          <w:rPr>
            <w:noProof/>
            <w:webHidden/>
          </w:rPr>
          <w:tab/>
        </w:r>
        <w:r w:rsidR="00884208">
          <w:rPr>
            <w:noProof/>
            <w:webHidden/>
          </w:rPr>
          <w:fldChar w:fldCharType="begin"/>
        </w:r>
        <w:r w:rsidR="00884208">
          <w:rPr>
            <w:noProof/>
            <w:webHidden/>
          </w:rPr>
          <w:instrText xml:space="preserve"> PAGEREF _Toc414281588 \h </w:instrText>
        </w:r>
        <w:r w:rsidR="00884208">
          <w:rPr>
            <w:noProof/>
            <w:webHidden/>
          </w:rPr>
        </w:r>
        <w:r w:rsidR="00884208">
          <w:rPr>
            <w:noProof/>
            <w:webHidden/>
          </w:rPr>
          <w:fldChar w:fldCharType="separate"/>
        </w:r>
        <w:r w:rsidR="00884208">
          <w:rPr>
            <w:noProof/>
            <w:webHidden/>
          </w:rPr>
          <w:t>61</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89" w:history="1">
        <w:r w:rsidR="00884208" w:rsidRPr="00502E93">
          <w:rPr>
            <w:rStyle w:val="Hyperlink"/>
            <w:noProof/>
          </w:rPr>
          <w:t>Figure 57:</w:t>
        </w:r>
        <w:r w:rsidR="00884208">
          <w:rPr>
            <w:rFonts w:asciiTheme="minorHAnsi" w:eastAsiaTheme="minorEastAsia" w:hAnsiTheme="minorHAnsi" w:cstheme="minorBidi"/>
            <w:noProof/>
            <w:lang w:val="en-AU" w:eastAsia="en-AU"/>
          </w:rPr>
          <w:tab/>
        </w:r>
        <w:r w:rsidR="00884208" w:rsidRPr="00502E93">
          <w:rPr>
            <w:rStyle w:val="Hyperlink"/>
            <w:noProof/>
          </w:rPr>
          <w:t>Excluding Papua, education share of district budget</w:t>
        </w:r>
        <w:r w:rsidR="00884208">
          <w:rPr>
            <w:noProof/>
            <w:webHidden/>
          </w:rPr>
          <w:tab/>
        </w:r>
        <w:r w:rsidR="00884208">
          <w:rPr>
            <w:noProof/>
            <w:webHidden/>
          </w:rPr>
          <w:fldChar w:fldCharType="begin"/>
        </w:r>
        <w:r w:rsidR="00884208">
          <w:rPr>
            <w:noProof/>
            <w:webHidden/>
          </w:rPr>
          <w:instrText xml:space="preserve"> PAGEREF _Toc414281589 \h </w:instrText>
        </w:r>
        <w:r w:rsidR="00884208">
          <w:rPr>
            <w:noProof/>
            <w:webHidden/>
          </w:rPr>
        </w:r>
        <w:r w:rsidR="00884208">
          <w:rPr>
            <w:noProof/>
            <w:webHidden/>
          </w:rPr>
          <w:fldChar w:fldCharType="separate"/>
        </w:r>
        <w:r w:rsidR="00884208">
          <w:rPr>
            <w:noProof/>
            <w:webHidden/>
          </w:rPr>
          <w:t>62</w:t>
        </w:r>
        <w:r w:rsidR="00884208">
          <w:rPr>
            <w:noProof/>
            <w:webHidden/>
          </w:rPr>
          <w:fldChar w:fldCharType="end"/>
        </w:r>
      </w:hyperlink>
    </w:p>
    <w:p w:rsidR="00884208" w:rsidRDefault="004C599E">
      <w:pPr>
        <w:pStyle w:val="TableofFigures"/>
        <w:tabs>
          <w:tab w:val="left" w:pos="1320"/>
          <w:tab w:val="right" w:leader="dot" w:pos="9019"/>
        </w:tabs>
        <w:rPr>
          <w:rFonts w:asciiTheme="minorHAnsi" w:eastAsiaTheme="minorEastAsia" w:hAnsiTheme="minorHAnsi" w:cstheme="minorBidi"/>
          <w:noProof/>
          <w:lang w:val="en-AU" w:eastAsia="en-AU"/>
        </w:rPr>
      </w:pPr>
      <w:hyperlink w:anchor="_Toc414281590" w:history="1">
        <w:r w:rsidR="00884208" w:rsidRPr="00502E93">
          <w:rPr>
            <w:rStyle w:val="Hyperlink"/>
            <w:noProof/>
          </w:rPr>
          <w:t>Figure 58:</w:t>
        </w:r>
        <w:r w:rsidR="00884208">
          <w:rPr>
            <w:rFonts w:asciiTheme="minorHAnsi" w:eastAsiaTheme="minorEastAsia" w:hAnsiTheme="minorHAnsi" w:cstheme="minorBidi"/>
            <w:noProof/>
            <w:lang w:val="en-AU" w:eastAsia="en-AU"/>
          </w:rPr>
          <w:tab/>
        </w:r>
        <w:r w:rsidR="00884208" w:rsidRPr="00502E93">
          <w:rPr>
            <w:rStyle w:val="Hyperlink"/>
            <w:noProof/>
          </w:rPr>
          <w:t>Table 2: Progress against Key Indicators</w:t>
        </w:r>
        <w:r w:rsidR="00884208">
          <w:rPr>
            <w:noProof/>
            <w:webHidden/>
          </w:rPr>
          <w:tab/>
        </w:r>
        <w:r w:rsidR="00884208">
          <w:rPr>
            <w:noProof/>
            <w:webHidden/>
          </w:rPr>
          <w:fldChar w:fldCharType="begin"/>
        </w:r>
        <w:r w:rsidR="00884208">
          <w:rPr>
            <w:noProof/>
            <w:webHidden/>
          </w:rPr>
          <w:instrText xml:space="preserve"> PAGEREF _Toc414281590 \h </w:instrText>
        </w:r>
        <w:r w:rsidR="00884208">
          <w:rPr>
            <w:noProof/>
            <w:webHidden/>
          </w:rPr>
        </w:r>
        <w:r w:rsidR="00884208">
          <w:rPr>
            <w:noProof/>
            <w:webHidden/>
          </w:rPr>
          <w:fldChar w:fldCharType="separate"/>
        </w:r>
        <w:r w:rsidR="00884208">
          <w:rPr>
            <w:noProof/>
            <w:webHidden/>
          </w:rPr>
          <w:t>66</w:t>
        </w:r>
        <w:r w:rsidR="00884208">
          <w:rPr>
            <w:noProof/>
            <w:webHidden/>
          </w:rPr>
          <w:fldChar w:fldCharType="end"/>
        </w:r>
      </w:hyperlink>
    </w:p>
    <w:p w:rsidR="0032365A" w:rsidRDefault="000B523C" w:rsidP="003F5678">
      <w:pPr>
        <w:tabs>
          <w:tab w:val="left" w:pos="993"/>
        </w:tabs>
        <w:ind w:left="993" w:right="425" w:hanging="993"/>
      </w:pPr>
      <w:r w:rsidRPr="003F5678">
        <w:rPr>
          <w:rFonts w:asciiTheme="minorHAnsi" w:hAnsiTheme="minorHAnsi"/>
        </w:rPr>
        <w:fldChar w:fldCharType="end"/>
      </w:r>
    </w:p>
    <w:p w:rsidR="0032365A" w:rsidRDefault="0032365A" w:rsidP="0032365A"/>
    <w:p w:rsidR="0032365A" w:rsidRDefault="0032365A" w:rsidP="0032365A">
      <w:pPr>
        <w:sectPr w:rsidR="0032365A" w:rsidSect="0038463D">
          <w:footnotePr>
            <w:numRestart w:val="eachSect"/>
          </w:footnotePr>
          <w:endnotePr>
            <w:numRestart w:val="eachSect"/>
          </w:endnotePr>
          <w:pgSz w:w="11909" w:h="16834" w:code="9"/>
          <w:pgMar w:top="357" w:right="1440" w:bottom="1304" w:left="1440" w:header="431" w:footer="425" w:gutter="0"/>
          <w:pgNumType w:fmt="lowerRoman"/>
          <w:cols w:space="720"/>
          <w:titlePg/>
          <w:docGrid w:linePitch="360"/>
        </w:sectPr>
      </w:pPr>
    </w:p>
    <w:p w:rsidR="00645CC8" w:rsidRPr="0032365A" w:rsidRDefault="00045CAA" w:rsidP="0032365A">
      <w:pPr>
        <w:pStyle w:val="Heading1"/>
        <w:numPr>
          <w:ilvl w:val="0"/>
          <w:numId w:val="0"/>
        </w:numPr>
        <w:spacing w:after="1320"/>
        <w:rPr>
          <w:color w:val="68BAD6"/>
        </w:rPr>
      </w:pPr>
      <w:bookmarkStart w:id="7" w:name="_Toc380740266"/>
      <w:r w:rsidRPr="0032365A">
        <w:rPr>
          <w:color w:val="68BAD6"/>
        </w:rPr>
        <w:lastRenderedPageBreak/>
        <w:t>ABBREVIATIONS AND ACRONYMS</w:t>
      </w:r>
      <w:bookmarkEnd w:id="7"/>
    </w:p>
    <w:tbl>
      <w:tblPr>
        <w:tblStyle w:val="LightList-Accent11"/>
        <w:tblW w:w="5000" w:type="pct"/>
        <w:jc w:val="center"/>
        <w:tblBorders>
          <w:top w:val="none" w:sz="0" w:space="0" w:color="auto"/>
          <w:left w:val="none" w:sz="0" w:space="0" w:color="auto"/>
          <w:bottom w:val="none" w:sz="0" w:space="0" w:color="auto"/>
          <w:right w:val="none" w:sz="0" w:space="0" w:color="auto"/>
        </w:tblBorders>
        <w:shd w:val="clear" w:color="auto" w:fill="FFFFFF" w:themeFill="background1"/>
        <w:tblLook w:val="00A0" w:firstRow="1" w:lastRow="0" w:firstColumn="1" w:lastColumn="0" w:noHBand="0" w:noVBand="0"/>
      </w:tblPr>
      <w:tblGrid>
        <w:gridCol w:w="1147"/>
        <w:gridCol w:w="4049"/>
        <w:gridCol w:w="4049"/>
      </w:tblGrid>
      <w:tr w:rsidR="00B31112" w:rsidRPr="00B90799" w:rsidTr="003236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color w:val="auto"/>
              </w:rPr>
            </w:pP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color w:val="auto"/>
              </w:rPr>
            </w:pPr>
            <w:r w:rsidRPr="00B90799">
              <w:rPr>
                <w:rFonts w:asciiTheme="minorHAnsi" w:hAnsiTheme="minorHAnsi"/>
                <w:color w:val="auto"/>
              </w:rPr>
              <w:t>Bahasa Indonesia</w:t>
            </w:r>
          </w:p>
        </w:tc>
        <w:tc>
          <w:tcPr>
            <w:tcW w:w="2250" w:type="pct"/>
            <w:shd w:val="clear" w:color="auto" w:fill="FFFFFF" w:themeFill="background1"/>
          </w:tcPr>
          <w:p w:rsidR="00B31112" w:rsidRPr="00B90799" w:rsidRDefault="00B31112" w:rsidP="0038463D">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B90799">
              <w:rPr>
                <w:rFonts w:asciiTheme="minorHAnsi" w:hAnsiTheme="minorHAnsi"/>
                <w:color w:val="auto"/>
              </w:rPr>
              <w:t>English</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ACER</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950B1B" w:rsidP="009B6D6D">
            <w:pPr>
              <w:rPr>
                <w:rFonts w:asciiTheme="minorHAnsi" w:hAnsiTheme="minorHAnsi"/>
                <w:lang w:val="en-US" w:eastAsia="en-US"/>
              </w:rPr>
            </w:pPr>
            <w:r w:rsidRPr="00B90799">
              <w:rPr>
                <w:rFonts w:asciiTheme="minorHAnsi" w:hAnsiTheme="minorHAnsi" w:cs="Calibri"/>
              </w:rPr>
              <w:t>Dewan Penelitian Pendidikan Australia</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 xml:space="preserve">Australian Council for Educational Research </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ADB</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Bank Pembangunan Asia</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Asian Development Bank</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APK</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Angka Partisipasi Kasar</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Gross Enrolment Rate</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APM</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Angka Partisipasi Murni</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Net Enrolment Rate</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AusAID</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Badan Australia untuk Pembangunan Internasional</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Australian Agency for International Development</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AWP</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Rencana Kerja Tahunan</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Annual Work Plan</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Balitbang</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Badan Penelitian dan Pengembangan</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Centre for Research and Development</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Bappenas</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Badan Perencanaan Pembangunan Nasional</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National Development Planning Agency</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BEP</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Program Pendidikan Dasar Australia-Indonesia</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Australia-Indonesia Basic Education Program</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BOS</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Biaya Operasional Sekolah</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School Operational Fund</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BOS Buku</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Biaya Operasional Sekolah Buku</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School Operation Funds for Textbooks</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BSNP</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Badan Standar Nasional Pendidikan</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National Education Standards Board</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CCR</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Rasio Kelas-Ruang Kelas</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Class-Classroom Ratio</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CSAS</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 xml:space="preserve">Kontraktor untuk Layanan Kepenasehatan Strategis </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Contractor for Strategic Advisory Services</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DFAT</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950B1B" w:rsidP="0038463D">
            <w:pPr>
              <w:rPr>
                <w:rFonts w:asciiTheme="minorHAnsi" w:hAnsiTheme="minorHAnsi"/>
              </w:rPr>
            </w:pPr>
            <w:r w:rsidRPr="00B90799">
              <w:rPr>
                <w:rFonts w:asciiTheme="minorHAnsi" w:hAnsiTheme="minorHAnsi"/>
              </w:rPr>
              <w:t>Departemen Luar Negeri dan Perdagangan</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Department of Foreign Affairs and Trade (Australian)</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DG</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Direktorat Jendral</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Directorate General</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EC</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Komisi Eropa</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 xml:space="preserve">European Commission </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 xml:space="preserve">EFA </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Pendidikan untuk Semua</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Education for All</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ESP</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Rencana Strategis Pendidikan</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Education Strategic Plan</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ESSP</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Education Sector Support Program</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Education Sector Support Program</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ESWG</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Kelompok Kerja Sektor Pendidikan</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Education Sector Working Group</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GDP</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Pendapatan Domestik Bruto</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Gross Domestic Product</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GER</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Angka Pendaftaran Kasar</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Gross Enrolment Rate</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GoA</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Pemerintah Australia</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Government of Australia</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GOI</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Pemerintah Indonesia</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Government of Indonesia</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 xml:space="preserve">JSS </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Sekolah Menengah Pertama</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Junior Secondary School</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KPI</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Indikator Kunci dari Kunci</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Key Performance Indicator</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LAKIP</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Laporan Akuntabilitas Kinerja Publik</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 xml:space="preserve">Public Performance Accountability Report </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MCPM</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Kontraktor Pelaksana untuk Pengelolaan Program</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Managing Contractor Program Management</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MDA</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Kajian Tengah Dekade</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Mid-Decade Assessment</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MoF</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Departemen Keuangan</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Ministry of Finance</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MoEC</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Departemen Pendidikan Nasional</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Ministry of Education and Culture</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lastRenderedPageBreak/>
              <w:t>MoRA</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Departemen Agama</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Ministry of Religious Affairs</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NER</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Angka Pendaftaran Murni</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Net Enrolment Rate</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NFE</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Pendidikan Non-formal</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Non-Formal Education</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PAM</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Matriks Aksi Kebijakan</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Policy Action Matrix</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PCMU</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Unit Pengelola dan Koordinasi Program</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Program Coordination and Management Unit</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cs="Calibri"/>
                <w:b w:val="0"/>
              </w:rPr>
            </w:pPr>
            <w:r w:rsidRPr="00B90799">
              <w:rPr>
                <w:rFonts w:asciiTheme="minorHAnsi" w:hAnsiTheme="minorHAnsi" w:cs="Calibri"/>
                <w:b w:val="0"/>
              </w:rPr>
              <w:t>PMPTK</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Peningkatan Mutu Pendidik dan Tenaga Kependidikan</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B90799">
              <w:rPr>
                <w:rFonts w:asciiTheme="minorHAnsi" w:hAnsiTheme="minorHAnsi" w:cs="Calibri"/>
              </w:rPr>
              <w:t>Quality Improvement of Teachers and Education Personnel</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POM</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950B1B" w:rsidP="0038463D">
            <w:pPr>
              <w:rPr>
                <w:rFonts w:asciiTheme="minorHAnsi" w:hAnsiTheme="minorHAnsi"/>
              </w:rPr>
            </w:pPr>
            <w:r w:rsidRPr="00B90799">
              <w:rPr>
                <w:rFonts w:asciiTheme="minorHAnsi" w:hAnsiTheme="minorHAnsi"/>
              </w:rPr>
              <w:t>Monitoring dan Pengawasan Kinerja</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Performance Oversight and Monitoring</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PSC</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Komite Pengarah Program</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Program Steering Committee</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PTP Matrix</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Matriks Sasaran dan Kinerja Program</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Program Targets and Performance Matrix</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PUSLIT</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Pusat Penelitian</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Center for Research</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PUSPENDIK</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Pusat Statistik Pendidikan</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Center for Education Statistics</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Renstra</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 xml:space="preserve">Rencana Strategis </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Strategic Plan</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Rp.</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Rupiah</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Rupiah</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SCR</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Rasio Siswa Ruang Kelas</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Student Classroom Ratio</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SD</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Sekolah Dasar</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Primary School</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SIKD</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Sistem Informasi Keuangan Daerah</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 xml:space="preserve">Regional Finance Information system </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SMA</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Sekolah Menengah Atas</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Senior Secondary School</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 xml:space="preserve">SMP </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Sekolah Menengah Pertama</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Junior Secondary School</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SWAP</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 xml:space="preserve">Pendekatan Sektor secara Luas </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Sector Wide Approach</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SPI</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Indikator Kinerja Tambahan</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Supplementary Performance Indicator</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 xml:space="preserve">STR </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Rasio Siswa Guru</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Student Teacher Ratio</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SUSENAS</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Survei Sosial Ekonomi Nasional</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National Socio-Economic Survey</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TA</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Bantuan Teknis</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Technical Assistance</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ToR</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Kerangka Acuan Kerja</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Term of Reference</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UN</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Perserikatan Bangsa-Bangsa</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United Nations</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USAID</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Badan Amerika Serikat untuk Pembangunan Internasional</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United States Agency for International Development</w:t>
            </w:r>
          </w:p>
        </w:tc>
      </w:tr>
    </w:tbl>
    <w:p w:rsidR="0032365A" w:rsidRDefault="0032365A" w:rsidP="00045CAA">
      <w:pPr>
        <w:sectPr w:rsidR="0032365A" w:rsidSect="0038463D">
          <w:footnotePr>
            <w:numRestart w:val="eachSect"/>
          </w:footnotePr>
          <w:endnotePr>
            <w:numRestart w:val="eachSect"/>
          </w:endnotePr>
          <w:pgSz w:w="11909" w:h="16834" w:code="9"/>
          <w:pgMar w:top="357" w:right="1440" w:bottom="1304" w:left="1440" w:header="431" w:footer="425" w:gutter="0"/>
          <w:pgNumType w:fmt="lowerRoman"/>
          <w:cols w:space="720"/>
          <w:titlePg/>
          <w:docGrid w:linePitch="360"/>
        </w:sectPr>
      </w:pPr>
    </w:p>
    <w:p w:rsidR="00045CAA" w:rsidRPr="0032365A" w:rsidRDefault="0032365A" w:rsidP="0032365A">
      <w:pPr>
        <w:pStyle w:val="Heading1"/>
        <w:numPr>
          <w:ilvl w:val="0"/>
          <w:numId w:val="0"/>
        </w:numPr>
        <w:spacing w:after="1320"/>
        <w:ind w:left="720" w:hanging="720"/>
        <w:rPr>
          <w:color w:val="68BAD6"/>
        </w:rPr>
      </w:pPr>
      <w:bookmarkStart w:id="8" w:name="_Toc380740267"/>
      <w:r w:rsidRPr="0032365A">
        <w:rPr>
          <w:color w:val="68BAD6"/>
        </w:rPr>
        <w:lastRenderedPageBreak/>
        <w:t>PREFACE</w:t>
      </w:r>
      <w:bookmarkEnd w:id="8"/>
    </w:p>
    <w:p w:rsidR="00B31112" w:rsidRPr="00045A87" w:rsidRDefault="00B31112" w:rsidP="0032365A">
      <w:pPr>
        <w:spacing w:line="276" w:lineRule="auto"/>
        <w:jc w:val="both"/>
      </w:pPr>
      <w:r w:rsidRPr="00045A87">
        <w:t xml:space="preserve">This report is intended to provide high level monitoring of national and district trends in education financing. The purpose of the monitoring is to inform </w:t>
      </w:r>
      <w:r>
        <w:t>the Governments of Indonesia and Australia</w:t>
      </w:r>
      <w:r w:rsidRPr="00045A87">
        <w:t xml:space="preserve"> as they implement the </w:t>
      </w:r>
      <w:r>
        <w:t>Education Partnership</w:t>
      </w:r>
      <w:r w:rsidRPr="00045A87">
        <w:t xml:space="preserve"> </w:t>
      </w:r>
      <w:r w:rsidR="00A477E2">
        <w:t>(</w:t>
      </w:r>
      <w:r w:rsidRPr="00045A87">
        <w:t>2011</w:t>
      </w:r>
      <w:r w:rsidR="00A477E2">
        <w:t>-2016)</w:t>
      </w:r>
      <w:r w:rsidRPr="00045A87">
        <w:t xml:space="preserve">. </w:t>
      </w:r>
    </w:p>
    <w:p w:rsidR="00B31112" w:rsidRPr="00045A87" w:rsidRDefault="00B31112" w:rsidP="0032365A">
      <w:pPr>
        <w:spacing w:line="276" w:lineRule="auto"/>
        <w:jc w:val="both"/>
      </w:pPr>
      <w:r>
        <w:t>This is the s</w:t>
      </w:r>
      <w:r w:rsidRPr="00045A87">
        <w:t>i</w:t>
      </w:r>
      <w:r>
        <w:t>x</w:t>
      </w:r>
      <w:r w:rsidRPr="00045A87">
        <w:t xml:space="preserve">th </w:t>
      </w:r>
      <w:r w:rsidR="001A0D64">
        <w:t>Annual Sector Financi</w:t>
      </w:r>
      <w:r w:rsidR="00827B97">
        <w:t>al</w:t>
      </w:r>
      <w:r w:rsidR="001A0D64">
        <w:t xml:space="preserve"> Report (previously known as the </w:t>
      </w:r>
      <w:r w:rsidRPr="00045A87">
        <w:t>Annual Financial Performance Report</w:t>
      </w:r>
      <w:r w:rsidR="001A0D64">
        <w:t>)</w:t>
      </w:r>
      <w:r>
        <w:t xml:space="preserve">. It </w:t>
      </w:r>
      <w:r w:rsidRPr="00045A87">
        <w:t xml:space="preserve">is a continuation of </w:t>
      </w:r>
      <w:r>
        <w:t xml:space="preserve">last year’s report published by the Performance Oversight and Monitoring team of the Education Partnership, and </w:t>
      </w:r>
      <w:r w:rsidRPr="00045A87">
        <w:t xml:space="preserve">a series of three annual reports that were prepared by the same author for the Basic Education Program and delivered through the Contractor for Strategic Advisory Services. Copies of these reports are held by the </w:t>
      </w:r>
      <w:r>
        <w:t>Australian Embassy and the Indonesian Ministry of Education and Culture</w:t>
      </w:r>
      <w:r w:rsidRPr="00045A87">
        <w:t>.</w:t>
      </w:r>
    </w:p>
    <w:p w:rsidR="00B31112" w:rsidRPr="00045A87" w:rsidRDefault="00B31112" w:rsidP="0032365A">
      <w:pPr>
        <w:spacing w:line="276" w:lineRule="auto"/>
        <w:jc w:val="both"/>
      </w:pPr>
      <w:r w:rsidRPr="00045A87">
        <w:t>The author is Education Economist Mr. Adam Rorris</w:t>
      </w:r>
      <w:r w:rsidR="00A477E2">
        <w:t>. He</w:t>
      </w:r>
      <w:r w:rsidRPr="00045A87">
        <w:t xml:space="preserve"> has worked </w:t>
      </w:r>
      <w:r w:rsidR="001A0D64">
        <w:t xml:space="preserve">in </w:t>
      </w:r>
      <w:r w:rsidRPr="00045A87">
        <w:t xml:space="preserve">close collaboration </w:t>
      </w:r>
      <w:r w:rsidR="001A0D64">
        <w:t xml:space="preserve">with, </w:t>
      </w:r>
      <w:r w:rsidRPr="00045A87">
        <w:t xml:space="preserve">and </w:t>
      </w:r>
      <w:r w:rsidR="001A0D64">
        <w:t xml:space="preserve">has benefitted from the </w:t>
      </w:r>
      <w:r w:rsidRPr="00045A87">
        <w:t>support</w:t>
      </w:r>
      <w:r w:rsidR="001A0D64">
        <w:t xml:space="preserve"> of, </w:t>
      </w:r>
      <w:r w:rsidR="0032365A">
        <w:t xml:space="preserve">the </w:t>
      </w:r>
      <w:r w:rsidR="0032365A" w:rsidRPr="00045A87">
        <w:t>Ministry</w:t>
      </w:r>
      <w:r w:rsidRPr="00045A87">
        <w:t xml:space="preserve"> of Finance</w:t>
      </w:r>
      <w:r w:rsidR="00827B97">
        <w:t xml:space="preserve"> and the Ministry of Education and Culture (M</w:t>
      </w:r>
      <w:r w:rsidR="009018EE">
        <w:t>o</w:t>
      </w:r>
      <w:r w:rsidR="00827B97">
        <w:t>EC)</w:t>
      </w:r>
      <w:r w:rsidRPr="00045A87">
        <w:t xml:space="preserve">. The consultant acknowledges the support and advice of the many people that contributed to the study. Data analysis support was provided by Mr. Ahmad Evandri. The views and opinions expressed in this report are those of the author and do not necessarily reflect those of </w:t>
      </w:r>
      <w:r>
        <w:t>the Governments of Indonesia or Australia</w:t>
      </w:r>
      <w:r w:rsidRPr="00045A87">
        <w:t>.</w:t>
      </w:r>
    </w:p>
    <w:p w:rsidR="00045CAA" w:rsidRDefault="00045CAA" w:rsidP="00B31112">
      <w:pPr>
        <w:spacing w:before="120"/>
      </w:pPr>
    </w:p>
    <w:p w:rsidR="0032365A" w:rsidRDefault="0032365A" w:rsidP="00B31112">
      <w:pPr>
        <w:spacing w:before="120"/>
      </w:pPr>
    </w:p>
    <w:p w:rsidR="0032365A" w:rsidRDefault="0032365A" w:rsidP="00B31112">
      <w:pPr>
        <w:spacing w:before="120"/>
      </w:pPr>
    </w:p>
    <w:p w:rsidR="0032365A" w:rsidRDefault="0032365A" w:rsidP="00B31112">
      <w:pPr>
        <w:spacing w:before="120"/>
      </w:pPr>
    </w:p>
    <w:p w:rsidR="0032365A" w:rsidRDefault="0032365A" w:rsidP="00B31112">
      <w:pPr>
        <w:spacing w:before="120"/>
      </w:pPr>
    </w:p>
    <w:p w:rsidR="0032365A" w:rsidRDefault="0032365A" w:rsidP="00B31112">
      <w:pPr>
        <w:spacing w:before="120"/>
      </w:pPr>
    </w:p>
    <w:p w:rsidR="0032365A" w:rsidRDefault="0032365A" w:rsidP="00B31112">
      <w:pPr>
        <w:spacing w:before="120"/>
      </w:pPr>
    </w:p>
    <w:p w:rsidR="0032365A" w:rsidRDefault="0032365A" w:rsidP="00B31112">
      <w:pPr>
        <w:spacing w:before="120"/>
      </w:pPr>
    </w:p>
    <w:p w:rsidR="0032365A" w:rsidRDefault="0032365A" w:rsidP="00B31112">
      <w:pPr>
        <w:spacing w:before="120"/>
      </w:pPr>
    </w:p>
    <w:p w:rsidR="0032365A" w:rsidRDefault="0032365A" w:rsidP="00B31112">
      <w:pPr>
        <w:spacing w:before="120"/>
      </w:pPr>
    </w:p>
    <w:p w:rsidR="0032365A" w:rsidRDefault="0032365A" w:rsidP="00B31112">
      <w:pPr>
        <w:spacing w:before="120"/>
      </w:pPr>
    </w:p>
    <w:p w:rsidR="0032365A" w:rsidRDefault="0032365A" w:rsidP="00B31112">
      <w:pPr>
        <w:spacing w:before="120"/>
      </w:pPr>
    </w:p>
    <w:p w:rsidR="0032365A" w:rsidRDefault="0032365A" w:rsidP="00B31112">
      <w:pPr>
        <w:spacing w:before="120"/>
      </w:pPr>
    </w:p>
    <w:p w:rsidR="0032365A" w:rsidRDefault="0032365A" w:rsidP="00B31112">
      <w:pPr>
        <w:spacing w:before="120"/>
      </w:pPr>
    </w:p>
    <w:p w:rsidR="0032365A" w:rsidRDefault="0032365A" w:rsidP="00B31112">
      <w:pPr>
        <w:spacing w:before="120"/>
      </w:pPr>
    </w:p>
    <w:p w:rsidR="00045CAA" w:rsidRPr="00DD0D4F" w:rsidRDefault="00045CAA" w:rsidP="00045CAA">
      <w:pPr>
        <w:rPr>
          <w:rStyle w:val="IntenseEmphasis"/>
        </w:rPr>
      </w:pPr>
      <w:r>
        <w:rPr>
          <w:rStyle w:val="IntenseEmphasis"/>
        </w:rPr>
        <w:t>Amendment history</w:t>
      </w:r>
    </w:p>
    <w:tbl>
      <w:tblPr>
        <w:tblStyle w:val="TableGrid"/>
        <w:tblW w:w="5000" w:type="pct"/>
        <w:jc w:val="center"/>
        <w:tblCellMar>
          <w:top w:w="57" w:type="dxa"/>
          <w:bottom w:w="57" w:type="dxa"/>
        </w:tblCellMar>
        <w:tblLook w:val="04A0" w:firstRow="1" w:lastRow="0" w:firstColumn="1" w:lastColumn="0" w:noHBand="0" w:noVBand="1"/>
      </w:tblPr>
      <w:tblGrid>
        <w:gridCol w:w="1534"/>
        <w:gridCol w:w="4624"/>
        <w:gridCol w:w="3087"/>
      </w:tblGrid>
      <w:tr w:rsidR="00045CAA" w:rsidRPr="006E42C4" w:rsidTr="0003457B">
        <w:trPr>
          <w:jc w:val="center"/>
        </w:trPr>
        <w:tc>
          <w:tcPr>
            <w:tcW w:w="1534" w:type="dxa"/>
            <w:shd w:val="clear" w:color="auto" w:fill="365F91" w:themeFill="accent1" w:themeFillShade="BF"/>
            <w:vAlign w:val="center"/>
          </w:tcPr>
          <w:p w:rsidR="00045CAA" w:rsidRPr="006E42C4" w:rsidRDefault="00045CAA" w:rsidP="0032365A">
            <w:pPr>
              <w:spacing w:after="0"/>
              <w:jc w:val="center"/>
              <w:rPr>
                <w:rFonts w:asciiTheme="minorHAnsi" w:eastAsia="Calibri" w:hAnsiTheme="minorHAnsi" w:cstheme="minorHAnsi"/>
                <w:b/>
                <w:color w:val="FFFFFF" w:themeColor="background1"/>
                <w:sz w:val="20"/>
              </w:rPr>
            </w:pPr>
            <w:r w:rsidRPr="006E42C4">
              <w:rPr>
                <w:rFonts w:asciiTheme="minorHAnsi" w:eastAsia="Calibri" w:hAnsiTheme="minorHAnsi" w:cstheme="minorHAnsi"/>
                <w:b/>
                <w:color w:val="FFFFFF" w:themeColor="background1"/>
                <w:sz w:val="20"/>
              </w:rPr>
              <w:t>Version</w:t>
            </w:r>
          </w:p>
        </w:tc>
        <w:tc>
          <w:tcPr>
            <w:tcW w:w="4624" w:type="dxa"/>
            <w:shd w:val="clear" w:color="auto" w:fill="365F91" w:themeFill="accent1" w:themeFillShade="BF"/>
            <w:vAlign w:val="center"/>
          </w:tcPr>
          <w:p w:rsidR="00045CAA" w:rsidRPr="006E42C4" w:rsidRDefault="00045CAA" w:rsidP="0032365A">
            <w:pPr>
              <w:spacing w:after="0"/>
              <w:jc w:val="center"/>
              <w:rPr>
                <w:rFonts w:asciiTheme="minorHAnsi" w:eastAsia="Calibri" w:hAnsiTheme="minorHAnsi" w:cstheme="minorHAnsi"/>
                <w:b/>
                <w:color w:val="FFFFFF" w:themeColor="background1"/>
                <w:sz w:val="20"/>
              </w:rPr>
            </w:pPr>
            <w:r w:rsidRPr="006E42C4">
              <w:rPr>
                <w:rFonts w:asciiTheme="minorHAnsi" w:eastAsia="Calibri" w:hAnsiTheme="minorHAnsi" w:cstheme="minorHAnsi"/>
                <w:b/>
                <w:color w:val="FFFFFF" w:themeColor="background1"/>
                <w:sz w:val="20"/>
              </w:rPr>
              <w:t>Notes and modifications</w:t>
            </w:r>
          </w:p>
        </w:tc>
        <w:tc>
          <w:tcPr>
            <w:tcW w:w="3087" w:type="dxa"/>
            <w:shd w:val="clear" w:color="auto" w:fill="365F91" w:themeFill="accent1" w:themeFillShade="BF"/>
            <w:vAlign w:val="center"/>
          </w:tcPr>
          <w:p w:rsidR="00045CAA" w:rsidRPr="006E42C4" w:rsidRDefault="00045CAA" w:rsidP="0032365A">
            <w:pPr>
              <w:spacing w:after="0"/>
              <w:jc w:val="center"/>
              <w:rPr>
                <w:rFonts w:asciiTheme="minorHAnsi" w:eastAsia="Calibri" w:hAnsiTheme="minorHAnsi" w:cstheme="minorHAnsi"/>
                <w:b/>
                <w:color w:val="FFFFFF" w:themeColor="background1"/>
                <w:sz w:val="20"/>
              </w:rPr>
            </w:pPr>
            <w:r w:rsidRPr="006E42C4">
              <w:rPr>
                <w:rFonts w:asciiTheme="minorHAnsi" w:eastAsia="Calibri" w:hAnsiTheme="minorHAnsi" w:cstheme="minorHAnsi"/>
                <w:b/>
                <w:color w:val="FFFFFF" w:themeColor="background1"/>
                <w:sz w:val="20"/>
              </w:rPr>
              <w:t>Created by/modified by</w:t>
            </w:r>
          </w:p>
        </w:tc>
      </w:tr>
      <w:tr w:rsidR="00045CAA" w:rsidRPr="006E42C4" w:rsidTr="0003457B">
        <w:trPr>
          <w:jc w:val="center"/>
        </w:trPr>
        <w:tc>
          <w:tcPr>
            <w:tcW w:w="1534" w:type="dxa"/>
            <w:vAlign w:val="center"/>
          </w:tcPr>
          <w:p w:rsidR="00045CAA" w:rsidRPr="006E42C4" w:rsidRDefault="00045CAA" w:rsidP="0032365A">
            <w:pPr>
              <w:spacing w:after="0"/>
              <w:jc w:val="center"/>
              <w:rPr>
                <w:rFonts w:eastAsiaTheme="majorEastAsia" w:cstheme="majorBidi"/>
                <w:bCs/>
                <w:sz w:val="20"/>
              </w:rPr>
            </w:pPr>
            <w:r w:rsidRPr="006E42C4">
              <w:rPr>
                <w:rFonts w:eastAsiaTheme="majorEastAsia" w:cstheme="majorBidi"/>
                <w:bCs/>
                <w:sz w:val="20"/>
              </w:rPr>
              <w:t>1.0</w:t>
            </w:r>
          </w:p>
        </w:tc>
        <w:tc>
          <w:tcPr>
            <w:tcW w:w="4624" w:type="dxa"/>
            <w:vAlign w:val="center"/>
          </w:tcPr>
          <w:p w:rsidR="00045CAA" w:rsidRPr="006E42C4" w:rsidRDefault="00B31112" w:rsidP="0032365A">
            <w:pPr>
              <w:spacing w:after="0"/>
              <w:rPr>
                <w:rFonts w:eastAsiaTheme="majorEastAsia" w:cstheme="majorBidi"/>
                <w:bCs/>
                <w:sz w:val="20"/>
              </w:rPr>
            </w:pPr>
            <w:r>
              <w:rPr>
                <w:rFonts w:eastAsiaTheme="majorEastAsia" w:cstheme="majorBidi"/>
                <w:bCs/>
                <w:sz w:val="20"/>
              </w:rPr>
              <w:t>Initial</w:t>
            </w:r>
            <w:r w:rsidR="00045CAA">
              <w:rPr>
                <w:rFonts w:eastAsiaTheme="majorEastAsia" w:cstheme="majorBidi"/>
                <w:bCs/>
                <w:sz w:val="20"/>
              </w:rPr>
              <w:t xml:space="preserve"> Draft Report</w:t>
            </w:r>
            <w:r w:rsidR="00045CAA" w:rsidRPr="006E42C4">
              <w:rPr>
                <w:rFonts w:eastAsiaTheme="majorEastAsia" w:cstheme="majorBidi"/>
                <w:bCs/>
                <w:sz w:val="20"/>
              </w:rPr>
              <w:t xml:space="preserve"> (</w:t>
            </w:r>
            <w:r w:rsidR="0079204D">
              <w:rPr>
                <w:rFonts w:eastAsiaTheme="majorEastAsia" w:cstheme="majorBidi"/>
                <w:bCs/>
                <w:sz w:val="20"/>
              </w:rPr>
              <w:t xml:space="preserve">20 </w:t>
            </w:r>
            <w:r w:rsidR="009F162C">
              <w:rPr>
                <w:rFonts w:eastAsiaTheme="majorEastAsia" w:cstheme="majorBidi"/>
                <w:bCs/>
                <w:sz w:val="20"/>
              </w:rPr>
              <w:t>February 2015</w:t>
            </w:r>
            <w:r w:rsidR="00045CAA" w:rsidRPr="006E42C4">
              <w:rPr>
                <w:rFonts w:eastAsiaTheme="majorEastAsia" w:cstheme="majorBidi"/>
                <w:bCs/>
                <w:sz w:val="20"/>
              </w:rPr>
              <w:t>)</w:t>
            </w:r>
          </w:p>
        </w:tc>
        <w:tc>
          <w:tcPr>
            <w:tcW w:w="3087" w:type="dxa"/>
            <w:vAlign w:val="center"/>
          </w:tcPr>
          <w:p w:rsidR="00045CAA" w:rsidRPr="006E42C4" w:rsidRDefault="00045CAA" w:rsidP="0032365A">
            <w:pPr>
              <w:spacing w:after="0"/>
              <w:rPr>
                <w:rFonts w:eastAsiaTheme="majorEastAsia" w:cstheme="majorBidi"/>
                <w:bCs/>
                <w:sz w:val="20"/>
              </w:rPr>
            </w:pPr>
            <w:r w:rsidRPr="006E42C4">
              <w:rPr>
                <w:rFonts w:eastAsiaTheme="majorEastAsia" w:cstheme="majorBidi"/>
                <w:bCs/>
                <w:sz w:val="20"/>
              </w:rPr>
              <w:t xml:space="preserve">Creator: </w:t>
            </w:r>
            <w:r w:rsidR="00B31112">
              <w:rPr>
                <w:rFonts w:eastAsiaTheme="majorEastAsia" w:cstheme="majorBidi"/>
                <w:bCs/>
                <w:sz w:val="20"/>
              </w:rPr>
              <w:t>Adam Rorris</w:t>
            </w:r>
          </w:p>
        </w:tc>
      </w:tr>
      <w:tr w:rsidR="00045CAA" w:rsidRPr="006E42C4" w:rsidTr="0003457B">
        <w:trPr>
          <w:jc w:val="center"/>
        </w:trPr>
        <w:tc>
          <w:tcPr>
            <w:tcW w:w="1534" w:type="dxa"/>
            <w:vAlign w:val="center"/>
          </w:tcPr>
          <w:p w:rsidR="00045CAA" w:rsidRPr="006E42C4" w:rsidRDefault="0079204D" w:rsidP="0079204D">
            <w:pPr>
              <w:spacing w:after="0"/>
              <w:jc w:val="center"/>
              <w:rPr>
                <w:rFonts w:eastAsiaTheme="majorEastAsia" w:cstheme="majorBidi"/>
                <w:bCs/>
                <w:sz w:val="20"/>
              </w:rPr>
            </w:pPr>
            <w:r>
              <w:rPr>
                <w:rFonts w:eastAsiaTheme="majorEastAsia" w:cstheme="majorBidi"/>
                <w:bCs/>
                <w:sz w:val="20"/>
              </w:rPr>
              <w:t>1.2</w:t>
            </w:r>
          </w:p>
        </w:tc>
        <w:tc>
          <w:tcPr>
            <w:tcW w:w="4624" w:type="dxa"/>
            <w:vAlign w:val="center"/>
          </w:tcPr>
          <w:p w:rsidR="00045CAA" w:rsidRPr="006E42C4" w:rsidRDefault="0079204D" w:rsidP="0032365A">
            <w:pPr>
              <w:spacing w:after="0"/>
              <w:rPr>
                <w:rFonts w:eastAsiaTheme="majorEastAsia" w:cstheme="majorBidi"/>
                <w:bCs/>
                <w:sz w:val="20"/>
              </w:rPr>
            </w:pPr>
            <w:r>
              <w:rPr>
                <w:rFonts w:eastAsiaTheme="majorEastAsia" w:cstheme="majorBidi"/>
                <w:bCs/>
                <w:sz w:val="20"/>
              </w:rPr>
              <w:t>Second draft (23 February 2015)</w:t>
            </w:r>
          </w:p>
        </w:tc>
        <w:tc>
          <w:tcPr>
            <w:tcW w:w="3087" w:type="dxa"/>
            <w:vAlign w:val="center"/>
          </w:tcPr>
          <w:p w:rsidR="00045CAA" w:rsidRPr="006E42C4" w:rsidRDefault="00B31112" w:rsidP="0032365A">
            <w:pPr>
              <w:spacing w:after="0"/>
              <w:rPr>
                <w:rFonts w:eastAsiaTheme="majorEastAsia" w:cstheme="majorBidi"/>
                <w:bCs/>
                <w:sz w:val="20"/>
              </w:rPr>
            </w:pPr>
            <w:r>
              <w:rPr>
                <w:rFonts w:eastAsiaTheme="majorEastAsia" w:cstheme="majorBidi"/>
                <w:bCs/>
                <w:sz w:val="20"/>
              </w:rPr>
              <w:t>Modifier: Adam Rorris</w:t>
            </w:r>
          </w:p>
        </w:tc>
      </w:tr>
      <w:tr w:rsidR="0003457B" w:rsidRPr="006E42C4" w:rsidTr="0003457B">
        <w:tblPrEx>
          <w:jc w:val="left"/>
          <w:tblCellMar>
            <w:top w:w="0" w:type="dxa"/>
            <w:bottom w:w="0" w:type="dxa"/>
          </w:tblCellMar>
        </w:tblPrEx>
        <w:trPr>
          <w:trHeight w:val="316"/>
        </w:trPr>
        <w:tc>
          <w:tcPr>
            <w:tcW w:w="1534" w:type="dxa"/>
          </w:tcPr>
          <w:p w:rsidR="0003457B" w:rsidRPr="006E42C4" w:rsidRDefault="00D84E71" w:rsidP="00710F2F">
            <w:pPr>
              <w:spacing w:after="0"/>
              <w:jc w:val="center"/>
              <w:rPr>
                <w:rFonts w:eastAsiaTheme="majorEastAsia" w:cstheme="majorBidi"/>
                <w:bCs/>
                <w:sz w:val="20"/>
              </w:rPr>
            </w:pPr>
            <w:bookmarkStart w:id="9" w:name="_Toc372401474"/>
            <w:r>
              <w:rPr>
                <w:rFonts w:eastAsiaTheme="majorEastAsia" w:cstheme="majorBidi"/>
                <w:bCs/>
                <w:sz w:val="20"/>
              </w:rPr>
              <w:t>1.4</w:t>
            </w:r>
          </w:p>
        </w:tc>
        <w:tc>
          <w:tcPr>
            <w:tcW w:w="4624" w:type="dxa"/>
          </w:tcPr>
          <w:p w:rsidR="0003457B" w:rsidRPr="006E42C4" w:rsidRDefault="0003457B" w:rsidP="00884208">
            <w:pPr>
              <w:spacing w:after="0"/>
              <w:rPr>
                <w:rFonts w:eastAsiaTheme="majorEastAsia" w:cstheme="majorBidi"/>
                <w:bCs/>
                <w:sz w:val="20"/>
              </w:rPr>
            </w:pPr>
            <w:r>
              <w:rPr>
                <w:rFonts w:eastAsiaTheme="majorEastAsia" w:cstheme="majorBidi"/>
                <w:bCs/>
                <w:sz w:val="20"/>
              </w:rPr>
              <w:t>Submitted Draft Report (</w:t>
            </w:r>
            <w:r w:rsidR="008B0F8C">
              <w:rPr>
                <w:rFonts w:eastAsiaTheme="majorEastAsia" w:cstheme="majorBidi"/>
                <w:bCs/>
                <w:sz w:val="20"/>
              </w:rPr>
              <w:t>1</w:t>
            </w:r>
            <w:r w:rsidR="00884208">
              <w:rPr>
                <w:rFonts w:eastAsiaTheme="majorEastAsia" w:cstheme="majorBidi"/>
                <w:bCs/>
                <w:sz w:val="20"/>
              </w:rPr>
              <w:t>6</w:t>
            </w:r>
            <w:r w:rsidR="008B0F8C">
              <w:rPr>
                <w:rFonts w:eastAsiaTheme="majorEastAsia" w:cstheme="majorBidi"/>
                <w:bCs/>
                <w:sz w:val="20"/>
              </w:rPr>
              <w:t xml:space="preserve"> </w:t>
            </w:r>
            <w:r>
              <w:rPr>
                <w:rFonts w:eastAsiaTheme="majorEastAsia" w:cstheme="majorBidi"/>
                <w:bCs/>
                <w:sz w:val="20"/>
              </w:rPr>
              <w:t>March 2015)</w:t>
            </w:r>
          </w:p>
        </w:tc>
        <w:tc>
          <w:tcPr>
            <w:tcW w:w="3087" w:type="dxa"/>
          </w:tcPr>
          <w:p w:rsidR="0003457B" w:rsidRPr="006E42C4" w:rsidRDefault="0003457B" w:rsidP="00710F2F">
            <w:pPr>
              <w:spacing w:after="0"/>
              <w:rPr>
                <w:rFonts w:eastAsiaTheme="majorEastAsia" w:cstheme="majorBidi"/>
                <w:bCs/>
                <w:sz w:val="20"/>
              </w:rPr>
            </w:pPr>
            <w:r>
              <w:rPr>
                <w:rFonts w:eastAsiaTheme="majorEastAsia" w:cstheme="majorBidi"/>
                <w:bCs/>
                <w:sz w:val="20"/>
              </w:rPr>
              <w:t>Modifier: Adam Rorris</w:t>
            </w:r>
          </w:p>
        </w:tc>
      </w:tr>
      <w:tr w:rsidR="00D64F12" w:rsidRPr="006E42C4" w:rsidTr="00D64F12">
        <w:tblPrEx>
          <w:jc w:val="left"/>
          <w:tblCellMar>
            <w:top w:w="0" w:type="dxa"/>
            <w:bottom w:w="0" w:type="dxa"/>
          </w:tblCellMar>
        </w:tblPrEx>
        <w:trPr>
          <w:trHeight w:val="316"/>
        </w:trPr>
        <w:tc>
          <w:tcPr>
            <w:tcW w:w="1534" w:type="dxa"/>
          </w:tcPr>
          <w:p w:rsidR="00D64F12" w:rsidRPr="006E42C4" w:rsidRDefault="00D64F12" w:rsidP="00442BC7">
            <w:pPr>
              <w:spacing w:after="0"/>
              <w:jc w:val="center"/>
              <w:rPr>
                <w:rFonts w:eastAsiaTheme="majorEastAsia" w:cstheme="majorBidi"/>
                <w:bCs/>
                <w:sz w:val="20"/>
              </w:rPr>
            </w:pPr>
            <w:r>
              <w:rPr>
                <w:rFonts w:eastAsiaTheme="majorEastAsia" w:cstheme="majorBidi"/>
                <w:bCs/>
                <w:sz w:val="20"/>
              </w:rPr>
              <w:t>1.5</w:t>
            </w:r>
          </w:p>
        </w:tc>
        <w:tc>
          <w:tcPr>
            <w:tcW w:w="4624" w:type="dxa"/>
          </w:tcPr>
          <w:p w:rsidR="00D64F12" w:rsidRPr="006E42C4" w:rsidRDefault="00D64F12" w:rsidP="00D64F12">
            <w:pPr>
              <w:spacing w:after="0"/>
              <w:rPr>
                <w:rFonts w:eastAsiaTheme="majorEastAsia" w:cstheme="majorBidi"/>
                <w:bCs/>
                <w:sz w:val="20"/>
              </w:rPr>
            </w:pPr>
            <w:r>
              <w:rPr>
                <w:rFonts w:eastAsiaTheme="majorEastAsia" w:cstheme="majorBidi"/>
                <w:bCs/>
                <w:sz w:val="20"/>
              </w:rPr>
              <w:t>Final Report (07 July 2015)</w:t>
            </w:r>
          </w:p>
        </w:tc>
        <w:tc>
          <w:tcPr>
            <w:tcW w:w="3087" w:type="dxa"/>
          </w:tcPr>
          <w:p w:rsidR="00D64F12" w:rsidRPr="006E42C4" w:rsidRDefault="00D64F12" w:rsidP="00D64F12">
            <w:pPr>
              <w:spacing w:after="0"/>
              <w:rPr>
                <w:rFonts w:eastAsiaTheme="majorEastAsia" w:cstheme="majorBidi"/>
                <w:bCs/>
                <w:sz w:val="20"/>
              </w:rPr>
            </w:pPr>
            <w:r>
              <w:rPr>
                <w:rFonts w:eastAsiaTheme="majorEastAsia" w:cstheme="majorBidi"/>
                <w:bCs/>
                <w:sz w:val="20"/>
              </w:rPr>
              <w:t>Modifier: Simon Milligan</w:t>
            </w:r>
          </w:p>
        </w:tc>
      </w:tr>
    </w:tbl>
    <w:p w:rsidR="0032365A" w:rsidRDefault="0032365A" w:rsidP="00E04FCE">
      <w:pPr>
        <w:pStyle w:val="Heading1"/>
        <w:numPr>
          <w:ilvl w:val="0"/>
          <w:numId w:val="0"/>
        </w:numPr>
        <w:ind w:left="720" w:hanging="720"/>
        <w:sectPr w:rsidR="0032365A" w:rsidSect="0038463D">
          <w:footnotePr>
            <w:numRestart w:val="eachSect"/>
          </w:footnotePr>
          <w:endnotePr>
            <w:numRestart w:val="eachSect"/>
          </w:endnotePr>
          <w:pgSz w:w="11909" w:h="16834" w:code="9"/>
          <w:pgMar w:top="357" w:right="1440" w:bottom="1304" w:left="1440" w:header="431" w:footer="425" w:gutter="0"/>
          <w:pgNumType w:fmt="lowerRoman"/>
          <w:cols w:space="720"/>
          <w:titlePg/>
          <w:docGrid w:linePitch="360"/>
        </w:sectPr>
      </w:pPr>
    </w:p>
    <w:p w:rsidR="00045CAA" w:rsidRPr="0032365A" w:rsidRDefault="0032365A" w:rsidP="0032365A">
      <w:pPr>
        <w:pStyle w:val="Heading1"/>
        <w:numPr>
          <w:ilvl w:val="0"/>
          <w:numId w:val="0"/>
        </w:numPr>
        <w:spacing w:after="1320"/>
        <w:ind w:left="720" w:hanging="720"/>
        <w:rPr>
          <w:color w:val="68BAD6"/>
        </w:rPr>
      </w:pPr>
      <w:bookmarkStart w:id="10" w:name="_Toc380740268"/>
      <w:r w:rsidRPr="0032365A">
        <w:rPr>
          <w:color w:val="68BAD6"/>
        </w:rPr>
        <w:lastRenderedPageBreak/>
        <w:t>EXECUTIVE SUMMARY</w:t>
      </w:r>
      <w:bookmarkEnd w:id="9"/>
      <w:bookmarkEnd w:id="10"/>
    </w:p>
    <w:p w:rsidR="00045CAA" w:rsidRPr="005A1995" w:rsidRDefault="00045CAA" w:rsidP="00D73DAA">
      <w:pPr>
        <w:spacing w:before="360" w:after="240"/>
        <w:rPr>
          <w:rStyle w:val="IntenseEmphasis"/>
          <w:rFonts w:asciiTheme="minorHAnsi" w:hAnsiTheme="minorHAnsi"/>
          <w:i w:val="0"/>
          <w:color w:val="003880"/>
          <w:sz w:val="32"/>
          <w:szCs w:val="32"/>
        </w:rPr>
      </w:pPr>
      <w:r w:rsidRPr="005A1995">
        <w:rPr>
          <w:rStyle w:val="IntenseEmphasis"/>
          <w:rFonts w:asciiTheme="minorHAnsi" w:hAnsiTheme="minorHAnsi"/>
          <w:i w:val="0"/>
          <w:color w:val="003880"/>
          <w:sz w:val="32"/>
          <w:szCs w:val="32"/>
        </w:rPr>
        <w:t xml:space="preserve">Background </w:t>
      </w:r>
    </w:p>
    <w:p w:rsidR="00E04FCE" w:rsidRPr="00836CB6" w:rsidRDefault="00E04FCE" w:rsidP="00836CB6">
      <w:pPr>
        <w:spacing w:line="276" w:lineRule="auto"/>
        <w:jc w:val="both"/>
        <w:rPr>
          <w:rFonts w:asciiTheme="minorHAnsi" w:hAnsiTheme="minorHAnsi"/>
        </w:rPr>
      </w:pPr>
      <w:r w:rsidRPr="00836CB6">
        <w:rPr>
          <w:rFonts w:asciiTheme="minorHAnsi" w:hAnsiTheme="minorHAnsi"/>
        </w:rPr>
        <w:t xml:space="preserve">The </w:t>
      </w:r>
      <w:r w:rsidR="001A0D64" w:rsidRPr="00836CB6">
        <w:rPr>
          <w:rFonts w:asciiTheme="minorHAnsi" w:hAnsiTheme="minorHAnsi"/>
        </w:rPr>
        <w:t>Annual Sector Financial</w:t>
      </w:r>
      <w:r w:rsidRPr="00836CB6">
        <w:rPr>
          <w:rFonts w:asciiTheme="minorHAnsi" w:hAnsiTheme="minorHAnsi"/>
        </w:rPr>
        <w:t xml:space="preserve"> Report </w:t>
      </w:r>
      <w:r w:rsidR="001A0D64" w:rsidRPr="00836CB6">
        <w:rPr>
          <w:rFonts w:asciiTheme="minorHAnsi" w:hAnsiTheme="minorHAnsi"/>
        </w:rPr>
        <w:t xml:space="preserve">(ASFR) </w:t>
      </w:r>
      <w:r w:rsidR="00AE0152">
        <w:rPr>
          <w:rFonts w:asciiTheme="minorHAnsi" w:hAnsiTheme="minorHAnsi"/>
        </w:rPr>
        <w:t>2013</w:t>
      </w:r>
      <w:r w:rsidRPr="00836CB6">
        <w:rPr>
          <w:rFonts w:asciiTheme="minorHAnsi" w:hAnsiTheme="minorHAnsi"/>
        </w:rPr>
        <w:t xml:space="preserve"> monitors and reports on trends in education financing in Indonesia. This is the sixth </w:t>
      </w:r>
      <w:r w:rsidR="001A0D64" w:rsidRPr="00836CB6">
        <w:rPr>
          <w:rFonts w:asciiTheme="minorHAnsi" w:hAnsiTheme="minorHAnsi"/>
        </w:rPr>
        <w:t>Annual Sector Financi</w:t>
      </w:r>
      <w:r w:rsidR="00827B97" w:rsidRPr="00836CB6">
        <w:rPr>
          <w:rFonts w:asciiTheme="minorHAnsi" w:hAnsiTheme="minorHAnsi"/>
        </w:rPr>
        <w:t>al</w:t>
      </w:r>
      <w:r w:rsidR="001A0D64" w:rsidRPr="00836CB6">
        <w:rPr>
          <w:rFonts w:asciiTheme="minorHAnsi" w:hAnsiTheme="minorHAnsi"/>
        </w:rPr>
        <w:t xml:space="preserve"> Report (previously known as the Annual Financial Performance Report</w:t>
      </w:r>
      <w:r w:rsidR="00836CB6" w:rsidRPr="00836CB6">
        <w:rPr>
          <w:rFonts w:asciiTheme="minorHAnsi" w:hAnsiTheme="minorHAnsi"/>
        </w:rPr>
        <w:t>) and</w:t>
      </w:r>
      <w:r w:rsidRPr="00836CB6">
        <w:rPr>
          <w:rFonts w:asciiTheme="minorHAnsi" w:hAnsiTheme="minorHAnsi"/>
        </w:rPr>
        <w:t xml:space="preserve"> follows a series of reports produced by the same author for the AusAID supported Contractor Strategic Advisory Services (CSAS) team. The report is intended for the use of high level government officials and education sector experts in the Governments of Indonesia and Australia. It provides succinct analysis and is intended to be an accessible tool for operational planning. The objectives of this report are:</w:t>
      </w:r>
    </w:p>
    <w:p w:rsidR="00E04FCE" w:rsidRPr="00836CB6" w:rsidRDefault="00E04FCE" w:rsidP="00836CB6">
      <w:pPr>
        <w:pStyle w:val="ListNumber"/>
        <w:numPr>
          <w:ilvl w:val="0"/>
          <w:numId w:val="11"/>
        </w:numPr>
        <w:tabs>
          <w:tab w:val="clear" w:pos="360"/>
          <w:tab w:val="num" w:pos="717"/>
        </w:tabs>
        <w:spacing w:after="0" w:line="276" w:lineRule="auto"/>
        <w:ind w:left="714" w:hanging="357"/>
        <w:jc w:val="both"/>
        <w:rPr>
          <w:rFonts w:asciiTheme="minorHAnsi" w:hAnsiTheme="minorHAnsi"/>
        </w:rPr>
      </w:pPr>
      <w:r w:rsidRPr="00836CB6">
        <w:rPr>
          <w:rFonts w:asciiTheme="minorHAnsi" w:hAnsiTheme="minorHAnsi"/>
        </w:rPr>
        <w:t>To identify trends in the quantum and distribution of education funding in relation to national policy and school needs.</w:t>
      </w:r>
    </w:p>
    <w:p w:rsidR="00E04FCE" w:rsidRPr="00836CB6" w:rsidRDefault="00E04FCE" w:rsidP="00836CB6">
      <w:pPr>
        <w:pStyle w:val="ListNumber"/>
        <w:numPr>
          <w:ilvl w:val="0"/>
          <w:numId w:val="11"/>
        </w:numPr>
        <w:tabs>
          <w:tab w:val="clear" w:pos="360"/>
          <w:tab w:val="num" w:pos="717"/>
        </w:tabs>
        <w:spacing w:after="0" w:line="276" w:lineRule="auto"/>
        <w:ind w:left="714" w:hanging="357"/>
        <w:jc w:val="both"/>
        <w:rPr>
          <w:rFonts w:asciiTheme="minorHAnsi" w:hAnsiTheme="minorHAnsi"/>
        </w:rPr>
      </w:pPr>
      <w:r w:rsidRPr="00836CB6">
        <w:rPr>
          <w:rFonts w:asciiTheme="minorHAnsi" w:hAnsiTheme="minorHAnsi"/>
        </w:rPr>
        <w:t>To monitor education sector and school resourcing from the standpoint of the key RENSTRA</w:t>
      </w:r>
      <w:r w:rsidR="009018EE">
        <w:rPr>
          <w:rFonts w:asciiTheme="minorHAnsi" w:hAnsiTheme="minorHAnsi"/>
        </w:rPr>
        <w:t xml:space="preserve"> (2010-14)</w:t>
      </w:r>
      <w:r w:rsidRPr="00836CB6">
        <w:rPr>
          <w:rFonts w:asciiTheme="minorHAnsi" w:hAnsiTheme="minorHAnsi"/>
        </w:rPr>
        <w:t xml:space="preserve"> themes of access, quality improvement and improved accountability.</w:t>
      </w:r>
    </w:p>
    <w:p w:rsidR="00FD24E3" w:rsidRPr="00836CB6" w:rsidRDefault="00FD24E3" w:rsidP="00836CB6">
      <w:pPr>
        <w:pStyle w:val="ListNumber"/>
        <w:numPr>
          <w:ilvl w:val="0"/>
          <w:numId w:val="11"/>
        </w:numPr>
        <w:tabs>
          <w:tab w:val="clear" w:pos="360"/>
          <w:tab w:val="num" w:pos="717"/>
        </w:tabs>
        <w:spacing w:after="0" w:line="276" w:lineRule="auto"/>
        <w:ind w:left="714" w:hanging="357"/>
        <w:jc w:val="both"/>
        <w:rPr>
          <w:rFonts w:asciiTheme="minorHAnsi" w:hAnsiTheme="minorHAnsi"/>
        </w:rPr>
      </w:pPr>
      <w:r w:rsidRPr="00836CB6">
        <w:rPr>
          <w:rFonts w:asciiTheme="minorHAnsi" w:hAnsiTheme="minorHAnsi"/>
        </w:rPr>
        <w:t xml:space="preserve">To provide a record of education financing in those districts directly benefiting from Components 1 and 2 of the </w:t>
      </w:r>
      <w:r w:rsidR="001A0D64" w:rsidRPr="00836CB6">
        <w:rPr>
          <w:rFonts w:asciiTheme="minorHAnsi" w:hAnsiTheme="minorHAnsi"/>
        </w:rPr>
        <w:t xml:space="preserve">Australian-Indonesia </w:t>
      </w:r>
      <w:r w:rsidRPr="00836CB6">
        <w:rPr>
          <w:rFonts w:asciiTheme="minorHAnsi" w:hAnsiTheme="minorHAnsi"/>
        </w:rPr>
        <w:t>Education Partnership</w:t>
      </w:r>
      <w:r w:rsidR="001A0D64" w:rsidRPr="00836CB6">
        <w:rPr>
          <w:rFonts w:asciiTheme="minorHAnsi" w:hAnsiTheme="minorHAnsi"/>
        </w:rPr>
        <w:t xml:space="preserve"> (EP).</w:t>
      </w:r>
      <w:r w:rsidRPr="00836CB6">
        <w:rPr>
          <w:rFonts w:asciiTheme="minorHAnsi" w:hAnsiTheme="minorHAnsi"/>
        </w:rPr>
        <w:t xml:space="preserve"> </w:t>
      </w:r>
    </w:p>
    <w:p w:rsidR="00E04FCE" w:rsidRPr="00836CB6" w:rsidRDefault="00E04FCE" w:rsidP="00836CB6">
      <w:pPr>
        <w:pStyle w:val="ListNumber"/>
        <w:numPr>
          <w:ilvl w:val="0"/>
          <w:numId w:val="11"/>
        </w:numPr>
        <w:tabs>
          <w:tab w:val="clear" w:pos="360"/>
          <w:tab w:val="num" w:pos="717"/>
        </w:tabs>
        <w:spacing w:after="0" w:line="276" w:lineRule="auto"/>
        <w:ind w:left="714" w:hanging="357"/>
        <w:jc w:val="both"/>
        <w:rPr>
          <w:rFonts w:asciiTheme="minorHAnsi" w:hAnsiTheme="minorHAnsi"/>
        </w:rPr>
      </w:pPr>
      <w:r w:rsidRPr="00836CB6">
        <w:rPr>
          <w:rFonts w:asciiTheme="minorHAnsi" w:hAnsiTheme="minorHAnsi"/>
        </w:rPr>
        <w:t xml:space="preserve">To inform </w:t>
      </w:r>
      <w:r w:rsidR="001A0D64" w:rsidRPr="00836CB6">
        <w:rPr>
          <w:rFonts w:asciiTheme="minorHAnsi" w:hAnsiTheme="minorHAnsi"/>
        </w:rPr>
        <w:t xml:space="preserve">the </w:t>
      </w:r>
      <w:r w:rsidRPr="00836CB6">
        <w:rPr>
          <w:rFonts w:asciiTheme="minorHAnsi" w:hAnsiTheme="minorHAnsi"/>
        </w:rPr>
        <w:t xml:space="preserve">Government of Australia (GoA), </w:t>
      </w:r>
      <w:r w:rsidR="001A0D64" w:rsidRPr="00836CB6">
        <w:rPr>
          <w:rFonts w:asciiTheme="minorHAnsi" w:hAnsiTheme="minorHAnsi"/>
        </w:rPr>
        <w:t xml:space="preserve">the </w:t>
      </w:r>
      <w:r w:rsidRPr="00836CB6">
        <w:rPr>
          <w:rFonts w:asciiTheme="minorHAnsi" w:hAnsiTheme="minorHAnsi"/>
        </w:rPr>
        <w:t xml:space="preserve">Government of Indonesia (GoI) and other donors of the effectiveness and efficiency of current school funding mechanisms. </w:t>
      </w:r>
    </w:p>
    <w:p w:rsidR="00E04FCE" w:rsidRPr="00836CB6" w:rsidRDefault="00E04FCE" w:rsidP="00836CB6">
      <w:pPr>
        <w:pStyle w:val="ListNumber"/>
        <w:numPr>
          <w:ilvl w:val="0"/>
          <w:numId w:val="11"/>
        </w:numPr>
        <w:tabs>
          <w:tab w:val="clear" w:pos="360"/>
          <w:tab w:val="num" w:pos="717"/>
        </w:tabs>
        <w:spacing w:after="240" w:line="276" w:lineRule="auto"/>
        <w:ind w:left="714" w:hanging="357"/>
        <w:jc w:val="both"/>
        <w:rPr>
          <w:rFonts w:asciiTheme="minorHAnsi" w:hAnsiTheme="minorHAnsi"/>
        </w:rPr>
      </w:pPr>
      <w:r w:rsidRPr="00836CB6">
        <w:rPr>
          <w:rFonts w:asciiTheme="minorHAnsi" w:hAnsiTheme="minorHAnsi"/>
        </w:rPr>
        <w:t xml:space="preserve">To support the capacity of GoI institutions to monitor and report on school financing. </w:t>
      </w:r>
    </w:p>
    <w:p w:rsidR="00E04FCE" w:rsidRPr="00836CB6" w:rsidRDefault="00E04FCE" w:rsidP="00836CB6">
      <w:pPr>
        <w:spacing w:line="276" w:lineRule="auto"/>
        <w:jc w:val="both"/>
        <w:rPr>
          <w:rFonts w:asciiTheme="minorHAnsi" w:hAnsiTheme="minorHAnsi"/>
        </w:rPr>
      </w:pPr>
      <w:r w:rsidRPr="00836CB6">
        <w:rPr>
          <w:rFonts w:asciiTheme="minorHAnsi" w:hAnsiTheme="minorHAnsi"/>
        </w:rPr>
        <w:t xml:space="preserve">The report has a particular focus on district level expenditures. </w:t>
      </w:r>
      <w:r w:rsidR="009018EE">
        <w:rPr>
          <w:rFonts w:asciiTheme="minorHAnsi" w:hAnsiTheme="minorHAnsi"/>
        </w:rPr>
        <w:t>D</w:t>
      </w:r>
      <w:r w:rsidRPr="00836CB6">
        <w:rPr>
          <w:rFonts w:asciiTheme="minorHAnsi" w:hAnsiTheme="minorHAnsi"/>
        </w:rPr>
        <w:t xml:space="preserve">istrict level expenditure patterns are increasingly important as districts have increased responsibility for education management under </w:t>
      </w:r>
      <w:r w:rsidR="009018EE">
        <w:rPr>
          <w:rFonts w:asciiTheme="minorHAnsi" w:hAnsiTheme="minorHAnsi"/>
        </w:rPr>
        <w:t>GoI’s</w:t>
      </w:r>
      <w:r w:rsidRPr="00836CB6">
        <w:rPr>
          <w:rFonts w:asciiTheme="minorHAnsi" w:hAnsiTheme="minorHAnsi"/>
        </w:rPr>
        <w:t xml:space="preserve"> </w:t>
      </w:r>
      <w:r w:rsidR="00A477E2" w:rsidRPr="00836CB6">
        <w:rPr>
          <w:rFonts w:asciiTheme="minorHAnsi" w:hAnsiTheme="minorHAnsi"/>
        </w:rPr>
        <w:t>decentralization</w:t>
      </w:r>
      <w:r w:rsidRPr="00836CB6">
        <w:rPr>
          <w:rFonts w:asciiTheme="minorHAnsi" w:hAnsiTheme="minorHAnsi"/>
        </w:rPr>
        <w:t xml:space="preserve"> policy. Monitoring patterns of expenditure by districts will become an increasingly important role for the Ministry of Education and Culture (MoEC) and the Ministry of Religious Affairs (MoRA) to ensure that national funding norms and procedures are being implemented appropriately. Financial analysis of education allocations therefore needs to have a district level disaggregation to assess the variability in fiscal capacity and actual allocations for education resourcing. </w:t>
      </w:r>
    </w:p>
    <w:p w:rsidR="00E04FCE" w:rsidRPr="00836CB6" w:rsidRDefault="00E04FCE" w:rsidP="00836CB6">
      <w:pPr>
        <w:spacing w:line="276" w:lineRule="auto"/>
        <w:jc w:val="both"/>
        <w:rPr>
          <w:rFonts w:asciiTheme="minorHAnsi" w:hAnsiTheme="minorHAnsi"/>
        </w:rPr>
      </w:pPr>
      <w:r w:rsidRPr="00836CB6">
        <w:rPr>
          <w:rFonts w:asciiTheme="minorHAnsi" w:hAnsiTheme="minorHAnsi"/>
        </w:rPr>
        <w:t>A wide range in the poverty status of districts, and the importance of education in lifting district populations out of poverty, mean that vulnerable groups stand to benefit most from well-targeted education investment.</w:t>
      </w:r>
      <w:r w:rsidR="004971BD">
        <w:rPr>
          <w:rFonts w:asciiTheme="minorHAnsi" w:hAnsiTheme="minorHAnsi"/>
        </w:rPr>
        <w:t xml:space="preserve"> </w:t>
      </w:r>
      <w:r w:rsidRPr="00836CB6">
        <w:rPr>
          <w:rFonts w:asciiTheme="minorHAnsi" w:hAnsiTheme="minorHAnsi"/>
        </w:rPr>
        <w:t xml:space="preserve">Monitoring and evaluation of district level education financing provides the tools to do so. </w:t>
      </w:r>
    </w:p>
    <w:p w:rsidR="00E04FCE" w:rsidRPr="005A1995" w:rsidRDefault="00E04FCE" w:rsidP="00D73DAA">
      <w:pPr>
        <w:spacing w:before="360" w:after="240"/>
        <w:rPr>
          <w:rStyle w:val="IntenseEmphasis"/>
          <w:rFonts w:asciiTheme="minorHAnsi" w:hAnsiTheme="minorHAnsi"/>
          <w:i w:val="0"/>
          <w:color w:val="003880"/>
          <w:sz w:val="32"/>
        </w:rPr>
      </w:pPr>
      <w:r w:rsidRPr="005A1995">
        <w:rPr>
          <w:rStyle w:val="IntenseEmphasis"/>
          <w:rFonts w:asciiTheme="minorHAnsi" w:hAnsiTheme="minorHAnsi"/>
          <w:i w:val="0"/>
          <w:color w:val="003880"/>
          <w:sz w:val="32"/>
        </w:rPr>
        <w:t xml:space="preserve">Key </w:t>
      </w:r>
      <w:r w:rsidR="00836CB6" w:rsidRPr="005A1995">
        <w:rPr>
          <w:rStyle w:val="IntenseEmphasis"/>
          <w:rFonts w:asciiTheme="minorHAnsi" w:hAnsiTheme="minorHAnsi"/>
          <w:i w:val="0"/>
          <w:color w:val="003880"/>
          <w:sz w:val="32"/>
        </w:rPr>
        <w:t xml:space="preserve">Performance Indicators </w:t>
      </w:r>
      <w:r w:rsidRPr="005A1995">
        <w:rPr>
          <w:rStyle w:val="IntenseEmphasis"/>
          <w:rFonts w:asciiTheme="minorHAnsi" w:hAnsiTheme="minorHAnsi"/>
          <w:i w:val="0"/>
          <w:color w:val="003880"/>
          <w:sz w:val="32"/>
        </w:rPr>
        <w:t xml:space="preserve">and </w:t>
      </w:r>
      <w:r w:rsidR="00836CB6" w:rsidRPr="005A1995">
        <w:rPr>
          <w:rStyle w:val="IntenseEmphasis"/>
          <w:rFonts w:asciiTheme="minorHAnsi" w:hAnsiTheme="minorHAnsi"/>
          <w:i w:val="0"/>
          <w:color w:val="003880"/>
          <w:sz w:val="32"/>
        </w:rPr>
        <w:t>Analysis</w:t>
      </w:r>
    </w:p>
    <w:p w:rsidR="00E04FCE" w:rsidRPr="00836CB6" w:rsidRDefault="00E04FCE" w:rsidP="00836CB6">
      <w:pPr>
        <w:spacing w:line="276" w:lineRule="auto"/>
        <w:jc w:val="both"/>
        <w:rPr>
          <w:rFonts w:asciiTheme="minorHAnsi" w:hAnsiTheme="minorHAnsi"/>
        </w:rPr>
      </w:pPr>
      <w:r w:rsidRPr="00836CB6">
        <w:rPr>
          <w:rFonts w:asciiTheme="minorHAnsi" w:hAnsiTheme="minorHAnsi"/>
        </w:rPr>
        <w:t>The report analysis is framed by a set of Key Per</w:t>
      </w:r>
      <w:r w:rsidR="00A477E2">
        <w:rPr>
          <w:rFonts w:asciiTheme="minorHAnsi" w:hAnsiTheme="minorHAnsi"/>
        </w:rPr>
        <w:t>formance Indicators (KPI). The</w:t>
      </w:r>
      <w:r w:rsidRPr="00836CB6">
        <w:rPr>
          <w:rFonts w:asciiTheme="minorHAnsi" w:hAnsiTheme="minorHAnsi"/>
        </w:rPr>
        <w:t xml:space="preserve"> KPI focus attention on the main </w:t>
      </w:r>
      <w:r w:rsidR="009018EE">
        <w:rPr>
          <w:rFonts w:asciiTheme="minorHAnsi" w:hAnsiTheme="minorHAnsi"/>
        </w:rPr>
        <w:t xml:space="preserve">themes outlined in MoEC’s </w:t>
      </w:r>
      <w:r w:rsidRPr="00836CB6">
        <w:rPr>
          <w:rFonts w:asciiTheme="minorHAnsi" w:hAnsiTheme="minorHAnsi"/>
        </w:rPr>
        <w:t>RENSTRA</w:t>
      </w:r>
      <w:r w:rsidR="009018EE">
        <w:rPr>
          <w:rFonts w:asciiTheme="minorHAnsi" w:hAnsiTheme="minorHAnsi"/>
        </w:rPr>
        <w:t xml:space="preserve"> for 2010-14</w:t>
      </w:r>
      <w:r w:rsidRPr="00836CB6">
        <w:rPr>
          <w:rFonts w:asciiTheme="minorHAnsi" w:hAnsiTheme="minorHAnsi"/>
        </w:rPr>
        <w:t xml:space="preserve"> and </w:t>
      </w:r>
      <w:r w:rsidR="001A0D64" w:rsidRPr="00836CB6">
        <w:rPr>
          <w:rFonts w:asciiTheme="minorHAnsi" w:hAnsiTheme="minorHAnsi"/>
        </w:rPr>
        <w:t>th</w:t>
      </w:r>
      <w:r w:rsidR="005F1206">
        <w:rPr>
          <w:rFonts w:asciiTheme="minorHAnsi" w:hAnsiTheme="minorHAnsi"/>
        </w:rPr>
        <w:t xml:space="preserve">e </w:t>
      </w:r>
      <w:r w:rsidR="009018EE">
        <w:rPr>
          <w:rFonts w:asciiTheme="minorHAnsi" w:hAnsiTheme="minorHAnsi"/>
        </w:rPr>
        <w:t>GoI</w:t>
      </w:r>
      <w:r w:rsidR="001A0D64" w:rsidRPr="00836CB6">
        <w:rPr>
          <w:rFonts w:asciiTheme="minorHAnsi" w:hAnsiTheme="minorHAnsi"/>
        </w:rPr>
        <w:t>’s</w:t>
      </w:r>
      <w:r w:rsidRPr="00836CB6">
        <w:rPr>
          <w:rFonts w:asciiTheme="minorHAnsi" w:hAnsiTheme="minorHAnsi"/>
        </w:rPr>
        <w:t xml:space="preserve"> financial commitment to education. Most of these KPI are reported on at a national level by the GoI as part of its international Education for All (EFA) reporting obligations. </w:t>
      </w:r>
      <w:r w:rsidR="00F9628B">
        <w:rPr>
          <w:rFonts w:asciiTheme="minorHAnsi" w:hAnsiTheme="minorHAnsi"/>
        </w:rPr>
        <w:t>The district level KPIs were developed by the CSAS consultancy to provide a specific indication of district level financial commitment and allocation of funds for education.</w:t>
      </w:r>
    </w:p>
    <w:p w:rsidR="00E04FCE" w:rsidRPr="00836CB6" w:rsidRDefault="00E04FCE" w:rsidP="00836CB6">
      <w:pPr>
        <w:spacing w:line="276" w:lineRule="auto"/>
        <w:jc w:val="both"/>
        <w:rPr>
          <w:rFonts w:asciiTheme="minorHAnsi" w:hAnsiTheme="minorHAnsi"/>
        </w:rPr>
      </w:pPr>
      <w:r w:rsidRPr="00836CB6">
        <w:rPr>
          <w:rFonts w:asciiTheme="minorHAnsi" w:hAnsiTheme="minorHAnsi"/>
        </w:rPr>
        <w:lastRenderedPageBreak/>
        <w:t xml:space="preserve">Each of the indicators is described as being either a lead or lag indicator. Lag indicators are summative in nature. They describe the current state of progress toward an expected outcome. Lead indicators are those which capture the rate of movement towards an outcome or have a clear causal relationship to a desired outcome. </w:t>
      </w:r>
    </w:p>
    <w:p w:rsidR="00E04FCE" w:rsidRPr="00836CB6" w:rsidRDefault="00E04FCE" w:rsidP="00836CB6">
      <w:pPr>
        <w:spacing w:line="276" w:lineRule="auto"/>
        <w:jc w:val="both"/>
        <w:rPr>
          <w:rFonts w:asciiTheme="minorHAnsi" w:hAnsiTheme="minorHAnsi"/>
        </w:rPr>
      </w:pPr>
      <w:r w:rsidRPr="00836CB6">
        <w:rPr>
          <w:rFonts w:asciiTheme="minorHAnsi" w:hAnsiTheme="minorHAnsi"/>
        </w:rPr>
        <w:t>A summary of the results and findings for each of the indicators is presented in table format as part of this Executive Summary. This includes a summary assessment of the indicator result being positive, negative or uneven. A `Positive’ result indicates it is supportive of</w:t>
      </w:r>
      <w:r w:rsidR="00F200DE">
        <w:rPr>
          <w:rFonts w:asciiTheme="minorHAnsi" w:hAnsiTheme="minorHAnsi"/>
        </w:rPr>
        <w:t xml:space="preserve"> MoEC’s</w:t>
      </w:r>
      <w:r w:rsidRPr="00836CB6">
        <w:rPr>
          <w:rFonts w:asciiTheme="minorHAnsi" w:hAnsiTheme="minorHAnsi"/>
        </w:rPr>
        <w:t xml:space="preserve"> RENSTRA objectives</w:t>
      </w:r>
      <w:r w:rsidR="00F200DE">
        <w:rPr>
          <w:rFonts w:asciiTheme="minorHAnsi" w:hAnsiTheme="minorHAnsi"/>
        </w:rPr>
        <w:t xml:space="preserve"> for 2010-14</w:t>
      </w:r>
      <w:r w:rsidRPr="00836CB6">
        <w:rPr>
          <w:rFonts w:asciiTheme="minorHAnsi" w:hAnsiTheme="minorHAnsi"/>
        </w:rPr>
        <w:t>; a ‘Negative’ result suggests it is contradictory to RENSTRA objectives; and an ‘Uneven’ result indicates large variation between districts.</w:t>
      </w:r>
    </w:p>
    <w:p w:rsidR="00E04FCE" w:rsidRPr="00836CB6" w:rsidRDefault="00E04FCE" w:rsidP="00836CB6">
      <w:pPr>
        <w:spacing w:line="276" w:lineRule="auto"/>
        <w:jc w:val="both"/>
        <w:rPr>
          <w:rFonts w:asciiTheme="minorHAnsi" w:hAnsiTheme="minorHAnsi"/>
        </w:rPr>
      </w:pPr>
      <w:r w:rsidRPr="00836CB6">
        <w:rPr>
          <w:rFonts w:asciiTheme="minorHAnsi" w:hAnsiTheme="minorHAnsi"/>
        </w:rPr>
        <w:t xml:space="preserve">This report has utilized the Enhanced Analytical Facility (EAF) as a database and warehousing tool. The EAF has brought together education, finance and socio-economic data sets from a very wide range of sources. Greater inter-relational analysis of these data sets and enhanced </w:t>
      </w:r>
      <w:r w:rsidR="00A477E2" w:rsidRPr="00836CB6">
        <w:rPr>
          <w:rFonts w:asciiTheme="minorHAnsi" w:hAnsiTheme="minorHAnsi"/>
        </w:rPr>
        <w:t>visualization</w:t>
      </w:r>
      <w:r w:rsidRPr="00836CB6">
        <w:rPr>
          <w:rFonts w:asciiTheme="minorHAnsi" w:hAnsiTheme="minorHAnsi"/>
        </w:rPr>
        <w:t xml:space="preserve"> capacity from new software adds power and improves readability of the report. The EAF</w:t>
      </w:r>
      <w:r w:rsidR="00AE0152">
        <w:rPr>
          <w:rFonts w:asciiTheme="minorHAnsi" w:hAnsiTheme="minorHAnsi"/>
        </w:rPr>
        <w:t xml:space="preserve"> was again updated for this 2013</w:t>
      </w:r>
      <w:r w:rsidRPr="00836CB6">
        <w:rPr>
          <w:rFonts w:asciiTheme="minorHAnsi" w:hAnsiTheme="minorHAnsi"/>
        </w:rPr>
        <w:t xml:space="preserve"> report, with updates to financial and enrolment data for 2011 and t</w:t>
      </w:r>
      <w:r w:rsidR="00AE0152">
        <w:rPr>
          <w:rFonts w:asciiTheme="minorHAnsi" w:hAnsiTheme="minorHAnsi"/>
        </w:rPr>
        <w:t>he addition of new data for 2012</w:t>
      </w:r>
      <w:r w:rsidRPr="00836CB6">
        <w:rPr>
          <w:rFonts w:asciiTheme="minorHAnsi" w:hAnsiTheme="minorHAnsi"/>
        </w:rPr>
        <w:t xml:space="preserve">. </w:t>
      </w:r>
    </w:p>
    <w:p w:rsidR="001F6342" w:rsidRDefault="001F6342" w:rsidP="00D73DAA">
      <w:pPr>
        <w:spacing w:before="360" w:after="240"/>
        <w:rPr>
          <w:b/>
          <w:color w:val="003880"/>
          <w:sz w:val="32"/>
        </w:rPr>
      </w:pPr>
      <w:r w:rsidRPr="00D73DAA">
        <w:rPr>
          <w:b/>
          <w:iCs/>
          <w:color w:val="003880"/>
          <w:sz w:val="32"/>
        </w:rPr>
        <w:t xml:space="preserve">Key </w:t>
      </w:r>
      <w:r w:rsidR="00836CB6" w:rsidRPr="00D73DAA">
        <w:rPr>
          <w:b/>
          <w:color w:val="003880"/>
          <w:sz w:val="32"/>
        </w:rPr>
        <w:t>Findings</w:t>
      </w:r>
    </w:p>
    <w:p w:rsidR="007A1CE8" w:rsidRPr="00FE493A" w:rsidRDefault="007A1CE8" w:rsidP="007A1CE8">
      <w:pPr>
        <w:pStyle w:val="ListParagraph"/>
        <w:numPr>
          <w:ilvl w:val="0"/>
          <w:numId w:val="41"/>
        </w:numPr>
        <w:spacing w:after="0"/>
        <w:ind w:left="360"/>
        <w:contextualSpacing w:val="0"/>
        <w:jc w:val="both"/>
      </w:pPr>
      <w:r w:rsidRPr="007B732E">
        <w:rPr>
          <w:b/>
          <w:i/>
        </w:rPr>
        <w:t>Strong real growth in national public e</w:t>
      </w:r>
      <w:r>
        <w:rPr>
          <w:b/>
          <w:i/>
        </w:rPr>
        <w:t>xpenditure for education in 2013</w:t>
      </w:r>
      <w:r w:rsidRPr="007B732E">
        <w:rPr>
          <w:b/>
          <w:i/>
        </w:rPr>
        <w:t xml:space="preserve">. </w:t>
      </w:r>
    </w:p>
    <w:p w:rsidR="007A1CE8" w:rsidRPr="00281B7A" w:rsidRDefault="007A1CE8" w:rsidP="007A1CE8">
      <w:pPr>
        <w:spacing w:line="276" w:lineRule="auto"/>
        <w:ind w:left="360"/>
        <w:jc w:val="both"/>
      </w:pPr>
      <w:r w:rsidRPr="00281B7A">
        <w:t>The GoI had particularly impressive growth in real and nominal terms in 2006 and 2009. Since 2009, grow</w:t>
      </w:r>
      <w:r>
        <w:t>th in education expenditures has</w:t>
      </w:r>
      <w:r w:rsidRPr="00281B7A">
        <w:t xml:space="preserve"> marginal</w:t>
      </w:r>
      <w:r>
        <w:t>ly outpaced inflation, but there wa</w:t>
      </w:r>
      <w:r w:rsidRPr="00281B7A">
        <w:t>s a plateau in the real increase of national funding for education</w:t>
      </w:r>
      <w:r>
        <w:t xml:space="preserve"> until 2011</w:t>
      </w:r>
      <w:r w:rsidRPr="00281B7A">
        <w:t xml:space="preserve">. </w:t>
      </w:r>
      <w:r>
        <w:t>In 2012 and now 2013 we see consecutive significant increases in real terms for education funding.</w:t>
      </w:r>
    </w:p>
    <w:p w:rsidR="007A1CE8" w:rsidRPr="00FE493A" w:rsidRDefault="007A1CE8" w:rsidP="007A1CE8">
      <w:pPr>
        <w:pStyle w:val="ListParagraph"/>
        <w:numPr>
          <w:ilvl w:val="0"/>
          <w:numId w:val="41"/>
        </w:numPr>
        <w:spacing w:after="0"/>
        <w:ind w:left="360"/>
        <w:contextualSpacing w:val="0"/>
        <w:jc w:val="both"/>
      </w:pPr>
      <w:r w:rsidRPr="00FE493A">
        <w:rPr>
          <w:b/>
          <w:i/>
        </w:rPr>
        <w:t xml:space="preserve">Government commitment to meet a 20% target for education expenditure share of national </w:t>
      </w:r>
      <w:r>
        <w:rPr>
          <w:b/>
          <w:i/>
        </w:rPr>
        <w:t>budget has been met for the fif</w:t>
      </w:r>
      <w:r w:rsidRPr="00FE493A">
        <w:rPr>
          <w:b/>
          <w:i/>
        </w:rPr>
        <w:t xml:space="preserve">th year in a row. </w:t>
      </w:r>
    </w:p>
    <w:p w:rsidR="007A1CE8" w:rsidRPr="00DA470F" w:rsidRDefault="007A1CE8" w:rsidP="007A1CE8">
      <w:pPr>
        <w:spacing w:line="276" w:lineRule="auto"/>
        <w:ind w:left="360"/>
        <w:jc w:val="both"/>
      </w:pPr>
      <w:r w:rsidRPr="00DA470F">
        <w:t>The national expenditures for education in 201</w:t>
      </w:r>
      <w:r>
        <w:t>3</w:t>
      </w:r>
      <w:r w:rsidRPr="00DA470F">
        <w:t xml:space="preserve"> met the 20% ta</w:t>
      </w:r>
      <w:r>
        <w:t xml:space="preserve">rget. Education has benefited from total national public revenues and expenditures which have grown at a significantly faster rate than inflation. </w:t>
      </w:r>
    </w:p>
    <w:p w:rsidR="007A1CE8" w:rsidRDefault="007A1CE8" w:rsidP="007A1CE8">
      <w:pPr>
        <w:pStyle w:val="ListParagraph"/>
        <w:numPr>
          <w:ilvl w:val="0"/>
          <w:numId w:val="41"/>
        </w:numPr>
        <w:spacing w:after="0"/>
        <w:ind w:left="360"/>
        <w:contextualSpacing w:val="0"/>
        <w:jc w:val="both"/>
        <w:rPr>
          <w:i/>
          <w:color w:val="000000"/>
        </w:rPr>
      </w:pPr>
      <w:r w:rsidRPr="00FE493A">
        <w:rPr>
          <w:b/>
          <w:i/>
          <w:color w:val="000000"/>
        </w:rPr>
        <w:t>Average district level education expenditures across Indonesia have increased from 27% of the total district bu</w:t>
      </w:r>
      <w:r>
        <w:rPr>
          <w:b/>
          <w:i/>
          <w:color w:val="000000"/>
        </w:rPr>
        <w:t>dget (APBD) in 2006 to nearly 34% share in 2013</w:t>
      </w:r>
      <w:r w:rsidRPr="00FE493A">
        <w:rPr>
          <w:i/>
          <w:color w:val="000000"/>
        </w:rPr>
        <w:t xml:space="preserve">. </w:t>
      </w:r>
    </w:p>
    <w:p w:rsidR="007A1CE8" w:rsidRPr="00B67503" w:rsidRDefault="007A1CE8" w:rsidP="007A1CE8">
      <w:pPr>
        <w:pStyle w:val="ListParagraph"/>
        <w:spacing w:after="120"/>
        <w:ind w:left="360"/>
        <w:contextualSpacing w:val="0"/>
        <w:jc w:val="both"/>
        <w:rPr>
          <w:color w:val="000000"/>
        </w:rPr>
      </w:pPr>
      <w:r>
        <w:rPr>
          <w:color w:val="000000"/>
        </w:rPr>
        <w:t xml:space="preserve">All of these gains were obtained during the period 2006-2011. </w:t>
      </w:r>
      <w:r w:rsidRPr="00B67503">
        <w:rPr>
          <w:color w:val="000000"/>
        </w:rPr>
        <w:t>This is a positive trend but in 2012 and 2013 the education</w:t>
      </w:r>
      <w:r>
        <w:rPr>
          <w:color w:val="000000"/>
        </w:rPr>
        <w:t xml:space="preserve"> budget</w:t>
      </w:r>
      <w:r w:rsidRPr="00B67503">
        <w:rPr>
          <w:color w:val="000000"/>
        </w:rPr>
        <w:t xml:space="preserve"> has not kept up it</w:t>
      </w:r>
      <w:r>
        <w:rPr>
          <w:color w:val="000000"/>
        </w:rPr>
        <w:t>s</w:t>
      </w:r>
      <w:r w:rsidRPr="00B67503">
        <w:rPr>
          <w:color w:val="000000"/>
        </w:rPr>
        <w:t xml:space="preserve"> share of expanding district </w:t>
      </w:r>
      <w:r>
        <w:rPr>
          <w:color w:val="000000"/>
        </w:rPr>
        <w:t xml:space="preserve">budgets. The ambitious plans for the education sector will be damaged if the districts allocation to the education sector continues to decline. </w:t>
      </w:r>
    </w:p>
    <w:p w:rsidR="007A1CE8" w:rsidRDefault="007A1CE8" w:rsidP="007A1CE8">
      <w:pPr>
        <w:pStyle w:val="ListParagraph"/>
        <w:numPr>
          <w:ilvl w:val="0"/>
          <w:numId w:val="41"/>
        </w:numPr>
        <w:spacing w:after="0"/>
        <w:ind w:left="360"/>
        <w:contextualSpacing w:val="0"/>
        <w:jc w:val="both"/>
      </w:pPr>
      <w:r w:rsidRPr="007B732E">
        <w:rPr>
          <w:b/>
          <w:i/>
        </w:rPr>
        <w:t xml:space="preserve">The lowest average share of budget allocation for education was found in Papua (16%) </w:t>
      </w:r>
      <w:r>
        <w:rPr>
          <w:b/>
          <w:i/>
        </w:rPr>
        <w:t>which now stands some distance from other island groups in allocating a very low share of its budget for education.</w:t>
      </w:r>
      <w:r>
        <w:t xml:space="preserve"> </w:t>
      </w:r>
    </w:p>
    <w:p w:rsidR="007A1CE8" w:rsidRDefault="007A1CE8" w:rsidP="007A1CE8">
      <w:pPr>
        <w:spacing w:line="276" w:lineRule="auto"/>
        <w:ind w:left="360"/>
        <w:jc w:val="both"/>
      </w:pPr>
      <w:r>
        <w:t xml:space="preserve">While Maluku has shown growth since 2010, Papua has dropped again from an 18% education share of district budgets in 2010 to 16% in 2013. </w:t>
      </w:r>
    </w:p>
    <w:p w:rsidR="007A1CE8" w:rsidRPr="00D7213C" w:rsidRDefault="007A1CE8" w:rsidP="007A1CE8">
      <w:pPr>
        <w:pStyle w:val="ListParagraph"/>
        <w:numPr>
          <w:ilvl w:val="0"/>
          <w:numId w:val="41"/>
        </w:numPr>
        <w:spacing w:after="0"/>
        <w:ind w:left="360"/>
        <w:contextualSpacing w:val="0"/>
        <w:jc w:val="both"/>
        <w:rPr>
          <w:b/>
          <w:i/>
        </w:rPr>
      </w:pPr>
      <w:r>
        <w:rPr>
          <w:b/>
          <w:i/>
        </w:rPr>
        <w:t>Nationally, 31</w:t>
      </w:r>
      <w:r w:rsidRPr="00FE493A">
        <w:rPr>
          <w:b/>
          <w:i/>
        </w:rPr>
        <w:t xml:space="preserve"> districts allocated less than 15% of their total district bu</w:t>
      </w:r>
      <w:r>
        <w:rPr>
          <w:b/>
          <w:i/>
        </w:rPr>
        <w:t>dget (APBD) on education in 2013</w:t>
      </w:r>
      <w:r w:rsidRPr="00FE493A">
        <w:rPr>
          <w:b/>
        </w:rPr>
        <w:t>.</w:t>
      </w:r>
      <w:r>
        <w:t xml:space="preserve"> </w:t>
      </w:r>
      <w:r w:rsidRPr="00D7213C">
        <w:rPr>
          <w:b/>
          <w:i/>
        </w:rPr>
        <w:t>Of these 31 districts,</w:t>
      </w:r>
      <w:r>
        <w:t xml:space="preserve"> </w:t>
      </w:r>
      <w:r w:rsidRPr="00D7213C">
        <w:rPr>
          <w:b/>
          <w:i/>
        </w:rPr>
        <w:t>24 are in the poorest quintile, and 22 of these poorest are found in Papua</w:t>
      </w:r>
    </w:p>
    <w:p w:rsidR="007A1CE8" w:rsidRDefault="007A1CE8" w:rsidP="007A1CE8">
      <w:pPr>
        <w:spacing w:line="276" w:lineRule="auto"/>
        <w:ind w:left="360"/>
        <w:jc w:val="both"/>
      </w:pPr>
      <w:r>
        <w:lastRenderedPageBreak/>
        <w:t>Of the 31 districts spending less than 15% of their budget on education, 19 districts have allocated less than 15% for four years 2010-2013. The continued pattern of spending of less than 15% towards education limits the ability of these districts to catch up with others, i.e. the equity gap will further widen. This problem has a particular relevance for Papua as it is heavily represented in this group.</w:t>
      </w:r>
    </w:p>
    <w:p w:rsidR="007A1CE8" w:rsidRPr="00AE1712" w:rsidRDefault="007A1CE8" w:rsidP="007A1CE8">
      <w:pPr>
        <w:pStyle w:val="ListParagraph"/>
        <w:numPr>
          <w:ilvl w:val="0"/>
          <w:numId w:val="41"/>
        </w:numPr>
        <w:spacing w:after="120"/>
        <w:ind w:left="360"/>
        <w:contextualSpacing w:val="0"/>
        <w:jc w:val="both"/>
      </w:pPr>
      <w:r w:rsidRPr="00AE1712">
        <w:rPr>
          <w:b/>
          <w:i/>
        </w:rPr>
        <w:t xml:space="preserve">In looking at districts by relative poverty status, the poorest quintile districts have slipped further below the others in being the only ones that allocate less than 30% of their district budget for education. </w:t>
      </w:r>
    </w:p>
    <w:p w:rsidR="007A1CE8" w:rsidRDefault="007A1CE8" w:rsidP="007A1CE8">
      <w:pPr>
        <w:spacing w:line="276" w:lineRule="auto"/>
        <w:ind w:left="360"/>
        <w:jc w:val="both"/>
      </w:pPr>
      <w:r>
        <w:t>If the poorest districts do not accelerate their education spending they are likely to fall further behind wealthier districts.</w:t>
      </w:r>
    </w:p>
    <w:p w:rsidR="007A1CE8" w:rsidRPr="00FE493A" w:rsidRDefault="007A1CE8" w:rsidP="007A1CE8">
      <w:pPr>
        <w:pStyle w:val="ListParagraph"/>
        <w:numPr>
          <w:ilvl w:val="0"/>
          <w:numId w:val="41"/>
        </w:numPr>
        <w:spacing w:after="0"/>
        <w:ind w:left="360"/>
        <w:contextualSpacing w:val="0"/>
        <w:jc w:val="both"/>
        <w:rPr>
          <w:color w:val="000000"/>
        </w:rPr>
      </w:pPr>
      <w:r>
        <w:rPr>
          <w:b/>
          <w:i/>
        </w:rPr>
        <w:t>In 2013,</w:t>
      </w:r>
      <w:r w:rsidRPr="007B732E">
        <w:rPr>
          <w:b/>
          <w:i/>
        </w:rPr>
        <w:t xml:space="preserve"> </w:t>
      </w:r>
      <w:r>
        <w:rPr>
          <w:b/>
          <w:i/>
        </w:rPr>
        <w:t>62</w:t>
      </w:r>
      <w:r w:rsidRPr="007B732E">
        <w:rPr>
          <w:b/>
          <w:i/>
        </w:rPr>
        <w:t xml:space="preserve"> districts (</w:t>
      </w:r>
      <w:r>
        <w:rPr>
          <w:b/>
          <w:i/>
        </w:rPr>
        <w:t>13</w:t>
      </w:r>
      <w:r w:rsidRPr="007B732E">
        <w:rPr>
          <w:b/>
          <w:i/>
        </w:rPr>
        <w:t xml:space="preserve">%) </w:t>
      </w:r>
      <w:r>
        <w:rPr>
          <w:b/>
          <w:i/>
        </w:rPr>
        <w:t>posted</w:t>
      </w:r>
      <w:r w:rsidRPr="007B732E">
        <w:rPr>
          <w:b/>
          <w:i/>
        </w:rPr>
        <w:t xml:space="preserve"> a decline in the</w:t>
      </w:r>
      <w:r>
        <w:rPr>
          <w:b/>
          <w:i/>
        </w:rPr>
        <w:t>ir</w:t>
      </w:r>
      <w:r w:rsidRPr="007B732E">
        <w:rPr>
          <w:b/>
          <w:i/>
        </w:rPr>
        <w:t xml:space="preserve"> education budget.</w:t>
      </w:r>
      <w:r>
        <w:t xml:space="preserve"> </w:t>
      </w:r>
    </w:p>
    <w:p w:rsidR="007A1CE8" w:rsidRDefault="007A1CE8" w:rsidP="007A1CE8">
      <w:pPr>
        <w:spacing w:line="276" w:lineRule="auto"/>
        <w:ind w:left="360"/>
        <w:jc w:val="both"/>
      </w:pPr>
      <w:r>
        <w:t xml:space="preserve">This is an improvement from 2012, when 97 districts posted a decline in their annual education budget allocation. </w:t>
      </w:r>
    </w:p>
    <w:p w:rsidR="007A1CE8" w:rsidRPr="00184BE5" w:rsidRDefault="007A1CE8" w:rsidP="007A1CE8">
      <w:pPr>
        <w:pStyle w:val="ListParagraph"/>
        <w:numPr>
          <w:ilvl w:val="0"/>
          <w:numId w:val="41"/>
        </w:numPr>
        <w:spacing w:after="0"/>
        <w:ind w:left="360"/>
        <w:contextualSpacing w:val="0"/>
        <w:jc w:val="both"/>
        <w:rPr>
          <w:color w:val="000000"/>
        </w:rPr>
      </w:pPr>
      <w:r w:rsidRPr="00184BE5">
        <w:rPr>
          <w:b/>
          <w:i/>
        </w:rPr>
        <w:t>The problem of contracting education budgets in poorest districts is focused on Papua</w:t>
      </w:r>
      <w:r>
        <w:t xml:space="preserve">. </w:t>
      </w:r>
    </w:p>
    <w:p w:rsidR="007A1CE8" w:rsidRPr="00FE493A" w:rsidRDefault="007A1CE8" w:rsidP="007A1CE8">
      <w:pPr>
        <w:spacing w:line="276" w:lineRule="auto"/>
        <w:ind w:left="360"/>
        <w:jc w:val="both"/>
        <w:rPr>
          <w:color w:val="000000"/>
        </w:rPr>
      </w:pPr>
      <w:r>
        <w:t>T</w:t>
      </w:r>
      <w:r>
        <w:rPr>
          <w:color w:val="000000"/>
        </w:rPr>
        <w:t xml:space="preserve">en of the 17 poorest </w:t>
      </w:r>
      <w:r w:rsidRPr="00FE493A">
        <w:rPr>
          <w:color w:val="000000"/>
        </w:rPr>
        <w:t xml:space="preserve">districts </w:t>
      </w:r>
      <w:r>
        <w:rPr>
          <w:color w:val="000000"/>
        </w:rPr>
        <w:t>which recorded</w:t>
      </w:r>
      <w:r w:rsidRPr="00FE493A">
        <w:rPr>
          <w:color w:val="000000"/>
        </w:rPr>
        <w:t xml:space="preserve"> a decline in nominal annual district education expenditure</w:t>
      </w:r>
      <w:r>
        <w:rPr>
          <w:color w:val="000000"/>
        </w:rPr>
        <w:t xml:space="preserve"> in 2013 </w:t>
      </w:r>
      <w:r w:rsidRPr="00FE493A">
        <w:rPr>
          <w:color w:val="000000"/>
        </w:rPr>
        <w:t>are located in Papua.</w:t>
      </w:r>
    </w:p>
    <w:p w:rsidR="007A1CE8" w:rsidRDefault="007A1CE8" w:rsidP="007A1CE8">
      <w:pPr>
        <w:pStyle w:val="ListParagraph"/>
        <w:numPr>
          <w:ilvl w:val="0"/>
          <w:numId w:val="41"/>
        </w:numPr>
        <w:spacing w:after="0"/>
        <w:ind w:left="360"/>
        <w:contextualSpacing w:val="0"/>
        <w:jc w:val="both"/>
        <w:rPr>
          <w:color w:val="000000"/>
        </w:rPr>
      </w:pPr>
      <w:r w:rsidRPr="00FE493A">
        <w:rPr>
          <w:b/>
          <w:i/>
          <w:color w:val="000000"/>
        </w:rPr>
        <w:t xml:space="preserve">Average district expenditure per student </w:t>
      </w:r>
      <w:r>
        <w:rPr>
          <w:b/>
          <w:i/>
          <w:color w:val="000000"/>
        </w:rPr>
        <w:t xml:space="preserve">grew </w:t>
      </w:r>
      <w:r w:rsidRPr="00FE493A">
        <w:rPr>
          <w:b/>
          <w:i/>
          <w:color w:val="000000"/>
        </w:rPr>
        <w:t xml:space="preserve">across the country </w:t>
      </w:r>
      <w:r>
        <w:rPr>
          <w:b/>
          <w:i/>
          <w:color w:val="000000"/>
        </w:rPr>
        <w:t>and is highest in the poorest districts.</w:t>
      </w:r>
      <w:r w:rsidRPr="00FE493A">
        <w:rPr>
          <w:color w:val="000000"/>
        </w:rPr>
        <w:t xml:space="preserve"> </w:t>
      </w:r>
    </w:p>
    <w:p w:rsidR="007A1CE8" w:rsidRPr="00FE493A" w:rsidRDefault="007A1CE8" w:rsidP="007A1CE8">
      <w:pPr>
        <w:spacing w:line="276" w:lineRule="auto"/>
        <w:ind w:left="360"/>
        <w:jc w:val="both"/>
        <w:rPr>
          <w:color w:val="000000"/>
        </w:rPr>
      </w:pPr>
      <w:r w:rsidRPr="00FE493A">
        <w:rPr>
          <w:color w:val="000000"/>
        </w:rPr>
        <w:t>Average education expenditure per student has grown to Rp. 3.</w:t>
      </w:r>
      <w:r>
        <w:rPr>
          <w:color w:val="000000"/>
        </w:rPr>
        <w:t>5</w:t>
      </w:r>
      <w:r w:rsidRPr="00FE493A">
        <w:rPr>
          <w:color w:val="000000"/>
        </w:rPr>
        <w:t xml:space="preserve"> million in 201</w:t>
      </w:r>
      <w:r>
        <w:rPr>
          <w:color w:val="000000"/>
        </w:rPr>
        <w:t>3</w:t>
      </w:r>
      <w:r w:rsidRPr="00FE493A">
        <w:rPr>
          <w:color w:val="000000"/>
        </w:rPr>
        <w:t xml:space="preserve"> from an</w:t>
      </w:r>
      <w:r>
        <w:rPr>
          <w:color w:val="000000"/>
        </w:rPr>
        <w:t xml:space="preserve"> average Rp. 3.1 million in 2012</w:t>
      </w:r>
      <w:r w:rsidRPr="00FE493A">
        <w:rPr>
          <w:color w:val="000000"/>
        </w:rPr>
        <w:t>. Highest allocations per student are found in the poorest districts (q</w:t>
      </w:r>
      <w:r>
        <w:rPr>
          <w:color w:val="000000"/>
        </w:rPr>
        <w:t>uintile 5) at an average Rp. 3.8</w:t>
      </w:r>
      <w:r w:rsidRPr="00FE493A">
        <w:rPr>
          <w:color w:val="000000"/>
        </w:rPr>
        <w:t xml:space="preserve"> million per student.</w:t>
      </w:r>
    </w:p>
    <w:p w:rsidR="007A1CE8" w:rsidRDefault="007A1CE8" w:rsidP="007A1CE8">
      <w:pPr>
        <w:pStyle w:val="ListParagraph"/>
        <w:numPr>
          <w:ilvl w:val="0"/>
          <w:numId w:val="41"/>
        </w:numPr>
        <w:spacing w:after="0"/>
        <w:ind w:left="360"/>
        <w:contextualSpacing w:val="0"/>
        <w:jc w:val="both"/>
      </w:pPr>
      <w:r w:rsidRPr="00FE493A">
        <w:rPr>
          <w:b/>
          <w:i/>
        </w:rPr>
        <w:t xml:space="preserve">To achieve better learning outcomes across the poorest districts, the district governments in poorest districts will need to </w:t>
      </w:r>
      <w:r>
        <w:rPr>
          <w:b/>
          <w:i/>
        </w:rPr>
        <w:t xml:space="preserve">keep </w:t>
      </w:r>
      <w:r w:rsidRPr="00FE493A">
        <w:rPr>
          <w:b/>
          <w:i/>
        </w:rPr>
        <w:t>grow</w:t>
      </w:r>
      <w:r>
        <w:rPr>
          <w:b/>
          <w:i/>
        </w:rPr>
        <w:t>ing</w:t>
      </w:r>
      <w:r w:rsidRPr="00FE493A">
        <w:rPr>
          <w:b/>
          <w:i/>
        </w:rPr>
        <w:t xml:space="preserve"> their education spending more quickly and drive a stronger ‘equity slope’ in education funding distribution.</w:t>
      </w:r>
      <w:r>
        <w:t xml:space="preserve"> </w:t>
      </w:r>
    </w:p>
    <w:p w:rsidR="007A1CE8" w:rsidRDefault="007A1CE8" w:rsidP="007A1CE8">
      <w:pPr>
        <w:spacing w:line="276" w:lineRule="auto"/>
        <w:ind w:left="360"/>
        <w:jc w:val="both"/>
      </w:pPr>
      <w:r>
        <w:t>In 2012 the slope of equity spending was halted, with slower growth in the poorest districts. In 2013 there was a spike in expenditure in the poorest districts and this needs to be sustained over a number of years so the poorest districts can improve the quality and reach of their education system.</w:t>
      </w:r>
    </w:p>
    <w:p w:rsidR="007A1CE8" w:rsidRPr="00FE493A" w:rsidRDefault="007A1CE8" w:rsidP="007A1CE8">
      <w:pPr>
        <w:pStyle w:val="ListParagraph"/>
        <w:numPr>
          <w:ilvl w:val="0"/>
          <w:numId w:val="41"/>
        </w:numPr>
        <w:spacing w:after="0"/>
        <w:ind w:left="360"/>
        <w:contextualSpacing w:val="0"/>
        <w:jc w:val="both"/>
      </w:pPr>
      <w:r>
        <w:rPr>
          <w:b/>
          <w:i/>
        </w:rPr>
        <w:t>There was only one district in 2013 that m</w:t>
      </w:r>
      <w:r w:rsidRPr="00FE493A">
        <w:rPr>
          <w:b/>
          <w:i/>
        </w:rPr>
        <w:t>et Critical Education Funding Status (CEFS) criteria compared t</w:t>
      </w:r>
      <w:r>
        <w:rPr>
          <w:b/>
          <w:i/>
        </w:rPr>
        <w:t>o six districts in 2012</w:t>
      </w:r>
      <w:r w:rsidRPr="00FE493A">
        <w:rPr>
          <w:b/>
        </w:rPr>
        <w:t xml:space="preserve">. </w:t>
      </w:r>
    </w:p>
    <w:p w:rsidR="007A1CE8" w:rsidRDefault="007A1CE8" w:rsidP="007A1CE8">
      <w:pPr>
        <w:spacing w:line="276" w:lineRule="auto"/>
        <w:ind w:left="360"/>
        <w:jc w:val="both"/>
      </w:pPr>
      <w:r w:rsidRPr="00B07268">
        <w:t xml:space="preserve">The CEFS diagnostic tool </w:t>
      </w:r>
      <w:r>
        <w:t xml:space="preserve">developed by the ASFR </w:t>
      </w:r>
      <w:r w:rsidRPr="00B07268">
        <w:t xml:space="preserve">identifies districts that have (i) low expenditure per student, (ii) small education share of the district budget, and (iii) weak annual growth in their education budget. </w:t>
      </w:r>
    </w:p>
    <w:p w:rsidR="007A1CE8" w:rsidRPr="00CF5BDE" w:rsidRDefault="007A1CE8" w:rsidP="007A1CE8">
      <w:pPr>
        <w:pStyle w:val="ListParagraph"/>
        <w:numPr>
          <w:ilvl w:val="0"/>
          <w:numId w:val="41"/>
        </w:numPr>
        <w:spacing w:after="0"/>
        <w:ind w:left="360"/>
        <w:contextualSpacing w:val="0"/>
        <w:jc w:val="both"/>
        <w:rPr>
          <w:b/>
          <w:i/>
        </w:rPr>
      </w:pPr>
      <w:r>
        <w:rPr>
          <w:b/>
          <w:i/>
        </w:rPr>
        <w:t>A c</w:t>
      </w:r>
      <w:r w:rsidRPr="00CF5BDE">
        <w:rPr>
          <w:b/>
          <w:i/>
        </w:rPr>
        <w:t xml:space="preserve">orrelation in low expenditure for education and health sectors suggests it will be useful to investigate more closely those districts </w:t>
      </w:r>
      <w:r>
        <w:rPr>
          <w:b/>
          <w:i/>
        </w:rPr>
        <w:t xml:space="preserve">where and </w:t>
      </w:r>
      <w:r w:rsidRPr="00CF5BDE">
        <w:rPr>
          <w:b/>
          <w:i/>
        </w:rPr>
        <w:t>why there is low share of expenditure for the social sector</w:t>
      </w:r>
      <w:r>
        <w:rPr>
          <w:b/>
          <w:i/>
        </w:rPr>
        <w:t xml:space="preserve"> as a whole.</w:t>
      </w:r>
    </w:p>
    <w:p w:rsidR="007A1CE8" w:rsidRDefault="007A1CE8" w:rsidP="007A1CE8">
      <w:pPr>
        <w:spacing w:line="276" w:lineRule="auto"/>
        <w:ind w:left="360"/>
        <w:jc w:val="both"/>
      </w:pPr>
      <w:r w:rsidRPr="00924312">
        <w:t>There is no sign that health sector is crowding out the education sector spending (or vice-versa) at the district level.</w:t>
      </w:r>
      <w:r>
        <w:t xml:space="preserve"> On the contrary, t</w:t>
      </w:r>
      <w:r w:rsidRPr="00924312">
        <w:t>here is a strong correlation for districts that have contracting education allocations to also be allocating less than the national average for health</w:t>
      </w:r>
      <w:r>
        <w:t>.</w:t>
      </w:r>
    </w:p>
    <w:p w:rsidR="00D73DAA" w:rsidRDefault="00D73DAA">
      <w:pPr>
        <w:spacing w:after="0"/>
        <w:rPr>
          <w:b/>
          <w:color w:val="003880"/>
          <w:sz w:val="32"/>
        </w:rPr>
      </w:pPr>
      <w:r>
        <w:rPr>
          <w:b/>
          <w:color w:val="003880"/>
          <w:sz w:val="32"/>
        </w:rPr>
        <w:br w:type="page"/>
      </w:r>
    </w:p>
    <w:p w:rsidR="001F6342" w:rsidRPr="00D73DAA" w:rsidRDefault="001F6342" w:rsidP="00D73DAA">
      <w:pPr>
        <w:spacing w:before="360" w:after="240"/>
        <w:rPr>
          <w:b/>
          <w:color w:val="003880"/>
          <w:sz w:val="32"/>
        </w:rPr>
      </w:pPr>
      <w:r w:rsidRPr="00D73DAA">
        <w:rPr>
          <w:b/>
          <w:color w:val="003880"/>
          <w:sz w:val="32"/>
        </w:rPr>
        <w:lastRenderedPageBreak/>
        <w:t xml:space="preserve">Possible </w:t>
      </w:r>
      <w:r w:rsidR="00836CB6" w:rsidRPr="00D73DAA">
        <w:rPr>
          <w:b/>
          <w:color w:val="003880"/>
          <w:sz w:val="32"/>
        </w:rPr>
        <w:t xml:space="preserve">Impacts </w:t>
      </w:r>
      <w:r w:rsidRPr="00D73DAA">
        <w:rPr>
          <w:b/>
          <w:color w:val="003880"/>
          <w:sz w:val="32"/>
        </w:rPr>
        <w:t xml:space="preserve">on the </w:t>
      </w:r>
      <w:r w:rsidR="00836CB6" w:rsidRPr="00D73DAA">
        <w:rPr>
          <w:b/>
          <w:color w:val="003880"/>
          <w:sz w:val="32"/>
        </w:rPr>
        <w:t xml:space="preserve">Sustainability </w:t>
      </w:r>
      <w:r w:rsidRPr="00D73DAA">
        <w:rPr>
          <w:b/>
          <w:color w:val="003880"/>
          <w:sz w:val="32"/>
        </w:rPr>
        <w:t xml:space="preserve">of </w:t>
      </w:r>
      <w:r w:rsidR="00836CB6" w:rsidRPr="00D73DAA">
        <w:rPr>
          <w:b/>
          <w:color w:val="003880"/>
          <w:sz w:val="32"/>
        </w:rPr>
        <w:t xml:space="preserve">Benefits Stemming </w:t>
      </w:r>
      <w:r w:rsidRPr="00D73DAA">
        <w:rPr>
          <w:b/>
          <w:color w:val="003880"/>
          <w:sz w:val="32"/>
        </w:rPr>
        <w:t xml:space="preserve">from EP </w:t>
      </w:r>
      <w:r w:rsidR="00836CB6" w:rsidRPr="00D73DAA">
        <w:rPr>
          <w:b/>
          <w:color w:val="003880"/>
          <w:sz w:val="32"/>
        </w:rPr>
        <w:t>Investments</w:t>
      </w:r>
    </w:p>
    <w:p w:rsidR="00CF2827" w:rsidRDefault="00CF2827" w:rsidP="00CF2827">
      <w:pPr>
        <w:pStyle w:val="ListParagraph"/>
        <w:numPr>
          <w:ilvl w:val="0"/>
          <w:numId w:val="42"/>
        </w:numPr>
        <w:spacing w:after="120"/>
        <w:ind w:left="357" w:hanging="357"/>
        <w:contextualSpacing w:val="0"/>
        <w:jc w:val="both"/>
      </w:pPr>
      <w:r>
        <w:t xml:space="preserve">At a macro level, there is solid evidence to suggest that the GoI will continue to invest heavily in education. This should flow through in its support for district budgets. National funding for the education sector is expected to remain strong. </w:t>
      </w:r>
      <w:r w:rsidRPr="004D04C5">
        <w:t>Adherence to a proportional budget allocation for education enhance</w:t>
      </w:r>
      <w:r>
        <w:t>s</w:t>
      </w:r>
      <w:r w:rsidRPr="004D04C5">
        <w:t xml:space="preserve"> the ability of the education sector to anticipate future allocations and plan accordingly by creating a more stable financing framework. The proportional allocation approach toward education financing enhance</w:t>
      </w:r>
      <w:r>
        <w:t>s</w:t>
      </w:r>
      <w:r w:rsidRPr="004D04C5">
        <w:t xml:space="preserve"> predictability and steady growth of the education budget</w:t>
      </w:r>
      <w:r>
        <w:t xml:space="preserve"> in a growing economy</w:t>
      </w:r>
      <w:r w:rsidRPr="004D04C5">
        <w:t xml:space="preserve">. </w:t>
      </w:r>
    </w:p>
    <w:p w:rsidR="00CF2827" w:rsidRDefault="00CF2827" w:rsidP="00CF2827">
      <w:pPr>
        <w:pStyle w:val="ListParagraph"/>
        <w:numPr>
          <w:ilvl w:val="0"/>
          <w:numId w:val="42"/>
        </w:numPr>
        <w:spacing w:after="120"/>
        <w:ind w:left="357" w:hanging="357"/>
        <w:contextualSpacing w:val="0"/>
        <w:jc w:val="both"/>
        <w:rPr>
          <w:noProof/>
        </w:rPr>
      </w:pPr>
      <w:r>
        <w:rPr>
          <w:noProof/>
        </w:rPr>
        <w:t>In 2013, as for 2012, there were 18 EP districts (ten were C2 districts) that contributed less than the 20% national target for education, which is considerably lower than the national average of 34% for education in 2013. This low share of funding for education in specific districts may threaten the sustainability of EP investments in the future.This is especially the case for those ten EP C2 districts which will require ongoing professional development costs.</w:t>
      </w:r>
    </w:p>
    <w:p w:rsidR="00CF2827" w:rsidRPr="005D782A" w:rsidRDefault="00CF2827" w:rsidP="00CF2827">
      <w:pPr>
        <w:pStyle w:val="ListParagraph"/>
        <w:numPr>
          <w:ilvl w:val="0"/>
          <w:numId w:val="42"/>
        </w:numPr>
        <w:spacing w:after="120"/>
        <w:ind w:left="357" w:hanging="357"/>
        <w:contextualSpacing w:val="0"/>
        <w:jc w:val="both"/>
      </w:pPr>
      <w:r>
        <w:t xml:space="preserve">In 2013 there were 19 </w:t>
      </w:r>
      <w:r w:rsidRPr="005D782A">
        <w:t xml:space="preserve">districts with the highest poverty rates persistently </w:t>
      </w:r>
      <w:r>
        <w:t xml:space="preserve">over four years </w:t>
      </w:r>
      <w:r w:rsidRPr="005D782A">
        <w:t xml:space="preserve">allocating a significantly smaller share (less than </w:t>
      </w:r>
      <w:r>
        <w:t>15%) of resources for education</w:t>
      </w:r>
      <w:r w:rsidRPr="005D782A">
        <w:t xml:space="preserve">. </w:t>
      </w:r>
      <w:r>
        <w:t xml:space="preserve">This low commitment from some of the poorest districts makes it harder for them to catch up on educational development. It also indicates which districts may have further scope to grow their education budget and cover the cost associated with PD and the maintenance of new school buildings as might be funded under the EP. </w:t>
      </w:r>
    </w:p>
    <w:p w:rsidR="00CF2827" w:rsidRDefault="00CF2827" w:rsidP="00CF2827">
      <w:pPr>
        <w:pStyle w:val="ListParagraph"/>
        <w:numPr>
          <w:ilvl w:val="0"/>
          <w:numId w:val="42"/>
        </w:numPr>
        <w:spacing w:after="120"/>
        <w:ind w:left="357" w:hanging="357"/>
        <w:contextualSpacing w:val="0"/>
        <w:jc w:val="both"/>
      </w:pPr>
      <w:r w:rsidRPr="005D782A">
        <w:t>Papua stand</w:t>
      </w:r>
      <w:r>
        <w:t>s</w:t>
      </w:r>
      <w:r w:rsidRPr="005D782A">
        <w:t xml:space="preserve"> out as </w:t>
      </w:r>
      <w:r>
        <w:t xml:space="preserve">the one island </w:t>
      </w:r>
      <w:r w:rsidRPr="005D782A">
        <w:t xml:space="preserve">that </w:t>
      </w:r>
      <w:r>
        <w:t xml:space="preserve">now spends </w:t>
      </w:r>
      <w:r w:rsidRPr="005D782A">
        <w:t>the least for education as a proportion of total district funds</w:t>
      </w:r>
      <w:r>
        <w:t>. There is scope to increase education funding in these areas to cover the additional but modest recurrent costs associated with the EP investments.</w:t>
      </w:r>
    </w:p>
    <w:p w:rsidR="00CF2827" w:rsidRDefault="00CF2827" w:rsidP="00CF2827">
      <w:pPr>
        <w:pStyle w:val="ListParagraph"/>
        <w:numPr>
          <w:ilvl w:val="0"/>
          <w:numId w:val="42"/>
        </w:numPr>
        <w:spacing w:after="120"/>
        <w:ind w:left="357" w:hanging="357"/>
        <w:contextualSpacing w:val="0"/>
        <w:jc w:val="both"/>
      </w:pPr>
      <w:r>
        <w:t>Maluku island districts (unlike Papua) have left the low average share of budget for education and are moving towards the national average. This suggests investment in the island might be met with stronger counterpart funding activity.</w:t>
      </w:r>
    </w:p>
    <w:p w:rsidR="00CF2827" w:rsidRDefault="00CF2827" w:rsidP="00CF2827">
      <w:pPr>
        <w:pStyle w:val="ListParagraph"/>
        <w:numPr>
          <w:ilvl w:val="0"/>
          <w:numId w:val="42"/>
        </w:numPr>
        <w:spacing w:after="120"/>
        <w:ind w:left="357" w:hanging="357"/>
        <w:contextualSpacing w:val="0"/>
        <w:jc w:val="both"/>
      </w:pPr>
      <w:r w:rsidRPr="00066E98">
        <w:t>Most EP districts are showing growth in per student allocations for education</w:t>
      </w:r>
      <w:r>
        <w:t xml:space="preserve">. This </w:t>
      </w:r>
      <w:r w:rsidRPr="00066E98">
        <w:t xml:space="preserve">provides a good financial base for further improvements. </w:t>
      </w:r>
      <w:r>
        <w:t xml:space="preserve">In 2013 there was a reduction in the number of EP districts (40) that </w:t>
      </w:r>
      <w:r w:rsidRPr="001B0B60">
        <w:t>contracted their edu</w:t>
      </w:r>
      <w:r>
        <w:t xml:space="preserve">cation budget - compared to 59 in 2012. This is a positive improvement for the program and better positons more districts to assume financial responsibility. </w:t>
      </w:r>
    </w:p>
    <w:p w:rsidR="00CF2827" w:rsidRDefault="00CF2827" w:rsidP="00CF2827">
      <w:pPr>
        <w:pStyle w:val="ListParagraph"/>
        <w:numPr>
          <w:ilvl w:val="0"/>
          <w:numId w:val="42"/>
        </w:numPr>
        <w:spacing w:after="120"/>
        <w:ind w:left="357" w:hanging="357"/>
        <w:contextualSpacing w:val="0"/>
        <w:jc w:val="both"/>
      </w:pPr>
      <w:r w:rsidRPr="00233537">
        <w:t>Growing BOS funds provide much needed discretionary funds to schools. The challenge for government will be to put in place the appropriate training, monitoring and support to enable the effective use of these funds as well as identifying the inevitable instances where</w:t>
      </w:r>
      <w:r>
        <w:t xml:space="preserve"> </w:t>
      </w:r>
      <w:r w:rsidRPr="00233537">
        <w:t>these funds are not properly expended or adequately reported</w:t>
      </w:r>
      <w:r>
        <w:t>.</w:t>
      </w:r>
    </w:p>
    <w:p w:rsidR="00CF2827" w:rsidRDefault="00CF2827" w:rsidP="00CF2827">
      <w:pPr>
        <w:pStyle w:val="ListParagraph"/>
        <w:numPr>
          <w:ilvl w:val="0"/>
          <w:numId w:val="42"/>
        </w:numPr>
        <w:spacing w:after="120"/>
        <w:ind w:left="357" w:hanging="357"/>
        <w:contextualSpacing w:val="0"/>
        <w:jc w:val="both"/>
      </w:pPr>
      <w:r w:rsidRPr="00CF5BDE">
        <w:t>Correlation in low</w:t>
      </w:r>
      <w:r>
        <w:t xml:space="preserve"> budget allocations </w:t>
      </w:r>
      <w:r w:rsidRPr="00CF5BDE">
        <w:t xml:space="preserve">for education and health sectors suggests it will be useful to </w:t>
      </w:r>
      <w:r>
        <w:t xml:space="preserve">work </w:t>
      </w:r>
      <w:r w:rsidRPr="00CF5BDE">
        <w:t xml:space="preserve">more closely </w:t>
      </w:r>
      <w:r>
        <w:t xml:space="preserve">with both the education and health programs to understand and improve the situation as appropriate. </w:t>
      </w:r>
    </w:p>
    <w:p w:rsidR="001F6342" w:rsidRPr="00836CB6" w:rsidRDefault="001F6342" w:rsidP="00836CB6">
      <w:pPr>
        <w:spacing w:line="276" w:lineRule="auto"/>
        <w:jc w:val="both"/>
        <w:rPr>
          <w:rFonts w:asciiTheme="minorHAnsi" w:hAnsiTheme="minorHAnsi"/>
        </w:rPr>
        <w:sectPr w:rsidR="001F6342" w:rsidRPr="00836CB6" w:rsidSect="005419F4">
          <w:footnotePr>
            <w:numRestart w:val="eachSect"/>
          </w:footnotePr>
          <w:endnotePr>
            <w:numRestart w:val="eachSect"/>
          </w:endnotePr>
          <w:pgSz w:w="11909" w:h="16834" w:code="9"/>
          <w:pgMar w:top="357" w:right="1440" w:bottom="1304" w:left="1440" w:header="431" w:footer="425" w:gutter="0"/>
          <w:pgNumType w:fmt="lowerRoman"/>
          <w:cols w:space="720"/>
          <w:titlePg/>
          <w:docGrid w:linePitch="360"/>
        </w:sectPr>
      </w:pPr>
    </w:p>
    <w:p w:rsidR="00732091" w:rsidRPr="005A1995" w:rsidRDefault="0048789C" w:rsidP="005419F4">
      <w:pPr>
        <w:spacing w:after="240"/>
        <w:rPr>
          <w:rStyle w:val="IntenseEmphasis"/>
          <w:rFonts w:asciiTheme="minorHAnsi" w:hAnsiTheme="minorHAnsi"/>
          <w:i w:val="0"/>
          <w:color w:val="003880"/>
          <w:sz w:val="32"/>
        </w:rPr>
      </w:pPr>
      <w:r w:rsidRPr="005A1995">
        <w:rPr>
          <w:rStyle w:val="IntenseEmphasis"/>
          <w:rFonts w:asciiTheme="minorHAnsi" w:hAnsiTheme="minorHAnsi"/>
          <w:i w:val="0"/>
          <w:color w:val="003880"/>
          <w:sz w:val="32"/>
        </w:rPr>
        <w:lastRenderedPageBreak/>
        <w:t xml:space="preserve">Progress </w:t>
      </w:r>
      <w:r w:rsidR="0038463D" w:rsidRPr="005A1995">
        <w:rPr>
          <w:rStyle w:val="IntenseEmphasis"/>
          <w:rFonts w:asciiTheme="minorHAnsi" w:hAnsiTheme="minorHAnsi"/>
          <w:i w:val="0"/>
          <w:color w:val="003880"/>
          <w:sz w:val="32"/>
        </w:rPr>
        <w:t>against Key Indicators</w:t>
      </w:r>
    </w:p>
    <w:tbl>
      <w:tblPr>
        <w:tblW w:w="52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515"/>
        <w:gridCol w:w="1721"/>
        <w:gridCol w:w="946"/>
        <w:gridCol w:w="1326"/>
        <w:gridCol w:w="967"/>
        <w:gridCol w:w="3312"/>
      </w:tblGrid>
      <w:tr w:rsidR="00CF2827" w:rsidRPr="0038463D" w:rsidTr="00CF2827">
        <w:trPr>
          <w:tblHeader/>
          <w:jc w:val="center"/>
        </w:trPr>
        <w:tc>
          <w:tcPr>
            <w:tcW w:w="1515" w:type="dxa"/>
            <w:tcBorders>
              <w:top w:val="single" w:sz="12" w:space="0" w:color="auto"/>
              <w:left w:val="single" w:sz="12" w:space="0" w:color="auto"/>
              <w:right w:val="single" w:sz="4" w:space="0" w:color="FFFFFF" w:themeColor="background1"/>
            </w:tcBorders>
            <w:shd w:val="clear" w:color="auto" w:fill="003880"/>
            <w:vAlign w:val="center"/>
          </w:tcPr>
          <w:p w:rsidR="00CF2827" w:rsidRPr="0038463D" w:rsidRDefault="00CF2827" w:rsidP="00270BD5">
            <w:pPr>
              <w:spacing w:after="0"/>
              <w:jc w:val="center"/>
              <w:rPr>
                <w:rFonts w:asciiTheme="minorHAnsi" w:hAnsiTheme="minorHAnsi"/>
                <w:b/>
                <w:bCs/>
                <w:iCs/>
                <w:color w:val="FFFFFF" w:themeColor="background1"/>
                <w:sz w:val="20"/>
                <w:szCs w:val="20"/>
                <w:lang w:val="en-AU"/>
              </w:rPr>
            </w:pPr>
            <w:r w:rsidRPr="0038463D">
              <w:rPr>
                <w:rFonts w:asciiTheme="minorHAnsi" w:hAnsiTheme="minorHAnsi"/>
                <w:b/>
                <w:bCs/>
                <w:iCs/>
                <w:color w:val="FFFFFF" w:themeColor="background1"/>
                <w:sz w:val="20"/>
                <w:szCs w:val="20"/>
                <w:lang w:val="en-AU"/>
              </w:rPr>
              <w:t>INDICATOR</w:t>
            </w:r>
          </w:p>
        </w:tc>
        <w:tc>
          <w:tcPr>
            <w:tcW w:w="1721" w:type="dxa"/>
            <w:tcBorders>
              <w:top w:val="single" w:sz="12" w:space="0" w:color="auto"/>
              <w:left w:val="single" w:sz="4" w:space="0" w:color="FFFFFF" w:themeColor="background1"/>
              <w:right w:val="single" w:sz="4" w:space="0" w:color="FFFFFF" w:themeColor="background1"/>
            </w:tcBorders>
            <w:shd w:val="clear" w:color="auto" w:fill="003880"/>
            <w:vAlign w:val="center"/>
          </w:tcPr>
          <w:p w:rsidR="00CF2827" w:rsidRPr="0038463D" w:rsidRDefault="00CF2827" w:rsidP="00270BD5">
            <w:pPr>
              <w:spacing w:after="0"/>
              <w:jc w:val="center"/>
              <w:rPr>
                <w:rFonts w:asciiTheme="minorHAnsi" w:hAnsiTheme="minorHAnsi"/>
                <w:b/>
                <w:bCs/>
                <w:iCs/>
                <w:color w:val="FFFFFF" w:themeColor="background1"/>
                <w:sz w:val="20"/>
                <w:szCs w:val="20"/>
                <w:lang w:val="en-AU"/>
              </w:rPr>
            </w:pPr>
            <w:r w:rsidRPr="0038463D">
              <w:rPr>
                <w:rFonts w:asciiTheme="minorHAnsi" w:hAnsiTheme="minorHAnsi"/>
                <w:b/>
                <w:bCs/>
                <w:iCs/>
                <w:color w:val="FFFFFF" w:themeColor="background1"/>
                <w:sz w:val="20"/>
                <w:szCs w:val="20"/>
                <w:lang w:val="en-AU"/>
              </w:rPr>
              <w:t>DESCRIPTION</w:t>
            </w:r>
          </w:p>
        </w:tc>
        <w:tc>
          <w:tcPr>
            <w:tcW w:w="946" w:type="dxa"/>
            <w:tcBorders>
              <w:top w:val="single" w:sz="12" w:space="0" w:color="auto"/>
              <w:left w:val="single" w:sz="4" w:space="0" w:color="FFFFFF" w:themeColor="background1"/>
              <w:right w:val="single" w:sz="4" w:space="0" w:color="FFFFFF" w:themeColor="background1"/>
            </w:tcBorders>
            <w:shd w:val="clear" w:color="auto" w:fill="003880"/>
            <w:vAlign w:val="center"/>
          </w:tcPr>
          <w:p w:rsidR="00CF2827" w:rsidRPr="0038463D" w:rsidRDefault="00CF2827" w:rsidP="00270BD5">
            <w:pPr>
              <w:spacing w:after="0"/>
              <w:jc w:val="center"/>
              <w:rPr>
                <w:rFonts w:asciiTheme="minorHAnsi" w:hAnsiTheme="minorHAnsi"/>
                <w:b/>
                <w:bCs/>
                <w:iCs/>
                <w:color w:val="FFFFFF" w:themeColor="background1"/>
                <w:sz w:val="20"/>
                <w:szCs w:val="20"/>
                <w:lang w:val="en-AU"/>
              </w:rPr>
            </w:pPr>
            <w:r w:rsidRPr="0038463D">
              <w:rPr>
                <w:rFonts w:asciiTheme="minorHAnsi" w:hAnsiTheme="minorHAnsi"/>
                <w:b/>
                <w:bCs/>
                <w:iCs/>
                <w:color w:val="FFFFFF" w:themeColor="background1"/>
                <w:sz w:val="20"/>
                <w:szCs w:val="20"/>
                <w:lang w:val="en-AU"/>
              </w:rPr>
              <w:t>LEVEL</w:t>
            </w:r>
          </w:p>
        </w:tc>
        <w:tc>
          <w:tcPr>
            <w:tcW w:w="1326" w:type="dxa"/>
            <w:tcBorders>
              <w:top w:val="single" w:sz="12" w:space="0" w:color="auto"/>
              <w:left w:val="single" w:sz="4" w:space="0" w:color="FFFFFF" w:themeColor="background1"/>
              <w:right w:val="single" w:sz="4" w:space="0" w:color="FFFFFF" w:themeColor="background1"/>
            </w:tcBorders>
            <w:shd w:val="clear" w:color="auto" w:fill="003880"/>
            <w:vAlign w:val="center"/>
          </w:tcPr>
          <w:p w:rsidR="00CF2827" w:rsidRPr="0038463D" w:rsidRDefault="00CF2827" w:rsidP="00270BD5">
            <w:pPr>
              <w:spacing w:after="0"/>
              <w:jc w:val="center"/>
              <w:rPr>
                <w:rFonts w:asciiTheme="minorHAnsi" w:hAnsiTheme="minorHAnsi"/>
                <w:b/>
                <w:bCs/>
                <w:iCs/>
                <w:color w:val="FFFFFF" w:themeColor="background1"/>
                <w:sz w:val="20"/>
                <w:szCs w:val="20"/>
                <w:lang w:val="en-AU"/>
              </w:rPr>
            </w:pPr>
            <w:r w:rsidRPr="0038463D">
              <w:rPr>
                <w:rFonts w:asciiTheme="minorHAnsi" w:hAnsiTheme="minorHAnsi"/>
                <w:b/>
                <w:bCs/>
                <w:iCs/>
                <w:color w:val="FFFFFF" w:themeColor="background1"/>
                <w:sz w:val="20"/>
                <w:szCs w:val="20"/>
                <w:lang w:val="en-AU"/>
              </w:rPr>
              <w:t>RELATED GOAL</w:t>
            </w:r>
          </w:p>
        </w:tc>
        <w:tc>
          <w:tcPr>
            <w:tcW w:w="967" w:type="dxa"/>
            <w:tcBorders>
              <w:top w:val="single" w:sz="12" w:space="0" w:color="auto"/>
              <w:left w:val="single" w:sz="4" w:space="0" w:color="FFFFFF" w:themeColor="background1"/>
              <w:right w:val="single" w:sz="4" w:space="0" w:color="FFFFFF" w:themeColor="background1"/>
            </w:tcBorders>
            <w:shd w:val="clear" w:color="auto" w:fill="003880"/>
            <w:vAlign w:val="center"/>
          </w:tcPr>
          <w:p w:rsidR="00CF2827" w:rsidRPr="0038463D" w:rsidRDefault="00CF2827" w:rsidP="00270BD5">
            <w:pPr>
              <w:spacing w:after="0"/>
              <w:jc w:val="center"/>
              <w:rPr>
                <w:rFonts w:asciiTheme="minorHAnsi" w:hAnsiTheme="minorHAnsi"/>
                <w:b/>
                <w:bCs/>
                <w:iCs/>
                <w:color w:val="FFFFFF" w:themeColor="background1"/>
                <w:sz w:val="20"/>
                <w:szCs w:val="20"/>
                <w:lang w:val="en-AU"/>
              </w:rPr>
            </w:pPr>
            <w:r w:rsidRPr="0038463D">
              <w:rPr>
                <w:rFonts w:asciiTheme="minorHAnsi" w:hAnsiTheme="minorHAnsi"/>
                <w:b/>
                <w:bCs/>
                <w:iCs/>
                <w:color w:val="FFFFFF" w:themeColor="background1"/>
                <w:sz w:val="20"/>
                <w:szCs w:val="20"/>
                <w:lang w:val="en-AU"/>
              </w:rPr>
              <w:t>RESULT</w:t>
            </w:r>
          </w:p>
        </w:tc>
        <w:tc>
          <w:tcPr>
            <w:tcW w:w="3312" w:type="dxa"/>
            <w:tcBorders>
              <w:top w:val="single" w:sz="12" w:space="0" w:color="auto"/>
              <w:left w:val="single" w:sz="4" w:space="0" w:color="FFFFFF" w:themeColor="background1"/>
              <w:right w:val="single" w:sz="12" w:space="0" w:color="auto"/>
            </w:tcBorders>
            <w:shd w:val="clear" w:color="auto" w:fill="003880"/>
            <w:vAlign w:val="center"/>
          </w:tcPr>
          <w:p w:rsidR="00CF2827" w:rsidRPr="0038463D" w:rsidRDefault="00CF2827" w:rsidP="00270BD5">
            <w:pPr>
              <w:spacing w:after="0"/>
              <w:jc w:val="center"/>
              <w:rPr>
                <w:rFonts w:asciiTheme="minorHAnsi" w:hAnsiTheme="minorHAnsi"/>
                <w:b/>
                <w:bCs/>
                <w:iCs/>
                <w:color w:val="FFFFFF" w:themeColor="background1"/>
                <w:sz w:val="20"/>
                <w:szCs w:val="20"/>
                <w:lang w:val="en-AU"/>
              </w:rPr>
            </w:pPr>
            <w:r w:rsidRPr="0038463D">
              <w:rPr>
                <w:rFonts w:asciiTheme="minorHAnsi" w:hAnsiTheme="minorHAnsi"/>
                <w:b/>
                <w:bCs/>
                <w:iCs/>
                <w:color w:val="FFFFFF" w:themeColor="background1"/>
                <w:sz w:val="20"/>
                <w:szCs w:val="20"/>
                <w:lang w:val="en-AU"/>
              </w:rPr>
              <w:t>COMMENT AND IMPLICATIONS</w:t>
            </w:r>
          </w:p>
        </w:tc>
      </w:tr>
      <w:tr w:rsidR="00CF2827" w:rsidRPr="0038463D" w:rsidTr="00CF2827">
        <w:trPr>
          <w:jc w:val="center"/>
        </w:trPr>
        <w:tc>
          <w:tcPr>
            <w:tcW w:w="1515" w:type="dxa"/>
            <w:tcBorders>
              <w:left w:val="single" w:sz="12" w:space="0" w:color="auto"/>
            </w:tcBorders>
            <w:vAlign w:val="center"/>
          </w:tcPr>
          <w:p w:rsidR="00CF2827" w:rsidRPr="0038463D" w:rsidRDefault="00CF2827" w:rsidP="00270BD5">
            <w:pPr>
              <w:spacing w:after="0"/>
              <w:rPr>
                <w:rFonts w:asciiTheme="minorHAnsi" w:hAnsiTheme="minorHAnsi"/>
                <w:sz w:val="20"/>
                <w:szCs w:val="20"/>
                <w:lang w:val="en-AU"/>
              </w:rPr>
            </w:pPr>
            <w:r w:rsidRPr="0038463D">
              <w:rPr>
                <w:rFonts w:asciiTheme="minorHAnsi" w:hAnsiTheme="minorHAnsi"/>
                <w:sz w:val="20"/>
                <w:szCs w:val="20"/>
                <w:lang w:val="en-AU"/>
              </w:rPr>
              <w:t>KPI 1</w:t>
            </w:r>
          </w:p>
          <w:p w:rsidR="00CF2827" w:rsidRPr="0038463D" w:rsidRDefault="00CF2827" w:rsidP="00270BD5">
            <w:pPr>
              <w:spacing w:after="0"/>
              <w:rPr>
                <w:rFonts w:asciiTheme="minorHAnsi" w:hAnsiTheme="minorHAnsi"/>
                <w:sz w:val="20"/>
                <w:szCs w:val="20"/>
                <w:lang w:val="en-AU"/>
              </w:rPr>
            </w:pPr>
            <w:r w:rsidRPr="0038463D">
              <w:rPr>
                <w:rFonts w:asciiTheme="minorHAnsi" w:hAnsiTheme="minorHAnsi"/>
                <w:sz w:val="20"/>
                <w:szCs w:val="20"/>
                <w:lang w:val="en-AU"/>
              </w:rPr>
              <w:t>Share of public expenditure</w:t>
            </w:r>
          </w:p>
        </w:tc>
        <w:tc>
          <w:tcPr>
            <w:tcW w:w="1721" w:type="dxa"/>
            <w:vAlign w:val="center"/>
          </w:tcPr>
          <w:p w:rsidR="00CF2827" w:rsidRPr="0038463D" w:rsidRDefault="00CF2827" w:rsidP="00270BD5">
            <w:pPr>
              <w:spacing w:after="0"/>
              <w:rPr>
                <w:rFonts w:asciiTheme="minorHAnsi" w:hAnsiTheme="minorHAnsi"/>
                <w:sz w:val="20"/>
                <w:szCs w:val="20"/>
                <w:lang w:val="en-AU"/>
              </w:rPr>
            </w:pPr>
            <w:r w:rsidRPr="0038463D">
              <w:rPr>
                <w:rFonts w:asciiTheme="minorHAnsi" w:hAnsiTheme="minorHAnsi"/>
                <w:sz w:val="20"/>
                <w:szCs w:val="20"/>
                <w:lang w:val="en-AU"/>
              </w:rPr>
              <w:t>Public expenditure on education as percentage of total public expenditure</w:t>
            </w:r>
            <w:r>
              <w:rPr>
                <w:rFonts w:asciiTheme="minorHAnsi" w:hAnsiTheme="minorHAnsi"/>
                <w:sz w:val="20"/>
                <w:szCs w:val="20"/>
                <w:lang w:val="en-AU"/>
              </w:rPr>
              <w:t xml:space="preserve"> </w:t>
            </w:r>
            <w:r w:rsidRPr="0038463D">
              <w:rPr>
                <w:rFonts w:asciiTheme="minorHAnsi" w:hAnsiTheme="minorHAnsi"/>
                <w:sz w:val="20"/>
                <w:szCs w:val="20"/>
                <w:lang w:val="en-AU"/>
              </w:rPr>
              <w:t>(covers MoEC and MoRA expenditure)</w:t>
            </w:r>
          </w:p>
        </w:tc>
        <w:tc>
          <w:tcPr>
            <w:tcW w:w="946" w:type="dxa"/>
            <w:vAlign w:val="center"/>
          </w:tcPr>
          <w:p w:rsidR="00CF2827" w:rsidRPr="0038463D" w:rsidRDefault="00CF2827" w:rsidP="00270BD5">
            <w:pPr>
              <w:spacing w:after="0"/>
              <w:jc w:val="center"/>
              <w:rPr>
                <w:rFonts w:asciiTheme="minorHAnsi" w:hAnsiTheme="minorHAnsi"/>
                <w:sz w:val="20"/>
                <w:szCs w:val="20"/>
                <w:lang w:val="en-AU"/>
              </w:rPr>
            </w:pPr>
            <w:r w:rsidRPr="0038463D">
              <w:rPr>
                <w:rFonts w:asciiTheme="minorHAnsi" w:hAnsiTheme="minorHAnsi"/>
                <w:sz w:val="20"/>
                <w:szCs w:val="20"/>
                <w:lang w:val="en-AU"/>
              </w:rPr>
              <w:t>National</w:t>
            </w:r>
          </w:p>
        </w:tc>
        <w:tc>
          <w:tcPr>
            <w:tcW w:w="1326" w:type="dxa"/>
            <w:vAlign w:val="center"/>
          </w:tcPr>
          <w:p w:rsidR="00CF2827" w:rsidRPr="0038463D" w:rsidRDefault="00CF2827" w:rsidP="00270BD5">
            <w:pPr>
              <w:spacing w:after="0"/>
              <w:jc w:val="center"/>
              <w:rPr>
                <w:rFonts w:asciiTheme="minorHAnsi" w:hAnsiTheme="minorHAnsi"/>
                <w:sz w:val="20"/>
                <w:szCs w:val="20"/>
                <w:lang w:val="en-AU"/>
              </w:rPr>
            </w:pPr>
            <w:r w:rsidRPr="0038463D">
              <w:rPr>
                <w:rFonts w:asciiTheme="minorHAnsi" w:hAnsiTheme="minorHAnsi"/>
                <w:sz w:val="20"/>
                <w:szCs w:val="20"/>
                <w:lang w:val="en-AU"/>
              </w:rPr>
              <w:t>Government commitment</w:t>
            </w:r>
          </w:p>
        </w:tc>
        <w:tc>
          <w:tcPr>
            <w:tcW w:w="967" w:type="dxa"/>
            <w:shd w:val="clear" w:color="auto" w:fill="92D050"/>
            <w:vAlign w:val="center"/>
          </w:tcPr>
          <w:p w:rsidR="00CF2827" w:rsidRPr="0038463D" w:rsidRDefault="00CF2827" w:rsidP="00270BD5">
            <w:pPr>
              <w:spacing w:after="0"/>
              <w:jc w:val="center"/>
              <w:rPr>
                <w:rFonts w:asciiTheme="minorHAnsi" w:hAnsiTheme="minorHAnsi"/>
                <w:bCs/>
                <w:iCs/>
                <w:sz w:val="20"/>
                <w:szCs w:val="20"/>
                <w:lang w:val="en-AU"/>
              </w:rPr>
            </w:pPr>
            <w:r w:rsidRPr="0038463D">
              <w:rPr>
                <w:rFonts w:asciiTheme="minorHAnsi" w:hAnsiTheme="minorHAnsi"/>
                <w:bCs/>
                <w:iCs/>
                <w:sz w:val="20"/>
                <w:szCs w:val="20"/>
                <w:lang w:val="en-AU"/>
              </w:rPr>
              <w:t>Positive</w:t>
            </w:r>
          </w:p>
        </w:tc>
        <w:tc>
          <w:tcPr>
            <w:tcW w:w="3312" w:type="dxa"/>
            <w:tcBorders>
              <w:right w:val="single" w:sz="12" w:space="0" w:color="auto"/>
            </w:tcBorders>
            <w:vAlign w:val="center"/>
          </w:tcPr>
          <w:p w:rsidR="00CF2827" w:rsidRPr="0038463D" w:rsidRDefault="00CF2827" w:rsidP="00270BD5">
            <w:pPr>
              <w:spacing w:after="0"/>
              <w:rPr>
                <w:rFonts w:asciiTheme="minorHAnsi" w:hAnsiTheme="minorHAnsi"/>
                <w:sz w:val="20"/>
                <w:szCs w:val="20"/>
                <w:lang w:val="en-AU"/>
              </w:rPr>
            </w:pPr>
            <w:r w:rsidRPr="0038463D">
              <w:rPr>
                <w:rFonts w:asciiTheme="minorHAnsi" w:hAnsiTheme="minorHAnsi"/>
                <w:b/>
                <w:sz w:val="20"/>
                <w:szCs w:val="20"/>
                <w:lang w:val="en-AU"/>
              </w:rPr>
              <w:t>Comment:</w:t>
            </w:r>
            <w:r w:rsidRPr="0038463D">
              <w:rPr>
                <w:rFonts w:asciiTheme="minorHAnsi" w:hAnsiTheme="minorHAnsi"/>
                <w:sz w:val="20"/>
                <w:szCs w:val="20"/>
                <w:lang w:val="en-AU"/>
              </w:rPr>
              <w:t xml:space="preserve"> Significant growth in allocations as proportion of national expenditure, fr</w:t>
            </w:r>
            <w:r>
              <w:rPr>
                <w:rFonts w:asciiTheme="minorHAnsi" w:hAnsiTheme="minorHAnsi"/>
                <w:sz w:val="20"/>
                <w:szCs w:val="20"/>
                <w:lang w:val="en-AU"/>
              </w:rPr>
              <w:t>om 12% 2001 (12%) to 20% by 2013</w:t>
            </w:r>
            <w:r w:rsidRPr="0038463D">
              <w:rPr>
                <w:rFonts w:asciiTheme="minorHAnsi" w:hAnsiTheme="minorHAnsi"/>
                <w:sz w:val="20"/>
                <w:szCs w:val="20"/>
                <w:lang w:val="en-AU"/>
              </w:rPr>
              <w:t>.</w:t>
            </w:r>
            <w:r>
              <w:rPr>
                <w:rFonts w:asciiTheme="minorHAnsi" w:hAnsiTheme="minorHAnsi"/>
                <w:sz w:val="20"/>
                <w:szCs w:val="20"/>
                <w:lang w:val="en-AU"/>
              </w:rPr>
              <w:t xml:space="preserve"> </w:t>
            </w:r>
          </w:p>
          <w:p w:rsidR="00CF2827" w:rsidRPr="0038463D" w:rsidRDefault="00CF2827" w:rsidP="00270BD5">
            <w:pPr>
              <w:spacing w:after="0"/>
              <w:rPr>
                <w:rFonts w:asciiTheme="minorHAnsi" w:hAnsiTheme="minorHAnsi"/>
                <w:sz w:val="20"/>
                <w:szCs w:val="20"/>
                <w:lang w:val="en-AU"/>
              </w:rPr>
            </w:pPr>
            <w:r w:rsidRPr="0038463D">
              <w:rPr>
                <w:rFonts w:asciiTheme="minorHAnsi" w:hAnsiTheme="minorHAnsi"/>
                <w:b/>
                <w:sz w:val="20"/>
                <w:szCs w:val="20"/>
                <w:lang w:val="en-AU"/>
              </w:rPr>
              <w:t xml:space="preserve">Implications: </w:t>
            </w:r>
            <w:r w:rsidRPr="0038463D">
              <w:rPr>
                <w:rFonts w:asciiTheme="minorHAnsi" w:hAnsiTheme="minorHAnsi"/>
                <w:sz w:val="20"/>
                <w:szCs w:val="20"/>
                <w:lang w:val="en-AU"/>
              </w:rPr>
              <w:t>Stable growth in education financing is positive for further investment.</w:t>
            </w:r>
          </w:p>
        </w:tc>
      </w:tr>
      <w:tr w:rsidR="00CF2827" w:rsidRPr="0038463D" w:rsidTr="00CF2827">
        <w:trPr>
          <w:jc w:val="center"/>
        </w:trPr>
        <w:tc>
          <w:tcPr>
            <w:tcW w:w="1515" w:type="dxa"/>
            <w:tcBorders>
              <w:left w:val="single" w:sz="12" w:space="0" w:color="auto"/>
            </w:tcBorders>
            <w:vAlign w:val="center"/>
          </w:tcPr>
          <w:p w:rsidR="00CF2827" w:rsidRPr="0038463D" w:rsidRDefault="00CF2827" w:rsidP="00270BD5">
            <w:pPr>
              <w:spacing w:after="0"/>
              <w:rPr>
                <w:rFonts w:asciiTheme="minorHAnsi" w:hAnsiTheme="minorHAnsi"/>
                <w:sz w:val="20"/>
                <w:szCs w:val="20"/>
                <w:lang w:val="en-AU"/>
              </w:rPr>
            </w:pPr>
            <w:r w:rsidRPr="0038463D">
              <w:rPr>
                <w:rFonts w:asciiTheme="minorHAnsi" w:hAnsiTheme="minorHAnsi"/>
                <w:sz w:val="20"/>
                <w:szCs w:val="20"/>
                <w:lang w:val="en-AU"/>
              </w:rPr>
              <w:t xml:space="preserve">KPI 2 </w:t>
            </w:r>
          </w:p>
          <w:p w:rsidR="00CF2827" w:rsidRPr="0038463D" w:rsidRDefault="00CF2827" w:rsidP="00270BD5">
            <w:pPr>
              <w:spacing w:after="0"/>
              <w:rPr>
                <w:rFonts w:asciiTheme="minorHAnsi" w:hAnsiTheme="minorHAnsi"/>
                <w:sz w:val="20"/>
                <w:szCs w:val="20"/>
                <w:lang w:val="en-AU"/>
              </w:rPr>
            </w:pPr>
            <w:r w:rsidRPr="0038463D">
              <w:rPr>
                <w:rFonts w:asciiTheme="minorHAnsi" w:hAnsiTheme="minorHAnsi"/>
                <w:sz w:val="20"/>
                <w:szCs w:val="20"/>
                <w:lang w:val="en-AU"/>
              </w:rPr>
              <w:t>Share of GDP</w:t>
            </w:r>
          </w:p>
        </w:tc>
        <w:tc>
          <w:tcPr>
            <w:tcW w:w="1721" w:type="dxa"/>
            <w:vAlign w:val="center"/>
          </w:tcPr>
          <w:p w:rsidR="00CF2827" w:rsidRPr="0038463D" w:rsidRDefault="00CF2827" w:rsidP="00270BD5">
            <w:pPr>
              <w:spacing w:after="0"/>
              <w:rPr>
                <w:rFonts w:asciiTheme="minorHAnsi" w:hAnsiTheme="minorHAnsi"/>
                <w:sz w:val="20"/>
                <w:szCs w:val="20"/>
                <w:lang w:val="en-AU"/>
              </w:rPr>
            </w:pPr>
            <w:r w:rsidRPr="0038463D">
              <w:rPr>
                <w:rFonts w:asciiTheme="minorHAnsi" w:hAnsiTheme="minorHAnsi"/>
                <w:sz w:val="20"/>
                <w:szCs w:val="20"/>
                <w:lang w:val="en-AU"/>
              </w:rPr>
              <w:t xml:space="preserve">Public expenditure on education as percentage of GDP </w:t>
            </w:r>
          </w:p>
        </w:tc>
        <w:tc>
          <w:tcPr>
            <w:tcW w:w="946" w:type="dxa"/>
            <w:vAlign w:val="center"/>
          </w:tcPr>
          <w:p w:rsidR="00CF2827" w:rsidRPr="0038463D" w:rsidRDefault="00CF2827" w:rsidP="00270BD5">
            <w:pPr>
              <w:spacing w:after="0"/>
              <w:jc w:val="center"/>
              <w:rPr>
                <w:rFonts w:asciiTheme="minorHAnsi" w:hAnsiTheme="minorHAnsi"/>
                <w:sz w:val="20"/>
                <w:szCs w:val="20"/>
                <w:lang w:val="en-AU"/>
              </w:rPr>
            </w:pPr>
            <w:r w:rsidRPr="0038463D">
              <w:rPr>
                <w:rFonts w:asciiTheme="minorHAnsi" w:hAnsiTheme="minorHAnsi"/>
                <w:sz w:val="20"/>
                <w:szCs w:val="20"/>
                <w:lang w:val="en-AU"/>
              </w:rPr>
              <w:t>National</w:t>
            </w:r>
          </w:p>
          <w:p w:rsidR="00CF2827" w:rsidRPr="0038463D" w:rsidRDefault="00CF2827" w:rsidP="00270BD5">
            <w:pPr>
              <w:spacing w:after="0"/>
              <w:jc w:val="center"/>
              <w:rPr>
                <w:rFonts w:asciiTheme="minorHAnsi" w:hAnsiTheme="minorHAnsi"/>
                <w:sz w:val="20"/>
                <w:szCs w:val="20"/>
                <w:lang w:val="en-AU"/>
              </w:rPr>
            </w:pPr>
          </w:p>
        </w:tc>
        <w:tc>
          <w:tcPr>
            <w:tcW w:w="1326" w:type="dxa"/>
            <w:vAlign w:val="center"/>
          </w:tcPr>
          <w:p w:rsidR="00CF2827" w:rsidRPr="0038463D" w:rsidRDefault="00CF2827" w:rsidP="00270BD5">
            <w:pPr>
              <w:spacing w:after="0"/>
              <w:jc w:val="center"/>
              <w:rPr>
                <w:rFonts w:asciiTheme="minorHAnsi" w:hAnsiTheme="minorHAnsi"/>
                <w:sz w:val="20"/>
                <w:szCs w:val="20"/>
                <w:lang w:val="en-AU"/>
              </w:rPr>
            </w:pPr>
            <w:r w:rsidRPr="0038463D">
              <w:rPr>
                <w:rFonts w:asciiTheme="minorHAnsi" w:hAnsiTheme="minorHAnsi"/>
                <w:sz w:val="20"/>
                <w:szCs w:val="20"/>
                <w:lang w:val="en-AU"/>
              </w:rPr>
              <w:t>Government commitment</w:t>
            </w:r>
          </w:p>
        </w:tc>
        <w:tc>
          <w:tcPr>
            <w:tcW w:w="967" w:type="dxa"/>
            <w:shd w:val="clear" w:color="auto" w:fill="92D050"/>
            <w:vAlign w:val="center"/>
          </w:tcPr>
          <w:p w:rsidR="00CF2827" w:rsidRPr="0038463D" w:rsidRDefault="00CF2827" w:rsidP="00270BD5">
            <w:pPr>
              <w:spacing w:after="0"/>
              <w:jc w:val="center"/>
              <w:rPr>
                <w:rFonts w:asciiTheme="minorHAnsi" w:hAnsiTheme="minorHAnsi"/>
                <w:bCs/>
                <w:iCs/>
                <w:sz w:val="20"/>
                <w:szCs w:val="20"/>
                <w:lang w:val="en-AU"/>
              </w:rPr>
            </w:pPr>
            <w:r w:rsidRPr="0038463D">
              <w:rPr>
                <w:rFonts w:asciiTheme="minorHAnsi" w:hAnsiTheme="minorHAnsi"/>
                <w:bCs/>
                <w:iCs/>
                <w:sz w:val="20"/>
                <w:szCs w:val="20"/>
                <w:lang w:val="en-AU"/>
              </w:rPr>
              <w:t>Positive</w:t>
            </w:r>
          </w:p>
        </w:tc>
        <w:tc>
          <w:tcPr>
            <w:tcW w:w="3312" w:type="dxa"/>
            <w:tcBorders>
              <w:right w:val="single" w:sz="12" w:space="0" w:color="auto"/>
            </w:tcBorders>
            <w:vAlign w:val="center"/>
          </w:tcPr>
          <w:p w:rsidR="00CF2827" w:rsidRPr="0038463D" w:rsidRDefault="00CF2827" w:rsidP="00270BD5">
            <w:pPr>
              <w:spacing w:after="0"/>
              <w:rPr>
                <w:rFonts w:asciiTheme="minorHAnsi" w:hAnsiTheme="minorHAnsi"/>
                <w:sz w:val="20"/>
                <w:szCs w:val="20"/>
                <w:lang w:val="en-AU"/>
              </w:rPr>
            </w:pPr>
            <w:r w:rsidRPr="0038463D">
              <w:rPr>
                <w:rFonts w:asciiTheme="minorHAnsi" w:hAnsiTheme="minorHAnsi"/>
                <w:b/>
                <w:sz w:val="20"/>
                <w:szCs w:val="20"/>
                <w:lang w:val="en-AU"/>
              </w:rPr>
              <w:t>Comment:</w:t>
            </w:r>
            <w:r w:rsidRPr="0038463D">
              <w:rPr>
                <w:rFonts w:asciiTheme="minorHAnsi" w:hAnsiTheme="minorHAnsi"/>
                <w:sz w:val="20"/>
                <w:szCs w:val="20"/>
                <w:lang w:val="en-AU"/>
              </w:rPr>
              <w:t xml:space="preserve"> Education expenditure, as a proportion of GDP, in</w:t>
            </w:r>
            <w:r>
              <w:rPr>
                <w:rFonts w:asciiTheme="minorHAnsi" w:hAnsiTheme="minorHAnsi"/>
                <w:sz w:val="20"/>
                <w:szCs w:val="20"/>
                <w:lang w:val="en-AU"/>
              </w:rPr>
              <w:t>creased from 3.3% in 2011 to 3.7% in 2013</w:t>
            </w:r>
            <w:r w:rsidRPr="0038463D">
              <w:rPr>
                <w:rFonts w:asciiTheme="minorHAnsi" w:hAnsiTheme="minorHAnsi"/>
                <w:sz w:val="20"/>
                <w:szCs w:val="20"/>
                <w:lang w:val="en-AU"/>
              </w:rPr>
              <w:t>.</w:t>
            </w:r>
          </w:p>
        </w:tc>
      </w:tr>
      <w:tr w:rsidR="00CF2827" w:rsidRPr="0038463D" w:rsidTr="00CF2827">
        <w:trPr>
          <w:jc w:val="center"/>
        </w:trPr>
        <w:tc>
          <w:tcPr>
            <w:tcW w:w="1515" w:type="dxa"/>
            <w:tcBorders>
              <w:left w:val="single" w:sz="12" w:space="0" w:color="auto"/>
            </w:tcBorders>
            <w:vAlign w:val="center"/>
          </w:tcPr>
          <w:p w:rsidR="00CF2827" w:rsidRPr="0038463D" w:rsidRDefault="00CF2827" w:rsidP="00270BD5">
            <w:pPr>
              <w:spacing w:after="0"/>
              <w:rPr>
                <w:rFonts w:asciiTheme="minorHAnsi" w:hAnsiTheme="minorHAnsi"/>
                <w:sz w:val="20"/>
                <w:szCs w:val="20"/>
                <w:lang w:val="en-AU"/>
              </w:rPr>
            </w:pPr>
            <w:r w:rsidRPr="0038463D">
              <w:rPr>
                <w:rFonts w:asciiTheme="minorHAnsi" w:hAnsiTheme="minorHAnsi"/>
                <w:sz w:val="20"/>
                <w:szCs w:val="20"/>
                <w:lang w:val="en-AU"/>
              </w:rPr>
              <w:t xml:space="preserve">KPI 3 </w:t>
            </w:r>
          </w:p>
          <w:p w:rsidR="00CF2827" w:rsidRPr="0038463D" w:rsidRDefault="00CF2827" w:rsidP="00270BD5">
            <w:pPr>
              <w:spacing w:after="0"/>
              <w:rPr>
                <w:rFonts w:asciiTheme="minorHAnsi" w:hAnsiTheme="minorHAnsi"/>
                <w:sz w:val="20"/>
                <w:szCs w:val="20"/>
                <w:lang w:val="en-AU"/>
              </w:rPr>
            </w:pPr>
            <w:r w:rsidRPr="0038463D">
              <w:rPr>
                <w:rFonts w:asciiTheme="minorHAnsi" w:hAnsiTheme="minorHAnsi"/>
                <w:sz w:val="20"/>
                <w:szCs w:val="20"/>
                <w:lang w:val="en-AU"/>
              </w:rPr>
              <w:t>Share of non-salary resources</w:t>
            </w:r>
          </w:p>
        </w:tc>
        <w:tc>
          <w:tcPr>
            <w:tcW w:w="1721" w:type="dxa"/>
            <w:vAlign w:val="center"/>
          </w:tcPr>
          <w:p w:rsidR="00CF2827" w:rsidRPr="0038463D" w:rsidRDefault="00CF2827" w:rsidP="00270BD5">
            <w:pPr>
              <w:spacing w:after="0"/>
              <w:rPr>
                <w:rFonts w:asciiTheme="minorHAnsi" w:hAnsiTheme="minorHAnsi"/>
                <w:sz w:val="20"/>
                <w:szCs w:val="20"/>
                <w:lang w:val="en-AU"/>
              </w:rPr>
            </w:pPr>
            <w:r w:rsidRPr="0038463D">
              <w:rPr>
                <w:rFonts w:asciiTheme="minorHAnsi" w:hAnsiTheme="minorHAnsi"/>
                <w:sz w:val="20"/>
                <w:szCs w:val="20"/>
                <w:lang w:val="en-AU"/>
              </w:rPr>
              <w:t>% share of education budget spending on non-salary costs.</w:t>
            </w:r>
          </w:p>
        </w:tc>
        <w:tc>
          <w:tcPr>
            <w:tcW w:w="946" w:type="dxa"/>
            <w:vAlign w:val="center"/>
          </w:tcPr>
          <w:p w:rsidR="00CF2827" w:rsidRPr="0038463D" w:rsidRDefault="00CF2827" w:rsidP="00270BD5">
            <w:pPr>
              <w:spacing w:after="0"/>
              <w:jc w:val="center"/>
              <w:rPr>
                <w:rFonts w:asciiTheme="minorHAnsi" w:hAnsiTheme="minorHAnsi"/>
                <w:sz w:val="20"/>
                <w:szCs w:val="20"/>
                <w:lang w:val="en-AU"/>
              </w:rPr>
            </w:pPr>
            <w:r w:rsidRPr="0038463D">
              <w:rPr>
                <w:rFonts w:asciiTheme="minorHAnsi" w:hAnsiTheme="minorHAnsi"/>
                <w:sz w:val="20"/>
                <w:szCs w:val="20"/>
                <w:lang w:val="en-AU"/>
              </w:rPr>
              <w:t>National</w:t>
            </w:r>
          </w:p>
        </w:tc>
        <w:tc>
          <w:tcPr>
            <w:tcW w:w="1326" w:type="dxa"/>
            <w:vAlign w:val="center"/>
          </w:tcPr>
          <w:p w:rsidR="00CF2827" w:rsidRPr="0038463D" w:rsidRDefault="00CF2827" w:rsidP="00270BD5">
            <w:pPr>
              <w:spacing w:after="0"/>
              <w:jc w:val="center"/>
              <w:rPr>
                <w:rFonts w:asciiTheme="minorHAnsi" w:hAnsiTheme="minorHAnsi"/>
                <w:sz w:val="20"/>
                <w:szCs w:val="20"/>
                <w:lang w:val="en-AU"/>
              </w:rPr>
            </w:pPr>
            <w:r w:rsidRPr="0038463D">
              <w:rPr>
                <w:rFonts w:asciiTheme="minorHAnsi" w:hAnsiTheme="minorHAnsi"/>
                <w:sz w:val="20"/>
                <w:szCs w:val="20"/>
                <w:lang w:val="en-AU"/>
              </w:rPr>
              <w:t>Quality</w:t>
            </w:r>
          </w:p>
        </w:tc>
        <w:tc>
          <w:tcPr>
            <w:tcW w:w="967" w:type="dxa"/>
            <w:shd w:val="clear" w:color="auto" w:fill="92D050"/>
            <w:vAlign w:val="center"/>
          </w:tcPr>
          <w:p w:rsidR="00CF2827" w:rsidRPr="0038463D" w:rsidRDefault="00CF2827" w:rsidP="00270BD5">
            <w:pPr>
              <w:spacing w:after="0"/>
              <w:jc w:val="center"/>
              <w:rPr>
                <w:rFonts w:asciiTheme="minorHAnsi" w:hAnsiTheme="minorHAnsi"/>
                <w:bCs/>
                <w:iCs/>
                <w:sz w:val="20"/>
                <w:szCs w:val="20"/>
                <w:lang w:val="en-AU"/>
              </w:rPr>
            </w:pPr>
            <w:r w:rsidRPr="0038463D">
              <w:rPr>
                <w:rFonts w:asciiTheme="minorHAnsi" w:hAnsiTheme="minorHAnsi"/>
                <w:bCs/>
                <w:iCs/>
                <w:sz w:val="20"/>
                <w:szCs w:val="20"/>
                <w:lang w:val="en-AU"/>
              </w:rPr>
              <w:t>Positive</w:t>
            </w:r>
          </w:p>
        </w:tc>
        <w:tc>
          <w:tcPr>
            <w:tcW w:w="3312" w:type="dxa"/>
            <w:tcBorders>
              <w:right w:val="single" w:sz="12" w:space="0" w:color="auto"/>
            </w:tcBorders>
            <w:vAlign w:val="center"/>
          </w:tcPr>
          <w:p w:rsidR="00CF2827" w:rsidRPr="0038463D" w:rsidRDefault="00CF2827" w:rsidP="00270BD5">
            <w:pPr>
              <w:spacing w:after="0"/>
              <w:rPr>
                <w:rFonts w:asciiTheme="minorHAnsi" w:hAnsiTheme="minorHAnsi"/>
                <w:sz w:val="20"/>
                <w:szCs w:val="20"/>
                <w:lang w:val="en-AU"/>
              </w:rPr>
            </w:pPr>
            <w:r w:rsidRPr="0038463D">
              <w:rPr>
                <w:rFonts w:asciiTheme="minorHAnsi" w:hAnsiTheme="minorHAnsi"/>
                <w:b/>
                <w:sz w:val="20"/>
                <w:szCs w:val="20"/>
                <w:lang w:val="en-AU"/>
              </w:rPr>
              <w:t>Comment:</w:t>
            </w:r>
            <w:r w:rsidRPr="0038463D">
              <w:rPr>
                <w:rFonts w:asciiTheme="minorHAnsi" w:hAnsiTheme="minorHAnsi"/>
                <w:sz w:val="20"/>
                <w:szCs w:val="20"/>
                <w:lang w:val="en-AU"/>
              </w:rPr>
              <w:t xml:space="preserve"> Non-salary share of expenditures in 2011 increased to 25% of total district level expenditures (up from 13% in 2010). </w:t>
            </w:r>
          </w:p>
          <w:p w:rsidR="00CF2827" w:rsidRPr="0038463D" w:rsidRDefault="00CF2827" w:rsidP="00270BD5">
            <w:pPr>
              <w:spacing w:after="0"/>
              <w:rPr>
                <w:rFonts w:asciiTheme="minorHAnsi" w:hAnsiTheme="minorHAnsi"/>
                <w:sz w:val="20"/>
                <w:szCs w:val="20"/>
                <w:lang w:val="en-AU"/>
              </w:rPr>
            </w:pPr>
            <w:r w:rsidRPr="0038463D">
              <w:rPr>
                <w:rFonts w:asciiTheme="minorHAnsi" w:hAnsiTheme="minorHAnsi"/>
                <w:b/>
                <w:sz w:val="20"/>
                <w:szCs w:val="20"/>
                <w:lang w:val="en-AU"/>
              </w:rPr>
              <w:t xml:space="preserve">Implications: </w:t>
            </w:r>
            <w:r w:rsidRPr="0038463D">
              <w:rPr>
                <w:rFonts w:asciiTheme="minorHAnsi" w:hAnsiTheme="minorHAnsi"/>
                <w:sz w:val="20"/>
                <w:szCs w:val="20"/>
                <w:lang w:val="en-AU"/>
              </w:rPr>
              <w:t>Growth in budget is not being solely consumed by salaries. New budget allocations were especially strong for capital items.</w:t>
            </w:r>
          </w:p>
        </w:tc>
      </w:tr>
      <w:tr w:rsidR="00CF2827" w:rsidRPr="0038463D" w:rsidTr="00CF2827">
        <w:trPr>
          <w:jc w:val="center"/>
        </w:trPr>
        <w:tc>
          <w:tcPr>
            <w:tcW w:w="1515" w:type="dxa"/>
            <w:tcBorders>
              <w:left w:val="single" w:sz="12" w:space="0" w:color="auto"/>
            </w:tcBorders>
            <w:vAlign w:val="center"/>
          </w:tcPr>
          <w:p w:rsidR="00CF2827" w:rsidRPr="0038463D" w:rsidRDefault="00CF2827" w:rsidP="00270BD5">
            <w:pPr>
              <w:spacing w:after="0"/>
              <w:rPr>
                <w:rFonts w:asciiTheme="minorHAnsi" w:hAnsiTheme="minorHAnsi"/>
                <w:sz w:val="20"/>
                <w:szCs w:val="20"/>
                <w:lang w:val="en-AU"/>
              </w:rPr>
            </w:pPr>
            <w:r>
              <w:rPr>
                <w:rFonts w:asciiTheme="minorHAnsi" w:hAnsiTheme="minorHAnsi"/>
                <w:sz w:val="20"/>
                <w:szCs w:val="20"/>
                <w:lang w:val="en-AU"/>
              </w:rPr>
              <w:t>KPI 4</w:t>
            </w:r>
            <w:r w:rsidRPr="0038463D">
              <w:rPr>
                <w:rFonts w:asciiTheme="minorHAnsi" w:hAnsiTheme="minorHAnsi"/>
                <w:sz w:val="20"/>
                <w:szCs w:val="20"/>
                <w:lang w:val="en-AU"/>
              </w:rPr>
              <w:t xml:space="preserve"> </w:t>
            </w:r>
          </w:p>
          <w:p w:rsidR="00CF2827" w:rsidRPr="0038463D" w:rsidRDefault="00CF2827" w:rsidP="00270BD5">
            <w:pPr>
              <w:spacing w:after="0"/>
              <w:rPr>
                <w:rFonts w:asciiTheme="minorHAnsi" w:hAnsiTheme="minorHAnsi"/>
                <w:sz w:val="20"/>
                <w:szCs w:val="20"/>
                <w:lang w:val="en-AU"/>
              </w:rPr>
            </w:pPr>
            <w:r w:rsidRPr="0038463D">
              <w:rPr>
                <w:rFonts w:asciiTheme="minorHAnsi" w:hAnsiTheme="minorHAnsi"/>
                <w:sz w:val="20"/>
                <w:szCs w:val="20"/>
                <w:lang w:val="en-AU"/>
              </w:rPr>
              <w:t>District commitment to education</w:t>
            </w:r>
          </w:p>
        </w:tc>
        <w:tc>
          <w:tcPr>
            <w:tcW w:w="1721" w:type="dxa"/>
            <w:vAlign w:val="center"/>
          </w:tcPr>
          <w:p w:rsidR="00CF2827" w:rsidRPr="0038463D" w:rsidRDefault="00CF2827" w:rsidP="00270BD5">
            <w:pPr>
              <w:spacing w:after="0"/>
              <w:rPr>
                <w:rFonts w:asciiTheme="minorHAnsi" w:hAnsiTheme="minorHAnsi"/>
                <w:sz w:val="20"/>
                <w:szCs w:val="20"/>
                <w:lang w:val="en-AU"/>
              </w:rPr>
            </w:pPr>
            <w:r w:rsidRPr="0038463D">
              <w:rPr>
                <w:rFonts w:asciiTheme="minorHAnsi" w:hAnsiTheme="minorHAnsi"/>
                <w:sz w:val="20"/>
                <w:szCs w:val="20"/>
                <w:lang w:val="en-AU"/>
              </w:rPr>
              <w:t>Education as % of total public expenditures</w:t>
            </w:r>
          </w:p>
        </w:tc>
        <w:tc>
          <w:tcPr>
            <w:tcW w:w="946" w:type="dxa"/>
            <w:vAlign w:val="center"/>
          </w:tcPr>
          <w:p w:rsidR="00CF2827" w:rsidRPr="0038463D" w:rsidRDefault="00CF2827" w:rsidP="00270BD5">
            <w:pPr>
              <w:spacing w:after="0"/>
              <w:jc w:val="center"/>
              <w:rPr>
                <w:rFonts w:asciiTheme="minorHAnsi" w:hAnsiTheme="minorHAnsi"/>
                <w:sz w:val="20"/>
                <w:szCs w:val="20"/>
                <w:lang w:val="en-AU"/>
              </w:rPr>
            </w:pPr>
            <w:r w:rsidRPr="0038463D">
              <w:rPr>
                <w:rFonts w:asciiTheme="minorHAnsi" w:hAnsiTheme="minorHAnsi"/>
                <w:sz w:val="20"/>
                <w:szCs w:val="20"/>
                <w:lang w:val="en-AU"/>
              </w:rPr>
              <w:t>District</w:t>
            </w:r>
          </w:p>
          <w:p w:rsidR="00CF2827" w:rsidRPr="0038463D" w:rsidRDefault="00CF2827" w:rsidP="00270BD5">
            <w:pPr>
              <w:spacing w:after="0"/>
              <w:jc w:val="center"/>
              <w:rPr>
                <w:rFonts w:asciiTheme="minorHAnsi" w:hAnsiTheme="minorHAnsi"/>
                <w:sz w:val="20"/>
                <w:szCs w:val="20"/>
                <w:lang w:val="en-AU"/>
              </w:rPr>
            </w:pPr>
          </w:p>
        </w:tc>
        <w:tc>
          <w:tcPr>
            <w:tcW w:w="1326" w:type="dxa"/>
            <w:vAlign w:val="center"/>
          </w:tcPr>
          <w:p w:rsidR="00CF2827" w:rsidRPr="0038463D" w:rsidRDefault="00CF2827" w:rsidP="00270BD5">
            <w:pPr>
              <w:spacing w:after="0"/>
              <w:jc w:val="center"/>
              <w:rPr>
                <w:rFonts w:asciiTheme="minorHAnsi" w:hAnsiTheme="minorHAnsi"/>
                <w:sz w:val="20"/>
                <w:szCs w:val="20"/>
                <w:lang w:val="en-AU"/>
              </w:rPr>
            </w:pPr>
            <w:r w:rsidRPr="0038463D">
              <w:rPr>
                <w:rFonts w:asciiTheme="minorHAnsi" w:hAnsiTheme="minorHAnsi"/>
                <w:sz w:val="20"/>
                <w:szCs w:val="20"/>
                <w:lang w:val="en-AU"/>
              </w:rPr>
              <w:t>Government commitment</w:t>
            </w:r>
          </w:p>
          <w:p w:rsidR="00CF2827" w:rsidRPr="0038463D" w:rsidRDefault="00CF2827" w:rsidP="00270BD5">
            <w:pPr>
              <w:spacing w:after="0"/>
              <w:jc w:val="center"/>
              <w:rPr>
                <w:rFonts w:asciiTheme="minorHAnsi" w:hAnsiTheme="minorHAnsi"/>
                <w:sz w:val="20"/>
                <w:szCs w:val="20"/>
                <w:lang w:val="en-AU"/>
              </w:rPr>
            </w:pPr>
            <w:r w:rsidRPr="0038463D">
              <w:rPr>
                <w:rFonts w:asciiTheme="minorHAnsi" w:hAnsiTheme="minorHAnsi"/>
                <w:sz w:val="20"/>
                <w:szCs w:val="20"/>
                <w:lang w:val="en-AU"/>
              </w:rPr>
              <w:t>Equity/access</w:t>
            </w:r>
          </w:p>
        </w:tc>
        <w:tc>
          <w:tcPr>
            <w:tcW w:w="967" w:type="dxa"/>
            <w:shd w:val="clear" w:color="auto" w:fill="FFC000"/>
            <w:vAlign w:val="center"/>
          </w:tcPr>
          <w:p w:rsidR="00CF2827" w:rsidRPr="0038463D" w:rsidRDefault="00CF2827" w:rsidP="00270BD5">
            <w:pPr>
              <w:spacing w:after="0"/>
              <w:jc w:val="center"/>
              <w:rPr>
                <w:rFonts w:asciiTheme="minorHAnsi" w:hAnsiTheme="minorHAnsi"/>
                <w:sz w:val="20"/>
                <w:szCs w:val="20"/>
                <w:lang w:val="en-AU"/>
              </w:rPr>
            </w:pPr>
            <w:r>
              <w:rPr>
                <w:rFonts w:asciiTheme="minorHAnsi" w:hAnsiTheme="minorHAnsi"/>
                <w:sz w:val="20"/>
                <w:szCs w:val="20"/>
                <w:lang w:val="en-AU"/>
              </w:rPr>
              <w:t>Neutral</w:t>
            </w:r>
          </w:p>
        </w:tc>
        <w:tc>
          <w:tcPr>
            <w:tcW w:w="3312" w:type="dxa"/>
            <w:tcBorders>
              <w:right w:val="single" w:sz="12" w:space="0" w:color="auto"/>
            </w:tcBorders>
            <w:vAlign w:val="center"/>
          </w:tcPr>
          <w:p w:rsidR="00CF2827" w:rsidRPr="0038463D" w:rsidRDefault="00CF2827" w:rsidP="00270BD5">
            <w:pPr>
              <w:spacing w:after="0"/>
              <w:rPr>
                <w:rFonts w:asciiTheme="minorHAnsi" w:hAnsiTheme="minorHAnsi"/>
                <w:sz w:val="20"/>
                <w:szCs w:val="20"/>
                <w:lang w:val="en-AU"/>
              </w:rPr>
            </w:pPr>
            <w:r w:rsidRPr="0038463D">
              <w:rPr>
                <w:rFonts w:asciiTheme="minorHAnsi" w:hAnsiTheme="minorHAnsi"/>
                <w:b/>
                <w:sz w:val="20"/>
                <w:szCs w:val="20"/>
                <w:lang w:val="en-AU"/>
              </w:rPr>
              <w:t>Comment:</w:t>
            </w:r>
            <w:r w:rsidRPr="0038463D">
              <w:rPr>
                <w:rFonts w:asciiTheme="minorHAnsi" w:hAnsiTheme="minorHAnsi"/>
                <w:sz w:val="20"/>
                <w:szCs w:val="20"/>
                <w:lang w:val="en-AU"/>
              </w:rPr>
              <w:t xml:space="preserve"> The strong increase in the education share of district budgets in 2011 was reversed in </w:t>
            </w:r>
            <w:r>
              <w:rPr>
                <w:rFonts w:asciiTheme="minorHAnsi" w:hAnsiTheme="minorHAnsi"/>
                <w:sz w:val="20"/>
                <w:szCs w:val="20"/>
                <w:lang w:val="en-AU"/>
              </w:rPr>
              <w:t xml:space="preserve">last 2 years </w:t>
            </w:r>
            <w:r w:rsidRPr="0038463D">
              <w:rPr>
                <w:rFonts w:asciiTheme="minorHAnsi" w:hAnsiTheme="minorHAnsi"/>
                <w:sz w:val="20"/>
                <w:szCs w:val="20"/>
                <w:lang w:val="en-AU"/>
              </w:rPr>
              <w:t>2012</w:t>
            </w:r>
            <w:r>
              <w:rPr>
                <w:rFonts w:asciiTheme="minorHAnsi" w:hAnsiTheme="minorHAnsi"/>
                <w:sz w:val="20"/>
                <w:szCs w:val="20"/>
                <w:lang w:val="en-AU"/>
              </w:rPr>
              <w:t xml:space="preserve"> and 2013</w:t>
            </w:r>
            <w:r w:rsidRPr="0038463D">
              <w:rPr>
                <w:rFonts w:asciiTheme="minorHAnsi" w:hAnsiTheme="minorHAnsi"/>
                <w:sz w:val="20"/>
                <w:szCs w:val="20"/>
                <w:lang w:val="en-AU"/>
              </w:rPr>
              <w:t xml:space="preserve">, with the education share dropping </w:t>
            </w:r>
            <w:r>
              <w:rPr>
                <w:rFonts w:asciiTheme="minorHAnsi" w:hAnsiTheme="minorHAnsi"/>
                <w:sz w:val="20"/>
                <w:szCs w:val="20"/>
                <w:lang w:val="en-AU"/>
              </w:rPr>
              <w:t>to 34% from 36%.</w:t>
            </w:r>
          </w:p>
          <w:p w:rsidR="00CF2827" w:rsidRPr="0038463D" w:rsidRDefault="00CF2827" w:rsidP="00270BD5">
            <w:pPr>
              <w:spacing w:after="0"/>
              <w:rPr>
                <w:rFonts w:asciiTheme="minorHAnsi" w:hAnsiTheme="minorHAnsi"/>
                <w:sz w:val="20"/>
                <w:szCs w:val="20"/>
                <w:lang w:val="en-AU"/>
              </w:rPr>
            </w:pPr>
            <w:r w:rsidRPr="0038463D">
              <w:rPr>
                <w:rFonts w:asciiTheme="minorHAnsi" w:hAnsiTheme="minorHAnsi"/>
                <w:b/>
                <w:sz w:val="20"/>
                <w:szCs w:val="20"/>
                <w:lang w:val="en-AU"/>
              </w:rPr>
              <w:t>Implications</w:t>
            </w:r>
            <w:r w:rsidRPr="0038463D">
              <w:rPr>
                <w:rFonts w:asciiTheme="minorHAnsi" w:hAnsiTheme="minorHAnsi"/>
                <w:sz w:val="20"/>
                <w:szCs w:val="20"/>
                <w:lang w:val="en-AU"/>
              </w:rPr>
              <w:t xml:space="preserve">: </w:t>
            </w:r>
            <w:r>
              <w:rPr>
                <w:rFonts w:asciiTheme="minorHAnsi" w:hAnsiTheme="minorHAnsi"/>
                <w:sz w:val="20"/>
                <w:szCs w:val="20"/>
                <w:lang w:val="en-AU"/>
              </w:rPr>
              <w:t xml:space="preserve">Poorest </w:t>
            </w:r>
            <w:r w:rsidRPr="0038463D">
              <w:rPr>
                <w:rFonts w:asciiTheme="minorHAnsi" w:hAnsiTheme="minorHAnsi"/>
                <w:sz w:val="20"/>
                <w:szCs w:val="20"/>
                <w:lang w:val="en-AU"/>
              </w:rPr>
              <w:t xml:space="preserve">districts </w:t>
            </w:r>
            <w:r>
              <w:rPr>
                <w:rFonts w:asciiTheme="minorHAnsi" w:hAnsiTheme="minorHAnsi"/>
                <w:sz w:val="20"/>
                <w:szCs w:val="20"/>
                <w:lang w:val="en-AU"/>
              </w:rPr>
              <w:t xml:space="preserve">with low allocations for  education </w:t>
            </w:r>
            <w:r w:rsidRPr="0038463D">
              <w:rPr>
                <w:rFonts w:asciiTheme="minorHAnsi" w:hAnsiTheme="minorHAnsi"/>
                <w:sz w:val="20"/>
                <w:szCs w:val="20"/>
                <w:lang w:val="en-AU"/>
              </w:rPr>
              <w:t>should be monitored</w:t>
            </w:r>
          </w:p>
        </w:tc>
      </w:tr>
      <w:tr w:rsidR="00CF2827" w:rsidRPr="0038463D" w:rsidTr="00CF2827">
        <w:trPr>
          <w:jc w:val="center"/>
        </w:trPr>
        <w:tc>
          <w:tcPr>
            <w:tcW w:w="1515" w:type="dxa"/>
            <w:tcBorders>
              <w:left w:val="single" w:sz="12" w:space="0" w:color="auto"/>
            </w:tcBorders>
            <w:vAlign w:val="center"/>
          </w:tcPr>
          <w:p w:rsidR="00CF2827" w:rsidRPr="0038463D" w:rsidRDefault="00CF2827" w:rsidP="00270BD5">
            <w:pPr>
              <w:spacing w:after="0"/>
              <w:rPr>
                <w:rFonts w:asciiTheme="minorHAnsi" w:hAnsiTheme="minorHAnsi"/>
                <w:sz w:val="20"/>
                <w:szCs w:val="20"/>
                <w:lang w:val="en-AU"/>
              </w:rPr>
            </w:pPr>
            <w:r>
              <w:rPr>
                <w:rFonts w:asciiTheme="minorHAnsi" w:hAnsiTheme="minorHAnsi"/>
                <w:sz w:val="20"/>
                <w:szCs w:val="20"/>
                <w:lang w:val="en-AU"/>
              </w:rPr>
              <w:t>KPI 5</w:t>
            </w:r>
            <w:r w:rsidRPr="0038463D">
              <w:rPr>
                <w:rFonts w:asciiTheme="minorHAnsi" w:hAnsiTheme="minorHAnsi"/>
                <w:sz w:val="20"/>
                <w:szCs w:val="20"/>
                <w:lang w:val="en-AU"/>
              </w:rPr>
              <w:t xml:space="preserve"> </w:t>
            </w:r>
          </w:p>
          <w:p w:rsidR="00CF2827" w:rsidRPr="0038463D" w:rsidRDefault="00CF2827" w:rsidP="00270BD5">
            <w:pPr>
              <w:spacing w:after="0"/>
              <w:rPr>
                <w:rFonts w:asciiTheme="minorHAnsi" w:hAnsiTheme="minorHAnsi"/>
                <w:sz w:val="20"/>
                <w:szCs w:val="20"/>
                <w:lang w:val="en-AU"/>
              </w:rPr>
            </w:pPr>
            <w:r w:rsidRPr="0038463D">
              <w:rPr>
                <w:rFonts w:asciiTheme="minorHAnsi" w:hAnsiTheme="minorHAnsi"/>
                <w:sz w:val="20"/>
                <w:szCs w:val="20"/>
                <w:lang w:val="en-AU"/>
              </w:rPr>
              <w:t>Annual growth in spending in the poorest districts</w:t>
            </w:r>
          </w:p>
        </w:tc>
        <w:tc>
          <w:tcPr>
            <w:tcW w:w="1721" w:type="dxa"/>
            <w:vAlign w:val="center"/>
          </w:tcPr>
          <w:p w:rsidR="00CF2827" w:rsidRPr="0038463D" w:rsidRDefault="00CF2827" w:rsidP="00270BD5">
            <w:pPr>
              <w:spacing w:after="0"/>
              <w:rPr>
                <w:rFonts w:asciiTheme="minorHAnsi" w:hAnsiTheme="minorHAnsi"/>
                <w:sz w:val="20"/>
                <w:szCs w:val="20"/>
                <w:lang w:val="en-AU"/>
              </w:rPr>
            </w:pPr>
            <w:r w:rsidRPr="0038463D">
              <w:rPr>
                <w:rFonts w:asciiTheme="minorHAnsi" w:hAnsiTheme="minorHAnsi"/>
                <w:sz w:val="20"/>
                <w:szCs w:val="20"/>
                <w:lang w:val="en-AU"/>
              </w:rPr>
              <w:t>Annual % change in public expenditures for education in lowest quintile districts compared to national % change in public expenditure for education</w:t>
            </w:r>
          </w:p>
        </w:tc>
        <w:tc>
          <w:tcPr>
            <w:tcW w:w="946" w:type="dxa"/>
            <w:vAlign w:val="center"/>
          </w:tcPr>
          <w:p w:rsidR="00CF2827" w:rsidRPr="0038463D" w:rsidRDefault="00CF2827" w:rsidP="00270BD5">
            <w:pPr>
              <w:spacing w:after="0"/>
              <w:jc w:val="center"/>
              <w:rPr>
                <w:rFonts w:asciiTheme="minorHAnsi" w:hAnsiTheme="minorHAnsi"/>
                <w:sz w:val="20"/>
                <w:szCs w:val="20"/>
                <w:lang w:val="en-AU"/>
              </w:rPr>
            </w:pPr>
            <w:r w:rsidRPr="0038463D">
              <w:rPr>
                <w:rFonts w:asciiTheme="minorHAnsi" w:hAnsiTheme="minorHAnsi"/>
                <w:sz w:val="20"/>
                <w:szCs w:val="20"/>
                <w:lang w:val="en-AU"/>
              </w:rPr>
              <w:t>District</w:t>
            </w:r>
          </w:p>
          <w:p w:rsidR="00CF2827" w:rsidRPr="0038463D" w:rsidRDefault="00CF2827" w:rsidP="00270BD5">
            <w:pPr>
              <w:spacing w:after="0"/>
              <w:jc w:val="center"/>
              <w:rPr>
                <w:rFonts w:asciiTheme="minorHAnsi" w:hAnsiTheme="minorHAnsi"/>
                <w:sz w:val="20"/>
                <w:szCs w:val="20"/>
                <w:lang w:val="en-AU"/>
              </w:rPr>
            </w:pPr>
          </w:p>
        </w:tc>
        <w:tc>
          <w:tcPr>
            <w:tcW w:w="1326" w:type="dxa"/>
            <w:vAlign w:val="center"/>
          </w:tcPr>
          <w:p w:rsidR="00CF2827" w:rsidRPr="0038463D" w:rsidRDefault="00CF2827" w:rsidP="00270BD5">
            <w:pPr>
              <w:spacing w:after="0"/>
              <w:jc w:val="center"/>
              <w:rPr>
                <w:rFonts w:asciiTheme="minorHAnsi" w:hAnsiTheme="minorHAnsi"/>
                <w:sz w:val="20"/>
                <w:szCs w:val="20"/>
                <w:lang w:val="en-AU"/>
              </w:rPr>
            </w:pPr>
            <w:r w:rsidRPr="0038463D">
              <w:rPr>
                <w:rFonts w:asciiTheme="minorHAnsi" w:hAnsiTheme="minorHAnsi"/>
                <w:sz w:val="20"/>
                <w:szCs w:val="20"/>
                <w:lang w:val="en-AU"/>
              </w:rPr>
              <w:t>Equity/access</w:t>
            </w:r>
          </w:p>
        </w:tc>
        <w:tc>
          <w:tcPr>
            <w:tcW w:w="967" w:type="dxa"/>
            <w:shd w:val="clear" w:color="auto" w:fill="92D050"/>
            <w:vAlign w:val="center"/>
          </w:tcPr>
          <w:p w:rsidR="00CF2827" w:rsidRPr="0038463D" w:rsidRDefault="00CF2827" w:rsidP="00270BD5">
            <w:pPr>
              <w:spacing w:after="0"/>
              <w:jc w:val="center"/>
              <w:rPr>
                <w:rFonts w:asciiTheme="minorHAnsi" w:hAnsiTheme="minorHAnsi"/>
                <w:sz w:val="20"/>
                <w:szCs w:val="20"/>
                <w:lang w:val="en-AU"/>
              </w:rPr>
            </w:pPr>
            <w:r>
              <w:rPr>
                <w:rFonts w:asciiTheme="minorHAnsi" w:hAnsiTheme="minorHAnsi"/>
                <w:sz w:val="20"/>
                <w:szCs w:val="20"/>
                <w:lang w:val="en-AU"/>
              </w:rPr>
              <w:t xml:space="preserve">Positive </w:t>
            </w:r>
          </w:p>
        </w:tc>
        <w:tc>
          <w:tcPr>
            <w:tcW w:w="3312" w:type="dxa"/>
            <w:tcBorders>
              <w:right w:val="single" w:sz="12" w:space="0" w:color="auto"/>
            </w:tcBorders>
            <w:vAlign w:val="center"/>
          </w:tcPr>
          <w:p w:rsidR="00CF2827" w:rsidRPr="0038463D" w:rsidRDefault="00CF2827" w:rsidP="00270BD5">
            <w:pPr>
              <w:spacing w:after="0"/>
              <w:rPr>
                <w:rFonts w:asciiTheme="minorHAnsi" w:hAnsiTheme="minorHAnsi"/>
                <w:sz w:val="20"/>
                <w:szCs w:val="20"/>
                <w:lang w:val="en-AU"/>
              </w:rPr>
            </w:pPr>
            <w:r w:rsidRPr="0038463D">
              <w:rPr>
                <w:rFonts w:asciiTheme="minorHAnsi" w:hAnsiTheme="minorHAnsi"/>
                <w:b/>
                <w:sz w:val="20"/>
                <w:szCs w:val="20"/>
                <w:lang w:val="en-AU"/>
              </w:rPr>
              <w:t>Comment:</w:t>
            </w:r>
            <w:r>
              <w:rPr>
                <w:rFonts w:asciiTheme="minorHAnsi" w:hAnsiTheme="minorHAnsi"/>
                <w:b/>
                <w:sz w:val="20"/>
                <w:szCs w:val="20"/>
                <w:lang w:val="en-AU"/>
              </w:rPr>
              <w:t xml:space="preserve"> </w:t>
            </w:r>
            <w:r w:rsidRPr="00E0387B">
              <w:rPr>
                <w:rFonts w:asciiTheme="minorHAnsi" w:hAnsiTheme="minorHAnsi"/>
                <w:sz w:val="20"/>
                <w:szCs w:val="20"/>
                <w:lang w:val="en-AU"/>
              </w:rPr>
              <w:t>Average growth in education allocations improved for poorest districts and there fewer poorest districts allocating less than 15% of the budget for education.</w:t>
            </w:r>
          </w:p>
          <w:p w:rsidR="00CF2827" w:rsidRPr="0038463D" w:rsidRDefault="00CF2827" w:rsidP="00270BD5">
            <w:pPr>
              <w:spacing w:after="0"/>
              <w:rPr>
                <w:rFonts w:asciiTheme="minorHAnsi" w:hAnsiTheme="minorHAnsi"/>
                <w:sz w:val="20"/>
                <w:szCs w:val="20"/>
                <w:lang w:val="en-AU"/>
              </w:rPr>
            </w:pPr>
            <w:r w:rsidRPr="0038463D">
              <w:rPr>
                <w:rFonts w:asciiTheme="minorHAnsi" w:hAnsiTheme="minorHAnsi"/>
                <w:b/>
                <w:sz w:val="20"/>
                <w:szCs w:val="20"/>
                <w:lang w:val="en-AU"/>
              </w:rPr>
              <w:t xml:space="preserve">Implications: </w:t>
            </w:r>
            <w:r>
              <w:rPr>
                <w:rFonts w:asciiTheme="minorHAnsi" w:hAnsiTheme="minorHAnsi"/>
                <w:sz w:val="20"/>
                <w:szCs w:val="20"/>
                <w:lang w:val="en-AU"/>
              </w:rPr>
              <w:t>Papua accounts for the majority of poorest districts with contracting budget allocations in 2013.</w:t>
            </w:r>
          </w:p>
        </w:tc>
      </w:tr>
      <w:tr w:rsidR="00CF2827" w:rsidRPr="0038463D" w:rsidTr="00CF2827">
        <w:trPr>
          <w:jc w:val="center"/>
        </w:trPr>
        <w:tc>
          <w:tcPr>
            <w:tcW w:w="1515" w:type="dxa"/>
            <w:tcBorders>
              <w:left w:val="single" w:sz="12" w:space="0" w:color="auto"/>
            </w:tcBorders>
            <w:vAlign w:val="center"/>
          </w:tcPr>
          <w:p w:rsidR="00CF2827" w:rsidRPr="0038463D" w:rsidRDefault="00CF2827" w:rsidP="00270BD5">
            <w:pPr>
              <w:spacing w:after="0"/>
              <w:rPr>
                <w:rFonts w:asciiTheme="minorHAnsi" w:hAnsiTheme="minorHAnsi"/>
                <w:sz w:val="20"/>
                <w:szCs w:val="20"/>
                <w:lang w:val="en-AU"/>
              </w:rPr>
            </w:pPr>
            <w:r w:rsidRPr="0038463D">
              <w:rPr>
                <w:rFonts w:asciiTheme="minorHAnsi" w:hAnsiTheme="minorHAnsi"/>
                <w:sz w:val="20"/>
                <w:szCs w:val="20"/>
                <w:lang w:val="en-AU"/>
              </w:rPr>
              <w:t xml:space="preserve">KPI </w:t>
            </w:r>
            <w:r>
              <w:rPr>
                <w:rFonts w:asciiTheme="minorHAnsi" w:hAnsiTheme="minorHAnsi"/>
                <w:sz w:val="20"/>
                <w:szCs w:val="20"/>
                <w:lang w:val="en-AU"/>
              </w:rPr>
              <w:t>6</w:t>
            </w:r>
            <w:r w:rsidRPr="0038463D">
              <w:rPr>
                <w:rFonts w:asciiTheme="minorHAnsi" w:hAnsiTheme="minorHAnsi"/>
                <w:sz w:val="20"/>
                <w:szCs w:val="20"/>
                <w:lang w:val="en-AU"/>
              </w:rPr>
              <w:t xml:space="preserve"> </w:t>
            </w:r>
          </w:p>
          <w:p w:rsidR="00CF2827" w:rsidRPr="0038463D" w:rsidRDefault="00CF2827" w:rsidP="00270BD5">
            <w:pPr>
              <w:spacing w:after="0"/>
              <w:rPr>
                <w:rFonts w:asciiTheme="minorHAnsi" w:hAnsiTheme="minorHAnsi"/>
                <w:sz w:val="20"/>
                <w:szCs w:val="20"/>
                <w:lang w:val="en-AU"/>
              </w:rPr>
            </w:pPr>
            <w:r w:rsidRPr="0038463D">
              <w:rPr>
                <w:rFonts w:asciiTheme="minorHAnsi" w:hAnsiTheme="minorHAnsi"/>
                <w:sz w:val="20"/>
                <w:szCs w:val="20"/>
                <w:lang w:val="en-AU"/>
              </w:rPr>
              <w:t xml:space="preserve">Average district expenditure per student </w:t>
            </w:r>
          </w:p>
        </w:tc>
        <w:tc>
          <w:tcPr>
            <w:tcW w:w="1721" w:type="dxa"/>
            <w:vAlign w:val="center"/>
          </w:tcPr>
          <w:p w:rsidR="00CF2827" w:rsidRPr="0038463D" w:rsidRDefault="00CF2827" w:rsidP="00270BD5">
            <w:pPr>
              <w:spacing w:after="0"/>
              <w:rPr>
                <w:rFonts w:asciiTheme="minorHAnsi" w:hAnsiTheme="minorHAnsi"/>
                <w:sz w:val="20"/>
                <w:szCs w:val="20"/>
                <w:lang w:val="en-AU"/>
              </w:rPr>
            </w:pPr>
            <w:r w:rsidRPr="0038463D">
              <w:rPr>
                <w:rFonts w:asciiTheme="minorHAnsi" w:hAnsiTheme="minorHAnsi"/>
                <w:sz w:val="20"/>
                <w:szCs w:val="20"/>
                <w:lang w:val="en-AU"/>
              </w:rPr>
              <w:t>Public expenditure from APBD divided by total number of school students</w:t>
            </w:r>
          </w:p>
        </w:tc>
        <w:tc>
          <w:tcPr>
            <w:tcW w:w="946" w:type="dxa"/>
            <w:vAlign w:val="center"/>
          </w:tcPr>
          <w:p w:rsidR="00CF2827" w:rsidRPr="0038463D" w:rsidRDefault="00CF2827" w:rsidP="00270BD5">
            <w:pPr>
              <w:spacing w:after="0"/>
              <w:jc w:val="center"/>
              <w:rPr>
                <w:rFonts w:asciiTheme="minorHAnsi" w:hAnsiTheme="minorHAnsi"/>
                <w:sz w:val="20"/>
                <w:szCs w:val="20"/>
                <w:lang w:val="en-AU"/>
              </w:rPr>
            </w:pPr>
            <w:r w:rsidRPr="0038463D">
              <w:rPr>
                <w:rFonts w:asciiTheme="minorHAnsi" w:hAnsiTheme="minorHAnsi"/>
                <w:sz w:val="20"/>
                <w:szCs w:val="20"/>
                <w:lang w:val="en-AU"/>
              </w:rPr>
              <w:t>District</w:t>
            </w:r>
          </w:p>
        </w:tc>
        <w:tc>
          <w:tcPr>
            <w:tcW w:w="1326" w:type="dxa"/>
            <w:vAlign w:val="center"/>
          </w:tcPr>
          <w:p w:rsidR="00CF2827" w:rsidRPr="0038463D" w:rsidRDefault="00CF2827" w:rsidP="00270BD5">
            <w:pPr>
              <w:spacing w:after="0"/>
              <w:jc w:val="center"/>
              <w:rPr>
                <w:rFonts w:asciiTheme="minorHAnsi" w:hAnsiTheme="minorHAnsi"/>
                <w:sz w:val="20"/>
                <w:szCs w:val="20"/>
                <w:lang w:val="en-AU"/>
              </w:rPr>
            </w:pPr>
            <w:r w:rsidRPr="0038463D">
              <w:rPr>
                <w:rFonts w:asciiTheme="minorHAnsi" w:hAnsiTheme="minorHAnsi"/>
                <w:sz w:val="20"/>
                <w:szCs w:val="20"/>
                <w:lang w:val="en-AU"/>
              </w:rPr>
              <w:t>Government commitment</w:t>
            </w:r>
          </w:p>
          <w:p w:rsidR="00CF2827" w:rsidRPr="0038463D" w:rsidRDefault="00CF2827" w:rsidP="00270BD5">
            <w:pPr>
              <w:spacing w:after="0"/>
              <w:jc w:val="center"/>
              <w:rPr>
                <w:rFonts w:asciiTheme="minorHAnsi" w:hAnsiTheme="minorHAnsi"/>
                <w:sz w:val="20"/>
                <w:szCs w:val="20"/>
                <w:lang w:val="en-AU"/>
              </w:rPr>
            </w:pPr>
            <w:r w:rsidRPr="0038463D">
              <w:rPr>
                <w:rFonts w:asciiTheme="minorHAnsi" w:hAnsiTheme="minorHAnsi"/>
                <w:sz w:val="20"/>
                <w:szCs w:val="20"/>
                <w:lang w:val="en-AU"/>
              </w:rPr>
              <w:t>Quality</w:t>
            </w:r>
          </w:p>
        </w:tc>
        <w:tc>
          <w:tcPr>
            <w:tcW w:w="967" w:type="dxa"/>
            <w:shd w:val="clear" w:color="auto" w:fill="92D050"/>
            <w:vAlign w:val="center"/>
          </w:tcPr>
          <w:p w:rsidR="00CF2827" w:rsidRPr="0038463D" w:rsidRDefault="00CF2827" w:rsidP="00270BD5">
            <w:pPr>
              <w:spacing w:after="0"/>
              <w:jc w:val="center"/>
              <w:rPr>
                <w:rFonts w:asciiTheme="minorHAnsi" w:hAnsiTheme="minorHAnsi"/>
                <w:sz w:val="20"/>
                <w:szCs w:val="20"/>
                <w:lang w:val="en-AU"/>
              </w:rPr>
            </w:pPr>
            <w:r w:rsidRPr="0038463D">
              <w:rPr>
                <w:rFonts w:asciiTheme="minorHAnsi" w:hAnsiTheme="minorHAnsi"/>
                <w:sz w:val="20"/>
                <w:szCs w:val="20"/>
                <w:lang w:val="en-AU"/>
              </w:rPr>
              <w:t>Positive</w:t>
            </w:r>
          </w:p>
        </w:tc>
        <w:tc>
          <w:tcPr>
            <w:tcW w:w="3312" w:type="dxa"/>
            <w:tcBorders>
              <w:right w:val="single" w:sz="12" w:space="0" w:color="auto"/>
            </w:tcBorders>
            <w:vAlign w:val="center"/>
          </w:tcPr>
          <w:p w:rsidR="00CF2827" w:rsidRDefault="00CF2827" w:rsidP="00270BD5">
            <w:pPr>
              <w:spacing w:after="0"/>
              <w:rPr>
                <w:rFonts w:asciiTheme="minorHAnsi" w:hAnsiTheme="minorHAnsi"/>
                <w:sz w:val="20"/>
                <w:szCs w:val="20"/>
                <w:lang w:val="en-AU"/>
              </w:rPr>
            </w:pPr>
            <w:r w:rsidRPr="0038463D">
              <w:rPr>
                <w:rFonts w:asciiTheme="minorHAnsi" w:hAnsiTheme="minorHAnsi"/>
                <w:b/>
                <w:sz w:val="20"/>
                <w:szCs w:val="20"/>
                <w:lang w:val="en-AU"/>
              </w:rPr>
              <w:t>Comment:</w:t>
            </w:r>
            <w:r w:rsidRPr="0038463D">
              <w:rPr>
                <w:rFonts w:asciiTheme="minorHAnsi" w:hAnsiTheme="minorHAnsi"/>
                <w:sz w:val="20"/>
                <w:szCs w:val="20"/>
                <w:lang w:val="en-AU"/>
              </w:rPr>
              <w:t xml:space="preserve"> Average expenditure per student</w:t>
            </w:r>
            <w:r>
              <w:rPr>
                <w:rFonts w:asciiTheme="minorHAnsi" w:hAnsiTheme="minorHAnsi"/>
                <w:sz w:val="20"/>
                <w:szCs w:val="20"/>
                <w:lang w:val="en-AU"/>
              </w:rPr>
              <w:t xml:space="preserve"> across the country grew in 2013 at a reasonable rate.</w:t>
            </w:r>
            <w:r w:rsidRPr="0038463D">
              <w:rPr>
                <w:rFonts w:asciiTheme="minorHAnsi" w:hAnsiTheme="minorHAnsi"/>
                <w:sz w:val="20"/>
                <w:szCs w:val="20"/>
                <w:lang w:val="en-AU"/>
              </w:rPr>
              <w:t xml:space="preserve"> </w:t>
            </w:r>
          </w:p>
          <w:p w:rsidR="00CF2827" w:rsidRPr="0038463D" w:rsidRDefault="00CF2827" w:rsidP="00270BD5">
            <w:pPr>
              <w:spacing w:after="0"/>
              <w:rPr>
                <w:rFonts w:asciiTheme="minorHAnsi" w:hAnsiTheme="minorHAnsi"/>
                <w:sz w:val="20"/>
                <w:szCs w:val="20"/>
                <w:lang w:val="en-AU"/>
              </w:rPr>
            </w:pPr>
            <w:r w:rsidRPr="0038463D">
              <w:rPr>
                <w:rFonts w:asciiTheme="minorHAnsi" w:hAnsiTheme="minorHAnsi"/>
                <w:b/>
                <w:sz w:val="20"/>
                <w:szCs w:val="20"/>
                <w:lang w:val="en-AU"/>
              </w:rPr>
              <w:t>Implications</w:t>
            </w:r>
            <w:r w:rsidRPr="0038463D">
              <w:rPr>
                <w:rFonts w:asciiTheme="minorHAnsi" w:hAnsiTheme="minorHAnsi"/>
                <w:sz w:val="20"/>
                <w:szCs w:val="20"/>
                <w:lang w:val="en-AU"/>
              </w:rPr>
              <w:t xml:space="preserve">: </w:t>
            </w:r>
            <w:r>
              <w:rPr>
                <w:rFonts w:asciiTheme="minorHAnsi" w:hAnsiTheme="minorHAnsi"/>
                <w:sz w:val="20"/>
                <w:szCs w:val="20"/>
                <w:lang w:val="en-AU"/>
              </w:rPr>
              <w:t xml:space="preserve">Papua had average growth in 2013 (unlike 2012) but it still had 13 districts with contracting </w:t>
            </w:r>
            <w:r>
              <w:rPr>
                <w:rFonts w:asciiTheme="minorHAnsi" w:hAnsiTheme="minorHAnsi"/>
                <w:sz w:val="20"/>
                <w:szCs w:val="20"/>
                <w:lang w:val="en-AU"/>
              </w:rPr>
              <w:lastRenderedPageBreak/>
              <w:t>budgets for education.</w:t>
            </w:r>
          </w:p>
        </w:tc>
      </w:tr>
      <w:tr w:rsidR="00CF2827" w:rsidRPr="0038463D" w:rsidTr="00CF2827">
        <w:trPr>
          <w:jc w:val="center"/>
        </w:trPr>
        <w:tc>
          <w:tcPr>
            <w:tcW w:w="1515" w:type="dxa"/>
            <w:tcBorders>
              <w:left w:val="single" w:sz="12" w:space="0" w:color="auto"/>
            </w:tcBorders>
            <w:vAlign w:val="center"/>
          </w:tcPr>
          <w:p w:rsidR="00CF2827" w:rsidRPr="0038463D" w:rsidRDefault="00CF2827" w:rsidP="00270BD5">
            <w:pPr>
              <w:spacing w:after="0"/>
              <w:rPr>
                <w:rFonts w:asciiTheme="minorHAnsi" w:hAnsiTheme="minorHAnsi"/>
                <w:sz w:val="20"/>
                <w:szCs w:val="20"/>
                <w:lang w:val="en-AU"/>
              </w:rPr>
            </w:pPr>
            <w:r>
              <w:rPr>
                <w:rFonts w:asciiTheme="minorHAnsi" w:hAnsiTheme="minorHAnsi"/>
                <w:sz w:val="20"/>
                <w:szCs w:val="20"/>
                <w:lang w:val="en-AU"/>
              </w:rPr>
              <w:lastRenderedPageBreak/>
              <w:t>KPI 7</w:t>
            </w:r>
            <w:r w:rsidRPr="0038463D">
              <w:rPr>
                <w:rFonts w:asciiTheme="minorHAnsi" w:hAnsiTheme="minorHAnsi"/>
                <w:sz w:val="20"/>
                <w:szCs w:val="20"/>
                <w:lang w:val="en-AU"/>
              </w:rPr>
              <w:t xml:space="preserve"> </w:t>
            </w:r>
          </w:p>
          <w:p w:rsidR="00CF2827" w:rsidRPr="0038463D" w:rsidRDefault="00CF2827" w:rsidP="00270BD5">
            <w:pPr>
              <w:spacing w:after="0"/>
              <w:rPr>
                <w:rFonts w:asciiTheme="minorHAnsi" w:hAnsiTheme="minorHAnsi"/>
                <w:sz w:val="20"/>
                <w:szCs w:val="20"/>
                <w:lang w:val="en-AU"/>
              </w:rPr>
            </w:pPr>
            <w:r w:rsidRPr="0038463D">
              <w:rPr>
                <w:rFonts w:asciiTheme="minorHAnsi" w:hAnsiTheme="minorHAnsi"/>
                <w:sz w:val="20"/>
                <w:szCs w:val="20"/>
                <w:lang w:val="en-AU"/>
              </w:rPr>
              <w:t>Actual education expenditure as % of planned expenditure</w:t>
            </w:r>
          </w:p>
        </w:tc>
        <w:tc>
          <w:tcPr>
            <w:tcW w:w="1721" w:type="dxa"/>
            <w:vAlign w:val="center"/>
          </w:tcPr>
          <w:p w:rsidR="00CF2827" w:rsidRPr="0038463D" w:rsidRDefault="00CF2827" w:rsidP="00270BD5">
            <w:pPr>
              <w:spacing w:after="0"/>
              <w:rPr>
                <w:rFonts w:asciiTheme="minorHAnsi" w:hAnsiTheme="minorHAnsi"/>
                <w:sz w:val="20"/>
                <w:szCs w:val="20"/>
                <w:lang w:val="en-AU"/>
              </w:rPr>
            </w:pPr>
            <w:r w:rsidRPr="0038463D">
              <w:rPr>
                <w:rFonts w:asciiTheme="minorHAnsi" w:hAnsiTheme="minorHAnsi"/>
                <w:sz w:val="20"/>
                <w:szCs w:val="20"/>
                <w:lang w:val="en-AU"/>
              </w:rPr>
              <w:t>Realised APBD for education as % of planned APBD for education</w:t>
            </w:r>
          </w:p>
        </w:tc>
        <w:tc>
          <w:tcPr>
            <w:tcW w:w="946" w:type="dxa"/>
            <w:vAlign w:val="center"/>
          </w:tcPr>
          <w:p w:rsidR="00CF2827" w:rsidRPr="0038463D" w:rsidRDefault="00CF2827" w:rsidP="00270BD5">
            <w:pPr>
              <w:spacing w:after="0"/>
              <w:jc w:val="center"/>
              <w:rPr>
                <w:rFonts w:asciiTheme="minorHAnsi" w:hAnsiTheme="minorHAnsi"/>
                <w:sz w:val="20"/>
                <w:szCs w:val="20"/>
                <w:lang w:val="en-AU"/>
              </w:rPr>
            </w:pPr>
            <w:r w:rsidRPr="0038463D">
              <w:rPr>
                <w:rFonts w:asciiTheme="minorHAnsi" w:hAnsiTheme="minorHAnsi"/>
                <w:sz w:val="20"/>
                <w:szCs w:val="20"/>
                <w:lang w:val="en-AU"/>
              </w:rPr>
              <w:t>District</w:t>
            </w:r>
          </w:p>
        </w:tc>
        <w:tc>
          <w:tcPr>
            <w:tcW w:w="1326" w:type="dxa"/>
            <w:vAlign w:val="center"/>
          </w:tcPr>
          <w:p w:rsidR="00CF2827" w:rsidRPr="0038463D" w:rsidRDefault="00CF2827" w:rsidP="00270BD5">
            <w:pPr>
              <w:spacing w:after="0"/>
              <w:jc w:val="center"/>
              <w:rPr>
                <w:rFonts w:asciiTheme="minorHAnsi" w:hAnsiTheme="minorHAnsi"/>
                <w:sz w:val="20"/>
                <w:szCs w:val="20"/>
                <w:lang w:val="en-AU"/>
              </w:rPr>
            </w:pPr>
            <w:r w:rsidRPr="0038463D">
              <w:rPr>
                <w:rFonts w:asciiTheme="minorHAnsi" w:hAnsiTheme="minorHAnsi"/>
                <w:sz w:val="20"/>
                <w:szCs w:val="20"/>
                <w:lang w:val="en-AU"/>
              </w:rPr>
              <w:t>Government commitment</w:t>
            </w:r>
          </w:p>
        </w:tc>
        <w:tc>
          <w:tcPr>
            <w:tcW w:w="967" w:type="dxa"/>
            <w:shd w:val="clear" w:color="auto" w:fill="92D050"/>
            <w:vAlign w:val="center"/>
          </w:tcPr>
          <w:p w:rsidR="00CF2827" w:rsidRPr="0038463D" w:rsidRDefault="00CF2827" w:rsidP="00270BD5">
            <w:pPr>
              <w:spacing w:after="0"/>
              <w:jc w:val="center"/>
              <w:rPr>
                <w:rFonts w:asciiTheme="minorHAnsi" w:hAnsiTheme="minorHAnsi"/>
                <w:sz w:val="20"/>
                <w:szCs w:val="20"/>
                <w:lang w:val="en-AU"/>
              </w:rPr>
            </w:pPr>
            <w:r w:rsidRPr="0038463D">
              <w:rPr>
                <w:rFonts w:asciiTheme="minorHAnsi" w:hAnsiTheme="minorHAnsi"/>
                <w:sz w:val="20"/>
                <w:szCs w:val="20"/>
                <w:lang w:val="en-AU"/>
              </w:rPr>
              <w:t>Positive</w:t>
            </w:r>
          </w:p>
        </w:tc>
        <w:tc>
          <w:tcPr>
            <w:tcW w:w="3312" w:type="dxa"/>
            <w:tcBorders>
              <w:right w:val="single" w:sz="12" w:space="0" w:color="auto"/>
            </w:tcBorders>
            <w:vAlign w:val="center"/>
          </w:tcPr>
          <w:p w:rsidR="00CF2827" w:rsidRPr="0038463D" w:rsidRDefault="00CF2827" w:rsidP="00270BD5">
            <w:pPr>
              <w:tabs>
                <w:tab w:val="right" w:pos="5171"/>
              </w:tabs>
              <w:spacing w:after="0"/>
              <w:rPr>
                <w:rFonts w:asciiTheme="minorHAnsi" w:hAnsiTheme="minorHAnsi"/>
                <w:sz w:val="20"/>
                <w:szCs w:val="20"/>
                <w:lang w:val="en-AU"/>
              </w:rPr>
            </w:pPr>
            <w:r w:rsidRPr="0038463D">
              <w:rPr>
                <w:rFonts w:asciiTheme="minorHAnsi" w:hAnsiTheme="minorHAnsi"/>
                <w:b/>
                <w:sz w:val="20"/>
                <w:szCs w:val="20"/>
                <w:lang w:val="en-AU"/>
              </w:rPr>
              <w:t>Comment:</w:t>
            </w:r>
            <w:r w:rsidRPr="0038463D">
              <w:rPr>
                <w:rFonts w:asciiTheme="minorHAnsi" w:hAnsiTheme="minorHAnsi"/>
                <w:sz w:val="20"/>
                <w:szCs w:val="20"/>
                <w:lang w:val="en-AU"/>
              </w:rPr>
              <w:t xml:space="preserve"> Districts in 2007 (the last year for which verified data are available) managed to spend nearly 100% of their planned budget. This was a significant improvement on 2006 where only 91% of funds were spent nationally.</w:t>
            </w:r>
          </w:p>
          <w:p w:rsidR="00CF2827" w:rsidRPr="0038463D" w:rsidRDefault="00CF2827" w:rsidP="00270BD5">
            <w:pPr>
              <w:tabs>
                <w:tab w:val="right" w:pos="5171"/>
              </w:tabs>
              <w:spacing w:after="0"/>
              <w:rPr>
                <w:rFonts w:asciiTheme="minorHAnsi" w:hAnsiTheme="minorHAnsi"/>
                <w:sz w:val="20"/>
                <w:szCs w:val="20"/>
                <w:lang w:val="en-AU"/>
              </w:rPr>
            </w:pPr>
            <w:r w:rsidRPr="0038463D">
              <w:rPr>
                <w:rFonts w:asciiTheme="minorHAnsi" w:hAnsiTheme="minorHAnsi"/>
                <w:b/>
                <w:sz w:val="20"/>
                <w:szCs w:val="20"/>
                <w:lang w:val="en-AU"/>
              </w:rPr>
              <w:t>Implications</w:t>
            </w:r>
            <w:r w:rsidRPr="0038463D">
              <w:rPr>
                <w:rFonts w:asciiTheme="minorHAnsi" w:hAnsiTheme="minorHAnsi"/>
                <w:sz w:val="20"/>
                <w:szCs w:val="20"/>
                <w:lang w:val="en-AU"/>
              </w:rPr>
              <w:t>: Updated data are required to reach conclusions about possible changes in expenditure patterns</w:t>
            </w:r>
          </w:p>
        </w:tc>
      </w:tr>
      <w:tr w:rsidR="00CF2827" w:rsidRPr="0038463D" w:rsidTr="00CF2827">
        <w:trPr>
          <w:jc w:val="center"/>
        </w:trPr>
        <w:tc>
          <w:tcPr>
            <w:tcW w:w="1515" w:type="dxa"/>
            <w:tcBorders>
              <w:left w:val="single" w:sz="12" w:space="0" w:color="auto"/>
            </w:tcBorders>
            <w:vAlign w:val="center"/>
          </w:tcPr>
          <w:p w:rsidR="00CF2827" w:rsidRPr="0038463D" w:rsidRDefault="00CF2827" w:rsidP="00270BD5">
            <w:pPr>
              <w:spacing w:after="0"/>
              <w:rPr>
                <w:rFonts w:asciiTheme="minorHAnsi" w:hAnsiTheme="minorHAnsi"/>
                <w:sz w:val="20"/>
                <w:szCs w:val="20"/>
                <w:lang w:val="en-AU"/>
              </w:rPr>
            </w:pPr>
            <w:r w:rsidRPr="0038463D">
              <w:rPr>
                <w:rFonts w:asciiTheme="minorHAnsi" w:hAnsiTheme="minorHAnsi"/>
                <w:sz w:val="20"/>
                <w:szCs w:val="20"/>
                <w:lang w:val="en-AU"/>
              </w:rPr>
              <w:t xml:space="preserve">SPI 1 </w:t>
            </w:r>
          </w:p>
          <w:p w:rsidR="00CF2827" w:rsidRPr="0038463D" w:rsidRDefault="00CF2827" w:rsidP="00270BD5">
            <w:pPr>
              <w:spacing w:after="0"/>
              <w:rPr>
                <w:rFonts w:asciiTheme="minorHAnsi" w:hAnsiTheme="minorHAnsi"/>
                <w:sz w:val="20"/>
                <w:szCs w:val="20"/>
                <w:lang w:val="en-AU"/>
              </w:rPr>
            </w:pPr>
            <w:r w:rsidRPr="0038463D">
              <w:rPr>
                <w:rFonts w:asciiTheme="minorHAnsi" w:hAnsiTheme="minorHAnsi"/>
                <w:sz w:val="20"/>
                <w:szCs w:val="20"/>
                <w:lang w:val="en-AU"/>
              </w:rPr>
              <w:t>Discretionary school funds as % of total district</w:t>
            </w:r>
            <w:r>
              <w:rPr>
                <w:rFonts w:asciiTheme="minorHAnsi" w:hAnsiTheme="minorHAnsi"/>
                <w:sz w:val="20"/>
                <w:szCs w:val="20"/>
                <w:lang w:val="en-AU"/>
              </w:rPr>
              <w:t xml:space="preserve"> </w:t>
            </w:r>
            <w:r w:rsidRPr="0038463D">
              <w:rPr>
                <w:rFonts w:asciiTheme="minorHAnsi" w:hAnsiTheme="minorHAnsi"/>
                <w:sz w:val="20"/>
                <w:szCs w:val="20"/>
                <w:lang w:val="en-AU"/>
              </w:rPr>
              <w:t>school expenditure</w:t>
            </w:r>
          </w:p>
        </w:tc>
        <w:tc>
          <w:tcPr>
            <w:tcW w:w="1721" w:type="dxa"/>
            <w:vAlign w:val="center"/>
          </w:tcPr>
          <w:p w:rsidR="00CF2827" w:rsidRPr="0038463D" w:rsidRDefault="00CF2827" w:rsidP="00270BD5">
            <w:pPr>
              <w:spacing w:after="0"/>
              <w:rPr>
                <w:rFonts w:asciiTheme="minorHAnsi" w:hAnsiTheme="minorHAnsi"/>
                <w:sz w:val="20"/>
                <w:szCs w:val="20"/>
                <w:lang w:val="en-AU"/>
              </w:rPr>
            </w:pPr>
            <w:r w:rsidRPr="0038463D">
              <w:rPr>
                <w:rFonts w:asciiTheme="minorHAnsi" w:hAnsiTheme="minorHAnsi"/>
                <w:sz w:val="20"/>
                <w:szCs w:val="20"/>
                <w:lang w:val="en-AU"/>
              </w:rPr>
              <w:t>Estimated BOS expenditure as % of total school expenditure</w:t>
            </w:r>
          </w:p>
        </w:tc>
        <w:tc>
          <w:tcPr>
            <w:tcW w:w="946" w:type="dxa"/>
            <w:vAlign w:val="center"/>
          </w:tcPr>
          <w:p w:rsidR="00CF2827" w:rsidRPr="0038463D" w:rsidRDefault="00CF2827" w:rsidP="00270BD5">
            <w:pPr>
              <w:spacing w:after="0"/>
              <w:jc w:val="center"/>
              <w:rPr>
                <w:rFonts w:asciiTheme="minorHAnsi" w:hAnsiTheme="minorHAnsi"/>
                <w:sz w:val="20"/>
                <w:szCs w:val="20"/>
                <w:lang w:val="en-AU"/>
              </w:rPr>
            </w:pPr>
            <w:r w:rsidRPr="0038463D">
              <w:rPr>
                <w:rFonts w:asciiTheme="minorHAnsi" w:hAnsiTheme="minorHAnsi"/>
                <w:sz w:val="20"/>
                <w:szCs w:val="20"/>
                <w:lang w:val="en-AU"/>
              </w:rPr>
              <w:t>District</w:t>
            </w:r>
          </w:p>
        </w:tc>
        <w:tc>
          <w:tcPr>
            <w:tcW w:w="1326" w:type="dxa"/>
            <w:vAlign w:val="center"/>
          </w:tcPr>
          <w:p w:rsidR="00CF2827" w:rsidRPr="0038463D" w:rsidRDefault="00CF2827" w:rsidP="00270BD5">
            <w:pPr>
              <w:spacing w:after="0"/>
              <w:jc w:val="center"/>
              <w:rPr>
                <w:rFonts w:asciiTheme="minorHAnsi" w:hAnsiTheme="minorHAnsi"/>
                <w:sz w:val="20"/>
                <w:szCs w:val="20"/>
                <w:lang w:val="en-AU"/>
              </w:rPr>
            </w:pPr>
            <w:r w:rsidRPr="0038463D">
              <w:rPr>
                <w:rFonts w:asciiTheme="minorHAnsi" w:hAnsiTheme="minorHAnsi"/>
                <w:sz w:val="20"/>
                <w:szCs w:val="20"/>
                <w:lang w:val="en-AU"/>
              </w:rPr>
              <w:t>Quality</w:t>
            </w:r>
          </w:p>
        </w:tc>
        <w:tc>
          <w:tcPr>
            <w:tcW w:w="967" w:type="dxa"/>
            <w:shd w:val="clear" w:color="auto" w:fill="FFC000"/>
            <w:vAlign w:val="center"/>
          </w:tcPr>
          <w:p w:rsidR="00CF2827" w:rsidRPr="0038463D" w:rsidRDefault="00CF2827" w:rsidP="00270BD5">
            <w:pPr>
              <w:spacing w:after="0"/>
              <w:jc w:val="center"/>
              <w:rPr>
                <w:rFonts w:asciiTheme="minorHAnsi" w:hAnsiTheme="minorHAnsi"/>
                <w:sz w:val="20"/>
                <w:szCs w:val="20"/>
                <w:lang w:val="en-AU"/>
              </w:rPr>
            </w:pPr>
            <w:r>
              <w:rPr>
                <w:rFonts w:asciiTheme="minorHAnsi" w:hAnsiTheme="minorHAnsi"/>
                <w:sz w:val="20"/>
                <w:szCs w:val="20"/>
                <w:lang w:val="en-AU"/>
              </w:rPr>
              <w:t>Neutral</w:t>
            </w:r>
          </w:p>
        </w:tc>
        <w:tc>
          <w:tcPr>
            <w:tcW w:w="3312" w:type="dxa"/>
            <w:tcBorders>
              <w:right w:val="single" w:sz="12" w:space="0" w:color="auto"/>
            </w:tcBorders>
            <w:vAlign w:val="center"/>
          </w:tcPr>
          <w:p w:rsidR="00CF2827" w:rsidRPr="0038463D" w:rsidRDefault="00CF2827" w:rsidP="00270BD5">
            <w:pPr>
              <w:tabs>
                <w:tab w:val="right" w:pos="5171"/>
              </w:tabs>
              <w:spacing w:after="0"/>
              <w:rPr>
                <w:rFonts w:asciiTheme="minorHAnsi" w:hAnsiTheme="minorHAnsi"/>
                <w:sz w:val="20"/>
                <w:szCs w:val="20"/>
                <w:lang w:val="en-AU"/>
              </w:rPr>
            </w:pPr>
            <w:r w:rsidRPr="0038463D">
              <w:rPr>
                <w:rFonts w:asciiTheme="minorHAnsi" w:hAnsiTheme="minorHAnsi"/>
                <w:b/>
                <w:sz w:val="20"/>
                <w:szCs w:val="20"/>
                <w:lang w:val="en-AU"/>
              </w:rPr>
              <w:t>Comment:</w:t>
            </w:r>
            <w:r>
              <w:rPr>
                <w:rFonts w:asciiTheme="minorHAnsi" w:hAnsiTheme="minorHAnsi"/>
                <w:sz w:val="20"/>
                <w:szCs w:val="20"/>
                <w:lang w:val="en-AU"/>
              </w:rPr>
              <w:t xml:space="preserve"> In 2013</w:t>
            </w:r>
            <w:r w:rsidRPr="0038463D">
              <w:rPr>
                <w:rFonts w:asciiTheme="minorHAnsi" w:hAnsiTheme="minorHAnsi"/>
                <w:sz w:val="20"/>
                <w:szCs w:val="20"/>
                <w:lang w:val="en-AU"/>
              </w:rPr>
              <w:t xml:space="preserve">, </w:t>
            </w:r>
            <w:r>
              <w:rPr>
                <w:rFonts w:asciiTheme="minorHAnsi" w:hAnsiTheme="minorHAnsi"/>
                <w:sz w:val="20"/>
                <w:szCs w:val="20"/>
                <w:lang w:val="en-AU"/>
              </w:rPr>
              <w:t>were not further indexed for inflation but are still substantial following the previous year increase in per student allocations.</w:t>
            </w:r>
            <w:r w:rsidRPr="0038463D">
              <w:rPr>
                <w:rFonts w:asciiTheme="minorHAnsi" w:hAnsiTheme="minorHAnsi"/>
                <w:sz w:val="20"/>
                <w:szCs w:val="20"/>
                <w:lang w:val="en-AU"/>
              </w:rPr>
              <w:t xml:space="preserve"> </w:t>
            </w:r>
          </w:p>
          <w:p w:rsidR="00CF2827" w:rsidRPr="0038463D" w:rsidRDefault="00CF2827" w:rsidP="00270BD5">
            <w:pPr>
              <w:tabs>
                <w:tab w:val="right" w:pos="5171"/>
              </w:tabs>
              <w:spacing w:after="0"/>
              <w:rPr>
                <w:rFonts w:asciiTheme="minorHAnsi" w:hAnsiTheme="minorHAnsi"/>
                <w:sz w:val="20"/>
                <w:szCs w:val="20"/>
                <w:lang w:val="en-AU"/>
              </w:rPr>
            </w:pPr>
            <w:r w:rsidRPr="0038463D">
              <w:rPr>
                <w:rFonts w:asciiTheme="minorHAnsi" w:hAnsiTheme="minorHAnsi"/>
                <w:b/>
                <w:sz w:val="20"/>
                <w:szCs w:val="20"/>
                <w:lang w:val="en-AU"/>
              </w:rPr>
              <w:t xml:space="preserve">Implications: </w:t>
            </w:r>
            <w:r w:rsidRPr="0038463D">
              <w:rPr>
                <w:rFonts w:asciiTheme="minorHAnsi" w:hAnsiTheme="minorHAnsi"/>
                <w:sz w:val="20"/>
                <w:szCs w:val="20"/>
                <w:lang w:val="en-AU"/>
              </w:rPr>
              <w:t xml:space="preserve">Principals and school committees have </w:t>
            </w:r>
            <w:r>
              <w:rPr>
                <w:rFonts w:asciiTheme="minorHAnsi" w:hAnsiTheme="minorHAnsi"/>
                <w:sz w:val="20"/>
                <w:szCs w:val="20"/>
                <w:lang w:val="en-AU"/>
              </w:rPr>
              <w:t xml:space="preserve">substantial </w:t>
            </w:r>
            <w:r w:rsidRPr="0038463D">
              <w:rPr>
                <w:rFonts w:asciiTheme="minorHAnsi" w:hAnsiTheme="minorHAnsi"/>
                <w:sz w:val="20"/>
                <w:szCs w:val="20"/>
                <w:lang w:val="en-AU"/>
              </w:rPr>
              <w:t>funds for discretionary spending at school level</w:t>
            </w:r>
            <w:r w:rsidRPr="0038463D">
              <w:rPr>
                <w:rFonts w:asciiTheme="minorHAnsi" w:hAnsiTheme="minorHAnsi"/>
                <w:b/>
                <w:sz w:val="20"/>
                <w:szCs w:val="20"/>
                <w:lang w:val="en-AU"/>
              </w:rPr>
              <w:t xml:space="preserve"> </w:t>
            </w:r>
          </w:p>
        </w:tc>
      </w:tr>
      <w:tr w:rsidR="00CF2827" w:rsidRPr="0038463D" w:rsidTr="00CF2827">
        <w:trPr>
          <w:jc w:val="center"/>
        </w:trPr>
        <w:tc>
          <w:tcPr>
            <w:tcW w:w="1515" w:type="dxa"/>
            <w:tcBorders>
              <w:left w:val="single" w:sz="12" w:space="0" w:color="auto"/>
            </w:tcBorders>
            <w:vAlign w:val="center"/>
          </w:tcPr>
          <w:p w:rsidR="00CF2827" w:rsidRDefault="00CF2827" w:rsidP="00270BD5">
            <w:pPr>
              <w:spacing w:after="0"/>
              <w:rPr>
                <w:rFonts w:asciiTheme="minorHAnsi" w:hAnsiTheme="minorHAnsi"/>
                <w:sz w:val="20"/>
                <w:szCs w:val="20"/>
                <w:lang w:val="en-AU"/>
              </w:rPr>
            </w:pPr>
            <w:r>
              <w:rPr>
                <w:rFonts w:asciiTheme="minorHAnsi" w:hAnsiTheme="minorHAnsi"/>
                <w:sz w:val="20"/>
                <w:szCs w:val="20"/>
                <w:lang w:val="en-AU"/>
              </w:rPr>
              <w:t xml:space="preserve">SPI 2 </w:t>
            </w:r>
          </w:p>
          <w:p w:rsidR="00CF2827" w:rsidRPr="0038463D" w:rsidRDefault="00CF2827" w:rsidP="00270BD5">
            <w:pPr>
              <w:spacing w:after="0"/>
              <w:rPr>
                <w:rFonts w:asciiTheme="minorHAnsi" w:hAnsiTheme="minorHAnsi"/>
                <w:sz w:val="20"/>
                <w:szCs w:val="20"/>
                <w:lang w:val="en-AU"/>
              </w:rPr>
            </w:pPr>
            <w:r>
              <w:rPr>
                <w:rFonts w:asciiTheme="minorHAnsi" w:hAnsiTheme="minorHAnsi"/>
                <w:sz w:val="20"/>
                <w:szCs w:val="20"/>
                <w:lang w:val="en-AU"/>
              </w:rPr>
              <w:t>Comparing education and health allocations at district level</w:t>
            </w:r>
          </w:p>
        </w:tc>
        <w:tc>
          <w:tcPr>
            <w:tcW w:w="1721" w:type="dxa"/>
            <w:vAlign w:val="center"/>
          </w:tcPr>
          <w:p w:rsidR="00CF2827" w:rsidRPr="0038463D" w:rsidRDefault="00CF2827" w:rsidP="00270BD5">
            <w:pPr>
              <w:spacing w:after="0"/>
              <w:rPr>
                <w:rFonts w:asciiTheme="minorHAnsi" w:hAnsiTheme="minorHAnsi"/>
                <w:sz w:val="20"/>
                <w:szCs w:val="20"/>
                <w:lang w:val="en-AU"/>
              </w:rPr>
            </w:pPr>
            <w:r>
              <w:rPr>
                <w:rFonts w:asciiTheme="minorHAnsi" w:hAnsiTheme="minorHAnsi"/>
                <w:sz w:val="20"/>
                <w:szCs w:val="20"/>
                <w:lang w:val="en-AU"/>
              </w:rPr>
              <w:t xml:space="preserve">Analysing education and health allocations in low and high allocation districts for any correlations </w:t>
            </w:r>
          </w:p>
        </w:tc>
        <w:tc>
          <w:tcPr>
            <w:tcW w:w="946" w:type="dxa"/>
            <w:vAlign w:val="center"/>
          </w:tcPr>
          <w:p w:rsidR="00CF2827" w:rsidRPr="0038463D" w:rsidRDefault="00CF2827" w:rsidP="00270BD5">
            <w:pPr>
              <w:spacing w:after="0"/>
              <w:jc w:val="center"/>
              <w:rPr>
                <w:rFonts w:asciiTheme="minorHAnsi" w:hAnsiTheme="minorHAnsi"/>
                <w:sz w:val="20"/>
                <w:szCs w:val="20"/>
                <w:lang w:val="en-AU"/>
              </w:rPr>
            </w:pPr>
            <w:r>
              <w:rPr>
                <w:rFonts w:asciiTheme="minorHAnsi" w:hAnsiTheme="minorHAnsi"/>
                <w:sz w:val="20"/>
                <w:szCs w:val="20"/>
                <w:lang w:val="en-AU"/>
              </w:rPr>
              <w:t>District</w:t>
            </w:r>
          </w:p>
        </w:tc>
        <w:tc>
          <w:tcPr>
            <w:tcW w:w="1326" w:type="dxa"/>
            <w:vAlign w:val="center"/>
          </w:tcPr>
          <w:p w:rsidR="00CF2827" w:rsidRPr="0038463D" w:rsidRDefault="00CF2827" w:rsidP="00270BD5">
            <w:pPr>
              <w:spacing w:after="0"/>
              <w:jc w:val="center"/>
              <w:rPr>
                <w:rFonts w:asciiTheme="minorHAnsi" w:hAnsiTheme="minorHAnsi"/>
                <w:sz w:val="20"/>
                <w:szCs w:val="20"/>
                <w:lang w:val="en-AU"/>
              </w:rPr>
            </w:pPr>
            <w:r>
              <w:rPr>
                <w:rFonts w:asciiTheme="minorHAnsi" w:hAnsiTheme="minorHAnsi"/>
                <w:sz w:val="20"/>
                <w:szCs w:val="20"/>
                <w:lang w:val="en-AU"/>
              </w:rPr>
              <w:t>Quality</w:t>
            </w:r>
          </w:p>
        </w:tc>
        <w:tc>
          <w:tcPr>
            <w:tcW w:w="967" w:type="dxa"/>
            <w:shd w:val="clear" w:color="auto" w:fill="92D050"/>
            <w:vAlign w:val="center"/>
          </w:tcPr>
          <w:p w:rsidR="00CF2827" w:rsidRDefault="00CF2827" w:rsidP="00270BD5">
            <w:pPr>
              <w:spacing w:after="0"/>
              <w:jc w:val="center"/>
              <w:rPr>
                <w:rFonts w:asciiTheme="minorHAnsi" w:hAnsiTheme="minorHAnsi"/>
                <w:sz w:val="20"/>
                <w:szCs w:val="20"/>
                <w:lang w:val="en-AU"/>
              </w:rPr>
            </w:pPr>
            <w:r>
              <w:rPr>
                <w:rFonts w:asciiTheme="minorHAnsi" w:hAnsiTheme="minorHAnsi"/>
                <w:sz w:val="20"/>
                <w:szCs w:val="20"/>
                <w:lang w:val="en-AU"/>
              </w:rPr>
              <w:t>Positive</w:t>
            </w:r>
          </w:p>
        </w:tc>
        <w:tc>
          <w:tcPr>
            <w:tcW w:w="3312" w:type="dxa"/>
            <w:tcBorders>
              <w:right w:val="single" w:sz="12" w:space="0" w:color="auto"/>
            </w:tcBorders>
            <w:vAlign w:val="center"/>
          </w:tcPr>
          <w:p w:rsidR="00CF2827" w:rsidRPr="0038463D" w:rsidRDefault="00CF2827" w:rsidP="00270BD5">
            <w:pPr>
              <w:tabs>
                <w:tab w:val="right" w:pos="5171"/>
              </w:tabs>
              <w:spacing w:after="0"/>
              <w:rPr>
                <w:rFonts w:asciiTheme="minorHAnsi" w:hAnsiTheme="minorHAnsi"/>
                <w:sz w:val="20"/>
                <w:szCs w:val="20"/>
                <w:lang w:val="en-AU"/>
              </w:rPr>
            </w:pPr>
            <w:r w:rsidRPr="0038463D">
              <w:rPr>
                <w:rFonts w:asciiTheme="minorHAnsi" w:hAnsiTheme="minorHAnsi"/>
                <w:b/>
                <w:sz w:val="20"/>
                <w:szCs w:val="20"/>
                <w:lang w:val="en-AU"/>
              </w:rPr>
              <w:t>Comment:</w:t>
            </w:r>
            <w:r>
              <w:rPr>
                <w:rFonts w:asciiTheme="minorHAnsi" w:hAnsiTheme="minorHAnsi"/>
                <w:sz w:val="20"/>
                <w:szCs w:val="20"/>
                <w:lang w:val="en-AU"/>
              </w:rPr>
              <w:t xml:space="preserve"> No evidence that education and health expenditures are crowding each other. Evidence shows where education spending contracts it also contracts for health.</w:t>
            </w:r>
            <w:r w:rsidRPr="0038463D">
              <w:rPr>
                <w:rFonts w:asciiTheme="minorHAnsi" w:hAnsiTheme="minorHAnsi"/>
                <w:sz w:val="20"/>
                <w:szCs w:val="20"/>
                <w:lang w:val="en-AU"/>
              </w:rPr>
              <w:t xml:space="preserve"> </w:t>
            </w:r>
          </w:p>
          <w:p w:rsidR="00CF2827" w:rsidRPr="0038463D" w:rsidRDefault="00CF2827" w:rsidP="00270BD5">
            <w:pPr>
              <w:tabs>
                <w:tab w:val="right" w:pos="5171"/>
              </w:tabs>
              <w:spacing w:after="0"/>
              <w:rPr>
                <w:rFonts w:asciiTheme="minorHAnsi" w:hAnsiTheme="minorHAnsi"/>
                <w:b/>
                <w:sz w:val="20"/>
                <w:szCs w:val="20"/>
                <w:lang w:val="en-AU"/>
              </w:rPr>
            </w:pPr>
            <w:r w:rsidRPr="0038463D">
              <w:rPr>
                <w:rFonts w:asciiTheme="minorHAnsi" w:hAnsiTheme="minorHAnsi"/>
                <w:b/>
                <w:sz w:val="20"/>
                <w:szCs w:val="20"/>
                <w:lang w:val="en-AU"/>
              </w:rPr>
              <w:t xml:space="preserve">Implications: </w:t>
            </w:r>
            <w:r w:rsidRPr="007E0FB8">
              <w:rPr>
                <w:rFonts w:asciiTheme="minorHAnsi" w:hAnsiTheme="minorHAnsi"/>
                <w:sz w:val="20"/>
                <w:szCs w:val="20"/>
                <w:lang w:val="en-AU"/>
              </w:rPr>
              <w:t>Education and health sectors may benefit from cooperation.</w:t>
            </w:r>
          </w:p>
        </w:tc>
      </w:tr>
      <w:tr w:rsidR="00CF2827" w:rsidRPr="001B289C" w:rsidTr="00CF2827">
        <w:trPr>
          <w:jc w:val="center"/>
        </w:trPr>
        <w:tc>
          <w:tcPr>
            <w:tcW w:w="1515" w:type="dxa"/>
            <w:tcBorders>
              <w:left w:val="single" w:sz="12" w:space="0" w:color="auto"/>
              <w:bottom w:val="single" w:sz="12" w:space="0" w:color="auto"/>
            </w:tcBorders>
            <w:vAlign w:val="center"/>
          </w:tcPr>
          <w:p w:rsidR="00CF2827" w:rsidRDefault="00CF2827" w:rsidP="00270BD5">
            <w:pPr>
              <w:spacing w:after="0"/>
              <w:rPr>
                <w:rFonts w:asciiTheme="minorHAnsi" w:hAnsiTheme="minorHAnsi"/>
                <w:sz w:val="20"/>
                <w:szCs w:val="20"/>
                <w:lang w:val="en-AU"/>
              </w:rPr>
            </w:pPr>
            <w:r>
              <w:rPr>
                <w:rFonts w:asciiTheme="minorHAnsi" w:hAnsiTheme="minorHAnsi"/>
                <w:sz w:val="20"/>
                <w:szCs w:val="20"/>
                <w:lang w:val="en-AU"/>
              </w:rPr>
              <w:t>SPI 3</w:t>
            </w:r>
          </w:p>
          <w:p w:rsidR="00CF2827" w:rsidRDefault="00CF2827" w:rsidP="00270BD5">
            <w:pPr>
              <w:spacing w:after="0"/>
              <w:rPr>
                <w:rFonts w:asciiTheme="minorHAnsi" w:hAnsiTheme="minorHAnsi"/>
                <w:sz w:val="20"/>
                <w:szCs w:val="20"/>
                <w:lang w:val="en-AU"/>
              </w:rPr>
            </w:pPr>
            <w:r>
              <w:rPr>
                <w:rFonts w:asciiTheme="minorHAnsi" w:hAnsiTheme="minorHAnsi"/>
                <w:sz w:val="20"/>
                <w:szCs w:val="20"/>
                <w:lang w:val="en-AU"/>
              </w:rPr>
              <w:t>Allocation patterns and statistical impact of newly established districts</w:t>
            </w:r>
          </w:p>
        </w:tc>
        <w:tc>
          <w:tcPr>
            <w:tcW w:w="1721" w:type="dxa"/>
            <w:tcBorders>
              <w:bottom w:val="single" w:sz="12" w:space="0" w:color="auto"/>
            </w:tcBorders>
            <w:vAlign w:val="center"/>
          </w:tcPr>
          <w:p w:rsidR="00CF2827" w:rsidRDefault="00CF2827" w:rsidP="00270BD5">
            <w:pPr>
              <w:spacing w:after="0"/>
              <w:rPr>
                <w:rFonts w:asciiTheme="minorHAnsi" w:hAnsiTheme="minorHAnsi"/>
                <w:sz w:val="20"/>
                <w:szCs w:val="20"/>
                <w:lang w:val="en-AU"/>
              </w:rPr>
            </w:pPr>
            <w:r>
              <w:rPr>
                <w:rFonts w:asciiTheme="minorHAnsi" w:hAnsiTheme="minorHAnsi"/>
                <w:sz w:val="20"/>
                <w:szCs w:val="20"/>
                <w:lang w:val="en-AU"/>
              </w:rPr>
              <w:t xml:space="preserve">Budget comparisons between old, newer and newest districts </w:t>
            </w:r>
          </w:p>
        </w:tc>
        <w:tc>
          <w:tcPr>
            <w:tcW w:w="946" w:type="dxa"/>
            <w:tcBorders>
              <w:bottom w:val="single" w:sz="12" w:space="0" w:color="auto"/>
            </w:tcBorders>
            <w:vAlign w:val="center"/>
          </w:tcPr>
          <w:p w:rsidR="00CF2827" w:rsidRDefault="00CF2827" w:rsidP="00270BD5">
            <w:pPr>
              <w:spacing w:after="0"/>
              <w:jc w:val="center"/>
              <w:rPr>
                <w:rFonts w:asciiTheme="minorHAnsi" w:hAnsiTheme="minorHAnsi"/>
                <w:sz w:val="20"/>
                <w:szCs w:val="20"/>
                <w:lang w:val="en-AU"/>
              </w:rPr>
            </w:pPr>
          </w:p>
        </w:tc>
        <w:tc>
          <w:tcPr>
            <w:tcW w:w="1326" w:type="dxa"/>
            <w:tcBorders>
              <w:bottom w:val="single" w:sz="12" w:space="0" w:color="auto"/>
            </w:tcBorders>
            <w:vAlign w:val="center"/>
          </w:tcPr>
          <w:p w:rsidR="00CF2827" w:rsidRDefault="00CF2827" w:rsidP="00270BD5">
            <w:pPr>
              <w:spacing w:after="0"/>
              <w:jc w:val="center"/>
              <w:rPr>
                <w:rFonts w:asciiTheme="minorHAnsi" w:hAnsiTheme="minorHAnsi"/>
                <w:sz w:val="20"/>
                <w:szCs w:val="20"/>
                <w:lang w:val="en-AU"/>
              </w:rPr>
            </w:pPr>
          </w:p>
        </w:tc>
        <w:tc>
          <w:tcPr>
            <w:tcW w:w="967" w:type="dxa"/>
            <w:tcBorders>
              <w:bottom w:val="single" w:sz="12" w:space="0" w:color="auto"/>
            </w:tcBorders>
            <w:shd w:val="clear" w:color="auto" w:fill="FFC000"/>
            <w:vAlign w:val="center"/>
          </w:tcPr>
          <w:p w:rsidR="00CF2827" w:rsidRDefault="00CF2827" w:rsidP="00270BD5">
            <w:pPr>
              <w:spacing w:after="0"/>
              <w:jc w:val="center"/>
              <w:rPr>
                <w:rFonts w:asciiTheme="minorHAnsi" w:hAnsiTheme="minorHAnsi"/>
                <w:sz w:val="20"/>
                <w:szCs w:val="20"/>
                <w:lang w:val="en-AU"/>
              </w:rPr>
            </w:pPr>
            <w:r>
              <w:rPr>
                <w:rFonts w:asciiTheme="minorHAnsi" w:hAnsiTheme="minorHAnsi"/>
                <w:sz w:val="20"/>
                <w:szCs w:val="20"/>
                <w:lang w:val="en-AU"/>
              </w:rPr>
              <w:t>Neutral</w:t>
            </w:r>
          </w:p>
        </w:tc>
        <w:tc>
          <w:tcPr>
            <w:tcW w:w="3312" w:type="dxa"/>
            <w:tcBorders>
              <w:bottom w:val="single" w:sz="12" w:space="0" w:color="auto"/>
              <w:right w:val="single" w:sz="12" w:space="0" w:color="auto"/>
            </w:tcBorders>
            <w:vAlign w:val="center"/>
          </w:tcPr>
          <w:p w:rsidR="00CF2827" w:rsidRPr="0038463D" w:rsidRDefault="00CF2827" w:rsidP="00270BD5">
            <w:pPr>
              <w:tabs>
                <w:tab w:val="right" w:pos="5171"/>
              </w:tabs>
              <w:spacing w:after="0"/>
              <w:rPr>
                <w:rFonts w:asciiTheme="minorHAnsi" w:hAnsiTheme="minorHAnsi"/>
                <w:sz w:val="20"/>
                <w:szCs w:val="20"/>
                <w:lang w:val="en-AU"/>
              </w:rPr>
            </w:pPr>
            <w:r w:rsidRPr="0038463D">
              <w:rPr>
                <w:rFonts w:asciiTheme="minorHAnsi" w:hAnsiTheme="minorHAnsi"/>
                <w:b/>
                <w:sz w:val="20"/>
                <w:szCs w:val="20"/>
                <w:lang w:val="en-AU"/>
              </w:rPr>
              <w:t>Comment:</w:t>
            </w:r>
            <w:r>
              <w:rPr>
                <w:rFonts w:asciiTheme="minorHAnsi" w:hAnsiTheme="minorHAnsi"/>
                <w:sz w:val="20"/>
                <w:szCs w:val="20"/>
                <w:lang w:val="en-AU"/>
              </w:rPr>
              <w:t xml:space="preserve"> Older districts are more likely to have larger populations and larger education budgets. Newer districts are more likely to be in a rural area and remote and have higher average per student allocations. </w:t>
            </w:r>
          </w:p>
          <w:p w:rsidR="00CF2827" w:rsidRPr="0038463D" w:rsidRDefault="00CF2827" w:rsidP="00270BD5">
            <w:pPr>
              <w:tabs>
                <w:tab w:val="right" w:pos="5171"/>
              </w:tabs>
              <w:spacing w:after="0"/>
              <w:rPr>
                <w:rFonts w:asciiTheme="minorHAnsi" w:hAnsiTheme="minorHAnsi"/>
                <w:b/>
                <w:sz w:val="20"/>
                <w:szCs w:val="20"/>
                <w:lang w:val="en-AU"/>
              </w:rPr>
            </w:pPr>
            <w:r w:rsidRPr="0038463D">
              <w:rPr>
                <w:rFonts w:asciiTheme="minorHAnsi" w:hAnsiTheme="minorHAnsi"/>
                <w:b/>
                <w:sz w:val="20"/>
                <w:szCs w:val="20"/>
                <w:lang w:val="en-AU"/>
              </w:rPr>
              <w:t xml:space="preserve">Implications: </w:t>
            </w:r>
            <w:r w:rsidRPr="001B289C">
              <w:rPr>
                <w:rFonts w:asciiTheme="minorHAnsi" w:hAnsiTheme="minorHAnsi"/>
                <w:sz w:val="20"/>
                <w:szCs w:val="20"/>
                <w:lang w:val="en-AU"/>
              </w:rPr>
              <w:t>Newest districts can have very high initial per student costs</w:t>
            </w:r>
            <w:r>
              <w:rPr>
                <w:rFonts w:asciiTheme="minorHAnsi" w:hAnsiTheme="minorHAnsi"/>
                <w:sz w:val="20"/>
                <w:szCs w:val="20"/>
                <w:lang w:val="en-AU"/>
              </w:rPr>
              <w:t xml:space="preserve">. Newest group of districts is small and has not had any significant distorting impact on this analysis. </w:t>
            </w:r>
          </w:p>
        </w:tc>
      </w:tr>
    </w:tbl>
    <w:p w:rsidR="00CF2827" w:rsidRPr="00296EE1" w:rsidRDefault="00CF2827" w:rsidP="00296EE1">
      <w:pPr>
        <w:rPr>
          <w:rStyle w:val="IntenseEmphasis"/>
          <w:rFonts w:asciiTheme="minorHAnsi" w:hAnsiTheme="minorHAnsi"/>
          <w:i w:val="0"/>
          <w:color w:val="003880"/>
          <w:sz w:val="24"/>
          <w:szCs w:val="24"/>
        </w:rPr>
      </w:pPr>
    </w:p>
    <w:p w:rsidR="00CF2827" w:rsidRDefault="00CF2827">
      <w:pPr>
        <w:spacing w:after="0"/>
        <w:rPr>
          <w:rStyle w:val="IntenseEmphasis"/>
          <w:rFonts w:asciiTheme="minorHAnsi" w:hAnsiTheme="minorHAnsi"/>
          <w:i w:val="0"/>
          <w:color w:val="003880"/>
          <w:sz w:val="32"/>
        </w:rPr>
      </w:pPr>
      <w:r>
        <w:rPr>
          <w:rStyle w:val="IntenseEmphasis"/>
          <w:rFonts w:asciiTheme="minorHAnsi" w:hAnsiTheme="minorHAnsi"/>
          <w:i w:val="0"/>
          <w:color w:val="003880"/>
          <w:sz w:val="32"/>
        </w:rPr>
        <w:br w:type="page"/>
      </w:r>
    </w:p>
    <w:p w:rsidR="00732091" w:rsidRPr="005A1995" w:rsidRDefault="00A477E2" w:rsidP="005419F4">
      <w:pPr>
        <w:spacing w:after="240"/>
        <w:rPr>
          <w:rStyle w:val="IntenseEmphasis"/>
          <w:rFonts w:asciiTheme="minorHAnsi" w:hAnsiTheme="minorHAnsi"/>
          <w:i w:val="0"/>
          <w:color w:val="003880"/>
          <w:sz w:val="32"/>
        </w:rPr>
      </w:pPr>
      <w:r>
        <w:rPr>
          <w:rStyle w:val="IntenseEmphasis"/>
          <w:rFonts w:asciiTheme="minorHAnsi" w:hAnsiTheme="minorHAnsi"/>
          <w:i w:val="0"/>
          <w:color w:val="003880"/>
          <w:sz w:val="32"/>
        </w:rPr>
        <w:lastRenderedPageBreak/>
        <w:t xml:space="preserve">Risk Areas for </w:t>
      </w:r>
      <w:r w:rsidR="00EB345F" w:rsidRPr="005A1995">
        <w:rPr>
          <w:rStyle w:val="IntenseEmphasis"/>
          <w:rFonts w:asciiTheme="minorHAnsi" w:hAnsiTheme="minorHAnsi"/>
          <w:i w:val="0"/>
          <w:color w:val="003880"/>
          <w:sz w:val="32"/>
        </w:rPr>
        <w:t>the Education Partnership</w:t>
      </w:r>
    </w:p>
    <w:p w:rsidR="00CF2827" w:rsidRPr="00962BFF" w:rsidRDefault="00CF2827" w:rsidP="00CF2827">
      <w:pPr>
        <w:pStyle w:val="Table"/>
        <w:rPr>
          <w:rStyle w:val="Strong"/>
        </w:rPr>
      </w:pPr>
      <w:r w:rsidRPr="00962BFF">
        <w:rPr>
          <w:rStyle w:val="Strong"/>
          <w:b/>
          <w:bCs w:val="0"/>
        </w:rPr>
        <w:t xml:space="preserve">Possible Risks Affecting </w:t>
      </w:r>
      <w:r>
        <w:rPr>
          <w:rStyle w:val="Strong"/>
          <w:b/>
          <w:bCs w:val="0"/>
        </w:rPr>
        <w:t xml:space="preserve">the </w:t>
      </w:r>
      <w:r w:rsidRPr="00962BFF">
        <w:rPr>
          <w:rStyle w:val="Strong"/>
          <w:b/>
          <w:bCs w:val="0"/>
        </w:rPr>
        <w:t xml:space="preserve">EP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550"/>
        <w:gridCol w:w="3635"/>
        <w:gridCol w:w="5060"/>
      </w:tblGrid>
      <w:tr w:rsidR="00CF2827" w:rsidRPr="0038463D" w:rsidTr="00270BD5">
        <w:trPr>
          <w:jc w:val="center"/>
        </w:trPr>
        <w:tc>
          <w:tcPr>
            <w:tcW w:w="550" w:type="dxa"/>
            <w:tcBorders>
              <w:top w:val="single" w:sz="12" w:space="0" w:color="auto"/>
              <w:left w:val="single" w:sz="12" w:space="0" w:color="auto"/>
              <w:bottom w:val="single" w:sz="4" w:space="0" w:color="auto"/>
              <w:right w:val="single" w:sz="4" w:space="0" w:color="FFFFFF" w:themeColor="background1"/>
            </w:tcBorders>
            <w:shd w:val="clear" w:color="auto" w:fill="003880"/>
            <w:vAlign w:val="center"/>
          </w:tcPr>
          <w:p w:rsidR="00CF2827" w:rsidRPr="0038463D" w:rsidRDefault="00CF2827" w:rsidP="00270BD5">
            <w:pPr>
              <w:spacing w:after="0"/>
              <w:jc w:val="center"/>
              <w:rPr>
                <w:rFonts w:asciiTheme="minorHAnsi" w:hAnsiTheme="minorHAnsi" w:cstheme="minorHAnsi"/>
                <w:b/>
                <w:sz w:val="20"/>
                <w:szCs w:val="20"/>
              </w:rPr>
            </w:pPr>
            <w:r w:rsidRPr="0038463D">
              <w:rPr>
                <w:rFonts w:asciiTheme="minorHAnsi" w:hAnsiTheme="minorHAnsi" w:cstheme="minorHAnsi"/>
                <w:b/>
                <w:sz w:val="20"/>
                <w:szCs w:val="20"/>
              </w:rPr>
              <w:t>#</w:t>
            </w:r>
          </w:p>
        </w:tc>
        <w:tc>
          <w:tcPr>
            <w:tcW w:w="3635" w:type="dxa"/>
            <w:tcBorders>
              <w:top w:val="single" w:sz="12" w:space="0" w:color="auto"/>
              <w:left w:val="single" w:sz="4" w:space="0" w:color="FFFFFF" w:themeColor="background1"/>
              <w:bottom w:val="single" w:sz="4" w:space="0" w:color="auto"/>
              <w:right w:val="single" w:sz="4" w:space="0" w:color="FFFFFF" w:themeColor="background1"/>
            </w:tcBorders>
            <w:shd w:val="clear" w:color="auto" w:fill="003880"/>
            <w:vAlign w:val="center"/>
          </w:tcPr>
          <w:p w:rsidR="00CF2827" w:rsidRPr="0038463D" w:rsidRDefault="00CF2827" w:rsidP="00270BD5">
            <w:pPr>
              <w:spacing w:after="0"/>
              <w:jc w:val="center"/>
              <w:rPr>
                <w:rFonts w:asciiTheme="minorHAnsi" w:hAnsiTheme="minorHAnsi" w:cstheme="minorHAnsi"/>
                <w:b/>
                <w:sz w:val="20"/>
                <w:szCs w:val="20"/>
              </w:rPr>
            </w:pPr>
            <w:r w:rsidRPr="0038463D">
              <w:rPr>
                <w:rFonts w:asciiTheme="minorHAnsi" w:hAnsiTheme="minorHAnsi" w:cstheme="minorHAnsi"/>
                <w:b/>
                <w:sz w:val="20"/>
                <w:szCs w:val="20"/>
              </w:rPr>
              <w:t>FINDING</w:t>
            </w:r>
          </w:p>
        </w:tc>
        <w:tc>
          <w:tcPr>
            <w:tcW w:w="5060" w:type="dxa"/>
            <w:tcBorders>
              <w:top w:val="single" w:sz="12" w:space="0" w:color="auto"/>
              <w:left w:val="single" w:sz="4" w:space="0" w:color="FFFFFF" w:themeColor="background1"/>
              <w:bottom w:val="single" w:sz="4" w:space="0" w:color="auto"/>
              <w:right w:val="single" w:sz="12" w:space="0" w:color="auto"/>
            </w:tcBorders>
            <w:shd w:val="clear" w:color="auto" w:fill="003880"/>
            <w:vAlign w:val="center"/>
          </w:tcPr>
          <w:p w:rsidR="00CF2827" w:rsidRPr="0038463D" w:rsidRDefault="00CF2827" w:rsidP="00270BD5">
            <w:pPr>
              <w:spacing w:after="0"/>
              <w:jc w:val="center"/>
              <w:rPr>
                <w:rFonts w:asciiTheme="minorHAnsi" w:hAnsiTheme="minorHAnsi" w:cstheme="minorHAnsi"/>
                <w:b/>
                <w:sz w:val="20"/>
                <w:szCs w:val="20"/>
              </w:rPr>
            </w:pPr>
            <w:r w:rsidRPr="0038463D">
              <w:rPr>
                <w:rFonts w:asciiTheme="minorHAnsi" w:hAnsiTheme="minorHAnsi" w:cstheme="minorHAnsi"/>
                <w:b/>
                <w:sz w:val="20"/>
                <w:szCs w:val="20"/>
              </w:rPr>
              <w:t>POSSIBLE CONSEQUENCES FOR THE EP</w:t>
            </w:r>
          </w:p>
        </w:tc>
      </w:tr>
      <w:tr w:rsidR="00CF2827" w:rsidRPr="0038463D" w:rsidTr="00270BD5">
        <w:trPr>
          <w:jc w:val="center"/>
        </w:trPr>
        <w:tc>
          <w:tcPr>
            <w:tcW w:w="550" w:type="dxa"/>
            <w:tcBorders>
              <w:left w:val="single" w:sz="12" w:space="0" w:color="auto"/>
            </w:tcBorders>
            <w:shd w:val="clear" w:color="auto" w:fill="auto"/>
            <w:vAlign w:val="center"/>
          </w:tcPr>
          <w:p w:rsidR="00CF2827" w:rsidRPr="0038463D" w:rsidRDefault="00CF2827" w:rsidP="00270BD5">
            <w:pPr>
              <w:spacing w:after="0"/>
              <w:jc w:val="center"/>
              <w:rPr>
                <w:rFonts w:asciiTheme="minorHAnsi" w:hAnsiTheme="minorHAnsi"/>
                <w:sz w:val="20"/>
                <w:szCs w:val="20"/>
                <w:lang w:val="en-AU"/>
              </w:rPr>
            </w:pPr>
            <w:r w:rsidRPr="0038463D">
              <w:rPr>
                <w:rFonts w:asciiTheme="minorHAnsi" w:hAnsiTheme="minorHAnsi"/>
                <w:sz w:val="20"/>
                <w:szCs w:val="20"/>
                <w:lang w:val="en-AU"/>
              </w:rPr>
              <w:t>RA1</w:t>
            </w:r>
          </w:p>
        </w:tc>
        <w:tc>
          <w:tcPr>
            <w:tcW w:w="3635" w:type="dxa"/>
            <w:shd w:val="clear" w:color="auto" w:fill="auto"/>
            <w:vAlign w:val="center"/>
          </w:tcPr>
          <w:p w:rsidR="00CF2827" w:rsidRPr="0038463D" w:rsidRDefault="00CF2827" w:rsidP="00270BD5">
            <w:pPr>
              <w:spacing w:after="0"/>
              <w:rPr>
                <w:rFonts w:asciiTheme="minorHAnsi" w:hAnsiTheme="minorHAnsi"/>
                <w:b/>
                <w:sz w:val="20"/>
                <w:szCs w:val="20"/>
                <w:lang w:val="en-AU"/>
              </w:rPr>
            </w:pPr>
            <w:r w:rsidRPr="0038463D">
              <w:rPr>
                <w:sz w:val="20"/>
                <w:szCs w:val="20"/>
                <w:lang w:val="en-AU"/>
              </w:rPr>
              <w:t>Some EP districts (including some with the highest poverty rates) are persistently allocating a very low share of their resources to education.</w:t>
            </w:r>
          </w:p>
        </w:tc>
        <w:tc>
          <w:tcPr>
            <w:tcW w:w="5060" w:type="dxa"/>
            <w:tcBorders>
              <w:right w:val="single" w:sz="12" w:space="0" w:color="auto"/>
            </w:tcBorders>
            <w:shd w:val="clear" w:color="auto" w:fill="auto"/>
            <w:vAlign w:val="center"/>
          </w:tcPr>
          <w:p w:rsidR="00CF2827" w:rsidRPr="0038463D" w:rsidRDefault="00CF2827" w:rsidP="00270BD5">
            <w:pPr>
              <w:spacing w:after="0"/>
              <w:rPr>
                <w:rFonts w:asciiTheme="minorHAnsi" w:hAnsiTheme="minorHAnsi"/>
                <w:sz w:val="20"/>
                <w:szCs w:val="20"/>
                <w:lang w:val="en-AU"/>
              </w:rPr>
            </w:pPr>
            <w:r w:rsidRPr="0038463D">
              <w:rPr>
                <w:sz w:val="20"/>
                <w:szCs w:val="20"/>
                <w:lang w:val="en-AU"/>
              </w:rPr>
              <w:t>This low commitment may threaten districts’ ability to sustain recurrent expenditures associated with EP investments.</w:t>
            </w:r>
          </w:p>
        </w:tc>
      </w:tr>
      <w:tr w:rsidR="00CF2827" w:rsidRPr="0038463D" w:rsidTr="00270BD5">
        <w:trPr>
          <w:jc w:val="center"/>
        </w:trPr>
        <w:tc>
          <w:tcPr>
            <w:tcW w:w="550" w:type="dxa"/>
            <w:tcBorders>
              <w:left w:val="single" w:sz="12" w:space="0" w:color="auto"/>
            </w:tcBorders>
            <w:shd w:val="clear" w:color="auto" w:fill="auto"/>
            <w:vAlign w:val="center"/>
          </w:tcPr>
          <w:p w:rsidR="00CF2827" w:rsidRPr="0038463D" w:rsidRDefault="00CF2827" w:rsidP="00270BD5">
            <w:pPr>
              <w:spacing w:after="0"/>
              <w:jc w:val="center"/>
              <w:rPr>
                <w:rFonts w:asciiTheme="minorHAnsi" w:hAnsiTheme="minorHAnsi"/>
                <w:sz w:val="20"/>
                <w:szCs w:val="20"/>
                <w:lang w:val="en-AU"/>
              </w:rPr>
            </w:pPr>
            <w:r w:rsidRPr="0038463D">
              <w:rPr>
                <w:rFonts w:asciiTheme="minorHAnsi" w:hAnsiTheme="minorHAnsi"/>
                <w:sz w:val="20"/>
                <w:szCs w:val="20"/>
                <w:lang w:val="en-AU"/>
              </w:rPr>
              <w:t>RA2</w:t>
            </w:r>
          </w:p>
        </w:tc>
        <w:tc>
          <w:tcPr>
            <w:tcW w:w="3635" w:type="dxa"/>
            <w:shd w:val="clear" w:color="auto" w:fill="auto"/>
            <w:vAlign w:val="center"/>
          </w:tcPr>
          <w:p w:rsidR="00CF2827" w:rsidRPr="0038463D" w:rsidRDefault="00CF2827" w:rsidP="00270BD5">
            <w:pPr>
              <w:spacing w:after="0"/>
              <w:rPr>
                <w:sz w:val="20"/>
                <w:szCs w:val="20"/>
                <w:lang w:val="en-AU"/>
              </w:rPr>
            </w:pPr>
            <w:r w:rsidRPr="0038463D">
              <w:rPr>
                <w:sz w:val="20"/>
                <w:szCs w:val="20"/>
                <w:lang w:val="en-AU"/>
              </w:rPr>
              <w:t xml:space="preserve">Papua </w:t>
            </w:r>
            <w:r>
              <w:rPr>
                <w:sz w:val="20"/>
                <w:szCs w:val="20"/>
                <w:lang w:val="en-AU"/>
              </w:rPr>
              <w:t>has</w:t>
            </w:r>
            <w:r w:rsidRPr="0038463D">
              <w:rPr>
                <w:sz w:val="20"/>
                <w:szCs w:val="20"/>
                <w:lang w:val="en-AU"/>
              </w:rPr>
              <w:t xml:space="preserve"> many districts performing badly on numerous financing indicators.</w:t>
            </w:r>
          </w:p>
        </w:tc>
        <w:tc>
          <w:tcPr>
            <w:tcW w:w="5060" w:type="dxa"/>
            <w:tcBorders>
              <w:right w:val="single" w:sz="12" w:space="0" w:color="auto"/>
            </w:tcBorders>
            <w:shd w:val="clear" w:color="auto" w:fill="auto"/>
            <w:vAlign w:val="center"/>
          </w:tcPr>
          <w:p w:rsidR="00CF2827" w:rsidRPr="0038463D" w:rsidRDefault="00CF2827" w:rsidP="00270BD5">
            <w:pPr>
              <w:spacing w:after="0"/>
              <w:rPr>
                <w:rFonts w:asciiTheme="minorHAnsi" w:hAnsiTheme="minorHAnsi"/>
                <w:sz w:val="20"/>
                <w:szCs w:val="20"/>
                <w:lang w:val="en-AU"/>
              </w:rPr>
            </w:pPr>
            <w:r w:rsidRPr="0038463D">
              <w:rPr>
                <w:sz w:val="20"/>
                <w:szCs w:val="20"/>
                <w:lang w:val="en-AU"/>
              </w:rPr>
              <w:t>EP investments in these two provinces run the risk of losing effectiveness if they are not supported by district financial commitment.</w:t>
            </w:r>
          </w:p>
        </w:tc>
      </w:tr>
      <w:tr w:rsidR="00CF2827" w:rsidRPr="0038463D" w:rsidTr="00270BD5">
        <w:trPr>
          <w:jc w:val="center"/>
        </w:trPr>
        <w:tc>
          <w:tcPr>
            <w:tcW w:w="550" w:type="dxa"/>
            <w:tcBorders>
              <w:left w:val="single" w:sz="12" w:space="0" w:color="auto"/>
            </w:tcBorders>
            <w:shd w:val="clear" w:color="auto" w:fill="auto"/>
            <w:vAlign w:val="center"/>
          </w:tcPr>
          <w:p w:rsidR="00CF2827" w:rsidRPr="0038463D" w:rsidRDefault="00CF2827" w:rsidP="00270BD5">
            <w:pPr>
              <w:spacing w:after="0"/>
              <w:jc w:val="center"/>
              <w:rPr>
                <w:rFonts w:asciiTheme="minorHAnsi" w:hAnsiTheme="minorHAnsi"/>
                <w:sz w:val="20"/>
                <w:szCs w:val="20"/>
                <w:lang w:val="en-AU"/>
              </w:rPr>
            </w:pPr>
            <w:r w:rsidRPr="0038463D">
              <w:rPr>
                <w:rFonts w:asciiTheme="minorHAnsi" w:hAnsiTheme="minorHAnsi"/>
                <w:sz w:val="20"/>
                <w:szCs w:val="20"/>
                <w:lang w:val="en-AU"/>
              </w:rPr>
              <w:t>RA3</w:t>
            </w:r>
          </w:p>
        </w:tc>
        <w:tc>
          <w:tcPr>
            <w:tcW w:w="3635" w:type="dxa"/>
            <w:shd w:val="clear" w:color="auto" w:fill="auto"/>
            <w:vAlign w:val="center"/>
          </w:tcPr>
          <w:p w:rsidR="00CF2827" w:rsidRPr="0038463D" w:rsidRDefault="00CF2827" w:rsidP="00270BD5">
            <w:pPr>
              <w:spacing w:after="0"/>
              <w:rPr>
                <w:sz w:val="20"/>
                <w:szCs w:val="20"/>
                <w:lang w:val="en-AU"/>
              </w:rPr>
            </w:pPr>
            <w:r>
              <w:rPr>
                <w:sz w:val="20"/>
                <w:szCs w:val="20"/>
                <w:lang w:val="en-AU"/>
              </w:rPr>
              <w:t>In 2013</w:t>
            </w:r>
            <w:r w:rsidRPr="0038463D">
              <w:rPr>
                <w:sz w:val="20"/>
                <w:szCs w:val="20"/>
                <w:lang w:val="en-AU"/>
              </w:rPr>
              <w:t>, 59 EP districts contracted their education budget compared to the previous year.</w:t>
            </w:r>
            <w:r>
              <w:rPr>
                <w:sz w:val="20"/>
                <w:szCs w:val="20"/>
                <w:lang w:val="en-AU"/>
              </w:rPr>
              <w:t xml:space="preserve"> </w:t>
            </w:r>
            <w:r w:rsidRPr="0038463D">
              <w:rPr>
                <w:sz w:val="20"/>
                <w:szCs w:val="20"/>
                <w:lang w:val="en-AU"/>
              </w:rPr>
              <w:t>This may continue into the future.</w:t>
            </w:r>
          </w:p>
        </w:tc>
        <w:tc>
          <w:tcPr>
            <w:tcW w:w="5060" w:type="dxa"/>
            <w:tcBorders>
              <w:right w:val="single" w:sz="12" w:space="0" w:color="auto"/>
            </w:tcBorders>
            <w:shd w:val="clear" w:color="auto" w:fill="auto"/>
            <w:vAlign w:val="center"/>
          </w:tcPr>
          <w:p w:rsidR="00CF2827" w:rsidRPr="0038463D" w:rsidRDefault="00CF2827" w:rsidP="00270BD5">
            <w:pPr>
              <w:spacing w:after="0"/>
              <w:rPr>
                <w:rFonts w:asciiTheme="minorHAnsi" w:hAnsiTheme="minorHAnsi"/>
                <w:sz w:val="20"/>
                <w:szCs w:val="20"/>
                <w:lang w:val="en-AU"/>
              </w:rPr>
            </w:pPr>
            <w:r w:rsidRPr="0038463D">
              <w:rPr>
                <w:sz w:val="20"/>
                <w:szCs w:val="20"/>
                <w:lang w:val="en-AU"/>
              </w:rPr>
              <w:t xml:space="preserve">Where this reflects a shifting priority away from education it may jeopardise the ability of districts to meet future financial commitments to </w:t>
            </w:r>
            <w:r>
              <w:rPr>
                <w:sz w:val="20"/>
                <w:szCs w:val="20"/>
                <w:lang w:val="en-AU"/>
              </w:rPr>
              <w:t>professional development</w:t>
            </w:r>
            <w:r w:rsidRPr="0038463D">
              <w:rPr>
                <w:sz w:val="20"/>
                <w:szCs w:val="20"/>
                <w:lang w:val="en-AU"/>
              </w:rPr>
              <w:t xml:space="preserve"> and building maintenance.</w:t>
            </w:r>
          </w:p>
        </w:tc>
      </w:tr>
      <w:tr w:rsidR="00CF2827" w:rsidRPr="0038463D" w:rsidTr="00270BD5">
        <w:trPr>
          <w:jc w:val="center"/>
        </w:trPr>
        <w:tc>
          <w:tcPr>
            <w:tcW w:w="550" w:type="dxa"/>
            <w:tcBorders>
              <w:left w:val="single" w:sz="12" w:space="0" w:color="auto"/>
              <w:bottom w:val="single" w:sz="12" w:space="0" w:color="auto"/>
            </w:tcBorders>
            <w:shd w:val="clear" w:color="auto" w:fill="auto"/>
            <w:vAlign w:val="center"/>
          </w:tcPr>
          <w:p w:rsidR="00CF2827" w:rsidRPr="0038463D" w:rsidRDefault="00CF2827" w:rsidP="00270BD5">
            <w:pPr>
              <w:spacing w:after="0"/>
              <w:jc w:val="center"/>
              <w:rPr>
                <w:rFonts w:asciiTheme="minorHAnsi" w:hAnsiTheme="minorHAnsi"/>
                <w:sz w:val="20"/>
                <w:szCs w:val="20"/>
                <w:lang w:val="en-AU"/>
              </w:rPr>
            </w:pPr>
            <w:r>
              <w:rPr>
                <w:rFonts w:asciiTheme="minorHAnsi" w:hAnsiTheme="minorHAnsi"/>
                <w:sz w:val="20"/>
                <w:szCs w:val="20"/>
                <w:lang w:val="en-AU"/>
              </w:rPr>
              <w:t>RA4</w:t>
            </w:r>
          </w:p>
        </w:tc>
        <w:tc>
          <w:tcPr>
            <w:tcW w:w="3635" w:type="dxa"/>
            <w:tcBorders>
              <w:bottom w:val="single" w:sz="12" w:space="0" w:color="auto"/>
            </w:tcBorders>
            <w:shd w:val="clear" w:color="auto" w:fill="auto"/>
            <w:vAlign w:val="center"/>
          </w:tcPr>
          <w:p w:rsidR="00CF2827" w:rsidRDefault="00CF2827" w:rsidP="00270BD5">
            <w:pPr>
              <w:spacing w:after="0"/>
              <w:rPr>
                <w:sz w:val="20"/>
                <w:szCs w:val="20"/>
                <w:lang w:val="en-AU"/>
              </w:rPr>
            </w:pPr>
            <w:r>
              <w:rPr>
                <w:sz w:val="20"/>
                <w:szCs w:val="20"/>
                <w:lang w:val="en-AU"/>
              </w:rPr>
              <w:t xml:space="preserve">Districts with very low budget share allocations for education also often have low budget share allocations for health. </w:t>
            </w:r>
          </w:p>
        </w:tc>
        <w:tc>
          <w:tcPr>
            <w:tcW w:w="5060" w:type="dxa"/>
            <w:tcBorders>
              <w:bottom w:val="single" w:sz="12" w:space="0" w:color="auto"/>
              <w:right w:val="single" w:sz="12" w:space="0" w:color="auto"/>
            </w:tcBorders>
            <w:shd w:val="clear" w:color="auto" w:fill="auto"/>
            <w:vAlign w:val="center"/>
          </w:tcPr>
          <w:p w:rsidR="00CF2827" w:rsidRPr="0038463D" w:rsidRDefault="00CF2827" w:rsidP="00270BD5">
            <w:pPr>
              <w:spacing w:after="0"/>
              <w:rPr>
                <w:sz w:val="20"/>
                <w:szCs w:val="20"/>
                <w:lang w:val="en-AU"/>
              </w:rPr>
            </w:pPr>
            <w:r>
              <w:rPr>
                <w:sz w:val="20"/>
                <w:szCs w:val="20"/>
                <w:lang w:val="en-AU"/>
              </w:rPr>
              <w:t>It might be beneficial to coordinate the education and health programs to investigate and support increased allocations for the social sector as whole.</w:t>
            </w:r>
          </w:p>
        </w:tc>
      </w:tr>
    </w:tbl>
    <w:p w:rsidR="00CF2827" w:rsidRDefault="00CF2827" w:rsidP="00CF2827">
      <w:pPr>
        <w:rPr>
          <w:rFonts w:asciiTheme="minorHAnsi" w:hAnsiTheme="minorHAnsi" w:cstheme="minorHAnsi"/>
        </w:rPr>
      </w:pPr>
    </w:p>
    <w:p w:rsidR="00CF2827" w:rsidRPr="005A1995" w:rsidRDefault="00CF2827" w:rsidP="00CF2827">
      <w:pPr>
        <w:spacing w:after="240"/>
        <w:rPr>
          <w:rStyle w:val="IntenseEmphasis"/>
          <w:rFonts w:asciiTheme="minorHAnsi" w:hAnsiTheme="minorHAnsi"/>
          <w:i w:val="0"/>
          <w:color w:val="003880"/>
          <w:sz w:val="32"/>
        </w:rPr>
      </w:pPr>
      <w:r w:rsidRPr="005A1995">
        <w:rPr>
          <w:rStyle w:val="IntenseEmphasis"/>
          <w:rFonts w:asciiTheme="minorHAnsi" w:hAnsiTheme="minorHAnsi"/>
          <w:i w:val="0"/>
          <w:color w:val="003880"/>
          <w:sz w:val="32"/>
        </w:rPr>
        <w:t>Suggested Next Steps</w:t>
      </w:r>
    </w:p>
    <w:p w:rsidR="00CF2827" w:rsidRDefault="00CF2827" w:rsidP="00CF2827">
      <w:pPr>
        <w:rPr>
          <w:rStyle w:val="IntenseEmphasis"/>
          <w:rFonts w:asciiTheme="minorHAnsi" w:hAnsiTheme="minorHAnsi"/>
          <w:i w:val="0"/>
          <w:color w:val="003880"/>
          <w:sz w:val="24"/>
          <w:szCs w:val="24"/>
        </w:rPr>
      </w:pPr>
    </w:p>
    <w:tbl>
      <w:tblPr>
        <w:tblStyle w:val="TableGrid3"/>
        <w:tblW w:w="5000" w:type="pct"/>
        <w:jc w:val="center"/>
        <w:tblCellMar>
          <w:top w:w="57" w:type="dxa"/>
          <w:bottom w:w="57" w:type="dxa"/>
        </w:tblCellMar>
        <w:tblLook w:val="04A0" w:firstRow="1" w:lastRow="0" w:firstColumn="1" w:lastColumn="0" w:noHBand="0" w:noVBand="1"/>
      </w:tblPr>
      <w:tblGrid>
        <w:gridCol w:w="6015"/>
        <w:gridCol w:w="3230"/>
      </w:tblGrid>
      <w:tr w:rsidR="00CF2827" w:rsidRPr="0038463D" w:rsidTr="00270BD5">
        <w:trPr>
          <w:tblHeader/>
          <w:jc w:val="center"/>
        </w:trPr>
        <w:tc>
          <w:tcPr>
            <w:tcW w:w="3253" w:type="pct"/>
            <w:tcBorders>
              <w:top w:val="single" w:sz="12" w:space="0" w:color="auto"/>
              <w:left w:val="single" w:sz="12" w:space="0" w:color="auto"/>
              <w:bottom w:val="single" w:sz="4" w:space="0" w:color="auto"/>
              <w:right w:val="single" w:sz="4" w:space="0" w:color="FFFFFF" w:themeColor="background1"/>
            </w:tcBorders>
            <w:shd w:val="clear" w:color="auto" w:fill="003880"/>
            <w:vAlign w:val="center"/>
          </w:tcPr>
          <w:p w:rsidR="00CF2827" w:rsidRPr="0038463D" w:rsidRDefault="00CF2827" w:rsidP="00270BD5">
            <w:pPr>
              <w:spacing w:after="0"/>
              <w:jc w:val="center"/>
              <w:rPr>
                <w:rFonts w:asciiTheme="minorHAnsi" w:hAnsiTheme="minorHAnsi" w:cstheme="minorHAnsi"/>
                <w:b/>
                <w:color w:val="FFFFFF" w:themeColor="background1"/>
                <w:sz w:val="20"/>
                <w:szCs w:val="19"/>
                <w:lang w:val="en-US"/>
              </w:rPr>
            </w:pPr>
            <w:r>
              <w:rPr>
                <w:rFonts w:asciiTheme="minorHAnsi" w:hAnsiTheme="minorHAnsi" w:cstheme="minorHAnsi"/>
                <w:b/>
                <w:color w:val="FFFFFF" w:themeColor="background1"/>
                <w:sz w:val="20"/>
                <w:szCs w:val="19"/>
                <w:lang w:val="en-US"/>
              </w:rPr>
              <w:t xml:space="preserve">SUGGESTED </w:t>
            </w:r>
            <w:r w:rsidRPr="0038463D">
              <w:rPr>
                <w:rFonts w:asciiTheme="minorHAnsi" w:hAnsiTheme="minorHAnsi" w:cstheme="minorHAnsi"/>
                <w:b/>
                <w:color w:val="FFFFFF" w:themeColor="background1"/>
                <w:sz w:val="20"/>
                <w:szCs w:val="19"/>
                <w:lang w:val="en-US"/>
              </w:rPr>
              <w:t>NEXT STEPS (AND LEVEL OF URGENCY)</w:t>
            </w:r>
          </w:p>
        </w:tc>
        <w:tc>
          <w:tcPr>
            <w:tcW w:w="1747" w:type="pct"/>
            <w:tcBorders>
              <w:top w:val="single" w:sz="12" w:space="0" w:color="auto"/>
              <w:left w:val="single" w:sz="4" w:space="0" w:color="FFFFFF" w:themeColor="background1"/>
              <w:bottom w:val="single" w:sz="4" w:space="0" w:color="auto"/>
              <w:right w:val="single" w:sz="12" w:space="0" w:color="auto"/>
            </w:tcBorders>
            <w:shd w:val="clear" w:color="auto" w:fill="003880"/>
            <w:vAlign w:val="center"/>
          </w:tcPr>
          <w:p w:rsidR="00CF2827" w:rsidRPr="0038463D" w:rsidRDefault="00CF2827" w:rsidP="00270BD5">
            <w:pPr>
              <w:spacing w:after="0"/>
              <w:jc w:val="center"/>
              <w:rPr>
                <w:rFonts w:asciiTheme="minorHAnsi" w:hAnsiTheme="minorHAnsi" w:cstheme="minorHAnsi"/>
                <w:b/>
                <w:color w:val="FFFFFF" w:themeColor="background1"/>
                <w:sz w:val="20"/>
                <w:szCs w:val="19"/>
                <w:lang w:val="en-US"/>
              </w:rPr>
            </w:pPr>
            <w:r w:rsidRPr="0038463D">
              <w:rPr>
                <w:rFonts w:asciiTheme="minorHAnsi" w:hAnsiTheme="minorHAnsi" w:cstheme="minorHAnsi"/>
                <w:b/>
                <w:color w:val="FFFFFF" w:themeColor="background1"/>
                <w:sz w:val="20"/>
                <w:szCs w:val="19"/>
                <w:lang w:val="en-US"/>
              </w:rPr>
              <w:t>PRIME RESPONSIBILITY</w:t>
            </w:r>
          </w:p>
        </w:tc>
      </w:tr>
      <w:tr w:rsidR="00CF2827" w:rsidRPr="0038463D" w:rsidTr="00270BD5">
        <w:trPr>
          <w:jc w:val="center"/>
        </w:trPr>
        <w:tc>
          <w:tcPr>
            <w:tcW w:w="3253" w:type="pct"/>
            <w:tcBorders>
              <w:left w:val="single" w:sz="12" w:space="0" w:color="auto"/>
            </w:tcBorders>
            <w:shd w:val="clear" w:color="auto" w:fill="FFC000"/>
            <w:vAlign w:val="center"/>
          </w:tcPr>
          <w:p w:rsidR="00CF2827" w:rsidRPr="0038463D" w:rsidRDefault="00CF2827" w:rsidP="00270BD5">
            <w:pPr>
              <w:spacing w:after="0"/>
              <w:rPr>
                <w:rFonts w:eastAsia="Times New Roman" w:cs="Calibri"/>
                <w:sz w:val="20"/>
                <w:szCs w:val="19"/>
                <w:lang w:val="en-AU"/>
              </w:rPr>
            </w:pPr>
            <w:r w:rsidRPr="0038463D">
              <w:rPr>
                <w:sz w:val="20"/>
                <w:szCs w:val="19"/>
                <w:lang w:val="en-AU"/>
              </w:rPr>
              <w:t>NS1: EP districts which have very small share of total district budget allocated for education should be monitored and engaged in a dialogue to understand current allocations and future plans.</w:t>
            </w:r>
            <w:r>
              <w:rPr>
                <w:sz w:val="20"/>
                <w:szCs w:val="19"/>
                <w:lang w:val="en-AU"/>
              </w:rPr>
              <w:t xml:space="preserve"> Coordinate with DFAT health program (where there is health program activity in these districts)</w:t>
            </w:r>
          </w:p>
        </w:tc>
        <w:tc>
          <w:tcPr>
            <w:tcW w:w="1747" w:type="pct"/>
            <w:tcBorders>
              <w:right w:val="single" w:sz="12" w:space="0" w:color="auto"/>
            </w:tcBorders>
            <w:vAlign w:val="center"/>
          </w:tcPr>
          <w:p w:rsidR="00CF2827" w:rsidRPr="0038463D" w:rsidRDefault="00CF2827" w:rsidP="00270BD5">
            <w:pPr>
              <w:spacing w:after="0"/>
              <w:jc w:val="center"/>
              <w:rPr>
                <w:sz w:val="20"/>
                <w:szCs w:val="19"/>
                <w:lang w:val="en-AU"/>
              </w:rPr>
            </w:pPr>
            <w:r w:rsidRPr="0038463D">
              <w:rPr>
                <w:sz w:val="20"/>
                <w:szCs w:val="19"/>
                <w:lang w:val="en-AU"/>
              </w:rPr>
              <w:t>POM, with DFAT’s approval</w:t>
            </w:r>
          </w:p>
        </w:tc>
      </w:tr>
      <w:tr w:rsidR="00CF2827" w:rsidRPr="0038463D" w:rsidTr="00270BD5">
        <w:trPr>
          <w:jc w:val="center"/>
        </w:trPr>
        <w:tc>
          <w:tcPr>
            <w:tcW w:w="3253" w:type="pct"/>
            <w:tcBorders>
              <w:left w:val="single" w:sz="12" w:space="0" w:color="auto"/>
              <w:bottom w:val="single" w:sz="4" w:space="0" w:color="auto"/>
            </w:tcBorders>
            <w:shd w:val="clear" w:color="auto" w:fill="FFC000"/>
            <w:vAlign w:val="center"/>
          </w:tcPr>
          <w:p w:rsidR="00CF2827" w:rsidRPr="0038463D" w:rsidRDefault="00CF2827" w:rsidP="00270BD5">
            <w:pPr>
              <w:spacing w:after="0"/>
              <w:rPr>
                <w:sz w:val="20"/>
                <w:szCs w:val="19"/>
                <w:lang w:val="en-AU"/>
              </w:rPr>
            </w:pPr>
            <w:r w:rsidRPr="0038463D">
              <w:rPr>
                <w:sz w:val="20"/>
                <w:szCs w:val="19"/>
                <w:lang w:val="en-AU"/>
              </w:rPr>
              <w:t>NS2: Focus diagnostic and policy</w:t>
            </w:r>
            <w:r>
              <w:rPr>
                <w:sz w:val="20"/>
                <w:szCs w:val="19"/>
                <w:lang w:val="en-AU"/>
              </w:rPr>
              <w:t xml:space="preserve"> response efforts on the Papua island group</w:t>
            </w:r>
            <w:r w:rsidRPr="0038463D">
              <w:rPr>
                <w:sz w:val="20"/>
                <w:szCs w:val="19"/>
                <w:lang w:val="en-AU"/>
              </w:rPr>
              <w:t xml:space="preserve"> to und</w:t>
            </w:r>
            <w:r>
              <w:rPr>
                <w:sz w:val="20"/>
                <w:szCs w:val="19"/>
                <w:lang w:val="en-AU"/>
              </w:rPr>
              <w:t xml:space="preserve">erstand the factors driving </w:t>
            </w:r>
            <w:r w:rsidRPr="0038463D">
              <w:rPr>
                <w:sz w:val="20"/>
                <w:szCs w:val="19"/>
                <w:lang w:val="en-AU"/>
              </w:rPr>
              <w:t>low educa</w:t>
            </w:r>
            <w:r>
              <w:rPr>
                <w:sz w:val="20"/>
                <w:szCs w:val="19"/>
                <w:lang w:val="en-AU"/>
              </w:rPr>
              <w:t>tion share of district budgets</w:t>
            </w:r>
          </w:p>
        </w:tc>
        <w:tc>
          <w:tcPr>
            <w:tcW w:w="1747" w:type="pct"/>
            <w:tcBorders>
              <w:right w:val="single" w:sz="12" w:space="0" w:color="auto"/>
            </w:tcBorders>
            <w:vAlign w:val="center"/>
          </w:tcPr>
          <w:p w:rsidR="00CF2827" w:rsidRPr="0038463D" w:rsidRDefault="00CF2827" w:rsidP="00270BD5">
            <w:pPr>
              <w:spacing w:after="0"/>
              <w:jc w:val="center"/>
              <w:rPr>
                <w:rFonts w:ascii="Gill Sans MT" w:eastAsia="Times New Roman" w:hAnsi="Gill Sans MT" w:cs="Calibri"/>
                <w:sz w:val="20"/>
                <w:szCs w:val="19"/>
                <w:lang w:val="en-AU"/>
              </w:rPr>
            </w:pPr>
            <w:r w:rsidRPr="0038463D">
              <w:rPr>
                <w:sz w:val="20"/>
                <w:szCs w:val="19"/>
                <w:lang w:val="en-AU"/>
              </w:rPr>
              <w:t>DFAT (with POM, where appropriate)</w:t>
            </w:r>
          </w:p>
        </w:tc>
      </w:tr>
      <w:tr w:rsidR="00CF2827" w:rsidRPr="0038463D" w:rsidTr="00270BD5">
        <w:trPr>
          <w:jc w:val="center"/>
        </w:trPr>
        <w:tc>
          <w:tcPr>
            <w:tcW w:w="3253" w:type="pct"/>
            <w:tcBorders>
              <w:left w:val="single" w:sz="12" w:space="0" w:color="auto"/>
              <w:bottom w:val="single" w:sz="4" w:space="0" w:color="auto"/>
            </w:tcBorders>
            <w:shd w:val="clear" w:color="auto" w:fill="FFC000"/>
            <w:vAlign w:val="center"/>
          </w:tcPr>
          <w:p w:rsidR="00CF2827" w:rsidRPr="0038463D" w:rsidRDefault="00CF2827" w:rsidP="00270BD5">
            <w:pPr>
              <w:spacing w:after="0"/>
              <w:rPr>
                <w:rFonts w:ascii="Gill Sans MT" w:eastAsia="Times New Roman" w:hAnsi="Gill Sans MT" w:cs="Calibri"/>
                <w:sz w:val="20"/>
                <w:szCs w:val="19"/>
                <w:lang w:val="en-AU"/>
              </w:rPr>
            </w:pPr>
            <w:r w:rsidRPr="0038463D">
              <w:rPr>
                <w:sz w:val="20"/>
                <w:szCs w:val="19"/>
                <w:lang w:val="en-AU"/>
              </w:rPr>
              <w:t>NS3: Engage in dialogue with a sample of EP d</w:t>
            </w:r>
            <w:r>
              <w:rPr>
                <w:sz w:val="20"/>
                <w:szCs w:val="19"/>
                <w:lang w:val="en-AU"/>
              </w:rPr>
              <w:t>istricts that reduced their 2013</w:t>
            </w:r>
            <w:r w:rsidRPr="0038463D">
              <w:rPr>
                <w:sz w:val="20"/>
                <w:szCs w:val="19"/>
                <w:lang w:val="en-AU"/>
              </w:rPr>
              <w:t xml:space="preserve"> education bud</w:t>
            </w:r>
            <w:r>
              <w:rPr>
                <w:sz w:val="20"/>
                <w:szCs w:val="19"/>
                <w:lang w:val="en-AU"/>
              </w:rPr>
              <w:t>get allocations compared to 2012</w:t>
            </w:r>
            <w:r w:rsidRPr="0038463D">
              <w:rPr>
                <w:sz w:val="20"/>
                <w:szCs w:val="19"/>
                <w:lang w:val="en-AU"/>
              </w:rPr>
              <w:t>. Detailed diagnostics on (i) poorest EP districts that had an a</w:t>
            </w:r>
            <w:r>
              <w:rPr>
                <w:sz w:val="20"/>
                <w:szCs w:val="19"/>
                <w:lang w:val="en-AU"/>
              </w:rPr>
              <w:t>nnual reduction in their 2012 and 2013</w:t>
            </w:r>
            <w:r w:rsidRPr="0038463D">
              <w:rPr>
                <w:sz w:val="20"/>
                <w:szCs w:val="19"/>
                <w:lang w:val="en-AU"/>
              </w:rPr>
              <w:t xml:space="preserve"> Budget, and (ii) districts with annual drop greater than 10%. Diagnoses to understand reasons for drop and monit</w:t>
            </w:r>
            <w:r>
              <w:rPr>
                <w:sz w:val="20"/>
                <w:szCs w:val="19"/>
                <w:lang w:val="en-AU"/>
              </w:rPr>
              <w:t>or change in allocations in 2014 and 2015</w:t>
            </w:r>
            <w:r w:rsidRPr="0038463D">
              <w:rPr>
                <w:sz w:val="20"/>
                <w:szCs w:val="19"/>
                <w:lang w:val="en-AU"/>
              </w:rPr>
              <w:t xml:space="preserve"> district budgets.</w:t>
            </w:r>
          </w:p>
        </w:tc>
        <w:tc>
          <w:tcPr>
            <w:tcW w:w="1747" w:type="pct"/>
            <w:tcBorders>
              <w:right w:val="single" w:sz="12" w:space="0" w:color="auto"/>
            </w:tcBorders>
            <w:vAlign w:val="center"/>
          </w:tcPr>
          <w:p w:rsidR="00CF2827" w:rsidRPr="0038463D" w:rsidRDefault="00CF2827" w:rsidP="00270BD5">
            <w:pPr>
              <w:spacing w:after="0"/>
              <w:jc w:val="center"/>
              <w:rPr>
                <w:sz w:val="20"/>
                <w:szCs w:val="19"/>
                <w:lang w:val="en-AU"/>
              </w:rPr>
            </w:pPr>
            <w:r w:rsidRPr="0038463D">
              <w:rPr>
                <w:sz w:val="20"/>
                <w:szCs w:val="19"/>
                <w:lang w:val="en-AU"/>
              </w:rPr>
              <w:t>MOEC and POM (with DFAT’s approval)</w:t>
            </w:r>
          </w:p>
        </w:tc>
      </w:tr>
      <w:tr w:rsidR="00CF2827" w:rsidRPr="0038463D" w:rsidTr="00270BD5">
        <w:trPr>
          <w:jc w:val="center"/>
        </w:trPr>
        <w:tc>
          <w:tcPr>
            <w:tcW w:w="3253" w:type="pct"/>
            <w:tcBorders>
              <w:left w:val="single" w:sz="12" w:space="0" w:color="auto"/>
              <w:bottom w:val="single" w:sz="12" w:space="0" w:color="auto"/>
            </w:tcBorders>
            <w:shd w:val="clear" w:color="auto" w:fill="92D050"/>
            <w:vAlign w:val="center"/>
          </w:tcPr>
          <w:p w:rsidR="00CF2827" w:rsidRPr="0038463D" w:rsidRDefault="00CF2827" w:rsidP="00270BD5">
            <w:pPr>
              <w:spacing w:after="0"/>
              <w:rPr>
                <w:rFonts w:ascii="Gill Sans MT" w:eastAsia="Times New Roman" w:hAnsi="Gill Sans MT" w:cs="Calibri"/>
                <w:sz w:val="20"/>
                <w:szCs w:val="24"/>
                <w:lang w:val="en-US"/>
              </w:rPr>
            </w:pPr>
            <w:r>
              <w:rPr>
                <w:sz w:val="20"/>
                <w:szCs w:val="19"/>
                <w:lang w:val="en-AU"/>
              </w:rPr>
              <w:t>NS4</w:t>
            </w:r>
            <w:r w:rsidRPr="0038463D">
              <w:rPr>
                <w:sz w:val="20"/>
                <w:szCs w:val="19"/>
                <w:lang w:val="en-AU"/>
              </w:rPr>
              <w:t>: Liaise with MoEC and other central agencies so as promote the introduction of district report cards on education. These report cards should be produced on annual basis and include key educational development and financial indicators.</w:t>
            </w:r>
          </w:p>
        </w:tc>
        <w:tc>
          <w:tcPr>
            <w:tcW w:w="1747" w:type="pct"/>
            <w:tcBorders>
              <w:bottom w:val="single" w:sz="12" w:space="0" w:color="auto"/>
              <w:right w:val="single" w:sz="12" w:space="0" w:color="auto"/>
            </w:tcBorders>
            <w:vAlign w:val="center"/>
          </w:tcPr>
          <w:p w:rsidR="00CF2827" w:rsidRPr="0038463D" w:rsidRDefault="00CF2827" w:rsidP="00270BD5">
            <w:pPr>
              <w:spacing w:after="0"/>
              <w:jc w:val="center"/>
              <w:rPr>
                <w:sz w:val="20"/>
                <w:szCs w:val="19"/>
                <w:lang w:val="en-AU"/>
              </w:rPr>
            </w:pPr>
            <w:r>
              <w:rPr>
                <w:sz w:val="20"/>
                <w:szCs w:val="19"/>
                <w:lang w:val="en-AU"/>
              </w:rPr>
              <w:t>DFAT</w:t>
            </w:r>
          </w:p>
        </w:tc>
      </w:tr>
    </w:tbl>
    <w:p w:rsidR="00CF2827" w:rsidRPr="00296EE1" w:rsidRDefault="00CF2827" w:rsidP="00CF2827">
      <w:pPr>
        <w:rPr>
          <w:rStyle w:val="IntenseEmphasis"/>
          <w:rFonts w:asciiTheme="minorHAnsi" w:hAnsiTheme="minorHAnsi"/>
          <w:i w:val="0"/>
          <w:color w:val="003880"/>
          <w:sz w:val="24"/>
          <w:szCs w:val="24"/>
        </w:rPr>
      </w:pPr>
    </w:p>
    <w:p w:rsidR="00CF2827" w:rsidRDefault="00CF2827" w:rsidP="00CF2827">
      <w:pPr>
        <w:spacing w:before="120"/>
      </w:pPr>
      <w:r w:rsidRPr="005A1995">
        <w:rPr>
          <w:i/>
          <w:sz w:val="20"/>
          <w:lang w:val="en-AU"/>
        </w:rPr>
        <w:t>NB: Red - high urgency; orange - medium urgency; green - low urgency</w:t>
      </w:r>
    </w:p>
    <w:p w:rsidR="00CF2827" w:rsidRDefault="00CF2827" w:rsidP="00CF2827">
      <w:pPr>
        <w:rPr>
          <w:rFonts w:asciiTheme="minorHAnsi" w:hAnsiTheme="minorHAnsi" w:cstheme="minorHAnsi"/>
        </w:rPr>
        <w:sectPr w:rsidR="00CF2827" w:rsidSect="004B7458">
          <w:footnotePr>
            <w:numRestart w:val="eachSect"/>
          </w:footnotePr>
          <w:endnotePr>
            <w:numRestart w:val="eachSect"/>
          </w:endnotePr>
          <w:pgSz w:w="11909" w:h="16834" w:code="9"/>
          <w:pgMar w:top="1440" w:right="1440" w:bottom="1440" w:left="1440" w:header="431" w:footer="720" w:gutter="0"/>
          <w:cols w:space="720"/>
          <w:noEndnote/>
          <w:docGrid w:linePitch="360"/>
        </w:sectPr>
      </w:pPr>
    </w:p>
    <w:p w:rsidR="00B450D8" w:rsidRDefault="00B450D8" w:rsidP="00045CAA">
      <w:pPr>
        <w:rPr>
          <w:rStyle w:val="IntenseEmphasis"/>
        </w:rPr>
      </w:pPr>
    </w:p>
    <w:p w:rsidR="00045CAA" w:rsidRPr="00946D3F" w:rsidRDefault="00045CAA" w:rsidP="007C5185">
      <w:pPr>
        <w:tabs>
          <w:tab w:val="left" w:pos="3550"/>
        </w:tabs>
        <w:spacing w:before="6960"/>
        <w:ind w:right="1701"/>
        <w:jc w:val="right"/>
        <w:rPr>
          <w:b/>
          <w:i/>
          <w:color w:val="FFFFFF" w:themeColor="background1"/>
          <w:sz w:val="32"/>
          <w:szCs w:val="32"/>
        </w:rPr>
      </w:pPr>
      <w:r>
        <w:rPr>
          <w:b/>
          <w:color w:val="FFFFFF" w:themeColor="background1"/>
          <w:sz w:val="36"/>
          <w:szCs w:val="36"/>
        </w:rPr>
        <w:t>Introduction, Approach and Methodology</w:t>
      </w:r>
    </w:p>
    <w:p w:rsidR="00045CAA" w:rsidRDefault="00045CAA" w:rsidP="00854A82">
      <w:pPr>
        <w:sectPr w:rsidR="00045CAA" w:rsidSect="005419F4">
          <w:headerReference w:type="default" r:id="rId24"/>
          <w:footerReference w:type="default" r:id="rId25"/>
          <w:headerReference w:type="first" r:id="rId26"/>
          <w:footerReference w:type="first" r:id="rId27"/>
          <w:footnotePr>
            <w:numRestart w:val="eachSect"/>
          </w:footnotePr>
          <w:endnotePr>
            <w:numRestart w:val="eachSect"/>
          </w:endnotePr>
          <w:pgSz w:w="11909" w:h="16834" w:code="9"/>
          <w:pgMar w:top="357" w:right="1440" w:bottom="1304" w:left="1440" w:header="431" w:footer="425" w:gutter="0"/>
          <w:pgNumType w:start="1"/>
          <w:cols w:space="720"/>
          <w:titlePg/>
          <w:docGrid w:linePitch="360"/>
        </w:sectPr>
      </w:pPr>
    </w:p>
    <w:p w:rsidR="00396227" w:rsidRPr="005A1995" w:rsidRDefault="005A1995" w:rsidP="004B7458">
      <w:pPr>
        <w:pStyle w:val="Heading1"/>
        <w:spacing w:after="1320"/>
        <w:ind w:left="357" w:hanging="357"/>
        <w:rPr>
          <w:color w:val="68BAD6"/>
        </w:rPr>
      </w:pPr>
      <w:bookmarkStart w:id="11" w:name="_Toc372401475"/>
      <w:bookmarkStart w:id="12" w:name="_Toc380740269"/>
      <w:r w:rsidRPr="005A1995">
        <w:rPr>
          <w:color w:val="68BAD6"/>
        </w:rPr>
        <w:lastRenderedPageBreak/>
        <w:t>INTRODUCTION</w:t>
      </w:r>
      <w:bookmarkEnd w:id="11"/>
      <w:r w:rsidRPr="005A1995">
        <w:rPr>
          <w:color w:val="68BAD6"/>
        </w:rPr>
        <w:t>, APPROACH AND METHODOLOGY</w:t>
      </w:r>
      <w:bookmarkEnd w:id="12"/>
    </w:p>
    <w:p w:rsidR="000F627B" w:rsidRPr="005A1995" w:rsidRDefault="000F627B" w:rsidP="004B7458">
      <w:pPr>
        <w:pStyle w:val="Heading2"/>
        <w:spacing w:before="360" w:after="240"/>
        <w:ind w:left="567" w:hanging="567"/>
        <w:rPr>
          <w:rFonts w:asciiTheme="minorHAnsi" w:hAnsiTheme="minorHAnsi"/>
          <w:b/>
          <w:sz w:val="32"/>
          <w:szCs w:val="22"/>
        </w:rPr>
      </w:pPr>
      <w:r w:rsidRPr="005A1995">
        <w:rPr>
          <w:rFonts w:asciiTheme="minorHAnsi" w:hAnsiTheme="minorHAnsi"/>
          <w:b/>
          <w:sz w:val="32"/>
          <w:szCs w:val="22"/>
        </w:rPr>
        <w:t>The Education Partnership</w:t>
      </w:r>
    </w:p>
    <w:p w:rsidR="00396227" w:rsidRPr="005A1995" w:rsidRDefault="00396227" w:rsidP="005A1995">
      <w:pPr>
        <w:spacing w:line="276" w:lineRule="auto"/>
        <w:jc w:val="both"/>
        <w:rPr>
          <w:rFonts w:asciiTheme="minorHAnsi" w:hAnsiTheme="minorHAnsi" w:cstheme="minorHAnsi"/>
        </w:rPr>
      </w:pPr>
      <w:r w:rsidRPr="005A1995">
        <w:rPr>
          <w:rFonts w:asciiTheme="minorHAnsi" w:hAnsiTheme="minorHAnsi" w:cstheme="minorHAnsi"/>
        </w:rPr>
        <w:t xml:space="preserve">The Government of Australia (GoA) has been investing in Indonesia’s basic education sector for a number of years, most notably through the flagship Australia Indonesia Basic Education Program (AIBEP) (2006-2011) and now through the Australia-Indonesia Education Partnership (EP): a five-year program that </w:t>
      </w:r>
      <w:r w:rsidR="00F200DE">
        <w:rPr>
          <w:rFonts w:asciiTheme="minorHAnsi" w:hAnsiTheme="minorHAnsi" w:cstheme="minorHAnsi"/>
        </w:rPr>
        <w:t xml:space="preserve">is scheduled to </w:t>
      </w:r>
      <w:r w:rsidRPr="005A1995">
        <w:rPr>
          <w:rFonts w:asciiTheme="minorHAnsi" w:hAnsiTheme="minorHAnsi" w:cstheme="minorHAnsi"/>
        </w:rPr>
        <w:t xml:space="preserve">operate from mid-2011 to mid-2016. </w:t>
      </w:r>
    </w:p>
    <w:p w:rsidR="00396227" w:rsidRPr="005A1995" w:rsidRDefault="00396227" w:rsidP="005A1995">
      <w:pPr>
        <w:spacing w:line="276" w:lineRule="auto"/>
        <w:jc w:val="both"/>
        <w:rPr>
          <w:rFonts w:asciiTheme="minorHAnsi" w:hAnsiTheme="minorHAnsi" w:cstheme="minorHAnsi"/>
        </w:rPr>
      </w:pPr>
      <w:r w:rsidRPr="005A1995">
        <w:rPr>
          <w:rFonts w:asciiTheme="minorHAnsi" w:hAnsiTheme="minorHAnsi" w:cstheme="minorHAnsi"/>
        </w:rPr>
        <w:t>Australia is supporting GoI to achieve its policy goals in relation to access, quality and governance of basic education (defined as primary and junior secondary education). The EP’s vision is to improve education service delivery in Indonesia. To achieve this, it focuses on three goals:</w:t>
      </w:r>
    </w:p>
    <w:p w:rsidR="00396227" w:rsidRPr="005A1995" w:rsidRDefault="00396227" w:rsidP="005A1995">
      <w:pPr>
        <w:pStyle w:val="ListParagraph"/>
        <w:numPr>
          <w:ilvl w:val="0"/>
          <w:numId w:val="6"/>
        </w:numPr>
        <w:spacing w:after="0"/>
        <w:contextualSpacing w:val="0"/>
        <w:jc w:val="both"/>
        <w:rPr>
          <w:rFonts w:asciiTheme="minorHAnsi" w:hAnsiTheme="minorHAnsi" w:cstheme="minorHAnsi"/>
        </w:rPr>
      </w:pPr>
      <w:r w:rsidRPr="005A1995">
        <w:rPr>
          <w:rFonts w:asciiTheme="minorHAnsi" w:hAnsiTheme="minorHAnsi" w:cstheme="minorHAnsi"/>
        </w:rPr>
        <w:t xml:space="preserve">To increase participation in Junior Secondary Education (JSE) schooling. </w:t>
      </w:r>
    </w:p>
    <w:p w:rsidR="00396227" w:rsidRPr="005A1995" w:rsidRDefault="00396227" w:rsidP="005A1995">
      <w:pPr>
        <w:pStyle w:val="ListParagraph"/>
        <w:numPr>
          <w:ilvl w:val="0"/>
          <w:numId w:val="6"/>
        </w:numPr>
        <w:spacing w:after="0"/>
        <w:contextualSpacing w:val="0"/>
        <w:jc w:val="both"/>
        <w:rPr>
          <w:rFonts w:asciiTheme="minorHAnsi" w:hAnsiTheme="minorHAnsi" w:cstheme="minorHAnsi"/>
        </w:rPr>
      </w:pPr>
      <w:r w:rsidRPr="005A1995">
        <w:rPr>
          <w:rFonts w:asciiTheme="minorHAnsi" w:hAnsiTheme="minorHAnsi" w:cstheme="minorHAnsi"/>
        </w:rPr>
        <w:t>To improve the quality of education in public and private schools, including Madrasah.</w:t>
      </w:r>
    </w:p>
    <w:p w:rsidR="00396227" w:rsidRPr="005A1995" w:rsidRDefault="00396227" w:rsidP="005A1995">
      <w:pPr>
        <w:pStyle w:val="ListParagraph"/>
        <w:numPr>
          <w:ilvl w:val="0"/>
          <w:numId w:val="6"/>
        </w:numPr>
        <w:spacing w:after="240"/>
        <w:contextualSpacing w:val="0"/>
        <w:jc w:val="both"/>
        <w:rPr>
          <w:rFonts w:asciiTheme="minorHAnsi" w:hAnsiTheme="minorHAnsi" w:cstheme="minorHAnsi"/>
        </w:rPr>
      </w:pPr>
      <w:r w:rsidRPr="005A1995">
        <w:rPr>
          <w:rFonts w:asciiTheme="minorHAnsi" w:hAnsiTheme="minorHAnsi" w:cstheme="minorHAnsi"/>
        </w:rPr>
        <w:t>To improve sector governance through increased use of evidence for decision-making.</w:t>
      </w:r>
    </w:p>
    <w:p w:rsidR="00396227" w:rsidRPr="005A1995" w:rsidRDefault="00396227" w:rsidP="005A1995">
      <w:pPr>
        <w:spacing w:line="276" w:lineRule="auto"/>
        <w:jc w:val="both"/>
        <w:rPr>
          <w:rFonts w:asciiTheme="minorHAnsi" w:hAnsiTheme="minorHAnsi" w:cstheme="minorHAnsi"/>
        </w:rPr>
      </w:pPr>
      <w:r w:rsidRPr="005A1995">
        <w:rPr>
          <w:rFonts w:asciiTheme="minorHAnsi" w:hAnsiTheme="minorHAnsi" w:cstheme="minorHAnsi"/>
        </w:rPr>
        <w:t>The EP recognizes that these goals are aspirational and are influenced by a multitude of factors, many of which are outside the control or even direct influence of the Partnership. As such, the EP focuses its effort on the attainment of four End-of-Partnership-Outcomes (EOPOs):</w:t>
      </w:r>
    </w:p>
    <w:p w:rsidR="00396227" w:rsidRPr="005A1995" w:rsidRDefault="00396227" w:rsidP="005A1995">
      <w:pPr>
        <w:pStyle w:val="ListParagraph"/>
        <w:numPr>
          <w:ilvl w:val="0"/>
          <w:numId w:val="6"/>
        </w:numPr>
        <w:spacing w:after="0"/>
        <w:contextualSpacing w:val="0"/>
        <w:jc w:val="both"/>
        <w:rPr>
          <w:rFonts w:asciiTheme="minorHAnsi" w:hAnsiTheme="minorHAnsi" w:cstheme="minorHAnsi"/>
        </w:rPr>
      </w:pPr>
      <w:r w:rsidRPr="005A1995">
        <w:rPr>
          <w:rFonts w:asciiTheme="minorHAnsi" w:hAnsiTheme="minorHAnsi" w:cstheme="minorHAnsi"/>
        </w:rPr>
        <w:t xml:space="preserve">Enrolment in JSE in targeted districts increases. </w:t>
      </w:r>
    </w:p>
    <w:p w:rsidR="00396227" w:rsidRPr="005A1995" w:rsidRDefault="00396227" w:rsidP="005A1995">
      <w:pPr>
        <w:pStyle w:val="ListParagraph"/>
        <w:numPr>
          <w:ilvl w:val="0"/>
          <w:numId w:val="6"/>
        </w:numPr>
        <w:spacing w:after="0"/>
        <w:contextualSpacing w:val="0"/>
        <w:jc w:val="both"/>
        <w:rPr>
          <w:rFonts w:asciiTheme="minorHAnsi" w:hAnsiTheme="minorHAnsi" w:cstheme="minorHAnsi"/>
        </w:rPr>
      </w:pPr>
      <w:r w:rsidRPr="005A1995">
        <w:rPr>
          <w:rFonts w:asciiTheme="minorHAnsi" w:hAnsiTheme="minorHAnsi" w:cstheme="minorHAnsi"/>
        </w:rPr>
        <w:t xml:space="preserve">Management of schools and Madrasah improves. </w:t>
      </w:r>
    </w:p>
    <w:p w:rsidR="00396227" w:rsidRPr="005A1995" w:rsidRDefault="00396227" w:rsidP="005A1995">
      <w:pPr>
        <w:pStyle w:val="ListParagraph"/>
        <w:numPr>
          <w:ilvl w:val="0"/>
          <w:numId w:val="6"/>
        </w:numPr>
        <w:spacing w:after="0"/>
        <w:contextualSpacing w:val="0"/>
        <w:jc w:val="both"/>
        <w:rPr>
          <w:rFonts w:asciiTheme="minorHAnsi" w:hAnsiTheme="minorHAnsi" w:cstheme="minorHAnsi"/>
        </w:rPr>
      </w:pPr>
      <w:r w:rsidRPr="005A1995">
        <w:rPr>
          <w:rFonts w:asciiTheme="minorHAnsi" w:hAnsiTheme="minorHAnsi" w:cstheme="minorHAnsi"/>
        </w:rPr>
        <w:t>Quality of Madrasah improves in line with National Education Standards.</w:t>
      </w:r>
    </w:p>
    <w:p w:rsidR="00396227" w:rsidRPr="005A1995" w:rsidRDefault="00396227" w:rsidP="005A1995">
      <w:pPr>
        <w:pStyle w:val="ListParagraph"/>
        <w:numPr>
          <w:ilvl w:val="0"/>
          <w:numId w:val="6"/>
        </w:numPr>
        <w:spacing w:after="240"/>
        <w:contextualSpacing w:val="0"/>
        <w:jc w:val="both"/>
        <w:rPr>
          <w:rFonts w:asciiTheme="minorHAnsi" w:hAnsiTheme="minorHAnsi" w:cstheme="minorHAnsi"/>
        </w:rPr>
      </w:pPr>
      <w:r w:rsidRPr="005A1995">
        <w:rPr>
          <w:rFonts w:asciiTheme="minorHAnsi" w:hAnsiTheme="minorHAnsi" w:cstheme="minorHAnsi"/>
        </w:rPr>
        <w:t xml:space="preserve">Policy-makers </w:t>
      </w:r>
      <w:r w:rsidR="00FD2142" w:rsidRPr="005A1995">
        <w:rPr>
          <w:rFonts w:asciiTheme="minorHAnsi" w:hAnsiTheme="minorHAnsi" w:cstheme="minorHAnsi"/>
        </w:rPr>
        <w:t>utilize</w:t>
      </w:r>
      <w:r w:rsidRPr="005A1995">
        <w:rPr>
          <w:rFonts w:asciiTheme="minorHAnsi" w:hAnsiTheme="minorHAnsi" w:cstheme="minorHAnsi"/>
        </w:rPr>
        <w:t xml:space="preserve"> research findings to inform education sector policy, planning and budgeting.</w:t>
      </w:r>
    </w:p>
    <w:p w:rsidR="00396227" w:rsidRPr="005A1995" w:rsidRDefault="00396227" w:rsidP="005A1995">
      <w:pPr>
        <w:spacing w:line="276" w:lineRule="auto"/>
        <w:jc w:val="both"/>
        <w:rPr>
          <w:rFonts w:asciiTheme="minorHAnsi" w:hAnsiTheme="minorHAnsi" w:cstheme="minorHAnsi"/>
        </w:rPr>
      </w:pPr>
      <w:r w:rsidRPr="005A1995">
        <w:rPr>
          <w:rFonts w:asciiTheme="minorHAnsi" w:hAnsiTheme="minorHAnsi" w:cstheme="minorHAnsi"/>
        </w:rPr>
        <w:t xml:space="preserve">These EOPOs describe the highest level of change over which the EP has significant influence (see Annex A). The EP uses various modalities to deliver its support, e.g. earmarked budget support (Components 1 and 2), project delivery (Component 3), and technical assistance to GoI agencies (Components 1-4). </w:t>
      </w:r>
      <w:r w:rsidR="00F200DE">
        <w:rPr>
          <w:rFonts w:asciiTheme="minorHAnsi" w:hAnsiTheme="minorHAnsi" w:cstheme="minorHAnsi"/>
        </w:rPr>
        <w:t>Since</w:t>
      </w:r>
      <w:r w:rsidR="00F200DE" w:rsidRPr="005A1995">
        <w:rPr>
          <w:rFonts w:asciiTheme="minorHAnsi" w:hAnsiTheme="minorHAnsi" w:cstheme="minorHAnsi"/>
        </w:rPr>
        <w:t xml:space="preserve"> </w:t>
      </w:r>
      <w:r w:rsidRPr="005A1995">
        <w:rPr>
          <w:rFonts w:asciiTheme="minorHAnsi" w:hAnsiTheme="minorHAnsi" w:cstheme="minorHAnsi"/>
        </w:rPr>
        <w:t xml:space="preserve">late 2013, the majority of expenditure in Components 1 and 2 </w:t>
      </w:r>
      <w:r w:rsidR="00F200DE">
        <w:rPr>
          <w:rFonts w:asciiTheme="minorHAnsi" w:hAnsiTheme="minorHAnsi" w:cstheme="minorHAnsi"/>
        </w:rPr>
        <w:t>is</w:t>
      </w:r>
      <w:r w:rsidRPr="005A1995">
        <w:rPr>
          <w:rFonts w:asciiTheme="minorHAnsi" w:hAnsiTheme="minorHAnsi" w:cstheme="minorHAnsi"/>
        </w:rPr>
        <w:t xml:space="preserve"> made through government systems.</w:t>
      </w:r>
    </w:p>
    <w:p w:rsidR="00396227" w:rsidRPr="005A1995" w:rsidRDefault="00396227" w:rsidP="005419F4">
      <w:pPr>
        <w:pStyle w:val="Heading2"/>
        <w:spacing w:before="360" w:after="240"/>
        <w:ind w:left="567" w:hanging="567"/>
        <w:rPr>
          <w:rFonts w:asciiTheme="minorHAnsi" w:hAnsiTheme="minorHAnsi"/>
          <w:b/>
          <w:sz w:val="32"/>
          <w:szCs w:val="22"/>
        </w:rPr>
      </w:pPr>
      <w:bookmarkStart w:id="13" w:name="_Toc372401477"/>
      <w:r w:rsidRPr="005A1995">
        <w:rPr>
          <w:rFonts w:asciiTheme="minorHAnsi" w:hAnsiTheme="minorHAnsi"/>
          <w:b/>
          <w:sz w:val="32"/>
          <w:szCs w:val="22"/>
        </w:rPr>
        <w:t xml:space="preserve">The Annual Sector </w:t>
      </w:r>
      <w:r w:rsidR="005250BF" w:rsidRPr="005A1995">
        <w:rPr>
          <w:rFonts w:asciiTheme="minorHAnsi" w:hAnsiTheme="minorHAnsi"/>
          <w:b/>
          <w:sz w:val="32"/>
          <w:szCs w:val="22"/>
        </w:rPr>
        <w:t>Financial</w:t>
      </w:r>
      <w:r w:rsidRPr="005A1995">
        <w:rPr>
          <w:rFonts w:asciiTheme="minorHAnsi" w:hAnsiTheme="minorHAnsi"/>
          <w:b/>
          <w:sz w:val="32"/>
          <w:szCs w:val="22"/>
        </w:rPr>
        <w:t xml:space="preserve"> Report</w:t>
      </w:r>
      <w:bookmarkEnd w:id="13"/>
    </w:p>
    <w:p w:rsidR="00396227" w:rsidRPr="005419F4" w:rsidRDefault="00396227" w:rsidP="00DB55DD">
      <w:pPr>
        <w:pStyle w:val="Heading3"/>
      </w:pPr>
      <w:bookmarkStart w:id="14" w:name="_Toc372401478"/>
      <w:r w:rsidRPr="005419F4">
        <w:t>Objective</w:t>
      </w:r>
      <w:bookmarkEnd w:id="14"/>
    </w:p>
    <w:p w:rsidR="00A110EB" w:rsidRPr="005A1995" w:rsidRDefault="00A110EB" w:rsidP="005A1995">
      <w:pPr>
        <w:spacing w:line="276" w:lineRule="auto"/>
        <w:jc w:val="both"/>
        <w:rPr>
          <w:rFonts w:asciiTheme="minorHAnsi" w:hAnsiTheme="minorHAnsi"/>
        </w:rPr>
      </w:pPr>
      <w:r w:rsidRPr="005A1995">
        <w:rPr>
          <w:rFonts w:asciiTheme="minorHAnsi" w:hAnsiTheme="minorHAnsi"/>
        </w:rPr>
        <w:t>The objectives of the report are:</w:t>
      </w:r>
    </w:p>
    <w:p w:rsidR="00A110EB" w:rsidRPr="005A1995" w:rsidRDefault="00A110EB" w:rsidP="005419F4">
      <w:pPr>
        <w:pStyle w:val="ListNumber"/>
        <w:numPr>
          <w:ilvl w:val="0"/>
          <w:numId w:val="14"/>
        </w:numPr>
        <w:tabs>
          <w:tab w:val="clear" w:pos="360"/>
          <w:tab w:val="num" w:pos="717"/>
        </w:tabs>
        <w:spacing w:after="0" w:line="276" w:lineRule="auto"/>
        <w:ind w:left="717"/>
        <w:jc w:val="both"/>
        <w:rPr>
          <w:rFonts w:asciiTheme="minorHAnsi" w:hAnsiTheme="minorHAnsi"/>
        </w:rPr>
      </w:pPr>
      <w:r w:rsidRPr="005A1995">
        <w:rPr>
          <w:rFonts w:asciiTheme="minorHAnsi" w:hAnsiTheme="minorHAnsi"/>
        </w:rPr>
        <w:t>To identify trends in the quantum and distribution of education funding in relation to national policy and school needs</w:t>
      </w:r>
      <w:r w:rsidR="00B9330C" w:rsidRPr="005A1995">
        <w:rPr>
          <w:rFonts w:asciiTheme="minorHAnsi" w:hAnsiTheme="minorHAnsi"/>
        </w:rPr>
        <w:t>.</w:t>
      </w:r>
    </w:p>
    <w:p w:rsidR="00FA13B5" w:rsidRPr="005A1995" w:rsidRDefault="00A110EB" w:rsidP="005419F4">
      <w:pPr>
        <w:pStyle w:val="ListNumber"/>
        <w:numPr>
          <w:ilvl w:val="0"/>
          <w:numId w:val="11"/>
        </w:numPr>
        <w:tabs>
          <w:tab w:val="clear" w:pos="360"/>
          <w:tab w:val="num" w:pos="717"/>
        </w:tabs>
        <w:spacing w:after="0" w:line="276" w:lineRule="auto"/>
        <w:ind w:left="714" w:hanging="357"/>
        <w:jc w:val="both"/>
        <w:rPr>
          <w:rFonts w:asciiTheme="minorHAnsi" w:hAnsiTheme="minorHAnsi"/>
        </w:rPr>
      </w:pPr>
      <w:r w:rsidRPr="005A1995">
        <w:rPr>
          <w:rFonts w:asciiTheme="minorHAnsi" w:hAnsiTheme="minorHAnsi"/>
        </w:rPr>
        <w:t xml:space="preserve">To monitor education sector and school resourcing addressing the key </w:t>
      </w:r>
      <w:r w:rsidR="00F200DE">
        <w:rPr>
          <w:rFonts w:asciiTheme="minorHAnsi" w:hAnsiTheme="minorHAnsi"/>
        </w:rPr>
        <w:t xml:space="preserve">MoEC </w:t>
      </w:r>
      <w:r w:rsidRPr="005A1995">
        <w:rPr>
          <w:rFonts w:asciiTheme="minorHAnsi" w:hAnsiTheme="minorHAnsi"/>
        </w:rPr>
        <w:t>RENSTRA</w:t>
      </w:r>
      <w:r w:rsidR="00F200DE">
        <w:rPr>
          <w:rFonts w:asciiTheme="minorHAnsi" w:hAnsiTheme="minorHAnsi"/>
        </w:rPr>
        <w:t xml:space="preserve"> (2010-14)</w:t>
      </w:r>
      <w:r w:rsidRPr="005A1995">
        <w:rPr>
          <w:rFonts w:asciiTheme="minorHAnsi" w:hAnsiTheme="minorHAnsi"/>
        </w:rPr>
        <w:t xml:space="preserve"> themes of access, quality improvement and improved accountability</w:t>
      </w:r>
      <w:r w:rsidR="00B9330C" w:rsidRPr="005A1995">
        <w:rPr>
          <w:rFonts w:asciiTheme="minorHAnsi" w:hAnsiTheme="minorHAnsi"/>
        </w:rPr>
        <w:t>.</w:t>
      </w:r>
    </w:p>
    <w:p w:rsidR="00A110EB" w:rsidRPr="005A1995" w:rsidRDefault="00FA13B5" w:rsidP="005419F4">
      <w:pPr>
        <w:pStyle w:val="ListNumber"/>
        <w:numPr>
          <w:ilvl w:val="0"/>
          <w:numId w:val="11"/>
        </w:numPr>
        <w:tabs>
          <w:tab w:val="clear" w:pos="360"/>
          <w:tab w:val="num" w:pos="717"/>
        </w:tabs>
        <w:spacing w:after="0" w:line="276" w:lineRule="auto"/>
        <w:ind w:left="714" w:hanging="357"/>
        <w:jc w:val="both"/>
        <w:rPr>
          <w:rFonts w:asciiTheme="minorHAnsi" w:hAnsiTheme="minorHAnsi"/>
        </w:rPr>
      </w:pPr>
      <w:r w:rsidRPr="005A1995">
        <w:rPr>
          <w:rFonts w:asciiTheme="minorHAnsi" w:hAnsiTheme="minorHAnsi"/>
        </w:rPr>
        <w:t>To provide a record of education financing in those districts directly benefiting from Components 1 and 2 of the Education Partnership</w:t>
      </w:r>
      <w:r w:rsidR="00B9330C" w:rsidRPr="005A1995">
        <w:rPr>
          <w:rFonts w:asciiTheme="minorHAnsi" w:hAnsiTheme="minorHAnsi"/>
        </w:rPr>
        <w:t>.</w:t>
      </w:r>
    </w:p>
    <w:p w:rsidR="00A110EB" w:rsidRPr="005A1995" w:rsidRDefault="00A110EB" w:rsidP="005419F4">
      <w:pPr>
        <w:pStyle w:val="ListNumber"/>
        <w:numPr>
          <w:ilvl w:val="0"/>
          <w:numId w:val="11"/>
        </w:numPr>
        <w:tabs>
          <w:tab w:val="clear" w:pos="360"/>
          <w:tab w:val="num" w:pos="717"/>
        </w:tabs>
        <w:spacing w:after="0" w:line="276" w:lineRule="auto"/>
        <w:ind w:left="714" w:hanging="357"/>
        <w:jc w:val="both"/>
        <w:rPr>
          <w:rFonts w:asciiTheme="minorHAnsi" w:hAnsiTheme="minorHAnsi"/>
        </w:rPr>
      </w:pPr>
      <w:r w:rsidRPr="005A1995">
        <w:rPr>
          <w:rFonts w:asciiTheme="minorHAnsi" w:hAnsiTheme="minorHAnsi"/>
        </w:rPr>
        <w:lastRenderedPageBreak/>
        <w:t>To inform GoA, GoI and other donors of the effectiveness and efficiency of current school funding mechanisms</w:t>
      </w:r>
      <w:r w:rsidR="00B9330C" w:rsidRPr="005A1995">
        <w:rPr>
          <w:rFonts w:asciiTheme="minorHAnsi" w:hAnsiTheme="minorHAnsi"/>
        </w:rPr>
        <w:t>.</w:t>
      </w:r>
      <w:r w:rsidRPr="005A1995">
        <w:rPr>
          <w:rFonts w:asciiTheme="minorHAnsi" w:hAnsiTheme="minorHAnsi"/>
        </w:rPr>
        <w:t xml:space="preserve"> </w:t>
      </w:r>
    </w:p>
    <w:p w:rsidR="00A110EB" w:rsidRPr="005A1995" w:rsidRDefault="00A110EB" w:rsidP="005419F4">
      <w:pPr>
        <w:pStyle w:val="ListNumber"/>
        <w:numPr>
          <w:ilvl w:val="0"/>
          <w:numId w:val="11"/>
        </w:numPr>
        <w:tabs>
          <w:tab w:val="clear" w:pos="360"/>
          <w:tab w:val="num" w:pos="717"/>
        </w:tabs>
        <w:spacing w:line="276" w:lineRule="auto"/>
        <w:ind w:left="714" w:hanging="357"/>
        <w:jc w:val="both"/>
        <w:rPr>
          <w:rFonts w:asciiTheme="minorHAnsi" w:hAnsiTheme="minorHAnsi"/>
        </w:rPr>
      </w:pPr>
      <w:r w:rsidRPr="005A1995">
        <w:rPr>
          <w:rFonts w:asciiTheme="minorHAnsi" w:hAnsiTheme="minorHAnsi"/>
        </w:rPr>
        <w:t>To support the capacity of GoI institutions to monitor and report on school financing</w:t>
      </w:r>
      <w:r w:rsidR="00B9330C" w:rsidRPr="005A1995">
        <w:rPr>
          <w:rFonts w:asciiTheme="minorHAnsi" w:hAnsiTheme="minorHAnsi"/>
        </w:rPr>
        <w:t>.</w:t>
      </w:r>
      <w:r w:rsidRPr="005A1995">
        <w:rPr>
          <w:rFonts w:asciiTheme="minorHAnsi" w:hAnsiTheme="minorHAnsi"/>
        </w:rPr>
        <w:t xml:space="preserve"> </w:t>
      </w:r>
    </w:p>
    <w:p w:rsidR="00396227" w:rsidRPr="005A1995" w:rsidRDefault="00A110EB" w:rsidP="00DB55DD">
      <w:pPr>
        <w:pStyle w:val="Heading3"/>
      </w:pPr>
      <w:r w:rsidRPr="005A1995">
        <w:t>Scope of Analysis</w:t>
      </w:r>
    </w:p>
    <w:p w:rsidR="005250BF" w:rsidRPr="005419F4" w:rsidRDefault="005250BF" w:rsidP="00DB55DD">
      <w:pPr>
        <w:spacing w:before="240" w:line="276" w:lineRule="auto"/>
        <w:rPr>
          <w:rStyle w:val="IntenseEmphasis"/>
          <w:rFonts w:asciiTheme="minorHAnsi" w:hAnsiTheme="minorHAnsi" w:cstheme="minorHAnsi"/>
          <w:b w:val="0"/>
          <w:i w:val="0"/>
          <w:iCs w:val="0"/>
          <w:color w:val="003880"/>
          <w:sz w:val="24"/>
          <w:szCs w:val="28"/>
        </w:rPr>
      </w:pPr>
      <w:bookmarkStart w:id="15" w:name="_Toc372401481"/>
      <w:r w:rsidRPr="005419F4">
        <w:rPr>
          <w:rStyle w:val="IntenseEmphasis"/>
          <w:rFonts w:asciiTheme="minorHAnsi" w:hAnsiTheme="minorHAnsi" w:cstheme="minorHAnsi"/>
          <w:b w:val="0"/>
          <w:i w:val="0"/>
          <w:iCs w:val="0"/>
          <w:color w:val="003880"/>
          <w:sz w:val="24"/>
          <w:szCs w:val="28"/>
        </w:rPr>
        <w:t>District Level Disaggregation</w:t>
      </w:r>
    </w:p>
    <w:p w:rsidR="005250BF" w:rsidRPr="005A1995" w:rsidRDefault="00F42AE7" w:rsidP="005A1995">
      <w:pPr>
        <w:spacing w:line="276" w:lineRule="auto"/>
        <w:jc w:val="both"/>
        <w:rPr>
          <w:rFonts w:asciiTheme="minorHAnsi" w:hAnsiTheme="minorHAnsi"/>
        </w:rPr>
      </w:pPr>
      <w:bookmarkStart w:id="16" w:name="OLE_LINK2"/>
      <w:r w:rsidRPr="005A1995">
        <w:rPr>
          <w:rFonts w:asciiTheme="minorHAnsi" w:hAnsiTheme="minorHAnsi"/>
        </w:rPr>
        <w:t>District</w:t>
      </w:r>
      <w:r w:rsidR="005250BF" w:rsidRPr="005A1995">
        <w:rPr>
          <w:rFonts w:asciiTheme="minorHAnsi" w:hAnsiTheme="minorHAnsi"/>
        </w:rPr>
        <w:t xml:space="preserve"> government</w:t>
      </w:r>
      <w:r w:rsidRPr="005A1995">
        <w:rPr>
          <w:rFonts w:asciiTheme="minorHAnsi" w:hAnsiTheme="minorHAnsi"/>
        </w:rPr>
        <w:t xml:space="preserve">s have </w:t>
      </w:r>
      <w:r w:rsidR="005250BF" w:rsidRPr="005A1995">
        <w:rPr>
          <w:rFonts w:asciiTheme="minorHAnsi" w:hAnsiTheme="minorHAnsi"/>
        </w:rPr>
        <w:t xml:space="preserve">an increasing importance in education provision under the GoI </w:t>
      </w:r>
      <w:r w:rsidR="004971BD" w:rsidRPr="005A1995">
        <w:rPr>
          <w:rFonts w:asciiTheme="minorHAnsi" w:hAnsiTheme="minorHAnsi"/>
        </w:rPr>
        <w:t>decentralization</w:t>
      </w:r>
      <w:r w:rsidR="005250BF" w:rsidRPr="005A1995">
        <w:rPr>
          <w:rFonts w:asciiTheme="minorHAnsi" w:hAnsiTheme="minorHAnsi"/>
        </w:rPr>
        <w:t xml:space="preserve"> policy. Financial analysis of education allocations therefore needs to have a district level disaggregation to assess the variability in fiscal capacity and actual allocations for education resourcing.</w:t>
      </w:r>
      <w:r w:rsidR="004971BD">
        <w:rPr>
          <w:rFonts w:asciiTheme="minorHAnsi" w:hAnsiTheme="minorHAnsi"/>
        </w:rPr>
        <w:t xml:space="preserve"> </w:t>
      </w:r>
    </w:p>
    <w:bookmarkEnd w:id="16"/>
    <w:p w:rsidR="005250BF" w:rsidRPr="005419F4" w:rsidRDefault="005250BF" w:rsidP="005419F4">
      <w:pPr>
        <w:spacing w:before="240" w:line="276" w:lineRule="auto"/>
        <w:rPr>
          <w:rStyle w:val="IntenseEmphasis"/>
          <w:rFonts w:asciiTheme="minorHAnsi" w:hAnsiTheme="minorHAnsi" w:cstheme="minorHAnsi"/>
          <w:b w:val="0"/>
          <w:i w:val="0"/>
          <w:iCs w:val="0"/>
          <w:color w:val="003880"/>
          <w:sz w:val="24"/>
          <w:szCs w:val="28"/>
        </w:rPr>
      </w:pPr>
      <w:r w:rsidRPr="005419F4">
        <w:rPr>
          <w:rStyle w:val="IntenseEmphasis"/>
          <w:rFonts w:asciiTheme="minorHAnsi" w:hAnsiTheme="minorHAnsi" w:cstheme="minorHAnsi"/>
          <w:b w:val="0"/>
          <w:i w:val="0"/>
          <w:iCs w:val="0"/>
          <w:color w:val="003880"/>
          <w:sz w:val="24"/>
          <w:szCs w:val="28"/>
        </w:rPr>
        <w:t>Key Performance Indicators</w:t>
      </w:r>
    </w:p>
    <w:p w:rsidR="005250BF" w:rsidRPr="005A1995" w:rsidRDefault="005250BF" w:rsidP="005A1995">
      <w:pPr>
        <w:spacing w:line="276" w:lineRule="auto"/>
        <w:jc w:val="both"/>
        <w:rPr>
          <w:rFonts w:asciiTheme="minorHAnsi" w:hAnsiTheme="minorHAnsi"/>
        </w:rPr>
      </w:pPr>
      <w:r w:rsidRPr="005A1995">
        <w:rPr>
          <w:rFonts w:asciiTheme="minorHAnsi" w:hAnsiTheme="minorHAnsi"/>
        </w:rPr>
        <w:t xml:space="preserve">The Key Performance Indicators (KPI) focus on </w:t>
      </w:r>
      <w:r w:rsidR="009E0950">
        <w:rPr>
          <w:rFonts w:asciiTheme="minorHAnsi" w:hAnsiTheme="minorHAnsi"/>
        </w:rPr>
        <w:t>MoEC’s</w:t>
      </w:r>
      <w:r w:rsidR="009E0950" w:rsidRPr="005A1995">
        <w:rPr>
          <w:rFonts w:asciiTheme="minorHAnsi" w:hAnsiTheme="minorHAnsi"/>
        </w:rPr>
        <w:t xml:space="preserve"> </w:t>
      </w:r>
      <w:r w:rsidRPr="005A1995">
        <w:rPr>
          <w:rFonts w:asciiTheme="minorHAnsi" w:hAnsiTheme="minorHAnsi"/>
        </w:rPr>
        <w:t>three main RENSTRA</w:t>
      </w:r>
      <w:r w:rsidR="009E0950">
        <w:rPr>
          <w:rFonts w:asciiTheme="minorHAnsi" w:hAnsiTheme="minorHAnsi"/>
        </w:rPr>
        <w:t xml:space="preserve"> (2010-14)</w:t>
      </w:r>
      <w:r w:rsidRPr="005A1995">
        <w:rPr>
          <w:rFonts w:asciiTheme="minorHAnsi" w:hAnsiTheme="minorHAnsi"/>
        </w:rPr>
        <w:t xml:space="preserve"> themes</w:t>
      </w:r>
      <w:r w:rsidR="00A35276">
        <w:rPr>
          <w:rFonts w:asciiTheme="minorHAnsi" w:hAnsiTheme="minorHAnsi"/>
        </w:rPr>
        <w:t>,</w:t>
      </w:r>
      <w:r w:rsidRPr="005A1995">
        <w:rPr>
          <w:rFonts w:asciiTheme="minorHAnsi" w:hAnsiTheme="minorHAnsi"/>
        </w:rPr>
        <w:t xml:space="preserve"> and </w:t>
      </w:r>
      <w:r w:rsidR="009E0950">
        <w:rPr>
          <w:rFonts w:asciiTheme="minorHAnsi" w:hAnsiTheme="minorHAnsi"/>
        </w:rPr>
        <w:t>GoI’s</w:t>
      </w:r>
      <w:r w:rsidRPr="005A1995">
        <w:rPr>
          <w:rFonts w:asciiTheme="minorHAnsi" w:hAnsiTheme="minorHAnsi"/>
        </w:rPr>
        <w:t xml:space="preserve"> financial commitment to education. </w:t>
      </w:r>
      <w:r w:rsidR="00BC038E" w:rsidRPr="005A1995">
        <w:rPr>
          <w:rFonts w:asciiTheme="minorHAnsi" w:hAnsiTheme="minorHAnsi"/>
        </w:rPr>
        <w:t>These indicators have been chosen base</w:t>
      </w:r>
      <w:r w:rsidR="00F42AE7" w:rsidRPr="005A1995">
        <w:rPr>
          <w:rFonts w:asciiTheme="minorHAnsi" w:hAnsiTheme="minorHAnsi"/>
        </w:rPr>
        <w:t>d</w:t>
      </w:r>
      <w:r w:rsidR="00BC038E" w:rsidRPr="005A1995">
        <w:rPr>
          <w:rFonts w:asciiTheme="minorHAnsi" w:hAnsiTheme="minorHAnsi"/>
        </w:rPr>
        <w:t xml:space="preserve"> on the available data so as to enable a quick snapshot to be presented without need for additional surveys and interviews.</w:t>
      </w:r>
    </w:p>
    <w:p w:rsidR="005250BF" w:rsidRPr="005A1995" w:rsidRDefault="0003457B" w:rsidP="005A1995">
      <w:pPr>
        <w:spacing w:line="276" w:lineRule="auto"/>
        <w:jc w:val="both"/>
        <w:rPr>
          <w:rFonts w:asciiTheme="minorHAnsi" w:hAnsiTheme="minorHAnsi"/>
        </w:rPr>
      </w:pPr>
      <w:r>
        <w:rPr>
          <w:rFonts w:asciiTheme="minorHAnsi" w:hAnsiTheme="minorHAnsi"/>
        </w:rPr>
        <w:t>Three</w:t>
      </w:r>
      <w:r w:rsidRPr="005A1995">
        <w:rPr>
          <w:rFonts w:asciiTheme="minorHAnsi" w:hAnsiTheme="minorHAnsi"/>
        </w:rPr>
        <w:t xml:space="preserve"> </w:t>
      </w:r>
      <w:r w:rsidR="005250BF" w:rsidRPr="005A1995">
        <w:rPr>
          <w:rFonts w:asciiTheme="minorHAnsi" w:hAnsiTheme="minorHAnsi"/>
        </w:rPr>
        <w:t>Supplementary Performance Indicator</w:t>
      </w:r>
      <w:r>
        <w:rPr>
          <w:rFonts w:asciiTheme="minorHAnsi" w:hAnsiTheme="minorHAnsi"/>
        </w:rPr>
        <w:t>s</w:t>
      </w:r>
      <w:r w:rsidR="005250BF" w:rsidRPr="005A1995">
        <w:rPr>
          <w:rFonts w:asciiTheme="minorHAnsi" w:hAnsiTheme="minorHAnsi"/>
        </w:rPr>
        <w:t xml:space="preserve"> (SPI) sit below the KPI</w:t>
      </w:r>
      <w:r w:rsidR="009E0950">
        <w:rPr>
          <w:rFonts w:asciiTheme="minorHAnsi" w:hAnsiTheme="minorHAnsi"/>
        </w:rPr>
        <w:t>s</w:t>
      </w:r>
      <w:r w:rsidR="005250BF" w:rsidRPr="005A1995">
        <w:rPr>
          <w:rFonts w:asciiTheme="minorHAnsi" w:hAnsiTheme="minorHAnsi"/>
        </w:rPr>
        <w:t>. The SPI</w:t>
      </w:r>
      <w:r>
        <w:rPr>
          <w:rFonts w:asciiTheme="minorHAnsi" w:hAnsiTheme="minorHAnsi"/>
        </w:rPr>
        <w:t>s</w:t>
      </w:r>
      <w:r w:rsidR="005250BF" w:rsidRPr="005A1995">
        <w:rPr>
          <w:rFonts w:asciiTheme="minorHAnsi" w:hAnsiTheme="minorHAnsi"/>
        </w:rPr>
        <w:t xml:space="preserve"> offer a more nuanced perspective across the three RENSTRA themes by assessing education expenditure at a district level. </w:t>
      </w:r>
    </w:p>
    <w:p w:rsidR="005250BF" w:rsidRPr="005419F4" w:rsidRDefault="005250BF" w:rsidP="005419F4">
      <w:pPr>
        <w:spacing w:before="240" w:line="276" w:lineRule="auto"/>
        <w:rPr>
          <w:rFonts w:asciiTheme="minorHAnsi" w:hAnsiTheme="minorHAnsi" w:cstheme="minorHAnsi"/>
          <w:b/>
          <w:i/>
          <w:iCs/>
          <w:color w:val="003880"/>
          <w:sz w:val="24"/>
          <w:szCs w:val="28"/>
        </w:rPr>
      </w:pPr>
      <w:r w:rsidRPr="005419F4">
        <w:rPr>
          <w:rStyle w:val="IntenseEmphasis"/>
          <w:rFonts w:asciiTheme="minorHAnsi" w:hAnsiTheme="minorHAnsi" w:cstheme="minorHAnsi"/>
          <w:b w:val="0"/>
          <w:i w:val="0"/>
          <w:iCs w:val="0"/>
          <w:color w:val="003880"/>
          <w:sz w:val="24"/>
          <w:szCs w:val="28"/>
        </w:rPr>
        <w:t>Lead and Lag Indicators</w:t>
      </w:r>
    </w:p>
    <w:p w:rsidR="005250BF" w:rsidRPr="005A1995" w:rsidRDefault="005250BF" w:rsidP="005A1995">
      <w:pPr>
        <w:spacing w:line="276" w:lineRule="auto"/>
        <w:jc w:val="both"/>
        <w:rPr>
          <w:rFonts w:asciiTheme="minorHAnsi" w:hAnsiTheme="minorHAnsi"/>
        </w:rPr>
      </w:pPr>
      <w:r w:rsidRPr="005A1995">
        <w:rPr>
          <w:rFonts w:asciiTheme="minorHAnsi" w:hAnsiTheme="minorHAnsi"/>
        </w:rPr>
        <w:t>Each of the indicators are described as being either a lead or lag indicator</w:t>
      </w:r>
      <w:r w:rsidRPr="005A1995">
        <w:rPr>
          <w:rStyle w:val="FootnoteReference"/>
          <w:rFonts w:asciiTheme="minorHAnsi" w:hAnsiTheme="minorHAnsi"/>
        </w:rPr>
        <w:footnoteReference w:id="1"/>
      </w:r>
      <w:r w:rsidRPr="005A1995">
        <w:rPr>
          <w:rFonts w:asciiTheme="minorHAnsi" w:hAnsiTheme="minorHAnsi"/>
        </w:rPr>
        <w:t xml:space="preserve">. </w:t>
      </w:r>
    </w:p>
    <w:p w:rsidR="005250BF" w:rsidRPr="005A1995" w:rsidRDefault="005250BF" w:rsidP="005A1995">
      <w:pPr>
        <w:spacing w:line="276" w:lineRule="auto"/>
        <w:jc w:val="both"/>
        <w:rPr>
          <w:rFonts w:asciiTheme="minorHAnsi" w:hAnsiTheme="minorHAnsi"/>
        </w:rPr>
      </w:pPr>
      <w:r w:rsidRPr="005A1995">
        <w:rPr>
          <w:rFonts w:asciiTheme="minorHAnsi" w:hAnsiTheme="minorHAnsi"/>
        </w:rPr>
        <w:t xml:space="preserve">Lag indicators are summative in nature. They describe the current state of progress toward an expected outcome. For example, a lag indicator measuring government financial commitment towards education is the percentage of total public expenditure allocated towards education. </w:t>
      </w:r>
    </w:p>
    <w:p w:rsidR="005250BF" w:rsidRPr="005A1995" w:rsidRDefault="005250BF" w:rsidP="005A1995">
      <w:pPr>
        <w:spacing w:line="276" w:lineRule="auto"/>
        <w:jc w:val="both"/>
        <w:rPr>
          <w:rFonts w:asciiTheme="minorHAnsi" w:hAnsiTheme="minorHAnsi"/>
        </w:rPr>
      </w:pPr>
      <w:r w:rsidRPr="005A1995">
        <w:rPr>
          <w:rFonts w:asciiTheme="minorHAnsi" w:hAnsiTheme="minorHAnsi"/>
        </w:rPr>
        <w:t>Lead indicators are those which capture the rate of movement towards an outcome or have a clear causal relationship to a desired outcome. For example, a lead indicator of government commitment towards financial commitment towards education might be annual percentage real increase in the education share of total public expenditure.</w:t>
      </w:r>
    </w:p>
    <w:p w:rsidR="005250BF" w:rsidRPr="005419F4" w:rsidRDefault="005250BF" w:rsidP="005419F4">
      <w:pPr>
        <w:spacing w:before="240" w:line="276" w:lineRule="auto"/>
        <w:rPr>
          <w:rStyle w:val="IntenseEmphasis"/>
          <w:rFonts w:asciiTheme="minorHAnsi" w:hAnsiTheme="minorHAnsi" w:cstheme="minorHAnsi"/>
          <w:b w:val="0"/>
          <w:i w:val="0"/>
          <w:iCs w:val="0"/>
          <w:color w:val="003880"/>
          <w:sz w:val="24"/>
          <w:szCs w:val="28"/>
        </w:rPr>
      </w:pPr>
      <w:r w:rsidRPr="005419F4">
        <w:rPr>
          <w:rStyle w:val="IntenseEmphasis"/>
          <w:rFonts w:asciiTheme="minorHAnsi" w:hAnsiTheme="minorHAnsi" w:cstheme="minorHAnsi"/>
          <w:b w:val="0"/>
          <w:i w:val="0"/>
          <w:iCs w:val="0"/>
          <w:color w:val="003880"/>
          <w:sz w:val="24"/>
          <w:szCs w:val="28"/>
        </w:rPr>
        <w:t>Selection of Indicators</w:t>
      </w:r>
    </w:p>
    <w:p w:rsidR="005250BF" w:rsidRPr="005A1995" w:rsidRDefault="005250BF" w:rsidP="005A1995">
      <w:pPr>
        <w:spacing w:line="276" w:lineRule="auto"/>
        <w:jc w:val="both"/>
        <w:rPr>
          <w:rFonts w:asciiTheme="minorHAnsi" w:hAnsiTheme="minorHAnsi"/>
        </w:rPr>
      </w:pPr>
      <w:r w:rsidRPr="005A1995">
        <w:rPr>
          <w:rFonts w:asciiTheme="minorHAnsi" w:hAnsiTheme="minorHAnsi"/>
        </w:rPr>
        <w:t xml:space="preserve">The indicators have been drawn from a number of sources. One group of </w:t>
      </w:r>
      <w:r w:rsidR="009E0950">
        <w:rPr>
          <w:rFonts w:asciiTheme="minorHAnsi" w:hAnsiTheme="minorHAnsi"/>
        </w:rPr>
        <w:t>KPIs</w:t>
      </w:r>
      <w:r w:rsidRPr="005A1995">
        <w:rPr>
          <w:rFonts w:asciiTheme="minorHAnsi" w:hAnsiTheme="minorHAnsi"/>
        </w:rPr>
        <w:t xml:space="preserve"> is used by GoI as part of its EFA reporting obligations. Another set of indicators focuses mainly on the district level of analysis. These have been selected to be of use for the Indonesian government and the Education Partnership in promoting development of the basic education sector across Indonesia. These indicators can be of use at the district level for planning and budgeting purposes. </w:t>
      </w:r>
    </w:p>
    <w:p w:rsidR="005250BF" w:rsidRPr="005419F4" w:rsidRDefault="0061189C" w:rsidP="005419F4">
      <w:pPr>
        <w:pStyle w:val="Heading2"/>
        <w:spacing w:before="360" w:after="240"/>
        <w:ind w:left="567" w:hanging="567"/>
        <w:rPr>
          <w:rFonts w:asciiTheme="minorHAnsi" w:hAnsiTheme="minorHAnsi"/>
          <w:b/>
          <w:sz w:val="32"/>
          <w:szCs w:val="22"/>
        </w:rPr>
      </w:pPr>
      <w:r w:rsidRPr="005419F4">
        <w:rPr>
          <w:rFonts w:asciiTheme="minorHAnsi" w:hAnsiTheme="minorHAnsi"/>
          <w:b/>
          <w:sz w:val="32"/>
          <w:szCs w:val="22"/>
        </w:rPr>
        <w:lastRenderedPageBreak/>
        <w:t>The Evidence Base</w:t>
      </w:r>
    </w:p>
    <w:p w:rsidR="005250BF" w:rsidRPr="005A1995" w:rsidRDefault="005250BF" w:rsidP="00DB55DD">
      <w:pPr>
        <w:pStyle w:val="Heading3"/>
      </w:pPr>
      <w:r w:rsidRPr="005A1995">
        <w:t>Data Sources and Collections: Financial Data</w:t>
      </w:r>
    </w:p>
    <w:p w:rsidR="00A110EB" w:rsidRPr="005419F4" w:rsidRDefault="005250BF" w:rsidP="005419F4">
      <w:pPr>
        <w:spacing w:before="240" w:line="276" w:lineRule="auto"/>
        <w:rPr>
          <w:rStyle w:val="IntenseEmphasis"/>
          <w:rFonts w:asciiTheme="minorHAnsi" w:hAnsiTheme="minorHAnsi" w:cstheme="minorHAnsi"/>
          <w:b w:val="0"/>
          <w:i w:val="0"/>
          <w:iCs w:val="0"/>
          <w:color w:val="003880"/>
          <w:sz w:val="24"/>
          <w:szCs w:val="28"/>
        </w:rPr>
      </w:pPr>
      <w:r w:rsidRPr="005419F4">
        <w:rPr>
          <w:rStyle w:val="IntenseEmphasis"/>
          <w:rFonts w:asciiTheme="minorHAnsi" w:hAnsiTheme="minorHAnsi" w:cstheme="minorHAnsi"/>
          <w:b w:val="0"/>
          <w:i w:val="0"/>
          <w:iCs w:val="0"/>
          <w:color w:val="003880"/>
          <w:sz w:val="24"/>
          <w:szCs w:val="28"/>
        </w:rPr>
        <w:t xml:space="preserve">National </w:t>
      </w:r>
      <w:r w:rsidR="005419F4" w:rsidRPr="005419F4">
        <w:rPr>
          <w:rStyle w:val="IntenseEmphasis"/>
          <w:rFonts w:asciiTheme="minorHAnsi" w:hAnsiTheme="minorHAnsi" w:cstheme="minorHAnsi"/>
          <w:b w:val="0"/>
          <w:i w:val="0"/>
          <w:iCs w:val="0"/>
          <w:color w:val="003880"/>
          <w:sz w:val="24"/>
          <w:szCs w:val="28"/>
        </w:rPr>
        <w:t>Level Financial Data</w:t>
      </w:r>
    </w:p>
    <w:p w:rsidR="005250BF" w:rsidRPr="005A1995" w:rsidRDefault="005250BF" w:rsidP="005A1995">
      <w:pPr>
        <w:spacing w:line="276" w:lineRule="auto"/>
        <w:jc w:val="both"/>
        <w:rPr>
          <w:rFonts w:asciiTheme="minorHAnsi" w:hAnsiTheme="minorHAnsi"/>
        </w:rPr>
      </w:pPr>
      <w:r w:rsidRPr="005A1995">
        <w:rPr>
          <w:rFonts w:asciiTheme="minorHAnsi" w:hAnsiTheme="minorHAnsi"/>
        </w:rPr>
        <w:t xml:space="preserve">This report has </w:t>
      </w:r>
      <w:r w:rsidR="00231C98">
        <w:rPr>
          <w:rFonts w:asciiTheme="minorHAnsi" w:hAnsiTheme="minorHAnsi"/>
        </w:rPr>
        <w:t xml:space="preserve">used the same historical data for the period 2001-2008 that was presented in the 2012 report. </w:t>
      </w:r>
      <w:r w:rsidRPr="005A1995">
        <w:rPr>
          <w:rFonts w:asciiTheme="minorHAnsi" w:hAnsiTheme="minorHAnsi"/>
        </w:rPr>
        <w:t>Detai</w:t>
      </w:r>
      <w:r w:rsidR="00AE0152">
        <w:rPr>
          <w:rFonts w:asciiTheme="minorHAnsi" w:hAnsiTheme="minorHAnsi"/>
        </w:rPr>
        <w:t>led financial data for 2009-2013</w:t>
      </w:r>
      <w:r w:rsidRPr="005A1995">
        <w:rPr>
          <w:rFonts w:asciiTheme="minorHAnsi" w:hAnsiTheme="minorHAnsi"/>
        </w:rPr>
        <w:t xml:space="preserve"> </w:t>
      </w:r>
      <w:r w:rsidR="009A7158">
        <w:rPr>
          <w:rFonts w:asciiTheme="minorHAnsi" w:hAnsiTheme="minorHAnsi"/>
        </w:rPr>
        <w:t>has</w:t>
      </w:r>
      <w:r w:rsidRPr="005A1995">
        <w:rPr>
          <w:rFonts w:asciiTheme="minorHAnsi" w:hAnsiTheme="minorHAnsi"/>
        </w:rPr>
        <w:t xml:space="preserve"> been collected from Financial Note and Indonesian</w:t>
      </w:r>
      <w:r w:rsidR="00AE0152">
        <w:rPr>
          <w:rFonts w:asciiTheme="minorHAnsi" w:hAnsiTheme="minorHAnsi"/>
        </w:rPr>
        <w:t xml:space="preserve"> Revised Budget Papers 2010-2013</w:t>
      </w:r>
      <w:r w:rsidR="00231C98">
        <w:rPr>
          <w:rFonts w:asciiTheme="minorHAnsi" w:hAnsiTheme="minorHAnsi"/>
        </w:rPr>
        <w:t>, as well as price inflation figures from the BPS (Indonesia Bureau of Statistics). There have been some minor changes in figures from the earlier reports but these have not produced any material changes in the findings.</w:t>
      </w:r>
      <w:r w:rsidRPr="005A1995">
        <w:rPr>
          <w:rFonts w:asciiTheme="minorHAnsi" w:hAnsiTheme="minorHAnsi"/>
        </w:rPr>
        <w:t xml:space="preserve">. These documents are published by the Ministry of Finance. </w:t>
      </w:r>
    </w:p>
    <w:p w:rsidR="00A110EB" w:rsidRPr="005419F4" w:rsidRDefault="005250BF" w:rsidP="005419F4">
      <w:pPr>
        <w:spacing w:before="240" w:line="276" w:lineRule="auto"/>
        <w:rPr>
          <w:rStyle w:val="IntenseEmphasis"/>
          <w:rFonts w:asciiTheme="minorHAnsi" w:hAnsiTheme="minorHAnsi" w:cstheme="minorHAnsi"/>
          <w:b w:val="0"/>
          <w:i w:val="0"/>
          <w:iCs w:val="0"/>
          <w:color w:val="003880"/>
          <w:sz w:val="24"/>
          <w:szCs w:val="28"/>
        </w:rPr>
      </w:pPr>
      <w:r w:rsidRPr="005419F4">
        <w:rPr>
          <w:rStyle w:val="IntenseEmphasis"/>
          <w:rFonts w:asciiTheme="minorHAnsi" w:hAnsiTheme="minorHAnsi" w:cstheme="minorHAnsi"/>
          <w:b w:val="0"/>
          <w:i w:val="0"/>
          <w:iCs w:val="0"/>
          <w:color w:val="003880"/>
          <w:sz w:val="24"/>
          <w:szCs w:val="28"/>
        </w:rPr>
        <w:t xml:space="preserve">District </w:t>
      </w:r>
      <w:r w:rsidR="005419F4" w:rsidRPr="005419F4">
        <w:rPr>
          <w:rStyle w:val="IntenseEmphasis"/>
          <w:rFonts w:asciiTheme="minorHAnsi" w:hAnsiTheme="minorHAnsi" w:cstheme="minorHAnsi"/>
          <w:b w:val="0"/>
          <w:i w:val="0"/>
          <w:iCs w:val="0"/>
          <w:color w:val="003880"/>
          <w:sz w:val="24"/>
          <w:szCs w:val="28"/>
        </w:rPr>
        <w:t xml:space="preserve">Level Financial </w:t>
      </w:r>
    </w:p>
    <w:p w:rsidR="005250BF" w:rsidRPr="005A1995" w:rsidRDefault="00A110EB" w:rsidP="005A1995">
      <w:pPr>
        <w:spacing w:line="276" w:lineRule="auto"/>
        <w:jc w:val="both"/>
        <w:rPr>
          <w:rFonts w:asciiTheme="minorHAnsi" w:hAnsiTheme="minorHAnsi"/>
        </w:rPr>
      </w:pPr>
      <w:r w:rsidRPr="005A1995">
        <w:rPr>
          <w:rFonts w:asciiTheme="minorHAnsi" w:hAnsiTheme="minorHAnsi"/>
        </w:rPr>
        <w:t xml:space="preserve">District level financial </w:t>
      </w:r>
      <w:r w:rsidR="005250BF" w:rsidRPr="005A1995">
        <w:rPr>
          <w:rFonts w:asciiTheme="minorHAnsi" w:hAnsiTheme="minorHAnsi"/>
        </w:rPr>
        <w:t>data ha</w:t>
      </w:r>
      <w:r w:rsidRPr="005A1995">
        <w:rPr>
          <w:rFonts w:asciiTheme="minorHAnsi" w:hAnsiTheme="minorHAnsi"/>
        </w:rPr>
        <w:t>ve</w:t>
      </w:r>
      <w:r w:rsidR="005250BF" w:rsidRPr="005A1995">
        <w:rPr>
          <w:rFonts w:asciiTheme="minorHAnsi" w:hAnsiTheme="minorHAnsi"/>
        </w:rPr>
        <w:t xml:space="preserve"> been collected from the Ministry of Finance (MoF) Regional Financial Information System (SIKD). For district financial data for the years 2006-2007 the author worked with the Officers of the SIKD section to be given access to the available SIKD records. The SIKD collects in hard copy the budget and actual expenditures of all districts and provinces. A painstaking process of manually sorting through the paper financial records of all districts and provinces was undertaken. </w:t>
      </w:r>
    </w:p>
    <w:p w:rsidR="005250BF" w:rsidRPr="005A1995" w:rsidRDefault="005250BF" w:rsidP="005A1995">
      <w:pPr>
        <w:spacing w:line="276" w:lineRule="auto"/>
        <w:jc w:val="both"/>
        <w:rPr>
          <w:rFonts w:asciiTheme="minorHAnsi" w:hAnsiTheme="minorHAnsi"/>
        </w:rPr>
      </w:pPr>
      <w:r w:rsidRPr="005A1995">
        <w:rPr>
          <w:rFonts w:asciiTheme="minorHAnsi" w:hAnsiTheme="minorHAnsi"/>
        </w:rPr>
        <w:t>From 2008 onwards it has been possible to access the electronic records of district budgets submitted to the SIKD. Near complete financial records for all districts and provinces were obtained for 2007 and for approximately 78% of all districts in 2006.</w:t>
      </w:r>
      <w:r w:rsidR="004971BD">
        <w:rPr>
          <w:rFonts w:asciiTheme="minorHAnsi" w:hAnsiTheme="minorHAnsi"/>
        </w:rPr>
        <w:t xml:space="preserve"> </w:t>
      </w:r>
      <w:r w:rsidRPr="005A1995">
        <w:rPr>
          <w:rFonts w:asciiTheme="minorHAnsi" w:hAnsiTheme="minorHAnsi"/>
        </w:rPr>
        <w:t xml:space="preserve">Data collection </w:t>
      </w:r>
      <w:r w:rsidR="007168AC" w:rsidRPr="005A1995">
        <w:rPr>
          <w:rFonts w:asciiTheme="minorHAnsi" w:hAnsiTheme="minorHAnsi"/>
        </w:rPr>
        <w:t>from 2008</w:t>
      </w:r>
      <w:r w:rsidR="00BC038E" w:rsidRPr="005A1995">
        <w:rPr>
          <w:rFonts w:asciiTheme="minorHAnsi" w:hAnsiTheme="minorHAnsi"/>
        </w:rPr>
        <w:t xml:space="preserve"> onwards</w:t>
      </w:r>
      <w:r w:rsidR="007168AC" w:rsidRPr="005A1995">
        <w:rPr>
          <w:rFonts w:asciiTheme="minorHAnsi" w:hAnsiTheme="minorHAnsi"/>
        </w:rPr>
        <w:t xml:space="preserve"> </w:t>
      </w:r>
      <w:r w:rsidRPr="005A1995">
        <w:rPr>
          <w:rFonts w:asciiTheme="minorHAnsi" w:hAnsiTheme="minorHAnsi"/>
        </w:rPr>
        <w:t xml:space="preserve">has been direct from the electronic records within the SIKD section of the MoF. </w:t>
      </w:r>
    </w:p>
    <w:p w:rsidR="005250BF" w:rsidRPr="005A1995" w:rsidRDefault="005250BF" w:rsidP="00DB55DD">
      <w:pPr>
        <w:pStyle w:val="Heading3"/>
      </w:pPr>
      <w:r w:rsidRPr="005A1995">
        <w:t>Data Sources and Collections: Non-Financial Data</w:t>
      </w:r>
    </w:p>
    <w:p w:rsidR="00A110EB" w:rsidRPr="005419F4" w:rsidRDefault="00A110EB" w:rsidP="00402A11">
      <w:pPr>
        <w:spacing w:before="240" w:line="276" w:lineRule="auto"/>
        <w:rPr>
          <w:rStyle w:val="IntenseEmphasis"/>
          <w:rFonts w:asciiTheme="minorHAnsi" w:hAnsiTheme="minorHAnsi" w:cstheme="minorHAnsi"/>
          <w:b w:val="0"/>
          <w:i w:val="0"/>
          <w:iCs w:val="0"/>
          <w:color w:val="003880"/>
          <w:sz w:val="24"/>
          <w:szCs w:val="28"/>
        </w:rPr>
      </w:pPr>
      <w:r w:rsidRPr="005419F4">
        <w:rPr>
          <w:rStyle w:val="IntenseEmphasis"/>
          <w:rFonts w:asciiTheme="minorHAnsi" w:hAnsiTheme="minorHAnsi" w:cstheme="minorHAnsi"/>
          <w:b w:val="0"/>
          <w:i w:val="0"/>
          <w:iCs w:val="0"/>
          <w:color w:val="003880"/>
          <w:sz w:val="24"/>
          <w:szCs w:val="28"/>
        </w:rPr>
        <w:t>Education</w:t>
      </w:r>
      <w:r w:rsidR="005250BF" w:rsidRPr="005419F4">
        <w:rPr>
          <w:rStyle w:val="IntenseEmphasis"/>
          <w:rFonts w:asciiTheme="minorHAnsi" w:hAnsiTheme="minorHAnsi" w:cstheme="minorHAnsi"/>
          <w:b w:val="0"/>
          <w:i w:val="0"/>
          <w:iCs w:val="0"/>
          <w:color w:val="003880"/>
          <w:sz w:val="24"/>
          <w:szCs w:val="28"/>
        </w:rPr>
        <w:t xml:space="preserve"> </w:t>
      </w:r>
    </w:p>
    <w:p w:rsidR="005250BF" w:rsidRPr="005A1995" w:rsidRDefault="005250BF" w:rsidP="005A1995">
      <w:pPr>
        <w:spacing w:line="276" w:lineRule="auto"/>
        <w:jc w:val="both"/>
        <w:rPr>
          <w:rFonts w:asciiTheme="minorHAnsi" w:hAnsiTheme="minorHAnsi"/>
        </w:rPr>
      </w:pPr>
      <w:r w:rsidRPr="005A1995">
        <w:rPr>
          <w:rFonts w:asciiTheme="minorHAnsi" w:hAnsiTheme="minorHAnsi"/>
        </w:rPr>
        <w:t xml:space="preserve">Data for student, teacher and school facilities </w:t>
      </w:r>
      <w:r w:rsidR="006B03B2" w:rsidRPr="005A1995">
        <w:rPr>
          <w:rFonts w:asciiTheme="minorHAnsi" w:hAnsiTheme="minorHAnsi"/>
        </w:rPr>
        <w:t xml:space="preserve">are </w:t>
      </w:r>
      <w:r w:rsidRPr="005A1995">
        <w:rPr>
          <w:rFonts w:asciiTheme="minorHAnsi" w:hAnsiTheme="minorHAnsi"/>
        </w:rPr>
        <w:t xml:space="preserve">derived from the statistical collection of the Education Census conducted by MoRA and MoEC. These data have been collected and stored in the Enhanced Analytical Facility (EAF) that is kept with MoEC </w:t>
      </w:r>
      <w:r w:rsidRPr="00231C98">
        <w:rPr>
          <w:rFonts w:asciiTheme="minorHAnsi" w:hAnsiTheme="minorHAnsi"/>
          <w:i/>
        </w:rPr>
        <w:t>Balitbang</w:t>
      </w:r>
      <w:r w:rsidRPr="005A1995">
        <w:rPr>
          <w:rFonts w:asciiTheme="minorHAnsi" w:hAnsiTheme="minorHAnsi"/>
        </w:rPr>
        <w:t xml:space="preserve">. This database has been built from available government statistical collections and represents authoritative government-sanctioned data. The database includes population data collected from the Bureau of Central Statistics (BPS). </w:t>
      </w:r>
    </w:p>
    <w:p w:rsidR="00A110EB" w:rsidRPr="005419F4" w:rsidRDefault="005250BF" w:rsidP="005419F4">
      <w:pPr>
        <w:spacing w:before="240" w:line="276" w:lineRule="auto"/>
        <w:rPr>
          <w:rStyle w:val="IntenseEmphasis"/>
          <w:rFonts w:asciiTheme="minorHAnsi" w:hAnsiTheme="minorHAnsi" w:cstheme="minorHAnsi"/>
          <w:b w:val="0"/>
          <w:i w:val="0"/>
          <w:iCs w:val="0"/>
          <w:color w:val="003880"/>
          <w:sz w:val="24"/>
          <w:szCs w:val="28"/>
        </w:rPr>
      </w:pPr>
      <w:r w:rsidRPr="005419F4">
        <w:rPr>
          <w:rStyle w:val="IntenseEmphasis"/>
          <w:rFonts w:asciiTheme="minorHAnsi" w:hAnsiTheme="minorHAnsi" w:cstheme="minorHAnsi"/>
          <w:b w:val="0"/>
          <w:i w:val="0"/>
          <w:iCs w:val="0"/>
          <w:color w:val="003880"/>
          <w:sz w:val="24"/>
          <w:szCs w:val="28"/>
        </w:rPr>
        <w:t>Pov</w:t>
      </w:r>
      <w:r w:rsidR="00A110EB" w:rsidRPr="005419F4">
        <w:rPr>
          <w:rStyle w:val="IntenseEmphasis"/>
          <w:rFonts w:asciiTheme="minorHAnsi" w:hAnsiTheme="minorHAnsi" w:cstheme="minorHAnsi"/>
          <w:b w:val="0"/>
          <w:i w:val="0"/>
          <w:iCs w:val="0"/>
          <w:color w:val="003880"/>
          <w:sz w:val="24"/>
          <w:szCs w:val="28"/>
        </w:rPr>
        <w:t>erty</w:t>
      </w:r>
      <w:r w:rsidRPr="005419F4">
        <w:rPr>
          <w:rStyle w:val="IntenseEmphasis"/>
          <w:rFonts w:asciiTheme="minorHAnsi" w:hAnsiTheme="minorHAnsi" w:cstheme="minorHAnsi"/>
          <w:b w:val="0"/>
          <w:i w:val="0"/>
          <w:iCs w:val="0"/>
          <w:color w:val="003880"/>
          <w:sz w:val="24"/>
          <w:szCs w:val="28"/>
        </w:rPr>
        <w:t xml:space="preserve"> </w:t>
      </w:r>
    </w:p>
    <w:p w:rsidR="005250BF" w:rsidRPr="005A1995" w:rsidRDefault="005250BF" w:rsidP="005A1995">
      <w:pPr>
        <w:spacing w:line="276" w:lineRule="auto"/>
        <w:jc w:val="both"/>
        <w:rPr>
          <w:rFonts w:asciiTheme="minorHAnsi" w:hAnsiTheme="minorHAnsi"/>
        </w:rPr>
      </w:pPr>
      <w:r w:rsidRPr="005A1995">
        <w:rPr>
          <w:rFonts w:asciiTheme="minorHAnsi" w:hAnsiTheme="minorHAnsi"/>
        </w:rPr>
        <w:t xml:space="preserve">Poverty is an important analytical filter for the </w:t>
      </w:r>
      <w:r w:rsidR="006B03B2" w:rsidRPr="005A1995">
        <w:rPr>
          <w:rFonts w:asciiTheme="minorHAnsi" w:hAnsiTheme="minorHAnsi"/>
        </w:rPr>
        <w:t>ASFR</w:t>
      </w:r>
      <w:r w:rsidRPr="005A1995">
        <w:rPr>
          <w:rFonts w:asciiTheme="minorHAnsi" w:hAnsiTheme="minorHAnsi"/>
        </w:rPr>
        <w:t xml:space="preserve">. Financial data analysis includes an examination of poverty by segregating districts into poverty quintiles. The Poverty quintiles are based on the “P0” poverty scale developed by </w:t>
      </w:r>
      <w:r w:rsidRPr="00231C98">
        <w:rPr>
          <w:rFonts w:asciiTheme="minorHAnsi" w:hAnsiTheme="minorHAnsi"/>
          <w:i/>
        </w:rPr>
        <w:t>Survei Sosial Ekonomi Nasional</w:t>
      </w:r>
      <w:r w:rsidRPr="005A1995">
        <w:rPr>
          <w:rFonts w:asciiTheme="minorHAnsi" w:hAnsiTheme="minorHAnsi"/>
        </w:rPr>
        <w:t xml:space="preserve"> (SUSENAS). This scale captures the incidence of poverty</w:t>
      </w:r>
      <w:r w:rsidR="009E0950">
        <w:rPr>
          <w:rFonts w:asciiTheme="minorHAnsi" w:hAnsiTheme="minorHAnsi"/>
        </w:rPr>
        <w:t xml:space="preserve">, i.e. the </w:t>
      </w:r>
      <w:r w:rsidRPr="005A1995">
        <w:rPr>
          <w:rFonts w:asciiTheme="minorHAnsi" w:hAnsiTheme="minorHAnsi"/>
        </w:rPr>
        <w:t>proportion of people living below the poverty line</w:t>
      </w:r>
      <w:r w:rsidR="0009767F" w:rsidRPr="005A1995">
        <w:rPr>
          <w:rStyle w:val="FootnoteReference"/>
          <w:rFonts w:asciiTheme="minorHAnsi" w:hAnsiTheme="minorHAnsi"/>
        </w:rPr>
        <w:footnoteReference w:id="2"/>
      </w:r>
      <w:r w:rsidR="006B03B2" w:rsidRPr="005A1995">
        <w:rPr>
          <w:rFonts w:asciiTheme="minorHAnsi" w:hAnsiTheme="minorHAnsi"/>
        </w:rPr>
        <w:t>.</w:t>
      </w:r>
      <w:r w:rsidR="00B61780" w:rsidRPr="005A1995" w:rsidDel="00B61780">
        <w:rPr>
          <w:rFonts w:asciiTheme="minorHAnsi" w:hAnsiTheme="minorHAnsi"/>
        </w:rPr>
        <w:t xml:space="preserve"> </w:t>
      </w:r>
      <w:r w:rsidRPr="005A1995">
        <w:rPr>
          <w:rFonts w:asciiTheme="minorHAnsi" w:hAnsiTheme="minorHAnsi"/>
        </w:rPr>
        <w:t xml:space="preserve">The </w:t>
      </w:r>
      <w:r w:rsidR="006B03B2" w:rsidRPr="005A1995">
        <w:rPr>
          <w:rFonts w:asciiTheme="minorHAnsi" w:hAnsiTheme="minorHAnsi"/>
        </w:rPr>
        <w:t>ASFR</w:t>
      </w:r>
      <w:r w:rsidRPr="005A1995">
        <w:rPr>
          <w:rFonts w:asciiTheme="minorHAnsi" w:hAnsiTheme="minorHAnsi"/>
        </w:rPr>
        <w:t xml:space="preserve"> indicators </w:t>
      </w:r>
      <w:r w:rsidRPr="005A1995">
        <w:rPr>
          <w:rFonts w:asciiTheme="minorHAnsi" w:hAnsiTheme="minorHAnsi"/>
        </w:rPr>
        <w:lastRenderedPageBreak/>
        <w:t xml:space="preserve">and analysis are available to be used and incorporated within existing mandatory reports of MoEC and MoRA. </w:t>
      </w:r>
    </w:p>
    <w:p w:rsidR="005250BF" w:rsidRPr="005A1995" w:rsidRDefault="005250BF" w:rsidP="005A1995">
      <w:pPr>
        <w:spacing w:line="276" w:lineRule="auto"/>
        <w:jc w:val="both"/>
        <w:rPr>
          <w:rFonts w:asciiTheme="minorHAnsi" w:hAnsiTheme="minorHAnsi"/>
        </w:rPr>
      </w:pPr>
      <w:r w:rsidRPr="005A1995">
        <w:rPr>
          <w:rFonts w:asciiTheme="minorHAnsi" w:hAnsiTheme="minorHAnsi"/>
        </w:rPr>
        <w:t xml:space="preserve">The data underpinning most of the indicators at the district level </w:t>
      </w:r>
      <w:r w:rsidR="006B03B2" w:rsidRPr="005A1995">
        <w:rPr>
          <w:rFonts w:asciiTheme="minorHAnsi" w:hAnsiTheme="minorHAnsi"/>
        </w:rPr>
        <w:t xml:space="preserve">are </w:t>
      </w:r>
      <w:r w:rsidRPr="005A1995">
        <w:rPr>
          <w:rFonts w:asciiTheme="minorHAnsi" w:hAnsiTheme="minorHAnsi"/>
        </w:rPr>
        <w:t xml:space="preserve">sourced from GoI statistical collections. This should mean the indicators can be reported within other regular reports. At the district level, these indicators will be useful and could be incorporated within their reporting systems. </w:t>
      </w:r>
    </w:p>
    <w:p w:rsidR="00396227" w:rsidRPr="005A1995" w:rsidRDefault="00396227" w:rsidP="005A1995">
      <w:pPr>
        <w:pStyle w:val="Heading1"/>
        <w:spacing w:line="276" w:lineRule="auto"/>
        <w:jc w:val="both"/>
        <w:rPr>
          <w:sz w:val="22"/>
          <w:szCs w:val="22"/>
          <w:highlight w:val="yellow"/>
        </w:rPr>
        <w:sectPr w:rsidR="00396227" w:rsidRPr="005A1995" w:rsidSect="00EF388E">
          <w:headerReference w:type="first" r:id="rId28"/>
          <w:footerReference w:type="first" r:id="rId29"/>
          <w:footnotePr>
            <w:numRestart w:val="eachSect"/>
          </w:footnotePr>
          <w:endnotePr>
            <w:numRestart w:val="eachSect"/>
          </w:endnotePr>
          <w:pgSz w:w="11909" w:h="16834" w:code="9"/>
          <w:pgMar w:top="357" w:right="1440" w:bottom="1304" w:left="1440" w:header="431" w:footer="425" w:gutter="0"/>
          <w:cols w:space="720"/>
          <w:titlePg/>
          <w:docGrid w:linePitch="360"/>
        </w:sectPr>
      </w:pPr>
      <w:bookmarkStart w:id="17" w:name="_Toc372401482"/>
      <w:bookmarkEnd w:id="15"/>
    </w:p>
    <w:bookmarkEnd w:id="17"/>
    <w:p w:rsidR="00DE0C5D" w:rsidRDefault="006C249D" w:rsidP="00EF388E">
      <w:pPr>
        <w:tabs>
          <w:tab w:val="left" w:pos="2977"/>
        </w:tabs>
        <w:spacing w:before="6960"/>
        <w:ind w:right="1701"/>
        <w:jc w:val="right"/>
        <w:rPr>
          <w:b/>
          <w:color w:val="FFFFFF" w:themeColor="background1"/>
          <w:sz w:val="36"/>
          <w:szCs w:val="36"/>
        </w:rPr>
      </w:pPr>
      <w:r>
        <w:rPr>
          <w:b/>
          <w:color w:val="FFFFFF" w:themeColor="background1"/>
          <w:sz w:val="36"/>
          <w:szCs w:val="36"/>
        </w:rPr>
        <w:lastRenderedPageBreak/>
        <w:t>Financial Performance at National Level</w:t>
      </w:r>
    </w:p>
    <w:p w:rsidR="00DE0C5D" w:rsidRDefault="00DE0C5D" w:rsidP="00DE0C5D">
      <w:pPr>
        <w:tabs>
          <w:tab w:val="left" w:pos="2977"/>
        </w:tabs>
        <w:ind w:left="2880"/>
        <w:rPr>
          <w:b/>
          <w:color w:val="FFFFFF" w:themeColor="background1"/>
          <w:sz w:val="36"/>
          <w:szCs w:val="36"/>
        </w:rPr>
      </w:pPr>
    </w:p>
    <w:p w:rsidR="00DE0C5D" w:rsidRDefault="00DE0C5D" w:rsidP="00854A82">
      <w:pPr>
        <w:sectPr w:rsidR="00DE0C5D" w:rsidSect="00EF388E">
          <w:headerReference w:type="first" r:id="rId30"/>
          <w:footerReference w:type="first" r:id="rId31"/>
          <w:footnotePr>
            <w:numRestart w:val="eachSect"/>
          </w:footnotePr>
          <w:endnotePr>
            <w:numRestart w:val="eachSect"/>
          </w:endnotePr>
          <w:pgSz w:w="11909" w:h="16834" w:code="9"/>
          <w:pgMar w:top="357" w:right="1440" w:bottom="1304" w:left="1440" w:header="431" w:footer="425" w:gutter="0"/>
          <w:cols w:space="720"/>
          <w:titlePg/>
          <w:docGrid w:linePitch="360"/>
        </w:sectPr>
      </w:pPr>
    </w:p>
    <w:p w:rsidR="00DE0C5D" w:rsidRPr="00EF388E" w:rsidRDefault="00EF388E" w:rsidP="00EF388E">
      <w:pPr>
        <w:pStyle w:val="Heading1"/>
        <w:spacing w:after="1320"/>
        <w:ind w:left="357" w:hanging="357"/>
        <w:rPr>
          <w:color w:val="68BAD6"/>
        </w:rPr>
      </w:pPr>
      <w:bookmarkStart w:id="18" w:name="_Toc380740270"/>
      <w:r w:rsidRPr="00EF388E">
        <w:rPr>
          <w:color w:val="68BAD6"/>
        </w:rPr>
        <w:lastRenderedPageBreak/>
        <w:t>FINANCIAL PERFORMANCE AT NATIONAL LEVEL</w:t>
      </w:r>
      <w:bookmarkEnd w:id="18"/>
    </w:p>
    <w:p w:rsidR="00D21284" w:rsidRPr="00EF388E" w:rsidRDefault="00FA7330" w:rsidP="00EF388E">
      <w:pPr>
        <w:pStyle w:val="Heading2"/>
        <w:spacing w:before="360" w:after="240"/>
        <w:ind w:left="567" w:hanging="567"/>
        <w:rPr>
          <w:rFonts w:asciiTheme="minorHAnsi" w:hAnsiTheme="minorHAnsi"/>
          <w:b/>
          <w:sz w:val="32"/>
          <w:szCs w:val="22"/>
        </w:rPr>
      </w:pPr>
      <w:r w:rsidRPr="00EF388E">
        <w:rPr>
          <w:rFonts w:asciiTheme="minorHAnsi" w:hAnsiTheme="minorHAnsi"/>
          <w:b/>
          <w:sz w:val="32"/>
          <w:szCs w:val="22"/>
        </w:rPr>
        <w:t xml:space="preserve">Introduction </w:t>
      </w:r>
    </w:p>
    <w:p w:rsidR="00D21284" w:rsidRPr="00EF388E" w:rsidRDefault="00D21284" w:rsidP="00EF388E">
      <w:pPr>
        <w:spacing w:line="276" w:lineRule="auto"/>
        <w:jc w:val="both"/>
        <w:rPr>
          <w:rFonts w:asciiTheme="minorHAnsi" w:hAnsiTheme="minorHAnsi"/>
        </w:rPr>
      </w:pPr>
      <w:r w:rsidRPr="00EF388E">
        <w:rPr>
          <w:rFonts w:asciiTheme="minorHAnsi" w:hAnsiTheme="minorHAnsi"/>
        </w:rPr>
        <w:t xml:space="preserve">Public funding for education in Indonesia is provided mostly by the central and provincial levels of government, with the provincial level providing a smaller share. National level analysis of aggregate public expenditure is complicated because of these different sources of funding and the subsidization of salaries and services provided by the central level of government. </w:t>
      </w:r>
    </w:p>
    <w:p w:rsidR="00D21284" w:rsidRPr="00EF388E" w:rsidRDefault="00D21284" w:rsidP="00EF388E">
      <w:pPr>
        <w:spacing w:line="276" w:lineRule="auto"/>
        <w:jc w:val="both"/>
        <w:rPr>
          <w:rFonts w:asciiTheme="minorHAnsi" w:hAnsiTheme="minorHAnsi"/>
        </w:rPr>
      </w:pPr>
      <w:r w:rsidRPr="00EF388E">
        <w:rPr>
          <w:rFonts w:asciiTheme="minorHAnsi" w:hAnsiTheme="minorHAnsi"/>
        </w:rPr>
        <w:t>The national trends in the public financing of education are analyzed in this section. Key Performance Indicators (KPIs) provide a macro-level assessment of government commitment towards education. Each KPI has been assigned a ranking that indicates</w:t>
      </w:r>
      <w:r w:rsidR="007C09AF" w:rsidRPr="00EF388E">
        <w:rPr>
          <w:rFonts w:asciiTheme="minorHAnsi" w:hAnsiTheme="minorHAnsi"/>
        </w:rPr>
        <w:t xml:space="preserve"> change on the year before</w:t>
      </w:r>
      <w:r w:rsidRPr="00EF388E">
        <w:rPr>
          <w:rFonts w:asciiTheme="minorHAnsi" w:hAnsiTheme="minorHAnsi"/>
        </w:rPr>
        <w:t xml:space="preserve"> (neutral, positive, negative).</w:t>
      </w:r>
    </w:p>
    <w:p w:rsidR="00D21284" w:rsidRPr="00EF388E" w:rsidRDefault="00D21284" w:rsidP="00EF388E">
      <w:pPr>
        <w:spacing w:line="276" w:lineRule="auto"/>
        <w:jc w:val="both"/>
        <w:rPr>
          <w:rFonts w:asciiTheme="minorHAnsi" w:hAnsiTheme="minorHAnsi"/>
        </w:rPr>
      </w:pPr>
      <w:r w:rsidRPr="00EF388E">
        <w:rPr>
          <w:rFonts w:asciiTheme="minorHAnsi" w:hAnsiTheme="minorHAnsi"/>
        </w:rPr>
        <w:t xml:space="preserve">For the period 2001-2005 this report relies on data collected by the World Bank and presented in its publication </w:t>
      </w:r>
      <w:r w:rsidR="00EF388E" w:rsidRPr="00EF388E">
        <w:rPr>
          <w:rFonts w:asciiTheme="minorHAnsi" w:hAnsiTheme="minorHAnsi"/>
          <w:i/>
        </w:rPr>
        <w:t xml:space="preserve">Investing </w:t>
      </w:r>
      <w:r w:rsidRPr="00EF388E">
        <w:rPr>
          <w:rFonts w:asciiTheme="minorHAnsi" w:hAnsiTheme="minorHAnsi"/>
          <w:i/>
        </w:rPr>
        <w:t>in Indonesia’s Education (</w:t>
      </w:r>
      <w:r w:rsidRPr="00EF388E">
        <w:rPr>
          <w:rFonts w:asciiTheme="minorHAnsi" w:hAnsiTheme="minorHAnsi"/>
        </w:rPr>
        <w:t>World Bank, 2007). For the period 2006-2008, the GoI compiled comprehensive multi-year data on national and sub-national expenditures towards education in its submission to the Supreme Court case on its legal obligation to allocate at least 20% of the national budget towards education (Supreme Court Decision Number 13/PUU-VI/2008).</w:t>
      </w:r>
    </w:p>
    <w:p w:rsidR="00D21284" w:rsidRPr="00EF388E" w:rsidRDefault="00D21284" w:rsidP="00EF388E">
      <w:pPr>
        <w:spacing w:line="276" w:lineRule="auto"/>
        <w:jc w:val="both"/>
        <w:rPr>
          <w:rFonts w:asciiTheme="minorHAnsi" w:hAnsiTheme="minorHAnsi"/>
        </w:rPr>
      </w:pPr>
      <w:r w:rsidRPr="00EF388E">
        <w:rPr>
          <w:rFonts w:asciiTheme="minorHAnsi" w:hAnsiTheme="minorHAnsi"/>
        </w:rPr>
        <w:t xml:space="preserve">Detailed finance data for 2009 and 2010 </w:t>
      </w:r>
      <w:r w:rsidR="006F443D">
        <w:rPr>
          <w:rFonts w:asciiTheme="minorHAnsi" w:hAnsiTheme="minorHAnsi"/>
        </w:rPr>
        <w:t>was</w:t>
      </w:r>
      <w:r w:rsidRPr="00EF388E">
        <w:rPr>
          <w:rFonts w:asciiTheme="minorHAnsi" w:hAnsiTheme="minorHAnsi"/>
        </w:rPr>
        <w:t xml:space="preserve"> collected from </w:t>
      </w:r>
      <w:r w:rsidRPr="00EF388E">
        <w:rPr>
          <w:rFonts w:asciiTheme="minorHAnsi" w:hAnsiTheme="minorHAnsi"/>
          <w:i/>
        </w:rPr>
        <w:t>the Financial Note and Indonesian Revised Budget 2010</w:t>
      </w:r>
      <w:r w:rsidRPr="00EF388E">
        <w:rPr>
          <w:rFonts w:asciiTheme="minorHAnsi" w:hAnsiTheme="minorHAnsi"/>
        </w:rPr>
        <w:t xml:space="preserve">, section III-2 (published by MoF, 2010), and from </w:t>
      </w:r>
      <w:r w:rsidRPr="00231C98">
        <w:rPr>
          <w:rFonts w:asciiTheme="minorHAnsi" w:hAnsiTheme="minorHAnsi"/>
          <w:i/>
        </w:rPr>
        <w:t>Financial Note</w:t>
      </w:r>
      <w:r w:rsidRPr="00EF388E">
        <w:rPr>
          <w:rFonts w:asciiTheme="minorHAnsi" w:hAnsiTheme="minorHAnsi"/>
        </w:rPr>
        <w:t xml:space="preserve"> and </w:t>
      </w:r>
      <w:r w:rsidRPr="00231C98">
        <w:rPr>
          <w:rFonts w:asciiTheme="minorHAnsi" w:hAnsiTheme="minorHAnsi"/>
          <w:i/>
        </w:rPr>
        <w:t>Indonesian Proposed Budget 2011</w:t>
      </w:r>
      <w:r w:rsidRPr="00EF388E">
        <w:rPr>
          <w:rFonts w:asciiTheme="minorHAnsi" w:hAnsiTheme="minorHAnsi"/>
        </w:rPr>
        <w:t>, section iv-100, M</w:t>
      </w:r>
      <w:r w:rsidR="000C45E4">
        <w:rPr>
          <w:rFonts w:asciiTheme="minorHAnsi" w:hAnsiTheme="minorHAnsi"/>
        </w:rPr>
        <w:t>oF 2010. Financial data for 2013</w:t>
      </w:r>
      <w:r w:rsidRPr="00EF388E">
        <w:rPr>
          <w:rFonts w:asciiTheme="minorHAnsi" w:hAnsiTheme="minorHAnsi"/>
        </w:rPr>
        <w:t xml:space="preserve"> </w:t>
      </w:r>
      <w:r w:rsidR="006F443D">
        <w:rPr>
          <w:rFonts w:asciiTheme="minorHAnsi" w:hAnsiTheme="minorHAnsi"/>
        </w:rPr>
        <w:t>was</w:t>
      </w:r>
      <w:r w:rsidRPr="00EF388E">
        <w:rPr>
          <w:rFonts w:asciiTheme="minorHAnsi" w:hAnsiTheme="minorHAnsi"/>
        </w:rPr>
        <w:t xml:space="preserve"> collected from </w:t>
      </w:r>
      <w:r w:rsidRPr="00EF388E">
        <w:rPr>
          <w:rFonts w:asciiTheme="minorHAnsi" w:hAnsiTheme="minorHAnsi"/>
          <w:i/>
        </w:rPr>
        <w:t xml:space="preserve">Nota Keuangan </w:t>
      </w:r>
      <w:r w:rsidR="00DB55DD" w:rsidRPr="00EF388E">
        <w:rPr>
          <w:rFonts w:asciiTheme="minorHAnsi" w:hAnsiTheme="minorHAnsi"/>
          <w:i/>
        </w:rPr>
        <w:t xml:space="preserve">dan </w:t>
      </w:r>
      <w:r w:rsidRPr="00EF388E">
        <w:rPr>
          <w:rFonts w:asciiTheme="minorHAnsi" w:hAnsiTheme="minorHAnsi"/>
          <w:i/>
        </w:rPr>
        <w:t xml:space="preserve">Rancangan Anggaran </w:t>
      </w:r>
      <w:r w:rsidR="00DB55DD" w:rsidRPr="00EF388E">
        <w:rPr>
          <w:rFonts w:asciiTheme="minorHAnsi" w:hAnsiTheme="minorHAnsi"/>
          <w:i/>
        </w:rPr>
        <w:t xml:space="preserve">Pendapatan dan </w:t>
      </w:r>
      <w:r w:rsidRPr="00EF388E">
        <w:rPr>
          <w:rFonts w:asciiTheme="minorHAnsi" w:hAnsiTheme="minorHAnsi"/>
          <w:i/>
        </w:rPr>
        <w:t xml:space="preserve">Belanja Negara Tahun Anggaran </w:t>
      </w:r>
      <w:r w:rsidR="000C45E4">
        <w:rPr>
          <w:rFonts w:asciiTheme="minorHAnsi" w:hAnsiTheme="minorHAnsi"/>
        </w:rPr>
        <w:t>(published by MoF 2013</w:t>
      </w:r>
      <w:r w:rsidRPr="00EF388E">
        <w:rPr>
          <w:rFonts w:asciiTheme="minorHAnsi" w:hAnsiTheme="minorHAnsi"/>
        </w:rPr>
        <w:t>).</w:t>
      </w:r>
    </w:p>
    <w:p w:rsidR="00B61780" w:rsidRPr="00EF388E" w:rsidRDefault="00B61780" w:rsidP="008045B0">
      <w:pPr>
        <w:spacing w:after="360" w:line="276" w:lineRule="auto"/>
        <w:jc w:val="both"/>
        <w:rPr>
          <w:rFonts w:asciiTheme="minorHAnsi" w:hAnsiTheme="minorHAnsi"/>
        </w:rPr>
      </w:pPr>
      <w:r w:rsidRPr="00EF388E">
        <w:rPr>
          <w:rFonts w:asciiTheme="minorHAnsi" w:hAnsiTheme="minorHAnsi"/>
        </w:rPr>
        <w:t xml:space="preserve">The key financial data </w:t>
      </w:r>
      <w:r w:rsidR="00231C98">
        <w:rPr>
          <w:rFonts w:asciiTheme="minorHAnsi" w:hAnsiTheme="minorHAnsi"/>
        </w:rPr>
        <w:t xml:space="preserve">underpinning </w:t>
      </w:r>
      <w:r w:rsidRPr="00EF388E">
        <w:rPr>
          <w:rFonts w:asciiTheme="minorHAnsi" w:hAnsiTheme="minorHAnsi"/>
        </w:rPr>
        <w:t xml:space="preserve">the national level financing </w:t>
      </w:r>
      <w:r w:rsidR="00231C98">
        <w:rPr>
          <w:rFonts w:asciiTheme="minorHAnsi" w:hAnsiTheme="minorHAnsi"/>
        </w:rPr>
        <w:t xml:space="preserve">analysis </w:t>
      </w:r>
      <w:r w:rsidRPr="00EF388E">
        <w:rPr>
          <w:rFonts w:asciiTheme="minorHAnsi" w:hAnsiTheme="minorHAnsi"/>
        </w:rPr>
        <w:t xml:space="preserve">are presented in the table </w:t>
      </w:r>
      <w:r w:rsidR="00A35276">
        <w:rPr>
          <w:rFonts w:asciiTheme="minorHAnsi" w:hAnsiTheme="minorHAnsi"/>
        </w:rPr>
        <w:t>over-page</w:t>
      </w:r>
      <w:r w:rsidRPr="00EF388E">
        <w:rPr>
          <w:rFonts w:asciiTheme="minorHAnsi" w:hAnsiTheme="minorHAnsi"/>
        </w:rPr>
        <w:t>.</w:t>
      </w:r>
    </w:p>
    <w:p w:rsidR="00A35276" w:rsidRDefault="00A35276">
      <w:pPr>
        <w:spacing w:after="0"/>
        <w:rPr>
          <w:rFonts w:asciiTheme="minorHAnsi" w:hAnsiTheme="minorHAnsi" w:cstheme="minorHAnsi"/>
          <w:lang w:val="en-GB"/>
        </w:rPr>
      </w:pPr>
      <w:bookmarkStart w:id="19" w:name="_Toc253398180"/>
      <w:bookmarkStart w:id="20" w:name="_Toc253439712"/>
      <w:bookmarkStart w:id="21" w:name="_Toc253441188"/>
      <w:bookmarkStart w:id="22" w:name="_Toc253442111"/>
      <w:bookmarkStart w:id="23" w:name="_Toc299653943"/>
      <w:bookmarkStart w:id="24" w:name="_Toc299738239"/>
      <w:bookmarkStart w:id="25" w:name="_Toc300303424"/>
      <w:bookmarkStart w:id="26" w:name="_Toc374181984"/>
      <w:bookmarkStart w:id="27" w:name="_Toc374182049"/>
      <w:r>
        <w:br w:type="page"/>
      </w:r>
    </w:p>
    <w:p w:rsidR="00D21284" w:rsidRPr="001A3FC6" w:rsidRDefault="00D21284" w:rsidP="005566A6">
      <w:pPr>
        <w:pStyle w:val="Table"/>
      </w:pPr>
      <w:r w:rsidRPr="001A3FC6">
        <w:lastRenderedPageBreak/>
        <w:t>National Level Education Financing Data 2001-20</w:t>
      </w:r>
      <w:bookmarkEnd w:id="19"/>
      <w:bookmarkEnd w:id="20"/>
      <w:bookmarkEnd w:id="21"/>
      <w:bookmarkEnd w:id="22"/>
      <w:r w:rsidRPr="001A3FC6">
        <w:t>1</w:t>
      </w:r>
      <w:bookmarkEnd w:id="23"/>
      <w:bookmarkEnd w:id="24"/>
      <w:bookmarkEnd w:id="25"/>
      <w:bookmarkEnd w:id="26"/>
      <w:bookmarkEnd w:id="27"/>
      <w:r w:rsidR="00F12D06">
        <w:t xml:space="preserve">3 </w:t>
      </w:r>
      <w:r w:rsidR="004F2A3C" w:rsidRPr="001A3FC6">
        <w:rPr>
          <w:rStyle w:val="FootnoteReference"/>
          <w:rFonts w:asciiTheme="minorHAnsi" w:hAnsiTheme="minorHAnsi"/>
          <w:b w:val="0"/>
          <w:i/>
          <w:iCs/>
          <w:vertAlign w:val="baseline"/>
        </w:rPr>
        <w:footnoteReference w:id="3"/>
      </w:r>
    </w:p>
    <w:tbl>
      <w:tblPr>
        <w:tblW w:w="10620" w:type="dxa"/>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674"/>
        <w:gridCol w:w="674"/>
        <w:gridCol w:w="674"/>
        <w:gridCol w:w="674"/>
        <w:gridCol w:w="674"/>
        <w:gridCol w:w="674"/>
        <w:gridCol w:w="674"/>
        <w:gridCol w:w="674"/>
        <w:gridCol w:w="674"/>
        <w:gridCol w:w="674"/>
        <w:gridCol w:w="674"/>
        <w:gridCol w:w="674"/>
        <w:gridCol w:w="674"/>
      </w:tblGrid>
      <w:tr w:rsidR="00057323" w:rsidRPr="00057323" w:rsidTr="00057323">
        <w:trPr>
          <w:trHeight w:val="255"/>
        </w:trPr>
        <w:tc>
          <w:tcPr>
            <w:tcW w:w="1858" w:type="dxa"/>
            <w:shd w:val="clear" w:color="auto" w:fill="4BACC6" w:themeFill="accent5"/>
            <w:hideMark/>
          </w:tcPr>
          <w:p w:rsidR="00057323" w:rsidRPr="00057323" w:rsidRDefault="00057323" w:rsidP="00057323">
            <w:pPr>
              <w:spacing w:after="0"/>
              <w:jc w:val="both"/>
              <w:rPr>
                <w:rFonts w:asciiTheme="minorHAnsi" w:hAnsiTheme="minorHAnsi" w:cs="Arial"/>
                <w:b/>
                <w:bCs/>
                <w:sz w:val="19"/>
                <w:szCs w:val="19"/>
                <w:lang w:val="en-AU" w:eastAsia="en-AU"/>
              </w:rPr>
            </w:pPr>
            <w:r w:rsidRPr="00057323">
              <w:rPr>
                <w:rFonts w:asciiTheme="minorHAnsi" w:hAnsiTheme="minorHAnsi" w:cs="Arial"/>
                <w:b/>
                <w:bCs/>
                <w:sz w:val="19"/>
                <w:szCs w:val="19"/>
                <w:lang w:val="en-AU" w:eastAsia="en-AU"/>
              </w:rPr>
              <w:t>Item</w:t>
            </w:r>
          </w:p>
        </w:tc>
        <w:tc>
          <w:tcPr>
            <w:tcW w:w="674" w:type="dxa"/>
            <w:shd w:val="clear" w:color="auto" w:fill="4BACC6" w:themeFill="accent5"/>
            <w:hideMark/>
          </w:tcPr>
          <w:p w:rsidR="00057323" w:rsidRPr="00057323" w:rsidRDefault="00057323" w:rsidP="00057323">
            <w:pPr>
              <w:spacing w:after="0"/>
              <w:jc w:val="right"/>
              <w:rPr>
                <w:rFonts w:asciiTheme="minorHAnsi" w:hAnsiTheme="minorHAnsi" w:cs="Arial"/>
                <w:b/>
                <w:bCs/>
                <w:sz w:val="19"/>
                <w:szCs w:val="19"/>
                <w:lang w:val="en-AU" w:eastAsia="en-AU"/>
              </w:rPr>
            </w:pPr>
            <w:r w:rsidRPr="00057323">
              <w:rPr>
                <w:rFonts w:asciiTheme="minorHAnsi" w:hAnsiTheme="minorHAnsi" w:cs="Arial"/>
                <w:b/>
                <w:bCs/>
                <w:sz w:val="19"/>
                <w:szCs w:val="19"/>
                <w:lang w:val="en-AU" w:eastAsia="en-AU"/>
              </w:rPr>
              <w:t>2001</w:t>
            </w:r>
          </w:p>
        </w:tc>
        <w:tc>
          <w:tcPr>
            <w:tcW w:w="674" w:type="dxa"/>
            <w:shd w:val="clear" w:color="auto" w:fill="4BACC6" w:themeFill="accent5"/>
            <w:hideMark/>
          </w:tcPr>
          <w:p w:rsidR="00057323" w:rsidRPr="00057323" w:rsidRDefault="00057323" w:rsidP="00057323">
            <w:pPr>
              <w:spacing w:after="0"/>
              <w:jc w:val="right"/>
              <w:rPr>
                <w:rFonts w:asciiTheme="minorHAnsi" w:hAnsiTheme="minorHAnsi" w:cs="Arial"/>
                <w:b/>
                <w:bCs/>
                <w:sz w:val="19"/>
                <w:szCs w:val="19"/>
                <w:lang w:val="en-AU" w:eastAsia="en-AU"/>
              </w:rPr>
            </w:pPr>
            <w:r w:rsidRPr="00057323">
              <w:rPr>
                <w:rFonts w:asciiTheme="minorHAnsi" w:hAnsiTheme="minorHAnsi" w:cs="Arial"/>
                <w:b/>
                <w:bCs/>
                <w:sz w:val="19"/>
                <w:szCs w:val="19"/>
                <w:lang w:val="en-AU" w:eastAsia="en-AU"/>
              </w:rPr>
              <w:t>2002</w:t>
            </w:r>
          </w:p>
        </w:tc>
        <w:tc>
          <w:tcPr>
            <w:tcW w:w="674" w:type="dxa"/>
            <w:shd w:val="clear" w:color="auto" w:fill="4BACC6" w:themeFill="accent5"/>
            <w:hideMark/>
          </w:tcPr>
          <w:p w:rsidR="00057323" w:rsidRPr="00057323" w:rsidRDefault="00057323" w:rsidP="00057323">
            <w:pPr>
              <w:spacing w:after="0"/>
              <w:jc w:val="right"/>
              <w:rPr>
                <w:rFonts w:asciiTheme="minorHAnsi" w:hAnsiTheme="minorHAnsi" w:cs="Arial"/>
                <w:b/>
                <w:bCs/>
                <w:sz w:val="19"/>
                <w:szCs w:val="19"/>
                <w:lang w:val="en-AU" w:eastAsia="en-AU"/>
              </w:rPr>
            </w:pPr>
            <w:r w:rsidRPr="00057323">
              <w:rPr>
                <w:rFonts w:asciiTheme="minorHAnsi" w:hAnsiTheme="minorHAnsi" w:cs="Arial"/>
                <w:b/>
                <w:bCs/>
                <w:sz w:val="19"/>
                <w:szCs w:val="19"/>
                <w:lang w:val="en-AU" w:eastAsia="en-AU"/>
              </w:rPr>
              <w:t>2003</w:t>
            </w:r>
          </w:p>
        </w:tc>
        <w:tc>
          <w:tcPr>
            <w:tcW w:w="674" w:type="dxa"/>
            <w:shd w:val="clear" w:color="auto" w:fill="4BACC6" w:themeFill="accent5"/>
            <w:hideMark/>
          </w:tcPr>
          <w:p w:rsidR="00057323" w:rsidRPr="00057323" w:rsidRDefault="00057323" w:rsidP="00057323">
            <w:pPr>
              <w:spacing w:after="0"/>
              <w:jc w:val="right"/>
              <w:rPr>
                <w:rFonts w:asciiTheme="minorHAnsi" w:hAnsiTheme="minorHAnsi" w:cs="Arial"/>
                <w:b/>
                <w:bCs/>
                <w:sz w:val="19"/>
                <w:szCs w:val="19"/>
                <w:lang w:val="en-AU" w:eastAsia="en-AU"/>
              </w:rPr>
            </w:pPr>
            <w:r w:rsidRPr="00057323">
              <w:rPr>
                <w:rFonts w:asciiTheme="minorHAnsi" w:hAnsiTheme="minorHAnsi" w:cs="Arial"/>
                <w:b/>
                <w:bCs/>
                <w:sz w:val="19"/>
                <w:szCs w:val="19"/>
                <w:lang w:val="en-AU" w:eastAsia="en-AU"/>
              </w:rPr>
              <w:t>2004</w:t>
            </w:r>
          </w:p>
        </w:tc>
        <w:tc>
          <w:tcPr>
            <w:tcW w:w="674" w:type="dxa"/>
            <w:shd w:val="clear" w:color="auto" w:fill="4BACC6" w:themeFill="accent5"/>
            <w:hideMark/>
          </w:tcPr>
          <w:p w:rsidR="00057323" w:rsidRPr="00057323" w:rsidRDefault="00057323" w:rsidP="00057323">
            <w:pPr>
              <w:spacing w:after="0"/>
              <w:jc w:val="right"/>
              <w:rPr>
                <w:rFonts w:asciiTheme="minorHAnsi" w:hAnsiTheme="minorHAnsi" w:cs="Arial"/>
                <w:b/>
                <w:bCs/>
                <w:sz w:val="19"/>
                <w:szCs w:val="19"/>
                <w:lang w:val="en-AU" w:eastAsia="en-AU"/>
              </w:rPr>
            </w:pPr>
            <w:r w:rsidRPr="00057323">
              <w:rPr>
                <w:rFonts w:asciiTheme="minorHAnsi" w:hAnsiTheme="minorHAnsi" w:cs="Arial"/>
                <w:b/>
                <w:bCs/>
                <w:sz w:val="19"/>
                <w:szCs w:val="19"/>
                <w:lang w:val="en-AU" w:eastAsia="en-AU"/>
              </w:rPr>
              <w:t>2005</w:t>
            </w:r>
          </w:p>
        </w:tc>
        <w:tc>
          <w:tcPr>
            <w:tcW w:w="674" w:type="dxa"/>
            <w:shd w:val="clear" w:color="auto" w:fill="4BACC6" w:themeFill="accent5"/>
            <w:hideMark/>
          </w:tcPr>
          <w:p w:rsidR="00057323" w:rsidRPr="00057323" w:rsidRDefault="00057323" w:rsidP="00057323">
            <w:pPr>
              <w:spacing w:after="0"/>
              <w:jc w:val="right"/>
              <w:rPr>
                <w:rFonts w:asciiTheme="minorHAnsi" w:hAnsiTheme="minorHAnsi" w:cs="Arial"/>
                <w:b/>
                <w:bCs/>
                <w:sz w:val="19"/>
                <w:szCs w:val="19"/>
                <w:lang w:val="en-AU" w:eastAsia="en-AU"/>
              </w:rPr>
            </w:pPr>
            <w:r w:rsidRPr="00057323">
              <w:rPr>
                <w:rFonts w:asciiTheme="minorHAnsi" w:hAnsiTheme="minorHAnsi" w:cs="Arial"/>
                <w:b/>
                <w:bCs/>
                <w:sz w:val="19"/>
                <w:szCs w:val="19"/>
                <w:lang w:val="en-AU" w:eastAsia="en-AU"/>
              </w:rPr>
              <w:t>2006</w:t>
            </w:r>
          </w:p>
        </w:tc>
        <w:tc>
          <w:tcPr>
            <w:tcW w:w="674" w:type="dxa"/>
            <w:shd w:val="clear" w:color="auto" w:fill="4BACC6" w:themeFill="accent5"/>
            <w:hideMark/>
          </w:tcPr>
          <w:p w:rsidR="00057323" w:rsidRPr="00057323" w:rsidRDefault="00057323" w:rsidP="00057323">
            <w:pPr>
              <w:spacing w:after="0"/>
              <w:jc w:val="right"/>
              <w:rPr>
                <w:rFonts w:asciiTheme="minorHAnsi" w:hAnsiTheme="minorHAnsi" w:cs="Arial"/>
                <w:b/>
                <w:bCs/>
                <w:sz w:val="19"/>
                <w:szCs w:val="19"/>
                <w:lang w:val="en-AU" w:eastAsia="en-AU"/>
              </w:rPr>
            </w:pPr>
            <w:r w:rsidRPr="00057323">
              <w:rPr>
                <w:rFonts w:asciiTheme="minorHAnsi" w:hAnsiTheme="minorHAnsi" w:cs="Arial"/>
                <w:b/>
                <w:bCs/>
                <w:sz w:val="19"/>
                <w:szCs w:val="19"/>
                <w:lang w:val="en-AU" w:eastAsia="en-AU"/>
              </w:rPr>
              <w:t>2007</w:t>
            </w:r>
          </w:p>
        </w:tc>
        <w:tc>
          <w:tcPr>
            <w:tcW w:w="674" w:type="dxa"/>
            <w:shd w:val="clear" w:color="auto" w:fill="4BACC6" w:themeFill="accent5"/>
            <w:hideMark/>
          </w:tcPr>
          <w:p w:rsidR="00057323" w:rsidRPr="00057323" w:rsidRDefault="00057323" w:rsidP="00057323">
            <w:pPr>
              <w:spacing w:after="0"/>
              <w:jc w:val="right"/>
              <w:rPr>
                <w:rFonts w:asciiTheme="minorHAnsi" w:hAnsiTheme="minorHAnsi" w:cs="Arial"/>
                <w:b/>
                <w:bCs/>
                <w:sz w:val="19"/>
                <w:szCs w:val="19"/>
                <w:lang w:val="en-AU" w:eastAsia="en-AU"/>
              </w:rPr>
            </w:pPr>
            <w:r w:rsidRPr="00057323">
              <w:rPr>
                <w:rFonts w:asciiTheme="minorHAnsi" w:hAnsiTheme="minorHAnsi" w:cs="Arial"/>
                <w:b/>
                <w:bCs/>
                <w:sz w:val="19"/>
                <w:szCs w:val="19"/>
                <w:lang w:val="en-AU" w:eastAsia="en-AU"/>
              </w:rPr>
              <w:t>2008</w:t>
            </w:r>
          </w:p>
        </w:tc>
        <w:tc>
          <w:tcPr>
            <w:tcW w:w="674" w:type="dxa"/>
            <w:shd w:val="clear" w:color="auto" w:fill="4BACC6" w:themeFill="accent5"/>
            <w:hideMark/>
          </w:tcPr>
          <w:p w:rsidR="00057323" w:rsidRPr="00057323" w:rsidRDefault="00057323" w:rsidP="00057323">
            <w:pPr>
              <w:spacing w:after="0"/>
              <w:jc w:val="right"/>
              <w:rPr>
                <w:rFonts w:asciiTheme="minorHAnsi" w:hAnsiTheme="minorHAnsi" w:cs="Arial"/>
                <w:b/>
                <w:bCs/>
                <w:sz w:val="19"/>
                <w:szCs w:val="19"/>
                <w:lang w:val="en-AU" w:eastAsia="en-AU"/>
              </w:rPr>
            </w:pPr>
            <w:r w:rsidRPr="00057323">
              <w:rPr>
                <w:rFonts w:asciiTheme="minorHAnsi" w:hAnsiTheme="minorHAnsi" w:cs="Arial"/>
                <w:b/>
                <w:bCs/>
                <w:sz w:val="19"/>
                <w:szCs w:val="19"/>
                <w:lang w:val="en-AU" w:eastAsia="en-AU"/>
              </w:rPr>
              <w:t>2009</w:t>
            </w:r>
          </w:p>
        </w:tc>
        <w:tc>
          <w:tcPr>
            <w:tcW w:w="674" w:type="dxa"/>
            <w:shd w:val="clear" w:color="auto" w:fill="4BACC6" w:themeFill="accent5"/>
            <w:hideMark/>
          </w:tcPr>
          <w:p w:rsidR="00057323" w:rsidRPr="00057323" w:rsidRDefault="00057323" w:rsidP="00057323">
            <w:pPr>
              <w:spacing w:after="0"/>
              <w:jc w:val="right"/>
              <w:rPr>
                <w:rFonts w:asciiTheme="minorHAnsi" w:hAnsiTheme="minorHAnsi" w:cs="Arial"/>
                <w:b/>
                <w:bCs/>
                <w:sz w:val="19"/>
                <w:szCs w:val="19"/>
                <w:lang w:val="en-AU" w:eastAsia="en-AU"/>
              </w:rPr>
            </w:pPr>
            <w:r w:rsidRPr="00057323">
              <w:rPr>
                <w:rFonts w:asciiTheme="minorHAnsi" w:hAnsiTheme="minorHAnsi" w:cs="Arial"/>
                <w:b/>
                <w:bCs/>
                <w:sz w:val="19"/>
                <w:szCs w:val="19"/>
                <w:lang w:val="en-AU" w:eastAsia="en-AU"/>
              </w:rPr>
              <w:t>2010</w:t>
            </w:r>
          </w:p>
        </w:tc>
        <w:tc>
          <w:tcPr>
            <w:tcW w:w="674" w:type="dxa"/>
            <w:shd w:val="clear" w:color="auto" w:fill="4BACC6" w:themeFill="accent5"/>
            <w:hideMark/>
          </w:tcPr>
          <w:p w:rsidR="00057323" w:rsidRPr="00057323" w:rsidRDefault="00057323" w:rsidP="00057323">
            <w:pPr>
              <w:spacing w:after="0"/>
              <w:jc w:val="right"/>
              <w:rPr>
                <w:rFonts w:asciiTheme="minorHAnsi" w:hAnsiTheme="minorHAnsi" w:cs="Arial"/>
                <w:b/>
                <w:bCs/>
                <w:sz w:val="19"/>
                <w:szCs w:val="19"/>
                <w:lang w:val="en-AU" w:eastAsia="en-AU"/>
              </w:rPr>
            </w:pPr>
            <w:r w:rsidRPr="00057323">
              <w:rPr>
                <w:rFonts w:asciiTheme="minorHAnsi" w:hAnsiTheme="minorHAnsi" w:cs="Arial"/>
                <w:b/>
                <w:bCs/>
                <w:sz w:val="19"/>
                <w:szCs w:val="19"/>
                <w:lang w:val="en-AU" w:eastAsia="en-AU"/>
              </w:rPr>
              <w:t>2011</w:t>
            </w:r>
          </w:p>
        </w:tc>
        <w:tc>
          <w:tcPr>
            <w:tcW w:w="674" w:type="dxa"/>
            <w:shd w:val="clear" w:color="auto" w:fill="4BACC6" w:themeFill="accent5"/>
            <w:hideMark/>
          </w:tcPr>
          <w:p w:rsidR="00057323" w:rsidRPr="00057323" w:rsidRDefault="00057323" w:rsidP="00057323">
            <w:pPr>
              <w:spacing w:after="0"/>
              <w:jc w:val="right"/>
              <w:rPr>
                <w:rFonts w:asciiTheme="minorHAnsi" w:hAnsiTheme="minorHAnsi" w:cs="Arial"/>
                <w:b/>
                <w:bCs/>
                <w:sz w:val="19"/>
                <w:szCs w:val="19"/>
                <w:lang w:val="en-AU" w:eastAsia="en-AU"/>
              </w:rPr>
            </w:pPr>
            <w:r w:rsidRPr="00057323">
              <w:rPr>
                <w:rFonts w:asciiTheme="minorHAnsi" w:hAnsiTheme="minorHAnsi" w:cs="Arial"/>
                <w:b/>
                <w:bCs/>
                <w:sz w:val="19"/>
                <w:szCs w:val="19"/>
                <w:lang w:val="en-AU" w:eastAsia="en-AU"/>
              </w:rPr>
              <w:t>2012</w:t>
            </w:r>
          </w:p>
        </w:tc>
        <w:tc>
          <w:tcPr>
            <w:tcW w:w="674" w:type="dxa"/>
            <w:shd w:val="clear" w:color="auto" w:fill="4BACC6" w:themeFill="accent5"/>
            <w:hideMark/>
          </w:tcPr>
          <w:p w:rsidR="00057323" w:rsidRPr="00057323" w:rsidRDefault="00057323" w:rsidP="00057323">
            <w:pPr>
              <w:spacing w:after="0"/>
              <w:jc w:val="right"/>
              <w:rPr>
                <w:rFonts w:asciiTheme="minorHAnsi" w:hAnsiTheme="minorHAnsi" w:cs="Arial"/>
                <w:b/>
                <w:bCs/>
                <w:sz w:val="19"/>
                <w:szCs w:val="19"/>
                <w:lang w:val="en-AU" w:eastAsia="en-AU"/>
              </w:rPr>
            </w:pPr>
            <w:r w:rsidRPr="00057323">
              <w:rPr>
                <w:rFonts w:asciiTheme="minorHAnsi" w:hAnsiTheme="minorHAnsi" w:cs="Arial"/>
                <w:b/>
                <w:bCs/>
                <w:sz w:val="19"/>
                <w:szCs w:val="19"/>
                <w:lang w:val="en-AU" w:eastAsia="en-AU"/>
              </w:rPr>
              <w:t>2013</w:t>
            </w:r>
          </w:p>
        </w:tc>
      </w:tr>
      <w:tr w:rsidR="00057323" w:rsidRPr="00057323" w:rsidTr="00057323">
        <w:trPr>
          <w:trHeight w:val="525"/>
        </w:trPr>
        <w:tc>
          <w:tcPr>
            <w:tcW w:w="1858" w:type="dxa"/>
            <w:shd w:val="clear" w:color="auto" w:fill="auto"/>
            <w:hideMark/>
          </w:tcPr>
          <w:p w:rsidR="00057323" w:rsidRPr="00057323" w:rsidRDefault="00057323" w:rsidP="00057323">
            <w:pPr>
              <w:spacing w:after="0"/>
              <w:rPr>
                <w:rFonts w:asciiTheme="minorHAnsi" w:hAnsiTheme="minorHAnsi" w:cs="Arial"/>
                <w:w w:val="90"/>
                <w:sz w:val="18"/>
                <w:szCs w:val="18"/>
                <w:lang w:val="en-AU" w:eastAsia="en-AU"/>
              </w:rPr>
            </w:pPr>
            <w:r w:rsidRPr="00057323">
              <w:rPr>
                <w:rFonts w:asciiTheme="minorHAnsi" w:hAnsiTheme="minorHAnsi" w:cs="Arial"/>
                <w:w w:val="90"/>
                <w:sz w:val="18"/>
                <w:szCs w:val="18"/>
                <w:lang w:val="en-AU" w:eastAsia="en-AU"/>
              </w:rPr>
              <w:t>Nominal National Education Expenditures (Rp trillion) (1)</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42.3</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53.1</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64.8</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63.1</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78.6</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122.99</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142.2</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154</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207.41</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225.2</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243.3</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286.6</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336.9</w:t>
            </w:r>
          </w:p>
        </w:tc>
      </w:tr>
      <w:tr w:rsidR="00057323" w:rsidRPr="00057323" w:rsidTr="00057323">
        <w:trPr>
          <w:trHeight w:val="480"/>
        </w:trPr>
        <w:tc>
          <w:tcPr>
            <w:tcW w:w="1858" w:type="dxa"/>
            <w:shd w:val="clear" w:color="auto" w:fill="auto"/>
            <w:hideMark/>
          </w:tcPr>
          <w:p w:rsidR="00057323" w:rsidRPr="00057323" w:rsidRDefault="00057323" w:rsidP="00057323">
            <w:pPr>
              <w:spacing w:after="0"/>
              <w:rPr>
                <w:rFonts w:asciiTheme="minorHAnsi" w:hAnsiTheme="minorHAnsi" w:cs="Arial"/>
                <w:w w:val="90"/>
                <w:sz w:val="18"/>
                <w:szCs w:val="18"/>
                <w:lang w:val="en-AU" w:eastAsia="en-AU"/>
              </w:rPr>
            </w:pPr>
            <w:r w:rsidRPr="00057323">
              <w:rPr>
                <w:rFonts w:asciiTheme="minorHAnsi" w:hAnsiTheme="minorHAnsi" w:cs="Arial"/>
                <w:w w:val="90"/>
                <w:sz w:val="18"/>
                <w:szCs w:val="18"/>
                <w:lang w:val="en-AU" w:eastAsia="en-AU"/>
              </w:rPr>
              <w:t>National Education Expenditures (Rp trillion 2001 prices)</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42.3</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47.8</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55.4</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50.4</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52.1</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76.1</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82.2</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79.2</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106.4</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109.4</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109.9</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123.9</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133.4</w:t>
            </w:r>
          </w:p>
        </w:tc>
      </w:tr>
      <w:tr w:rsidR="00057323" w:rsidRPr="00057323" w:rsidTr="00057323">
        <w:trPr>
          <w:trHeight w:val="285"/>
        </w:trPr>
        <w:tc>
          <w:tcPr>
            <w:tcW w:w="1858" w:type="dxa"/>
            <w:shd w:val="clear" w:color="auto" w:fill="auto"/>
            <w:hideMark/>
          </w:tcPr>
          <w:p w:rsidR="00057323" w:rsidRPr="00057323" w:rsidRDefault="00057323" w:rsidP="00057323">
            <w:pPr>
              <w:spacing w:after="0"/>
              <w:rPr>
                <w:rFonts w:asciiTheme="minorHAnsi" w:hAnsiTheme="minorHAnsi" w:cs="Arial"/>
                <w:w w:val="90"/>
                <w:sz w:val="18"/>
                <w:szCs w:val="18"/>
                <w:lang w:val="en-AU" w:eastAsia="en-AU"/>
              </w:rPr>
            </w:pPr>
            <w:r w:rsidRPr="00057323">
              <w:rPr>
                <w:rFonts w:asciiTheme="minorHAnsi" w:hAnsiTheme="minorHAnsi" w:cs="Arial"/>
                <w:w w:val="90"/>
                <w:sz w:val="18"/>
                <w:szCs w:val="18"/>
                <w:lang w:val="en-AU" w:eastAsia="en-AU"/>
              </w:rPr>
              <w:t>Education Exp. As % of National Public Exp.</w:t>
            </w:r>
            <w:r w:rsidRPr="00057323">
              <w:rPr>
                <w:rFonts w:asciiTheme="minorHAnsi" w:hAnsiTheme="minorHAnsi" w:cs="Arial"/>
                <w:w w:val="90"/>
                <w:sz w:val="18"/>
                <w:szCs w:val="18"/>
                <w:lang w:val="en-AU" w:eastAsia="en-AU"/>
              </w:rPr>
              <w:br/>
              <w:t xml:space="preserve">(% Total National Exp.) </w:t>
            </w:r>
          </w:p>
        </w:tc>
        <w:tc>
          <w:tcPr>
            <w:tcW w:w="674" w:type="dxa"/>
            <w:shd w:val="clear" w:color="auto" w:fill="auto"/>
            <w:hideMark/>
          </w:tcPr>
          <w:p w:rsidR="00057323" w:rsidRPr="00057323" w:rsidRDefault="00F12D06" w:rsidP="00F12D06">
            <w:pPr>
              <w:spacing w:after="0"/>
              <w:rPr>
                <w:rFonts w:asciiTheme="minorHAnsi" w:hAnsiTheme="minorHAnsi" w:cs="Arial"/>
                <w:sz w:val="18"/>
                <w:szCs w:val="18"/>
                <w:lang w:val="en-AU" w:eastAsia="en-AU"/>
              </w:rPr>
            </w:pPr>
            <w:r w:rsidRPr="00F12D06">
              <w:rPr>
                <w:rFonts w:asciiTheme="minorHAnsi" w:hAnsiTheme="minorHAnsi" w:cs="Arial"/>
                <w:sz w:val="18"/>
                <w:szCs w:val="18"/>
                <w:lang w:val="en-AU" w:eastAsia="en-AU"/>
              </w:rPr>
              <w:t>12.%</w:t>
            </w:r>
          </w:p>
        </w:tc>
        <w:tc>
          <w:tcPr>
            <w:tcW w:w="674" w:type="dxa"/>
            <w:shd w:val="clear" w:color="auto" w:fill="auto"/>
            <w:hideMark/>
          </w:tcPr>
          <w:p w:rsidR="00057323" w:rsidRPr="00057323" w:rsidRDefault="00057323" w:rsidP="00F12D06">
            <w:pPr>
              <w:spacing w:after="0"/>
              <w:rPr>
                <w:rFonts w:asciiTheme="minorHAnsi" w:hAnsiTheme="minorHAnsi" w:cs="Arial"/>
                <w:sz w:val="18"/>
                <w:szCs w:val="18"/>
                <w:lang w:val="en-AU" w:eastAsia="en-AU"/>
              </w:rPr>
            </w:pPr>
            <w:r w:rsidRPr="00057323">
              <w:rPr>
                <w:rFonts w:asciiTheme="minorHAnsi" w:hAnsiTheme="minorHAnsi" w:cs="Arial"/>
                <w:sz w:val="18"/>
                <w:szCs w:val="18"/>
                <w:lang w:val="en-AU" w:eastAsia="en-AU"/>
              </w:rPr>
              <w:t>15.8</w:t>
            </w:r>
            <w:r w:rsidR="00F12D06" w:rsidRPr="00F12D06">
              <w:rPr>
                <w:rFonts w:asciiTheme="minorHAnsi" w:hAnsiTheme="minorHAnsi" w:cs="Arial"/>
                <w:sz w:val="18"/>
                <w:szCs w:val="18"/>
                <w:lang w:val="en-AU" w:eastAsia="en-AU"/>
              </w:rPr>
              <w:t>%</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16.0%</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14.2%</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13.9%</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17.6%</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18.9%</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15.6%</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20.0%</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20.0%</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20.2%</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20.2%</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20.0%</w:t>
            </w:r>
          </w:p>
        </w:tc>
      </w:tr>
      <w:tr w:rsidR="00057323" w:rsidRPr="00057323" w:rsidTr="00057323">
        <w:trPr>
          <w:trHeight w:val="555"/>
        </w:trPr>
        <w:tc>
          <w:tcPr>
            <w:tcW w:w="1858" w:type="dxa"/>
            <w:shd w:val="clear" w:color="auto" w:fill="auto"/>
            <w:hideMark/>
          </w:tcPr>
          <w:p w:rsidR="00057323" w:rsidRPr="00057323" w:rsidRDefault="00057323" w:rsidP="00057323">
            <w:pPr>
              <w:spacing w:after="0"/>
              <w:rPr>
                <w:rFonts w:asciiTheme="minorHAnsi" w:hAnsiTheme="minorHAnsi" w:cs="Arial"/>
                <w:w w:val="90"/>
                <w:sz w:val="18"/>
                <w:szCs w:val="18"/>
                <w:lang w:val="en-AU" w:eastAsia="en-AU"/>
              </w:rPr>
            </w:pPr>
            <w:r w:rsidRPr="00057323">
              <w:rPr>
                <w:rFonts w:asciiTheme="minorHAnsi" w:hAnsiTheme="minorHAnsi" w:cs="Arial"/>
                <w:w w:val="90"/>
                <w:sz w:val="18"/>
                <w:szCs w:val="18"/>
                <w:lang w:val="en-AU" w:eastAsia="en-AU"/>
              </w:rPr>
              <w:t xml:space="preserve">National Education </w:t>
            </w:r>
            <w:r w:rsidRPr="00057323">
              <w:rPr>
                <w:rFonts w:asciiTheme="minorHAnsi" w:hAnsiTheme="minorHAnsi" w:cs="Arial"/>
                <w:w w:val="90"/>
                <w:sz w:val="18"/>
                <w:szCs w:val="18"/>
                <w:lang w:val="en-AU" w:eastAsia="en-AU"/>
              </w:rPr>
              <w:br/>
              <w:t>Exp. (% GDP)</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2.5%</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2.8%</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3.2%</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2.8%</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2.9%</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3.7%</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3.6%</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3.1%</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3.7%</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3.5%</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3.3%</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3.5%</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3.7%</w:t>
            </w:r>
          </w:p>
        </w:tc>
      </w:tr>
      <w:tr w:rsidR="00057323" w:rsidRPr="00057323" w:rsidTr="00057323">
        <w:trPr>
          <w:trHeight w:val="480"/>
        </w:trPr>
        <w:tc>
          <w:tcPr>
            <w:tcW w:w="1858" w:type="dxa"/>
            <w:shd w:val="clear" w:color="auto" w:fill="auto"/>
            <w:hideMark/>
          </w:tcPr>
          <w:p w:rsidR="00057323" w:rsidRPr="00057323" w:rsidRDefault="00057323" w:rsidP="00057323">
            <w:pPr>
              <w:spacing w:after="0"/>
              <w:rPr>
                <w:rFonts w:asciiTheme="minorHAnsi" w:hAnsiTheme="minorHAnsi" w:cs="Arial"/>
                <w:w w:val="90"/>
                <w:sz w:val="18"/>
                <w:szCs w:val="18"/>
                <w:lang w:val="en-AU" w:eastAsia="en-AU"/>
              </w:rPr>
            </w:pPr>
            <w:r w:rsidRPr="00057323">
              <w:rPr>
                <w:rFonts w:asciiTheme="minorHAnsi" w:hAnsiTheme="minorHAnsi" w:cs="Arial"/>
                <w:w w:val="90"/>
                <w:sz w:val="18"/>
                <w:szCs w:val="18"/>
                <w:lang w:val="en-AU" w:eastAsia="en-AU"/>
              </w:rPr>
              <w:t>Total Nominal National Expenditures (Rp trillion)</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352.8</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336.5</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405.4</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445.3</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565.1</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699.1</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752.4</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989.5</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1037.1</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1126.2</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1202.0</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1418.5</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1683.0</w:t>
            </w:r>
          </w:p>
        </w:tc>
      </w:tr>
      <w:tr w:rsidR="00057323" w:rsidRPr="00057323" w:rsidTr="00057323">
        <w:trPr>
          <w:trHeight w:val="270"/>
        </w:trPr>
        <w:tc>
          <w:tcPr>
            <w:tcW w:w="1858" w:type="dxa"/>
            <w:shd w:val="clear" w:color="auto" w:fill="auto"/>
            <w:hideMark/>
          </w:tcPr>
          <w:p w:rsidR="00057323" w:rsidRPr="00057323" w:rsidRDefault="00057323" w:rsidP="00057323">
            <w:pPr>
              <w:spacing w:after="0"/>
              <w:rPr>
                <w:rFonts w:asciiTheme="minorHAnsi" w:hAnsiTheme="minorHAnsi" w:cs="Arial"/>
                <w:w w:val="90"/>
                <w:sz w:val="18"/>
                <w:szCs w:val="18"/>
                <w:lang w:val="en-AU" w:eastAsia="en-AU"/>
              </w:rPr>
            </w:pPr>
            <w:r w:rsidRPr="00057323">
              <w:rPr>
                <w:rFonts w:asciiTheme="minorHAnsi" w:hAnsiTheme="minorHAnsi" w:cs="Arial"/>
                <w:w w:val="90"/>
                <w:sz w:val="18"/>
                <w:szCs w:val="18"/>
                <w:lang w:val="en-AU" w:eastAsia="en-AU"/>
              </w:rPr>
              <w:t>GDP at Current Prices (4) (Rp trillion)</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1684.0</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1897.8</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2013.6</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2273.1</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2729.7</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3339.2</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3949.3</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4954.0</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5606.0</w:t>
            </w:r>
          </w:p>
        </w:tc>
        <w:tc>
          <w:tcPr>
            <w:tcW w:w="674" w:type="dxa"/>
            <w:shd w:val="clear" w:color="auto" w:fill="auto"/>
            <w:noWrap/>
            <w:vAlign w:val="bottom"/>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6446.9</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7419.2</w:t>
            </w:r>
          </w:p>
        </w:tc>
        <w:tc>
          <w:tcPr>
            <w:tcW w:w="674" w:type="dxa"/>
            <w:shd w:val="clear" w:color="auto" w:fill="auto"/>
            <w:noWrap/>
            <w:vAlign w:val="bottom"/>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8229</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9084.0</w:t>
            </w:r>
          </w:p>
        </w:tc>
      </w:tr>
      <w:tr w:rsidR="00057323" w:rsidRPr="00057323" w:rsidTr="00057323">
        <w:trPr>
          <w:trHeight w:val="480"/>
        </w:trPr>
        <w:tc>
          <w:tcPr>
            <w:tcW w:w="1858" w:type="dxa"/>
            <w:shd w:val="clear" w:color="auto" w:fill="auto"/>
            <w:hideMark/>
          </w:tcPr>
          <w:p w:rsidR="00057323" w:rsidRPr="00057323" w:rsidRDefault="00057323" w:rsidP="00057323">
            <w:pPr>
              <w:spacing w:after="0"/>
              <w:rPr>
                <w:rFonts w:asciiTheme="minorHAnsi" w:hAnsiTheme="minorHAnsi" w:cs="Arial"/>
                <w:w w:val="90"/>
                <w:sz w:val="18"/>
                <w:szCs w:val="18"/>
                <w:lang w:val="en-AU" w:eastAsia="en-AU"/>
              </w:rPr>
            </w:pPr>
            <w:r w:rsidRPr="00057323">
              <w:rPr>
                <w:rFonts w:asciiTheme="minorHAnsi" w:hAnsiTheme="minorHAnsi" w:cs="Arial"/>
                <w:w w:val="90"/>
                <w:sz w:val="18"/>
                <w:szCs w:val="18"/>
                <w:lang w:val="en-AU" w:eastAsia="en-AU"/>
              </w:rPr>
              <w:t>Total Real National Expenditures (Rp. Trillion 2001 prices)</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352.8</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302.7</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346.3</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356.0</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374.5</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432.7</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435.0</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508.8</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532.2</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547.3</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543.1</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613.4</w:t>
            </w:r>
          </w:p>
        </w:tc>
        <w:tc>
          <w:tcPr>
            <w:tcW w:w="674" w:type="dxa"/>
            <w:shd w:val="clear" w:color="auto" w:fill="auto"/>
            <w:hideMark/>
          </w:tcPr>
          <w:p w:rsidR="00057323" w:rsidRPr="00057323" w:rsidRDefault="00057323" w:rsidP="00057323">
            <w:pPr>
              <w:spacing w:after="0"/>
              <w:jc w:val="right"/>
              <w:rPr>
                <w:rFonts w:asciiTheme="minorHAnsi" w:hAnsiTheme="minorHAnsi" w:cs="Arial"/>
                <w:sz w:val="18"/>
                <w:szCs w:val="18"/>
                <w:lang w:val="en-AU" w:eastAsia="en-AU"/>
              </w:rPr>
            </w:pPr>
            <w:r w:rsidRPr="00057323">
              <w:rPr>
                <w:rFonts w:asciiTheme="minorHAnsi" w:hAnsiTheme="minorHAnsi" w:cs="Arial"/>
                <w:sz w:val="18"/>
                <w:szCs w:val="18"/>
                <w:lang w:val="en-AU" w:eastAsia="en-AU"/>
              </w:rPr>
              <w:t>666.6</w:t>
            </w:r>
          </w:p>
        </w:tc>
      </w:tr>
    </w:tbl>
    <w:p w:rsidR="00057323" w:rsidRDefault="00057323" w:rsidP="00621917">
      <w:pPr>
        <w:pStyle w:val="ListParagraph"/>
        <w:ind w:left="426"/>
        <w:jc w:val="both"/>
        <w:rPr>
          <w:rStyle w:val="SubtleReference"/>
          <w:b w:val="0"/>
          <w:sz w:val="16"/>
          <w:szCs w:val="16"/>
        </w:rPr>
      </w:pPr>
    </w:p>
    <w:p w:rsidR="00D21284" w:rsidRPr="008045B0" w:rsidRDefault="00D21284" w:rsidP="008045B0">
      <w:pPr>
        <w:pStyle w:val="ListParagraph"/>
        <w:numPr>
          <w:ilvl w:val="0"/>
          <w:numId w:val="43"/>
        </w:numPr>
        <w:spacing w:after="120" w:line="240" w:lineRule="auto"/>
        <w:ind w:left="426" w:hanging="284"/>
        <w:contextualSpacing w:val="0"/>
        <w:jc w:val="both"/>
        <w:rPr>
          <w:rStyle w:val="SubtleReference"/>
          <w:b w:val="0"/>
          <w:sz w:val="16"/>
          <w:szCs w:val="18"/>
        </w:rPr>
      </w:pPr>
      <w:r w:rsidRPr="008045B0">
        <w:rPr>
          <w:rStyle w:val="SubtleReference"/>
          <w:b w:val="0"/>
          <w:sz w:val="16"/>
          <w:szCs w:val="18"/>
        </w:rPr>
        <w:t>Financial data for 2005-2008 from (</w:t>
      </w:r>
      <w:r w:rsidR="007168AC" w:rsidRPr="008045B0">
        <w:rPr>
          <w:rStyle w:val="SubtleReference"/>
          <w:b w:val="0"/>
          <w:sz w:val="16"/>
          <w:szCs w:val="18"/>
        </w:rPr>
        <w:t>CC:</w:t>
      </w:r>
      <w:r w:rsidRPr="008045B0">
        <w:rPr>
          <w:rStyle w:val="SubtleReference"/>
          <w:b w:val="0"/>
          <w:sz w:val="16"/>
          <w:szCs w:val="18"/>
        </w:rPr>
        <w:t xml:space="preserve"> Constitutional Court Decision PUU-13/2008) where Government of Indonesia provided a detailed breakdown of expenditure allocations. Data for 2001-2004 collected by World Bank and presented in its publication </w:t>
      </w:r>
      <w:r w:rsidRPr="008045B0">
        <w:rPr>
          <w:rStyle w:val="SubtleReference"/>
          <w:b w:val="0"/>
          <w:i/>
          <w:sz w:val="16"/>
          <w:szCs w:val="18"/>
        </w:rPr>
        <w:t>Investing in Indonesia's Education</w:t>
      </w:r>
      <w:r w:rsidRPr="008045B0">
        <w:rPr>
          <w:rStyle w:val="SubtleReference"/>
          <w:b w:val="0"/>
          <w:sz w:val="16"/>
          <w:szCs w:val="18"/>
        </w:rPr>
        <w:t xml:space="preserve"> (WB, 2007).</w:t>
      </w:r>
      <w:r w:rsidR="00593393">
        <w:rPr>
          <w:rStyle w:val="SubtleReference"/>
          <w:b w:val="0"/>
          <w:sz w:val="16"/>
          <w:szCs w:val="18"/>
        </w:rPr>
        <w:t xml:space="preserve"> Education expenditures and total national public expenditures 2009 -2013, from MoF </w:t>
      </w:r>
      <w:r w:rsidR="00593393">
        <w:rPr>
          <w:rStyle w:val="SubtleReference"/>
          <w:b w:val="0"/>
          <w:i/>
          <w:sz w:val="16"/>
          <w:szCs w:val="18"/>
        </w:rPr>
        <w:t>Financial Note and Indonesia Budget Year (</w:t>
      </w:r>
      <w:r w:rsidR="00593393" w:rsidRPr="00593393">
        <w:rPr>
          <w:rStyle w:val="SubtleReference"/>
          <w:b w:val="0"/>
          <w:sz w:val="16"/>
          <w:szCs w:val="18"/>
        </w:rPr>
        <w:t>for each relevant year</w:t>
      </w:r>
      <w:r w:rsidR="00593393">
        <w:rPr>
          <w:rStyle w:val="SubtleReference"/>
          <w:b w:val="0"/>
          <w:sz w:val="16"/>
          <w:szCs w:val="18"/>
        </w:rPr>
        <w:t>)</w:t>
      </w:r>
      <w:r w:rsidR="00593393" w:rsidRPr="00593393">
        <w:rPr>
          <w:rStyle w:val="SubtleReference"/>
          <w:b w:val="0"/>
          <w:sz w:val="16"/>
          <w:szCs w:val="18"/>
        </w:rPr>
        <w:t>.</w:t>
      </w:r>
    </w:p>
    <w:p w:rsidR="00D21284" w:rsidRPr="00057323" w:rsidRDefault="00D21284" w:rsidP="00057323">
      <w:pPr>
        <w:pStyle w:val="ListParagraph"/>
        <w:numPr>
          <w:ilvl w:val="0"/>
          <w:numId w:val="43"/>
        </w:numPr>
        <w:spacing w:after="120" w:line="240" w:lineRule="auto"/>
        <w:ind w:left="426" w:hanging="284"/>
        <w:contextualSpacing w:val="0"/>
        <w:jc w:val="both"/>
        <w:rPr>
          <w:rStyle w:val="SubtleReference"/>
          <w:b w:val="0"/>
          <w:sz w:val="16"/>
          <w:szCs w:val="18"/>
        </w:rPr>
      </w:pPr>
      <w:r w:rsidRPr="00057323">
        <w:rPr>
          <w:rStyle w:val="SubtleReference"/>
          <w:b w:val="0"/>
          <w:sz w:val="16"/>
          <w:szCs w:val="18"/>
        </w:rPr>
        <w:t xml:space="preserve">Inflation data for 2001-2006 from BPS Key Indicators of Indonesia Table 5.2 Inflation Rate Year on Year 2002-2007 Statistic </w:t>
      </w:r>
      <w:hyperlink r:id="rId32" w:history="1">
        <w:r w:rsidRPr="00057323">
          <w:rPr>
            <w:rStyle w:val="SubtleReference"/>
            <w:b w:val="0"/>
            <w:color w:val="1F497D"/>
            <w:sz w:val="16"/>
            <w:szCs w:val="18"/>
          </w:rPr>
          <w:t>http://dds.bps.go.id/eng/download_file/Booklet_indikatorkunci.pdf</w:t>
        </w:r>
      </w:hyperlink>
      <w:r w:rsidR="0007052D" w:rsidRPr="00057323">
        <w:rPr>
          <w:rStyle w:val="SubtleReference"/>
          <w:b w:val="0"/>
          <w:color w:val="1F497D"/>
          <w:sz w:val="16"/>
          <w:szCs w:val="18"/>
        </w:rPr>
        <w:t>. This line compares expenditures at constant 2001 prices to remove the cost of price inflation across years</w:t>
      </w:r>
      <w:r w:rsidR="00057323" w:rsidRPr="00057323">
        <w:rPr>
          <w:rStyle w:val="SubtleReference"/>
          <w:b w:val="0"/>
          <w:color w:val="1F497D"/>
          <w:sz w:val="16"/>
          <w:szCs w:val="18"/>
        </w:rPr>
        <w:t>.</w:t>
      </w:r>
      <w:r w:rsidRPr="00057323">
        <w:rPr>
          <w:rStyle w:val="SubtleReference"/>
          <w:b w:val="0"/>
          <w:sz w:val="16"/>
          <w:szCs w:val="18"/>
        </w:rPr>
        <w:t>Inflation rate for 2007-2009 from BPS Statistical Yearbook 2009 Table 12.5 Composite Inflation Rate 2006-2009.</w:t>
      </w:r>
      <w:r w:rsidRPr="00057323">
        <w:rPr>
          <w:b/>
          <w:sz w:val="16"/>
          <w:szCs w:val="18"/>
        </w:rPr>
        <w:t xml:space="preserve"> I</w:t>
      </w:r>
      <w:r w:rsidR="00057323" w:rsidRPr="00057323">
        <w:rPr>
          <w:rStyle w:val="SubtleReference"/>
          <w:b w:val="0"/>
          <w:sz w:val="16"/>
          <w:szCs w:val="18"/>
        </w:rPr>
        <w:t>nflation rate For 2010-2011</w:t>
      </w:r>
      <w:r w:rsidRPr="00057323">
        <w:rPr>
          <w:rStyle w:val="SubtleReference"/>
          <w:b w:val="0"/>
          <w:sz w:val="16"/>
          <w:szCs w:val="18"/>
        </w:rPr>
        <w:t xml:space="preserve">, BPS Statistical YearBook 2012 </w:t>
      </w:r>
      <w:hyperlink r:id="rId33" w:history="1">
        <w:r w:rsidR="00057323" w:rsidRPr="0035637B">
          <w:rPr>
            <w:rStyle w:val="Hyperlink"/>
            <w:rFonts w:ascii="Calibri" w:hAnsi="Calibri" w:cs="Times New Roman"/>
            <w:sz w:val="16"/>
            <w:szCs w:val="18"/>
          </w:rPr>
          <w:t>http://www.bps.go.id/eng/flip/flip11/index3.php</w:t>
        </w:r>
      </w:hyperlink>
      <w:r w:rsidR="00057323">
        <w:rPr>
          <w:rStyle w:val="SubtleReference"/>
          <w:b w:val="0"/>
          <w:sz w:val="16"/>
          <w:szCs w:val="18"/>
        </w:rPr>
        <w:t>. Inflation rate for 2012</w:t>
      </w:r>
      <w:r w:rsidR="00057323" w:rsidRPr="00057323">
        <w:rPr>
          <w:rStyle w:val="SubtleReference"/>
          <w:b w:val="0"/>
          <w:color w:val="002060"/>
          <w:sz w:val="16"/>
          <w:szCs w:val="18"/>
        </w:rPr>
        <w:t xml:space="preserve">-2013BPS </w:t>
      </w:r>
      <w:r w:rsidR="00057323" w:rsidRPr="00057323">
        <w:rPr>
          <w:rStyle w:val="SubtleReference"/>
          <w:b w:val="0"/>
          <w:color w:val="1F497D" w:themeColor="text2"/>
          <w:sz w:val="16"/>
          <w:szCs w:val="18"/>
        </w:rPr>
        <w:t>http://www.bps.go.id/eng/aboutus.php?inflasi=1</w:t>
      </w:r>
    </w:p>
    <w:p w:rsidR="00D21284" w:rsidRPr="008045B0" w:rsidRDefault="00D21284" w:rsidP="00593393">
      <w:pPr>
        <w:pStyle w:val="ListParagraph"/>
        <w:numPr>
          <w:ilvl w:val="0"/>
          <w:numId w:val="43"/>
        </w:numPr>
        <w:spacing w:after="120" w:line="240" w:lineRule="auto"/>
        <w:ind w:left="426" w:hanging="284"/>
        <w:contextualSpacing w:val="0"/>
        <w:rPr>
          <w:rStyle w:val="SubtleReference"/>
          <w:b w:val="0"/>
          <w:sz w:val="16"/>
          <w:szCs w:val="18"/>
        </w:rPr>
      </w:pPr>
      <w:r w:rsidRPr="008045B0">
        <w:rPr>
          <w:rStyle w:val="SubtleReference"/>
          <w:b w:val="0"/>
          <w:sz w:val="16"/>
          <w:szCs w:val="18"/>
        </w:rPr>
        <w:t xml:space="preserve">GDP at current prices from Bureau of Statistics 2001-2009, For 2010 - 2012, BPS Gross Domestic Product at Current Market Prices By Industrial Origin (Billion Rupiahs), </w:t>
      </w:r>
      <w:hyperlink r:id="rId34" w:history="1">
        <w:r w:rsidR="00593393" w:rsidRPr="0035637B">
          <w:rPr>
            <w:rStyle w:val="Hyperlink"/>
            <w:rFonts w:ascii="Calibri" w:hAnsi="Calibri" w:cs="Times New Roman"/>
            <w:sz w:val="16"/>
            <w:szCs w:val="18"/>
          </w:rPr>
          <w:t>http://www.bps.go.id/eng/tab_sub/view.php?kat=2&amp;tabel=1&amp;daftar=1&amp;id_subyek=11&amp;notab=1</w:t>
        </w:r>
      </w:hyperlink>
      <w:r w:rsidR="00593393">
        <w:rPr>
          <w:rStyle w:val="SubtleReference"/>
          <w:b w:val="0"/>
          <w:color w:val="1F497D" w:themeColor="text2"/>
          <w:sz w:val="16"/>
          <w:szCs w:val="18"/>
        </w:rPr>
        <w:t xml:space="preserve">. </w:t>
      </w:r>
      <w:r w:rsidR="00593393" w:rsidRPr="00593393">
        <w:rPr>
          <w:rStyle w:val="SubtleReference"/>
          <w:b w:val="0"/>
          <w:sz w:val="16"/>
          <w:szCs w:val="18"/>
        </w:rPr>
        <w:t xml:space="preserve">For 2013, GDP from BPS Statistical Yearbook 2014 </w:t>
      </w:r>
      <w:r w:rsidR="00593393">
        <w:rPr>
          <w:rStyle w:val="SubtleReference"/>
          <w:b w:val="0"/>
          <w:color w:val="1F497D" w:themeColor="text2"/>
          <w:sz w:val="16"/>
          <w:szCs w:val="18"/>
        </w:rPr>
        <w:t>h</w:t>
      </w:r>
      <w:r w:rsidR="00593393" w:rsidRPr="00593393">
        <w:rPr>
          <w:rStyle w:val="SubtleReference"/>
          <w:b w:val="0"/>
          <w:color w:val="1F497D" w:themeColor="text2"/>
          <w:sz w:val="16"/>
          <w:szCs w:val="18"/>
        </w:rPr>
        <w:t>ttp://www.bps.go.id/eng/hasil_publikasi/SI_2014/index3.php?pub=Statistik%20Indonesia%202014</w:t>
      </w:r>
    </w:p>
    <w:p w:rsidR="00D21284" w:rsidRPr="00C8389B" w:rsidRDefault="00D21284" w:rsidP="00D21284"/>
    <w:p w:rsidR="00FA7330" w:rsidRPr="008045B0" w:rsidRDefault="00FA7330" w:rsidP="00FA7330">
      <w:pPr>
        <w:pStyle w:val="Heading2"/>
        <w:rPr>
          <w:rFonts w:asciiTheme="minorHAnsi" w:hAnsiTheme="minorHAnsi"/>
          <w:b/>
          <w:sz w:val="32"/>
          <w:szCs w:val="22"/>
        </w:rPr>
      </w:pPr>
      <w:r w:rsidRPr="008045B0">
        <w:rPr>
          <w:rFonts w:asciiTheme="minorHAnsi" w:hAnsiTheme="minorHAnsi"/>
          <w:b/>
          <w:sz w:val="32"/>
          <w:szCs w:val="22"/>
        </w:rPr>
        <w:lastRenderedPageBreak/>
        <w:t xml:space="preserve">Key Performance Indicators </w:t>
      </w:r>
    </w:p>
    <w:p w:rsidR="001C31F4" w:rsidRPr="009160EF" w:rsidRDefault="001C31F4" w:rsidP="00402A11">
      <w:pPr>
        <w:pStyle w:val="Heading3"/>
      </w:pPr>
      <w:r w:rsidRPr="009160EF">
        <w:t>KPI 1: Education Expenditure as Proportion of Total Public Expenditure</w:t>
      </w:r>
    </w:p>
    <w:p w:rsidR="00A4260C" w:rsidRDefault="00A4260C" w:rsidP="009A2DC1">
      <w:pPr>
        <w:pStyle w:val="Caption"/>
        <w:rPr>
          <w:rStyle w:val="Strong"/>
          <w:b/>
        </w:rPr>
      </w:pPr>
      <w:bookmarkStart w:id="28" w:name="_Toc414281533"/>
      <w:r w:rsidRPr="00DF49DF">
        <w:rPr>
          <w:rStyle w:val="Strong"/>
          <w:b/>
        </w:rPr>
        <w:t>Education Expenditure as Proportion of Total National Public Expenditure, 2001-201</w:t>
      </w:r>
      <w:r w:rsidR="00593393">
        <w:rPr>
          <w:rStyle w:val="Strong"/>
          <w:b/>
        </w:rPr>
        <w:t>3</w:t>
      </w:r>
      <w:bookmarkEnd w:id="28"/>
    </w:p>
    <w:p w:rsidR="00593393" w:rsidRPr="00593393" w:rsidRDefault="00593393" w:rsidP="00593393">
      <w:pPr>
        <w:rPr>
          <w:lang w:val="en-GB"/>
        </w:rPr>
      </w:pPr>
      <w:r>
        <w:rPr>
          <w:noProof/>
          <w:lang w:val="en-AU" w:eastAsia="en-AU"/>
        </w:rPr>
        <w:drawing>
          <wp:inline distT="0" distB="0" distL="0" distR="0" wp14:anchorId="5090E7BC" wp14:editId="6216EB97">
            <wp:extent cx="5581816" cy="3228230"/>
            <wp:effectExtent l="0" t="0" r="19050" b="1079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4260C" w:rsidRDefault="00A4260C" w:rsidP="00DB55DD">
      <w:pPr>
        <w:spacing w:after="360"/>
        <w:jc w:val="center"/>
        <w:rPr>
          <w:rFonts w:asciiTheme="minorHAnsi" w:hAnsiTheme="minorHAnsi" w:cstheme="minorHAnsi"/>
        </w:rPr>
      </w:pPr>
    </w:p>
    <w:p w:rsidR="00B5666A" w:rsidRPr="00D21284" w:rsidRDefault="00B5666A" w:rsidP="00D21284"/>
    <w:tbl>
      <w:tblPr>
        <w:tblStyle w:val="TableGrid3"/>
        <w:tblW w:w="5000" w:type="pct"/>
        <w:jc w:val="center"/>
        <w:tblLayout w:type="fixed"/>
        <w:tblCellMar>
          <w:top w:w="57" w:type="dxa"/>
          <w:bottom w:w="57" w:type="dxa"/>
        </w:tblCellMar>
        <w:tblLook w:val="04A0" w:firstRow="1" w:lastRow="0" w:firstColumn="1" w:lastColumn="0" w:noHBand="0" w:noVBand="1"/>
      </w:tblPr>
      <w:tblGrid>
        <w:gridCol w:w="1849"/>
        <w:gridCol w:w="1849"/>
        <w:gridCol w:w="1849"/>
        <w:gridCol w:w="3698"/>
      </w:tblGrid>
      <w:tr w:rsidR="00431EBF" w:rsidRPr="00B5666A" w:rsidTr="00B5666A">
        <w:trPr>
          <w:tblHeader/>
          <w:jc w:val="center"/>
        </w:trPr>
        <w:tc>
          <w:tcPr>
            <w:tcW w:w="1000" w:type="pct"/>
            <w:tcBorders>
              <w:top w:val="single" w:sz="12" w:space="0" w:color="auto"/>
              <w:left w:val="single" w:sz="12" w:space="0" w:color="auto"/>
              <w:bottom w:val="single" w:sz="4" w:space="0" w:color="auto"/>
              <w:right w:val="single" w:sz="4" w:space="0" w:color="FFFFFF" w:themeColor="background1"/>
            </w:tcBorders>
            <w:shd w:val="clear" w:color="auto" w:fill="003880"/>
            <w:vAlign w:val="center"/>
          </w:tcPr>
          <w:p w:rsidR="006C249D" w:rsidRPr="00B5666A" w:rsidRDefault="00431EBF" w:rsidP="00B5666A">
            <w:pPr>
              <w:spacing w:after="0"/>
              <w:jc w:val="center"/>
              <w:rPr>
                <w:rFonts w:asciiTheme="minorHAnsi" w:hAnsiTheme="minorHAnsi" w:cstheme="minorHAnsi"/>
                <w:b/>
                <w:color w:val="FFFFFF" w:themeColor="background1"/>
                <w:sz w:val="20"/>
                <w:szCs w:val="20"/>
                <w:lang w:val="en-US"/>
              </w:rPr>
            </w:pPr>
            <w:r w:rsidRPr="00B5666A">
              <w:rPr>
                <w:rFonts w:asciiTheme="minorHAnsi" w:hAnsiTheme="minorHAnsi" w:cstheme="minorHAnsi"/>
                <w:b/>
                <w:color w:val="FFFFFF" w:themeColor="background1"/>
                <w:sz w:val="20"/>
                <w:szCs w:val="20"/>
                <w:lang w:val="en-US"/>
              </w:rPr>
              <w:t>KPI 1</w:t>
            </w:r>
          </w:p>
        </w:tc>
        <w:tc>
          <w:tcPr>
            <w:tcW w:w="6092" w:type="dxa"/>
            <w:gridSpan w:val="3"/>
            <w:tcBorders>
              <w:top w:val="single" w:sz="12" w:space="0" w:color="auto"/>
              <w:left w:val="single" w:sz="4" w:space="0" w:color="FFFFFF" w:themeColor="background1"/>
              <w:bottom w:val="single" w:sz="4" w:space="0" w:color="auto"/>
              <w:right w:val="single" w:sz="12" w:space="0" w:color="auto"/>
            </w:tcBorders>
            <w:shd w:val="clear" w:color="auto" w:fill="003880"/>
            <w:vAlign w:val="center"/>
          </w:tcPr>
          <w:p w:rsidR="006C249D" w:rsidRPr="00B5666A" w:rsidRDefault="00B5666A" w:rsidP="00B5666A">
            <w:pPr>
              <w:spacing w:after="0"/>
              <w:jc w:val="center"/>
              <w:rPr>
                <w:rFonts w:asciiTheme="minorHAnsi" w:eastAsia="Times New Roman" w:hAnsiTheme="minorHAnsi" w:cstheme="minorHAnsi"/>
                <w:b/>
                <w:color w:val="FFFFFF" w:themeColor="background1"/>
                <w:sz w:val="20"/>
                <w:szCs w:val="20"/>
                <w:lang w:val="en-US"/>
              </w:rPr>
            </w:pPr>
            <w:r w:rsidRPr="00B5666A">
              <w:rPr>
                <w:rFonts w:asciiTheme="minorHAnsi" w:hAnsiTheme="minorHAnsi" w:cstheme="minorHAnsi"/>
                <w:b/>
                <w:color w:val="FFFFFF" w:themeColor="background1"/>
                <w:sz w:val="20"/>
                <w:szCs w:val="20"/>
                <w:lang w:val="en-US"/>
              </w:rPr>
              <w:t>EDUCATION EXPENDITURE AS PROPORTION OF TOTAL PUBLIC EXPENDITURE</w:t>
            </w:r>
          </w:p>
        </w:tc>
      </w:tr>
      <w:tr w:rsidR="006C249D" w:rsidRPr="00B5666A" w:rsidTr="00490DE0">
        <w:trPr>
          <w:tblHeader/>
          <w:jc w:val="center"/>
        </w:trPr>
        <w:tc>
          <w:tcPr>
            <w:tcW w:w="9019" w:type="dxa"/>
            <w:gridSpan w:val="4"/>
            <w:tcBorders>
              <w:left w:val="single" w:sz="12" w:space="0" w:color="auto"/>
              <w:bottom w:val="single" w:sz="4" w:space="0" w:color="auto"/>
              <w:right w:val="single" w:sz="12" w:space="0" w:color="auto"/>
            </w:tcBorders>
            <w:shd w:val="clear" w:color="auto" w:fill="68BAD6"/>
            <w:vAlign w:val="center"/>
          </w:tcPr>
          <w:p w:rsidR="006C249D" w:rsidRPr="00B5666A" w:rsidRDefault="00B5666A" w:rsidP="00B5666A">
            <w:pPr>
              <w:spacing w:after="0"/>
              <w:jc w:val="center"/>
              <w:rPr>
                <w:rFonts w:asciiTheme="minorHAnsi" w:hAnsiTheme="minorHAnsi" w:cstheme="minorHAnsi"/>
                <w:b/>
                <w:color w:val="FFFFFF" w:themeColor="background1"/>
                <w:sz w:val="20"/>
                <w:szCs w:val="20"/>
                <w:lang w:val="en-US"/>
              </w:rPr>
            </w:pPr>
            <w:r w:rsidRPr="00B5666A">
              <w:rPr>
                <w:rFonts w:asciiTheme="minorHAnsi" w:hAnsiTheme="minorHAnsi" w:cstheme="minorHAnsi"/>
                <w:b/>
                <w:sz w:val="20"/>
                <w:szCs w:val="20"/>
                <w:lang w:val="en-US"/>
              </w:rPr>
              <w:t>STATUS AND TRENDS</w:t>
            </w:r>
          </w:p>
        </w:tc>
      </w:tr>
      <w:tr w:rsidR="00431EBF" w:rsidRPr="00B5666A" w:rsidTr="00B5666A">
        <w:trPr>
          <w:jc w:val="center"/>
        </w:trPr>
        <w:tc>
          <w:tcPr>
            <w:tcW w:w="1000" w:type="pct"/>
            <w:tcBorders>
              <w:left w:val="single" w:sz="12" w:space="0" w:color="auto"/>
              <w:bottom w:val="single" w:sz="4" w:space="0" w:color="auto"/>
            </w:tcBorders>
            <w:shd w:val="clear" w:color="auto" w:fill="BFBFBF" w:themeFill="background1" w:themeFillShade="BF"/>
            <w:vAlign w:val="center"/>
          </w:tcPr>
          <w:p w:rsidR="00431EBF" w:rsidRPr="00B5666A" w:rsidRDefault="00431EBF" w:rsidP="00B5666A">
            <w:pPr>
              <w:spacing w:after="0"/>
              <w:jc w:val="center"/>
              <w:rPr>
                <w:sz w:val="20"/>
                <w:szCs w:val="20"/>
                <w:lang w:val="en-AU"/>
              </w:rPr>
            </w:pPr>
            <w:r w:rsidRPr="00B5666A">
              <w:rPr>
                <w:sz w:val="20"/>
                <w:szCs w:val="20"/>
                <w:lang w:val="en-AU"/>
              </w:rPr>
              <w:t>Result</w:t>
            </w:r>
          </w:p>
        </w:tc>
        <w:tc>
          <w:tcPr>
            <w:tcW w:w="1000" w:type="pct"/>
            <w:shd w:val="clear" w:color="auto" w:fill="92D050"/>
            <w:vAlign w:val="center"/>
          </w:tcPr>
          <w:p w:rsidR="00431EBF" w:rsidRPr="00B5666A" w:rsidRDefault="00431EBF" w:rsidP="00B5666A">
            <w:pPr>
              <w:spacing w:after="0"/>
              <w:jc w:val="center"/>
              <w:rPr>
                <w:sz w:val="20"/>
                <w:szCs w:val="20"/>
                <w:lang w:val="en-AU"/>
              </w:rPr>
            </w:pPr>
            <w:r w:rsidRPr="00B5666A">
              <w:rPr>
                <w:sz w:val="20"/>
                <w:szCs w:val="20"/>
                <w:lang w:val="en-AU"/>
              </w:rPr>
              <w:t>Positive</w:t>
            </w:r>
          </w:p>
        </w:tc>
        <w:tc>
          <w:tcPr>
            <w:tcW w:w="1000" w:type="pct"/>
            <w:shd w:val="clear" w:color="auto" w:fill="BFBFBF" w:themeFill="background1" w:themeFillShade="BF"/>
            <w:vAlign w:val="center"/>
          </w:tcPr>
          <w:p w:rsidR="00431EBF" w:rsidRPr="00B5666A" w:rsidRDefault="00431EBF" w:rsidP="00B5666A">
            <w:pPr>
              <w:spacing w:after="0"/>
              <w:jc w:val="center"/>
              <w:rPr>
                <w:sz w:val="20"/>
                <w:szCs w:val="20"/>
                <w:lang w:val="en-AU"/>
              </w:rPr>
            </w:pPr>
            <w:r w:rsidRPr="00B5666A">
              <w:rPr>
                <w:sz w:val="20"/>
                <w:szCs w:val="20"/>
                <w:lang w:val="en-AU"/>
              </w:rPr>
              <w:t>Data availability</w:t>
            </w:r>
          </w:p>
        </w:tc>
        <w:tc>
          <w:tcPr>
            <w:tcW w:w="236" w:type="dxa"/>
            <w:tcBorders>
              <w:right w:val="single" w:sz="12" w:space="0" w:color="auto"/>
            </w:tcBorders>
            <w:vAlign w:val="center"/>
          </w:tcPr>
          <w:p w:rsidR="00431EBF" w:rsidRPr="00B5666A" w:rsidRDefault="00431EBF" w:rsidP="00B5666A">
            <w:pPr>
              <w:pStyle w:val="ListParagraph"/>
              <w:spacing w:after="0" w:line="240" w:lineRule="auto"/>
              <w:ind w:left="360"/>
              <w:contextualSpacing w:val="0"/>
              <w:rPr>
                <w:sz w:val="20"/>
                <w:szCs w:val="20"/>
                <w:lang w:val="en-AU"/>
              </w:rPr>
            </w:pPr>
            <w:r w:rsidRPr="00B5666A">
              <w:rPr>
                <w:sz w:val="20"/>
                <w:szCs w:val="20"/>
                <w:lang w:val="en-AU"/>
              </w:rPr>
              <w:t>Full</w:t>
            </w:r>
            <w:r w:rsidR="00F9628B">
              <w:rPr>
                <w:sz w:val="20"/>
                <w:szCs w:val="20"/>
                <w:lang w:val="en-AU"/>
              </w:rPr>
              <w:t xml:space="preserve"> – all data required has been collected and available for analysis</w:t>
            </w:r>
          </w:p>
        </w:tc>
      </w:tr>
      <w:tr w:rsidR="00431EBF" w:rsidRPr="00B5666A" w:rsidTr="00B5666A">
        <w:trPr>
          <w:jc w:val="center"/>
        </w:trPr>
        <w:tc>
          <w:tcPr>
            <w:tcW w:w="1000" w:type="pct"/>
            <w:tcBorders>
              <w:left w:val="single" w:sz="12" w:space="0" w:color="auto"/>
            </w:tcBorders>
            <w:shd w:val="clear" w:color="auto" w:fill="BFBFBF" w:themeFill="background1" w:themeFillShade="BF"/>
            <w:vAlign w:val="center"/>
          </w:tcPr>
          <w:p w:rsidR="00431EBF" w:rsidRPr="00B5666A" w:rsidRDefault="00182603" w:rsidP="00B5666A">
            <w:pPr>
              <w:spacing w:after="0"/>
              <w:jc w:val="center"/>
              <w:rPr>
                <w:sz w:val="20"/>
                <w:szCs w:val="20"/>
                <w:lang w:val="en-AU"/>
              </w:rPr>
            </w:pPr>
            <w:r w:rsidRPr="00B5666A">
              <w:rPr>
                <w:sz w:val="20"/>
                <w:szCs w:val="20"/>
                <w:lang w:val="en-AU"/>
              </w:rPr>
              <w:t>Observations</w:t>
            </w:r>
          </w:p>
        </w:tc>
        <w:tc>
          <w:tcPr>
            <w:tcW w:w="6092" w:type="dxa"/>
            <w:gridSpan w:val="3"/>
            <w:tcBorders>
              <w:right w:val="single" w:sz="12" w:space="0" w:color="auto"/>
            </w:tcBorders>
            <w:vAlign w:val="center"/>
          </w:tcPr>
          <w:p w:rsidR="00431EBF" w:rsidRPr="00B5666A" w:rsidRDefault="00561395" w:rsidP="00B5666A">
            <w:pPr>
              <w:pStyle w:val="ListParagraph"/>
              <w:numPr>
                <w:ilvl w:val="0"/>
                <w:numId w:val="12"/>
              </w:numPr>
              <w:spacing w:after="60" w:line="240" w:lineRule="auto"/>
              <w:ind w:left="284" w:hanging="284"/>
              <w:contextualSpacing w:val="0"/>
              <w:jc w:val="both"/>
              <w:rPr>
                <w:sz w:val="20"/>
                <w:szCs w:val="20"/>
                <w:lang w:val="en-AU"/>
              </w:rPr>
            </w:pPr>
            <w:r w:rsidRPr="00B5666A">
              <w:rPr>
                <w:sz w:val="20"/>
                <w:szCs w:val="20"/>
                <w:lang w:val="en-AU"/>
              </w:rPr>
              <w:t>GoI’s commitment to meet a 20% target for education expenditure share of national budget has be</w:t>
            </w:r>
            <w:r w:rsidR="009F7CCC">
              <w:rPr>
                <w:sz w:val="20"/>
                <w:szCs w:val="20"/>
                <w:lang w:val="en-AU"/>
              </w:rPr>
              <w:t>en met for the fifth</w:t>
            </w:r>
            <w:r w:rsidRPr="00B5666A">
              <w:rPr>
                <w:sz w:val="20"/>
                <w:szCs w:val="20"/>
                <w:lang w:val="en-AU"/>
              </w:rPr>
              <w:t xml:space="preserve"> year in a row</w:t>
            </w:r>
            <w:r w:rsidR="00962BFF">
              <w:rPr>
                <w:sz w:val="20"/>
                <w:szCs w:val="20"/>
                <w:lang w:val="en-AU"/>
              </w:rPr>
              <w:t xml:space="preserve"> (see Figure </w:t>
            </w:r>
            <w:r w:rsidR="00A5292A" w:rsidRPr="00B5666A">
              <w:rPr>
                <w:sz w:val="20"/>
                <w:szCs w:val="20"/>
                <w:lang w:val="en-AU"/>
              </w:rPr>
              <w:t>1)</w:t>
            </w:r>
            <w:r w:rsidRPr="00B5666A">
              <w:rPr>
                <w:sz w:val="20"/>
                <w:szCs w:val="20"/>
                <w:lang w:val="en-AU"/>
              </w:rPr>
              <w:t xml:space="preserve">. </w:t>
            </w:r>
          </w:p>
          <w:p w:rsidR="006319C5" w:rsidRPr="00B5666A" w:rsidRDefault="006319C5" w:rsidP="00B5666A">
            <w:pPr>
              <w:pStyle w:val="ListParagraph"/>
              <w:numPr>
                <w:ilvl w:val="0"/>
                <w:numId w:val="12"/>
              </w:numPr>
              <w:spacing w:after="60" w:line="240" w:lineRule="auto"/>
              <w:ind w:left="284" w:hanging="284"/>
              <w:contextualSpacing w:val="0"/>
              <w:jc w:val="both"/>
              <w:rPr>
                <w:sz w:val="20"/>
                <w:szCs w:val="20"/>
                <w:lang w:val="en-AU"/>
              </w:rPr>
            </w:pPr>
            <w:r w:rsidRPr="00B5666A">
              <w:rPr>
                <w:sz w:val="20"/>
                <w:szCs w:val="20"/>
                <w:lang w:val="en-AU"/>
              </w:rPr>
              <w:t>The nominal value of public expenditures for education increased from 207 trillion in 200</w:t>
            </w:r>
            <w:r w:rsidR="00357390" w:rsidRPr="00B5666A">
              <w:rPr>
                <w:sz w:val="20"/>
                <w:szCs w:val="20"/>
                <w:lang w:val="en-AU"/>
              </w:rPr>
              <w:t>9</w:t>
            </w:r>
            <w:r w:rsidR="009F7CCC">
              <w:rPr>
                <w:sz w:val="20"/>
                <w:szCs w:val="20"/>
                <w:lang w:val="en-AU"/>
              </w:rPr>
              <w:t xml:space="preserve"> to 337 trillion by 2013</w:t>
            </w:r>
            <w:r w:rsidR="00A5292A" w:rsidRPr="00B5666A">
              <w:rPr>
                <w:sz w:val="20"/>
                <w:szCs w:val="20"/>
                <w:lang w:val="en-AU"/>
              </w:rPr>
              <w:t xml:space="preserve"> (see Figure 2 over-page).</w:t>
            </w:r>
          </w:p>
          <w:p w:rsidR="00A5292A" w:rsidRPr="00B5666A" w:rsidRDefault="00A5292A" w:rsidP="00B5666A">
            <w:pPr>
              <w:pStyle w:val="ListParagraph"/>
              <w:numPr>
                <w:ilvl w:val="0"/>
                <w:numId w:val="12"/>
              </w:numPr>
              <w:spacing w:after="60" w:line="240" w:lineRule="auto"/>
              <w:ind w:left="284" w:hanging="284"/>
              <w:contextualSpacing w:val="0"/>
              <w:jc w:val="both"/>
              <w:rPr>
                <w:sz w:val="20"/>
                <w:szCs w:val="20"/>
                <w:lang w:val="en-AU"/>
              </w:rPr>
            </w:pPr>
            <w:r w:rsidRPr="00B5666A">
              <w:rPr>
                <w:sz w:val="20"/>
                <w:szCs w:val="20"/>
                <w:lang w:val="en-AU"/>
              </w:rPr>
              <w:t>The public expenditure for education (not accounting for price inflation) increased by approxima</w:t>
            </w:r>
            <w:r w:rsidR="00CB2671">
              <w:rPr>
                <w:sz w:val="20"/>
                <w:szCs w:val="20"/>
                <w:lang w:val="en-AU"/>
              </w:rPr>
              <w:t>tely 60% between 2009 and 2013</w:t>
            </w:r>
            <w:r w:rsidRPr="00B5666A">
              <w:rPr>
                <w:sz w:val="20"/>
                <w:szCs w:val="20"/>
                <w:lang w:val="en-AU"/>
              </w:rPr>
              <w:t xml:space="preserve">. </w:t>
            </w:r>
          </w:p>
          <w:p w:rsidR="006319C5" w:rsidRDefault="006319C5" w:rsidP="00B5666A">
            <w:pPr>
              <w:pStyle w:val="ListParagraph"/>
              <w:numPr>
                <w:ilvl w:val="0"/>
                <w:numId w:val="12"/>
              </w:numPr>
              <w:spacing w:after="60" w:line="240" w:lineRule="auto"/>
              <w:ind w:left="284" w:hanging="284"/>
              <w:contextualSpacing w:val="0"/>
              <w:jc w:val="both"/>
              <w:rPr>
                <w:sz w:val="20"/>
                <w:szCs w:val="20"/>
                <w:lang w:val="en-AU"/>
              </w:rPr>
            </w:pPr>
            <w:r w:rsidRPr="00B5666A">
              <w:rPr>
                <w:sz w:val="20"/>
                <w:szCs w:val="20"/>
                <w:lang w:val="en-AU"/>
              </w:rPr>
              <w:t>The real value of public expenditu</w:t>
            </w:r>
            <w:r w:rsidR="0009484F">
              <w:rPr>
                <w:sz w:val="20"/>
                <w:szCs w:val="20"/>
                <w:lang w:val="en-AU"/>
              </w:rPr>
              <w:t>re for education increased by 25</w:t>
            </w:r>
            <w:r w:rsidRPr="00B5666A">
              <w:rPr>
                <w:sz w:val="20"/>
                <w:szCs w:val="20"/>
                <w:lang w:val="en-AU"/>
              </w:rPr>
              <w:t>% during the period 2009- 201</w:t>
            </w:r>
            <w:r w:rsidR="0009484F">
              <w:rPr>
                <w:sz w:val="20"/>
                <w:szCs w:val="20"/>
                <w:lang w:val="en-AU"/>
              </w:rPr>
              <w:t>3</w:t>
            </w:r>
            <w:r w:rsidRPr="00B5666A">
              <w:rPr>
                <w:sz w:val="20"/>
                <w:szCs w:val="20"/>
                <w:lang w:val="en-AU"/>
              </w:rPr>
              <w:t xml:space="preserve">. Almost all of the real increase in funding occurred in </w:t>
            </w:r>
            <w:r w:rsidR="0009484F">
              <w:rPr>
                <w:sz w:val="20"/>
                <w:szCs w:val="20"/>
                <w:lang w:val="en-AU"/>
              </w:rPr>
              <w:t xml:space="preserve">the two years </w:t>
            </w:r>
            <w:r w:rsidRPr="00B5666A">
              <w:rPr>
                <w:sz w:val="20"/>
                <w:szCs w:val="20"/>
                <w:lang w:val="en-AU"/>
              </w:rPr>
              <w:t>2012</w:t>
            </w:r>
            <w:r w:rsidR="0009484F">
              <w:rPr>
                <w:sz w:val="20"/>
                <w:szCs w:val="20"/>
                <w:lang w:val="en-AU"/>
              </w:rPr>
              <w:t xml:space="preserve"> and 2013</w:t>
            </w:r>
            <w:r w:rsidRPr="00B5666A">
              <w:rPr>
                <w:sz w:val="20"/>
                <w:szCs w:val="20"/>
                <w:lang w:val="en-AU"/>
              </w:rPr>
              <w:t xml:space="preserve">. </w:t>
            </w:r>
          </w:p>
          <w:p w:rsidR="00F32324" w:rsidRPr="00B5666A" w:rsidRDefault="00F32324" w:rsidP="00B5666A">
            <w:pPr>
              <w:pStyle w:val="ListParagraph"/>
              <w:numPr>
                <w:ilvl w:val="0"/>
                <w:numId w:val="12"/>
              </w:numPr>
              <w:spacing w:after="60" w:line="240" w:lineRule="auto"/>
              <w:ind w:left="284" w:hanging="284"/>
              <w:contextualSpacing w:val="0"/>
              <w:jc w:val="both"/>
              <w:rPr>
                <w:sz w:val="20"/>
                <w:szCs w:val="20"/>
                <w:lang w:val="en-AU"/>
              </w:rPr>
            </w:pPr>
            <w:r>
              <w:rPr>
                <w:sz w:val="20"/>
                <w:szCs w:val="20"/>
                <w:lang w:val="en-AU"/>
              </w:rPr>
              <w:t>The higher rate of inflation in 2013 compared to 2012 meant that the real increase in education funding (Rp. 9.5 trillion in 2001 prices) was not as large as that recorded in 2012 (Rp. 14 trillion) (see Figure 3 over page)</w:t>
            </w:r>
          </w:p>
          <w:p w:rsidR="006319C5" w:rsidRPr="00B5666A" w:rsidRDefault="006319C5" w:rsidP="00B5666A">
            <w:pPr>
              <w:pStyle w:val="ListParagraph"/>
              <w:numPr>
                <w:ilvl w:val="0"/>
                <w:numId w:val="12"/>
              </w:numPr>
              <w:spacing w:after="60" w:line="240" w:lineRule="auto"/>
              <w:ind w:left="284" w:hanging="284"/>
              <w:contextualSpacing w:val="0"/>
              <w:jc w:val="both"/>
              <w:rPr>
                <w:sz w:val="20"/>
                <w:szCs w:val="20"/>
                <w:lang w:val="en-AU"/>
              </w:rPr>
            </w:pPr>
            <w:r w:rsidRPr="00B5666A">
              <w:rPr>
                <w:sz w:val="20"/>
                <w:szCs w:val="20"/>
                <w:lang w:val="en-AU"/>
              </w:rPr>
              <w:t>In 2001 constant prices, national education expenditures increased more th</w:t>
            </w:r>
            <w:r w:rsidR="0009484F">
              <w:rPr>
                <w:sz w:val="20"/>
                <w:szCs w:val="20"/>
                <w:lang w:val="en-AU"/>
              </w:rPr>
              <w:t>an 3 times their original 2001 value of Rp. 42</w:t>
            </w:r>
            <w:r w:rsidRPr="00B5666A">
              <w:rPr>
                <w:sz w:val="20"/>
                <w:szCs w:val="20"/>
                <w:lang w:val="en-AU"/>
              </w:rPr>
              <w:t xml:space="preserve"> trillion to mo</w:t>
            </w:r>
            <w:r w:rsidR="0009484F">
              <w:rPr>
                <w:sz w:val="20"/>
                <w:szCs w:val="20"/>
                <w:lang w:val="en-AU"/>
              </w:rPr>
              <w:t>re than Rp. 124 trillion by 2013</w:t>
            </w:r>
            <w:r w:rsidRPr="00B5666A">
              <w:rPr>
                <w:sz w:val="20"/>
                <w:szCs w:val="20"/>
                <w:lang w:val="en-AU"/>
              </w:rPr>
              <w:t xml:space="preserve">. </w:t>
            </w:r>
          </w:p>
          <w:p w:rsidR="006319C5" w:rsidRPr="00B5666A" w:rsidRDefault="006319C5" w:rsidP="00B5666A">
            <w:pPr>
              <w:pStyle w:val="ListParagraph"/>
              <w:numPr>
                <w:ilvl w:val="0"/>
                <w:numId w:val="12"/>
              </w:numPr>
              <w:spacing w:after="60" w:line="240" w:lineRule="auto"/>
              <w:ind w:left="284" w:hanging="284"/>
              <w:contextualSpacing w:val="0"/>
              <w:jc w:val="both"/>
              <w:rPr>
                <w:sz w:val="20"/>
                <w:szCs w:val="20"/>
                <w:lang w:val="en-AU"/>
              </w:rPr>
            </w:pPr>
            <w:r w:rsidRPr="00B5666A">
              <w:rPr>
                <w:sz w:val="20"/>
                <w:szCs w:val="20"/>
                <w:lang w:val="en-AU"/>
              </w:rPr>
              <w:lastRenderedPageBreak/>
              <w:t>Annual increases in national education expenditure have been uneven.</w:t>
            </w:r>
            <w:r w:rsidR="004971BD">
              <w:rPr>
                <w:sz w:val="20"/>
                <w:szCs w:val="20"/>
                <w:lang w:val="en-AU"/>
              </w:rPr>
              <w:t xml:space="preserve"> </w:t>
            </w:r>
            <w:r w:rsidRPr="00B5666A">
              <w:rPr>
                <w:sz w:val="20"/>
                <w:szCs w:val="20"/>
                <w:lang w:val="en-AU"/>
              </w:rPr>
              <w:t xml:space="preserve">The growth in public expenditure (while still positive) has been uneven in its nominal value and 2001 constant prices. Sharp increases in public expenditure for education in the years 2003 and 2006 were followed by contractions in 2004 and 2008. </w:t>
            </w:r>
          </w:p>
          <w:p w:rsidR="00AD0021" w:rsidRPr="00B5666A" w:rsidRDefault="00357390" w:rsidP="00F32324">
            <w:pPr>
              <w:pStyle w:val="ListParagraph"/>
              <w:numPr>
                <w:ilvl w:val="0"/>
                <w:numId w:val="12"/>
              </w:numPr>
              <w:spacing w:after="60" w:line="240" w:lineRule="auto"/>
              <w:ind w:left="284" w:hanging="284"/>
              <w:contextualSpacing w:val="0"/>
              <w:jc w:val="both"/>
              <w:rPr>
                <w:sz w:val="20"/>
                <w:szCs w:val="20"/>
                <w:lang w:val="en-AU"/>
              </w:rPr>
            </w:pPr>
            <w:r w:rsidRPr="00B5666A">
              <w:rPr>
                <w:sz w:val="20"/>
                <w:szCs w:val="20"/>
                <w:lang w:val="en-AU"/>
              </w:rPr>
              <w:t>Annual g</w:t>
            </w:r>
            <w:r w:rsidR="00FA7330" w:rsidRPr="00B5666A">
              <w:rPr>
                <w:sz w:val="20"/>
                <w:szCs w:val="20"/>
                <w:lang w:val="en-AU"/>
              </w:rPr>
              <w:t>rowth in national public expenditure for educ</w:t>
            </w:r>
            <w:r w:rsidR="00F32324">
              <w:rPr>
                <w:sz w:val="20"/>
                <w:szCs w:val="20"/>
                <w:lang w:val="en-AU"/>
              </w:rPr>
              <w:t>ation in 2013</w:t>
            </w:r>
            <w:r w:rsidR="00FA7330" w:rsidRPr="00B5666A">
              <w:rPr>
                <w:sz w:val="20"/>
                <w:szCs w:val="20"/>
                <w:lang w:val="en-AU"/>
              </w:rPr>
              <w:t xml:space="preserve"> exceeded price </w:t>
            </w:r>
            <w:r w:rsidR="00F32324">
              <w:rPr>
                <w:sz w:val="20"/>
                <w:szCs w:val="20"/>
                <w:lang w:val="en-AU"/>
              </w:rPr>
              <w:t>inflation for the second</w:t>
            </w:r>
            <w:r w:rsidR="00FA7330" w:rsidRPr="00B5666A">
              <w:rPr>
                <w:sz w:val="20"/>
                <w:szCs w:val="20"/>
                <w:lang w:val="en-AU"/>
              </w:rPr>
              <w:t xml:space="preserve"> time since 2009.</w:t>
            </w:r>
            <w:r w:rsidR="004971BD">
              <w:rPr>
                <w:sz w:val="20"/>
                <w:szCs w:val="20"/>
                <w:lang w:val="en-AU"/>
              </w:rPr>
              <w:t xml:space="preserve"> </w:t>
            </w:r>
            <w:r w:rsidR="00FA7330" w:rsidRPr="00B5666A">
              <w:rPr>
                <w:sz w:val="20"/>
                <w:szCs w:val="20"/>
                <w:lang w:val="en-AU"/>
              </w:rPr>
              <w:t xml:space="preserve">Growth in education expenditures had marginally outpaced inflation since 2009 but there was a plateau in the real increase of national funding for education. In 2012 </w:t>
            </w:r>
            <w:r w:rsidR="00F32324">
              <w:rPr>
                <w:sz w:val="20"/>
                <w:szCs w:val="20"/>
                <w:lang w:val="en-AU"/>
              </w:rPr>
              <w:t>and 2013</w:t>
            </w:r>
            <w:r w:rsidR="00AE0152">
              <w:rPr>
                <w:sz w:val="20"/>
                <w:szCs w:val="20"/>
                <w:lang w:val="en-AU"/>
              </w:rPr>
              <w:t xml:space="preserve"> </w:t>
            </w:r>
            <w:r w:rsidR="00FA7330" w:rsidRPr="00B5666A">
              <w:rPr>
                <w:sz w:val="20"/>
                <w:szCs w:val="20"/>
                <w:lang w:val="en-AU"/>
              </w:rPr>
              <w:t xml:space="preserve">we see </w:t>
            </w:r>
            <w:r w:rsidR="00F32324">
              <w:rPr>
                <w:sz w:val="20"/>
                <w:szCs w:val="20"/>
                <w:lang w:val="en-AU"/>
              </w:rPr>
              <w:t xml:space="preserve">significant back to back </w:t>
            </w:r>
            <w:r w:rsidR="00FA7330" w:rsidRPr="00B5666A">
              <w:rPr>
                <w:sz w:val="20"/>
                <w:szCs w:val="20"/>
                <w:lang w:val="en-AU"/>
              </w:rPr>
              <w:t>increase</w:t>
            </w:r>
            <w:r w:rsidR="00F32324">
              <w:rPr>
                <w:sz w:val="20"/>
                <w:szCs w:val="20"/>
                <w:lang w:val="en-AU"/>
              </w:rPr>
              <w:t>s</w:t>
            </w:r>
            <w:r w:rsidR="00FA7330" w:rsidRPr="00B5666A">
              <w:rPr>
                <w:sz w:val="20"/>
                <w:szCs w:val="20"/>
                <w:lang w:val="en-AU"/>
              </w:rPr>
              <w:t xml:space="preserve"> in real terms for education funding. When accounting for the eroding impact of price inflation over time, the real increase in funding for education can be observed. The periods 2003-2005 and 2007-2008 saw a virtual pause (or even a slight decline) in real education expenditures</w:t>
            </w:r>
          </w:p>
        </w:tc>
      </w:tr>
      <w:tr w:rsidR="006C249D" w:rsidRPr="00B5666A" w:rsidTr="00490DE0">
        <w:trPr>
          <w:tblHeader/>
          <w:jc w:val="center"/>
        </w:trPr>
        <w:tc>
          <w:tcPr>
            <w:tcW w:w="9019" w:type="dxa"/>
            <w:gridSpan w:val="4"/>
            <w:tcBorders>
              <w:left w:val="single" w:sz="12" w:space="0" w:color="auto"/>
              <w:bottom w:val="single" w:sz="4" w:space="0" w:color="auto"/>
              <w:right w:val="single" w:sz="12" w:space="0" w:color="auto"/>
            </w:tcBorders>
            <w:shd w:val="clear" w:color="auto" w:fill="68BAD6"/>
            <w:vAlign w:val="center"/>
          </w:tcPr>
          <w:p w:rsidR="006C249D" w:rsidRPr="00B5666A" w:rsidRDefault="00B5666A" w:rsidP="00B5666A">
            <w:pPr>
              <w:spacing w:after="0"/>
              <w:jc w:val="center"/>
              <w:rPr>
                <w:rFonts w:asciiTheme="minorHAnsi" w:hAnsiTheme="minorHAnsi" w:cstheme="minorHAnsi"/>
                <w:b/>
                <w:color w:val="FFFFFF" w:themeColor="background1"/>
                <w:sz w:val="20"/>
                <w:szCs w:val="20"/>
                <w:lang w:val="en-US"/>
              </w:rPr>
            </w:pPr>
            <w:r w:rsidRPr="00B5666A">
              <w:rPr>
                <w:rFonts w:asciiTheme="minorHAnsi" w:hAnsiTheme="minorHAnsi" w:cstheme="minorHAnsi"/>
                <w:b/>
                <w:sz w:val="20"/>
                <w:szCs w:val="20"/>
                <w:lang w:val="en-US"/>
              </w:rPr>
              <w:lastRenderedPageBreak/>
              <w:t>IMPLICATIONS AND MATTERS ARISING</w:t>
            </w:r>
          </w:p>
        </w:tc>
      </w:tr>
      <w:tr w:rsidR="00431EBF" w:rsidRPr="00B5666A" w:rsidTr="00B5666A">
        <w:trPr>
          <w:jc w:val="center"/>
        </w:trPr>
        <w:tc>
          <w:tcPr>
            <w:tcW w:w="1000" w:type="pct"/>
            <w:tcBorders>
              <w:left w:val="single" w:sz="12" w:space="0" w:color="auto"/>
            </w:tcBorders>
            <w:shd w:val="clear" w:color="auto" w:fill="BFBFBF" w:themeFill="background1" w:themeFillShade="BF"/>
            <w:vAlign w:val="center"/>
          </w:tcPr>
          <w:p w:rsidR="00431EBF" w:rsidRPr="00B5666A" w:rsidRDefault="00AD0021" w:rsidP="00B5666A">
            <w:pPr>
              <w:spacing w:after="0"/>
              <w:jc w:val="center"/>
              <w:rPr>
                <w:sz w:val="20"/>
                <w:szCs w:val="20"/>
                <w:lang w:val="en-AU"/>
              </w:rPr>
            </w:pPr>
            <w:r w:rsidRPr="00B5666A">
              <w:rPr>
                <w:sz w:val="20"/>
                <w:szCs w:val="20"/>
                <w:lang w:val="en-AU"/>
              </w:rPr>
              <w:t xml:space="preserve">For the performance of the </w:t>
            </w:r>
            <w:r w:rsidR="00431EBF" w:rsidRPr="00B5666A">
              <w:rPr>
                <w:sz w:val="20"/>
                <w:szCs w:val="20"/>
                <w:lang w:val="en-AU"/>
              </w:rPr>
              <w:t>education sector</w:t>
            </w:r>
          </w:p>
        </w:tc>
        <w:tc>
          <w:tcPr>
            <w:tcW w:w="6092" w:type="dxa"/>
            <w:gridSpan w:val="3"/>
            <w:tcBorders>
              <w:right w:val="single" w:sz="12" w:space="0" w:color="auto"/>
            </w:tcBorders>
            <w:vAlign w:val="center"/>
          </w:tcPr>
          <w:p w:rsidR="006319C5" w:rsidRPr="00B5666A" w:rsidRDefault="006319C5" w:rsidP="00B5666A">
            <w:pPr>
              <w:pStyle w:val="ListParagraph"/>
              <w:numPr>
                <w:ilvl w:val="0"/>
                <w:numId w:val="12"/>
              </w:numPr>
              <w:spacing w:after="60" w:line="240" w:lineRule="auto"/>
              <w:ind w:left="284" w:hanging="284"/>
              <w:contextualSpacing w:val="0"/>
              <w:jc w:val="both"/>
              <w:rPr>
                <w:sz w:val="20"/>
                <w:szCs w:val="20"/>
                <w:lang w:val="en-AU"/>
              </w:rPr>
            </w:pPr>
            <w:r w:rsidRPr="00B5666A">
              <w:rPr>
                <w:sz w:val="20"/>
                <w:szCs w:val="20"/>
                <w:lang w:val="en-AU"/>
              </w:rPr>
              <w:t>The national ex</w:t>
            </w:r>
            <w:r w:rsidR="00F32324">
              <w:rPr>
                <w:sz w:val="20"/>
                <w:szCs w:val="20"/>
                <w:lang w:val="en-AU"/>
              </w:rPr>
              <w:t>penditures for education in 2013</w:t>
            </w:r>
            <w:r w:rsidRPr="00B5666A">
              <w:rPr>
                <w:sz w:val="20"/>
                <w:szCs w:val="20"/>
                <w:lang w:val="en-AU"/>
              </w:rPr>
              <w:t xml:space="preserve"> met the 20% target. </w:t>
            </w:r>
            <w:r w:rsidR="00F32324">
              <w:rPr>
                <w:sz w:val="20"/>
                <w:szCs w:val="20"/>
                <w:lang w:val="en-AU"/>
              </w:rPr>
              <w:t>Like the previous year</w:t>
            </w:r>
            <w:r w:rsidRPr="00B5666A">
              <w:rPr>
                <w:sz w:val="20"/>
                <w:szCs w:val="20"/>
                <w:lang w:val="en-AU"/>
              </w:rPr>
              <w:t xml:space="preserve">, this has generated a large year-on-year increase </w:t>
            </w:r>
            <w:r w:rsidR="00357390" w:rsidRPr="00B5666A">
              <w:rPr>
                <w:sz w:val="20"/>
                <w:szCs w:val="20"/>
                <w:lang w:val="en-AU"/>
              </w:rPr>
              <w:t xml:space="preserve">in </w:t>
            </w:r>
            <w:r w:rsidRPr="00B5666A">
              <w:rPr>
                <w:sz w:val="20"/>
                <w:szCs w:val="20"/>
                <w:lang w:val="en-AU"/>
              </w:rPr>
              <w:t xml:space="preserve">real funds available for education. Education has benefited from total national public revenues and expenditures which have grown at a significantly faster rate than inflation. </w:t>
            </w:r>
          </w:p>
          <w:p w:rsidR="00431EBF" w:rsidRPr="00B5666A" w:rsidRDefault="006319C5" w:rsidP="00B5666A">
            <w:pPr>
              <w:pStyle w:val="ListParagraph"/>
              <w:numPr>
                <w:ilvl w:val="0"/>
                <w:numId w:val="12"/>
              </w:numPr>
              <w:spacing w:after="60" w:line="240" w:lineRule="auto"/>
              <w:ind w:left="284" w:hanging="284"/>
              <w:contextualSpacing w:val="0"/>
              <w:jc w:val="both"/>
              <w:rPr>
                <w:sz w:val="20"/>
                <w:szCs w:val="20"/>
                <w:lang w:val="en-AU"/>
              </w:rPr>
            </w:pPr>
            <w:r w:rsidRPr="00B5666A">
              <w:rPr>
                <w:sz w:val="20"/>
                <w:szCs w:val="20"/>
                <w:lang w:val="en-AU"/>
              </w:rPr>
              <w:t>Adherence to a proportional budget allocation for education should enhance the ability of the education sector to anticipate future allocations and plan accordingly by creating a more stable financing framework. The proportional allocation approach toward education financing (i.e. 20% of available national public budget) will enhance predictability and steady growth of the education budget. The exception to this will be in the case of an economic downturn that depresses GoI revenues or where there is a change government fiscal policy settings, leading to reduced public expenditure as a proportion gross domestic product.</w:t>
            </w:r>
          </w:p>
        </w:tc>
      </w:tr>
      <w:tr w:rsidR="00431EBF" w:rsidRPr="00B5666A" w:rsidTr="00B5666A">
        <w:trPr>
          <w:jc w:val="center"/>
        </w:trPr>
        <w:tc>
          <w:tcPr>
            <w:tcW w:w="1000" w:type="pct"/>
            <w:tcBorders>
              <w:left w:val="single" w:sz="12" w:space="0" w:color="auto"/>
              <w:bottom w:val="single" w:sz="12" w:space="0" w:color="auto"/>
            </w:tcBorders>
            <w:shd w:val="clear" w:color="auto" w:fill="BFBFBF" w:themeFill="background1" w:themeFillShade="BF"/>
            <w:vAlign w:val="center"/>
          </w:tcPr>
          <w:p w:rsidR="00431EBF" w:rsidRPr="00B5666A" w:rsidRDefault="00431EBF" w:rsidP="00B5666A">
            <w:pPr>
              <w:spacing w:after="0"/>
              <w:jc w:val="center"/>
              <w:rPr>
                <w:sz w:val="20"/>
                <w:szCs w:val="20"/>
                <w:lang w:val="en-AU"/>
              </w:rPr>
            </w:pPr>
            <w:r w:rsidRPr="00B5666A">
              <w:rPr>
                <w:sz w:val="20"/>
                <w:szCs w:val="20"/>
                <w:lang w:val="en-AU"/>
              </w:rPr>
              <w:t xml:space="preserve">For the </w:t>
            </w:r>
            <w:r w:rsidR="00AD0021" w:rsidRPr="00B5666A">
              <w:rPr>
                <w:sz w:val="20"/>
                <w:szCs w:val="20"/>
                <w:lang w:val="en-AU"/>
              </w:rPr>
              <w:t xml:space="preserve">performance of the </w:t>
            </w:r>
            <w:r w:rsidRPr="00B5666A">
              <w:rPr>
                <w:sz w:val="20"/>
                <w:szCs w:val="20"/>
                <w:lang w:val="en-AU"/>
              </w:rPr>
              <w:t>Education Partnership</w:t>
            </w:r>
          </w:p>
        </w:tc>
        <w:tc>
          <w:tcPr>
            <w:tcW w:w="6092" w:type="dxa"/>
            <w:gridSpan w:val="3"/>
            <w:tcBorders>
              <w:bottom w:val="single" w:sz="12" w:space="0" w:color="auto"/>
              <w:right w:val="single" w:sz="12" w:space="0" w:color="auto"/>
            </w:tcBorders>
            <w:vAlign w:val="center"/>
          </w:tcPr>
          <w:p w:rsidR="00431EBF" w:rsidRPr="00B5666A" w:rsidRDefault="000A4055" w:rsidP="00B5666A">
            <w:pPr>
              <w:pStyle w:val="ListParagraph"/>
              <w:numPr>
                <w:ilvl w:val="0"/>
                <w:numId w:val="12"/>
              </w:numPr>
              <w:spacing w:after="60" w:line="240" w:lineRule="auto"/>
              <w:ind w:left="284" w:hanging="284"/>
              <w:contextualSpacing w:val="0"/>
              <w:jc w:val="both"/>
              <w:rPr>
                <w:sz w:val="20"/>
                <w:szCs w:val="20"/>
                <w:lang w:val="en-AU"/>
              </w:rPr>
            </w:pPr>
            <w:r w:rsidRPr="00B5666A">
              <w:rPr>
                <w:sz w:val="20"/>
                <w:szCs w:val="20"/>
                <w:lang w:val="en-AU"/>
              </w:rPr>
              <w:t>National funding flowing to schools should not be reduced and total funds available are unlikely to be reduced.</w:t>
            </w:r>
            <w:r w:rsidR="0009767F" w:rsidRPr="00B5666A">
              <w:rPr>
                <w:sz w:val="20"/>
                <w:szCs w:val="20"/>
                <w:lang w:val="en-AU"/>
              </w:rPr>
              <w:t xml:space="preserve"> </w:t>
            </w:r>
          </w:p>
        </w:tc>
      </w:tr>
    </w:tbl>
    <w:p w:rsidR="005566A6" w:rsidRDefault="005566A6" w:rsidP="005566A6">
      <w:bookmarkStart w:id="29" w:name="_Toc374182050"/>
    </w:p>
    <w:p w:rsidR="00AB0E91" w:rsidRDefault="00DB052E" w:rsidP="005566A6">
      <w:pPr>
        <w:pStyle w:val="Caption"/>
      </w:pPr>
      <w:r>
        <w:lastRenderedPageBreak/>
        <w:t xml:space="preserve"> </w:t>
      </w:r>
      <w:bookmarkStart w:id="30" w:name="_Toc414281534"/>
      <w:r w:rsidR="00AB0E91" w:rsidRPr="00470457">
        <w:t>National Public Expenditure on E</w:t>
      </w:r>
      <w:r w:rsidR="00AB0E91">
        <w:t>ducation, Rp. Trillion 2001-201</w:t>
      </w:r>
      <w:bookmarkEnd w:id="29"/>
      <w:r w:rsidR="00593393">
        <w:t>3</w:t>
      </w:r>
      <w:bookmarkEnd w:id="30"/>
    </w:p>
    <w:p w:rsidR="00593393" w:rsidRPr="00593393" w:rsidRDefault="00593393" w:rsidP="00593393">
      <w:pPr>
        <w:rPr>
          <w:lang w:val="en-GB"/>
        </w:rPr>
      </w:pPr>
      <w:r w:rsidRPr="00593393">
        <w:rPr>
          <w:noProof/>
          <w:lang w:val="en-AU" w:eastAsia="en-AU"/>
        </w:rPr>
        <w:drawing>
          <wp:inline distT="0" distB="0" distL="0" distR="0" wp14:anchorId="2458E6F5" wp14:editId="01A11C73">
            <wp:extent cx="5733415" cy="3075670"/>
            <wp:effectExtent l="19050" t="19050" r="19685"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3415" cy="3075670"/>
                    </a:xfrm>
                    <a:prstGeom prst="rect">
                      <a:avLst/>
                    </a:prstGeom>
                    <a:noFill/>
                    <a:ln>
                      <a:solidFill>
                        <a:schemeClr val="accent1"/>
                      </a:solidFill>
                    </a:ln>
                  </pic:spPr>
                </pic:pic>
              </a:graphicData>
            </a:graphic>
          </wp:inline>
        </w:drawing>
      </w:r>
    </w:p>
    <w:p w:rsidR="00A5292A" w:rsidRDefault="00A5292A" w:rsidP="00DB55DD">
      <w:pPr>
        <w:spacing w:after="360"/>
        <w:jc w:val="center"/>
      </w:pPr>
      <w:bookmarkStart w:id="31" w:name="_Toc374182051"/>
    </w:p>
    <w:p w:rsidR="00A5292A" w:rsidRDefault="00A5292A" w:rsidP="009A2DC1">
      <w:pPr>
        <w:pStyle w:val="Caption"/>
      </w:pPr>
      <w:bookmarkStart w:id="32" w:name="_Toc414281535"/>
      <w:r w:rsidRPr="009A1387">
        <w:t xml:space="preserve">Annual Growth in </w:t>
      </w:r>
      <w:r>
        <w:t xml:space="preserve">Education </w:t>
      </w:r>
      <w:r w:rsidR="00DB55DD" w:rsidRPr="009A1387">
        <w:t>Expenditure</w:t>
      </w:r>
      <w:r w:rsidR="00DB55DD">
        <w:t xml:space="preserve"> (</w:t>
      </w:r>
      <w:r>
        <w:t>Rp. trillion)</w:t>
      </w:r>
      <w:r w:rsidRPr="009A1387">
        <w:t>, 200</w:t>
      </w:r>
      <w:r>
        <w:t>1-201</w:t>
      </w:r>
      <w:bookmarkEnd w:id="31"/>
      <w:r w:rsidR="00593393">
        <w:t>3</w:t>
      </w:r>
      <w:bookmarkEnd w:id="32"/>
    </w:p>
    <w:p w:rsidR="00AC49D9" w:rsidRPr="00AC49D9" w:rsidRDefault="00AC49D9" w:rsidP="00AC49D9">
      <w:pPr>
        <w:rPr>
          <w:lang w:val="en-GB"/>
        </w:rPr>
      </w:pPr>
      <w:r>
        <w:rPr>
          <w:noProof/>
          <w:lang w:val="en-AU" w:eastAsia="en-AU"/>
        </w:rPr>
        <w:drawing>
          <wp:inline distT="0" distB="0" distL="0" distR="0" wp14:anchorId="1CCD1A48" wp14:editId="0375FFF9">
            <wp:extent cx="5677325" cy="2875290"/>
            <wp:effectExtent l="19050" t="19050" r="19050" b="203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6835" cy="2875042"/>
                    </a:xfrm>
                    <a:prstGeom prst="rect">
                      <a:avLst/>
                    </a:prstGeom>
                    <a:noFill/>
                    <a:ln>
                      <a:solidFill>
                        <a:schemeClr val="accent1"/>
                      </a:solidFill>
                    </a:ln>
                  </pic:spPr>
                </pic:pic>
              </a:graphicData>
            </a:graphic>
          </wp:inline>
        </w:drawing>
      </w:r>
    </w:p>
    <w:p w:rsidR="00593393" w:rsidRPr="00593393" w:rsidRDefault="00593393" w:rsidP="00593393">
      <w:pPr>
        <w:rPr>
          <w:lang w:val="en-GB"/>
        </w:rPr>
      </w:pPr>
    </w:p>
    <w:p w:rsidR="00A5292A" w:rsidRDefault="00A5292A" w:rsidP="00DB55DD">
      <w:pPr>
        <w:spacing w:after="360"/>
        <w:jc w:val="center"/>
      </w:pPr>
    </w:p>
    <w:p w:rsidR="001C31F4" w:rsidRDefault="00A758B6" w:rsidP="00DB55DD">
      <w:pPr>
        <w:pStyle w:val="Heading3"/>
      </w:pPr>
      <w:r>
        <w:br w:type="page"/>
      </w:r>
      <w:r w:rsidR="001C31F4">
        <w:lastRenderedPageBreak/>
        <w:t xml:space="preserve">KPI 2: </w:t>
      </w:r>
      <w:r w:rsidR="001C31F4" w:rsidRPr="00DA60E0">
        <w:t>Education Expenditure as Proportion of GDP</w:t>
      </w:r>
    </w:p>
    <w:p w:rsidR="001C31F4" w:rsidRDefault="001C31F4" w:rsidP="009A2DC1">
      <w:pPr>
        <w:pStyle w:val="Caption"/>
      </w:pPr>
      <w:bookmarkStart w:id="33" w:name="_Toc374182053"/>
      <w:bookmarkStart w:id="34" w:name="_Toc414281536"/>
      <w:r w:rsidRPr="005D02D9">
        <w:t xml:space="preserve">Education Expenditure as </w:t>
      </w:r>
      <w:r>
        <w:t>Proportion of GDP, 2001-201</w:t>
      </w:r>
      <w:bookmarkEnd w:id="33"/>
      <w:r w:rsidR="00AC49D9">
        <w:t>3</w:t>
      </w:r>
      <w:bookmarkEnd w:id="34"/>
    </w:p>
    <w:p w:rsidR="00AC49D9" w:rsidRPr="00AC49D9" w:rsidRDefault="00AC49D9" w:rsidP="00AC49D9">
      <w:pPr>
        <w:rPr>
          <w:lang w:val="en-GB"/>
        </w:rPr>
      </w:pPr>
      <w:r>
        <w:rPr>
          <w:noProof/>
          <w:lang w:val="en-AU" w:eastAsia="en-AU"/>
        </w:rPr>
        <w:drawing>
          <wp:inline distT="0" distB="0" distL="0" distR="0" wp14:anchorId="60E99AD5" wp14:editId="7CE5B561">
            <wp:extent cx="5676900" cy="328612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6900" cy="3286125"/>
                    </a:xfrm>
                    <a:prstGeom prst="rect">
                      <a:avLst/>
                    </a:prstGeom>
                    <a:noFill/>
                    <a:ln>
                      <a:solidFill>
                        <a:schemeClr val="accent1"/>
                      </a:solidFill>
                    </a:ln>
                  </pic:spPr>
                </pic:pic>
              </a:graphicData>
            </a:graphic>
          </wp:inline>
        </w:drawing>
      </w:r>
    </w:p>
    <w:p w:rsidR="008D3F0E" w:rsidRDefault="008D3F0E" w:rsidP="008D3F0E">
      <w:pPr>
        <w:rPr>
          <w:lang w:val="en-GB"/>
        </w:rPr>
      </w:pPr>
    </w:p>
    <w:p w:rsidR="008D3F0E" w:rsidRDefault="008D3F0E" w:rsidP="008D3F0E">
      <w:pPr>
        <w:rPr>
          <w:lang w:val="en-GB"/>
        </w:rPr>
      </w:pPr>
    </w:p>
    <w:tbl>
      <w:tblPr>
        <w:tblStyle w:val="TableGrid3"/>
        <w:tblW w:w="5000" w:type="pct"/>
        <w:jc w:val="center"/>
        <w:tblBorders>
          <w:top w:val="single" w:sz="12" w:space="0" w:color="auto"/>
          <w:left w:val="single" w:sz="12" w:space="0" w:color="auto"/>
          <w:bottom w:val="single" w:sz="12" w:space="0" w:color="auto"/>
          <w:right w:val="single" w:sz="12" w:space="0" w:color="auto"/>
        </w:tblBorders>
        <w:tblLayout w:type="fixed"/>
        <w:tblCellMar>
          <w:top w:w="28" w:type="dxa"/>
          <w:bottom w:w="28" w:type="dxa"/>
        </w:tblCellMar>
        <w:tblLook w:val="04A0" w:firstRow="1" w:lastRow="0" w:firstColumn="1" w:lastColumn="0" w:noHBand="0" w:noVBand="1"/>
      </w:tblPr>
      <w:tblGrid>
        <w:gridCol w:w="1849"/>
        <w:gridCol w:w="1849"/>
        <w:gridCol w:w="1849"/>
        <w:gridCol w:w="3698"/>
      </w:tblGrid>
      <w:tr w:rsidR="001C31F4" w:rsidRPr="00B5666A" w:rsidTr="008D3F0E">
        <w:trPr>
          <w:tblHeader/>
          <w:jc w:val="center"/>
        </w:trPr>
        <w:tc>
          <w:tcPr>
            <w:tcW w:w="1000" w:type="pct"/>
            <w:tcBorders>
              <w:top w:val="single" w:sz="12" w:space="0" w:color="auto"/>
              <w:bottom w:val="single" w:sz="4" w:space="0" w:color="auto"/>
              <w:right w:val="single" w:sz="4" w:space="0" w:color="FFFFFF" w:themeColor="background1"/>
            </w:tcBorders>
            <w:shd w:val="clear" w:color="auto" w:fill="003880"/>
            <w:vAlign w:val="center"/>
          </w:tcPr>
          <w:p w:rsidR="001C31F4" w:rsidRPr="00B5666A" w:rsidRDefault="00B5666A" w:rsidP="00B5666A">
            <w:pPr>
              <w:spacing w:after="0"/>
              <w:jc w:val="center"/>
              <w:rPr>
                <w:rFonts w:asciiTheme="minorHAnsi" w:hAnsiTheme="minorHAnsi" w:cstheme="minorHAnsi"/>
                <w:b/>
                <w:color w:val="FFFFFF" w:themeColor="background1"/>
                <w:sz w:val="20"/>
                <w:szCs w:val="20"/>
                <w:lang w:val="en-US"/>
              </w:rPr>
            </w:pPr>
            <w:r w:rsidRPr="00B5666A">
              <w:rPr>
                <w:rFonts w:asciiTheme="minorHAnsi" w:hAnsiTheme="minorHAnsi" w:cstheme="minorHAnsi"/>
                <w:b/>
                <w:color w:val="FFFFFF" w:themeColor="background1"/>
                <w:sz w:val="20"/>
                <w:szCs w:val="20"/>
                <w:lang w:val="en-US"/>
              </w:rPr>
              <w:t>KPI 2</w:t>
            </w:r>
          </w:p>
        </w:tc>
        <w:tc>
          <w:tcPr>
            <w:tcW w:w="4000" w:type="pct"/>
            <w:gridSpan w:val="3"/>
            <w:tcBorders>
              <w:top w:val="single" w:sz="12" w:space="0" w:color="auto"/>
              <w:left w:val="single" w:sz="4" w:space="0" w:color="FFFFFF" w:themeColor="background1"/>
              <w:bottom w:val="single" w:sz="4" w:space="0" w:color="auto"/>
            </w:tcBorders>
            <w:shd w:val="clear" w:color="auto" w:fill="003880"/>
            <w:vAlign w:val="center"/>
          </w:tcPr>
          <w:p w:rsidR="001C31F4" w:rsidRPr="00B5666A" w:rsidRDefault="00B5666A" w:rsidP="00B5666A">
            <w:pPr>
              <w:spacing w:after="0"/>
              <w:jc w:val="center"/>
              <w:rPr>
                <w:rFonts w:asciiTheme="minorHAnsi" w:hAnsiTheme="minorHAnsi" w:cstheme="minorHAnsi"/>
                <w:b/>
                <w:color w:val="FFFFFF" w:themeColor="background1"/>
                <w:sz w:val="20"/>
                <w:szCs w:val="20"/>
                <w:lang w:val="en-US"/>
              </w:rPr>
            </w:pPr>
            <w:r w:rsidRPr="00B5666A">
              <w:rPr>
                <w:rFonts w:asciiTheme="minorHAnsi" w:hAnsiTheme="minorHAnsi" w:cstheme="minorHAnsi"/>
                <w:b/>
                <w:color w:val="FFFFFF" w:themeColor="background1"/>
                <w:sz w:val="20"/>
                <w:szCs w:val="20"/>
                <w:lang w:val="en-US"/>
              </w:rPr>
              <w:t xml:space="preserve">EDUCATION EXPENDITURE AS PROPORTION OF GDP </w:t>
            </w:r>
          </w:p>
        </w:tc>
      </w:tr>
      <w:tr w:rsidR="001C31F4" w:rsidRPr="00B5666A" w:rsidTr="008D3F0E">
        <w:trPr>
          <w:tblHeader/>
          <w:jc w:val="center"/>
        </w:trPr>
        <w:tc>
          <w:tcPr>
            <w:tcW w:w="5000" w:type="pct"/>
            <w:gridSpan w:val="4"/>
            <w:tcBorders>
              <w:top w:val="single" w:sz="4" w:space="0" w:color="auto"/>
            </w:tcBorders>
            <w:shd w:val="clear" w:color="auto" w:fill="68BAD6"/>
            <w:vAlign w:val="center"/>
          </w:tcPr>
          <w:p w:rsidR="001C31F4" w:rsidRPr="00B5666A" w:rsidRDefault="00B5666A" w:rsidP="00B5666A">
            <w:pPr>
              <w:spacing w:after="0"/>
              <w:jc w:val="center"/>
              <w:rPr>
                <w:rFonts w:asciiTheme="minorHAnsi" w:hAnsiTheme="minorHAnsi" w:cstheme="minorHAnsi"/>
                <w:b/>
                <w:color w:val="FFFFFF" w:themeColor="background1"/>
                <w:sz w:val="20"/>
                <w:szCs w:val="20"/>
                <w:lang w:val="en-US"/>
              </w:rPr>
            </w:pPr>
            <w:r w:rsidRPr="00B5666A">
              <w:rPr>
                <w:rFonts w:asciiTheme="minorHAnsi" w:hAnsiTheme="minorHAnsi" w:cstheme="minorHAnsi"/>
                <w:b/>
                <w:sz w:val="20"/>
                <w:szCs w:val="20"/>
                <w:lang w:val="en-US"/>
              </w:rPr>
              <w:t>STATUS AND TRENDS</w:t>
            </w:r>
          </w:p>
        </w:tc>
      </w:tr>
      <w:tr w:rsidR="001C31F4" w:rsidRPr="00B5666A" w:rsidTr="008D3F0E">
        <w:trPr>
          <w:jc w:val="center"/>
        </w:trPr>
        <w:tc>
          <w:tcPr>
            <w:tcW w:w="1000" w:type="pct"/>
            <w:shd w:val="clear" w:color="auto" w:fill="BFBFBF" w:themeFill="background1" w:themeFillShade="BF"/>
            <w:vAlign w:val="center"/>
          </w:tcPr>
          <w:p w:rsidR="001C31F4" w:rsidRPr="00B5666A" w:rsidRDefault="001C31F4" w:rsidP="00490DE0">
            <w:pPr>
              <w:spacing w:after="0"/>
              <w:jc w:val="center"/>
              <w:rPr>
                <w:sz w:val="20"/>
                <w:szCs w:val="20"/>
                <w:lang w:val="en-AU"/>
              </w:rPr>
            </w:pPr>
            <w:r w:rsidRPr="00B5666A">
              <w:rPr>
                <w:sz w:val="20"/>
                <w:szCs w:val="20"/>
                <w:lang w:val="en-AU"/>
              </w:rPr>
              <w:t>Result</w:t>
            </w:r>
          </w:p>
        </w:tc>
        <w:tc>
          <w:tcPr>
            <w:tcW w:w="1000" w:type="pct"/>
            <w:shd w:val="clear" w:color="auto" w:fill="92D050"/>
            <w:vAlign w:val="center"/>
          </w:tcPr>
          <w:p w:rsidR="001C31F4" w:rsidRPr="00B5666A" w:rsidRDefault="001C31F4" w:rsidP="00490DE0">
            <w:pPr>
              <w:spacing w:after="0"/>
              <w:jc w:val="center"/>
              <w:rPr>
                <w:sz w:val="20"/>
                <w:szCs w:val="20"/>
                <w:lang w:val="en-AU"/>
              </w:rPr>
            </w:pPr>
            <w:r w:rsidRPr="00B5666A">
              <w:rPr>
                <w:sz w:val="20"/>
                <w:szCs w:val="20"/>
                <w:lang w:val="en-AU"/>
              </w:rPr>
              <w:t>Positive</w:t>
            </w:r>
          </w:p>
        </w:tc>
        <w:tc>
          <w:tcPr>
            <w:tcW w:w="1000" w:type="pct"/>
            <w:shd w:val="clear" w:color="auto" w:fill="BFBFBF" w:themeFill="background1" w:themeFillShade="BF"/>
            <w:vAlign w:val="center"/>
          </w:tcPr>
          <w:p w:rsidR="001C31F4" w:rsidRPr="00B5666A" w:rsidRDefault="001C31F4" w:rsidP="00490DE0">
            <w:pPr>
              <w:spacing w:after="0"/>
              <w:jc w:val="center"/>
              <w:rPr>
                <w:sz w:val="20"/>
                <w:szCs w:val="20"/>
                <w:lang w:val="en-AU"/>
              </w:rPr>
            </w:pPr>
            <w:r w:rsidRPr="00B5666A">
              <w:rPr>
                <w:sz w:val="20"/>
                <w:szCs w:val="20"/>
                <w:lang w:val="en-AU"/>
              </w:rPr>
              <w:t>Data availability</w:t>
            </w:r>
          </w:p>
        </w:tc>
        <w:tc>
          <w:tcPr>
            <w:tcW w:w="2000" w:type="pct"/>
            <w:vAlign w:val="center"/>
          </w:tcPr>
          <w:p w:rsidR="001C31F4" w:rsidRPr="00490DE0" w:rsidRDefault="001C31F4" w:rsidP="00490DE0">
            <w:pPr>
              <w:spacing w:after="0"/>
              <w:jc w:val="center"/>
              <w:rPr>
                <w:sz w:val="20"/>
                <w:szCs w:val="20"/>
                <w:lang w:val="en-AU"/>
              </w:rPr>
            </w:pPr>
            <w:r w:rsidRPr="00490DE0">
              <w:rPr>
                <w:sz w:val="20"/>
                <w:szCs w:val="20"/>
                <w:lang w:val="en-AU"/>
              </w:rPr>
              <w:t>Full</w:t>
            </w:r>
            <w:r w:rsidR="00F9628B">
              <w:rPr>
                <w:sz w:val="20"/>
                <w:szCs w:val="20"/>
                <w:lang w:val="en-AU"/>
              </w:rPr>
              <w:t xml:space="preserve"> - all data required has been collected and available for analysis</w:t>
            </w:r>
          </w:p>
        </w:tc>
      </w:tr>
      <w:tr w:rsidR="001C31F4" w:rsidRPr="00B5666A" w:rsidTr="008D3F0E">
        <w:trPr>
          <w:jc w:val="center"/>
        </w:trPr>
        <w:tc>
          <w:tcPr>
            <w:tcW w:w="1000" w:type="pct"/>
            <w:shd w:val="clear" w:color="auto" w:fill="BFBFBF" w:themeFill="background1" w:themeFillShade="BF"/>
            <w:vAlign w:val="center"/>
          </w:tcPr>
          <w:p w:rsidR="001C31F4" w:rsidRPr="00B5666A" w:rsidRDefault="001C31F4" w:rsidP="00B5666A">
            <w:pPr>
              <w:spacing w:after="0"/>
              <w:jc w:val="center"/>
              <w:rPr>
                <w:sz w:val="20"/>
                <w:szCs w:val="20"/>
                <w:lang w:val="en-AU"/>
              </w:rPr>
            </w:pPr>
            <w:r w:rsidRPr="00B5666A">
              <w:rPr>
                <w:sz w:val="20"/>
                <w:szCs w:val="20"/>
                <w:lang w:val="en-AU"/>
              </w:rPr>
              <w:t>Observations</w:t>
            </w:r>
          </w:p>
        </w:tc>
        <w:tc>
          <w:tcPr>
            <w:tcW w:w="4000" w:type="pct"/>
            <w:gridSpan w:val="3"/>
            <w:vAlign w:val="center"/>
          </w:tcPr>
          <w:p w:rsidR="002606C3" w:rsidRPr="00B5666A" w:rsidRDefault="002606C3" w:rsidP="00B5666A">
            <w:pPr>
              <w:pStyle w:val="ListParagraph"/>
              <w:numPr>
                <w:ilvl w:val="0"/>
                <w:numId w:val="12"/>
              </w:numPr>
              <w:spacing w:after="60" w:line="240" w:lineRule="auto"/>
              <w:ind w:left="284" w:hanging="284"/>
              <w:contextualSpacing w:val="0"/>
              <w:jc w:val="both"/>
              <w:rPr>
                <w:sz w:val="20"/>
                <w:szCs w:val="20"/>
                <w:lang w:val="en-AU"/>
              </w:rPr>
            </w:pPr>
            <w:r w:rsidRPr="00B5666A">
              <w:rPr>
                <w:sz w:val="20"/>
                <w:szCs w:val="20"/>
                <w:lang w:val="en-AU"/>
              </w:rPr>
              <w:t xml:space="preserve">This indicator </w:t>
            </w:r>
            <w:r w:rsidR="007168AC" w:rsidRPr="00B5666A">
              <w:rPr>
                <w:sz w:val="20"/>
                <w:szCs w:val="20"/>
                <w:lang w:val="en-AU"/>
              </w:rPr>
              <w:t>captures the</w:t>
            </w:r>
            <w:r w:rsidRPr="00B5666A">
              <w:rPr>
                <w:sz w:val="20"/>
                <w:szCs w:val="20"/>
                <w:lang w:val="en-AU"/>
              </w:rPr>
              <w:t xml:space="preserve"> national public </w:t>
            </w:r>
            <w:r w:rsidR="00C1664A">
              <w:rPr>
                <w:sz w:val="20"/>
                <w:szCs w:val="20"/>
                <w:lang w:val="en-AU"/>
              </w:rPr>
              <w:t xml:space="preserve">budgeted </w:t>
            </w:r>
            <w:r w:rsidRPr="00B5666A">
              <w:rPr>
                <w:sz w:val="20"/>
                <w:szCs w:val="20"/>
                <w:lang w:val="en-AU"/>
              </w:rPr>
              <w:t xml:space="preserve">commitment towards education in relation to the economic wealth being generated. By mapping education expenditure with GDP it avoids comparison problems with other countries which may have different sized public sectors. The indicator is also useful for comparing expenditure trends in a country which has altered the size of its public sector across time. Generally, this indicator is used in tandem with </w:t>
            </w:r>
            <w:r w:rsidR="00047B50" w:rsidRPr="00B5666A">
              <w:rPr>
                <w:sz w:val="20"/>
                <w:szCs w:val="20"/>
                <w:lang w:val="en-AU"/>
              </w:rPr>
              <w:t>“</w:t>
            </w:r>
            <w:r w:rsidRPr="00B5666A">
              <w:rPr>
                <w:sz w:val="20"/>
                <w:szCs w:val="20"/>
                <w:lang w:val="en-AU"/>
              </w:rPr>
              <w:t>education share of public expenditure</w:t>
            </w:r>
            <w:r w:rsidR="00047B50" w:rsidRPr="00B5666A">
              <w:rPr>
                <w:sz w:val="20"/>
                <w:szCs w:val="20"/>
                <w:lang w:val="en-AU"/>
              </w:rPr>
              <w:t>”</w:t>
            </w:r>
            <w:r w:rsidRPr="00B5666A">
              <w:rPr>
                <w:sz w:val="20"/>
                <w:szCs w:val="20"/>
                <w:lang w:val="en-AU"/>
              </w:rPr>
              <w:t>.</w:t>
            </w:r>
          </w:p>
          <w:p w:rsidR="002606C3" w:rsidRPr="00B5666A" w:rsidRDefault="00C1664A" w:rsidP="00B5666A">
            <w:pPr>
              <w:pStyle w:val="ListParagraph"/>
              <w:numPr>
                <w:ilvl w:val="0"/>
                <w:numId w:val="12"/>
              </w:numPr>
              <w:spacing w:after="60" w:line="240" w:lineRule="auto"/>
              <w:ind w:left="284" w:hanging="284"/>
              <w:contextualSpacing w:val="0"/>
              <w:jc w:val="both"/>
              <w:rPr>
                <w:sz w:val="20"/>
                <w:szCs w:val="20"/>
                <w:lang w:val="en-AU"/>
              </w:rPr>
            </w:pPr>
            <w:r>
              <w:rPr>
                <w:sz w:val="20"/>
                <w:szCs w:val="20"/>
                <w:lang w:val="en-AU"/>
              </w:rPr>
              <w:t xml:space="preserve">Budgeted </w:t>
            </w:r>
            <w:r w:rsidR="002606C3" w:rsidRPr="00B5666A">
              <w:rPr>
                <w:sz w:val="20"/>
                <w:szCs w:val="20"/>
                <w:lang w:val="en-AU"/>
              </w:rPr>
              <w:t>Education expenditure as a proportion of GDP in</w:t>
            </w:r>
            <w:r w:rsidR="000C45E4">
              <w:rPr>
                <w:sz w:val="20"/>
                <w:szCs w:val="20"/>
                <w:lang w:val="en-AU"/>
              </w:rPr>
              <w:t>creased from 3.5% in 2012</w:t>
            </w:r>
            <w:r w:rsidR="00771545">
              <w:rPr>
                <w:sz w:val="20"/>
                <w:szCs w:val="20"/>
                <w:lang w:val="en-AU"/>
              </w:rPr>
              <w:t xml:space="preserve"> to 3.7</w:t>
            </w:r>
            <w:r w:rsidR="000C45E4">
              <w:rPr>
                <w:sz w:val="20"/>
                <w:szCs w:val="20"/>
                <w:lang w:val="en-AU"/>
              </w:rPr>
              <w:t>% in 2013</w:t>
            </w:r>
            <w:r w:rsidR="00047B50" w:rsidRPr="00B5666A">
              <w:rPr>
                <w:sz w:val="20"/>
                <w:szCs w:val="20"/>
                <w:lang w:val="en-AU"/>
              </w:rPr>
              <w:t xml:space="preserve"> </w:t>
            </w:r>
            <w:r w:rsidR="009B6D6D">
              <w:rPr>
                <w:sz w:val="20"/>
                <w:szCs w:val="20"/>
                <w:lang w:val="en-AU"/>
              </w:rPr>
              <w:t>(see Figure 4</w:t>
            </w:r>
            <w:r w:rsidR="00047B50" w:rsidRPr="00B5666A">
              <w:rPr>
                <w:sz w:val="20"/>
                <w:szCs w:val="20"/>
                <w:lang w:val="en-AU"/>
              </w:rPr>
              <w:t>, above)</w:t>
            </w:r>
            <w:r w:rsidR="002606C3" w:rsidRPr="00B5666A">
              <w:rPr>
                <w:sz w:val="20"/>
                <w:szCs w:val="20"/>
                <w:lang w:val="en-AU"/>
              </w:rPr>
              <w:t xml:space="preserve">. </w:t>
            </w:r>
            <w:r w:rsidR="000C45E4">
              <w:rPr>
                <w:sz w:val="20"/>
                <w:szCs w:val="20"/>
                <w:lang w:val="en-AU"/>
              </w:rPr>
              <w:t xml:space="preserve">Over a longer period, it </w:t>
            </w:r>
            <w:r w:rsidR="00771545">
              <w:rPr>
                <w:sz w:val="20"/>
                <w:szCs w:val="20"/>
                <w:lang w:val="en-AU"/>
              </w:rPr>
              <w:t>rose from 2.5% in 2001 to the</w:t>
            </w:r>
            <w:r w:rsidR="002606C3" w:rsidRPr="00B5666A">
              <w:rPr>
                <w:sz w:val="20"/>
                <w:szCs w:val="20"/>
                <w:lang w:val="en-AU"/>
              </w:rPr>
              <w:t xml:space="preserve"> high point of 3.7% </w:t>
            </w:r>
            <w:r w:rsidR="00771545">
              <w:rPr>
                <w:sz w:val="20"/>
                <w:szCs w:val="20"/>
                <w:lang w:val="en-AU"/>
              </w:rPr>
              <w:t>in 2013</w:t>
            </w:r>
            <w:r w:rsidR="002606C3" w:rsidRPr="00B5666A">
              <w:rPr>
                <w:sz w:val="20"/>
                <w:szCs w:val="20"/>
                <w:lang w:val="en-AU"/>
              </w:rPr>
              <w:t>. In 2007 when the latest comparison figures are available, Indonesian education expenditure as a share of GDP (3.6%) was equal to the East Asia regional average.</w:t>
            </w:r>
          </w:p>
          <w:p w:rsidR="001C31F4" w:rsidRPr="00B5666A" w:rsidRDefault="002606C3" w:rsidP="000C45E4">
            <w:pPr>
              <w:pStyle w:val="ListParagraph"/>
              <w:numPr>
                <w:ilvl w:val="0"/>
                <w:numId w:val="12"/>
              </w:numPr>
              <w:spacing w:after="60" w:line="240" w:lineRule="auto"/>
              <w:ind w:left="284" w:hanging="284"/>
              <w:contextualSpacing w:val="0"/>
              <w:jc w:val="both"/>
              <w:rPr>
                <w:sz w:val="20"/>
                <w:szCs w:val="20"/>
                <w:lang w:val="en-AU"/>
              </w:rPr>
            </w:pPr>
            <w:r w:rsidRPr="00B5666A">
              <w:rPr>
                <w:sz w:val="20"/>
                <w:szCs w:val="20"/>
                <w:lang w:val="en-AU"/>
              </w:rPr>
              <w:t>While nation</w:t>
            </w:r>
            <w:r w:rsidR="00047B50" w:rsidRPr="00B5666A">
              <w:rPr>
                <w:sz w:val="20"/>
                <w:szCs w:val="20"/>
                <w:lang w:val="en-AU"/>
              </w:rPr>
              <w:t>al</w:t>
            </w:r>
            <w:r w:rsidRPr="00B5666A">
              <w:rPr>
                <w:sz w:val="20"/>
                <w:szCs w:val="20"/>
                <w:lang w:val="en-AU"/>
              </w:rPr>
              <w:t xml:space="preserve"> education expenditure grew at the same pace as national public</w:t>
            </w:r>
            <w:r w:rsidR="000C45E4">
              <w:rPr>
                <w:sz w:val="20"/>
                <w:szCs w:val="20"/>
                <w:lang w:val="en-AU"/>
              </w:rPr>
              <w:t xml:space="preserve"> expenditure for the period 2009-13</w:t>
            </w:r>
            <w:r w:rsidRPr="00B5666A">
              <w:rPr>
                <w:sz w:val="20"/>
                <w:szCs w:val="20"/>
                <w:lang w:val="en-AU"/>
              </w:rPr>
              <w:t>, it has grown marginally faster than GDP during this period.</w:t>
            </w:r>
          </w:p>
        </w:tc>
      </w:tr>
      <w:tr w:rsidR="001C31F4" w:rsidRPr="00B5666A" w:rsidTr="008D3F0E">
        <w:trPr>
          <w:tblHeader/>
          <w:jc w:val="center"/>
        </w:trPr>
        <w:tc>
          <w:tcPr>
            <w:tcW w:w="5000" w:type="pct"/>
            <w:gridSpan w:val="4"/>
            <w:shd w:val="clear" w:color="auto" w:fill="68BAD6"/>
            <w:vAlign w:val="center"/>
          </w:tcPr>
          <w:p w:rsidR="001C31F4" w:rsidRPr="00B5666A" w:rsidRDefault="00B5666A" w:rsidP="00B5666A">
            <w:pPr>
              <w:spacing w:after="0"/>
              <w:jc w:val="center"/>
              <w:rPr>
                <w:rFonts w:asciiTheme="minorHAnsi" w:hAnsiTheme="minorHAnsi" w:cstheme="minorHAnsi"/>
                <w:b/>
                <w:color w:val="FFFFFF" w:themeColor="background1"/>
                <w:sz w:val="20"/>
                <w:szCs w:val="20"/>
                <w:lang w:val="en-US"/>
              </w:rPr>
            </w:pPr>
            <w:r w:rsidRPr="00B5666A">
              <w:rPr>
                <w:rFonts w:asciiTheme="minorHAnsi" w:hAnsiTheme="minorHAnsi" w:cstheme="minorHAnsi"/>
                <w:b/>
                <w:sz w:val="20"/>
                <w:szCs w:val="20"/>
                <w:lang w:val="en-US"/>
              </w:rPr>
              <w:t>IMPLICATIONS AND MATTERS ARISING</w:t>
            </w:r>
          </w:p>
        </w:tc>
      </w:tr>
      <w:tr w:rsidR="001C31F4" w:rsidRPr="00B5666A" w:rsidTr="008D3F0E">
        <w:trPr>
          <w:jc w:val="center"/>
        </w:trPr>
        <w:tc>
          <w:tcPr>
            <w:tcW w:w="1000" w:type="pct"/>
            <w:shd w:val="clear" w:color="auto" w:fill="BFBFBF" w:themeFill="background1" w:themeFillShade="BF"/>
            <w:vAlign w:val="center"/>
          </w:tcPr>
          <w:p w:rsidR="001C31F4" w:rsidRPr="00B5666A" w:rsidRDefault="001C31F4" w:rsidP="00B5666A">
            <w:pPr>
              <w:spacing w:after="0"/>
              <w:jc w:val="center"/>
              <w:rPr>
                <w:sz w:val="20"/>
                <w:szCs w:val="20"/>
                <w:lang w:val="en-AU"/>
              </w:rPr>
            </w:pPr>
            <w:r w:rsidRPr="00B5666A">
              <w:rPr>
                <w:sz w:val="20"/>
                <w:szCs w:val="20"/>
                <w:lang w:val="en-AU"/>
              </w:rPr>
              <w:t>For the performance of the education sector</w:t>
            </w:r>
          </w:p>
        </w:tc>
        <w:tc>
          <w:tcPr>
            <w:tcW w:w="4000" w:type="pct"/>
            <w:gridSpan w:val="3"/>
            <w:vAlign w:val="center"/>
          </w:tcPr>
          <w:p w:rsidR="001C31F4" w:rsidRPr="00B5666A" w:rsidRDefault="002606C3" w:rsidP="00490DE0">
            <w:pPr>
              <w:pStyle w:val="ListParagraph"/>
              <w:numPr>
                <w:ilvl w:val="0"/>
                <w:numId w:val="12"/>
              </w:numPr>
              <w:spacing w:after="60" w:line="240" w:lineRule="auto"/>
              <w:ind w:left="284" w:hanging="284"/>
              <w:contextualSpacing w:val="0"/>
              <w:jc w:val="both"/>
              <w:rPr>
                <w:sz w:val="20"/>
                <w:szCs w:val="20"/>
                <w:lang w:val="en-AU"/>
              </w:rPr>
            </w:pPr>
            <w:r w:rsidRPr="00B5666A">
              <w:rPr>
                <w:sz w:val="20"/>
                <w:szCs w:val="20"/>
                <w:lang w:val="en-AU"/>
              </w:rPr>
              <w:t>Expressed as a percentage of GDP, future growth in public allocations will become contingent on an increase in public expenditures as a proportio</w:t>
            </w:r>
            <w:r w:rsidR="000C45E4">
              <w:rPr>
                <w:sz w:val="20"/>
                <w:szCs w:val="20"/>
                <w:lang w:val="en-AU"/>
              </w:rPr>
              <w:t>n of GDP. In a year such as 2013</w:t>
            </w:r>
            <w:r w:rsidRPr="00B5666A">
              <w:rPr>
                <w:sz w:val="20"/>
                <w:szCs w:val="20"/>
                <w:lang w:val="en-AU"/>
              </w:rPr>
              <w:t xml:space="preserve"> where government grows public expenditures at a faster rate than GDP, then public expenditure as a proportion of GDP will increase if government enforces its policy setting of a minimum 20% allocation for education expenditure. </w:t>
            </w:r>
            <w:r w:rsidRPr="00B5666A">
              <w:rPr>
                <w:sz w:val="20"/>
                <w:szCs w:val="20"/>
                <w:lang w:val="en-AU"/>
              </w:rPr>
              <w:lastRenderedPageBreak/>
              <w:t>Education expenditure as a percentage of GDP may decline if (i) fiscal settings reduce public expenditures as a proportion of GDP, and (ii) the government does not exceed the 20% target for education as a proportion of total public expenditure.</w:t>
            </w:r>
          </w:p>
        </w:tc>
      </w:tr>
    </w:tbl>
    <w:p w:rsidR="0029553A" w:rsidRDefault="0029553A" w:rsidP="001C31F4">
      <w:pPr>
        <w:rPr>
          <w:rStyle w:val="Heading3Char"/>
        </w:rPr>
      </w:pPr>
    </w:p>
    <w:p w:rsidR="001C31F4" w:rsidRDefault="001C31F4" w:rsidP="001C31F4">
      <w:pPr>
        <w:rPr>
          <w:rStyle w:val="Heading3Char"/>
        </w:rPr>
      </w:pPr>
      <w:r w:rsidRPr="00DA26AA">
        <w:rPr>
          <w:rStyle w:val="Heading3Char"/>
        </w:rPr>
        <w:t>KPI 3: Education Non-salary Expenditure as Share of Total Expenditure</w:t>
      </w:r>
    </w:p>
    <w:p w:rsidR="001C31F4" w:rsidRDefault="001C31F4" w:rsidP="009A2DC1">
      <w:pPr>
        <w:pStyle w:val="Caption"/>
      </w:pPr>
      <w:bookmarkStart w:id="35" w:name="_Toc374182054"/>
      <w:bookmarkStart w:id="36" w:name="_Toc414281537"/>
      <w:r w:rsidRPr="00430BA7">
        <w:t>Composition</w:t>
      </w:r>
      <w:r>
        <w:t xml:space="preserve"> of </w:t>
      </w:r>
      <w:r w:rsidRPr="00662491">
        <w:t xml:space="preserve">Aggregate District </w:t>
      </w:r>
      <w:r>
        <w:t xml:space="preserve">Education </w:t>
      </w:r>
      <w:r w:rsidRPr="00662491">
        <w:t xml:space="preserve">Expenditure, </w:t>
      </w:r>
      <w:r>
        <w:t>2009-2011</w:t>
      </w:r>
      <w:bookmarkEnd w:id="35"/>
      <w:bookmarkEnd w:id="36"/>
    </w:p>
    <w:p w:rsidR="001C31F4" w:rsidRDefault="001C31F4" w:rsidP="00DB55DD">
      <w:pPr>
        <w:spacing w:after="360"/>
        <w:jc w:val="center"/>
        <w:rPr>
          <w:rStyle w:val="Heading3Char"/>
        </w:rPr>
      </w:pPr>
      <w:r>
        <w:rPr>
          <w:rFonts w:ascii="Cambria" w:hAnsi="Cambria"/>
          <w:b/>
          <w:i/>
          <w:noProof/>
          <w:color w:val="9D3333"/>
          <w:spacing w:val="5"/>
          <w:szCs w:val="24"/>
          <w:lang w:val="en-AU" w:eastAsia="en-AU"/>
        </w:rPr>
        <w:drawing>
          <wp:inline distT="0" distB="0" distL="0" distR="0" wp14:anchorId="136C4439" wp14:editId="3B820D75">
            <wp:extent cx="5574371" cy="2405448"/>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72125" cy="2404479"/>
                    </a:xfrm>
                    <a:prstGeom prst="rect">
                      <a:avLst/>
                    </a:prstGeom>
                    <a:noFill/>
                  </pic:spPr>
                </pic:pic>
              </a:graphicData>
            </a:graphic>
          </wp:inline>
        </w:drawing>
      </w:r>
    </w:p>
    <w:tbl>
      <w:tblPr>
        <w:tblStyle w:val="TableGrid3"/>
        <w:tblW w:w="5000" w:type="pct"/>
        <w:jc w:val="center"/>
        <w:tblBorders>
          <w:top w:val="single" w:sz="12" w:space="0" w:color="auto"/>
          <w:left w:val="single" w:sz="12" w:space="0" w:color="auto"/>
          <w:bottom w:val="single" w:sz="12" w:space="0" w:color="auto"/>
          <w:right w:val="single" w:sz="12" w:space="0" w:color="auto"/>
        </w:tblBorders>
        <w:tblLayout w:type="fixed"/>
        <w:tblCellMar>
          <w:top w:w="28" w:type="dxa"/>
          <w:bottom w:w="28" w:type="dxa"/>
        </w:tblCellMar>
        <w:tblLook w:val="04A0" w:firstRow="1" w:lastRow="0" w:firstColumn="1" w:lastColumn="0" w:noHBand="0" w:noVBand="1"/>
      </w:tblPr>
      <w:tblGrid>
        <w:gridCol w:w="1849"/>
        <w:gridCol w:w="1849"/>
        <w:gridCol w:w="1849"/>
        <w:gridCol w:w="3698"/>
      </w:tblGrid>
      <w:tr w:rsidR="002606C3" w:rsidRPr="00490DE0" w:rsidTr="00DB55DD">
        <w:trPr>
          <w:tblHeader/>
          <w:jc w:val="center"/>
        </w:trPr>
        <w:tc>
          <w:tcPr>
            <w:tcW w:w="1000" w:type="pct"/>
            <w:tcBorders>
              <w:top w:val="single" w:sz="12" w:space="0" w:color="auto"/>
              <w:bottom w:val="single" w:sz="4" w:space="0" w:color="auto"/>
              <w:right w:val="single" w:sz="4" w:space="0" w:color="FFFFFF" w:themeColor="background1"/>
            </w:tcBorders>
            <w:shd w:val="clear" w:color="auto" w:fill="003880"/>
            <w:vAlign w:val="center"/>
          </w:tcPr>
          <w:p w:rsidR="002606C3" w:rsidRPr="00490DE0" w:rsidRDefault="00490DE0" w:rsidP="00490DE0">
            <w:pPr>
              <w:spacing w:after="0"/>
              <w:jc w:val="center"/>
              <w:rPr>
                <w:rFonts w:asciiTheme="minorHAnsi" w:hAnsiTheme="minorHAnsi" w:cstheme="minorHAnsi"/>
                <w:b/>
                <w:color w:val="FFFFFF" w:themeColor="background1"/>
                <w:sz w:val="20"/>
                <w:szCs w:val="20"/>
                <w:lang w:val="en-US"/>
              </w:rPr>
            </w:pPr>
            <w:r w:rsidRPr="00490DE0">
              <w:rPr>
                <w:rFonts w:asciiTheme="minorHAnsi" w:hAnsiTheme="minorHAnsi" w:cstheme="minorHAnsi"/>
                <w:b/>
                <w:color w:val="FFFFFF" w:themeColor="background1"/>
                <w:sz w:val="20"/>
                <w:szCs w:val="20"/>
                <w:lang w:val="en-US"/>
              </w:rPr>
              <w:t>KPI 3</w:t>
            </w:r>
          </w:p>
        </w:tc>
        <w:tc>
          <w:tcPr>
            <w:tcW w:w="4000" w:type="pct"/>
            <w:gridSpan w:val="3"/>
            <w:tcBorders>
              <w:top w:val="single" w:sz="12" w:space="0" w:color="auto"/>
              <w:left w:val="single" w:sz="4" w:space="0" w:color="FFFFFF" w:themeColor="background1"/>
              <w:bottom w:val="single" w:sz="4" w:space="0" w:color="auto"/>
            </w:tcBorders>
            <w:shd w:val="clear" w:color="auto" w:fill="003880"/>
            <w:vAlign w:val="center"/>
          </w:tcPr>
          <w:p w:rsidR="002606C3" w:rsidRPr="00490DE0" w:rsidRDefault="00490DE0" w:rsidP="00490DE0">
            <w:pPr>
              <w:spacing w:after="0"/>
              <w:jc w:val="center"/>
              <w:rPr>
                <w:rFonts w:asciiTheme="minorHAnsi" w:hAnsiTheme="minorHAnsi" w:cstheme="minorHAnsi"/>
                <w:b/>
                <w:color w:val="FFFFFF" w:themeColor="background1"/>
                <w:sz w:val="20"/>
                <w:szCs w:val="20"/>
                <w:lang w:val="en-US"/>
              </w:rPr>
            </w:pPr>
            <w:r w:rsidRPr="00490DE0">
              <w:rPr>
                <w:rFonts w:asciiTheme="minorHAnsi" w:hAnsiTheme="minorHAnsi" w:cstheme="minorHAnsi"/>
                <w:b/>
                <w:bCs/>
                <w:color w:val="FFFFFF" w:themeColor="background1"/>
                <w:sz w:val="20"/>
                <w:szCs w:val="20"/>
                <w:lang w:val="en-US"/>
              </w:rPr>
              <w:t>EDUCATION NON-SALARY EXPENDITURE AS SHARE OF TOTAL EXPENDITURE</w:t>
            </w:r>
          </w:p>
        </w:tc>
      </w:tr>
      <w:tr w:rsidR="002606C3" w:rsidRPr="00490DE0" w:rsidTr="00DB55DD">
        <w:trPr>
          <w:tblHeader/>
          <w:jc w:val="center"/>
        </w:trPr>
        <w:tc>
          <w:tcPr>
            <w:tcW w:w="5000" w:type="pct"/>
            <w:gridSpan w:val="4"/>
            <w:tcBorders>
              <w:top w:val="single" w:sz="4" w:space="0" w:color="auto"/>
            </w:tcBorders>
            <w:shd w:val="clear" w:color="auto" w:fill="68BAD6"/>
            <w:vAlign w:val="center"/>
          </w:tcPr>
          <w:p w:rsidR="002606C3" w:rsidRPr="00490DE0" w:rsidRDefault="00490DE0" w:rsidP="00490DE0">
            <w:pPr>
              <w:spacing w:after="0"/>
              <w:jc w:val="center"/>
              <w:rPr>
                <w:rFonts w:asciiTheme="minorHAnsi" w:hAnsiTheme="minorHAnsi" w:cstheme="minorHAnsi"/>
                <w:b/>
                <w:color w:val="FFFFFF" w:themeColor="background1"/>
                <w:sz w:val="20"/>
                <w:szCs w:val="20"/>
                <w:lang w:val="en-US"/>
              </w:rPr>
            </w:pPr>
            <w:r w:rsidRPr="00490DE0">
              <w:rPr>
                <w:rFonts w:asciiTheme="minorHAnsi" w:hAnsiTheme="minorHAnsi" w:cstheme="minorHAnsi"/>
                <w:b/>
                <w:sz w:val="20"/>
                <w:szCs w:val="20"/>
                <w:lang w:val="en-US"/>
              </w:rPr>
              <w:t>STATUS AND TRENDS</w:t>
            </w:r>
          </w:p>
        </w:tc>
      </w:tr>
      <w:tr w:rsidR="002606C3" w:rsidRPr="00490DE0" w:rsidTr="00DB55DD">
        <w:trPr>
          <w:jc w:val="center"/>
        </w:trPr>
        <w:tc>
          <w:tcPr>
            <w:tcW w:w="1000" w:type="pct"/>
            <w:shd w:val="clear" w:color="auto" w:fill="BFBFBF" w:themeFill="background1" w:themeFillShade="BF"/>
            <w:vAlign w:val="center"/>
          </w:tcPr>
          <w:p w:rsidR="002606C3" w:rsidRPr="00490DE0" w:rsidRDefault="002606C3" w:rsidP="00490DE0">
            <w:pPr>
              <w:spacing w:after="0"/>
              <w:jc w:val="center"/>
              <w:rPr>
                <w:sz w:val="20"/>
                <w:szCs w:val="20"/>
                <w:lang w:val="en-AU"/>
              </w:rPr>
            </w:pPr>
            <w:r w:rsidRPr="00490DE0">
              <w:rPr>
                <w:sz w:val="20"/>
                <w:szCs w:val="20"/>
                <w:lang w:val="en-AU"/>
              </w:rPr>
              <w:t>Result</w:t>
            </w:r>
          </w:p>
        </w:tc>
        <w:tc>
          <w:tcPr>
            <w:tcW w:w="1000" w:type="pct"/>
            <w:shd w:val="clear" w:color="auto" w:fill="92D050"/>
            <w:vAlign w:val="center"/>
          </w:tcPr>
          <w:p w:rsidR="002606C3" w:rsidRPr="00490DE0" w:rsidRDefault="002606C3" w:rsidP="00490DE0">
            <w:pPr>
              <w:spacing w:after="0"/>
              <w:jc w:val="center"/>
              <w:rPr>
                <w:sz w:val="20"/>
                <w:szCs w:val="20"/>
                <w:lang w:val="en-AU"/>
              </w:rPr>
            </w:pPr>
            <w:r w:rsidRPr="00490DE0">
              <w:rPr>
                <w:sz w:val="20"/>
                <w:szCs w:val="20"/>
                <w:lang w:val="en-AU"/>
              </w:rPr>
              <w:t>Positive</w:t>
            </w:r>
          </w:p>
        </w:tc>
        <w:tc>
          <w:tcPr>
            <w:tcW w:w="1000" w:type="pct"/>
            <w:shd w:val="clear" w:color="auto" w:fill="BFBFBF" w:themeFill="background1" w:themeFillShade="BF"/>
            <w:vAlign w:val="center"/>
          </w:tcPr>
          <w:p w:rsidR="002606C3" w:rsidRPr="00490DE0" w:rsidRDefault="002606C3" w:rsidP="00490DE0">
            <w:pPr>
              <w:spacing w:after="0"/>
              <w:jc w:val="center"/>
              <w:rPr>
                <w:sz w:val="20"/>
                <w:szCs w:val="20"/>
                <w:lang w:val="en-AU"/>
              </w:rPr>
            </w:pPr>
            <w:r w:rsidRPr="00490DE0">
              <w:rPr>
                <w:sz w:val="20"/>
                <w:szCs w:val="20"/>
                <w:lang w:val="en-AU"/>
              </w:rPr>
              <w:t>Data availability</w:t>
            </w:r>
          </w:p>
        </w:tc>
        <w:tc>
          <w:tcPr>
            <w:tcW w:w="2000" w:type="pct"/>
            <w:vAlign w:val="center"/>
          </w:tcPr>
          <w:p w:rsidR="002606C3" w:rsidRPr="00490DE0" w:rsidRDefault="00F9628B" w:rsidP="00F9628B">
            <w:pPr>
              <w:spacing w:after="0"/>
              <w:jc w:val="both"/>
              <w:rPr>
                <w:rFonts w:cs="Calibri"/>
                <w:sz w:val="20"/>
                <w:szCs w:val="20"/>
                <w:lang w:val="en-AU"/>
              </w:rPr>
            </w:pPr>
            <w:r>
              <w:rPr>
                <w:sz w:val="20"/>
                <w:szCs w:val="20"/>
                <w:lang w:val="en-AU"/>
              </w:rPr>
              <w:t>Partial.</w:t>
            </w:r>
            <w:r w:rsidR="00047B50" w:rsidRPr="00490DE0">
              <w:rPr>
                <w:sz w:val="20"/>
                <w:szCs w:val="20"/>
                <w:lang w:val="en-AU"/>
              </w:rPr>
              <w:t xml:space="preserve"> District supplied data from 2009</w:t>
            </w:r>
            <w:r>
              <w:rPr>
                <w:sz w:val="20"/>
                <w:szCs w:val="20"/>
                <w:lang w:val="en-AU"/>
              </w:rPr>
              <w:t>-2011</w:t>
            </w:r>
            <w:r w:rsidR="00047B50" w:rsidRPr="00490DE0">
              <w:rPr>
                <w:sz w:val="20"/>
                <w:szCs w:val="20"/>
                <w:lang w:val="en-AU"/>
              </w:rPr>
              <w:t>. Data only refers to the district tier of government and does not include considerable non-salary payments likely to be flowing from central level government to districts and schools.</w:t>
            </w:r>
          </w:p>
        </w:tc>
      </w:tr>
      <w:tr w:rsidR="002606C3" w:rsidRPr="00490DE0" w:rsidTr="00DB55DD">
        <w:trPr>
          <w:jc w:val="center"/>
        </w:trPr>
        <w:tc>
          <w:tcPr>
            <w:tcW w:w="1000" w:type="pct"/>
            <w:shd w:val="clear" w:color="auto" w:fill="BFBFBF" w:themeFill="background1" w:themeFillShade="BF"/>
            <w:vAlign w:val="center"/>
          </w:tcPr>
          <w:p w:rsidR="002606C3" w:rsidRPr="00490DE0" w:rsidRDefault="002606C3" w:rsidP="00490DE0">
            <w:pPr>
              <w:spacing w:after="0"/>
              <w:jc w:val="center"/>
              <w:rPr>
                <w:sz w:val="20"/>
                <w:szCs w:val="20"/>
                <w:lang w:val="en-AU"/>
              </w:rPr>
            </w:pPr>
            <w:r w:rsidRPr="00490DE0">
              <w:rPr>
                <w:sz w:val="20"/>
                <w:szCs w:val="20"/>
                <w:lang w:val="en-AU"/>
              </w:rPr>
              <w:t>Observations</w:t>
            </w:r>
          </w:p>
        </w:tc>
        <w:tc>
          <w:tcPr>
            <w:tcW w:w="4000" w:type="pct"/>
            <w:gridSpan w:val="3"/>
            <w:vAlign w:val="center"/>
          </w:tcPr>
          <w:p w:rsidR="002606C3" w:rsidRPr="00490DE0" w:rsidRDefault="002606C3" w:rsidP="00490DE0">
            <w:pPr>
              <w:pStyle w:val="ListParagraph"/>
              <w:numPr>
                <w:ilvl w:val="0"/>
                <w:numId w:val="12"/>
              </w:numPr>
              <w:spacing w:after="60" w:line="240" w:lineRule="auto"/>
              <w:ind w:left="284" w:hanging="284"/>
              <w:contextualSpacing w:val="0"/>
              <w:jc w:val="both"/>
              <w:rPr>
                <w:sz w:val="20"/>
                <w:szCs w:val="20"/>
                <w:lang w:val="en-AU"/>
              </w:rPr>
            </w:pPr>
            <w:r w:rsidRPr="00490DE0">
              <w:rPr>
                <w:sz w:val="20"/>
                <w:szCs w:val="20"/>
                <w:lang w:val="en-AU"/>
              </w:rPr>
              <w:t>School systems require a substantial share of non-salary related expenditures to (i) provide a full range of resources (apart from teachers) to schools, and (ii) maintain buildings and provide for additional capital and equipment needs.</w:t>
            </w:r>
          </w:p>
          <w:p w:rsidR="002606C3" w:rsidRPr="00490DE0" w:rsidRDefault="002606C3" w:rsidP="00490DE0">
            <w:pPr>
              <w:pStyle w:val="ListParagraph"/>
              <w:numPr>
                <w:ilvl w:val="0"/>
                <w:numId w:val="12"/>
              </w:numPr>
              <w:spacing w:after="60" w:line="240" w:lineRule="auto"/>
              <w:ind w:left="284" w:hanging="284"/>
              <w:contextualSpacing w:val="0"/>
              <w:jc w:val="both"/>
              <w:rPr>
                <w:sz w:val="20"/>
                <w:szCs w:val="20"/>
                <w:lang w:val="en-AU"/>
              </w:rPr>
            </w:pPr>
            <w:r w:rsidRPr="00490DE0">
              <w:rPr>
                <w:sz w:val="20"/>
                <w:szCs w:val="20"/>
                <w:lang w:val="en-AU"/>
              </w:rPr>
              <w:t>In 2011 the salary share of expenditures of total district level expenditures</w:t>
            </w:r>
            <w:r w:rsidR="009A7748" w:rsidRPr="00490DE0">
              <w:rPr>
                <w:sz w:val="20"/>
                <w:szCs w:val="20"/>
                <w:lang w:val="en-AU"/>
              </w:rPr>
              <w:t xml:space="preserve"> had come down to 75% from 86% the year before (see Figure </w:t>
            </w:r>
            <w:r w:rsidR="009B6D6D">
              <w:rPr>
                <w:sz w:val="20"/>
                <w:szCs w:val="20"/>
                <w:lang w:val="en-AU"/>
              </w:rPr>
              <w:t>5</w:t>
            </w:r>
            <w:r w:rsidR="009A7748" w:rsidRPr="00490DE0">
              <w:rPr>
                <w:sz w:val="20"/>
                <w:szCs w:val="20"/>
                <w:lang w:val="en-AU"/>
              </w:rPr>
              <w:t>)</w:t>
            </w:r>
            <w:r w:rsidRPr="00490DE0">
              <w:rPr>
                <w:sz w:val="20"/>
                <w:szCs w:val="20"/>
                <w:lang w:val="en-AU"/>
              </w:rPr>
              <w:t>. In the context of the additional salary costs associated with the teacher certification process, this is a very positive achievement.</w:t>
            </w:r>
          </w:p>
          <w:p w:rsidR="002606C3" w:rsidRPr="00490DE0" w:rsidRDefault="002606C3" w:rsidP="00490DE0">
            <w:pPr>
              <w:pStyle w:val="ListParagraph"/>
              <w:numPr>
                <w:ilvl w:val="0"/>
                <w:numId w:val="12"/>
              </w:numPr>
              <w:spacing w:after="60" w:line="240" w:lineRule="auto"/>
              <w:ind w:left="284" w:hanging="284"/>
              <w:contextualSpacing w:val="0"/>
              <w:jc w:val="both"/>
              <w:rPr>
                <w:sz w:val="20"/>
                <w:szCs w:val="20"/>
                <w:lang w:val="en-AU"/>
              </w:rPr>
            </w:pPr>
            <w:r w:rsidRPr="00490DE0">
              <w:rPr>
                <w:sz w:val="20"/>
                <w:szCs w:val="20"/>
                <w:lang w:val="en-AU"/>
              </w:rPr>
              <w:t>New budget allocations were especially strong for capital items which doubled from 7% of total district budgets in 2010 to 14% in 2011.</w:t>
            </w:r>
          </w:p>
          <w:p w:rsidR="002606C3" w:rsidRPr="00490DE0" w:rsidRDefault="002606C3" w:rsidP="00490DE0">
            <w:pPr>
              <w:pStyle w:val="ListParagraph"/>
              <w:numPr>
                <w:ilvl w:val="0"/>
                <w:numId w:val="12"/>
              </w:numPr>
              <w:spacing w:after="60" w:line="240" w:lineRule="auto"/>
              <w:ind w:left="284" w:hanging="284"/>
              <w:contextualSpacing w:val="0"/>
              <w:jc w:val="both"/>
              <w:rPr>
                <w:sz w:val="20"/>
                <w:szCs w:val="20"/>
                <w:lang w:val="en-AU"/>
              </w:rPr>
            </w:pPr>
            <w:r w:rsidRPr="00490DE0">
              <w:rPr>
                <w:sz w:val="20"/>
                <w:szCs w:val="20"/>
                <w:lang w:val="en-AU"/>
              </w:rPr>
              <w:t>Budget allocations for operational costs also grew strongly from 6% in 2010 to 10% in 2011.</w:t>
            </w:r>
          </w:p>
        </w:tc>
      </w:tr>
      <w:tr w:rsidR="002606C3" w:rsidRPr="00490DE0" w:rsidTr="00DB55DD">
        <w:trPr>
          <w:tblHeader/>
          <w:jc w:val="center"/>
        </w:trPr>
        <w:tc>
          <w:tcPr>
            <w:tcW w:w="5000" w:type="pct"/>
            <w:gridSpan w:val="4"/>
            <w:shd w:val="clear" w:color="auto" w:fill="68BAD6"/>
            <w:vAlign w:val="center"/>
          </w:tcPr>
          <w:p w:rsidR="002606C3" w:rsidRPr="00490DE0" w:rsidRDefault="00490DE0" w:rsidP="00490DE0">
            <w:pPr>
              <w:spacing w:after="0"/>
              <w:jc w:val="center"/>
              <w:rPr>
                <w:rFonts w:asciiTheme="minorHAnsi" w:hAnsiTheme="minorHAnsi" w:cstheme="minorHAnsi"/>
                <w:b/>
                <w:color w:val="FFFFFF" w:themeColor="background1"/>
                <w:sz w:val="20"/>
                <w:szCs w:val="20"/>
                <w:lang w:val="en-US"/>
              </w:rPr>
            </w:pPr>
            <w:r w:rsidRPr="00490DE0">
              <w:rPr>
                <w:rFonts w:asciiTheme="minorHAnsi" w:hAnsiTheme="minorHAnsi" w:cstheme="minorHAnsi"/>
                <w:b/>
                <w:sz w:val="20"/>
                <w:szCs w:val="20"/>
                <w:lang w:val="en-US"/>
              </w:rPr>
              <w:t>IMPLICATIONS AND MATTERS ARISING</w:t>
            </w:r>
          </w:p>
        </w:tc>
      </w:tr>
      <w:tr w:rsidR="002606C3" w:rsidRPr="00490DE0" w:rsidTr="00DB55DD">
        <w:trPr>
          <w:jc w:val="center"/>
        </w:trPr>
        <w:tc>
          <w:tcPr>
            <w:tcW w:w="1000" w:type="pct"/>
            <w:shd w:val="clear" w:color="auto" w:fill="BFBFBF" w:themeFill="background1" w:themeFillShade="BF"/>
            <w:vAlign w:val="center"/>
          </w:tcPr>
          <w:p w:rsidR="002606C3" w:rsidRPr="00490DE0" w:rsidRDefault="002606C3" w:rsidP="00490DE0">
            <w:pPr>
              <w:spacing w:after="0"/>
              <w:jc w:val="center"/>
              <w:rPr>
                <w:sz w:val="20"/>
                <w:szCs w:val="20"/>
                <w:lang w:val="en-AU"/>
              </w:rPr>
            </w:pPr>
            <w:r w:rsidRPr="00490DE0">
              <w:rPr>
                <w:sz w:val="20"/>
                <w:szCs w:val="20"/>
                <w:lang w:val="en-AU"/>
              </w:rPr>
              <w:t>For the performance of the education sector</w:t>
            </w:r>
          </w:p>
        </w:tc>
        <w:tc>
          <w:tcPr>
            <w:tcW w:w="4000" w:type="pct"/>
            <w:gridSpan w:val="3"/>
            <w:vAlign w:val="center"/>
          </w:tcPr>
          <w:p w:rsidR="002606C3" w:rsidRPr="00490DE0" w:rsidRDefault="002606C3" w:rsidP="00490DE0">
            <w:pPr>
              <w:pStyle w:val="ListParagraph"/>
              <w:numPr>
                <w:ilvl w:val="0"/>
                <w:numId w:val="12"/>
              </w:numPr>
              <w:spacing w:after="60" w:line="240" w:lineRule="auto"/>
              <w:ind w:left="284" w:hanging="284"/>
              <w:contextualSpacing w:val="0"/>
              <w:jc w:val="both"/>
              <w:rPr>
                <w:rFonts w:ascii="Gill Sans MT" w:hAnsi="Gill Sans MT" w:cs="Calibri"/>
                <w:sz w:val="20"/>
                <w:szCs w:val="20"/>
                <w:lang w:val="en-AU"/>
              </w:rPr>
            </w:pPr>
            <w:r w:rsidRPr="00490DE0">
              <w:rPr>
                <w:sz w:val="20"/>
                <w:szCs w:val="20"/>
                <w:lang w:val="en-AU"/>
              </w:rPr>
              <w:t>In 2011 there was a significant year</w:t>
            </w:r>
            <w:r w:rsidR="009A7748" w:rsidRPr="00490DE0">
              <w:rPr>
                <w:sz w:val="20"/>
                <w:szCs w:val="20"/>
                <w:lang w:val="en-AU"/>
              </w:rPr>
              <w:t>-</w:t>
            </w:r>
            <w:r w:rsidRPr="00490DE0">
              <w:rPr>
                <w:sz w:val="20"/>
                <w:szCs w:val="20"/>
                <w:lang w:val="en-AU"/>
              </w:rPr>
              <w:t>to</w:t>
            </w:r>
            <w:r w:rsidR="009A7748" w:rsidRPr="00490DE0">
              <w:rPr>
                <w:sz w:val="20"/>
                <w:szCs w:val="20"/>
                <w:lang w:val="en-AU"/>
              </w:rPr>
              <w:t>-</w:t>
            </w:r>
            <w:r w:rsidRPr="00490DE0">
              <w:rPr>
                <w:sz w:val="20"/>
                <w:szCs w:val="20"/>
                <w:lang w:val="en-AU"/>
              </w:rPr>
              <w:t xml:space="preserve">year improvement in the share of resources being allocated </w:t>
            </w:r>
            <w:r w:rsidR="009A7748" w:rsidRPr="00490DE0">
              <w:rPr>
                <w:sz w:val="20"/>
                <w:szCs w:val="20"/>
                <w:lang w:val="en-AU"/>
              </w:rPr>
              <w:t xml:space="preserve">to </w:t>
            </w:r>
            <w:r w:rsidRPr="00490DE0">
              <w:rPr>
                <w:sz w:val="20"/>
                <w:szCs w:val="20"/>
                <w:lang w:val="en-AU"/>
              </w:rPr>
              <w:t xml:space="preserve">non-salary expenses within the education budget. Unfortunately there is little room for complacency in this respect due to the ongoing fiscal impact of remuneration for teachers attaining teacher certification. Certified teachers will garner at least 100% pay increases once they are certified. The cumulative impact of </w:t>
            </w:r>
            <w:r w:rsidRPr="00490DE0">
              <w:rPr>
                <w:sz w:val="20"/>
                <w:szCs w:val="20"/>
                <w:lang w:val="en-AU"/>
              </w:rPr>
              <w:lastRenderedPageBreak/>
              <w:t>these increases will act to severely constrain future increases in non-salary expenditures. It will be increasingly important for districts and schools to ensure that non-salary expenditures are effective and efficiently distributed.</w:t>
            </w:r>
          </w:p>
        </w:tc>
      </w:tr>
      <w:tr w:rsidR="002606C3" w:rsidRPr="00490DE0" w:rsidTr="00DB55DD">
        <w:trPr>
          <w:jc w:val="center"/>
        </w:trPr>
        <w:tc>
          <w:tcPr>
            <w:tcW w:w="1000" w:type="pct"/>
            <w:shd w:val="clear" w:color="auto" w:fill="BFBFBF" w:themeFill="background1" w:themeFillShade="BF"/>
            <w:vAlign w:val="center"/>
          </w:tcPr>
          <w:p w:rsidR="002606C3" w:rsidRPr="00490DE0" w:rsidRDefault="002606C3" w:rsidP="00490DE0">
            <w:pPr>
              <w:spacing w:after="0"/>
              <w:jc w:val="center"/>
              <w:rPr>
                <w:sz w:val="20"/>
                <w:szCs w:val="20"/>
                <w:lang w:val="en-AU"/>
              </w:rPr>
            </w:pPr>
            <w:r w:rsidRPr="00490DE0">
              <w:rPr>
                <w:sz w:val="20"/>
                <w:szCs w:val="20"/>
                <w:lang w:val="en-AU"/>
              </w:rPr>
              <w:lastRenderedPageBreak/>
              <w:t>For the performance of the Education Partnership</w:t>
            </w:r>
          </w:p>
        </w:tc>
        <w:tc>
          <w:tcPr>
            <w:tcW w:w="4000" w:type="pct"/>
            <w:gridSpan w:val="3"/>
            <w:vAlign w:val="center"/>
          </w:tcPr>
          <w:p w:rsidR="002606C3" w:rsidRPr="00490DE0" w:rsidRDefault="002606C3" w:rsidP="00490DE0">
            <w:pPr>
              <w:pStyle w:val="ListParagraph"/>
              <w:numPr>
                <w:ilvl w:val="0"/>
                <w:numId w:val="12"/>
              </w:numPr>
              <w:spacing w:after="60" w:line="240" w:lineRule="auto"/>
              <w:ind w:left="284" w:hanging="284"/>
              <w:contextualSpacing w:val="0"/>
              <w:jc w:val="both"/>
              <w:rPr>
                <w:sz w:val="20"/>
                <w:szCs w:val="20"/>
                <w:lang w:val="en-AU"/>
              </w:rPr>
            </w:pPr>
            <w:r w:rsidRPr="00490DE0">
              <w:rPr>
                <w:sz w:val="20"/>
                <w:szCs w:val="20"/>
                <w:lang w:val="en-AU"/>
              </w:rPr>
              <w:t xml:space="preserve">District budget allocations for non-salary items in education will be very important </w:t>
            </w:r>
            <w:r w:rsidR="00BC2D2F" w:rsidRPr="00490DE0">
              <w:rPr>
                <w:sz w:val="20"/>
                <w:szCs w:val="20"/>
                <w:lang w:val="en-AU"/>
              </w:rPr>
              <w:t xml:space="preserve">to support </w:t>
            </w:r>
            <w:r w:rsidRPr="00490DE0">
              <w:rPr>
                <w:sz w:val="20"/>
                <w:szCs w:val="20"/>
                <w:lang w:val="en-AU"/>
              </w:rPr>
              <w:t xml:space="preserve">the improvement in the quality of education. In particular the Professional Development of principals and teachers will require the financial support of districts beyond the EP funded interventions. </w:t>
            </w:r>
            <w:r w:rsidR="00BC2D2F" w:rsidRPr="00490DE0">
              <w:rPr>
                <w:sz w:val="20"/>
                <w:szCs w:val="20"/>
                <w:lang w:val="en-AU"/>
              </w:rPr>
              <w:t>EP districts which have very little funding allocated for operational activities (outside of salaries) should be monitored and engaged in a policy dialogue to understand current allocations and future plans.</w:t>
            </w:r>
          </w:p>
        </w:tc>
      </w:tr>
    </w:tbl>
    <w:p w:rsidR="001A3FC6" w:rsidRDefault="001A3FC6" w:rsidP="00DB55DD">
      <w:pPr>
        <w:pStyle w:val="Heading3"/>
      </w:pPr>
    </w:p>
    <w:p w:rsidR="001A3FC6" w:rsidRDefault="001A3FC6">
      <w:pPr>
        <w:spacing w:after="0"/>
        <w:rPr>
          <w:rFonts w:asciiTheme="minorHAnsi" w:hAnsiTheme="minorHAnsi" w:cstheme="minorHAnsi"/>
          <w:b/>
          <w:bCs/>
          <w:i/>
          <w:iCs/>
          <w:color w:val="003880"/>
          <w:sz w:val="24"/>
          <w:szCs w:val="28"/>
        </w:rPr>
      </w:pPr>
      <w:r>
        <w:br w:type="page"/>
      </w:r>
    </w:p>
    <w:p w:rsidR="007664CD" w:rsidRDefault="007664CD" w:rsidP="007664CD">
      <w:pPr>
        <w:rPr>
          <w:b/>
          <w:i/>
        </w:rPr>
      </w:pPr>
    </w:p>
    <w:p w:rsidR="00D03D4C" w:rsidRDefault="00D03D4C" w:rsidP="001C31F4">
      <w:pPr>
        <w:rPr>
          <w:rStyle w:val="Heading3Char"/>
        </w:rPr>
        <w:sectPr w:rsidR="00D03D4C" w:rsidSect="00DB55DD">
          <w:headerReference w:type="first" r:id="rId40"/>
          <w:footerReference w:type="first" r:id="rId41"/>
          <w:footnotePr>
            <w:numRestart w:val="eachSect"/>
          </w:footnotePr>
          <w:endnotePr>
            <w:numRestart w:val="eachSect"/>
          </w:endnotePr>
          <w:pgSz w:w="11909" w:h="16834" w:code="9"/>
          <w:pgMar w:top="357" w:right="1440" w:bottom="1304" w:left="1440" w:header="431" w:footer="425" w:gutter="0"/>
          <w:cols w:space="720"/>
          <w:titlePg/>
          <w:docGrid w:linePitch="360"/>
        </w:sectPr>
      </w:pPr>
    </w:p>
    <w:p w:rsidR="00DF49DF" w:rsidRDefault="00DF49DF" w:rsidP="00DB55DD">
      <w:pPr>
        <w:tabs>
          <w:tab w:val="left" w:pos="2977"/>
        </w:tabs>
        <w:spacing w:before="6960"/>
        <w:ind w:right="1701"/>
        <w:jc w:val="right"/>
        <w:rPr>
          <w:b/>
          <w:color w:val="FFFFFF" w:themeColor="background1"/>
          <w:sz w:val="36"/>
          <w:szCs w:val="36"/>
        </w:rPr>
      </w:pPr>
      <w:r>
        <w:rPr>
          <w:b/>
          <w:color w:val="FFFFFF" w:themeColor="background1"/>
          <w:sz w:val="36"/>
          <w:szCs w:val="36"/>
        </w:rPr>
        <w:lastRenderedPageBreak/>
        <w:t>Financial Performance at District Level</w:t>
      </w:r>
    </w:p>
    <w:p w:rsidR="00245A84" w:rsidRDefault="00245A84" w:rsidP="00245A84">
      <w:pPr>
        <w:sectPr w:rsidR="00245A84" w:rsidSect="00EF388E">
          <w:headerReference w:type="first" r:id="rId42"/>
          <w:footerReference w:type="first" r:id="rId43"/>
          <w:footnotePr>
            <w:numRestart w:val="eachSect"/>
          </w:footnotePr>
          <w:endnotePr>
            <w:numRestart w:val="eachSect"/>
          </w:endnotePr>
          <w:pgSz w:w="11909" w:h="16834" w:code="9"/>
          <w:pgMar w:top="357" w:right="1440" w:bottom="1304" w:left="1440" w:header="431" w:footer="425" w:gutter="0"/>
          <w:cols w:space="720"/>
          <w:titlePg/>
          <w:docGrid w:linePitch="360"/>
        </w:sectPr>
      </w:pPr>
    </w:p>
    <w:p w:rsidR="00DF49DF" w:rsidRPr="00DB55DD" w:rsidRDefault="00DB55DD" w:rsidP="00DB55DD">
      <w:pPr>
        <w:pStyle w:val="Heading1"/>
        <w:spacing w:after="1320"/>
        <w:ind w:left="357" w:hanging="357"/>
        <w:rPr>
          <w:color w:val="68BAD6"/>
        </w:rPr>
      </w:pPr>
      <w:bookmarkStart w:id="37" w:name="_Toc380740271"/>
      <w:bookmarkStart w:id="38" w:name="_Toc372401521"/>
      <w:r w:rsidRPr="00DB55DD">
        <w:rPr>
          <w:color w:val="68BAD6"/>
        </w:rPr>
        <w:lastRenderedPageBreak/>
        <w:t>FINANCIAL PERFORMANCE AT DISTRICT LEVEL</w:t>
      </w:r>
      <w:bookmarkEnd w:id="37"/>
    </w:p>
    <w:p w:rsidR="00DF49DF" w:rsidRPr="00DB55DD" w:rsidRDefault="00D50E38" w:rsidP="00DB55DD">
      <w:pPr>
        <w:pStyle w:val="Heading2"/>
        <w:spacing w:before="360" w:after="240"/>
        <w:ind w:left="567" w:hanging="567"/>
        <w:rPr>
          <w:rFonts w:asciiTheme="minorHAnsi" w:hAnsiTheme="minorHAnsi"/>
          <w:b/>
          <w:sz w:val="32"/>
          <w:szCs w:val="22"/>
        </w:rPr>
      </w:pPr>
      <w:r w:rsidRPr="00DB55DD">
        <w:rPr>
          <w:rFonts w:asciiTheme="minorHAnsi" w:hAnsiTheme="minorHAnsi"/>
          <w:b/>
          <w:sz w:val="32"/>
          <w:szCs w:val="22"/>
        </w:rPr>
        <w:t>Introduction</w:t>
      </w:r>
    </w:p>
    <w:p w:rsidR="00DF49DF" w:rsidRDefault="00DF49DF" w:rsidP="00DB55DD">
      <w:pPr>
        <w:spacing w:line="276" w:lineRule="auto"/>
        <w:jc w:val="both"/>
      </w:pPr>
      <w:r>
        <w:t xml:space="preserve">District-level expenditure patterns are increasingly important </w:t>
      </w:r>
      <w:r w:rsidR="009A7748">
        <w:t>because</w:t>
      </w:r>
      <w:r>
        <w:t xml:space="preserve"> districts have increased responsibility for education management under decentralisation. Monitoring patterns of expenditure by districts will become an increasingly important role for MoEC and MoRA </w:t>
      </w:r>
      <w:r w:rsidR="009A7748">
        <w:t>so th</w:t>
      </w:r>
      <w:r w:rsidR="00CB72F6">
        <w:t>ey</w:t>
      </w:r>
      <w:r w:rsidR="009A7748">
        <w:t xml:space="preserve"> can better </w:t>
      </w:r>
      <w:r>
        <w:t xml:space="preserve">ensure that national funding norms and procedures are being implemented appropriately. The wide range of districts’ poverty status and the importance of education in lifting district populations out of poverty also mean that vulnerable groups stand to benefit most from well-targeted investments in education. </w:t>
      </w:r>
    </w:p>
    <w:p w:rsidR="007D6663" w:rsidRDefault="00357390" w:rsidP="00DB55DD">
      <w:pPr>
        <w:spacing w:line="276" w:lineRule="auto"/>
        <w:jc w:val="both"/>
      </w:pPr>
      <w:r>
        <w:t xml:space="preserve">These district level analyses also can support the </w:t>
      </w:r>
      <w:r w:rsidR="007D6663">
        <w:t xml:space="preserve">EP at the district level. Most directly, the sustainability and </w:t>
      </w:r>
      <w:r>
        <w:t>success of Component 2 will depend on districts being able and willing to finance professional development of key personnel, e.g</w:t>
      </w:r>
      <w:r w:rsidR="007D6663">
        <w:t xml:space="preserve">. principals and supervisors. </w:t>
      </w:r>
      <w:r w:rsidR="00CC4734">
        <w:t>As such, it is important to m</w:t>
      </w:r>
      <w:r w:rsidR="007D6663">
        <w:t xml:space="preserve">onitor </w:t>
      </w:r>
      <w:r w:rsidR="00CC4734">
        <w:t xml:space="preserve">trends in </w:t>
      </w:r>
      <w:r w:rsidR="007D6663">
        <w:t>district level education financing.</w:t>
      </w:r>
    </w:p>
    <w:p w:rsidR="00DF49DF" w:rsidRDefault="00DF49DF" w:rsidP="00DB55DD">
      <w:pPr>
        <w:spacing w:line="276" w:lineRule="auto"/>
        <w:jc w:val="both"/>
      </w:pPr>
      <w:r>
        <w:t>This section provides comparisons of district-level education expenditures for 2006-201</w:t>
      </w:r>
      <w:r w:rsidR="00771545">
        <w:t>3</w:t>
      </w:r>
      <w:r>
        <w:t xml:space="preserve">. The year 2006 is a useful benchmark to identify the nature and extent of education spending at the district level </w:t>
      </w:r>
      <w:r w:rsidR="00CC4734">
        <w:t xml:space="preserve">because it is </w:t>
      </w:r>
      <w:r>
        <w:t xml:space="preserve">before the commencement of the </w:t>
      </w:r>
      <w:r w:rsidR="00386A5D">
        <w:t xml:space="preserve">Australian government funded </w:t>
      </w:r>
      <w:r>
        <w:t>expenditures</w:t>
      </w:r>
      <w:r w:rsidR="00386A5D">
        <w:t xml:space="preserve"> through the BEP program that preceded the current EP</w:t>
      </w:r>
      <w:r>
        <w:t>.</w:t>
      </w:r>
    </w:p>
    <w:p w:rsidR="00DF49DF" w:rsidRDefault="00DF49DF" w:rsidP="00DB55DD">
      <w:pPr>
        <w:spacing w:line="276" w:lineRule="auto"/>
        <w:jc w:val="both"/>
      </w:pPr>
      <w:r>
        <w:t xml:space="preserve">The district-level analysis provides comparisons in district expenditures between (i) rural and urban districts, (ii) </w:t>
      </w:r>
      <w:r w:rsidR="00386A5D">
        <w:t>EP</w:t>
      </w:r>
      <w:r w:rsidR="004971BD">
        <w:t xml:space="preserve"> </w:t>
      </w:r>
      <w:r w:rsidR="00235E42">
        <w:t>and non-</w:t>
      </w:r>
      <w:r>
        <w:t>EP districts</w:t>
      </w:r>
      <w:r w:rsidR="00386A5D">
        <w:t xml:space="preserve"> (with some reference to the earlier Australian funded BEP districts</w:t>
      </w:r>
      <w:r>
        <w:t xml:space="preserve">, (ii) districts sorted into poverty quintile rankings, (iv) provinces, and (v) island groups. </w:t>
      </w:r>
      <w:r w:rsidR="00F9628B">
        <w:t>Supplementary analysis in 2013 also compares (i) education and health sector allocations in districts and (ii) allocations between districts based on the eir year of establishment (age of district).</w:t>
      </w:r>
    </w:p>
    <w:p w:rsidR="00831064" w:rsidRDefault="00831064" w:rsidP="00DB55DD">
      <w:pPr>
        <w:spacing w:line="276" w:lineRule="auto"/>
        <w:jc w:val="both"/>
      </w:pPr>
      <w:r>
        <w:t>The district poverty analysis is drive</w:t>
      </w:r>
      <w:r w:rsidR="00CC4734">
        <w:t>n</w:t>
      </w:r>
      <w:r>
        <w:t xml:space="preserve"> by the distribution of all districts (rural and urban) into poverty quintiles. This means there are approximately 100 districts in each quintile. </w:t>
      </w:r>
      <w:r w:rsidR="00CC4734">
        <w:t>Q</w:t>
      </w:r>
      <w:r>
        <w:t xml:space="preserve">uintile 1 (richest) </w:t>
      </w:r>
      <w:r w:rsidR="00CC4734">
        <w:t xml:space="preserve">‘hosts’ </w:t>
      </w:r>
      <w:r>
        <w:t>the 100 districts which have the lowest percentage of individuals living in poverty. This measure of poverty is taken from the BSP PO poverty index that is widely used for measuring poverty in Indonesia.</w:t>
      </w:r>
    </w:p>
    <w:p w:rsidR="00A0329D" w:rsidRDefault="00DF49DF" w:rsidP="00DB55DD">
      <w:pPr>
        <w:spacing w:line="276" w:lineRule="auto"/>
        <w:jc w:val="both"/>
      </w:pPr>
      <w:r>
        <w:t xml:space="preserve">The </w:t>
      </w:r>
      <w:r w:rsidR="00CC4734">
        <w:t>ASFR</w:t>
      </w:r>
      <w:r>
        <w:t xml:space="preserve"> is based on data collected electronically for the </w:t>
      </w:r>
      <w:r w:rsidR="00771545">
        <w:t>period 2010 to 2013</w:t>
      </w:r>
      <w:r>
        <w:t>. District data prior to this period have been collected directly from the SIKD section of MoF. The SIKD collected in hard copy format the budget and actual expenditures of all districts and provinces</w:t>
      </w:r>
      <w:r w:rsidR="006E3954">
        <w:t xml:space="preserve">. </w:t>
      </w:r>
      <w:r w:rsidR="00386A5D">
        <w:t>The non-financial data (teacher and enrolments) ha</w:t>
      </w:r>
      <w:r w:rsidR="006E3954">
        <w:t>ve</w:t>
      </w:r>
      <w:r w:rsidR="00386A5D">
        <w:t xml:space="preserve"> been collected from M</w:t>
      </w:r>
      <w:r w:rsidR="00CC4734">
        <w:t>o</w:t>
      </w:r>
      <w:r w:rsidR="00386A5D">
        <w:t xml:space="preserve">EC. </w:t>
      </w:r>
      <w:r w:rsidR="00A0329D">
        <w:t>Since 20</w:t>
      </w:r>
      <w:r w:rsidR="00235E42">
        <w:t>10</w:t>
      </w:r>
      <w:r w:rsidR="00A0329D">
        <w:t xml:space="preserve">, these data have been supplemented by data collected electronically from the MoF. The 2010 </w:t>
      </w:r>
      <w:r w:rsidR="00CC4734">
        <w:t xml:space="preserve">ASFR </w:t>
      </w:r>
      <w:r w:rsidR="00A0329D">
        <w:t>was the first to have an entire year that was derived entirely from electronic records provided by SIKD MoF. The data provided by the MoF is subjected to logic tests and assessed for it completeness</w:t>
      </w:r>
      <w:r w:rsidR="00F9628B">
        <w:t xml:space="preserve"> by the study team</w:t>
      </w:r>
      <w:r w:rsidR="00A0329D">
        <w:t>.</w:t>
      </w:r>
    </w:p>
    <w:p w:rsidR="00235E42" w:rsidRDefault="00235E42" w:rsidP="00DB55DD">
      <w:pPr>
        <w:spacing w:line="276" w:lineRule="auto"/>
        <w:jc w:val="both"/>
      </w:pPr>
      <w:r>
        <w:t xml:space="preserve">The </w:t>
      </w:r>
      <w:r w:rsidR="00CC4734">
        <w:t>d</w:t>
      </w:r>
      <w:r>
        <w:t xml:space="preserve">istrict analysis utilizes </w:t>
      </w:r>
      <w:r w:rsidR="00CC4734">
        <w:t>five</w:t>
      </w:r>
      <w:r>
        <w:t xml:space="preserve"> KPI</w:t>
      </w:r>
      <w:r w:rsidR="00CC4734">
        <w:t>s</w:t>
      </w:r>
      <w:r>
        <w:t xml:space="preserve"> to examine district financing of education across Indonesia. The financial data only captures district government expenditures within each district. The financial analysis does not therefore capture the allocations made by central or provincial governments which may flow into the education sector within each district. It does not capture the M</w:t>
      </w:r>
      <w:r w:rsidR="00CC4734">
        <w:t>o</w:t>
      </w:r>
      <w:r>
        <w:t xml:space="preserve">RA allocations for public and private </w:t>
      </w:r>
      <w:r w:rsidR="00837A39">
        <w:t>Madrasah</w:t>
      </w:r>
      <w:r>
        <w:t xml:space="preserve"> which are central government allocations. The district analysis is therefore only useful as an indicator of district government priorities and expenditure patterns.</w:t>
      </w:r>
    </w:p>
    <w:p w:rsidR="00CB72F6" w:rsidRDefault="00CB72F6" w:rsidP="00DB55DD">
      <w:pPr>
        <w:spacing w:line="276" w:lineRule="auto"/>
        <w:jc w:val="both"/>
      </w:pPr>
      <w:r>
        <w:lastRenderedPageBreak/>
        <w:t>The figure below presents the number of districts which have supplied data to M</w:t>
      </w:r>
      <w:r w:rsidR="000960F4">
        <w:t>o</w:t>
      </w:r>
      <w:r>
        <w:t>F and M</w:t>
      </w:r>
      <w:r w:rsidR="000960F4">
        <w:t>o</w:t>
      </w:r>
      <w:r>
        <w:t>EC that has been used monitor the KPIs of the district level analysis.</w:t>
      </w:r>
    </w:p>
    <w:p w:rsidR="00DF49DF" w:rsidRPr="008556EF" w:rsidRDefault="00DF49DF" w:rsidP="009A2DC1">
      <w:pPr>
        <w:pStyle w:val="Caption"/>
      </w:pPr>
      <w:bookmarkStart w:id="39" w:name="_Toc374182057"/>
      <w:bookmarkStart w:id="40" w:name="_Toc414281538"/>
      <w:r w:rsidRPr="008556EF">
        <w:t xml:space="preserve">Number of Districts Included in </w:t>
      </w:r>
      <w:r w:rsidR="00CC4734" w:rsidRPr="008556EF">
        <w:t xml:space="preserve">ASFR </w:t>
      </w:r>
      <w:r w:rsidR="00771545" w:rsidRPr="008556EF">
        <w:t>Analysis, (200</w:t>
      </w:r>
      <w:r w:rsidR="008B0F8C">
        <w:t>7</w:t>
      </w:r>
      <w:r w:rsidR="00771545" w:rsidRPr="008556EF">
        <w:t>-2013</w:t>
      </w:r>
      <w:r w:rsidRPr="008556EF">
        <w:t>)</w:t>
      </w:r>
      <w:bookmarkEnd w:id="39"/>
      <w:bookmarkEnd w:id="40"/>
    </w:p>
    <w:p w:rsidR="00DF49DF" w:rsidRDefault="008556EF" w:rsidP="00DB55DD">
      <w:pPr>
        <w:spacing w:after="360"/>
        <w:jc w:val="both"/>
      </w:pPr>
      <w:r>
        <w:rPr>
          <w:noProof/>
          <w:lang w:val="en-AU" w:eastAsia="en-AU"/>
        </w:rPr>
        <w:drawing>
          <wp:inline distT="0" distB="0" distL="0" distR="0" wp14:anchorId="074B17AD" wp14:editId="66D7F6FA">
            <wp:extent cx="5727786" cy="1651379"/>
            <wp:effectExtent l="19050" t="19050" r="25400"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3415" cy="1653002"/>
                    </a:xfrm>
                    <a:prstGeom prst="rect">
                      <a:avLst/>
                    </a:prstGeom>
                    <a:noFill/>
                    <a:ln>
                      <a:solidFill>
                        <a:schemeClr val="accent1"/>
                      </a:solidFill>
                    </a:ln>
                  </pic:spPr>
                </pic:pic>
              </a:graphicData>
            </a:graphic>
          </wp:inline>
        </w:drawing>
      </w:r>
    </w:p>
    <w:p w:rsidR="00DF49DF" w:rsidRPr="00DB55DD" w:rsidRDefault="00A87C70" w:rsidP="00DB55DD">
      <w:pPr>
        <w:pStyle w:val="Heading2"/>
        <w:spacing w:before="360" w:after="240"/>
        <w:ind w:left="567" w:hanging="567"/>
        <w:rPr>
          <w:rFonts w:asciiTheme="minorHAnsi" w:hAnsiTheme="minorHAnsi"/>
          <w:b/>
          <w:sz w:val="32"/>
          <w:szCs w:val="22"/>
        </w:rPr>
      </w:pPr>
      <w:r w:rsidRPr="00DB55DD">
        <w:rPr>
          <w:rFonts w:asciiTheme="minorHAnsi" w:hAnsiTheme="minorHAnsi"/>
          <w:b/>
          <w:sz w:val="32"/>
          <w:szCs w:val="22"/>
        </w:rPr>
        <w:t>Key Performance Indicators</w:t>
      </w:r>
    </w:p>
    <w:p w:rsidR="006A4E0A" w:rsidRDefault="006A4E0A" w:rsidP="00DB55DD">
      <w:pPr>
        <w:pStyle w:val="Heading3"/>
      </w:pPr>
      <w:r>
        <w:t xml:space="preserve">KPI </w:t>
      </w:r>
      <w:r w:rsidR="00A94000">
        <w:t>4</w:t>
      </w:r>
      <w:r>
        <w:t>: District Financial Commitment to Education</w:t>
      </w:r>
    </w:p>
    <w:p w:rsidR="006A4E0A" w:rsidRDefault="006A4E0A" w:rsidP="009A2DC1">
      <w:pPr>
        <w:pStyle w:val="Caption"/>
      </w:pPr>
      <w:bookmarkStart w:id="41" w:name="_Toc374182058"/>
      <w:bookmarkStart w:id="42" w:name="_Toc414281539"/>
      <w:r w:rsidRPr="000E586C">
        <w:t>Educatio</w:t>
      </w:r>
      <w:r>
        <w:t>n Expenditure as % of Total</w:t>
      </w:r>
      <w:r w:rsidR="00771545">
        <w:t xml:space="preserve"> District Budget (APBD 2006-2013</w:t>
      </w:r>
      <w:r>
        <w:t>)</w:t>
      </w:r>
      <w:bookmarkEnd w:id="41"/>
      <w:bookmarkEnd w:id="42"/>
    </w:p>
    <w:p w:rsidR="006A4E0A" w:rsidRDefault="00771545" w:rsidP="00DB55DD">
      <w:pPr>
        <w:spacing w:after="360"/>
        <w:jc w:val="center"/>
      </w:pPr>
      <w:r>
        <w:rPr>
          <w:noProof/>
          <w:lang w:val="en-AU" w:eastAsia="en-AU"/>
        </w:rPr>
        <w:drawing>
          <wp:inline distT="0" distB="0" distL="0" distR="0" wp14:anchorId="062AB854" wp14:editId="2FEE2A62">
            <wp:extent cx="5732272" cy="3067050"/>
            <wp:effectExtent l="19050" t="19050" r="20955"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3415" cy="3067661"/>
                    </a:xfrm>
                    <a:prstGeom prst="rect">
                      <a:avLst/>
                    </a:prstGeom>
                    <a:noFill/>
                    <a:ln>
                      <a:solidFill>
                        <a:schemeClr val="accent1"/>
                      </a:solidFill>
                    </a:ln>
                  </pic:spPr>
                </pic:pic>
              </a:graphicData>
            </a:graphic>
          </wp:inline>
        </w:drawing>
      </w:r>
    </w:p>
    <w:p w:rsidR="006A4E0A" w:rsidRDefault="006A4E0A" w:rsidP="006A4E0A"/>
    <w:p w:rsidR="003245E4" w:rsidRDefault="003245E4" w:rsidP="006A4E0A"/>
    <w:p w:rsidR="003245E4" w:rsidRDefault="003245E4" w:rsidP="006A4E0A"/>
    <w:p w:rsidR="003245E4" w:rsidRDefault="003245E4" w:rsidP="006A4E0A"/>
    <w:p w:rsidR="003245E4" w:rsidRDefault="003245E4" w:rsidP="006A4E0A"/>
    <w:p w:rsidR="003245E4" w:rsidRDefault="003245E4" w:rsidP="006A4E0A"/>
    <w:p w:rsidR="003245E4" w:rsidRDefault="003245E4" w:rsidP="006A4E0A"/>
    <w:tbl>
      <w:tblPr>
        <w:tblStyle w:val="TableGrid3"/>
        <w:tblW w:w="5000" w:type="pct"/>
        <w:jc w:val="center"/>
        <w:tblLayout w:type="fixed"/>
        <w:tblCellMar>
          <w:top w:w="28" w:type="dxa"/>
          <w:bottom w:w="28" w:type="dxa"/>
        </w:tblCellMar>
        <w:tblLook w:val="04A0" w:firstRow="1" w:lastRow="0" w:firstColumn="1" w:lastColumn="0" w:noHBand="0" w:noVBand="1"/>
      </w:tblPr>
      <w:tblGrid>
        <w:gridCol w:w="1849"/>
        <w:gridCol w:w="1849"/>
        <w:gridCol w:w="1849"/>
        <w:gridCol w:w="3698"/>
      </w:tblGrid>
      <w:tr w:rsidR="006A4E0A" w:rsidRPr="00DB55DD" w:rsidTr="00DB55DD">
        <w:trPr>
          <w:tblHeader/>
          <w:jc w:val="center"/>
        </w:trPr>
        <w:tc>
          <w:tcPr>
            <w:tcW w:w="1000" w:type="pct"/>
            <w:tcBorders>
              <w:bottom w:val="single" w:sz="4" w:space="0" w:color="auto"/>
              <w:right w:val="single" w:sz="4" w:space="0" w:color="FFFFFF" w:themeColor="background1"/>
            </w:tcBorders>
            <w:shd w:val="clear" w:color="auto" w:fill="003880"/>
            <w:vAlign w:val="center"/>
          </w:tcPr>
          <w:p w:rsidR="006A4E0A" w:rsidRPr="00DB55DD" w:rsidRDefault="00710F2F" w:rsidP="00DB55DD">
            <w:pPr>
              <w:spacing w:after="0"/>
              <w:jc w:val="center"/>
              <w:rPr>
                <w:rFonts w:asciiTheme="minorHAnsi" w:hAnsiTheme="minorHAnsi" w:cstheme="minorHAnsi"/>
                <w:b/>
                <w:color w:val="FFFFFF" w:themeColor="background1"/>
                <w:sz w:val="20"/>
                <w:szCs w:val="20"/>
                <w:lang w:val="en-US"/>
              </w:rPr>
            </w:pPr>
            <w:r>
              <w:rPr>
                <w:rFonts w:asciiTheme="minorHAnsi" w:hAnsiTheme="minorHAnsi" w:cstheme="minorHAnsi"/>
                <w:b/>
                <w:color w:val="FFFFFF" w:themeColor="background1"/>
                <w:sz w:val="20"/>
                <w:szCs w:val="20"/>
                <w:lang w:val="en-US"/>
              </w:rPr>
              <w:lastRenderedPageBreak/>
              <w:t>KPI 4</w:t>
            </w:r>
          </w:p>
        </w:tc>
        <w:tc>
          <w:tcPr>
            <w:tcW w:w="7216" w:type="dxa"/>
            <w:gridSpan w:val="3"/>
            <w:tcBorders>
              <w:left w:val="single" w:sz="4" w:space="0" w:color="FFFFFF" w:themeColor="background1"/>
              <w:bottom w:val="single" w:sz="4" w:space="0" w:color="auto"/>
            </w:tcBorders>
            <w:shd w:val="clear" w:color="auto" w:fill="003880"/>
            <w:vAlign w:val="center"/>
          </w:tcPr>
          <w:p w:rsidR="006A4E0A" w:rsidRPr="00DB55DD" w:rsidRDefault="00DB55DD" w:rsidP="00DB55DD">
            <w:pPr>
              <w:spacing w:after="0"/>
              <w:jc w:val="center"/>
              <w:rPr>
                <w:rFonts w:asciiTheme="minorHAnsi" w:hAnsiTheme="minorHAnsi" w:cstheme="minorHAnsi"/>
                <w:b/>
                <w:color w:val="FFFFFF" w:themeColor="background1"/>
                <w:sz w:val="20"/>
                <w:szCs w:val="20"/>
                <w:lang w:val="en-US"/>
              </w:rPr>
            </w:pPr>
            <w:r w:rsidRPr="00DB55DD">
              <w:rPr>
                <w:rFonts w:asciiTheme="minorHAnsi" w:hAnsiTheme="minorHAnsi" w:cstheme="minorHAnsi"/>
                <w:b/>
                <w:color w:val="FFFFFF" w:themeColor="background1"/>
                <w:sz w:val="20"/>
                <w:szCs w:val="20"/>
                <w:lang w:val="en-US"/>
              </w:rPr>
              <w:t xml:space="preserve">DISTRICT FINANCIAL COMMITMENT TO EDUCATION </w:t>
            </w:r>
          </w:p>
        </w:tc>
      </w:tr>
      <w:tr w:rsidR="006A4E0A" w:rsidRPr="00DB55DD" w:rsidTr="00DB55DD">
        <w:trPr>
          <w:tblHeader/>
          <w:jc w:val="center"/>
        </w:trPr>
        <w:tc>
          <w:tcPr>
            <w:tcW w:w="9019" w:type="dxa"/>
            <w:gridSpan w:val="4"/>
            <w:tcBorders>
              <w:bottom w:val="single" w:sz="4" w:space="0" w:color="auto"/>
            </w:tcBorders>
            <w:shd w:val="clear" w:color="auto" w:fill="68BAD6"/>
            <w:vAlign w:val="center"/>
          </w:tcPr>
          <w:p w:rsidR="006A4E0A" w:rsidRPr="00DB55DD" w:rsidRDefault="00DB55DD" w:rsidP="00DB55DD">
            <w:pPr>
              <w:spacing w:after="0"/>
              <w:jc w:val="center"/>
              <w:rPr>
                <w:rFonts w:asciiTheme="minorHAnsi" w:hAnsiTheme="minorHAnsi" w:cstheme="minorHAnsi"/>
                <w:b/>
                <w:color w:val="FFFFFF" w:themeColor="background1"/>
                <w:sz w:val="20"/>
                <w:szCs w:val="20"/>
                <w:lang w:val="en-US"/>
              </w:rPr>
            </w:pPr>
            <w:r w:rsidRPr="00DB55DD">
              <w:rPr>
                <w:rFonts w:asciiTheme="minorHAnsi" w:hAnsiTheme="minorHAnsi" w:cstheme="minorHAnsi"/>
                <w:b/>
                <w:sz w:val="20"/>
                <w:szCs w:val="20"/>
                <w:lang w:val="en-US"/>
              </w:rPr>
              <w:t>STATUS AND TRENDS</w:t>
            </w:r>
          </w:p>
        </w:tc>
      </w:tr>
      <w:tr w:rsidR="006A4E0A" w:rsidRPr="00DB55DD" w:rsidTr="004E75A8">
        <w:trPr>
          <w:jc w:val="center"/>
        </w:trPr>
        <w:tc>
          <w:tcPr>
            <w:tcW w:w="1000" w:type="pct"/>
            <w:tcBorders>
              <w:bottom w:val="single" w:sz="4" w:space="0" w:color="auto"/>
            </w:tcBorders>
            <w:shd w:val="clear" w:color="auto" w:fill="BFBFBF" w:themeFill="background1" w:themeFillShade="BF"/>
            <w:vAlign w:val="center"/>
          </w:tcPr>
          <w:p w:rsidR="006A4E0A" w:rsidRPr="00DB55DD" w:rsidRDefault="006A4E0A" w:rsidP="00DB55DD">
            <w:pPr>
              <w:spacing w:after="0"/>
              <w:jc w:val="center"/>
              <w:rPr>
                <w:sz w:val="20"/>
                <w:szCs w:val="20"/>
                <w:lang w:val="en-AU"/>
              </w:rPr>
            </w:pPr>
            <w:r w:rsidRPr="00DB55DD">
              <w:rPr>
                <w:sz w:val="20"/>
                <w:szCs w:val="20"/>
                <w:lang w:val="en-AU"/>
              </w:rPr>
              <w:t>Result</w:t>
            </w:r>
          </w:p>
        </w:tc>
        <w:tc>
          <w:tcPr>
            <w:tcW w:w="1000" w:type="pct"/>
            <w:shd w:val="clear" w:color="auto" w:fill="FFC000"/>
            <w:vAlign w:val="center"/>
          </w:tcPr>
          <w:p w:rsidR="006A4E0A" w:rsidRPr="00DB55DD" w:rsidRDefault="004E75A8" w:rsidP="00DB55DD">
            <w:pPr>
              <w:spacing w:after="0"/>
              <w:jc w:val="center"/>
              <w:rPr>
                <w:sz w:val="20"/>
                <w:szCs w:val="20"/>
                <w:lang w:val="en-AU"/>
              </w:rPr>
            </w:pPr>
            <w:r>
              <w:rPr>
                <w:sz w:val="20"/>
                <w:szCs w:val="20"/>
                <w:lang w:val="en-AU"/>
              </w:rPr>
              <w:t>Neutral</w:t>
            </w:r>
          </w:p>
        </w:tc>
        <w:tc>
          <w:tcPr>
            <w:tcW w:w="1000" w:type="pct"/>
            <w:shd w:val="clear" w:color="auto" w:fill="BFBFBF" w:themeFill="background1" w:themeFillShade="BF"/>
            <w:vAlign w:val="center"/>
          </w:tcPr>
          <w:p w:rsidR="006A4E0A" w:rsidRPr="00DB55DD" w:rsidRDefault="006A4E0A" w:rsidP="00DB55DD">
            <w:pPr>
              <w:spacing w:after="0"/>
              <w:jc w:val="center"/>
              <w:rPr>
                <w:sz w:val="20"/>
                <w:szCs w:val="20"/>
                <w:lang w:val="en-AU"/>
              </w:rPr>
            </w:pPr>
            <w:r w:rsidRPr="00DB55DD">
              <w:rPr>
                <w:sz w:val="20"/>
                <w:szCs w:val="20"/>
                <w:lang w:val="en-AU"/>
              </w:rPr>
              <w:t>Data availability</w:t>
            </w:r>
          </w:p>
        </w:tc>
        <w:tc>
          <w:tcPr>
            <w:tcW w:w="3608" w:type="dxa"/>
            <w:vAlign w:val="center"/>
          </w:tcPr>
          <w:p w:rsidR="006A4E0A" w:rsidRPr="00DB55DD" w:rsidRDefault="008556EF" w:rsidP="00F9628B">
            <w:pPr>
              <w:spacing w:after="0"/>
              <w:rPr>
                <w:sz w:val="20"/>
                <w:szCs w:val="20"/>
                <w:lang w:val="en-AU"/>
              </w:rPr>
            </w:pPr>
            <w:r w:rsidRPr="008556EF">
              <w:rPr>
                <w:sz w:val="20"/>
                <w:szCs w:val="20"/>
                <w:lang w:val="en-AU"/>
              </w:rPr>
              <w:t xml:space="preserve">Financial data for 2013 </w:t>
            </w:r>
            <w:r w:rsidR="000960F4">
              <w:rPr>
                <w:sz w:val="20"/>
                <w:szCs w:val="20"/>
                <w:lang w:val="en-AU"/>
              </w:rPr>
              <w:t>were</w:t>
            </w:r>
            <w:r w:rsidR="000960F4" w:rsidRPr="008556EF">
              <w:rPr>
                <w:sz w:val="20"/>
                <w:szCs w:val="20"/>
                <w:lang w:val="en-AU"/>
              </w:rPr>
              <w:t xml:space="preserve"> </w:t>
            </w:r>
            <w:r w:rsidRPr="008556EF">
              <w:rPr>
                <w:sz w:val="20"/>
                <w:szCs w:val="20"/>
                <w:lang w:val="en-AU"/>
              </w:rPr>
              <w:t>available for 496</w:t>
            </w:r>
            <w:r w:rsidR="006A4E0A" w:rsidRPr="008556EF">
              <w:rPr>
                <w:sz w:val="20"/>
                <w:szCs w:val="20"/>
                <w:lang w:val="en-AU"/>
              </w:rPr>
              <w:t xml:space="preserve"> dist</w:t>
            </w:r>
            <w:r w:rsidRPr="008556EF">
              <w:rPr>
                <w:sz w:val="20"/>
                <w:szCs w:val="20"/>
                <w:lang w:val="en-AU"/>
              </w:rPr>
              <w:t>ricts and e</w:t>
            </w:r>
            <w:r w:rsidR="00F9628B">
              <w:rPr>
                <w:sz w:val="20"/>
                <w:szCs w:val="20"/>
                <w:lang w:val="en-AU"/>
              </w:rPr>
              <w:t>nrolment data for 490 districts.</w:t>
            </w:r>
          </w:p>
        </w:tc>
      </w:tr>
      <w:tr w:rsidR="006A4E0A" w:rsidRPr="00DB55DD" w:rsidTr="00DB55DD">
        <w:trPr>
          <w:jc w:val="center"/>
        </w:trPr>
        <w:tc>
          <w:tcPr>
            <w:tcW w:w="1000" w:type="pct"/>
            <w:shd w:val="clear" w:color="auto" w:fill="BFBFBF" w:themeFill="background1" w:themeFillShade="BF"/>
            <w:vAlign w:val="center"/>
          </w:tcPr>
          <w:p w:rsidR="006A4E0A" w:rsidRPr="00DB55DD" w:rsidRDefault="006A4E0A" w:rsidP="00DB55DD">
            <w:pPr>
              <w:spacing w:after="0"/>
              <w:jc w:val="center"/>
              <w:rPr>
                <w:sz w:val="20"/>
                <w:szCs w:val="20"/>
                <w:lang w:val="en-AU"/>
              </w:rPr>
            </w:pPr>
            <w:r w:rsidRPr="00DB55DD">
              <w:rPr>
                <w:sz w:val="20"/>
                <w:szCs w:val="20"/>
                <w:lang w:val="en-AU"/>
              </w:rPr>
              <w:t>Observations</w:t>
            </w:r>
          </w:p>
        </w:tc>
        <w:tc>
          <w:tcPr>
            <w:tcW w:w="7216" w:type="dxa"/>
            <w:gridSpan w:val="3"/>
            <w:vAlign w:val="center"/>
          </w:tcPr>
          <w:p w:rsidR="00BB0D64" w:rsidRPr="00DB55DD" w:rsidRDefault="00BB0D64" w:rsidP="00DB55DD">
            <w:pPr>
              <w:pStyle w:val="ListParagraph"/>
              <w:numPr>
                <w:ilvl w:val="0"/>
                <w:numId w:val="12"/>
              </w:numPr>
              <w:spacing w:after="60" w:line="240" w:lineRule="auto"/>
              <w:ind w:left="284" w:hanging="284"/>
              <w:contextualSpacing w:val="0"/>
              <w:jc w:val="both"/>
              <w:rPr>
                <w:sz w:val="20"/>
                <w:szCs w:val="20"/>
                <w:lang w:val="en-AU"/>
              </w:rPr>
            </w:pPr>
            <w:r w:rsidRPr="00DB55DD">
              <w:rPr>
                <w:sz w:val="20"/>
                <w:szCs w:val="20"/>
                <w:lang w:val="en-AU"/>
              </w:rPr>
              <w:t xml:space="preserve">Average district level education expenditures across Indonesia increased from 27% of the total district budget (APBD) in 2006 to </w:t>
            </w:r>
            <w:r w:rsidR="00686110" w:rsidRPr="00DB55DD">
              <w:rPr>
                <w:sz w:val="20"/>
                <w:szCs w:val="20"/>
                <w:lang w:val="en-AU"/>
              </w:rPr>
              <w:t xml:space="preserve">just over </w:t>
            </w:r>
            <w:r w:rsidR="00771545">
              <w:rPr>
                <w:sz w:val="20"/>
                <w:szCs w:val="20"/>
                <w:lang w:val="en-AU"/>
              </w:rPr>
              <w:t>34% in 2013</w:t>
            </w:r>
            <w:r w:rsidR="009B6D6D">
              <w:rPr>
                <w:sz w:val="20"/>
                <w:szCs w:val="20"/>
                <w:lang w:val="en-AU"/>
              </w:rPr>
              <w:t xml:space="preserve"> (see Figure </w:t>
            </w:r>
            <w:r w:rsidR="00710F2F">
              <w:rPr>
                <w:sz w:val="20"/>
                <w:szCs w:val="20"/>
                <w:lang w:val="en-AU"/>
              </w:rPr>
              <w:t>7</w:t>
            </w:r>
            <w:r w:rsidR="00686110" w:rsidRPr="00DB55DD">
              <w:rPr>
                <w:sz w:val="20"/>
                <w:szCs w:val="20"/>
                <w:lang w:val="en-AU"/>
              </w:rPr>
              <w:t>, above)</w:t>
            </w:r>
            <w:r w:rsidRPr="00DB55DD">
              <w:rPr>
                <w:sz w:val="20"/>
                <w:szCs w:val="20"/>
                <w:lang w:val="en-AU"/>
              </w:rPr>
              <w:t>.</w:t>
            </w:r>
          </w:p>
          <w:p w:rsidR="00BB0D64" w:rsidRPr="00DB55DD" w:rsidRDefault="00BB0D64" w:rsidP="00DB55DD">
            <w:pPr>
              <w:pStyle w:val="ListParagraph"/>
              <w:numPr>
                <w:ilvl w:val="0"/>
                <w:numId w:val="12"/>
              </w:numPr>
              <w:spacing w:after="60" w:line="240" w:lineRule="auto"/>
              <w:ind w:left="284" w:hanging="284"/>
              <w:contextualSpacing w:val="0"/>
              <w:jc w:val="both"/>
              <w:rPr>
                <w:sz w:val="20"/>
                <w:szCs w:val="20"/>
                <w:lang w:val="en-AU"/>
              </w:rPr>
            </w:pPr>
            <w:r w:rsidRPr="00DB55DD">
              <w:rPr>
                <w:sz w:val="20"/>
                <w:szCs w:val="20"/>
                <w:lang w:val="en-AU"/>
              </w:rPr>
              <w:t xml:space="preserve">The strong increase in 2011 was reversed in 2012 </w:t>
            </w:r>
            <w:r w:rsidR="00771545">
              <w:rPr>
                <w:sz w:val="20"/>
                <w:szCs w:val="20"/>
                <w:lang w:val="en-AU"/>
              </w:rPr>
              <w:t xml:space="preserve">and 2013 </w:t>
            </w:r>
            <w:r w:rsidRPr="00DB55DD">
              <w:rPr>
                <w:sz w:val="20"/>
                <w:szCs w:val="20"/>
                <w:lang w:val="en-AU"/>
              </w:rPr>
              <w:t xml:space="preserve">with </w:t>
            </w:r>
            <w:r w:rsidR="00686110" w:rsidRPr="00DB55DD">
              <w:rPr>
                <w:sz w:val="20"/>
                <w:szCs w:val="20"/>
                <w:lang w:val="en-AU"/>
              </w:rPr>
              <w:t xml:space="preserve">the </w:t>
            </w:r>
            <w:r w:rsidRPr="00DB55DD">
              <w:rPr>
                <w:sz w:val="20"/>
                <w:szCs w:val="20"/>
                <w:lang w:val="en-AU"/>
              </w:rPr>
              <w:t>educ</w:t>
            </w:r>
            <w:r w:rsidR="00771545">
              <w:rPr>
                <w:sz w:val="20"/>
                <w:szCs w:val="20"/>
                <w:lang w:val="en-AU"/>
              </w:rPr>
              <w:t>ation share dropping just over 2.5</w:t>
            </w:r>
            <w:r w:rsidRPr="00DB55DD">
              <w:rPr>
                <w:sz w:val="20"/>
                <w:szCs w:val="20"/>
                <w:lang w:val="en-AU"/>
              </w:rPr>
              <w:t>% from 36.7%</w:t>
            </w:r>
            <w:r w:rsidR="000960F4">
              <w:rPr>
                <w:sz w:val="20"/>
                <w:szCs w:val="20"/>
                <w:lang w:val="en-AU"/>
              </w:rPr>
              <w:t xml:space="preserve"> in 2011</w:t>
            </w:r>
            <w:r w:rsidRPr="00DB55DD">
              <w:rPr>
                <w:sz w:val="20"/>
                <w:szCs w:val="20"/>
                <w:lang w:val="en-AU"/>
              </w:rPr>
              <w:t>.</w:t>
            </w:r>
          </w:p>
          <w:p w:rsidR="00BB0D64" w:rsidRPr="00DB55DD" w:rsidRDefault="00771545" w:rsidP="00DB55DD">
            <w:pPr>
              <w:pStyle w:val="ListParagraph"/>
              <w:numPr>
                <w:ilvl w:val="0"/>
                <w:numId w:val="12"/>
              </w:numPr>
              <w:spacing w:after="60" w:line="240" w:lineRule="auto"/>
              <w:ind w:left="284" w:hanging="284"/>
              <w:contextualSpacing w:val="0"/>
              <w:jc w:val="both"/>
              <w:rPr>
                <w:sz w:val="20"/>
                <w:szCs w:val="20"/>
                <w:lang w:val="en-AU"/>
              </w:rPr>
            </w:pPr>
            <w:r>
              <w:rPr>
                <w:sz w:val="20"/>
                <w:szCs w:val="20"/>
                <w:lang w:val="en-AU"/>
              </w:rPr>
              <w:t xml:space="preserve">The consecutive </w:t>
            </w:r>
            <w:r w:rsidR="00BB0D64" w:rsidRPr="00DB55DD">
              <w:rPr>
                <w:sz w:val="20"/>
                <w:szCs w:val="20"/>
                <w:lang w:val="en-AU"/>
              </w:rPr>
              <w:t xml:space="preserve">reduction in the average education share of district budgets in 2012 </w:t>
            </w:r>
            <w:r>
              <w:rPr>
                <w:sz w:val="20"/>
                <w:szCs w:val="20"/>
                <w:lang w:val="en-AU"/>
              </w:rPr>
              <w:t xml:space="preserve">and 2013 </w:t>
            </w:r>
            <w:r w:rsidR="00BB0D64" w:rsidRPr="00DB55DD">
              <w:rPr>
                <w:sz w:val="20"/>
                <w:szCs w:val="20"/>
                <w:lang w:val="en-AU"/>
              </w:rPr>
              <w:t xml:space="preserve">came after a sharp increase in 2011. </w:t>
            </w:r>
          </w:p>
          <w:p w:rsidR="00BB0D64" w:rsidRPr="00DB55DD" w:rsidRDefault="00BB0D64" w:rsidP="00DB55DD">
            <w:pPr>
              <w:pStyle w:val="ListParagraph"/>
              <w:numPr>
                <w:ilvl w:val="0"/>
                <w:numId w:val="12"/>
              </w:numPr>
              <w:spacing w:after="60" w:line="240" w:lineRule="auto"/>
              <w:ind w:left="284" w:hanging="284"/>
              <w:contextualSpacing w:val="0"/>
              <w:jc w:val="both"/>
              <w:rPr>
                <w:sz w:val="20"/>
                <w:szCs w:val="20"/>
                <w:lang w:val="en-AU"/>
              </w:rPr>
            </w:pPr>
            <w:r w:rsidRPr="00DB55DD">
              <w:rPr>
                <w:sz w:val="20"/>
                <w:szCs w:val="20"/>
                <w:lang w:val="en-AU"/>
              </w:rPr>
              <w:t>The overall increased share of education expenditures at the distr</w:t>
            </w:r>
            <w:r w:rsidR="00771545">
              <w:rPr>
                <w:sz w:val="20"/>
                <w:szCs w:val="20"/>
                <w:lang w:val="en-AU"/>
              </w:rPr>
              <w:t>ict level from 31% in 2009 to 34% in 2013</w:t>
            </w:r>
            <w:r w:rsidRPr="00DB55DD">
              <w:rPr>
                <w:sz w:val="20"/>
                <w:szCs w:val="20"/>
                <w:lang w:val="en-AU"/>
              </w:rPr>
              <w:t xml:space="preserve"> demonstrates that districts</w:t>
            </w:r>
            <w:r w:rsidR="00486C1B" w:rsidRPr="00DB55DD">
              <w:rPr>
                <w:sz w:val="20"/>
                <w:szCs w:val="20"/>
                <w:lang w:val="en-AU"/>
              </w:rPr>
              <w:t>,</w:t>
            </w:r>
            <w:r w:rsidRPr="00DB55DD">
              <w:rPr>
                <w:sz w:val="20"/>
                <w:szCs w:val="20"/>
                <w:lang w:val="en-AU"/>
              </w:rPr>
              <w:t xml:space="preserve"> on average</w:t>
            </w:r>
            <w:r w:rsidR="00486C1B" w:rsidRPr="00DB55DD">
              <w:rPr>
                <w:sz w:val="20"/>
                <w:szCs w:val="20"/>
                <w:lang w:val="en-AU"/>
              </w:rPr>
              <w:t>,</w:t>
            </w:r>
            <w:r w:rsidRPr="00DB55DD">
              <w:rPr>
                <w:sz w:val="20"/>
                <w:szCs w:val="20"/>
                <w:lang w:val="en-AU"/>
              </w:rPr>
              <w:t xml:space="preserve"> strengthened their commitment toward education spen</w:t>
            </w:r>
            <w:r w:rsidR="00771545">
              <w:rPr>
                <w:sz w:val="20"/>
                <w:szCs w:val="20"/>
                <w:lang w:val="en-AU"/>
              </w:rPr>
              <w:t>ding during the period 2009-2013</w:t>
            </w:r>
            <w:r w:rsidRPr="00DB55DD">
              <w:rPr>
                <w:sz w:val="20"/>
                <w:szCs w:val="20"/>
                <w:lang w:val="en-AU"/>
              </w:rPr>
              <w:t xml:space="preserve">. </w:t>
            </w:r>
          </w:p>
          <w:p w:rsidR="00BB0D64" w:rsidRPr="00DB55DD" w:rsidRDefault="00BB0D64" w:rsidP="00DB55DD">
            <w:pPr>
              <w:pStyle w:val="ListParagraph"/>
              <w:numPr>
                <w:ilvl w:val="0"/>
                <w:numId w:val="12"/>
              </w:numPr>
              <w:spacing w:after="60" w:line="240" w:lineRule="auto"/>
              <w:ind w:left="284" w:hanging="284"/>
              <w:contextualSpacing w:val="0"/>
              <w:jc w:val="both"/>
              <w:rPr>
                <w:sz w:val="20"/>
                <w:szCs w:val="20"/>
                <w:lang w:val="en-AU"/>
              </w:rPr>
            </w:pPr>
            <w:r w:rsidRPr="00DB55DD">
              <w:rPr>
                <w:sz w:val="20"/>
                <w:szCs w:val="20"/>
                <w:lang w:val="en-AU"/>
              </w:rPr>
              <w:t>The slight reduction in share of allocations towards education is consistent for urban and rural areas. Rural areas dropped from</w:t>
            </w:r>
            <w:r w:rsidR="005533BC">
              <w:rPr>
                <w:sz w:val="20"/>
                <w:szCs w:val="20"/>
                <w:lang w:val="en-AU"/>
              </w:rPr>
              <w:t xml:space="preserve"> average 37% share in 2011 to 34% in 2013</w:t>
            </w:r>
            <w:r w:rsidR="00486C1B" w:rsidRPr="00DB55DD">
              <w:rPr>
                <w:sz w:val="20"/>
                <w:szCs w:val="20"/>
                <w:lang w:val="en-AU"/>
              </w:rPr>
              <w:t>,</w:t>
            </w:r>
            <w:r w:rsidR="005533BC">
              <w:rPr>
                <w:sz w:val="20"/>
                <w:szCs w:val="20"/>
                <w:lang w:val="en-AU"/>
              </w:rPr>
              <w:t xml:space="preserve"> with urban 35% to 33</w:t>
            </w:r>
            <w:r w:rsidRPr="00DB55DD">
              <w:rPr>
                <w:sz w:val="20"/>
                <w:szCs w:val="20"/>
                <w:lang w:val="en-AU"/>
              </w:rPr>
              <w:t xml:space="preserve">% respectively. </w:t>
            </w:r>
          </w:p>
          <w:p w:rsidR="00BB0D64" w:rsidRPr="00DB55DD" w:rsidRDefault="00BB0D64" w:rsidP="00DB55DD">
            <w:pPr>
              <w:pStyle w:val="ListParagraph"/>
              <w:numPr>
                <w:ilvl w:val="0"/>
                <w:numId w:val="12"/>
              </w:numPr>
              <w:spacing w:after="60" w:line="240" w:lineRule="auto"/>
              <w:ind w:left="284" w:hanging="284"/>
              <w:contextualSpacing w:val="0"/>
              <w:jc w:val="both"/>
              <w:rPr>
                <w:sz w:val="20"/>
                <w:szCs w:val="20"/>
                <w:lang w:val="en-AU"/>
              </w:rPr>
            </w:pPr>
            <w:r w:rsidRPr="00DB55DD">
              <w:rPr>
                <w:sz w:val="20"/>
                <w:szCs w:val="20"/>
                <w:lang w:val="en-AU"/>
              </w:rPr>
              <w:t>While these averages show maintenance of financial commitment to education, it does disguise some variation between districts, provinces and islands. Comparison of the fluctuations of individual districts may not be useful as their expenditure may be significantly affected by one-off large annual investments.</w:t>
            </w:r>
          </w:p>
          <w:p w:rsidR="00BB0D64" w:rsidRPr="00DB55DD" w:rsidRDefault="00BB0D64" w:rsidP="00DB55DD">
            <w:pPr>
              <w:pStyle w:val="ListParagraph"/>
              <w:numPr>
                <w:ilvl w:val="0"/>
                <w:numId w:val="12"/>
              </w:numPr>
              <w:spacing w:after="60" w:line="240" w:lineRule="auto"/>
              <w:ind w:left="284" w:hanging="284"/>
              <w:contextualSpacing w:val="0"/>
              <w:jc w:val="both"/>
              <w:rPr>
                <w:sz w:val="20"/>
                <w:szCs w:val="20"/>
                <w:lang w:val="en-AU"/>
              </w:rPr>
            </w:pPr>
            <w:r w:rsidRPr="00DB55DD">
              <w:rPr>
                <w:sz w:val="20"/>
                <w:szCs w:val="20"/>
                <w:lang w:val="en-AU"/>
              </w:rPr>
              <w:t xml:space="preserve">The lowest average share of budget allocation for education </w:t>
            </w:r>
            <w:r w:rsidR="005533BC">
              <w:rPr>
                <w:sz w:val="20"/>
                <w:szCs w:val="20"/>
                <w:lang w:val="en-AU"/>
              </w:rPr>
              <w:t xml:space="preserve">continues to be found in Papua (16%). This is in contrast to Maluku island group which has grown its share of expenditure from a similar 16% in 2006 to 25% in 2013. </w:t>
            </w:r>
            <w:r w:rsidRPr="00DB55DD">
              <w:rPr>
                <w:sz w:val="20"/>
                <w:szCs w:val="20"/>
                <w:lang w:val="en-AU"/>
              </w:rPr>
              <w:t xml:space="preserve">Papua </w:t>
            </w:r>
            <w:r w:rsidR="005533BC">
              <w:rPr>
                <w:sz w:val="20"/>
                <w:szCs w:val="20"/>
                <w:lang w:val="en-AU"/>
              </w:rPr>
              <w:t xml:space="preserve">on the other has been stuck in the range of 16%-18% education </w:t>
            </w:r>
            <w:r w:rsidRPr="00DB55DD">
              <w:rPr>
                <w:sz w:val="20"/>
                <w:szCs w:val="20"/>
                <w:lang w:val="en-AU"/>
              </w:rPr>
              <w:t xml:space="preserve">share of district budgets </w:t>
            </w:r>
            <w:r w:rsidR="005533BC">
              <w:rPr>
                <w:sz w:val="20"/>
                <w:szCs w:val="20"/>
                <w:lang w:val="en-AU"/>
              </w:rPr>
              <w:t>since 2006.</w:t>
            </w:r>
            <w:r w:rsidRPr="00DB55DD">
              <w:rPr>
                <w:sz w:val="20"/>
                <w:szCs w:val="20"/>
                <w:lang w:val="en-AU"/>
              </w:rPr>
              <w:t xml:space="preserve"> </w:t>
            </w:r>
          </w:p>
          <w:p w:rsidR="00BB0D64" w:rsidRDefault="00BB0D64" w:rsidP="00DB55DD">
            <w:pPr>
              <w:pStyle w:val="ListParagraph"/>
              <w:numPr>
                <w:ilvl w:val="0"/>
                <w:numId w:val="12"/>
              </w:numPr>
              <w:spacing w:after="60" w:line="240" w:lineRule="auto"/>
              <w:ind w:left="284" w:hanging="284"/>
              <w:contextualSpacing w:val="0"/>
              <w:jc w:val="both"/>
              <w:rPr>
                <w:sz w:val="20"/>
                <w:szCs w:val="20"/>
                <w:lang w:val="en-AU"/>
              </w:rPr>
            </w:pPr>
            <w:r w:rsidRPr="00DB55DD">
              <w:rPr>
                <w:sz w:val="20"/>
                <w:szCs w:val="20"/>
                <w:lang w:val="en-AU"/>
              </w:rPr>
              <w:t>Distr</w:t>
            </w:r>
            <w:r w:rsidR="00570639">
              <w:rPr>
                <w:sz w:val="20"/>
                <w:szCs w:val="20"/>
                <w:lang w:val="en-AU"/>
              </w:rPr>
              <w:t>icts in Java have</w:t>
            </w:r>
            <w:r w:rsidRPr="00DB55DD">
              <w:rPr>
                <w:sz w:val="20"/>
                <w:szCs w:val="20"/>
                <w:lang w:val="en-AU"/>
              </w:rPr>
              <w:t xml:space="preserve"> had a significant drop in the average education share of district budgets</w:t>
            </w:r>
            <w:r w:rsidR="00103992" w:rsidRPr="00DB55DD">
              <w:rPr>
                <w:sz w:val="20"/>
                <w:szCs w:val="20"/>
                <w:lang w:val="en-AU"/>
              </w:rPr>
              <w:t>,</w:t>
            </w:r>
            <w:r w:rsidR="00570639">
              <w:rPr>
                <w:sz w:val="20"/>
                <w:szCs w:val="20"/>
                <w:lang w:val="en-AU"/>
              </w:rPr>
              <w:t xml:space="preserve"> from 46% in 2011 to 42% in 2013 – this however is positive as these are very high shares and may be crowding out other expenditures.</w:t>
            </w:r>
          </w:p>
          <w:p w:rsidR="004A3951" w:rsidRPr="00DB55DD" w:rsidRDefault="004A3951" w:rsidP="00DB55DD">
            <w:pPr>
              <w:pStyle w:val="ListParagraph"/>
              <w:numPr>
                <w:ilvl w:val="0"/>
                <w:numId w:val="12"/>
              </w:numPr>
              <w:spacing w:after="60" w:line="240" w:lineRule="auto"/>
              <w:ind w:left="284" w:hanging="284"/>
              <w:contextualSpacing w:val="0"/>
              <w:jc w:val="both"/>
              <w:rPr>
                <w:sz w:val="20"/>
                <w:szCs w:val="20"/>
                <w:lang w:val="en-AU"/>
              </w:rPr>
            </w:pPr>
            <w:r>
              <w:rPr>
                <w:sz w:val="20"/>
                <w:szCs w:val="20"/>
                <w:lang w:val="en-AU"/>
              </w:rPr>
              <w:t>T</w:t>
            </w:r>
            <w:r w:rsidRPr="004A3951">
              <w:rPr>
                <w:sz w:val="20"/>
                <w:szCs w:val="20"/>
                <w:lang w:val="en-AU"/>
              </w:rPr>
              <w:t xml:space="preserve">he poorest quintile districts are </w:t>
            </w:r>
            <w:r>
              <w:rPr>
                <w:sz w:val="20"/>
                <w:szCs w:val="20"/>
                <w:lang w:val="en-AU"/>
              </w:rPr>
              <w:t xml:space="preserve">a </w:t>
            </w:r>
            <w:r w:rsidRPr="004A3951">
              <w:rPr>
                <w:sz w:val="20"/>
                <w:szCs w:val="20"/>
                <w:lang w:val="en-AU"/>
              </w:rPr>
              <w:t xml:space="preserve">clear outlier </w:t>
            </w:r>
            <w:r>
              <w:rPr>
                <w:sz w:val="20"/>
                <w:szCs w:val="20"/>
                <w:lang w:val="en-AU"/>
              </w:rPr>
              <w:t xml:space="preserve">with </w:t>
            </w:r>
            <w:r w:rsidRPr="004A3951">
              <w:rPr>
                <w:sz w:val="20"/>
                <w:szCs w:val="20"/>
                <w:lang w:val="en-AU"/>
              </w:rPr>
              <w:t xml:space="preserve">lowest average district education budget of Rp. 228 trillion </w:t>
            </w:r>
            <w:r w:rsidR="000960F4">
              <w:rPr>
                <w:sz w:val="20"/>
                <w:szCs w:val="20"/>
                <w:lang w:val="en-AU"/>
              </w:rPr>
              <w:t xml:space="preserve">in 2013 </w:t>
            </w:r>
            <w:r w:rsidRPr="004A3951">
              <w:rPr>
                <w:sz w:val="20"/>
                <w:szCs w:val="20"/>
                <w:lang w:val="en-AU"/>
              </w:rPr>
              <w:t>compared to the all the other quintiles which are grouped between Rp. 374 – 398 trillion</w:t>
            </w:r>
          </w:p>
          <w:p w:rsidR="009C33EC" w:rsidRPr="00560363" w:rsidRDefault="004A3951" w:rsidP="00DB55DD">
            <w:pPr>
              <w:pStyle w:val="ListParagraph"/>
              <w:numPr>
                <w:ilvl w:val="0"/>
                <w:numId w:val="12"/>
              </w:numPr>
              <w:spacing w:after="60" w:line="240" w:lineRule="auto"/>
              <w:ind w:left="284" w:hanging="284"/>
              <w:contextualSpacing w:val="0"/>
              <w:jc w:val="both"/>
              <w:rPr>
                <w:sz w:val="20"/>
                <w:szCs w:val="20"/>
                <w:lang w:val="en-AU"/>
              </w:rPr>
            </w:pPr>
            <w:r w:rsidRPr="00560363">
              <w:rPr>
                <w:sz w:val="20"/>
                <w:szCs w:val="20"/>
                <w:lang w:val="en-AU"/>
              </w:rPr>
              <w:t>Nationally, 31</w:t>
            </w:r>
            <w:r w:rsidR="00BB0D64" w:rsidRPr="00560363">
              <w:rPr>
                <w:sz w:val="20"/>
                <w:szCs w:val="20"/>
                <w:lang w:val="en-AU"/>
              </w:rPr>
              <w:t xml:space="preserve"> districts allocated less than 15% of their total district budget (APBD) </w:t>
            </w:r>
            <w:r w:rsidR="00103992" w:rsidRPr="00560363">
              <w:rPr>
                <w:sz w:val="20"/>
                <w:szCs w:val="20"/>
                <w:lang w:val="en-AU"/>
              </w:rPr>
              <w:t xml:space="preserve">to </w:t>
            </w:r>
            <w:r w:rsidR="00AE0152">
              <w:rPr>
                <w:sz w:val="20"/>
                <w:szCs w:val="20"/>
                <w:lang w:val="en-AU"/>
              </w:rPr>
              <w:t>education in 2013</w:t>
            </w:r>
            <w:r w:rsidRPr="00560363">
              <w:rPr>
                <w:sz w:val="20"/>
                <w:szCs w:val="20"/>
                <w:lang w:val="en-AU"/>
              </w:rPr>
              <w:t>. Of the 31 districts, 24</w:t>
            </w:r>
            <w:r w:rsidR="00BB0D64" w:rsidRPr="00560363">
              <w:rPr>
                <w:sz w:val="20"/>
                <w:szCs w:val="20"/>
                <w:lang w:val="en-AU"/>
              </w:rPr>
              <w:t xml:space="preserve"> are</w:t>
            </w:r>
            <w:r w:rsidR="009C33EC" w:rsidRPr="00560363">
              <w:rPr>
                <w:sz w:val="20"/>
                <w:szCs w:val="20"/>
                <w:lang w:val="en-AU"/>
              </w:rPr>
              <w:t xml:space="preserve"> in the poorest quintile.</w:t>
            </w:r>
          </w:p>
          <w:p w:rsidR="00BB0D64" w:rsidRPr="00560363" w:rsidRDefault="009C33EC" w:rsidP="00DB55DD">
            <w:pPr>
              <w:pStyle w:val="ListParagraph"/>
              <w:numPr>
                <w:ilvl w:val="0"/>
                <w:numId w:val="12"/>
              </w:numPr>
              <w:spacing w:after="60" w:line="240" w:lineRule="auto"/>
              <w:ind w:left="284" w:hanging="284"/>
              <w:contextualSpacing w:val="0"/>
              <w:jc w:val="both"/>
              <w:rPr>
                <w:sz w:val="20"/>
                <w:szCs w:val="20"/>
                <w:lang w:val="en-AU"/>
              </w:rPr>
            </w:pPr>
            <w:r w:rsidRPr="00560363">
              <w:rPr>
                <w:sz w:val="20"/>
                <w:szCs w:val="20"/>
                <w:lang w:val="en-AU"/>
              </w:rPr>
              <w:t>Of the 24 poorest districts spending less than 15% of their budget on education</w:t>
            </w:r>
            <w:r w:rsidR="006161ED">
              <w:rPr>
                <w:sz w:val="20"/>
                <w:szCs w:val="20"/>
                <w:lang w:val="en-AU"/>
              </w:rPr>
              <w:t xml:space="preserve"> in 2013</w:t>
            </w:r>
            <w:r w:rsidRPr="00560363">
              <w:rPr>
                <w:sz w:val="20"/>
                <w:szCs w:val="20"/>
                <w:lang w:val="en-AU"/>
              </w:rPr>
              <w:t xml:space="preserve">, </w:t>
            </w:r>
            <w:r w:rsidR="004A3951" w:rsidRPr="00560363">
              <w:rPr>
                <w:sz w:val="20"/>
                <w:szCs w:val="20"/>
                <w:lang w:val="en-AU"/>
              </w:rPr>
              <w:t>22</w:t>
            </w:r>
            <w:r w:rsidR="00BB0D64" w:rsidRPr="00560363">
              <w:rPr>
                <w:sz w:val="20"/>
                <w:szCs w:val="20"/>
                <w:lang w:val="en-AU"/>
              </w:rPr>
              <w:t xml:space="preserve"> found in Papua.</w:t>
            </w:r>
          </w:p>
          <w:p w:rsidR="00BB0D64" w:rsidRPr="00560363" w:rsidRDefault="00103992" w:rsidP="00222E60">
            <w:pPr>
              <w:pStyle w:val="ListParagraph"/>
              <w:numPr>
                <w:ilvl w:val="0"/>
                <w:numId w:val="12"/>
              </w:numPr>
              <w:spacing w:after="60" w:line="240" w:lineRule="auto"/>
              <w:contextualSpacing w:val="0"/>
              <w:jc w:val="both"/>
              <w:rPr>
                <w:sz w:val="20"/>
                <w:szCs w:val="20"/>
                <w:lang w:val="en-AU"/>
              </w:rPr>
            </w:pPr>
            <w:r w:rsidRPr="00560363">
              <w:rPr>
                <w:sz w:val="20"/>
                <w:szCs w:val="20"/>
                <w:lang w:val="en-AU"/>
              </w:rPr>
              <w:t xml:space="preserve">Nineteen </w:t>
            </w:r>
            <w:r w:rsidR="00BB0D64" w:rsidRPr="00560363">
              <w:rPr>
                <w:sz w:val="20"/>
                <w:szCs w:val="20"/>
                <w:lang w:val="en-AU"/>
              </w:rPr>
              <w:t xml:space="preserve">districts </w:t>
            </w:r>
            <w:r w:rsidR="00560363" w:rsidRPr="00560363">
              <w:rPr>
                <w:sz w:val="20"/>
                <w:szCs w:val="20"/>
                <w:lang w:val="en-AU"/>
              </w:rPr>
              <w:t xml:space="preserve">have </w:t>
            </w:r>
            <w:r w:rsidR="00BB0D64" w:rsidRPr="00560363">
              <w:rPr>
                <w:sz w:val="20"/>
                <w:szCs w:val="20"/>
                <w:lang w:val="en-AU"/>
              </w:rPr>
              <w:t xml:space="preserve">allocated </w:t>
            </w:r>
            <w:r w:rsidR="00F7074C">
              <w:rPr>
                <w:sz w:val="20"/>
                <w:szCs w:val="20"/>
                <w:lang w:val="en-AU"/>
              </w:rPr>
              <w:t>f</w:t>
            </w:r>
            <w:r w:rsidR="00F7074C" w:rsidRPr="00560363">
              <w:rPr>
                <w:sz w:val="20"/>
                <w:szCs w:val="20"/>
                <w:lang w:val="en-AU"/>
              </w:rPr>
              <w:t>our years in a row (2010-2013)</w:t>
            </w:r>
            <w:r w:rsidR="00BB0D64" w:rsidRPr="00560363">
              <w:rPr>
                <w:sz w:val="20"/>
                <w:szCs w:val="20"/>
                <w:lang w:val="en-AU"/>
              </w:rPr>
              <w:t xml:space="preserve">less than 15% of their total district budget (APBD) </w:t>
            </w:r>
            <w:r w:rsidRPr="00560363">
              <w:rPr>
                <w:sz w:val="20"/>
                <w:szCs w:val="20"/>
                <w:lang w:val="en-AU"/>
              </w:rPr>
              <w:t xml:space="preserve">to </w:t>
            </w:r>
            <w:r w:rsidR="00BB0D64" w:rsidRPr="00560363">
              <w:rPr>
                <w:sz w:val="20"/>
                <w:szCs w:val="20"/>
                <w:lang w:val="en-AU"/>
              </w:rPr>
              <w:t>educ</w:t>
            </w:r>
            <w:r w:rsidR="00560363" w:rsidRPr="00560363">
              <w:rPr>
                <w:sz w:val="20"/>
                <w:szCs w:val="20"/>
                <w:lang w:val="en-AU"/>
              </w:rPr>
              <w:t>ation.</w:t>
            </w:r>
            <w:r w:rsidR="00BB0D64" w:rsidRPr="00560363">
              <w:rPr>
                <w:sz w:val="20"/>
                <w:szCs w:val="20"/>
                <w:lang w:val="en-AU"/>
              </w:rPr>
              <w:t>.</w:t>
            </w:r>
          </w:p>
          <w:p w:rsidR="00222E60" w:rsidRDefault="00222E60" w:rsidP="00222E60">
            <w:pPr>
              <w:pStyle w:val="ListParagraph"/>
              <w:numPr>
                <w:ilvl w:val="0"/>
                <w:numId w:val="12"/>
              </w:numPr>
              <w:spacing w:after="60" w:line="240" w:lineRule="auto"/>
              <w:contextualSpacing w:val="0"/>
              <w:jc w:val="both"/>
              <w:rPr>
                <w:sz w:val="20"/>
                <w:szCs w:val="20"/>
                <w:lang w:val="en-AU"/>
              </w:rPr>
            </w:pPr>
            <w:r w:rsidRPr="00222E60">
              <w:rPr>
                <w:sz w:val="20"/>
                <w:szCs w:val="20"/>
                <w:lang w:val="en-AU"/>
              </w:rPr>
              <w:t>T</w:t>
            </w:r>
            <w:r w:rsidR="00BB0D64" w:rsidRPr="00222E60">
              <w:rPr>
                <w:sz w:val="20"/>
                <w:szCs w:val="20"/>
                <w:lang w:val="en-AU"/>
              </w:rPr>
              <w:t>he poorest districts have consistently committed the lowest proportion of their budget towards education during th</w:t>
            </w:r>
            <w:r w:rsidRPr="00222E60">
              <w:rPr>
                <w:sz w:val="20"/>
                <w:szCs w:val="20"/>
                <w:lang w:val="en-AU"/>
              </w:rPr>
              <w:t>e period 2006-2013</w:t>
            </w:r>
            <w:r w:rsidR="00BB0D64" w:rsidRPr="00222E60">
              <w:rPr>
                <w:sz w:val="20"/>
                <w:szCs w:val="20"/>
                <w:lang w:val="en-AU"/>
              </w:rPr>
              <w:t>.</w:t>
            </w:r>
          </w:p>
          <w:p w:rsidR="006A4E0A" w:rsidRPr="00222E60" w:rsidRDefault="00222E60" w:rsidP="00222E60">
            <w:pPr>
              <w:pStyle w:val="ListParagraph"/>
              <w:numPr>
                <w:ilvl w:val="0"/>
                <w:numId w:val="12"/>
              </w:numPr>
              <w:spacing w:after="60" w:line="240" w:lineRule="auto"/>
              <w:contextualSpacing w:val="0"/>
              <w:jc w:val="both"/>
              <w:rPr>
                <w:sz w:val="20"/>
                <w:szCs w:val="20"/>
                <w:lang w:val="en-AU"/>
              </w:rPr>
            </w:pPr>
            <w:r w:rsidRPr="00222E60">
              <w:rPr>
                <w:sz w:val="20"/>
                <w:szCs w:val="20"/>
                <w:lang w:val="en-AU"/>
              </w:rPr>
              <w:t>In 2013</w:t>
            </w:r>
            <w:r w:rsidR="006161ED">
              <w:rPr>
                <w:sz w:val="20"/>
                <w:szCs w:val="20"/>
                <w:lang w:val="en-AU"/>
              </w:rPr>
              <w:t>,</w:t>
            </w:r>
            <w:r w:rsidRPr="00222E60">
              <w:rPr>
                <w:sz w:val="20"/>
                <w:szCs w:val="20"/>
                <w:lang w:val="en-AU"/>
              </w:rPr>
              <w:t xml:space="preserve"> the poorest districts accelerated their trend towards allocating a smaller share of their budget for education with just 28% allocated. Districts in all other poverty quintiles allocated more than 30%. </w:t>
            </w:r>
          </w:p>
        </w:tc>
      </w:tr>
      <w:tr w:rsidR="006A4E0A" w:rsidRPr="00DB55DD" w:rsidTr="00DB55DD">
        <w:trPr>
          <w:jc w:val="center"/>
        </w:trPr>
        <w:tc>
          <w:tcPr>
            <w:tcW w:w="1000" w:type="pct"/>
            <w:shd w:val="clear" w:color="auto" w:fill="BFBFBF" w:themeFill="background1" w:themeFillShade="BF"/>
            <w:vAlign w:val="center"/>
          </w:tcPr>
          <w:p w:rsidR="006A4E0A" w:rsidRPr="00DB55DD" w:rsidRDefault="006A4E0A" w:rsidP="00DB55DD">
            <w:pPr>
              <w:spacing w:after="0"/>
              <w:jc w:val="center"/>
              <w:rPr>
                <w:sz w:val="20"/>
                <w:szCs w:val="20"/>
                <w:lang w:val="en-AU"/>
              </w:rPr>
            </w:pPr>
            <w:r w:rsidRPr="00DB55DD">
              <w:rPr>
                <w:sz w:val="20"/>
                <w:szCs w:val="20"/>
                <w:lang w:val="en-AU"/>
              </w:rPr>
              <w:t>Observations about EP districts</w:t>
            </w:r>
          </w:p>
        </w:tc>
        <w:tc>
          <w:tcPr>
            <w:tcW w:w="7216" w:type="dxa"/>
            <w:gridSpan w:val="3"/>
            <w:vAlign w:val="center"/>
          </w:tcPr>
          <w:p w:rsidR="006A4E0A" w:rsidRPr="00F57611" w:rsidRDefault="00F63E0B" w:rsidP="00DB55DD">
            <w:pPr>
              <w:pStyle w:val="ListParagraph"/>
              <w:numPr>
                <w:ilvl w:val="0"/>
                <w:numId w:val="12"/>
              </w:numPr>
              <w:spacing w:after="60" w:line="240" w:lineRule="auto"/>
              <w:ind w:left="284" w:hanging="284"/>
              <w:contextualSpacing w:val="0"/>
              <w:jc w:val="both"/>
              <w:rPr>
                <w:sz w:val="20"/>
                <w:szCs w:val="20"/>
                <w:lang w:val="en-AU"/>
              </w:rPr>
            </w:pPr>
            <w:r w:rsidRPr="00F57611">
              <w:rPr>
                <w:sz w:val="20"/>
                <w:szCs w:val="20"/>
                <w:lang w:val="en-AU"/>
              </w:rPr>
              <w:t>On average, the EP districts committ</w:t>
            </w:r>
            <w:r w:rsidR="00103992" w:rsidRPr="00F57611">
              <w:rPr>
                <w:sz w:val="20"/>
                <w:szCs w:val="20"/>
                <w:lang w:val="en-AU"/>
              </w:rPr>
              <w:t>ed</w:t>
            </w:r>
            <w:r w:rsidRPr="00F57611">
              <w:rPr>
                <w:sz w:val="20"/>
                <w:szCs w:val="20"/>
                <w:lang w:val="en-AU"/>
              </w:rPr>
              <w:t xml:space="preserve"> a greater proportion of their budget towards education than the non-participating districts. On average</w:t>
            </w:r>
            <w:r w:rsidR="007168AC" w:rsidRPr="00F57611">
              <w:rPr>
                <w:sz w:val="20"/>
                <w:szCs w:val="20"/>
                <w:lang w:val="en-AU"/>
              </w:rPr>
              <w:t xml:space="preserve">, </w:t>
            </w:r>
            <w:r w:rsidR="00F57611" w:rsidRPr="00F57611">
              <w:rPr>
                <w:sz w:val="20"/>
                <w:szCs w:val="20"/>
                <w:lang w:val="en-AU"/>
              </w:rPr>
              <w:t xml:space="preserve">EP districts </w:t>
            </w:r>
            <w:r w:rsidRPr="00F57611">
              <w:rPr>
                <w:sz w:val="20"/>
                <w:szCs w:val="20"/>
                <w:lang w:val="en-AU"/>
              </w:rPr>
              <w:t xml:space="preserve">allocated </w:t>
            </w:r>
            <w:r w:rsidR="00F57611" w:rsidRPr="00F57611">
              <w:rPr>
                <w:sz w:val="20"/>
                <w:szCs w:val="20"/>
                <w:lang w:val="en-AU"/>
              </w:rPr>
              <w:t>b</w:t>
            </w:r>
            <w:r w:rsidR="00F7074C">
              <w:rPr>
                <w:sz w:val="20"/>
                <w:szCs w:val="20"/>
                <w:lang w:val="en-AU"/>
              </w:rPr>
              <w:t>etween 35%-37%</w:t>
            </w:r>
            <w:r w:rsidR="00F57611" w:rsidRPr="00F57611">
              <w:rPr>
                <w:sz w:val="20"/>
                <w:szCs w:val="20"/>
                <w:lang w:val="en-AU"/>
              </w:rPr>
              <w:t xml:space="preserve"> of their budget in 2013</w:t>
            </w:r>
            <w:r w:rsidR="00103992" w:rsidRPr="00F57611">
              <w:rPr>
                <w:sz w:val="20"/>
                <w:szCs w:val="20"/>
                <w:lang w:val="en-AU"/>
              </w:rPr>
              <w:t>,</w:t>
            </w:r>
            <w:r w:rsidR="00F57611" w:rsidRPr="00F57611">
              <w:rPr>
                <w:sz w:val="20"/>
                <w:szCs w:val="20"/>
                <w:lang w:val="en-AU"/>
              </w:rPr>
              <w:t xml:space="preserve"> compared with 31</w:t>
            </w:r>
            <w:r w:rsidRPr="00F57611">
              <w:rPr>
                <w:sz w:val="20"/>
                <w:szCs w:val="20"/>
                <w:lang w:val="en-AU"/>
              </w:rPr>
              <w:t>% for the non-participating districts.</w:t>
            </w:r>
          </w:p>
          <w:p w:rsidR="00F63E0B" w:rsidRPr="00F57611" w:rsidRDefault="00103992" w:rsidP="00DB55DD">
            <w:pPr>
              <w:pStyle w:val="ListParagraph"/>
              <w:numPr>
                <w:ilvl w:val="0"/>
                <w:numId w:val="12"/>
              </w:numPr>
              <w:spacing w:after="60" w:line="240" w:lineRule="auto"/>
              <w:ind w:left="284" w:hanging="284"/>
              <w:contextualSpacing w:val="0"/>
              <w:jc w:val="both"/>
              <w:rPr>
                <w:sz w:val="20"/>
                <w:szCs w:val="20"/>
                <w:lang w:val="en-AU"/>
              </w:rPr>
            </w:pPr>
            <w:r w:rsidRPr="00F57611">
              <w:rPr>
                <w:sz w:val="20"/>
                <w:szCs w:val="20"/>
                <w:lang w:val="en-AU"/>
              </w:rPr>
              <w:t>E</w:t>
            </w:r>
            <w:r w:rsidR="00F63E0B" w:rsidRPr="00F57611">
              <w:rPr>
                <w:sz w:val="20"/>
                <w:szCs w:val="20"/>
                <w:lang w:val="en-AU"/>
              </w:rPr>
              <w:t xml:space="preserve">ighteen EP districts contributed less than the 20% national target </w:t>
            </w:r>
            <w:r w:rsidRPr="00F57611">
              <w:rPr>
                <w:sz w:val="20"/>
                <w:szCs w:val="20"/>
                <w:lang w:val="en-AU"/>
              </w:rPr>
              <w:t xml:space="preserve">to </w:t>
            </w:r>
            <w:r w:rsidR="00F63E0B" w:rsidRPr="00F57611">
              <w:rPr>
                <w:sz w:val="20"/>
                <w:szCs w:val="20"/>
                <w:lang w:val="en-AU"/>
              </w:rPr>
              <w:t>education</w:t>
            </w:r>
            <w:r w:rsidR="00F7074C">
              <w:rPr>
                <w:sz w:val="20"/>
                <w:szCs w:val="20"/>
                <w:lang w:val="en-AU"/>
              </w:rPr>
              <w:t xml:space="preserve"> with the majority of these in Kalimantan</w:t>
            </w:r>
            <w:r w:rsidRPr="00F57611">
              <w:rPr>
                <w:sz w:val="20"/>
                <w:szCs w:val="20"/>
                <w:lang w:val="en-AU"/>
              </w:rPr>
              <w:t>. They were also</w:t>
            </w:r>
            <w:r w:rsidR="003049B1" w:rsidRPr="00F57611">
              <w:rPr>
                <w:sz w:val="20"/>
                <w:szCs w:val="20"/>
                <w:lang w:val="en-AU"/>
              </w:rPr>
              <w:t xml:space="preserve"> </w:t>
            </w:r>
            <w:r w:rsidR="00F63E0B" w:rsidRPr="00F57611">
              <w:rPr>
                <w:sz w:val="20"/>
                <w:szCs w:val="20"/>
                <w:lang w:val="en-AU"/>
              </w:rPr>
              <w:t>considerably lower</w:t>
            </w:r>
            <w:r w:rsidR="00F57611" w:rsidRPr="00F57611">
              <w:rPr>
                <w:sz w:val="20"/>
                <w:szCs w:val="20"/>
                <w:lang w:val="en-AU"/>
              </w:rPr>
              <w:t xml:space="preserve"> than the national average of 3</w:t>
            </w:r>
            <w:r w:rsidR="0011562E">
              <w:rPr>
                <w:sz w:val="20"/>
                <w:szCs w:val="20"/>
                <w:lang w:val="en-AU"/>
              </w:rPr>
              <w:t>4</w:t>
            </w:r>
            <w:r w:rsidR="00F63E0B" w:rsidRPr="00F57611">
              <w:rPr>
                <w:sz w:val="20"/>
                <w:szCs w:val="20"/>
                <w:lang w:val="en-AU"/>
              </w:rPr>
              <w:t xml:space="preserve">% for education in </w:t>
            </w:r>
            <w:r w:rsidR="00F57611" w:rsidRPr="00F57611">
              <w:rPr>
                <w:sz w:val="20"/>
                <w:szCs w:val="20"/>
                <w:lang w:val="en-AU"/>
              </w:rPr>
              <w:t>2013</w:t>
            </w:r>
            <w:r w:rsidR="00F63E0B" w:rsidRPr="00F57611">
              <w:rPr>
                <w:sz w:val="20"/>
                <w:szCs w:val="20"/>
                <w:lang w:val="en-AU"/>
              </w:rPr>
              <w:t>.</w:t>
            </w:r>
          </w:p>
          <w:p w:rsidR="00F63E0B" w:rsidRPr="00DB55DD" w:rsidRDefault="00F57611" w:rsidP="00F57611">
            <w:pPr>
              <w:pStyle w:val="ListParagraph"/>
              <w:numPr>
                <w:ilvl w:val="0"/>
                <w:numId w:val="12"/>
              </w:numPr>
              <w:spacing w:after="60" w:line="240" w:lineRule="auto"/>
              <w:ind w:left="284" w:hanging="284"/>
              <w:contextualSpacing w:val="0"/>
              <w:jc w:val="both"/>
              <w:rPr>
                <w:rFonts w:ascii="Gill Sans MT" w:hAnsi="Gill Sans MT" w:cs="Calibri"/>
                <w:sz w:val="20"/>
                <w:szCs w:val="20"/>
                <w:lang w:val="en-AU"/>
              </w:rPr>
            </w:pPr>
            <w:r w:rsidRPr="00F57611">
              <w:rPr>
                <w:sz w:val="20"/>
                <w:szCs w:val="20"/>
                <w:lang w:val="en-AU"/>
              </w:rPr>
              <w:lastRenderedPageBreak/>
              <w:t>Nineteen(19)</w:t>
            </w:r>
            <w:r w:rsidR="00F63E0B" w:rsidRPr="00F57611">
              <w:rPr>
                <w:sz w:val="20"/>
                <w:szCs w:val="20"/>
                <w:lang w:val="en-AU"/>
              </w:rPr>
              <w:t xml:space="preserve"> EP districts committed more than 50% of their total district budget towards education</w:t>
            </w:r>
            <w:r w:rsidRPr="00F57611">
              <w:rPr>
                <w:sz w:val="20"/>
                <w:szCs w:val="20"/>
                <w:lang w:val="en-AU"/>
              </w:rPr>
              <w:t xml:space="preserve"> in 2013 – compared with 36 districts in 2012. The reduction is positive as 50% is a very high and unsustainable share with impact on other spending areas.</w:t>
            </w:r>
          </w:p>
        </w:tc>
      </w:tr>
      <w:tr w:rsidR="006A4E0A" w:rsidRPr="00DB55DD" w:rsidTr="00DB55DD">
        <w:trPr>
          <w:jc w:val="center"/>
        </w:trPr>
        <w:tc>
          <w:tcPr>
            <w:tcW w:w="1000" w:type="pct"/>
            <w:shd w:val="clear" w:color="auto" w:fill="BFBFBF" w:themeFill="background1" w:themeFillShade="BF"/>
            <w:vAlign w:val="center"/>
          </w:tcPr>
          <w:p w:rsidR="006A4E0A" w:rsidRPr="00DB55DD" w:rsidRDefault="006A4E0A" w:rsidP="00DB55DD">
            <w:pPr>
              <w:spacing w:after="0"/>
              <w:jc w:val="center"/>
              <w:rPr>
                <w:sz w:val="20"/>
                <w:szCs w:val="20"/>
                <w:lang w:val="en-AU"/>
              </w:rPr>
            </w:pPr>
            <w:r w:rsidRPr="00DB55DD">
              <w:rPr>
                <w:sz w:val="20"/>
                <w:szCs w:val="20"/>
                <w:lang w:val="en-AU"/>
              </w:rPr>
              <w:lastRenderedPageBreak/>
              <w:t>Observations about AIBEP districts</w:t>
            </w:r>
          </w:p>
        </w:tc>
        <w:tc>
          <w:tcPr>
            <w:tcW w:w="7216" w:type="dxa"/>
            <w:gridSpan w:val="3"/>
            <w:vAlign w:val="center"/>
          </w:tcPr>
          <w:p w:rsidR="00F63E0B" w:rsidRPr="00DB55DD" w:rsidRDefault="0011562E" w:rsidP="0011562E">
            <w:pPr>
              <w:pStyle w:val="ListParagraph"/>
              <w:numPr>
                <w:ilvl w:val="0"/>
                <w:numId w:val="12"/>
              </w:numPr>
              <w:spacing w:after="0" w:line="240" w:lineRule="auto"/>
              <w:contextualSpacing w:val="0"/>
              <w:jc w:val="both"/>
              <w:rPr>
                <w:sz w:val="20"/>
                <w:szCs w:val="20"/>
                <w:lang w:val="en-AU"/>
              </w:rPr>
            </w:pPr>
            <w:r w:rsidRPr="0011562E">
              <w:rPr>
                <w:sz w:val="20"/>
                <w:szCs w:val="20"/>
                <w:lang w:val="en-AU"/>
              </w:rPr>
              <w:t>From 2010 to 2013</w:t>
            </w:r>
            <w:r w:rsidR="00F63E0B" w:rsidRPr="0011562E">
              <w:rPr>
                <w:sz w:val="20"/>
                <w:szCs w:val="20"/>
                <w:lang w:val="en-AU"/>
              </w:rPr>
              <w:t xml:space="preserve"> there are </w:t>
            </w:r>
            <w:r w:rsidRPr="0011562E">
              <w:rPr>
                <w:sz w:val="20"/>
                <w:szCs w:val="20"/>
                <w:lang w:val="en-AU"/>
              </w:rPr>
              <w:t>eleven (11</w:t>
            </w:r>
            <w:r w:rsidR="00F63E0B" w:rsidRPr="0011562E">
              <w:rPr>
                <w:sz w:val="20"/>
                <w:szCs w:val="20"/>
                <w:lang w:val="en-AU"/>
              </w:rPr>
              <w:t xml:space="preserve">) BEP districts which have dedicated less than 20% of their budget towards education in every year. </w:t>
            </w:r>
            <w:r w:rsidR="00710F2F">
              <w:rPr>
                <w:sz w:val="20"/>
                <w:szCs w:val="20"/>
                <w:lang w:val="en-AU"/>
              </w:rPr>
              <w:t xml:space="preserve">Seven of the eleven </w:t>
            </w:r>
            <w:r w:rsidR="00F63E0B" w:rsidRPr="0011562E">
              <w:rPr>
                <w:sz w:val="20"/>
                <w:szCs w:val="20"/>
                <w:lang w:val="en-AU"/>
              </w:rPr>
              <w:t>BEP districts that report spending less than 20% of their budget on education are located on Maluku.</w:t>
            </w:r>
          </w:p>
        </w:tc>
      </w:tr>
      <w:tr w:rsidR="006A4E0A" w:rsidRPr="00DB55DD" w:rsidTr="00DB55DD">
        <w:trPr>
          <w:tblHeader/>
          <w:jc w:val="center"/>
        </w:trPr>
        <w:tc>
          <w:tcPr>
            <w:tcW w:w="9019" w:type="dxa"/>
            <w:gridSpan w:val="4"/>
            <w:tcBorders>
              <w:bottom w:val="single" w:sz="4" w:space="0" w:color="auto"/>
            </w:tcBorders>
            <w:shd w:val="clear" w:color="auto" w:fill="68BAD6"/>
            <w:vAlign w:val="center"/>
          </w:tcPr>
          <w:p w:rsidR="006A4E0A" w:rsidRPr="00DB55DD" w:rsidRDefault="00DB55DD" w:rsidP="00DB55DD">
            <w:pPr>
              <w:spacing w:after="0"/>
              <w:jc w:val="center"/>
              <w:rPr>
                <w:rFonts w:asciiTheme="minorHAnsi" w:hAnsiTheme="minorHAnsi" w:cstheme="minorHAnsi"/>
                <w:b/>
                <w:color w:val="FFFFFF" w:themeColor="background1"/>
                <w:sz w:val="20"/>
                <w:szCs w:val="20"/>
                <w:lang w:val="en-US"/>
              </w:rPr>
            </w:pPr>
            <w:r w:rsidRPr="00DB55DD">
              <w:rPr>
                <w:rFonts w:asciiTheme="minorHAnsi" w:hAnsiTheme="minorHAnsi" w:cstheme="minorHAnsi"/>
                <w:b/>
                <w:sz w:val="20"/>
                <w:szCs w:val="20"/>
                <w:lang w:val="en-US"/>
              </w:rPr>
              <w:t>IMPLICATIONS AND MATTERS ARISING</w:t>
            </w:r>
          </w:p>
        </w:tc>
      </w:tr>
      <w:tr w:rsidR="006A4E0A" w:rsidRPr="00DB55DD" w:rsidTr="00DB55DD">
        <w:trPr>
          <w:jc w:val="center"/>
        </w:trPr>
        <w:tc>
          <w:tcPr>
            <w:tcW w:w="1000" w:type="pct"/>
            <w:shd w:val="clear" w:color="auto" w:fill="BFBFBF" w:themeFill="background1" w:themeFillShade="BF"/>
            <w:vAlign w:val="center"/>
          </w:tcPr>
          <w:p w:rsidR="006A4E0A" w:rsidRPr="00DB55DD" w:rsidRDefault="006A4E0A" w:rsidP="00DB55DD">
            <w:pPr>
              <w:spacing w:after="0"/>
              <w:jc w:val="center"/>
              <w:rPr>
                <w:sz w:val="20"/>
                <w:szCs w:val="20"/>
                <w:lang w:val="en-AU"/>
              </w:rPr>
            </w:pPr>
            <w:r w:rsidRPr="00DB55DD">
              <w:rPr>
                <w:sz w:val="20"/>
                <w:szCs w:val="20"/>
                <w:lang w:val="en-AU"/>
              </w:rPr>
              <w:t>For the performance of the education sector</w:t>
            </w:r>
          </w:p>
        </w:tc>
        <w:tc>
          <w:tcPr>
            <w:tcW w:w="7216" w:type="dxa"/>
            <w:gridSpan w:val="3"/>
            <w:vAlign w:val="center"/>
          </w:tcPr>
          <w:p w:rsidR="00E1246F" w:rsidRPr="000278D8" w:rsidRDefault="00E1246F" w:rsidP="00DB55DD">
            <w:pPr>
              <w:pStyle w:val="ListParagraph"/>
              <w:numPr>
                <w:ilvl w:val="0"/>
                <w:numId w:val="12"/>
              </w:numPr>
              <w:spacing w:after="60" w:line="240" w:lineRule="auto"/>
              <w:ind w:left="284" w:hanging="284"/>
              <w:contextualSpacing w:val="0"/>
              <w:jc w:val="both"/>
              <w:rPr>
                <w:sz w:val="20"/>
                <w:szCs w:val="20"/>
                <w:lang w:val="en-AU"/>
              </w:rPr>
            </w:pPr>
            <w:r w:rsidRPr="000278D8">
              <w:rPr>
                <w:sz w:val="20"/>
                <w:szCs w:val="20"/>
                <w:lang w:val="en-AU"/>
              </w:rPr>
              <w:t xml:space="preserve">The recurring concern is that some districts with the highest poverty rates are persistently allocating a significantly smaller share (less than 15%) of resources for education than the national average. </w:t>
            </w:r>
          </w:p>
          <w:p w:rsidR="000278D8" w:rsidRPr="000278D8" w:rsidRDefault="000278D8" w:rsidP="00F57611">
            <w:pPr>
              <w:pStyle w:val="ListParagraph"/>
              <w:numPr>
                <w:ilvl w:val="0"/>
                <w:numId w:val="12"/>
              </w:numPr>
              <w:spacing w:after="60" w:line="240" w:lineRule="auto"/>
              <w:ind w:left="284" w:hanging="284"/>
              <w:contextualSpacing w:val="0"/>
              <w:jc w:val="both"/>
              <w:rPr>
                <w:rFonts w:ascii="Gill Sans MT" w:hAnsi="Gill Sans MT" w:cs="Calibri"/>
                <w:sz w:val="20"/>
                <w:szCs w:val="20"/>
                <w:lang w:val="en-AU"/>
              </w:rPr>
            </w:pPr>
            <w:r w:rsidRPr="000278D8">
              <w:rPr>
                <w:sz w:val="20"/>
                <w:szCs w:val="20"/>
                <w:lang w:val="en-AU"/>
              </w:rPr>
              <w:t>Maluku has now posted consecutive increases in its education share of expenditure since 2008 and is above 25% share for education.</w:t>
            </w:r>
          </w:p>
          <w:p w:rsidR="00F57611" w:rsidRPr="000278D8" w:rsidRDefault="00E1246F" w:rsidP="000278D8">
            <w:pPr>
              <w:pStyle w:val="ListParagraph"/>
              <w:numPr>
                <w:ilvl w:val="0"/>
                <w:numId w:val="12"/>
              </w:numPr>
              <w:spacing w:after="60" w:line="240" w:lineRule="auto"/>
              <w:ind w:left="284" w:hanging="284"/>
              <w:contextualSpacing w:val="0"/>
              <w:jc w:val="both"/>
              <w:rPr>
                <w:rFonts w:ascii="Gill Sans MT" w:hAnsi="Gill Sans MT" w:cs="Calibri"/>
                <w:sz w:val="20"/>
                <w:szCs w:val="20"/>
                <w:lang w:val="en-AU"/>
              </w:rPr>
            </w:pPr>
            <w:r w:rsidRPr="000278D8">
              <w:rPr>
                <w:sz w:val="20"/>
                <w:szCs w:val="20"/>
                <w:lang w:val="en-AU"/>
              </w:rPr>
              <w:t xml:space="preserve">Papua </w:t>
            </w:r>
            <w:r w:rsidR="00F57611" w:rsidRPr="000278D8">
              <w:rPr>
                <w:sz w:val="20"/>
                <w:szCs w:val="20"/>
                <w:lang w:val="en-AU"/>
              </w:rPr>
              <w:t xml:space="preserve">is the sole </w:t>
            </w:r>
            <w:r w:rsidRPr="000278D8">
              <w:rPr>
                <w:sz w:val="20"/>
                <w:szCs w:val="20"/>
                <w:lang w:val="en-AU"/>
              </w:rPr>
              <w:t xml:space="preserve">stand out </w:t>
            </w:r>
            <w:r w:rsidR="000278D8">
              <w:rPr>
                <w:sz w:val="20"/>
                <w:szCs w:val="20"/>
                <w:lang w:val="en-AU"/>
              </w:rPr>
              <w:t xml:space="preserve">in </w:t>
            </w:r>
            <w:r w:rsidR="000A4055" w:rsidRPr="000278D8">
              <w:rPr>
                <w:sz w:val="20"/>
                <w:szCs w:val="20"/>
                <w:lang w:val="en-AU"/>
              </w:rPr>
              <w:t>spend</w:t>
            </w:r>
            <w:r w:rsidR="00F57611" w:rsidRPr="000278D8">
              <w:rPr>
                <w:sz w:val="20"/>
                <w:szCs w:val="20"/>
                <w:lang w:val="en-AU"/>
              </w:rPr>
              <w:t>ing</w:t>
            </w:r>
            <w:r w:rsidR="000A4055" w:rsidRPr="000278D8">
              <w:rPr>
                <w:sz w:val="20"/>
                <w:szCs w:val="20"/>
                <w:lang w:val="en-AU"/>
              </w:rPr>
              <w:t xml:space="preserve"> the </w:t>
            </w:r>
            <w:r w:rsidRPr="000278D8">
              <w:rPr>
                <w:sz w:val="20"/>
                <w:szCs w:val="20"/>
                <w:lang w:val="en-AU"/>
              </w:rPr>
              <w:t>l</w:t>
            </w:r>
            <w:r w:rsidR="000A4055" w:rsidRPr="000278D8">
              <w:rPr>
                <w:sz w:val="20"/>
                <w:szCs w:val="20"/>
                <w:lang w:val="en-AU"/>
              </w:rPr>
              <w:t>e</w:t>
            </w:r>
            <w:r w:rsidRPr="000278D8">
              <w:rPr>
                <w:sz w:val="20"/>
                <w:szCs w:val="20"/>
                <w:lang w:val="en-AU"/>
              </w:rPr>
              <w:t xml:space="preserve">ast </w:t>
            </w:r>
            <w:r w:rsidR="00103992" w:rsidRPr="000278D8">
              <w:rPr>
                <w:sz w:val="20"/>
                <w:szCs w:val="20"/>
                <w:lang w:val="en-AU"/>
              </w:rPr>
              <w:t xml:space="preserve">on </w:t>
            </w:r>
            <w:r w:rsidRPr="000278D8">
              <w:rPr>
                <w:sz w:val="20"/>
                <w:szCs w:val="20"/>
                <w:lang w:val="en-AU"/>
              </w:rPr>
              <w:t>education as a proportion of total district funds</w:t>
            </w:r>
            <w:r w:rsidR="00F57611" w:rsidRPr="000278D8">
              <w:rPr>
                <w:sz w:val="20"/>
                <w:szCs w:val="20"/>
                <w:lang w:val="en-AU"/>
              </w:rPr>
              <w:t>.</w:t>
            </w:r>
          </w:p>
        </w:tc>
      </w:tr>
      <w:tr w:rsidR="006A4E0A" w:rsidRPr="00DB55DD" w:rsidTr="00DB55DD">
        <w:trPr>
          <w:jc w:val="center"/>
        </w:trPr>
        <w:tc>
          <w:tcPr>
            <w:tcW w:w="1000" w:type="pct"/>
            <w:shd w:val="clear" w:color="auto" w:fill="BFBFBF" w:themeFill="background1" w:themeFillShade="BF"/>
            <w:vAlign w:val="center"/>
          </w:tcPr>
          <w:p w:rsidR="006A4E0A" w:rsidRPr="00DB55DD" w:rsidRDefault="006A4E0A" w:rsidP="00DB55DD">
            <w:pPr>
              <w:spacing w:after="0"/>
              <w:jc w:val="center"/>
              <w:rPr>
                <w:sz w:val="20"/>
                <w:szCs w:val="20"/>
                <w:lang w:val="en-AU"/>
              </w:rPr>
            </w:pPr>
            <w:r w:rsidRPr="00DB55DD">
              <w:rPr>
                <w:sz w:val="20"/>
                <w:szCs w:val="20"/>
                <w:lang w:val="en-AU"/>
              </w:rPr>
              <w:t>For the performance of the Education Partnership</w:t>
            </w:r>
          </w:p>
        </w:tc>
        <w:tc>
          <w:tcPr>
            <w:tcW w:w="7216" w:type="dxa"/>
            <w:gridSpan w:val="3"/>
            <w:vAlign w:val="center"/>
          </w:tcPr>
          <w:p w:rsidR="006A4E0A" w:rsidRPr="00DB55DD" w:rsidRDefault="000A4055" w:rsidP="000278D8">
            <w:pPr>
              <w:pStyle w:val="ListParagraph"/>
              <w:numPr>
                <w:ilvl w:val="0"/>
                <w:numId w:val="12"/>
              </w:numPr>
              <w:spacing w:after="60" w:line="240" w:lineRule="auto"/>
              <w:ind w:left="284" w:hanging="284"/>
              <w:contextualSpacing w:val="0"/>
              <w:jc w:val="both"/>
              <w:rPr>
                <w:sz w:val="20"/>
                <w:szCs w:val="20"/>
                <w:lang w:val="en-AU"/>
              </w:rPr>
            </w:pPr>
            <w:r w:rsidRPr="000278D8">
              <w:rPr>
                <w:sz w:val="20"/>
                <w:szCs w:val="20"/>
                <w:lang w:val="en-AU"/>
              </w:rPr>
              <w:t xml:space="preserve">Focus diagnostic and policy response efforts on the Papua </w:t>
            </w:r>
            <w:r w:rsidR="000278D8" w:rsidRPr="000278D8">
              <w:rPr>
                <w:sz w:val="20"/>
                <w:szCs w:val="20"/>
                <w:lang w:val="en-AU"/>
              </w:rPr>
              <w:t>island group</w:t>
            </w:r>
            <w:r w:rsidRPr="000278D8">
              <w:rPr>
                <w:sz w:val="20"/>
                <w:szCs w:val="20"/>
                <w:lang w:val="en-AU"/>
              </w:rPr>
              <w:t xml:space="preserve"> to understand and </w:t>
            </w:r>
            <w:r w:rsidR="00931A16" w:rsidRPr="000278D8">
              <w:rPr>
                <w:sz w:val="20"/>
                <w:szCs w:val="20"/>
                <w:lang w:val="en-AU"/>
              </w:rPr>
              <w:t xml:space="preserve">improve district school funding </w:t>
            </w:r>
            <w:r w:rsidRPr="000278D8">
              <w:rPr>
                <w:sz w:val="20"/>
                <w:szCs w:val="20"/>
                <w:lang w:val="en-AU"/>
              </w:rPr>
              <w:t>in the near future.</w:t>
            </w:r>
          </w:p>
        </w:tc>
      </w:tr>
    </w:tbl>
    <w:p w:rsidR="00486C1B" w:rsidRPr="00DB55DD" w:rsidRDefault="00486C1B" w:rsidP="00402A11">
      <w:pPr>
        <w:spacing w:before="360" w:line="276" w:lineRule="auto"/>
        <w:rPr>
          <w:rStyle w:val="IntenseEmphasis"/>
          <w:rFonts w:asciiTheme="minorHAnsi" w:hAnsiTheme="minorHAnsi" w:cstheme="minorHAnsi"/>
          <w:b w:val="0"/>
          <w:i w:val="0"/>
          <w:color w:val="003880"/>
          <w:sz w:val="24"/>
          <w:szCs w:val="28"/>
        </w:rPr>
      </w:pPr>
      <w:r w:rsidRPr="00DB55DD">
        <w:rPr>
          <w:rStyle w:val="IntenseEmphasis"/>
          <w:rFonts w:asciiTheme="minorHAnsi" w:hAnsiTheme="minorHAnsi" w:cstheme="minorHAnsi"/>
          <w:b w:val="0"/>
          <w:i w:val="0"/>
          <w:color w:val="003880"/>
          <w:sz w:val="24"/>
          <w:szCs w:val="28"/>
        </w:rPr>
        <w:t>Discussion</w:t>
      </w:r>
    </w:p>
    <w:p w:rsidR="006A4E0A" w:rsidRDefault="006A4E0A" w:rsidP="00402A11">
      <w:pPr>
        <w:spacing w:line="276" w:lineRule="auto"/>
        <w:jc w:val="both"/>
      </w:pPr>
      <w:r>
        <w:t>The avera</w:t>
      </w:r>
      <w:r w:rsidR="00570639">
        <w:t>ge total district budget in 2013</w:t>
      </w:r>
      <w:r>
        <w:t xml:space="preserve"> (for all areas of expenditure, including educatio</w:t>
      </w:r>
      <w:r w:rsidR="00570639">
        <w:t>n) grew by approximately Rp. 150</w:t>
      </w:r>
      <w:r>
        <w:t xml:space="preserve"> billion on 201</w:t>
      </w:r>
      <w:r w:rsidR="00570639">
        <w:t>2</w:t>
      </w:r>
      <w:r>
        <w:t xml:space="preserve"> al</w:t>
      </w:r>
      <w:r w:rsidR="00570639">
        <w:t>locations (17</w:t>
      </w:r>
      <w:r>
        <w:t>% growth). This was faster than the growth in the education expenditure</w:t>
      </w:r>
      <w:r w:rsidR="00103992">
        <w:t>,</w:t>
      </w:r>
      <w:r w:rsidR="00570639">
        <w:t xml:space="preserve"> which grew at just over 14% year to year (2012-2013</w:t>
      </w:r>
      <w:r w:rsidR="003D0014">
        <w:t xml:space="preserve">; see Figure </w:t>
      </w:r>
      <w:r w:rsidR="00710F2F">
        <w:t>8</w:t>
      </w:r>
      <w:r w:rsidR="003D0014">
        <w:t>, below</w:t>
      </w:r>
      <w:r>
        <w:t xml:space="preserve">). </w:t>
      </w:r>
    </w:p>
    <w:p w:rsidR="006A4E0A" w:rsidRDefault="006A4E0A" w:rsidP="009A2DC1">
      <w:pPr>
        <w:pStyle w:val="Caption"/>
      </w:pPr>
      <w:bookmarkStart w:id="43" w:name="_Toc374182059"/>
      <w:bookmarkStart w:id="44" w:name="_Toc414281540"/>
      <w:r>
        <w:t>Average District APBD and APBD for Education, 2006-201</w:t>
      </w:r>
      <w:bookmarkEnd w:id="43"/>
      <w:r w:rsidR="00771545">
        <w:t>3</w:t>
      </w:r>
      <w:bookmarkEnd w:id="44"/>
    </w:p>
    <w:p w:rsidR="006A4E0A" w:rsidRPr="00B70EA1" w:rsidRDefault="00771545" w:rsidP="00402A11">
      <w:pPr>
        <w:spacing w:after="360"/>
        <w:jc w:val="center"/>
      </w:pPr>
      <w:r>
        <w:rPr>
          <w:noProof/>
          <w:lang w:val="en-AU" w:eastAsia="en-AU"/>
        </w:rPr>
        <w:drawing>
          <wp:inline distT="0" distB="0" distL="0" distR="0" wp14:anchorId="5EDCD076" wp14:editId="5836170E">
            <wp:extent cx="5734050" cy="2581275"/>
            <wp:effectExtent l="19050" t="19050" r="19050" b="285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3415" cy="2580989"/>
                    </a:xfrm>
                    <a:prstGeom prst="rect">
                      <a:avLst/>
                    </a:prstGeom>
                    <a:noFill/>
                    <a:ln>
                      <a:solidFill>
                        <a:schemeClr val="accent1"/>
                      </a:solidFill>
                    </a:ln>
                  </pic:spPr>
                </pic:pic>
              </a:graphicData>
            </a:graphic>
          </wp:inline>
        </w:drawing>
      </w:r>
    </w:p>
    <w:p w:rsidR="00BD1133" w:rsidRDefault="00BD1133" w:rsidP="00BD1133">
      <w:pPr>
        <w:spacing w:line="276" w:lineRule="auto"/>
        <w:jc w:val="both"/>
      </w:pPr>
      <w:r>
        <w:lastRenderedPageBreak/>
        <w:t xml:space="preserve">Annual district education expenditure has dropped off from an average 37% in 2011 to 34% in 2013. The two years of declining average share of expenditure may signal that the gains of previous years are under pressure at the district level. </w:t>
      </w:r>
    </w:p>
    <w:p w:rsidR="006A4E0A" w:rsidRDefault="0010017A" w:rsidP="00402A11">
      <w:pPr>
        <w:spacing w:line="276" w:lineRule="auto"/>
        <w:jc w:val="both"/>
      </w:pPr>
      <w:r>
        <w:t>While b</w:t>
      </w:r>
      <w:r w:rsidR="006A4E0A">
        <w:t xml:space="preserve">oth urban and rural districts </w:t>
      </w:r>
      <w:r>
        <w:t xml:space="preserve">are showing a declining share </w:t>
      </w:r>
      <w:r w:rsidR="006A4E0A">
        <w:t>of district budgets towards education</w:t>
      </w:r>
      <w:r>
        <w:t>, it is the rural areas that have posted the biggest drop from 37% in 2011 to 34% in 2013.</w:t>
      </w:r>
      <w:r w:rsidR="00710F2F">
        <w:t xml:space="preserve"> (see Figure 9</w:t>
      </w:r>
      <w:r w:rsidR="003D0014">
        <w:t>, below)</w:t>
      </w:r>
      <w:r w:rsidR="006A4E0A">
        <w:t>.</w:t>
      </w:r>
    </w:p>
    <w:p w:rsidR="006A4E0A" w:rsidRDefault="006A4E0A" w:rsidP="009A2DC1">
      <w:pPr>
        <w:pStyle w:val="Caption"/>
      </w:pPr>
      <w:bookmarkStart w:id="45" w:name="_Toc374182060"/>
      <w:bookmarkStart w:id="46" w:name="_Toc414281541"/>
      <w:r>
        <w:t xml:space="preserve">Rural and Urban District </w:t>
      </w:r>
      <w:r w:rsidRPr="000E586C">
        <w:t>Educatio</w:t>
      </w:r>
      <w:r>
        <w:t>n Expenditure as % of Total</w:t>
      </w:r>
      <w:r w:rsidR="00771545">
        <w:t xml:space="preserve"> District Budget (APBD 2006-2013</w:t>
      </w:r>
      <w:r>
        <w:t>)</w:t>
      </w:r>
      <w:bookmarkEnd w:id="45"/>
      <w:bookmarkEnd w:id="46"/>
    </w:p>
    <w:p w:rsidR="006A4E0A" w:rsidRPr="001F7745" w:rsidRDefault="00771545" w:rsidP="00402A11">
      <w:pPr>
        <w:spacing w:after="360"/>
        <w:jc w:val="center"/>
      </w:pPr>
      <w:r>
        <w:rPr>
          <w:noProof/>
          <w:lang w:val="en-AU" w:eastAsia="en-AU"/>
        </w:rPr>
        <w:drawing>
          <wp:inline distT="0" distB="0" distL="0" distR="0" wp14:anchorId="2E1F6C46" wp14:editId="06897A65">
            <wp:extent cx="5731819" cy="2676525"/>
            <wp:effectExtent l="19050" t="19050" r="2159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3415" cy="2677270"/>
                    </a:xfrm>
                    <a:prstGeom prst="rect">
                      <a:avLst/>
                    </a:prstGeom>
                    <a:noFill/>
                    <a:ln>
                      <a:solidFill>
                        <a:schemeClr val="accent1"/>
                      </a:solidFill>
                    </a:ln>
                  </pic:spPr>
                </pic:pic>
              </a:graphicData>
            </a:graphic>
          </wp:inline>
        </w:drawing>
      </w:r>
    </w:p>
    <w:p w:rsidR="00D2335E" w:rsidRDefault="00D2335E" w:rsidP="00D2335E">
      <w:pPr>
        <w:spacing w:line="276" w:lineRule="auto"/>
        <w:jc w:val="both"/>
      </w:pPr>
      <w:r>
        <w:t xml:space="preserve">In 2013 there is a change with reduced allocation share towards education across districts in all poverty quintiles. But there are differences in the rate of the decrease. </w:t>
      </w:r>
    </w:p>
    <w:p w:rsidR="0010017A" w:rsidRDefault="0010017A" w:rsidP="0010017A">
      <w:pPr>
        <w:spacing w:line="276" w:lineRule="auto"/>
        <w:jc w:val="both"/>
      </w:pPr>
      <w:r>
        <w:t>Poverty quintile analysis still reveals a disturbing picture where the poorest districts have consistently committed the lowest proportion of their budget towards education during the period 2006-2013.</w:t>
      </w:r>
    </w:p>
    <w:p w:rsidR="0010017A" w:rsidRDefault="00D2335E" w:rsidP="0010017A">
      <w:pPr>
        <w:spacing w:line="276" w:lineRule="auto"/>
        <w:jc w:val="both"/>
      </w:pPr>
      <w:r>
        <w:t xml:space="preserve">Districts in other poverty quintiles were allocating between 31%-38% of their budgets towards education. </w:t>
      </w:r>
      <w:r w:rsidR="0010017A">
        <w:t>Most concerning is that the poorest districts have</w:t>
      </w:r>
      <w:r w:rsidR="006161ED">
        <w:t>,</w:t>
      </w:r>
      <w:r w:rsidR="0010017A">
        <w:t xml:space="preserve"> on average</w:t>
      </w:r>
      <w:r w:rsidR="006161ED">
        <w:t>,</w:t>
      </w:r>
      <w:r w:rsidR="0010017A">
        <w:t xml:space="preserve"> been reducing</w:t>
      </w:r>
      <w:r w:rsidR="00222E60">
        <w:t xml:space="preserve"> </w:t>
      </w:r>
      <w:r w:rsidR="0010017A">
        <w:t xml:space="preserve">their share of expenditure at a faster rate than all other districts. </w:t>
      </w:r>
      <w:r>
        <w:t xml:space="preserve">Poorest quintile districts are now alone in spending on average less than 30% of their budgets on education (28% in 2013). </w:t>
      </w:r>
    </w:p>
    <w:p w:rsidR="006A4E0A" w:rsidRDefault="006A4E0A" w:rsidP="009A2DC1">
      <w:pPr>
        <w:pStyle w:val="Caption"/>
      </w:pPr>
      <w:bookmarkStart w:id="47" w:name="_Toc374182061"/>
      <w:bookmarkStart w:id="48" w:name="_Toc414281542"/>
      <w:r>
        <w:lastRenderedPageBreak/>
        <w:t xml:space="preserve">Education </w:t>
      </w:r>
      <w:r w:rsidRPr="00E42689">
        <w:t>E</w:t>
      </w:r>
      <w:r>
        <w:t>xpenditure as % of Total District Expenditure by Districts according to P</w:t>
      </w:r>
      <w:r w:rsidR="00771545">
        <w:t>overty Quintile, (APBD 2006-2013</w:t>
      </w:r>
      <w:r>
        <w:t>)</w:t>
      </w:r>
      <w:bookmarkEnd w:id="47"/>
      <w:bookmarkEnd w:id="48"/>
    </w:p>
    <w:p w:rsidR="006A4E0A" w:rsidRDefault="00771545" w:rsidP="00402A11">
      <w:pPr>
        <w:spacing w:after="360"/>
        <w:jc w:val="center"/>
      </w:pPr>
      <w:r>
        <w:rPr>
          <w:noProof/>
          <w:lang w:val="en-AU" w:eastAsia="en-AU"/>
        </w:rPr>
        <w:drawing>
          <wp:inline distT="0" distB="0" distL="0" distR="0" wp14:anchorId="63293AAC" wp14:editId="3FBCCB5A">
            <wp:extent cx="5724525" cy="3067050"/>
            <wp:effectExtent l="19050" t="19050" r="28575" b="190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3415" cy="3071813"/>
                    </a:xfrm>
                    <a:prstGeom prst="rect">
                      <a:avLst/>
                    </a:prstGeom>
                    <a:noFill/>
                    <a:ln>
                      <a:solidFill>
                        <a:schemeClr val="accent1"/>
                      </a:solidFill>
                    </a:ln>
                  </pic:spPr>
                </pic:pic>
              </a:graphicData>
            </a:graphic>
          </wp:inline>
        </w:drawing>
      </w:r>
    </w:p>
    <w:p w:rsidR="006A4E0A" w:rsidRDefault="006A4E0A" w:rsidP="00402A11">
      <w:pPr>
        <w:spacing w:line="276" w:lineRule="auto"/>
        <w:jc w:val="both"/>
      </w:pPr>
      <w:r>
        <w:t>From 2009 onwards, the average size of district global budgets (for all sectors) directly corresponds to their poverty quintile status. The richest quintile districts have an average di</w:t>
      </w:r>
      <w:r w:rsidR="00D2335E">
        <w:t>strict budget in 2013 of Rp. 1.2</w:t>
      </w:r>
      <w:r>
        <w:t xml:space="preserve"> trillion compare</w:t>
      </w:r>
      <w:r w:rsidR="00D2335E">
        <w:t>d to the poorest districts Rp. 8</w:t>
      </w:r>
      <w:r>
        <w:t xml:space="preserve">00 trillion. The other three quintiles are distributed within this range according to their quintile rank. </w:t>
      </w:r>
    </w:p>
    <w:p w:rsidR="006A4E0A" w:rsidRDefault="006A4E0A" w:rsidP="00402A11">
      <w:pPr>
        <w:spacing w:line="276" w:lineRule="auto"/>
        <w:jc w:val="both"/>
      </w:pPr>
      <w:r>
        <w:t xml:space="preserve">In </w:t>
      </w:r>
      <w:r w:rsidR="004A3951">
        <w:t xml:space="preserve">terms of aggregate </w:t>
      </w:r>
      <w:r>
        <w:t>education expenditure, the poorest quintile district</w:t>
      </w:r>
      <w:r w:rsidR="004A3951">
        <w:t xml:space="preserve">s are the clear outlier with the lowest </w:t>
      </w:r>
      <w:r>
        <w:t>average dist</w:t>
      </w:r>
      <w:r w:rsidR="004A3951">
        <w:t>rict education budget of Rp. 22</w:t>
      </w:r>
      <w:r w:rsidR="00D2335E">
        <w:t>8</w:t>
      </w:r>
      <w:r>
        <w:t xml:space="preserve"> trillion compared to the all the other quintiles w</w:t>
      </w:r>
      <w:r w:rsidR="00D2335E">
        <w:t>hich are grouped between Rp. 374 – 398</w:t>
      </w:r>
      <w:r>
        <w:t xml:space="preserve"> trillion</w:t>
      </w:r>
      <w:r w:rsidR="004A54AE">
        <w:t xml:space="preserve"> (see Figure 1</w:t>
      </w:r>
      <w:r w:rsidR="00710F2F">
        <w:t>1</w:t>
      </w:r>
      <w:r w:rsidR="004A54AE">
        <w:t>)</w:t>
      </w:r>
      <w:r>
        <w:t xml:space="preserve">. </w:t>
      </w:r>
    </w:p>
    <w:p w:rsidR="006A4E0A" w:rsidRDefault="006A4E0A" w:rsidP="009A2DC1">
      <w:pPr>
        <w:pStyle w:val="Caption"/>
      </w:pPr>
      <w:bookmarkStart w:id="49" w:name="_Toc374182062"/>
      <w:bookmarkStart w:id="50" w:name="_Toc414281543"/>
      <w:r>
        <w:t>Average District APBD and APBD for Education, by poverty quintile 2006-201</w:t>
      </w:r>
      <w:bookmarkEnd w:id="49"/>
      <w:r w:rsidR="00771545">
        <w:t>3</w:t>
      </w:r>
      <w:bookmarkEnd w:id="50"/>
    </w:p>
    <w:p w:rsidR="006A4E0A" w:rsidRPr="00A524E7" w:rsidRDefault="00771545" w:rsidP="00402A11">
      <w:pPr>
        <w:spacing w:after="360"/>
        <w:jc w:val="center"/>
      </w:pPr>
      <w:r>
        <w:rPr>
          <w:noProof/>
          <w:lang w:val="en-AU" w:eastAsia="en-AU"/>
        </w:rPr>
        <w:drawing>
          <wp:inline distT="0" distB="0" distL="0" distR="0" wp14:anchorId="48D200A1" wp14:editId="3B6EFE86">
            <wp:extent cx="5915025" cy="3076575"/>
            <wp:effectExtent l="19050" t="19050" r="9525" b="285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14984" cy="3076554"/>
                    </a:xfrm>
                    <a:prstGeom prst="rect">
                      <a:avLst/>
                    </a:prstGeom>
                    <a:noFill/>
                    <a:ln>
                      <a:solidFill>
                        <a:schemeClr val="accent1"/>
                      </a:solidFill>
                    </a:ln>
                  </pic:spPr>
                </pic:pic>
              </a:graphicData>
            </a:graphic>
          </wp:inline>
        </w:drawing>
      </w:r>
    </w:p>
    <w:p w:rsidR="006A4E0A" w:rsidRDefault="006A4E0A" w:rsidP="00402A11">
      <w:pPr>
        <w:spacing w:line="276" w:lineRule="auto"/>
        <w:jc w:val="both"/>
      </w:pPr>
      <w:r>
        <w:lastRenderedPageBreak/>
        <w:t xml:space="preserve">Following the big increases in education expenditure in 2011, there </w:t>
      </w:r>
      <w:r w:rsidR="00C4364E">
        <w:t xml:space="preserve">have been sustained </w:t>
      </w:r>
      <w:r>
        <w:t>declines in education share of expenditure in the island groups of Java, Sumatera and</w:t>
      </w:r>
      <w:r w:rsidR="00C4364E">
        <w:t xml:space="preserve"> Kalimantan</w:t>
      </w:r>
      <w:r>
        <w:t xml:space="preserve">. </w:t>
      </w:r>
      <w:r w:rsidR="00C4364E">
        <w:t>Bali has corrected its strong decline in 2012 with an increase to 35% share of budget in 2013.</w:t>
      </w:r>
      <w:r>
        <w:t xml:space="preserve"> </w:t>
      </w:r>
    </w:p>
    <w:p w:rsidR="006A4E0A" w:rsidRDefault="006A4E0A" w:rsidP="00402A11">
      <w:pPr>
        <w:spacing w:line="276" w:lineRule="auto"/>
        <w:jc w:val="both"/>
      </w:pPr>
      <w:r>
        <w:t>Of particular concern, is that Papua alone remains below the average 20% commitment of district funds towards education. It has further retreated from the 20% commitment</w:t>
      </w:r>
      <w:r w:rsidR="004A54AE">
        <w:t>,</w:t>
      </w:r>
      <w:r>
        <w:t xml:space="preserve"> with expenditures declining from 18% of funds in 2011 to 16% in 2012</w:t>
      </w:r>
      <w:r w:rsidR="00C4364E">
        <w:t xml:space="preserve"> and 2013</w:t>
      </w:r>
      <w:r>
        <w:t xml:space="preserve">. </w:t>
      </w:r>
    </w:p>
    <w:p w:rsidR="006A4E0A" w:rsidRDefault="006A4E0A" w:rsidP="00402A11">
      <w:pPr>
        <w:spacing w:line="276" w:lineRule="auto"/>
        <w:jc w:val="both"/>
      </w:pPr>
      <w:r>
        <w:t xml:space="preserve">The island groups of Maluku </w:t>
      </w:r>
      <w:r w:rsidR="00C4364E">
        <w:t xml:space="preserve">and Bali </w:t>
      </w:r>
      <w:r>
        <w:t xml:space="preserve">went in the opposite direction and posted an annual increase the education share </w:t>
      </w:r>
      <w:r w:rsidR="00C4364E">
        <w:t>of district expenditures in 2013.</w:t>
      </w:r>
      <w:r w:rsidR="004A54AE">
        <w:t xml:space="preserve"> (see Figure 1</w:t>
      </w:r>
      <w:r w:rsidR="009B6D6D">
        <w:t>4</w:t>
      </w:r>
      <w:r w:rsidR="004A54AE">
        <w:t>, below)</w:t>
      </w:r>
      <w:r>
        <w:t>.</w:t>
      </w:r>
    </w:p>
    <w:p w:rsidR="006A4E0A" w:rsidRDefault="006A4E0A" w:rsidP="009A2DC1">
      <w:pPr>
        <w:pStyle w:val="Caption"/>
      </w:pPr>
      <w:bookmarkStart w:id="51" w:name="_Toc374182063"/>
      <w:bookmarkStart w:id="52" w:name="_Toc414281544"/>
      <w:r>
        <w:t xml:space="preserve">Education </w:t>
      </w:r>
      <w:r w:rsidRPr="00E42689">
        <w:t>E</w:t>
      </w:r>
      <w:r>
        <w:t>xpenditure as % of Total District Expenditure by</w:t>
      </w:r>
      <w:r w:rsidR="00771545">
        <w:t xml:space="preserve"> Island Grouping (APBD 2006-2013</w:t>
      </w:r>
      <w:r>
        <w:t>)</w:t>
      </w:r>
      <w:bookmarkEnd w:id="51"/>
      <w:bookmarkEnd w:id="52"/>
    </w:p>
    <w:p w:rsidR="006A4E0A" w:rsidRPr="00E961A5" w:rsidRDefault="00771545" w:rsidP="00402A11">
      <w:pPr>
        <w:spacing w:after="360"/>
        <w:jc w:val="center"/>
      </w:pPr>
      <w:r>
        <w:rPr>
          <w:noProof/>
          <w:lang w:val="en-AU" w:eastAsia="en-AU"/>
        </w:rPr>
        <w:drawing>
          <wp:inline distT="0" distB="0" distL="0" distR="0" wp14:anchorId="2C2732F2" wp14:editId="76DA46B3">
            <wp:extent cx="5724167" cy="2952750"/>
            <wp:effectExtent l="19050" t="19050" r="10160" b="190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3415" cy="2957520"/>
                    </a:xfrm>
                    <a:prstGeom prst="rect">
                      <a:avLst/>
                    </a:prstGeom>
                    <a:noFill/>
                    <a:ln>
                      <a:solidFill>
                        <a:schemeClr val="accent1"/>
                      </a:solidFill>
                    </a:ln>
                  </pic:spPr>
                </pic:pic>
              </a:graphicData>
            </a:graphic>
          </wp:inline>
        </w:drawing>
      </w:r>
    </w:p>
    <w:p w:rsidR="004A54AE" w:rsidRPr="00DB55DD" w:rsidRDefault="00885710" w:rsidP="00DB55DD">
      <w:pPr>
        <w:spacing w:before="240" w:line="276" w:lineRule="auto"/>
        <w:rPr>
          <w:rStyle w:val="IntenseEmphasis"/>
          <w:rFonts w:asciiTheme="minorHAnsi" w:hAnsiTheme="minorHAnsi" w:cstheme="minorHAnsi"/>
          <w:b w:val="0"/>
          <w:i w:val="0"/>
          <w:color w:val="003880"/>
          <w:sz w:val="24"/>
          <w:szCs w:val="28"/>
        </w:rPr>
      </w:pPr>
      <w:r w:rsidRPr="00DB55DD">
        <w:rPr>
          <w:rStyle w:val="IntenseEmphasis"/>
          <w:rFonts w:asciiTheme="minorHAnsi" w:hAnsiTheme="minorHAnsi" w:cstheme="minorHAnsi"/>
          <w:b w:val="0"/>
          <w:i w:val="0"/>
          <w:color w:val="003880"/>
          <w:sz w:val="24"/>
          <w:szCs w:val="28"/>
        </w:rPr>
        <w:t>Education Partnership (EP) districts</w:t>
      </w:r>
    </w:p>
    <w:p w:rsidR="00060613" w:rsidRDefault="00060613" w:rsidP="00402A11">
      <w:pPr>
        <w:spacing w:line="276" w:lineRule="auto"/>
        <w:jc w:val="both"/>
        <w:rPr>
          <w:color w:val="000000"/>
        </w:rPr>
      </w:pPr>
      <w:r>
        <w:rPr>
          <w:color w:val="000000"/>
        </w:rPr>
        <w:t xml:space="preserve">On average, the districts </w:t>
      </w:r>
      <w:r w:rsidR="004A54AE">
        <w:rPr>
          <w:color w:val="000000"/>
        </w:rPr>
        <w:t xml:space="preserve">participating in the EP (see Annex B) </w:t>
      </w:r>
      <w:r>
        <w:rPr>
          <w:color w:val="000000"/>
        </w:rPr>
        <w:t>commit a greater proportion of their budget towards education than the non-participating districts. On average</w:t>
      </w:r>
      <w:r w:rsidR="00EC1B4B">
        <w:rPr>
          <w:color w:val="000000"/>
        </w:rPr>
        <w:t>,</w:t>
      </w:r>
      <w:r>
        <w:rPr>
          <w:color w:val="000000"/>
        </w:rPr>
        <w:t xml:space="preserve"> Component 1</w:t>
      </w:r>
      <w:r w:rsidR="00EC1B4B">
        <w:rPr>
          <w:color w:val="000000"/>
        </w:rPr>
        <w:t xml:space="preserve"> </w:t>
      </w:r>
      <w:r w:rsidR="00C4364E">
        <w:rPr>
          <w:color w:val="000000"/>
        </w:rPr>
        <w:t>and 2</w:t>
      </w:r>
      <w:r>
        <w:rPr>
          <w:color w:val="000000"/>
        </w:rPr>
        <w:t xml:space="preserve"> districts </w:t>
      </w:r>
      <w:r w:rsidR="00C4364E">
        <w:rPr>
          <w:color w:val="000000"/>
        </w:rPr>
        <w:t>allocated 37% of their budget in 2013</w:t>
      </w:r>
      <w:r w:rsidR="004A54AE">
        <w:rPr>
          <w:color w:val="000000"/>
        </w:rPr>
        <w:t>,</w:t>
      </w:r>
      <w:r w:rsidR="00C4364E">
        <w:rPr>
          <w:color w:val="000000"/>
        </w:rPr>
        <w:t xml:space="preserve"> compared with 31</w:t>
      </w:r>
      <w:r>
        <w:rPr>
          <w:color w:val="000000"/>
        </w:rPr>
        <w:t>% for the non-participating districts</w:t>
      </w:r>
      <w:r w:rsidR="00B92B35">
        <w:rPr>
          <w:color w:val="000000"/>
        </w:rPr>
        <w:t xml:space="preserve"> (see Figure 1</w:t>
      </w:r>
      <w:r w:rsidR="009B6D6D">
        <w:rPr>
          <w:color w:val="000000"/>
        </w:rPr>
        <w:t>5</w:t>
      </w:r>
      <w:r w:rsidR="00B92B35">
        <w:rPr>
          <w:color w:val="000000"/>
        </w:rPr>
        <w:t>, below)</w:t>
      </w:r>
      <w:r>
        <w:rPr>
          <w:color w:val="000000"/>
        </w:rPr>
        <w:t>.</w:t>
      </w:r>
    </w:p>
    <w:p w:rsidR="00060613" w:rsidRPr="00975E61" w:rsidRDefault="00060613" w:rsidP="009A2DC1">
      <w:pPr>
        <w:pStyle w:val="Caption"/>
        <w:rPr>
          <w:noProof/>
        </w:rPr>
      </w:pPr>
      <w:bookmarkStart w:id="53" w:name="_Toc374182094"/>
      <w:bookmarkStart w:id="54" w:name="_Toc414281545"/>
      <w:r>
        <w:rPr>
          <w:noProof/>
        </w:rPr>
        <w:lastRenderedPageBreak/>
        <w:t>EP Districts - Average Education Allocations as Proportion of District Budget,</w:t>
      </w:r>
      <w:r w:rsidR="00771545">
        <w:rPr>
          <w:noProof/>
        </w:rPr>
        <w:t>2006-2013</w:t>
      </w:r>
      <w:bookmarkEnd w:id="53"/>
      <w:bookmarkEnd w:id="54"/>
    </w:p>
    <w:p w:rsidR="00060613" w:rsidRDefault="00771545" w:rsidP="00402A11">
      <w:pPr>
        <w:spacing w:after="360"/>
        <w:jc w:val="center"/>
        <w:rPr>
          <w:noProof/>
        </w:rPr>
      </w:pPr>
      <w:r>
        <w:rPr>
          <w:noProof/>
          <w:lang w:val="en-AU" w:eastAsia="en-AU"/>
        </w:rPr>
        <w:drawing>
          <wp:inline distT="0" distB="0" distL="0" distR="0" wp14:anchorId="2ED74A99" wp14:editId="145595F1">
            <wp:extent cx="5734050" cy="3371850"/>
            <wp:effectExtent l="19050" t="19050" r="19050" b="190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3415" cy="3371477"/>
                    </a:xfrm>
                    <a:prstGeom prst="rect">
                      <a:avLst/>
                    </a:prstGeom>
                    <a:noFill/>
                    <a:ln>
                      <a:solidFill>
                        <a:schemeClr val="accent1"/>
                      </a:solidFill>
                    </a:ln>
                  </pic:spPr>
                </pic:pic>
              </a:graphicData>
            </a:graphic>
          </wp:inline>
        </w:drawing>
      </w:r>
    </w:p>
    <w:p w:rsidR="00060613" w:rsidRDefault="00B92B35" w:rsidP="00402A11">
      <w:pPr>
        <w:spacing w:line="276" w:lineRule="auto"/>
        <w:jc w:val="both"/>
        <w:rPr>
          <w:noProof/>
        </w:rPr>
      </w:pPr>
      <w:r>
        <w:rPr>
          <w:noProof/>
        </w:rPr>
        <w:t>Eighteeen</w:t>
      </w:r>
      <w:r w:rsidR="00060613">
        <w:rPr>
          <w:noProof/>
        </w:rPr>
        <w:t xml:space="preserve"> </w:t>
      </w:r>
      <w:r w:rsidR="00885710">
        <w:rPr>
          <w:noProof/>
        </w:rPr>
        <w:t xml:space="preserve">EP </w:t>
      </w:r>
      <w:r w:rsidR="00060613">
        <w:rPr>
          <w:noProof/>
        </w:rPr>
        <w:t xml:space="preserve">districts contributed less than the 20% national target for education </w:t>
      </w:r>
      <w:r>
        <w:rPr>
          <w:noProof/>
        </w:rPr>
        <w:t xml:space="preserve">and therefore were </w:t>
      </w:r>
      <w:r w:rsidR="00060613">
        <w:rPr>
          <w:noProof/>
        </w:rPr>
        <w:t>considerably lower</w:t>
      </w:r>
      <w:r w:rsidR="00C4364E">
        <w:rPr>
          <w:noProof/>
        </w:rPr>
        <w:t xml:space="preserve"> than the national average of 34% in 2013</w:t>
      </w:r>
      <w:r>
        <w:rPr>
          <w:noProof/>
        </w:rPr>
        <w:t xml:space="preserve"> (see Figure 1</w:t>
      </w:r>
      <w:r w:rsidR="005566A6">
        <w:rPr>
          <w:noProof/>
        </w:rPr>
        <w:t>6</w:t>
      </w:r>
      <w:r>
        <w:rPr>
          <w:noProof/>
        </w:rPr>
        <w:t>, below)</w:t>
      </w:r>
      <w:r w:rsidR="00060613">
        <w:rPr>
          <w:noProof/>
        </w:rPr>
        <w:t>.</w:t>
      </w:r>
      <w:r w:rsidR="00C4364E">
        <w:rPr>
          <w:noProof/>
        </w:rPr>
        <w:t xml:space="preserve"> Eleven of the EP districts that allocat</w:t>
      </w:r>
      <w:r w:rsidR="00EC1B4B">
        <w:rPr>
          <w:noProof/>
        </w:rPr>
        <w:t>ed</w:t>
      </w:r>
      <w:r w:rsidR="00C4364E">
        <w:rPr>
          <w:noProof/>
        </w:rPr>
        <w:t xml:space="preserve"> less than 20% in 2013 also allocated less than 20% in 2012. </w:t>
      </w:r>
    </w:p>
    <w:p w:rsidR="00060613" w:rsidRDefault="00060613" w:rsidP="009A2DC1">
      <w:pPr>
        <w:pStyle w:val="Caption"/>
        <w:rPr>
          <w:noProof/>
        </w:rPr>
      </w:pPr>
      <w:bookmarkStart w:id="55" w:name="_Toc374182095"/>
      <w:bookmarkStart w:id="56" w:name="_Toc414281546"/>
      <w:r>
        <w:lastRenderedPageBreak/>
        <w:t xml:space="preserve">EP </w:t>
      </w:r>
      <w:r>
        <w:rPr>
          <w:noProof/>
        </w:rPr>
        <w:t>Districts with Low Budget Allocation for Education (&lt; than 20% of district budget), 201</w:t>
      </w:r>
      <w:bookmarkEnd w:id="55"/>
      <w:r w:rsidR="00570639">
        <w:rPr>
          <w:noProof/>
        </w:rPr>
        <w:t>1-2013</w:t>
      </w:r>
      <w:bookmarkEnd w:id="56"/>
    </w:p>
    <w:p w:rsidR="00060613" w:rsidRDefault="00731F47" w:rsidP="00402A11">
      <w:pPr>
        <w:spacing w:after="360"/>
        <w:jc w:val="center"/>
        <w:rPr>
          <w:noProof/>
        </w:rPr>
      </w:pPr>
      <w:r>
        <w:rPr>
          <w:noProof/>
          <w:lang w:val="en-AU" w:eastAsia="en-AU"/>
        </w:rPr>
        <w:drawing>
          <wp:inline distT="0" distB="0" distL="0" distR="0" wp14:anchorId="32660788" wp14:editId="0F3BC31A">
            <wp:extent cx="5733415" cy="5591674"/>
            <wp:effectExtent l="19050" t="19050" r="1968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3415" cy="5591674"/>
                    </a:xfrm>
                    <a:prstGeom prst="rect">
                      <a:avLst/>
                    </a:prstGeom>
                    <a:noFill/>
                    <a:ln>
                      <a:solidFill>
                        <a:schemeClr val="accent1"/>
                      </a:solidFill>
                    </a:ln>
                  </pic:spPr>
                </pic:pic>
              </a:graphicData>
            </a:graphic>
          </wp:inline>
        </w:drawing>
      </w:r>
    </w:p>
    <w:p w:rsidR="00060613" w:rsidRDefault="00060613" w:rsidP="00402A11">
      <w:pPr>
        <w:spacing w:line="276" w:lineRule="auto"/>
        <w:jc w:val="both"/>
        <w:rPr>
          <w:noProof/>
        </w:rPr>
      </w:pPr>
      <w:r>
        <w:rPr>
          <w:noProof/>
        </w:rPr>
        <w:t xml:space="preserve">Reflecting a high level of financial commitment towards education, </w:t>
      </w:r>
      <w:r w:rsidR="00C4364E">
        <w:rPr>
          <w:noProof/>
        </w:rPr>
        <w:t xml:space="preserve">19 </w:t>
      </w:r>
      <w:r>
        <w:rPr>
          <w:noProof/>
        </w:rPr>
        <w:t xml:space="preserve">participating districts </w:t>
      </w:r>
      <w:r w:rsidR="00B92B35">
        <w:rPr>
          <w:noProof/>
        </w:rPr>
        <w:t xml:space="preserve">in </w:t>
      </w:r>
      <w:r w:rsidR="00C4364E">
        <w:rPr>
          <w:noProof/>
        </w:rPr>
        <w:t>2013</w:t>
      </w:r>
      <w:r>
        <w:rPr>
          <w:noProof/>
        </w:rPr>
        <w:t xml:space="preserve"> committed more than 50% of their total district budget towards education</w:t>
      </w:r>
      <w:r w:rsidR="005566A6">
        <w:rPr>
          <w:noProof/>
        </w:rPr>
        <w:t xml:space="preserve"> (see Figure 17</w:t>
      </w:r>
      <w:r w:rsidR="00B92B35">
        <w:rPr>
          <w:noProof/>
        </w:rPr>
        <w:t>, below)</w:t>
      </w:r>
      <w:r>
        <w:rPr>
          <w:noProof/>
        </w:rPr>
        <w:t>.</w:t>
      </w:r>
      <w:r w:rsidR="00C4364E">
        <w:rPr>
          <w:noProof/>
        </w:rPr>
        <w:t xml:space="preserve"> This compares with 36 districts </w:t>
      </w:r>
      <w:r w:rsidR="00EC1B4B">
        <w:rPr>
          <w:noProof/>
        </w:rPr>
        <w:t>i</w:t>
      </w:r>
      <w:r w:rsidR="00C4364E">
        <w:rPr>
          <w:noProof/>
        </w:rPr>
        <w:t xml:space="preserve">n 2012 that were found to </w:t>
      </w:r>
      <w:r w:rsidR="00EC1B4B">
        <w:rPr>
          <w:noProof/>
        </w:rPr>
        <w:t>have allocated</w:t>
      </w:r>
      <w:r w:rsidR="00C4364E">
        <w:rPr>
          <w:noProof/>
        </w:rPr>
        <w:t xml:space="preserve"> more than 50% of their budget for education. This reduction in the number of districts above 50% share is positive as this is a very high share and is unsustainable in the long run </w:t>
      </w:r>
      <w:r w:rsidR="003659B6">
        <w:rPr>
          <w:noProof/>
        </w:rPr>
        <w:t>given the other commitments of districts.</w:t>
      </w:r>
    </w:p>
    <w:p w:rsidR="00060613" w:rsidRDefault="00060613" w:rsidP="009A2DC1">
      <w:pPr>
        <w:pStyle w:val="Caption"/>
        <w:rPr>
          <w:noProof/>
        </w:rPr>
      </w:pPr>
      <w:bookmarkStart w:id="57" w:name="_Toc374182096"/>
      <w:bookmarkStart w:id="58" w:name="_Toc414281547"/>
      <w:r>
        <w:rPr>
          <w:noProof/>
        </w:rPr>
        <w:lastRenderedPageBreak/>
        <w:t>EP Districts with high</w:t>
      </w:r>
      <w:r w:rsidR="004971BD">
        <w:rPr>
          <w:noProof/>
        </w:rPr>
        <w:t xml:space="preserve"> </w:t>
      </w:r>
      <w:r>
        <w:rPr>
          <w:noProof/>
        </w:rPr>
        <w:t>Budget Allocation for Education (&gt;than 50% of district budget), 201</w:t>
      </w:r>
      <w:bookmarkEnd w:id="57"/>
      <w:r w:rsidR="00731F47">
        <w:rPr>
          <w:noProof/>
        </w:rPr>
        <w:t>2-2013</w:t>
      </w:r>
      <w:bookmarkEnd w:id="58"/>
    </w:p>
    <w:p w:rsidR="00060613" w:rsidRDefault="00731F47" w:rsidP="00402A11">
      <w:pPr>
        <w:spacing w:after="360"/>
        <w:jc w:val="center"/>
        <w:rPr>
          <w:noProof/>
        </w:rPr>
      </w:pPr>
      <w:r>
        <w:rPr>
          <w:noProof/>
          <w:lang w:val="en-AU" w:eastAsia="en-AU"/>
        </w:rPr>
        <w:drawing>
          <wp:inline distT="0" distB="0" distL="0" distR="0" wp14:anchorId="02B875FF" wp14:editId="799357ED">
            <wp:extent cx="5733415" cy="4766263"/>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3415" cy="4766263"/>
                    </a:xfrm>
                    <a:prstGeom prst="rect">
                      <a:avLst/>
                    </a:prstGeom>
                    <a:noFill/>
                    <a:ln>
                      <a:noFill/>
                    </a:ln>
                  </pic:spPr>
                </pic:pic>
              </a:graphicData>
            </a:graphic>
          </wp:inline>
        </w:drawing>
      </w:r>
    </w:p>
    <w:p w:rsidR="00E1246F" w:rsidRDefault="009C33EC" w:rsidP="00402A11">
      <w:pPr>
        <w:spacing w:line="276" w:lineRule="auto"/>
        <w:jc w:val="both"/>
      </w:pPr>
      <w:r>
        <w:t>Nationally, 31</w:t>
      </w:r>
      <w:r w:rsidR="00E1246F">
        <w:t xml:space="preserve"> districts had less than 15% expenditure on education</w:t>
      </w:r>
      <w:r>
        <w:t xml:space="preserve"> in 2013. Of these districts, 19</w:t>
      </w:r>
      <w:r w:rsidR="00E1246F">
        <w:t xml:space="preserve"> have allocated less than 15% of their total district budget (APBD) </w:t>
      </w:r>
      <w:r w:rsidR="00E1246F" w:rsidRPr="000B495D">
        <w:rPr>
          <w:b/>
          <w:i/>
        </w:rPr>
        <w:t>every year</w:t>
      </w:r>
      <w:r w:rsidR="003659B6">
        <w:t xml:space="preserve"> during the period 2010-2013</w:t>
      </w:r>
      <w:r w:rsidR="00E1246F">
        <w:t xml:space="preserve">. </w:t>
      </w:r>
    </w:p>
    <w:p w:rsidR="00E1246F" w:rsidRDefault="00D64F12" w:rsidP="00402A11">
      <w:pPr>
        <w:spacing w:line="276" w:lineRule="auto"/>
        <w:jc w:val="both"/>
      </w:pPr>
      <w:r>
        <w:t>Figure 16</w:t>
      </w:r>
      <w:r w:rsidR="00B92B35">
        <w:t>,</w:t>
      </w:r>
      <w:r w:rsidR="00E1246F">
        <w:t xml:space="preserve"> below</w:t>
      </w:r>
      <w:r w:rsidR="00B92B35">
        <w:t>,</w:t>
      </w:r>
      <w:r w:rsidR="00E1246F">
        <w:t xml:space="preserve"> shows every district that allocated less than 15% of their district budget on education in any of th</w:t>
      </w:r>
      <w:r w:rsidR="00EB6BCB">
        <w:t xml:space="preserve">e four budget </w:t>
      </w:r>
      <w:r w:rsidR="003659B6">
        <w:t>years during 2010-2013</w:t>
      </w:r>
      <w:r w:rsidR="00E1246F">
        <w:t xml:space="preserve">. It would be useful to understand why </w:t>
      </w:r>
      <w:r w:rsidR="00B92B35">
        <w:t xml:space="preserve">the </w:t>
      </w:r>
      <w:r w:rsidR="00E1246F">
        <w:t xml:space="preserve">education budget share is so low in these districts and to what extent they represent policy related or demand side factors as well as possible misreporting to the MoF. </w:t>
      </w:r>
    </w:p>
    <w:p w:rsidR="00E1246F" w:rsidRDefault="00E1246F" w:rsidP="004A3951">
      <w:pPr>
        <w:pStyle w:val="Caption"/>
      </w:pPr>
      <w:bookmarkStart w:id="59" w:name="_Toc374182067"/>
      <w:bookmarkStart w:id="60" w:name="_Toc414281548"/>
      <w:r>
        <w:lastRenderedPageBreak/>
        <w:t xml:space="preserve">Districts with very low financial share for education (less than 15% of </w:t>
      </w:r>
      <w:r w:rsidRPr="00E42689">
        <w:t>APBD Expenditure</w:t>
      </w:r>
      <w:r w:rsidR="00731F47">
        <w:t>) 2010</w:t>
      </w:r>
      <w:r>
        <w:t xml:space="preserve"> -201</w:t>
      </w:r>
      <w:bookmarkEnd w:id="59"/>
      <w:r w:rsidR="00731F47">
        <w:t>3</w:t>
      </w:r>
      <w:bookmarkEnd w:id="60"/>
    </w:p>
    <w:p w:rsidR="00E1246F" w:rsidRDefault="004A1B2A" w:rsidP="00402A11">
      <w:pPr>
        <w:jc w:val="center"/>
      </w:pPr>
      <w:r>
        <w:rPr>
          <w:noProof/>
          <w:lang w:val="en-AU" w:eastAsia="en-AU"/>
        </w:rPr>
        <w:drawing>
          <wp:inline distT="0" distB="0" distL="0" distR="0" wp14:anchorId="24A12A52" wp14:editId="55E14290">
            <wp:extent cx="5732558" cy="7962181"/>
            <wp:effectExtent l="19050" t="19050" r="20955"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3415" cy="7963371"/>
                    </a:xfrm>
                    <a:prstGeom prst="rect">
                      <a:avLst/>
                    </a:prstGeom>
                    <a:noFill/>
                    <a:ln>
                      <a:solidFill>
                        <a:schemeClr val="accent1"/>
                      </a:solidFill>
                    </a:ln>
                  </pic:spPr>
                </pic:pic>
              </a:graphicData>
            </a:graphic>
          </wp:inline>
        </w:drawing>
      </w:r>
    </w:p>
    <w:p w:rsidR="00E1246F" w:rsidRPr="00402A11" w:rsidRDefault="00E1246F" w:rsidP="00E1246F">
      <w:pPr>
        <w:rPr>
          <w:sz w:val="20"/>
        </w:rPr>
      </w:pPr>
      <w:r w:rsidRPr="00402A11">
        <w:rPr>
          <w:sz w:val="16"/>
        </w:rPr>
        <w:t>* Districts that are blank for one year have exceeded the benchmark for that year</w:t>
      </w:r>
      <w:r w:rsidR="00402A11">
        <w:rPr>
          <w:sz w:val="16"/>
        </w:rPr>
        <w:t>.</w:t>
      </w:r>
    </w:p>
    <w:p w:rsidR="00E1246F" w:rsidRPr="00CB4623" w:rsidRDefault="003659B6" w:rsidP="00402A11">
      <w:pPr>
        <w:spacing w:line="276" w:lineRule="auto"/>
        <w:jc w:val="both"/>
      </w:pPr>
      <w:r>
        <w:lastRenderedPageBreak/>
        <w:t>Looking at the 31 districts which in 2013</w:t>
      </w:r>
      <w:r w:rsidR="00E1246F">
        <w:t xml:space="preserve"> committed less than 15% of th</w:t>
      </w:r>
      <w:r w:rsidR="000B495D">
        <w:t>e</w:t>
      </w:r>
      <w:r w:rsidR="00E1246F">
        <w:t>ir budget towards education, we fin</w:t>
      </w:r>
      <w:r>
        <w:t>d that 24</w:t>
      </w:r>
      <w:r w:rsidR="00E1246F">
        <w:t xml:space="preserve"> of these districts belong to the poorest qu</w:t>
      </w:r>
      <w:r>
        <w:t>intile of districts. Of these 24 poorest quintile districts, 22</w:t>
      </w:r>
      <w:r w:rsidR="00E1246F">
        <w:t xml:space="preserve"> are found in Papua and </w:t>
      </w:r>
      <w:r w:rsidR="00DF41D2">
        <w:t xml:space="preserve">one </w:t>
      </w:r>
      <w:r>
        <w:t>each</w:t>
      </w:r>
      <w:r w:rsidR="00E1246F">
        <w:t xml:space="preserve"> in Maluku</w:t>
      </w:r>
      <w:r w:rsidR="00B92B35">
        <w:t xml:space="preserve"> </w:t>
      </w:r>
      <w:r>
        <w:t xml:space="preserve">and Sumatera </w:t>
      </w:r>
      <w:r w:rsidR="00B92B35">
        <w:t xml:space="preserve">(see Figure </w:t>
      </w:r>
      <w:r w:rsidR="009B6D6D">
        <w:t>19</w:t>
      </w:r>
      <w:r w:rsidR="00B92B35">
        <w:t>, below)</w:t>
      </w:r>
      <w:r w:rsidR="00E1246F">
        <w:t xml:space="preserve">. </w:t>
      </w:r>
    </w:p>
    <w:p w:rsidR="00E1246F" w:rsidRDefault="00E1246F" w:rsidP="009A2DC1">
      <w:pPr>
        <w:pStyle w:val="Caption"/>
      </w:pPr>
      <w:bookmarkStart w:id="61" w:name="_Toc374182068"/>
      <w:bookmarkStart w:id="62" w:name="_Toc414281549"/>
      <w:r>
        <w:t xml:space="preserve">Poorest Districts with very low financial share for education (less than 15% of </w:t>
      </w:r>
      <w:r w:rsidRPr="00E42689">
        <w:t>APBD Expenditure</w:t>
      </w:r>
      <w:r>
        <w:t>)</w:t>
      </w:r>
      <w:r w:rsidR="009076DD">
        <w:t xml:space="preserve"> 2011-2013</w:t>
      </w:r>
      <w:bookmarkEnd w:id="61"/>
      <w:bookmarkEnd w:id="62"/>
    </w:p>
    <w:p w:rsidR="00E1246F" w:rsidRDefault="009076DD" w:rsidP="00402A11">
      <w:pPr>
        <w:spacing w:after="360"/>
        <w:jc w:val="center"/>
        <w:rPr>
          <w:b/>
          <w:i/>
        </w:rPr>
      </w:pPr>
      <w:r>
        <w:rPr>
          <w:b/>
          <w:i/>
          <w:noProof/>
          <w:lang w:val="en-AU" w:eastAsia="en-AU"/>
        </w:rPr>
        <w:drawing>
          <wp:inline distT="0" distB="0" distL="0" distR="0" wp14:anchorId="3DC35FAF" wp14:editId="0B3AA075">
            <wp:extent cx="5733415" cy="3955519"/>
            <wp:effectExtent l="19050" t="19050" r="19685"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3415" cy="3955519"/>
                    </a:xfrm>
                    <a:prstGeom prst="rect">
                      <a:avLst/>
                    </a:prstGeom>
                    <a:noFill/>
                    <a:ln>
                      <a:solidFill>
                        <a:schemeClr val="accent1"/>
                      </a:solidFill>
                    </a:ln>
                  </pic:spPr>
                </pic:pic>
              </a:graphicData>
            </a:graphic>
          </wp:inline>
        </w:drawing>
      </w:r>
    </w:p>
    <w:p w:rsidR="000B495D" w:rsidRPr="00314228" w:rsidRDefault="00314228" w:rsidP="00402A11">
      <w:pPr>
        <w:spacing w:line="276" w:lineRule="auto"/>
      </w:pPr>
      <w:r w:rsidRPr="00314228">
        <w:t>It is interesting to look at the experience of the GoA funded BEP districts to see how their education expenditure patterns have evolved during and since the GoA investments.</w:t>
      </w:r>
      <w:r w:rsidR="003659B6">
        <w:t xml:space="preserve"> While the non-BEP districts have consistently </w:t>
      </w:r>
      <w:r w:rsidR="00D13B31">
        <w:t>(</w:t>
      </w:r>
      <w:r w:rsidR="003659B6">
        <w:t>over the years studied</w:t>
      </w:r>
      <w:r w:rsidR="00D13B31">
        <w:t>)</w:t>
      </w:r>
      <w:r w:rsidR="003659B6">
        <w:t xml:space="preserve"> allocated a greater share of their budget for education</w:t>
      </w:r>
      <w:r w:rsidR="00D13B31">
        <w:t xml:space="preserve">, in 2013 this gap has been eliminated with both allocating 34% of their budget for education. </w:t>
      </w:r>
    </w:p>
    <w:p w:rsidR="006A4E0A" w:rsidRDefault="006A4E0A" w:rsidP="009A2DC1">
      <w:pPr>
        <w:pStyle w:val="Caption"/>
      </w:pPr>
      <w:bookmarkStart w:id="63" w:name="_Toc374182064"/>
      <w:bookmarkStart w:id="64" w:name="_Toc414281550"/>
      <w:r w:rsidRPr="00E42689">
        <w:lastRenderedPageBreak/>
        <w:t xml:space="preserve">APBD Education Expenditure as % of Total </w:t>
      </w:r>
      <w:r>
        <w:t xml:space="preserve">district Expenditure </w:t>
      </w:r>
      <w:r w:rsidRPr="00E42689">
        <w:t>in BEP and Non-BEP Supported Districts</w:t>
      </w:r>
      <w:r>
        <w:t xml:space="preserve"> (APBD</w:t>
      </w:r>
      <w:r w:rsidR="001947DF">
        <w:t xml:space="preserve"> 2006-2013</w:t>
      </w:r>
      <w:r>
        <w:t>)</w:t>
      </w:r>
      <w:bookmarkEnd w:id="63"/>
      <w:bookmarkEnd w:id="64"/>
    </w:p>
    <w:p w:rsidR="006A4E0A" w:rsidRDefault="001947DF" w:rsidP="00402A11">
      <w:pPr>
        <w:pStyle w:val="BodyText"/>
        <w:spacing w:after="360"/>
        <w:jc w:val="center"/>
      </w:pPr>
      <w:r>
        <w:rPr>
          <w:noProof/>
          <w:lang w:eastAsia="en-AU"/>
        </w:rPr>
        <w:drawing>
          <wp:inline distT="0" distB="0" distL="0" distR="0" wp14:anchorId="632A60D9" wp14:editId="6BD25572">
            <wp:extent cx="5733415" cy="3074610"/>
            <wp:effectExtent l="19050" t="19050" r="19685"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3415" cy="3074610"/>
                    </a:xfrm>
                    <a:prstGeom prst="rect">
                      <a:avLst/>
                    </a:prstGeom>
                    <a:noFill/>
                    <a:ln>
                      <a:solidFill>
                        <a:schemeClr val="accent1"/>
                      </a:solidFill>
                    </a:ln>
                  </pic:spPr>
                </pic:pic>
              </a:graphicData>
            </a:graphic>
          </wp:inline>
        </w:drawing>
      </w:r>
    </w:p>
    <w:p w:rsidR="006A4E0A" w:rsidRDefault="006A4E0A" w:rsidP="00402A11">
      <w:pPr>
        <w:spacing w:line="276" w:lineRule="auto"/>
        <w:jc w:val="both"/>
      </w:pPr>
      <w:r>
        <w:t xml:space="preserve">While BEP districts have committed a share of their district budget that is broadly in line with the national average, there are some BEP districts that have spent considerably less. </w:t>
      </w:r>
    </w:p>
    <w:p w:rsidR="006A4E0A" w:rsidRDefault="006A4E0A" w:rsidP="00402A11">
      <w:pPr>
        <w:spacing w:line="276" w:lineRule="auto"/>
        <w:jc w:val="both"/>
      </w:pPr>
      <w:r>
        <w:t xml:space="preserve">This report presents </w:t>
      </w:r>
      <w:r w:rsidR="00C44AE4">
        <w:t>four y</w:t>
      </w:r>
      <w:r w:rsidR="00D13B31">
        <w:t>ears of results from 2010 to 201</w:t>
      </w:r>
      <w:r w:rsidR="0011562E">
        <w:t>3 showing there have been eleven (11)</w:t>
      </w:r>
      <w:r>
        <w:t xml:space="preserve"> BEP districts which have dedicated less than 20% of their budget towards education in every year.</w:t>
      </w:r>
    </w:p>
    <w:p w:rsidR="006A4E0A" w:rsidRDefault="0011562E" w:rsidP="00402A11">
      <w:pPr>
        <w:spacing w:line="276" w:lineRule="auto"/>
        <w:jc w:val="both"/>
      </w:pPr>
      <w:r>
        <w:t>Seven of the eleven</w:t>
      </w:r>
      <w:r w:rsidR="00D13B31">
        <w:t xml:space="preserve"> </w:t>
      </w:r>
      <w:r w:rsidR="006A4E0A">
        <w:t>BEP districts that report spending less than 20% of t</w:t>
      </w:r>
      <w:r w:rsidR="00D13B31">
        <w:t>heir budget on education across the four years (2010-13)</w:t>
      </w:r>
      <w:r w:rsidR="006A4E0A">
        <w:t xml:space="preserve"> are located on Maluku. While some of the low figures may be due to poor reporting, the persistence of these low allocations shares in consecutive years suggest there are other factors involved. </w:t>
      </w:r>
    </w:p>
    <w:p w:rsidR="006A4E0A" w:rsidRDefault="006A4E0A" w:rsidP="009A2DC1">
      <w:pPr>
        <w:pStyle w:val="Caption"/>
      </w:pPr>
      <w:bookmarkStart w:id="65" w:name="_Toc374182066"/>
      <w:bookmarkStart w:id="66" w:name="_Toc414281551"/>
      <w:r>
        <w:lastRenderedPageBreak/>
        <w:t xml:space="preserve">BEP Districts with low financial share for education (less than 20% of </w:t>
      </w:r>
      <w:r w:rsidRPr="00E42689">
        <w:t>APBD Expenditure</w:t>
      </w:r>
      <w:r>
        <w:t>) 2009 and 201</w:t>
      </w:r>
      <w:bookmarkEnd w:id="65"/>
      <w:r w:rsidR="001947DF">
        <w:t>3</w:t>
      </w:r>
      <w:bookmarkEnd w:id="66"/>
    </w:p>
    <w:p w:rsidR="006A4E0A" w:rsidRDefault="001947DF" w:rsidP="006A4E0A">
      <w:r>
        <w:rPr>
          <w:noProof/>
          <w:lang w:val="en-AU" w:eastAsia="en-AU"/>
        </w:rPr>
        <w:drawing>
          <wp:inline distT="0" distB="0" distL="0" distR="0" wp14:anchorId="7F24F6D6" wp14:editId="481E7CAF">
            <wp:extent cx="5733415" cy="5456678"/>
            <wp:effectExtent l="19050" t="19050" r="19685"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3415" cy="5456678"/>
                    </a:xfrm>
                    <a:prstGeom prst="rect">
                      <a:avLst/>
                    </a:prstGeom>
                    <a:noFill/>
                    <a:ln>
                      <a:solidFill>
                        <a:schemeClr val="accent1"/>
                      </a:solidFill>
                    </a:ln>
                  </pic:spPr>
                </pic:pic>
              </a:graphicData>
            </a:graphic>
          </wp:inline>
        </w:drawing>
      </w:r>
    </w:p>
    <w:p w:rsidR="006A4E0A" w:rsidRPr="00402A11" w:rsidRDefault="006A4E0A" w:rsidP="006A4E0A">
      <w:pPr>
        <w:rPr>
          <w:sz w:val="20"/>
        </w:rPr>
      </w:pPr>
      <w:r w:rsidRPr="00402A11">
        <w:rPr>
          <w:sz w:val="16"/>
        </w:rPr>
        <w:t>* Districts that are blank for one year have exceeded the benchmark for that year</w:t>
      </w:r>
      <w:r w:rsidR="00402A11">
        <w:rPr>
          <w:sz w:val="16"/>
        </w:rPr>
        <w:t>.</w:t>
      </w:r>
    </w:p>
    <w:p w:rsidR="006A4E0A" w:rsidRPr="003C2B30" w:rsidRDefault="006A4E0A" w:rsidP="00402A11">
      <w:pPr>
        <w:keepNext/>
        <w:spacing w:before="360" w:line="276" w:lineRule="auto"/>
        <w:outlineLvl w:val="2"/>
        <w:rPr>
          <w:rStyle w:val="Heading3Char"/>
        </w:rPr>
      </w:pPr>
      <w:r>
        <w:br w:type="page"/>
      </w:r>
      <w:r w:rsidRPr="003C2B30">
        <w:rPr>
          <w:rStyle w:val="Heading3Char"/>
        </w:rPr>
        <w:lastRenderedPageBreak/>
        <w:t xml:space="preserve">KPI </w:t>
      </w:r>
      <w:r w:rsidR="00D40606">
        <w:rPr>
          <w:rStyle w:val="Heading3Char"/>
        </w:rPr>
        <w:t>5</w:t>
      </w:r>
      <w:r w:rsidRPr="003C2B30">
        <w:rPr>
          <w:rStyle w:val="Heading3Char"/>
        </w:rPr>
        <w:t>: Annual Growth in Education Spending for the Poorest Districts</w:t>
      </w:r>
    </w:p>
    <w:p w:rsidR="006A4E0A" w:rsidRDefault="001A3FC6" w:rsidP="009A2DC1">
      <w:pPr>
        <w:pStyle w:val="Caption"/>
      </w:pPr>
      <w:bookmarkStart w:id="67" w:name="_Toc374182069"/>
      <w:bookmarkStart w:id="68" w:name="_Toc414281552"/>
      <w:r>
        <w:t>Figure 2</w:t>
      </w:r>
      <w:r w:rsidR="00962BFF">
        <w:t>2</w:t>
      </w:r>
      <w:r>
        <w:t xml:space="preserve">: </w:t>
      </w:r>
      <w:r w:rsidR="006A4E0A" w:rsidRPr="00C23B0F">
        <w:t>Annual Growth in APBD Education Expenditure, 200</w:t>
      </w:r>
      <w:r w:rsidR="001947DF">
        <w:t>7 -2013</w:t>
      </w:r>
      <w:r w:rsidR="006A4E0A">
        <w:t>, by Poverty Quintile</w:t>
      </w:r>
      <w:bookmarkEnd w:id="67"/>
      <w:bookmarkEnd w:id="68"/>
    </w:p>
    <w:p w:rsidR="006A4E0A" w:rsidRPr="001415DC" w:rsidRDefault="001947DF" w:rsidP="00402A11">
      <w:pPr>
        <w:spacing w:after="360"/>
        <w:jc w:val="center"/>
      </w:pPr>
      <w:r>
        <w:rPr>
          <w:noProof/>
          <w:lang w:val="en-AU" w:eastAsia="en-AU"/>
        </w:rPr>
        <w:drawing>
          <wp:inline distT="0" distB="0" distL="0" distR="0" wp14:anchorId="54A212AD" wp14:editId="68B34D2A">
            <wp:extent cx="5734050" cy="32004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3415" cy="3200046"/>
                    </a:xfrm>
                    <a:prstGeom prst="rect">
                      <a:avLst/>
                    </a:prstGeom>
                    <a:noFill/>
                    <a:ln>
                      <a:solidFill>
                        <a:schemeClr val="accent1"/>
                      </a:solidFill>
                    </a:ln>
                  </pic:spPr>
                </pic:pic>
              </a:graphicData>
            </a:graphic>
          </wp:inline>
        </w:drawing>
      </w:r>
    </w:p>
    <w:tbl>
      <w:tblPr>
        <w:tblStyle w:val="TableGrid3"/>
        <w:tblW w:w="5000" w:type="pct"/>
        <w:jc w:val="center"/>
        <w:tblLayout w:type="fixed"/>
        <w:tblCellMar>
          <w:top w:w="28" w:type="dxa"/>
          <w:bottom w:w="28" w:type="dxa"/>
        </w:tblCellMar>
        <w:tblLook w:val="04A0" w:firstRow="1" w:lastRow="0" w:firstColumn="1" w:lastColumn="0" w:noHBand="0" w:noVBand="1"/>
      </w:tblPr>
      <w:tblGrid>
        <w:gridCol w:w="1849"/>
        <w:gridCol w:w="1849"/>
        <w:gridCol w:w="1849"/>
        <w:gridCol w:w="3698"/>
      </w:tblGrid>
      <w:tr w:rsidR="007F1806" w:rsidRPr="00402A11" w:rsidTr="00402A11">
        <w:trPr>
          <w:tblHeader/>
          <w:jc w:val="center"/>
        </w:trPr>
        <w:tc>
          <w:tcPr>
            <w:tcW w:w="1000" w:type="pct"/>
            <w:tcBorders>
              <w:top w:val="single" w:sz="12" w:space="0" w:color="auto"/>
              <w:left w:val="single" w:sz="12" w:space="0" w:color="auto"/>
              <w:bottom w:val="single" w:sz="4" w:space="0" w:color="auto"/>
              <w:right w:val="single" w:sz="4" w:space="0" w:color="FFFFFF" w:themeColor="background1"/>
            </w:tcBorders>
            <w:shd w:val="clear" w:color="auto" w:fill="003880"/>
            <w:vAlign w:val="center"/>
          </w:tcPr>
          <w:p w:rsidR="007F1806" w:rsidRPr="00402A11" w:rsidRDefault="00D40606" w:rsidP="00402A11">
            <w:pPr>
              <w:spacing w:after="0"/>
              <w:jc w:val="center"/>
              <w:rPr>
                <w:rFonts w:asciiTheme="minorHAnsi" w:hAnsiTheme="minorHAnsi" w:cstheme="minorHAnsi"/>
                <w:b/>
                <w:color w:val="FFFFFF" w:themeColor="background1"/>
                <w:sz w:val="20"/>
                <w:szCs w:val="20"/>
                <w:lang w:val="en-US"/>
              </w:rPr>
            </w:pPr>
            <w:r>
              <w:rPr>
                <w:rFonts w:asciiTheme="minorHAnsi" w:hAnsiTheme="minorHAnsi" w:cstheme="minorHAnsi"/>
                <w:b/>
                <w:color w:val="FFFFFF" w:themeColor="background1"/>
                <w:sz w:val="20"/>
                <w:szCs w:val="20"/>
                <w:lang w:val="en-US"/>
              </w:rPr>
              <w:t>KPI 5</w:t>
            </w:r>
          </w:p>
        </w:tc>
        <w:tc>
          <w:tcPr>
            <w:tcW w:w="7216" w:type="dxa"/>
            <w:gridSpan w:val="3"/>
            <w:tcBorders>
              <w:top w:val="single" w:sz="12" w:space="0" w:color="auto"/>
              <w:left w:val="single" w:sz="4" w:space="0" w:color="FFFFFF" w:themeColor="background1"/>
              <w:bottom w:val="single" w:sz="4" w:space="0" w:color="auto"/>
              <w:right w:val="single" w:sz="12" w:space="0" w:color="auto"/>
            </w:tcBorders>
            <w:shd w:val="clear" w:color="auto" w:fill="003880"/>
            <w:vAlign w:val="center"/>
          </w:tcPr>
          <w:p w:rsidR="007F1806" w:rsidRPr="00402A11" w:rsidRDefault="00402A11" w:rsidP="00402A11">
            <w:pPr>
              <w:spacing w:after="0"/>
              <w:jc w:val="center"/>
              <w:rPr>
                <w:rFonts w:asciiTheme="minorHAnsi" w:hAnsiTheme="minorHAnsi" w:cstheme="minorHAnsi"/>
                <w:b/>
                <w:color w:val="FFFFFF" w:themeColor="background1"/>
                <w:sz w:val="20"/>
                <w:szCs w:val="20"/>
                <w:lang w:val="en-US"/>
              </w:rPr>
            </w:pPr>
            <w:r w:rsidRPr="00402A11">
              <w:rPr>
                <w:rFonts w:asciiTheme="minorHAnsi" w:hAnsiTheme="minorHAnsi" w:cstheme="minorHAnsi"/>
                <w:b/>
                <w:bCs/>
                <w:color w:val="FFFFFF" w:themeColor="background1"/>
                <w:sz w:val="20"/>
                <w:szCs w:val="20"/>
                <w:lang w:val="en-US"/>
              </w:rPr>
              <w:t>ANNUAL GROWTH IN EDUCATION SPENDING FOR THE POOREST DISTRICTS</w:t>
            </w:r>
            <w:r w:rsidRPr="00402A11">
              <w:rPr>
                <w:rFonts w:asciiTheme="minorHAnsi" w:hAnsiTheme="minorHAnsi" w:cstheme="minorHAnsi"/>
                <w:b/>
                <w:color w:val="FFFFFF" w:themeColor="background1"/>
                <w:sz w:val="20"/>
                <w:szCs w:val="20"/>
                <w:lang w:val="en-US"/>
              </w:rPr>
              <w:t xml:space="preserve"> </w:t>
            </w:r>
          </w:p>
        </w:tc>
      </w:tr>
      <w:tr w:rsidR="007F1806" w:rsidRPr="00402A11" w:rsidTr="00402A11">
        <w:trPr>
          <w:tblHeader/>
          <w:jc w:val="center"/>
        </w:trPr>
        <w:tc>
          <w:tcPr>
            <w:tcW w:w="9019" w:type="dxa"/>
            <w:gridSpan w:val="4"/>
            <w:tcBorders>
              <w:left w:val="single" w:sz="12" w:space="0" w:color="auto"/>
              <w:bottom w:val="single" w:sz="4" w:space="0" w:color="auto"/>
              <w:right w:val="single" w:sz="12" w:space="0" w:color="auto"/>
            </w:tcBorders>
            <w:shd w:val="clear" w:color="auto" w:fill="68BAD6"/>
            <w:vAlign w:val="center"/>
          </w:tcPr>
          <w:p w:rsidR="007F1806" w:rsidRPr="00402A11" w:rsidRDefault="00402A11" w:rsidP="00402A11">
            <w:pPr>
              <w:spacing w:after="0"/>
              <w:jc w:val="center"/>
              <w:rPr>
                <w:rFonts w:asciiTheme="minorHAnsi" w:hAnsiTheme="minorHAnsi" w:cstheme="minorHAnsi"/>
                <w:b/>
                <w:color w:val="FFFFFF" w:themeColor="background1"/>
                <w:sz w:val="20"/>
                <w:szCs w:val="20"/>
                <w:lang w:val="en-US"/>
              </w:rPr>
            </w:pPr>
            <w:r w:rsidRPr="00402A11">
              <w:rPr>
                <w:rFonts w:asciiTheme="minorHAnsi" w:hAnsiTheme="minorHAnsi" w:cstheme="minorHAnsi"/>
                <w:b/>
                <w:sz w:val="20"/>
                <w:szCs w:val="20"/>
                <w:lang w:val="en-US"/>
              </w:rPr>
              <w:t>STATUS AND TRENDS</w:t>
            </w:r>
          </w:p>
        </w:tc>
      </w:tr>
      <w:tr w:rsidR="007F1806" w:rsidRPr="00402A11" w:rsidTr="00284812">
        <w:trPr>
          <w:jc w:val="center"/>
        </w:trPr>
        <w:tc>
          <w:tcPr>
            <w:tcW w:w="1000" w:type="pct"/>
            <w:tcBorders>
              <w:left w:val="single" w:sz="12" w:space="0" w:color="auto"/>
              <w:bottom w:val="single" w:sz="4" w:space="0" w:color="auto"/>
            </w:tcBorders>
            <w:shd w:val="clear" w:color="auto" w:fill="BFBFBF" w:themeFill="background1" w:themeFillShade="BF"/>
            <w:vAlign w:val="center"/>
          </w:tcPr>
          <w:p w:rsidR="007F1806" w:rsidRPr="00402A11" w:rsidRDefault="007F1806" w:rsidP="00402A11">
            <w:pPr>
              <w:spacing w:after="0"/>
              <w:jc w:val="center"/>
              <w:rPr>
                <w:sz w:val="20"/>
                <w:szCs w:val="20"/>
                <w:lang w:val="en-AU"/>
              </w:rPr>
            </w:pPr>
            <w:r w:rsidRPr="00402A11">
              <w:rPr>
                <w:sz w:val="20"/>
                <w:szCs w:val="20"/>
                <w:lang w:val="en-AU"/>
              </w:rPr>
              <w:t>Result</w:t>
            </w:r>
          </w:p>
        </w:tc>
        <w:tc>
          <w:tcPr>
            <w:tcW w:w="1000" w:type="pct"/>
            <w:shd w:val="clear" w:color="auto" w:fill="00B050"/>
            <w:vAlign w:val="center"/>
          </w:tcPr>
          <w:p w:rsidR="007F1806" w:rsidRPr="00402A11" w:rsidRDefault="00284812" w:rsidP="00402A11">
            <w:pPr>
              <w:spacing w:after="0"/>
              <w:jc w:val="center"/>
              <w:rPr>
                <w:sz w:val="20"/>
                <w:szCs w:val="20"/>
                <w:lang w:val="en-AU"/>
              </w:rPr>
            </w:pPr>
            <w:r>
              <w:rPr>
                <w:sz w:val="20"/>
                <w:szCs w:val="20"/>
                <w:lang w:val="en-AU"/>
              </w:rPr>
              <w:t>Positive</w:t>
            </w:r>
          </w:p>
        </w:tc>
        <w:tc>
          <w:tcPr>
            <w:tcW w:w="1000" w:type="pct"/>
            <w:shd w:val="clear" w:color="auto" w:fill="BFBFBF" w:themeFill="background1" w:themeFillShade="BF"/>
            <w:vAlign w:val="center"/>
          </w:tcPr>
          <w:p w:rsidR="007F1806" w:rsidRPr="00402A11" w:rsidRDefault="007F1806" w:rsidP="00402A11">
            <w:pPr>
              <w:spacing w:after="0"/>
              <w:jc w:val="center"/>
              <w:rPr>
                <w:sz w:val="20"/>
                <w:szCs w:val="20"/>
                <w:lang w:val="en-AU"/>
              </w:rPr>
            </w:pPr>
            <w:r w:rsidRPr="00402A11">
              <w:rPr>
                <w:sz w:val="20"/>
                <w:szCs w:val="20"/>
                <w:lang w:val="en-AU"/>
              </w:rPr>
              <w:t>Data availability</w:t>
            </w:r>
          </w:p>
        </w:tc>
        <w:tc>
          <w:tcPr>
            <w:tcW w:w="3608" w:type="dxa"/>
            <w:tcBorders>
              <w:right w:val="single" w:sz="12" w:space="0" w:color="auto"/>
            </w:tcBorders>
            <w:vAlign w:val="center"/>
          </w:tcPr>
          <w:p w:rsidR="007F1806" w:rsidRPr="00402A11" w:rsidRDefault="008556EF" w:rsidP="00C44AE4">
            <w:pPr>
              <w:spacing w:after="0"/>
              <w:jc w:val="both"/>
              <w:rPr>
                <w:sz w:val="20"/>
                <w:szCs w:val="20"/>
                <w:lang w:val="en-AU"/>
              </w:rPr>
            </w:pPr>
            <w:r w:rsidRPr="008556EF">
              <w:rPr>
                <w:sz w:val="20"/>
                <w:szCs w:val="20"/>
                <w:lang w:val="en-AU"/>
              </w:rPr>
              <w:t xml:space="preserve">Financial data for 2013 </w:t>
            </w:r>
            <w:r w:rsidR="000D67CD">
              <w:rPr>
                <w:sz w:val="20"/>
                <w:szCs w:val="20"/>
                <w:lang w:val="en-AU"/>
              </w:rPr>
              <w:t>were</w:t>
            </w:r>
            <w:r w:rsidR="000D67CD" w:rsidRPr="008556EF">
              <w:rPr>
                <w:sz w:val="20"/>
                <w:szCs w:val="20"/>
                <w:lang w:val="en-AU"/>
              </w:rPr>
              <w:t xml:space="preserve"> </w:t>
            </w:r>
            <w:r w:rsidRPr="008556EF">
              <w:rPr>
                <w:sz w:val="20"/>
                <w:szCs w:val="20"/>
                <w:lang w:val="en-AU"/>
              </w:rPr>
              <w:t>available for 496 districts and enrolment data for 490 districts.</w:t>
            </w:r>
          </w:p>
        </w:tc>
      </w:tr>
      <w:tr w:rsidR="007F1806" w:rsidRPr="00402A11" w:rsidTr="00402A11">
        <w:trPr>
          <w:jc w:val="center"/>
        </w:trPr>
        <w:tc>
          <w:tcPr>
            <w:tcW w:w="1000" w:type="pct"/>
            <w:tcBorders>
              <w:left w:val="single" w:sz="12" w:space="0" w:color="auto"/>
            </w:tcBorders>
            <w:shd w:val="clear" w:color="auto" w:fill="BFBFBF" w:themeFill="background1" w:themeFillShade="BF"/>
            <w:vAlign w:val="center"/>
          </w:tcPr>
          <w:p w:rsidR="007F1806" w:rsidRPr="00402A11" w:rsidRDefault="007F1806" w:rsidP="00402A11">
            <w:pPr>
              <w:spacing w:after="0"/>
              <w:jc w:val="center"/>
              <w:rPr>
                <w:sz w:val="20"/>
                <w:szCs w:val="20"/>
                <w:lang w:val="en-AU"/>
              </w:rPr>
            </w:pPr>
            <w:r w:rsidRPr="00402A11">
              <w:rPr>
                <w:sz w:val="20"/>
                <w:szCs w:val="20"/>
                <w:lang w:val="en-AU"/>
              </w:rPr>
              <w:t>Observations</w:t>
            </w:r>
          </w:p>
        </w:tc>
        <w:tc>
          <w:tcPr>
            <w:tcW w:w="7216" w:type="dxa"/>
            <w:gridSpan w:val="3"/>
            <w:tcBorders>
              <w:right w:val="single" w:sz="12" w:space="0" w:color="auto"/>
            </w:tcBorders>
            <w:vAlign w:val="center"/>
          </w:tcPr>
          <w:p w:rsidR="007F1806" w:rsidRPr="007F578D" w:rsidRDefault="007F578D" w:rsidP="00402A11">
            <w:pPr>
              <w:pStyle w:val="ListParagraph"/>
              <w:numPr>
                <w:ilvl w:val="0"/>
                <w:numId w:val="12"/>
              </w:numPr>
              <w:spacing w:after="60" w:line="240" w:lineRule="auto"/>
              <w:ind w:left="284" w:hanging="284"/>
              <w:contextualSpacing w:val="0"/>
              <w:jc w:val="both"/>
              <w:rPr>
                <w:sz w:val="20"/>
                <w:szCs w:val="20"/>
                <w:lang w:val="en-AU"/>
              </w:rPr>
            </w:pPr>
            <w:r w:rsidRPr="007F578D">
              <w:rPr>
                <w:sz w:val="20"/>
                <w:szCs w:val="20"/>
                <w:lang w:val="en-AU"/>
              </w:rPr>
              <w:t xml:space="preserve">The </w:t>
            </w:r>
            <w:r w:rsidR="007F1806" w:rsidRPr="007F578D">
              <w:rPr>
                <w:sz w:val="20"/>
                <w:szCs w:val="20"/>
                <w:lang w:val="en-AU"/>
              </w:rPr>
              <w:t>poorest districts (</w:t>
            </w:r>
            <w:r w:rsidR="00111EC8" w:rsidRPr="007F578D">
              <w:rPr>
                <w:sz w:val="20"/>
                <w:szCs w:val="20"/>
                <w:lang w:val="en-AU"/>
              </w:rPr>
              <w:t xml:space="preserve">i.e. those in the </w:t>
            </w:r>
            <w:r w:rsidRPr="007F578D">
              <w:rPr>
                <w:sz w:val="20"/>
                <w:szCs w:val="20"/>
                <w:lang w:val="en-AU"/>
              </w:rPr>
              <w:t>bottom quintile) recorded a 13</w:t>
            </w:r>
            <w:r w:rsidR="007F1806" w:rsidRPr="007F578D">
              <w:rPr>
                <w:sz w:val="20"/>
                <w:szCs w:val="20"/>
                <w:lang w:val="en-AU"/>
              </w:rPr>
              <w:t>% ave</w:t>
            </w:r>
            <w:r w:rsidRPr="007F578D">
              <w:rPr>
                <w:sz w:val="20"/>
                <w:szCs w:val="20"/>
                <w:lang w:val="en-AU"/>
              </w:rPr>
              <w:t>rage annual growth in their 2013</w:t>
            </w:r>
            <w:r w:rsidR="007F1806" w:rsidRPr="007F578D">
              <w:rPr>
                <w:sz w:val="20"/>
                <w:szCs w:val="20"/>
                <w:lang w:val="en-AU"/>
              </w:rPr>
              <w:t xml:space="preserve"> education budget on the previous year. This follows </w:t>
            </w:r>
            <w:r w:rsidRPr="007F578D">
              <w:rPr>
                <w:sz w:val="20"/>
                <w:szCs w:val="20"/>
                <w:lang w:val="en-AU"/>
              </w:rPr>
              <w:t>weaker growth (7%) in 2012</w:t>
            </w:r>
            <w:r w:rsidR="00962BFF" w:rsidRPr="007F578D">
              <w:rPr>
                <w:sz w:val="20"/>
                <w:szCs w:val="20"/>
                <w:lang w:val="en-AU"/>
              </w:rPr>
              <w:t xml:space="preserve"> (see Figure 2</w:t>
            </w:r>
            <w:r w:rsidR="00710F2F">
              <w:rPr>
                <w:sz w:val="20"/>
                <w:szCs w:val="20"/>
                <w:lang w:val="en-AU"/>
              </w:rPr>
              <w:t>0</w:t>
            </w:r>
            <w:r w:rsidR="00987B88" w:rsidRPr="007F578D">
              <w:rPr>
                <w:sz w:val="20"/>
                <w:szCs w:val="20"/>
                <w:lang w:val="en-AU"/>
              </w:rPr>
              <w:t>, above)</w:t>
            </w:r>
            <w:r w:rsidR="007F1806" w:rsidRPr="007F578D">
              <w:rPr>
                <w:sz w:val="20"/>
                <w:szCs w:val="20"/>
                <w:lang w:val="en-AU"/>
              </w:rPr>
              <w:t xml:space="preserve">. </w:t>
            </w:r>
          </w:p>
          <w:p w:rsidR="007F1806" w:rsidRPr="007F578D" w:rsidRDefault="007F578D" w:rsidP="00402A11">
            <w:pPr>
              <w:pStyle w:val="ListParagraph"/>
              <w:numPr>
                <w:ilvl w:val="0"/>
                <w:numId w:val="12"/>
              </w:numPr>
              <w:spacing w:after="60" w:line="240" w:lineRule="auto"/>
              <w:ind w:left="284" w:hanging="284"/>
              <w:contextualSpacing w:val="0"/>
              <w:jc w:val="both"/>
              <w:rPr>
                <w:sz w:val="20"/>
                <w:szCs w:val="20"/>
                <w:lang w:val="en-AU"/>
              </w:rPr>
            </w:pPr>
            <w:r w:rsidRPr="007F578D">
              <w:rPr>
                <w:sz w:val="20"/>
                <w:szCs w:val="20"/>
                <w:lang w:val="en-AU"/>
              </w:rPr>
              <w:t>The growth rates in 2013 need to take into account of the steeper inflation rate</w:t>
            </w:r>
            <w:r>
              <w:rPr>
                <w:sz w:val="20"/>
                <w:szCs w:val="20"/>
                <w:lang w:val="en-AU"/>
              </w:rPr>
              <w:t xml:space="preserve"> </w:t>
            </w:r>
            <w:r w:rsidRPr="007F578D">
              <w:rPr>
                <w:sz w:val="20"/>
                <w:szCs w:val="20"/>
                <w:lang w:val="en-AU"/>
              </w:rPr>
              <w:t>for the year (8.4%) which is higher than previous years and eats into the real value of the increase.</w:t>
            </w:r>
            <w:r w:rsidR="007F1806" w:rsidRPr="007F578D">
              <w:rPr>
                <w:sz w:val="20"/>
                <w:szCs w:val="20"/>
                <w:lang w:val="en-AU"/>
              </w:rPr>
              <w:t xml:space="preserve"> </w:t>
            </w:r>
          </w:p>
          <w:p w:rsidR="007F1806" w:rsidRPr="00711A43" w:rsidRDefault="007F578D" w:rsidP="00402A11">
            <w:pPr>
              <w:pStyle w:val="ListParagraph"/>
              <w:numPr>
                <w:ilvl w:val="0"/>
                <w:numId w:val="12"/>
              </w:numPr>
              <w:spacing w:after="60" w:line="240" w:lineRule="auto"/>
              <w:ind w:left="284" w:hanging="284"/>
              <w:contextualSpacing w:val="0"/>
              <w:jc w:val="both"/>
              <w:rPr>
                <w:sz w:val="20"/>
                <w:szCs w:val="20"/>
                <w:lang w:val="en-AU"/>
              </w:rPr>
            </w:pPr>
            <w:r w:rsidRPr="00711A43">
              <w:rPr>
                <w:sz w:val="20"/>
                <w:szCs w:val="20"/>
                <w:lang w:val="en-AU"/>
              </w:rPr>
              <w:t>In 2013</w:t>
            </w:r>
            <w:r w:rsidR="00711A43" w:rsidRPr="00711A43">
              <w:rPr>
                <w:sz w:val="20"/>
                <w:szCs w:val="20"/>
                <w:lang w:val="en-AU"/>
              </w:rPr>
              <w:t xml:space="preserve">, only </w:t>
            </w:r>
            <w:r w:rsidR="00711A43">
              <w:rPr>
                <w:sz w:val="20"/>
                <w:szCs w:val="20"/>
                <w:lang w:val="en-AU"/>
              </w:rPr>
              <w:t>62</w:t>
            </w:r>
            <w:r w:rsidR="00711A43" w:rsidRPr="00711A43">
              <w:rPr>
                <w:sz w:val="20"/>
                <w:szCs w:val="20"/>
                <w:lang w:val="en-AU"/>
              </w:rPr>
              <w:t xml:space="preserve"> districts (</w:t>
            </w:r>
            <w:r w:rsidR="00711A43">
              <w:rPr>
                <w:sz w:val="20"/>
                <w:szCs w:val="20"/>
                <w:lang w:val="en-AU"/>
              </w:rPr>
              <w:t>13</w:t>
            </w:r>
            <w:r w:rsidR="007F1806" w:rsidRPr="00711A43">
              <w:rPr>
                <w:sz w:val="20"/>
                <w:szCs w:val="20"/>
                <w:lang w:val="en-AU"/>
              </w:rPr>
              <w:t>%</w:t>
            </w:r>
            <w:r w:rsidR="00711A43" w:rsidRPr="00711A43">
              <w:rPr>
                <w:sz w:val="20"/>
                <w:szCs w:val="20"/>
                <w:lang w:val="en-AU"/>
              </w:rPr>
              <w:t xml:space="preserve"> of all districts</w:t>
            </w:r>
            <w:r w:rsidR="007F1806" w:rsidRPr="00711A43">
              <w:rPr>
                <w:sz w:val="20"/>
                <w:szCs w:val="20"/>
                <w:lang w:val="en-AU"/>
              </w:rPr>
              <w:t>) show</w:t>
            </w:r>
            <w:r w:rsidR="00111EC8" w:rsidRPr="00711A43">
              <w:rPr>
                <w:sz w:val="20"/>
                <w:szCs w:val="20"/>
                <w:lang w:val="en-AU"/>
              </w:rPr>
              <w:t>ed</w:t>
            </w:r>
            <w:r w:rsidR="007F1806" w:rsidRPr="00711A43">
              <w:rPr>
                <w:sz w:val="20"/>
                <w:szCs w:val="20"/>
                <w:lang w:val="en-AU"/>
              </w:rPr>
              <w:t xml:space="preserve"> a decline in the</w:t>
            </w:r>
            <w:r w:rsidR="00111EC8" w:rsidRPr="00711A43">
              <w:rPr>
                <w:sz w:val="20"/>
                <w:szCs w:val="20"/>
                <w:lang w:val="en-AU"/>
              </w:rPr>
              <w:t>ir</w:t>
            </w:r>
            <w:r w:rsidR="007F1806" w:rsidRPr="00711A43">
              <w:rPr>
                <w:sz w:val="20"/>
                <w:szCs w:val="20"/>
                <w:lang w:val="en-AU"/>
              </w:rPr>
              <w:t xml:space="preserve"> education budget.</w:t>
            </w:r>
            <w:r w:rsidR="00711A43" w:rsidRPr="00711A43">
              <w:rPr>
                <w:sz w:val="20"/>
                <w:szCs w:val="20"/>
                <w:lang w:val="en-AU"/>
              </w:rPr>
              <w:t xml:space="preserve"> This is a</w:t>
            </w:r>
            <w:r w:rsidR="00711A43">
              <w:rPr>
                <w:sz w:val="20"/>
                <w:szCs w:val="20"/>
                <w:lang w:val="en-AU"/>
              </w:rPr>
              <w:t>n</w:t>
            </w:r>
            <w:r w:rsidR="00711A43" w:rsidRPr="00711A43">
              <w:rPr>
                <w:sz w:val="20"/>
                <w:szCs w:val="20"/>
                <w:lang w:val="en-AU"/>
              </w:rPr>
              <w:t xml:space="preserve"> improvement from 2012</w:t>
            </w:r>
            <w:r w:rsidR="007F1806" w:rsidRPr="00711A43">
              <w:rPr>
                <w:sz w:val="20"/>
                <w:szCs w:val="20"/>
                <w:lang w:val="en-AU"/>
              </w:rPr>
              <w:t>, w</w:t>
            </w:r>
            <w:r w:rsidR="00711A43" w:rsidRPr="00711A43">
              <w:rPr>
                <w:sz w:val="20"/>
                <w:szCs w:val="20"/>
                <w:lang w:val="en-AU"/>
              </w:rPr>
              <w:t xml:space="preserve">hen 97 </w:t>
            </w:r>
            <w:r w:rsidR="007F1806" w:rsidRPr="00711A43">
              <w:rPr>
                <w:sz w:val="20"/>
                <w:szCs w:val="20"/>
                <w:lang w:val="en-AU"/>
              </w:rPr>
              <w:t xml:space="preserve">districts </w:t>
            </w:r>
            <w:r w:rsidR="00711A43" w:rsidRPr="00711A43">
              <w:rPr>
                <w:sz w:val="20"/>
                <w:szCs w:val="20"/>
                <w:lang w:val="en-AU"/>
              </w:rPr>
              <w:t xml:space="preserve">(approximately 20%) </w:t>
            </w:r>
            <w:r w:rsidR="007F1806" w:rsidRPr="00711A43">
              <w:rPr>
                <w:sz w:val="20"/>
                <w:szCs w:val="20"/>
                <w:lang w:val="en-AU"/>
              </w:rPr>
              <w:t xml:space="preserve">experienced a decline in annual education budget allocation. </w:t>
            </w:r>
          </w:p>
          <w:p w:rsidR="007F1806" w:rsidRDefault="00711A43" w:rsidP="00402A11">
            <w:pPr>
              <w:pStyle w:val="ListParagraph"/>
              <w:numPr>
                <w:ilvl w:val="0"/>
                <w:numId w:val="12"/>
              </w:numPr>
              <w:spacing w:after="60" w:line="240" w:lineRule="auto"/>
              <w:ind w:left="284" w:hanging="284"/>
              <w:contextualSpacing w:val="0"/>
              <w:jc w:val="both"/>
              <w:rPr>
                <w:sz w:val="20"/>
                <w:szCs w:val="20"/>
                <w:lang w:val="en-AU"/>
              </w:rPr>
            </w:pPr>
            <w:r w:rsidRPr="00711A43">
              <w:rPr>
                <w:sz w:val="20"/>
                <w:szCs w:val="20"/>
                <w:lang w:val="en-AU"/>
              </w:rPr>
              <w:t>In 2013, 17</w:t>
            </w:r>
            <w:r w:rsidR="007F1806" w:rsidRPr="00711A43">
              <w:rPr>
                <w:sz w:val="20"/>
                <w:szCs w:val="20"/>
                <w:lang w:val="en-AU"/>
              </w:rPr>
              <w:t xml:space="preserve"> of the poorest districts experienced a contraction in their nominal education expenditure (before accounting for inflation) compared to the previous district annu</w:t>
            </w:r>
            <w:r w:rsidRPr="00711A43">
              <w:rPr>
                <w:sz w:val="20"/>
                <w:szCs w:val="20"/>
                <w:lang w:val="en-AU"/>
              </w:rPr>
              <w:t xml:space="preserve">al budget. This is an improvement </w:t>
            </w:r>
            <w:r w:rsidR="007F1806" w:rsidRPr="00711A43">
              <w:rPr>
                <w:sz w:val="20"/>
                <w:szCs w:val="20"/>
                <w:lang w:val="en-AU"/>
              </w:rPr>
              <w:t xml:space="preserve">from the previous year when </w:t>
            </w:r>
            <w:r w:rsidRPr="00711A43">
              <w:rPr>
                <w:sz w:val="20"/>
                <w:szCs w:val="20"/>
                <w:lang w:val="en-AU"/>
              </w:rPr>
              <w:t xml:space="preserve">31 of </w:t>
            </w:r>
            <w:r w:rsidR="007F1806" w:rsidRPr="00711A43">
              <w:rPr>
                <w:sz w:val="20"/>
                <w:szCs w:val="20"/>
                <w:lang w:val="en-AU"/>
              </w:rPr>
              <w:t>poorest quintile districts experienced an annual decline.</w:t>
            </w:r>
          </w:p>
          <w:p w:rsidR="00B278D1" w:rsidRPr="00711A43" w:rsidRDefault="00B278D1" w:rsidP="00402A11">
            <w:pPr>
              <w:pStyle w:val="ListParagraph"/>
              <w:numPr>
                <w:ilvl w:val="0"/>
                <w:numId w:val="12"/>
              </w:numPr>
              <w:spacing w:after="60" w:line="240" w:lineRule="auto"/>
              <w:ind w:left="284" w:hanging="284"/>
              <w:contextualSpacing w:val="0"/>
              <w:jc w:val="both"/>
              <w:rPr>
                <w:sz w:val="20"/>
                <w:szCs w:val="20"/>
                <w:lang w:val="en-AU"/>
              </w:rPr>
            </w:pPr>
            <w:r>
              <w:rPr>
                <w:sz w:val="20"/>
                <w:szCs w:val="20"/>
                <w:lang w:val="en-AU"/>
              </w:rPr>
              <w:t>Papua accounts for 10 of the 17 poorest districts with contracting education budget allocations in 2013.</w:t>
            </w:r>
          </w:p>
          <w:p w:rsidR="007F1806" w:rsidRPr="007F578D" w:rsidRDefault="007F1806" w:rsidP="00402A11">
            <w:pPr>
              <w:pStyle w:val="ListParagraph"/>
              <w:numPr>
                <w:ilvl w:val="0"/>
                <w:numId w:val="12"/>
              </w:numPr>
              <w:spacing w:after="60" w:line="240" w:lineRule="auto"/>
              <w:ind w:left="284" w:hanging="284"/>
              <w:contextualSpacing w:val="0"/>
              <w:jc w:val="both"/>
              <w:rPr>
                <w:sz w:val="20"/>
                <w:szCs w:val="20"/>
                <w:lang w:val="en-AU"/>
              </w:rPr>
            </w:pPr>
            <w:r w:rsidRPr="00711A43">
              <w:rPr>
                <w:sz w:val="20"/>
                <w:szCs w:val="20"/>
                <w:lang w:val="en-AU"/>
              </w:rPr>
              <w:t>Urban districts wit</w:t>
            </w:r>
            <w:r w:rsidR="00711A43" w:rsidRPr="00711A43">
              <w:rPr>
                <w:sz w:val="20"/>
                <w:szCs w:val="20"/>
                <w:lang w:val="en-AU"/>
              </w:rPr>
              <w:t>h an average annual growth of 17</w:t>
            </w:r>
            <w:r w:rsidRPr="00711A43">
              <w:rPr>
                <w:sz w:val="20"/>
                <w:szCs w:val="20"/>
                <w:lang w:val="en-AU"/>
              </w:rPr>
              <w:t>% in year to year allocations grew more s</w:t>
            </w:r>
            <w:r w:rsidR="00711A43" w:rsidRPr="00711A43">
              <w:rPr>
                <w:sz w:val="20"/>
                <w:szCs w:val="20"/>
                <w:lang w:val="en-AU"/>
              </w:rPr>
              <w:t>trongly than urban districts (13</w:t>
            </w:r>
            <w:r w:rsidRPr="00711A43">
              <w:rPr>
                <w:sz w:val="20"/>
                <w:szCs w:val="20"/>
                <w:lang w:val="en-AU"/>
              </w:rPr>
              <w:t>%).</w:t>
            </w:r>
          </w:p>
        </w:tc>
      </w:tr>
      <w:tr w:rsidR="007F1806" w:rsidRPr="00402A11" w:rsidTr="00402A11">
        <w:trPr>
          <w:jc w:val="center"/>
        </w:trPr>
        <w:tc>
          <w:tcPr>
            <w:tcW w:w="1000" w:type="pct"/>
            <w:tcBorders>
              <w:left w:val="single" w:sz="12" w:space="0" w:color="auto"/>
            </w:tcBorders>
            <w:shd w:val="clear" w:color="auto" w:fill="BFBFBF" w:themeFill="background1" w:themeFillShade="BF"/>
            <w:vAlign w:val="center"/>
          </w:tcPr>
          <w:p w:rsidR="007F1806" w:rsidRPr="00402A11" w:rsidRDefault="007F1806" w:rsidP="00402A11">
            <w:pPr>
              <w:spacing w:after="0"/>
              <w:jc w:val="center"/>
              <w:rPr>
                <w:sz w:val="20"/>
                <w:szCs w:val="20"/>
                <w:lang w:val="en-AU"/>
              </w:rPr>
            </w:pPr>
            <w:r w:rsidRPr="00402A11">
              <w:rPr>
                <w:sz w:val="20"/>
                <w:szCs w:val="20"/>
                <w:lang w:val="en-AU"/>
              </w:rPr>
              <w:t>Observations about EP districts</w:t>
            </w:r>
          </w:p>
        </w:tc>
        <w:tc>
          <w:tcPr>
            <w:tcW w:w="7216" w:type="dxa"/>
            <w:gridSpan w:val="3"/>
            <w:tcBorders>
              <w:right w:val="single" w:sz="12" w:space="0" w:color="auto"/>
            </w:tcBorders>
            <w:vAlign w:val="center"/>
          </w:tcPr>
          <w:p w:rsidR="00715857" w:rsidRDefault="00715857" w:rsidP="00715857">
            <w:pPr>
              <w:pStyle w:val="ListParagraph"/>
              <w:numPr>
                <w:ilvl w:val="0"/>
                <w:numId w:val="12"/>
              </w:numPr>
              <w:spacing w:after="60" w:line="240" w:lineRule="auto"/>
              <w:ind w:left="284" w:hanging="284"/>
              <w:contextualSpacing w:val="0"/>
              <w:jc w:val="both"/>
              <w:rPr>
                <w:sz w:val="20"/>
                <w:szCs w:val="20"/>
                <w:lang w:val="en-AU"/>
              </w:rPr>
            </w:pPr>
            <w:r w:rsidRPr="00715857">
              <w:rPr>
                <w:sz w:val="20"/>
                <w:szCs w:val="20"/>
                <w:lang w:val="en-AU"/>
              </w:rPr>
              <w:t>In 2013</w:t>
            </w:r>
            <w:r w:rsidR="007C399B" w:rsidRPr="00715857">
              <w:rPr>
                <w:sz w:val="20"/>
                <w:szCs w:val="20"/>
                <w:lang w:val="en-AU"/>
              </w:rPr>
              <w:t xml:space="preserve"> EP districts </w:t>
            </w:r>
            <w:r w:rsidRPr="00715857">
              <w:rPr>
                <w:sz w:val="20"/>
                <w:szCs w:val="20"/>
                <w:lang w:val="en-AU"/>
              </w:rPr>
              <w:t xml:space="preserve">were in line with national average and </w:t>
            </w:r>
            <w:r w:rsidR="007C399B" w:rsidRPr="00715857">
              <w:rPr>
                <w:sz w:val="20"/>
                <w:szCs w:val="20"/>
                <w:lang w:val="en-AU"/>
              </w:rPr>
              <w:t>gr</w:t>
            </w:r>
            <w:r w:rsidRPr="00715857">
              <w:rPr>
                <w:sz w:val="20"/>
                <w:szCs w:val="20"/>
                <w:lang w:val="en-AU"/>
              </w:rPr>
              <w:t>ew their education budgets by 14</w:t>
            </w:r>
            <w:r w:rsidR="007C399B" w:rsidRPr="00715857">
              <w:rPr>
                <w:sz w:val="20"/>
                <w:szCs w:val="20"/>
                <w:lang w:val="en-AU"/>
              </w:rPr>
              <w:t xml:space="preserve">% on the previous year’s budget. </w:t>
            </w:r>
          </w:p>
          <w:p w:rsidR="007F1806" w:rsidRPr="00715857" w:rsidRDefault="00715857" w:rsidP="000D67CD">
            <w:pPr>
              <w:pStyle w:val="ListParagraph"/>
              <w:numPr>
                <w:ilvl w:val="0"/>
                <w:numId w:val="12"/>
              </w:numPr>
              <w:spacing w:after="60" w:line="240" w:lineRule="auto"/>
              <w:ind w:left="284" w:hanging="284"/>
              <w:contextualSpacing w:val="0"/>
              <w:jc w:val="both"/>
              <w:rPr>
                <w:sz w:val="20"/>
                <w:szCs w:val="20"/>
                <w:lang w:val="en-AU"/>
              </w:rPr>
            </w:pPr>
            <w:r w:rsidRPr="00715857">
              <w:rPr>
                <w:sz w:val="20"/>
                <w:szCs w:val="20"/>
                <w:lang w:val="en-AU"/>
              </w:rPr>
              <w:lastRenderedPageBreak/>
              <w:t>While 40 EP districts contract</w:t>
            </w:r>
            <w:r w:rsidR="000D67CD">
              <w:rPr>
                <w:sz w:val="20"/>
                <w:szCs w:val="20"/>
                <w:lang w:val="en-AU"/>
              </w:rPr>
              <w:t>ed</w:t>
            </w:r>
            <w:r w:rsidRPr="00715857">
              <w:rPr>
                <w:sz w:val="20"/>
                <w:szCs w:val="20"/>
                <w:lang w:val="en-AU"/>
              </w:rPr>
              <w:t xml:space="preserve"> their</w:t>
            </w:r>
            <w:r w:rsidR="001B0B60" w:rsidRPr="00715857">
              <w:rPr>
                <w:sz w:val="20"/>
                <w:szCs w:val="20"/>
                <w:lang w:val="en-AU"/>
              </w:rPr>
              <w:t xml:space="preserve"> education budget </w:t>
            </w:r>
            <w:r w:rsidR="000D67CD">
              <w:rPr>
                <w:sz w:val="20"/>
                <w:szCs w:val="20"/>
                <w:lang w:val="en-AU"/>
              </w:rPr>
              <w:t xml:space="preserve">in 2013 </w:t>
            </w:r>
            <w:r w:rsidR="001B0B60" w:rsidRPr="00715857">
              <w:rPr>
                <w:sz w:val="20"/>
                <w:szCs w:val="20"/>
                <w:lang w:val="en-AU"/>
              </w:rPr>
              <w:t>compared to the previous year</w:t>
            </w:r>
            <w:r w:rsidRPr="00715857">
              <w:rPr>
                <w:sz w:val="20"/>
                <w:szCs w:val="20"/>
                <w:lang w:val="en-AU"/>
              </w:rPr>
              <w:t>, this was an improvement on 2012 when 59 contracted</w:t>
            </w:r>
            <w:r w:rsidR="007C399B" w:rsidRPr="00715857">
              <w:rPr>
                <w:sz w:val="20"/>
                <w:szCs w:val="20"/>
                <w:lang w:val="en-AU"/>
              </w:rPr>
              <w:t>.</w:t>
            </w:r>
          </w:p>
        </w:tc>
      </w:tr>
      <w:tr w:rsidR="007F1806" w:rsidRPr="00402A11" w:rsidTr="00402A11">
        <w:trPr>
          <w:jc w:val="center"/>
        </w:trPr>
        <w:tc>
          <w:tcPr>
            <w:tcW w:w="1000" w:type="pct"/>
            <w:tcBorders>
              <w:left w:val="single" w:sz="12" w:space="0" w:color="auto"/>
            </w:tcBorders>
            <w:shd w:val="clear" w:color="auto" w:fill="BFBFBF" w:themeFill="background1" w:themeFillShade="BF"/>
            <w:vAlign w:val="center"/>
          </w:tcPr>
          <w:p w:rsidR="007F1806" w:rsidRPr="00402A11" w:rsidRDefault="007F1806" w:rsidP="00402A11">
            <w:pPr>
              <w:spacing w:after="0"/>
              <w:jc w:val="center"/>
              <w:rPr>
                <w:sz w:val="20"/>
                <w:szCs w:val="20"/>
                <w:lang w:val="en-AU"/>
              </w:rPr>
            </w:pPr>
            <w:r w:rsidRPr="00402A11">
              <w:rPr>
                <w:sz w:val="20"/>
                <w:szCs w:val="20"/>
                <w:lang w:val="en-AU"/>
              </w:rPr>
              <w:lastRenderedPageBreak/>
              <w:t>Observations about AIBEP districts</w:t>
            </w:r>
          </w:p>
        </w:tc>
        <w:tc>
          <w:tcPr>
            <w:tcW w:w="7216" w:type="dxa"/>
            <w:gridSpan w:val="3"/>
            <w:tcBorders>
              <w:right w:val="single" w:sz="12" w:space="0" w:color="auto"/>
            </w:tcBorders>
            <w:vAlign w:val="center"/>
          </w:tcPr>
          <w:p w:rsidR="007F1806" w:rsidRPr="00177AF0" w:rsidRDefault="00715857" w:rsidP="00715857">
            <w:pPr>
              <w:pStyle w:val="ListParagraph"/>
              <w:numPr>
                <w:ilvl w:val="0"/>
                <w:numId w:val="12"/>
              </w:numPr>
              <w:spacing w:after="60" w:line="240" w:lineRule="auto"/>
              <w:ind w:left="284" w:hanging="284"/>
              <w:contextualSpacing w:val="0"/>
              <w:jc w:val="both"/>
              <w:rPr>
                <w:sz w:val="20"/>
                <w:szCs w:val="20"/>
                <w:lang w:val="en-AU"/>
              </w:rPr>
            </w:pPr>
            <w:r w:rsidRPr="00177AF0">
              <w:rPr>
                <w:sz w:val="20"/>
                <w:szCs w:val="20"/>
                <w:lang w:val="en-AU"/>
              </w:rPr>
              <w:t>In 2013 for the first time since 2007</w:t>
            </w:r>
            <w:r w:rsidR="007F1806" w:rsidRPr="00177AF0">
              <w:rPr>
                <w:sz w:val="20"/>
                <w:szCs w:val="20"/>
                <w:lang w:val="en-AU"/>
              </w:rPr>
              <w:t xml:space="preserve">, BEP districts </w:t>
            </w:r>
            <w:r w:rsidRPr="00177AF0">
              <w:rPr>
                <w:sz w:val="20"/>
                <w:szCs w:val="20"/>
                <w:lang w:val="en-AU"/>
              </w:rPr>
              <w:t>had a slower rate of growth in their education allocations (10%) compared to non-BEP districts (14%)</w:t>
            </w:r>
            <w:r w:rsidR="007F1806" w:rsidRPr="00177AF0">
              <w:rPr>
                <w:sz w:val="20"/>
                <w:szCs w:val="20"/>
                <w:lang w:val="en-AU"/>
              </w:rPr>
              <w:t xml:space="preserve"> </w:t>
            </w:r>
          </w:p>
        </w:tc>
      </w:tr>
      <w:tr w:rsidR="007F1806" w:rsidRPr="00402A11" w:rsidTr="00402A11">
        <w:trPr>
          <w:tblHeader/>
          <w:jc w:val="center"/>
        </w:trPr>
        <w:tc>
          <w:tcPr>
            <w:tcW w:w="9019" w:type="dxa"/>
            <w:gridSpan w:val="4"/>
            <w:tcBorders>
              <w:left w:val="single" w:sz="12" w:space="0" w:color="auto"/>
              <w:bottom w:val="single" w:sz="4" w:space="0" w:color="auto"/>
              <w:right w:val="single" w:sz="12" w:space="0" w:color="auto"/>
            </w:tcBorders>
            <w:shd w:val="clear" w:color="auto" w:fill="68BAD6"/>
            <w:vAlign w:val="center"/>
          </w:tcPr>
          <w:p w:rsidR="007F1806" w:rsidRPr="007F578D" w:rsidRDefault="00402A11" w:rsidP="00402A11">
            <w:pPr>
              <w:spacing w:after="0"/>
              <w:jc w:val="center"/>
              <w:rPr>
                <w:rFonts w:asciiTheme="minorHAnsi" w:hAnsiTheme="minorHAnsi" w:cstheme="minorHAnsi"/>
                <w:b/>
                <w:color w:val="FFFFFF" w:themeColor="background1"/>
                <w:sz w:val="20"/>
                <w:szCs w:val="20"/>
                <w:lang w:val="en-US"/>
              </w:rPr>
            </w:pPr>
            <w:r w:rsidRPr="007F578D">
              <w:rPr>
                <w:rFonts w:asciiTheme="minorHAnsi" w:hAnsiTheme="minorHAnsi" w:cstheme="minorHAnsi"/>
                <w:b/>
                <w:sz w:val="20"/>
                <w:szCs w:val="20"/>
                <w:lang w:val="en-US"/>
              </w:rPr>
              <w:t>IMPLICATIONS AND MATTERS ARISING</w:t>
            </w:r>
          </w:p>
        </w:tc>
      </w:tr>
      <w:tr w:rsidR="007F1806" w:rsidRPr="00402A11" w:rsidTr="00402A11">
        <w:trPr>
          <w:jc w:val="center"/>
        </w:trPr>
        <w:tc>
          <w:tcPr>
            <w:tcW w:w="1000" w:type="pct"/>
            <w:tcBorders>
              <w:left w:val="single" w:sz="12" w:space="0" w:color="auto"/>
            </w:tcBorders>
            <w:shd w:val="clear" w:color="auto" w:fill="BFBFBF" w:themeFill="background1" w:themeFillShade="BF"/>
            <w:vAlign w:val="center"/>
          </w:tcPr>
          <w:p w:rsidR="007F1806" w:rsidRPr="00402A11" w:rsidRDefault="007F1806" w:rsidP="00402A11">
            <w:pPr>
              <w:spacing w:after="0"/>
              <w:jc w:val="center"/>
              <w:rPr>
                <w:sz w:val="20"/>
                <w:szCs w:val="20"/>
                <w:lang w:val="en-AU"/>
              </w:rPr>
            </w:pPr>
            <w:r w:rsidRPr="00402A11">
              <w:rPr>
                <w:sz w:val="20"/>
                <w:szCs w:val="20"/>
                <w:lang w:val="en-AU"/>
              </w:rPr>
              <w:t>For the performance of the education sector</w:t>
            </w:r>
          </w:p>
        </w:tc>
        <w:tc>
          <w:tcPr>
            <w:tcW w:w="7216" w:type="dxa"/>
            <w:gridSpan w:val="3"/>
            <w:tcBorders>
              <w:right w:val="single" w:sz="12" w:space="0" w:color="auto"/>
            </w:tcBorders>
            <w:vAlign w:val="center"/>
          </w:tcPr>
          <w:p w:rsidR="00722B89" w:rsidRPr="00177AF0" w:rsidRDefault="00177AF0" w:rsidP="00177AF0">
            <w:pPr>
              <w:pStyle w:val="ListParagraph"/>
              <w:numPr>
                <w:ilvl w:val="0"/>
                <w:numId w:val="12"/>
              </w:numPr>
              <w:spacing w:after="60" w:line="240" w:lineRule="auto"/>
              <w:ind w:left="284" w:hanging="284"/>
              <w:contextualSpacing w:val="0"/>
              <w:jc w:val="both"/>
              <w:rPr>
                <w:sz w:val="20"/>
                <w:szCs w:val="20"/>
                <w:lang w:val="en-AU"/>
              </w:rPr>
            </w:pPr>
            <w:r w:rsidRPr="00177AF0">
              <w:rPr>
                <w:sz w:val="20"/>
                <w:szCs w:val="20"/>
                <w:lang w:val="en-AU"/>
              </w:rPr>
              <w:t xml:space="preserve">The poorest districts grew their education budgets at a rate that was closer to the faster rates (16%) of the two richer quintile districts. This suggests some improvement on previous years when they have been slipping further behind. </w:t>
            </w:r>
            <w:r w:rsidR="00722B89" w:rsidRPr="00177AF0">
              <w:rPr>
                <w:sz w:val="20"/>
                <w:szCs w:val="20"/>
                <w:lang w:val="en-AU"/>
              </w:rPr>
              <w:t xml:space="preserve">Their growth of education budgets is </w:t>
            </w:r>
            <w:r w:rsidRPr="00177AF0">
              <w:rPr>
                <w:sz w:val="20"/>
                <w:szCs w:val="20"/>
                <w:lang w:val="en-AU"/>
              </w:rPr>
              <w:t xml:space="preserve">now significantly </w:t>
            </w:r>
            <w:r w:rsidR="00722B89" w:rsidRPr="00177AF0">
              <w:rPr>
                <w:sz w:val="20"/>
                <w:szCs w:val="20"/>
                <w:lang w:val="en-AU"/>
              </w:rPr>
              <w:t xml:space="preserve">above the annual inflation rate. </w:t>
            </w:r>
          </w:p>
          <w:p w:rsidR="00177AF0" w:rsidRDefault="00177AF0" w:rsidP="00177AF0">
            <w:pPr>
              <w:pStyle w:val="ListParagraph"/>
              <w:numPr>
                <w:ilvl w:val="0"/>
                <w:numId w:val="12"/>
              </w:numPr>
              <w:spacing w:after="60" w:line="240" w:lineRule="auto"/>
              <w:ind w:left="284" w:hanging="284"/>
              <w:contextualSpacing w:val="0"/>
              <w:jc w:val="both"/>
              <w:rPr>
                <w:sz w:val="20"/>
                <w:szCs w:val="20"/>
                <w:lang w:val="en-AU"/>
              </w:rPr>
            </w:pPr>
            <w:r>
              <w:rPr>
                <w:sz w:val="20"/>
                <w:szCs w:val="20"/>
                <w:lang w:val="en-AU"/>
              </w:rPr>
              <w:t xml:space="preserve">A reduction in the number of </w:t>
            </w:r>
            <w:r w:rsidR="007C399B" w:rsidRPr="00177AF0">
              <w:rPr>
                <w:sz w:val="20"/>
                <w:szCs w:val="20"/>
                <w:lang w:val="en-AU"/>
              </w:rPr>
              <w:t xml:space="preserve">districts </w:t>
            </w:r>
            <w:r>
              <w:rPr>
                <w:sz w:val="20"/>
                <w:szCs w:val="20"/>
                <w:lang w:val="en-AU"/>
              </w:rPr>
              <w:t xml:space="preserve">that are contracting their allocations for education is a positive sign. </w:t>
            </w:r>
          </w:p>
          <w:p w:rsidR="007F1806" w:rsidRPr="00177AF0" w:rsidRDefault="00722B89" w:rsidP="00177AF0">
            <w:pPr>
              <w:pStyle w:val="ListParagraph"/>
              <w:numPr>
                <w:ilvl w:val="0"/>
                <w:numId w:val="12"/>
              </w:numPr>
              <w:spacing w:after="60" w:line="240" w:lineRule="auto"/>
              <w:ind w:left="284" w:hanging="284"/>
              <w:contextualSpacing w:val="0"/>
              <w:jc w:val="both"/>
              <w:rPr>
                <w:sz w:val="20"/>
                <w:szCs w:val="20"/>
                <w:lang w:val="en-AU"/>
              </w:rPr>
            </w:pPr>
            <w:r w:rsidRPr="00177AF0">
              <w:rPr>
                <w:sz w:val="20"/>
                <w:szCs w:val="20"/>
                <w:lang w:val="en-AU"/>
              </w:rPr>
              <w:t xml:space="preserve">A </w:t>
            </w:r>
            <w:r w:rsidR="00177AF0">
              <w:rPr>
                <w:sz w:val="20"/>
                <w:szCs w:val="20"/>
                <w:lang w:val="en-AU"/>
              </w:rPr>
              <w:t xml:space="preserve">comparative </w:t>
            </w:r>
            <w:r w:rsidRPr="00177AF0">
              <w:rPr>
                <w:sz w:val="20"/>
                <w:szCs w:val="20"/>
                <w:lang w:val="en-AU"/>
              </w:rPr>
              <w:t xml:space="preserve">diagnostic assessment should be considered for those poorest districts which are </w:t>
            </w:r>
            <w:r w:rsidR="00177AF0">
              <w:rPr>
                <w:sz w:val="20"/>
                <w:szCs w:val="20"/>
                <w:lang w:val="en-AU"/>
              </w:rPr>
              <w:t xml:space="preserve">continuing to reduce </w:t>
            </w:r>
            <w:r w:rsidRPr="00177AF0">
              <w:rPr>
                <w:sz w:val="20"/>
                <w:szCs w:val="20"/>
                <w:lang w:val="en-AU"/>
              </w:rPr>
              <w:t xml:space="preserve">their education </w:t>
            </w:r>
            <w:r w:rsidR="00177AF0">
              <w:rPr>
                <w:sz w:val="20"/>
                <w:szCs w:val="20"/>
                <w:lang w:val="en-AU"/>
              </w:rPr>
              <w:t>allocations with others that have changed course and are now growing.</w:t>
            </w:r>
          </w:p>
        </w:tc>
      </w:tr>
      <w:tr w:rsidR="007F1806" w:rsidRPr="00402A11" w:rsidTr="00402A11">
        <w:trPr>
          <w:jc w:val="center"/>
        </w:trPr>
        <w:tc>
          <w:tcPr>
            <w:tcW w:w="1000" w:type="pct"/>
            <w:tcBorders>
              <w:left w:val="single" w:sz="12" w:space="0" w:color="auto"/>
              <w:bottom w:val="single" w:sz="12" w:space="0" w:color="auto"/>
            </w:tcBorders>
            <w:shd w:val="clear" w:color="auto" w:fill="BFBFBF" w:themeFill="background1" w:themeFillShade="BF"/>
            <w:vAlign w:val="center"/>
          </w:tcPr>
          <w:p w:rsidR="007F1806" w:rsidRPr="00402A11" w:rsidRDefault="007F1806" w:rsidP="00402A11">
            <w:pPr>
              <w:spacing w:after="0"/>
              <w:jc w:val="center"/>
              <w:rPr>
                <w:sz w:val="20"/>
                <w:szCs w:val="20"/>
                <w:lang w:val="en-AU"/>
              </w:rPr>
            </w:pPr>
            <w:r w:rsidRPr="00402A11">
              <w:rPr>
                <w:sz w:val="20"/>
                <w:szCs w:val="20"/>
                <w:lang w:val="en-AU"/>
              </w:rPr>
              <w:t>For the performance of the Education Partnership</w:t>
            </w:r>
          </w:p>
        </w:tc>
        <w:tc>
          <w:tcPr>
            <w:tcW w:w="7216" w:type="dxa"/>
            <w:gridSpan w:val="3"/>
            <w:tcBorders>
              <w:bottom w:val="single" w:sz="12" w:space="0" w:color="auto"/>
              <w:right w:val="single" w:sz="12" w:space="0" w:color="auto"/>
            </w:tcBorders>
            <w:vAlign w:val="center"/>
          </w:tcPr>
          <w:p w:rsidR="007F1806" w:rsidRPr="00177AF0" w:rsidRDefault="00111EC8" w:rsidP="00177AF0">
            <w:pPr>
              <w:pStyle w:val="ListParagraph"/>
              <w:numPr>
                <w:ilvl w:val="0"/>
                <w:numId w:val="12"/>
              </w:numPr>
              <w:spacing w:after="60" w:line="240" w:lineRule="auto"/>
              <w:ind w:left="284" w:hanging="284"/>
              <w:contextualSpacing w:val="0"/>
              <w:jc w:val="both"/>
              <w:rPr>
                <w:sz w:val="20"/>
                <w:szCs w:val="20"/>
                <w:lang w:val="en-AU"/>
              </w:rPr>
            </w:pPr>
            <w:r w:rsidRPr="00177AF0">
              <w:rPr>
                <w:sz w:val="20"/>
                <w:szCs w:val="20"/>
                <w:lang w:val="en-AU"/>
              </w:rPr>
              <w:t>There is merit in</w:t>
            </w:r>
            <w:r w:rsidR="004971BD" w:rsidRPr="00177AF0">
              <w:rPr>
                <w:sz w:val="20"/>
                <w:szCs w:val="20"/>
                <w:lang w:val="en-AU"/>
              </w:rPr>
              <w:t xml:space="preserve"> </w:t>
            </w:r>
            <w:r w:rsidR="00177AF0" w:rsidRPr="00177AF0">
              <w:rPr>
                <w:sz w:val="20"/>
                <w:szCs w:val="20"/>
                <w:lang w:val="en-AU"/>
              </w:rPr>
              <w:t xml:space="preserve">monitoring </w:t>
            </w:r>
            <w:r w:rsidRPr="00177AF0">
              <w:rPr>
                <w:sz w:val="20"/>
                <w:szCs w:val="20"/>
                <w:lang w:val="en-AU"/>
              </w:rPr>
              <w:t>those</w:t>
            </w:r>
            <w:r w:rsidR="00931A16" w:rsidRPr="00177AF0">
              <w:rPr>
                <w:sz w:val="20"/>
                <w:szCs w:val="20"/>
                <w:lang w:val="en-AU"/>
              </w:rPr>
              <w:t xml:space="preserve"> EP d</w:t>
            </w:r>
            <w:r w:rsidR="00177AF0" w:rsidRPr="00177AF0">
              <w:rPr>
                <w:sz w:val="20"/>
                <w:szCs w:val="20"/>
                <w:lang w:val="en-AU"/>
              </w:rPr>
              <w:t>istricts that reduced their 2013</w:t>
            </w:r>
            <w:r w:rsidR="00931A16" w:rsidRPr="00177AF0">
              <w:rPr>
                <w:sz w:val="20"/>
                <w:szCs w:val="20"/>
                <w:lang w:val="en-AU"/>
              </w:rPr>
              <w:t xml:space="preserve"> education budget allocations </w:t>
            </w:r>
            <w:r w:rsidR="00177AF0" w:rsidRPr="00177AF0">
              <w:rPr>
                <w:sz w:val="20"/>
                <w:szCs w:val="20"/>
                <w:lang w:val="en-AU"/>
              </w:rPr>
              <w:t xml:space="preserve">in terms of their contributions and participation in EP funded activities. </w:t>
            </w:r>
          </w:p>
        </w:tc>
      </w:tr>
    </w:tbl>
    <w:p w:rsidR="007F1806" w:rsidRDefault="007F1806" w:rsidP="006A4E0A"/>
    <w:p w:rsidR="00111EC8" w:rsidRPr="00402A11" w:rsidRDefault="00111EC8" w:rsidP="00402A11">
      <w:pPr>
        <w:spacing w:before="240" w:line="276" w:lineRule="auto"/>
        <w:rPr>
          <w:rStyle w:val="IntenseEmphasis"/>
          <w:rFonts w:asciiTheme="minorHAnsi" w:hAnsiTheme="minorHAnsi" w:cstheme="minorHAnsi"/>
          <w:b w:val="0"/>
          <w:i w:val="0"/>
          <w:iCs w:val="0"/>
          <w:color w:val="003880"/>
          <w:sz w:val="24"/>
          <w:szCs w:val="28"/>
        </w:rPr>
      </w:pPr>
      <w:r w:rsidRPr="00402A11">
        <w:rPr>
          <w:rStyle w:val="IntenseEmphasis"/>
          <w:rFonts w:asciiTheme="minorHAnsi" w:hAnsiTheme="minorHAnsi" w:cstheme="minorHAnsi"/>
          <w:b w:val="0"/>
          <w:i w:val="0"/>
          <w:iCs w:val="0"/>
          <w:color w:val="003880"/>
          <w:sz w:val="24"/>
          <w:szCs w:val="28"/>
        </w:rPr>
        <w:t xml:space="preserve">Discussion </w:t>
      </w:r>
    </w:p>
    <w:p w:rsidR="006A4E0A" w:rsidRDefault="006A4E0A" w:rsidP="00402A11">
      <w:pPr>
        <w:spacing w:line="276" w:lineRule="auto"/>
        <w:jc w:val="both"/>
      </w:pPr>
      <w:r>
        <w:t>The average annual growth rate of di</w:t>
      </w:r>
      <w:r w:rsidR="003E67E4">
        <w:t>strict education budgets in 2013 was a strong 14</w:t>
      </w:r>
      <w:r>
        <w:t>%. This follow</w:t>
      </w:r>
      <w:r w:rsidR="00987B88">
        <w:t>s</w:t>
      </w:r>
      <w:r>
        <w:t xml:space="preserve"> a </w:t>
      </w:r>
      <w:r w:rsidR="003E67E4">
        <w:t xml:space="preserve">similar </w:t>
      </w:r>
      <w:r>
        <w:t xml:space="preserve">growth </w:t>
      </w:r>
      <w:r w:rsidR="00987B88">
        <w:t xml:space="preserve">in </w:t>
      </w:r>
      <w:r w:rsidR="003E67E4">
        <w:t>2012 (12</w:t>
      </w:r>
      <w:r>
        <w:t xml:space="preserve">%). </w:t>
      </w:r>
      <w:r w:rsidR="003E67E4">
        <w:t>A</w:t>
      </w:r>
      <w:r w:rsidR="00987B88">
        <w:t xml:space="preserve"> </w:t>
      </w:r>
      <w:r>
        <w:t xml:space="preserve">12% annual growth in </w:t>
      </w:r>
      <w:r w:rsidR="003E67E4">
        <w:t xml:space="preserve">nominal </w:t>
      </w:r>
      <w:r>
        <w:t>education spending is healthy</w:t>
      </w:r>
      <w:r w:rsidR="003E67E4">
        <w:t xml:space="preserve"> but it needs to be understood in the context of an 8.4% increase in prices as measured by the BPS Consumer Price Index for 2013. </w:t>
      </w:r>
      <w:r>
        <w:t xml:space="preserve"> The strongest growth was </w:t>
      </w:r>
      <w:r w:rsidR="003E67E4">
        <w:t xml:space="preserve">again </w:t>
      </w:r>
      <w:r>
        <w:t xml:space="preserve">shown </w:t>
      </w:r>
      <w:r w:rsidR="003E67E4">
        <w:t xml:space="preserve">in </w:t>
      </w:r>
      <w:r>
        <w:t>the urban districts</w:t>
      </w:r>
      <w:r w:rsidR="00987B88">
        <w:t>,</w:t>
      </w:r>
      <w:r w:rsidR="003E67E4">
        <w:t xml:space="preserve"> which had annual growth of 17% compared with an 13</w:t>
      </w:r>
      <w:r>
        <w:t xml:space="preserve">% annual growth of </w:t>
      </w:r>
      <w:r w:rsidR="00C44AE4">
        <w:t xml:space="preserve">rural </w:t>
      </w:r>
      <w:r>
        <w:t>districts</w:t>
      </w:r>
      <w:r w:rsidR="00987B88">
        <w:t xml:space="preserve"> (see Figure 2</w:t>
      </w:r>
      <w:r w:rsidR="00710F2F">
        <w:t>1</w:t>
      </w:r>
      <w:r w:rsidR="00987B88">
        <w:t>, below)</w:t>
      </w:r>
      <w:r>
        <w:t xml:space="preserve">. </w:t>
      </w:r>
    </w:p>
    <w:p w:rsidR="006A4E0A" w:rsidRDefault="006A4E0A" w:rsidP="009A2DC1">
      <w:pPr>
        <w:pStyle w:val="Caption"/>
      </w:pPr>
      <w:bookmarkStart w:id="69" w:name="_Toc374182070"/>
      <w:bookmarkStart w:id="70" w:name="_Toc414281553"/>
      <w:r w:rsidRPr="006511D5">
        <w:lastRenderedPageBreak/>
        <w:t xml:space="preserve">Annual Growth in </w:t>
      </w:r>
      <w:r>
        <w:t>District Education Expenditure, (APBD 2007-201</w:t>
      </w:r>
      <w:r w:rsidR="00177AF0">
        <w:t>3</w:t>
      </w:r>
      <w:r>
        <w:t>)</w:t>
      </w:r>
      <w:bookmarkEnd w:id="69"/>
      <w:bookmarkEnd w:id="70"/>
      <w:r>
        <w:t xml:space="preserve"> </w:t>
      </w:r>
    </w:p>
    <w:p w:rsidR="006A4E0A" w:rsidRPr="001415DC" w:rsidRDefault="001947DF" w:rsidP="00402A11">
      <w:pPr>
        <w:spacing w:after="360"/>
        <w:jc w:val="center"/>
      </w:pPr>
      <w:r>
        <w:rPr>
          <w:noProof/>
          <w:lang w:val="en-AU" w:eastAsia="en-AU"/>
        </w:rPr>
        <w:drawing>
          <wp:inline distT="0" distB="0" distL="0" distR="0" wp14:anchorId="41A427B0" wp14:editId="51936633">
            <wp:extent cx="5375081" cy="3338644"/>
            <wp:effectExtent l="19050" t="19050" r="16510" b="146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76232" cy="3339359"/>
                    </a:xfrm>
                    <a:prstGeom prst="rect">
                      <a:avLst/>
                    </a:prstGeom>
                    <a:noFill/>
                    <a:ln>
                      <a:solidFill>
                        <a:schemeClr val="accent1"/>
                      </a:solidFill>
                    </a:ln>
                  </pic:spPr>
                </pic:pic>
              </a:graphicData>
            </a:graphic>
          </wp:inline>
        </w:drawing>
      </w:r>
    </w:p>
    <w:p w:rsidR="006A4E0A" w:rsidRDefault="003E67E4" w:rsidP="002E318D">
      <w:pPr>
        <w:spacing w:line="276" w:lineRule="auto"/>
        <w:jc w:val="both"/>
      </w:pPr>
      <w:r>
        <w:t>In 2013, 17</w:t>
      </w:r>
      <w:r w:rsidR="006A4E0A">
        <w:t xml:space="preserve"> of the poorest districts experienced a contraction in their nominal education expenditure (before accounting for inflation) compared to the previous district annual budget. This is a</w:t>
      </w:r>
      <w:r>
        <w:t>n improvement on the previous year when 31</w:t>
      </w:r>
      <w:r w:rsidR="006A4E0A">
        <w:t xml:space="preserve"> </w:t>
      </w:r>
      <w:r>
        <w:t xml:space="preserve">of the </w:t>
      </w:r>
      <w:r w:rsidR="006A4E0A">
        <w:t>poorest quintile districts experienced an annual decline in the dedicated dist</w:t>
      </w:r>
      <w:r w:rsidR="005566A6">
        <w:t>rict budget funds for education.</w:t>
      </w:r>
      <w:r w:rsidR="006A4E0A">
        <w:t>.</w:t>
      </w:r>
    </w:p>
    <w:p w:rsidR="006A4E0A" w:rsidRDefault="006A4E0A" w:rsidP="002E318D">
      <w:pPr>
        <w:spacing w:line="276" w:lineRule="auto"/>
        <w:jc w:val="both"/>
        <w:rPr>
          <w:color w:val="000000"/>
        </w:rPr>
      </w:pPr>
      <w:r>
        <w:rPr>
          <w:color w:val="000000"/>
        </w:rPr>
        <w:t>Papua remains t</w:t>
      </w:r>
      <w:r w:rsidR="003E67E4">
        <w:rPr>
          <w:color w:val="000000"/>
        </w:rPr>
        <w:t>he focus of the decline</w:t>
      </w:r>
      <w:r w:rsidR="000D67CD">
        <w:rPr>
          <w:color w:val="000000"/>
        </w:rPr>
        <w:t>. T</w:t>
      </w:r>
      <w:r w:rsidR="003E67E4">
        <w:rPr>
          <w:color w:val="000000"/>
        </w:rPr>
        <w:t>en</w:t>
      </w:r>
      <w:r>
        <w:rPr>
          <w:color w:val="000000"/>
        </w:rPr>
        <w:t xml:space="preserve"> of the </w:t>
      </w:r>
      <w:r w:rsidR="003E67E4">
        <w:rPr>
          <w:color w:val="000000"/>
        </w:rPr>
        <w:t xml:space="preserve">seventeen </w:t>
      </w:r>
      <w:r>
        <w:rPr>
          <w:color w:val="000000"/>
        </w:rPr>
        <w:t>districts recording a decline in nominal annual district education expenditure are located in Papua.</w:t>
      </w:r>
    </w:p>
    <w:p w:rsidR="006A4E0A" w:rsidRDefault="006A4E0A" w:rsidP="009A2DC1">
      <w:pPr>
        <w:pStyle w:val="Caption"/>
      </w:pPr>
      <w:bookmarkStart w:id="71" w:name="_Toc374182071"/>
      <w:bookmarkStart w:id="72" w:name="_Toc414281554"/>
      <w:r>
        <w:lastRenderedPageBreak/>
        <w:t xml:space="preserve">Poorest Districts (Quintile 5), Negative </w:t>
      </w:r>
      <w:r w:rsidRPr="006511D5">
        <w:t xml:space="preserve">Annual Growth in </w:t>
      </w:r>
      <w:r>
        <w:t>E</w:t>
      </w:r>
      <w:r w:rsidR="006A338B">
        <w:t>ducation Expenditure, (APBD 2011-2013</w:t>
      </w:r>
      <w:r>
        <w:t>)</w:t>
      </w:r>
      <w:bookmarkEnd w:id="71"/>
      <w:bookmarkEnd w:id="72"/>
      <w:r>
        <w:t xml:space="preserve"> </w:t>
      </w:r>
    </w:p>
    <w:p w:rsidR="006A4E0A" w:rsidRDefault="006A338B" w:rsidP="00402A11">
      <w:pPr>
        <w:spacing w:after="360"/>
        <w:jc w:val="center"/>
        <w:rPr>
          <w:b/>
          <w:i/>
        </w:rPr>
      </w:pPr>
      <w:r>
        <w:rPr>
          <w:b/>
          <w:i/>
          <w:noProof/>
          <w:lang w:val="en-AU" w:eastAsia="en-AU"/>
        </w:rPr>
        <w:drawing>
          <wp:inline distT="0" distB="0" distL="0" distR="0" wp14:anchorId="1EC49583" wp14:editId="76A8740A">
            <wp:extent cx="6115050" cy="593117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4373" cy="5930519"/>
                    </a:xfrm>
                    <a:prstGeom prst="rect">
                      <a:avLst/>
                    </a:prstGeom>
                    <a:noFill/>
                    <a:ln>
                      <a:noFill/>
                    </a:ln>
                  </pic:spPr>
                </pic:pic>
              </a:graphicData>
            </a:graphic>
          </wp:inline>
        </w:drawing>
      </w:r>
    </w:p>
    <w:p w:rsidR="006A4E0A" w:rsidRDefault="006A4E0A" w:rsidP="002E318D">
      <w:pPr>
        <w:spacing w:line="276" w:lineRule="auto"/>
        <w:jc w:val="both"/>
      </w:pPr>
      <w:r>
        <w:t>Poverty quintile analysis of districts with declining educa</w:t>
      </w:r>
      <w:r w:rsidR="0087148F">
        <w:t>tion budget allocations in 2013</w:t>
      </w:r>
      <w:r>
        <w:t xml:space="preserve"> shows them to be distributed </w:t>
      </w:r>
      <w:r w:rsidR="0087148F">
        <w:t>across all quintiles although 17 of the 62</w:t>
      </w:r>
      <w:r>
        <w:t xml:space="preserve"> are from the poorest quintile. </w:t>
      </w:r>
    </w:p>
    <w:p w:rsidR="006A4E0A" w:rsidRDefault="006A4E0A" w:rsidP="006A4E0A"/>
    <w:p w:rsidR="006A4E0A" w:rsidRDefault="006A4E0A" w:rsidP="009A2DC1">
      <w:pPr>
        <w:pStyle w:val="Caption"/>
      </w:pPr>
      <w:bookmarkStart w:id="73" w:name="_Toc374182075"/>
      <w:bookmarkStart w:id="74" w:name="_Toc414281555"/>
      <w:r>
        <w:lastRenderedPageBreak/>
        <w:t xml:space="preserve">Total Number of </w:t>
      </w:r>
      <w:r w:rsidRPr="00DA375B">
        <w:t xml:space="preserve">Districts, </w:t>
      </w:r>
      <w:r>
        <w:t xml:space="preserve">with Negative </w:t>
      </w:r>
      <w:r w:rsidRPr="00DA375B">
        <w:t>Annual Growth in APBD Education Expenditure, 2007 -20</w:t>
      </w:r>
      <w:r>
        <w:t>1</w:t>
      </w:r>
      <w:bookmarkEnd w:id="73"/>
      <w:r w:rsidR="006A338B">
        <w:t>3</w:t>
      </w:r>
      <w:bookmarkEnd w:id="74"/>
    </w:p>
    <w:p w:rsidR="006A4E0A" w:rsidRDefault="006A338B" w:rsidP="00402A11">
      <w:pPr>
        <w:spacing w:after="360"/>
        <w:jc w:val="center"/>
      </w:pPr>
      <w:r>
        <w:rPr>
          <w:noProof/>
          <w:lang w:val="en-AU" w:eastAsia="en-AU"/>
        </w:rPr>
        <w:drawing>
          <wp:inline distT="0" distB="0" distL="0" distR="0" wp14:anchorId="37789F57" wp14:editId="2985A240">
            <wp:extent cx="5733415" cy="3001195"/>
            <wp:effectExtent l="19050" t="19050" r="19685" b="279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3415" cy="3001195"/>
                    </a:xfrm>
                    <a:prstGeom prst="rect">
                      <a:avLst/>
                    </a:prstGeom>
                    <a:noFill/>
                    <a:ln>
                      <a:solidFill>
                        <a:schemeClr val="accent1"/>
                      </a:solidFill>
                    </a:ln>
                  </pic:spPr>
                </pic:pic>
              </a:graphicData>
            </a:graphic>
          </wp:inline>
        </w:drawing>
      </w:r>
    </w:p>
    <w:p w:rsidR="00430F92" w:rsidRPr="006107B0" w:rsidRDefault="003E67E4" w:rsidP="002E318D">
      <w:pPr>
        <w:spacing w:line="276" w:lineRule="auto"/>
        <w:jc w:val="both"/>
        <w:rPr>
          <w:noProof/>
        </w:rPr>
      </w:pPr>
      <w:r>
        <w:rPr>
          <w:noProof/>
        </w:rPr>
        <w:t xml:space="preserve">In 2013 there </w:t>
      </w:r>
      <w:r w:rsidR="004B15A5">
        <w:rPr>
          <w:noProof/>
        </w:rPr>
        <w:t>were 40</w:t>
      </w:r>
      <w:r w:rsidR="0087148F">
        <w:rPr>
          <w:noProof/>
        </w:rPr>
        <w:t xml:space="preserve"> </w:t>
      </w:r>
      <w:r w:rsidR="007C399B">
        <w:rPr>
          <w:noProof/>
        </w:rPr>
        <w:t xml:space="preserve">EP </w:t>
      </w:r>
      <w:r w:rsidR="00722B89">
        <w:rPr>
          <w:noProof/>
        </w:rPr>
        <w:t>districts that exper</w:t>
      </w:r>
      <w:r w:rsidR="00430F92">
        <w:rPr>
          <w:noProof/>
        </w:rPr>
        <w:t>i</w:t>
      </w:r>
      <w:r w:rsidR="00722B89">
        <w:rPr>
          <w:noProof/>
        </w:rPr>
        <w:t>enced a decline</w:t>
      </w:r>
      <w:r w:rsidR="00430F92">
        <w:rPr>
          <w:noProof/>
        </w:rPr>
        <w:t xml:space="preserve"> in their annual allocation for education</w:t>
      </w:r>
      <w:r w:rsidR="0087148F">
        <w:rPr>
          <w:noProof/>
        </w:rPr>
        <w:t>, which is a reduction</w:t>
      </w:r>
      <w:r w:rsidR="00430F92">
        <w:rPr>
          <w:noProof/>
        </w:rPr>
        <w:t xml:space="preserve"> compared to the previous year</w:t>
      </w:r>
      <w:r w:rsidR="00F56A74">
        <w:rPr>
          <w:noProof/>
        </w:rPr>
        <w:t xml:space="preserve"> of 59 districts</w:t>
      </w:r>
      <w:r w:rsidR="00430F92">
        <w:rPr>
          <w:noProof/>
        </w:rPr>
        <w:t xml:space="preserve">. </w:t>
      </w:r>
    </w:p>
    <w:p w:rsidR="00430F92" w:rsidRDefault="00430F92" w:rsidP="009A2DC1">
      <w:pPr>
        <w:pStyle w:val="Caption"/>
        <w:rPr>
          <w:noProof/>
        </w:rPr>
      </w:pPr>
      <w:bookmarkStart w:id="75" w:name="_Toc374182097"/>
      <w:bookmarkStart w:id="76" w:name="_Toc414281556"/>
      <w:r>
        <w:rPr>
          <w:noProof/>
        </w:rPr>
        <w:t>Number of Districts with declining annual education expenditure</w:t>
      </w:r>
      <w:bookmarkEnd w:id="75"/>
      <w:r w:rsidR="006917B9">
        <w:rPr>
          <w:noProof/>
        </w:rPr>
        <w:t>, 2010 - 2013</w:t>
      </w:r>
      <w:bookmarkEnd w:id="76"/>
    </w:p>
    <w:p w:rsidR="00430F92" w:rsidRDefault="006917B9" w:rsidP="00402A11">
      <w:pPr>
        <w:spacing w:after="360"/>
        <w:jc w:val="center"/>
        <w:rPr>
          <w:noProof/>
        </w:rPr>
      </w:pPr>
      <w:r>
        <w:rPr>
          <w:noProof/>
          <w:lang w:val="en-AU" w:eastAsia="en-AU"/>
        </w:rPr>
        <w:drawing>
          <wp:inline distT="0" distB="0" distL="0" distR="0" wp14:anchorId="06AE3C55" wp14:editId="654D3C81">
            <wp:extent cx="5715000" cy="1819275"/>
            <wp:effectExtent l="19050" t="19050" r="19050"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3415" cy="1825137"/>
                    </a:xfrm>
                    <a:prstGeom prst="rect">
                      <a:avLst/>
                    </a:prstGeom>
                    <a:noFill/>
                    <a:ln>
                      <a:solidFill>
                        <a:schemeClr val="accent1"/>
                      </a:solidFill>
                    </a:ln>
                  </pic:spPr>
                </pic:pic>
              </a:graphicData>
            </a:graphic>
          </wp:inline>
        </w:drawing>
      </w:r>
    </w:p>
    <w:p w:rsidR="00430F92" w:rsidRDefault="00430F92" w:rsidP="002E318D">
      <w:pPr>
        <w:spacing w:line="276" w:lineRule="auto"/>
        <w:jc w:val="both"/>
        <w:rPr>
          <w:noProof/>
        </w:rPr>
      </w:pPr>
      <w:r>
        <w:rPr>
          <w:noProof/>
        </w:rPr>
        <w:t xml:space="preserve">A </w:t>
      </w:r>
      <w:r w:rsidR="004B15A5">
        <w:rPr>
          <w:noProof/>
        </w:rPr>
        <w:t xml:space="preserve">specific focus </w:t>
      </w:r>
      <w:r>
        <w:rPr>
          <w:noProof/>
        </w:rPr>
        <w:t>is to observe the number of poorest districts (bottom 20% by poverty ranking) which provided less for education</w:t>
      </w:r>
      <w:r w:rsidR="004B15A5">
        <w:rPr>
          <w:noProof/>
        </w:rPr>
        <w:t xml:space="preserve"> than the previous year. In 2013, there were seven</w:t>
      </w:r>
      <w:r>
        <w:rPr>
          <w:noProof/>
        </w:rPr>
        <w:t xml:space="preserve"> </w:t>
      </w:r>
      <w:r w:rsidR="00722B89">
        <w:rPr>
          <w:noProof/>
        </w:rPr>
        <w:t xml:space="preserve">EP </w:t>
      </w:r>
      <w:r>
        <w:rPr>
          <w:noProof/>
        </w:rPr>
        <w:t xml:space="preserve">districts </w:t>
      </w:r>
      <w:r w:rsidR="004B15A5">
        <w:rPr>
          <w:noProof/>
        </w:rPr>
        <w:t xml:space="preserve">in the poorest quintile </w:t>
      </w:r>
      <w:r>
        <w:rPr>
          <w:noProof/>
        </w:rPr>
        <w:t>which provided less for education than their previous budget.</w:t>
      </w:r>
      <w:r w:rsidR="004B15A5">
        <w:rPr>
          <w:noProof/>
        </w:rPr>
        <w:t xml:space="preserve"> This is a significantimprovement on the previous year when 14 districts provided less for education than the previous year.</w:t>
      </w:r>
      <w:r>
        <w:rPr>
          <w:noProof/>
        </w:rPr>
        <w:t xml:space="preserve"> </w:t>
      </w:r>
    </w:p>
    <w:p w:rsidR="00430F92" w:rsidRDefault="00430F92" w:rsidP="009A2DC1">
      <w:pPr>
        <w:pStyle w:val="Caption"/>
        <w:rPr>
          <w:noProof/>
        </w:rPr>
      </w:pPr>
      <w:bookmarkStart w:id="77" w:name="_Toc374182098"/>
      <w:bookmarkStart w:id="78" w:name="_Toc414281557"/>
      <w:r>
        <w:rPr>
          <w:noProof/>
        </w:rPr>
        <w:lastRenderedPageBreak/>
        <w:t>EP Poorest Districts with declining annual education expenditure (2012</w:t>
      </w:r>
      <w:r w:rsidR="006917B9">
        <w:rPr>
          <w:noProof/>
        </w:rPr>
        <w:t xml:space="preserve"> and 2013</w:t>
      </w:r>
      <w:r>
        <w:rPr>
          <w:noProof/>
        </w:rPr>
        <w:t>)</w:t>
      </w:r>
      <w:bookmarkEnd w:id="77"/>
      <w:bookmarkEnd w:id="78"/>
    </w:p>
    <w:p w:rsidR="00430F92" w:rsidRDefault="006917B9" w:rsidP="00402A11">
      <w:pPr>
        <w:spacing w:after="360"/>
        <w:jc w:val="center"/>
        <w:rPr>
          <w:noProof/>
        </w:rPr>
      </w:pPr>
      <w:r>
        <w:rPr>
          <w:noProof/>
          <w:lang w:val="en-AU" w:eastAsia="en-AU"/>
        </w:rPr>
        <w:drawing>
          <wp:inline distT="0" distB="0" distL="0" distR="0" wp14:anchorId="5F170078" wp14:editId="1079F31C">
            <wp:extent cx="5733415" cy="4355457"/>
            <wp:effectExtent l="19050" t="19050" r="19685" b="266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3415" cy="4355457"/>
                    </a:xfrm>
                    <a:prstGeom prst="rect">
                      <a:avLst/>
                    </a:prstGeom>
                    <a:noFill/>
                    <a:ln>
                      <a:solidFill>
                        <a:schemeClr val="accent1"/>
                      </a:solidFill>
                    </a:ln>
                  </pic:spPr>
                </pic:pic>
              </a:graphicData>
            </a:graphic>
          </wp:inline>
        </w:drawing>
      </w:r>
    </w:p>
    <w:p w:rsidR="00430F92" w:rsidRDefault="00430F92" w:rsidP="002E318D">
      <w:pPr>
        <w:spacing w:line="276" w:lineRule="auto"/>
        <w:jc w:val="both"/>
        <w:rPr>
          <w:noProof/>
        </w:rPr>
      </w:pPr>
      <w:r>
        <w:rPr>
          <w:noProof/>
        </w:rPr>
        <w:t xml:space="preserve">The following four tables provide (i) the name of those </w:t>
      </w:r>
      <w:r w:rsidR="00722B89">
        <w:rPr>
          <w:noProof/>
        </w:rPr>
        <w:t xml:space="preserve">EP </w:t>
      </w:r>
      <w:r>
        <w:rPr>
          <w:noProof/>
        </w:rPr>
        <w:t>districts which had an annual decline their financial comm</w:t>
      </w:r>
      <w:r w:rsidR="00AE0152">
        <w:rPr>
          <w:noProof/>
        </w:rPr>
        <w:t>itment towards education in 2013</w:t>
      </w:r>
      <w:r>
        <w:rPr>
          <w:noProof/>
        </w:rPr>
        <w:t xml:space="preserve">, and (ii) the percentage drop in their financial commitment </w:t>
      </w:r>
      <w:r w:rsidR="00885710">
        <w:rPr>
          <w:noProof/>
        </w:rPr>
        <w:t xml:space="preserve">to education </w:t>
      </w:r>
      <w:r>
        <w:rPr>
          <w:noProof/>
        </w:rPr>
        <w:t xml:space="preserve">compared to the value of the previous year’s budget . </w:t>
      </w:r>
    </w:p>
    <w:p w:rsidR="00430F92" w:rsidRDefault="001A3FC6" w:rsidP="009A2DC1">
      <w:pPr>
        <w:pStyle w:val="Caption"/>
        <w:rPr>
          <w:noProof/>
        </w:rPr>
      </w:pPr>
      <w:bookmarkStart w:id="79" w:name="_Toc374182099"/>
      <w:r>
        <w:rPr>
          <w:noProof/>
        </w:rPr>
        <w:t xml:space="preserve"> </w:t>
      </w:r>
      <w:bookmarkStart w:id="80" w:name="_Toc414281558"/>
      <w:r w:rsidR="00430F92">
        <w:rPr>
          <w:noProof/>
        </w:rPr>
        <w:t>Component 1 districts with declining an</w:t>
      </w:r>
      <w:r w:rsidR="006917B9">
        <w:rPr>
          <w:noProof/>
        </w:rPr>
        <w:t>nual education expenditure (2013 vs 2012</w:t>
      </w:r>
      <w:r w:rsidR="00430F92">
        <w:rPr>
          <w:noProof/>
        </w:rPr>
        <w:t>)</w:t>
      </w:r>
      <w:bookmarkEnd w:id="79"/>
      <w:bookmarkEnd w:id="80"/>
    </w:p>
    <w:p w:rsidR="00430F92" w:rsidRDefault="006917B9" w:rsidP="00402A11">
      <w:pPr>
        <w:spacing w:after="360"/>
        <w:jc w:val="center"/>
        <w:rPr>
          <w:noProof/>
        </w:rPr>
      </w:pPr>
      <w:r>
        <w:rPr>
          <w:noProof/>
          <w:lang w:val="en-AU" w:eastAsia="en-AU"/>
        </w:rPr>
        <w:drawing>
          <wp:inline distT="0" distB="0" distL="0" distR="0" wp14:anchorId="317021C9" wp14:editId="35CCE0BB">
            <wp:extent cx="5723509" cy="2876550"/>
            <wp:effectExtent l="19050" t="19050" r="10795" b="190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3415" cy="2881529"/>
                    </a:xfrm>
                    <a:prstGeom prst="rect">
                      <a:avLst/>
                    </a:prstGeom>
                    <a:noFill/>
                    <a:ln>
                      <a:solidFill>
                        <a:schemeClr val="accent1"/>
                      </a:solidFill>
                    </a:ln>
                  </pic:spPr>
                </pic:pic>
              </a:graphicData>
            </a:graphic>
          </wp:inline>
        </w:drawing>
      </w:r>
    </w:p>
    <w:p w:rsidR="00430F92" w:rsidRDefault="001A3FC6" w:rsidP="009A2DC1">
      <w:pPr>
        <w:pStyle w:val="Caption"/>
        <w:rPr>
          <w:noProof/>
        </w:rPr>
      </w:pPr>
      <w:bookmarkStart w:id="81" w:name="_Toc374182100"/>
      <w:r>
        <w:rPr>
          <w:noProof/>
        </w:rPr>
        <w:lastRenderedPageBreak/>
        <w:t xml:space="preserve"> </w:t>
      </w:r>
      <w:bookmarkStart w:id="82" w:name="_Toc414281559"/>
      <w:r w:rsidR="00430F92">
        <w:rPr>
          <w:noProof/>
        </w:rPr>
        <w:t>Component 2 districts with declining an</w:t>
      </w:r>
      <w:r w:rsidR="006917B9">
        <w:rPr>
          <w:noProof/>
        </w:rPr>
        <w:t>nual education expenditure (2013 vs 2012</w:t>
      </w:r>
      <w:r w:rsidR="00430F92">
        <w:rPr>
          <w:noProof/>
        </w:rPr>
        <w:t>)</w:t>
      </w:r>
      <w:bookmarkEnd w:id="81"/>
      <w:bookmarkEnd w:id="82"/>
    </w:p>
    <w:p w:rsidR="00430F92" w:rsidRDefault="006917B9" w:rsidP="00402A11">
      <w:pPr>
        <w:spacing w:after="360"/>
        <w:jc w:val="center"/>
        <w:rPr>
          <w:noProof/>
        </w:rPr>
      </w:pPr>
      <w:r>
        <w:rPr>
          <w:noProof/>
          <w:lang w:val="en-AU" w:eastAsia="en-AU"/>
        </w:rPr>
        <w:drawing>
          <wp:inline distT="0" distB="0" distL="0" distR="0" wp14:anchorId="0FD62F11" wp14:editId="26D85D71">
            <wp:extent cx="5734050" cy="2505075"/>
            <wp:effectExtent l="19050" t="19050" r="19050" b="285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3415" cy="2504798"/>
                    </a:xfrm>
                    <a:prstGeom prst="rect">
                      <a:avLst/>
                    </a:prstGeom>
                    <a:noFill/>
                    <a:ln>
                      <a:solidFill>
                        <a:schemeClr val="accent1"/>
                      </a:solidFill>
                    </a:ln>
                  </pic:spPr>
                </pic:pic>
              </a:graphicData>
            </a:graphic>
          </wp:inline>
        </w:drawing>
      </w:r>
    </w:p>
    <w:p w:rsidR="00430F92" w:rsidRDefault="00430F92" w:rsidP="009A2DC1">
      <w:pPr>
        <w:pStyle w:val="Caption"/>
        <w:rPr>
          <w:noProof/>
        </w:rPr>
      </w:pPr>
      <w:bookmarkStart w:id="83" w:name="_Toc374182101"/>
      <w:bookmarkStart w:id="84" w:name="_Toc414281560"/>
      <w:r>
        <w:rPr>
          <w:noProof/>
        </w:rPr>
        <w:t>Component 1 &amp; 2 districts with declining an</w:t>
      </w:r>
      <w:r w:rsidR="006917B9">
        <w:rPr>
          <w:noProof/>
        </w:rPr>
        <w:t>nual education expenditure (2013 vs 2012</w:t>
      </w:r>
      <w:r>
        <w:rPr>
          <w:noProof/>
        </w:rPr>
        <w:t>)</w:t>
      </w:r>
      <w:bookmarkEnd w:id="83"/>
      <w:bookmarkEnd w:id="84"/>
    </w:p>
    <w:p w:rsidR="00430F92" w:rsidRDefault="006917B9" w:rsidP="00402A11">
      <w:pPr>
        <w:spacing w:after="360"/>
        <w:jc w:val="center"/>
        <w:rPr>
          <w:noProof/>
        </w:rPr>
      </w:pPr>
      <w:r>
        <w:rPr>
          <w:noProof/>
          <w:lang w:val="en-AU" w:eastAsia="en-AU"/>
        </w:rPr>
        <w:drawing>
          <wp:inline distT="0" distB="0" distL="0" distR="0" wp14:anchorId="55858FB7" wp14:editId="7FE74D3F">
            <wp:extent cx="5734049" cy="2847975"/>
            <wp:effectExtent l="19050" t="19050" r="1968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3415" cy="2847660"/>
                    </a:xfrm>
                    <a:prstGeom prst="rect">
                      <a:avLst/>
                    </a:prstGeom>
                    <a:noFill/>
                    <a:ln>
                      <a:solidFill>
                        <a:schemeClr val="accent1"/>
                      </a:solidFill>
                    </a:ln>
                  </pic:spPr>
                </pic:pic>
              </a:graphicData>
            </a:graphic>
          </wp:inline>
        </w:drawing>
      </w:r>
    </w:p>
    <w:p w:rsidR="00430F92" w:rsidRDefault="004B15A5" w:rsidP="002E318D">
      <w:pPr>
        <w:spacing w:line="276" w:lineRule="auto"/>
        <w:jc w:val="both"/>
      </w:pPr>
      <w:r>
        <w:t xml:space="preserve">BEP districts had an average 10% </w:t>
      </w:r>
      <w:r w:rsidR="00430F92">
        <w:t xml:space="preserve">growth in education expenditures </w:t>
      </w:r>
      <w:r>
        <w:t>in 2013 (compared to 2012) which was below that of the non-BEP districts (14%).</w:t>
      </w:r>
      <w:r w:rsidR="00430F92">
        <w:t xml:space="preserve"> </w:t>
      </w:r>
    </w:p>
    <w:p w:rsidR="00430F92" w:rsidRDefault="00430F92" w:rsidP="009A2DC1">
      <w:pPr>
        <w:pStyle w:val="Caption"/>
      </w:pPr>
      <w:bookmarkStart w:id="85" w:name="_Toc374182072"/>
      <w:bookmarkStart w:id="86" w:name="_Toc414281561"/>
      <w:r w:rsidRPr="00C23B0F">
        <w:lastRenderedPageBreak/>
        <w:t xml:space="preserve">BEP </w:t>
      </w:r>
      <w:r>
        <w:t xml:space="preserve">and Non-BEP Districts - </w:t>
      </w:r>
      <w:r w:rsidRPr="006511D5">
        <w:t xml:space="preserve">Annual Growth in </w:t>
      </w:r>
      <w:r>
        <w:t>District Educat</w:t>
      </w:r>
      <w:r w:rsidR="00D55C93">
        <w:t>ion Expenditure, (APBD 2007-2013</w:t>
      </w:r>
      <w:r>
        <w:t>)</w:t>
      </w:r>
      <w:bookmarkEnd w:id="85"/>
      <w:bookmarkEnd w:id="86"/>
      <w:r>
        <w:t xml:space="preserve"> </w:t>
      </w:r>
    </w:p>
    <w:p w:rsidR="00430F92" w:rsidRDefault="00D55C93" w:rsidP="00402A11">
      <w:pPr>
        <w:spacing w:after="360"/>
        <w:jc w:val="center"/>
      </w:pPr>
      <w:r>
        <w:rPr>
          <w:noProof/>
          <w:lang w:val="en-AU" w:eastAsia="en-AU"/>
        </w:rPr>
        <w:drawing>
          <wp:inline distT="0" distB="0" distL="0" distR="0" wp14:anchorId="678B6E0F" wp14:editId="6B0A1F2C">
            <wp:extent cx="5733415" cy="3624016"/>
            <wp:effectExtent l="0" t="0" r="63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3415" cy="3624016"/>
                    </a:xfrm>
                    <a:prstGeom prst="rect">
                      <a:avLst/>
                    </a:prstGeom>
                    <a:noFill/>
                    <a:ln>
                      <a:noFill/>
                    </a:ln>
                  </pic:spPr>
                </pic:pic>
              </a:graphicData>
            </a:graphic>
          </wp:inline>
        </w:drawing>
      </w:r>
    </w:p>
    <w:p w:rsidR="00430F92" w:rsidRDefault="00DB6096" w:rsidP="002E318D">
      <w:pPr>
        <w:spacing w:line="276" w:lineRule="auto"/>
        <w:jc w:val="both"/>
      </w:pPr>
      <w:r>
        <w:t>In 2013 there were 62</w:t>
      </w:r>
      <w:r w:rsidR="00430F92">
        <w:t xml:space="preserve"> districts showing a decline in the education budget. This</w:t>
      </w:r>
      <w:r>
        <w:t xml:space="preserve"> is an improvement from 2012, where 97</w:t>
      </w:r>
      <w:r w:rsidR="00430F92">
        <w:t xml:space="preserve"> districts experienced a decline in annual educ</w:t>
      </w:r>
      <w:r>
        <w:t>ation budget allocation. In 2013</w:t>
      </w:r>
      <w:r w:rsidR="00430F92">
        <w:t xml:space="preserve">, </w:t>
      </w:r>
      <w:r>
        <w:t>12</w:t>
      </w:r>
      <w:r w:rsidR="00430F92">
        <w:t>% of districts showed a decline in budget commitment towards education</w:t>
      </w:r>
      <w:r>
        <w:t xml:space="preserve"> compared to 20% in 2012</w:t>
      </w:r>
      <w:r w:rsidR="00430F92">
        <w:t xml:space="preserve">. </w:t>
      </w:r>
    </w:p>
    <w:p w:rsidR="00430F92" w:rsidRDefault="00430F92" w:rsidP="009A2DC1">
      <w:pPr>
        <w:pStyle w:val="Caption"/>
      </w:pPr>
      <w:bookmarkStart w:id="87" w:name="_Toc374182074"/>
      <w:bookmarkStart w:id="88" w:name="_Toc414281562"/>
      <w:r>
        <w:t xml:space="preserve">Number of </w:t>
      </w:r>
      <w:r w:rsidRPr="00DA375B">
        <w:t xml:space="preserve">Districts, </w:t>
      </w:r>
      <w:r>
        <w:t xml:space="preserve">with Negative </w:t>
      </w:r>
      <w:r w:rsidRPr="00DA375B">
        <w:t>Annual Growth in AP</w:t>
      </w:r>
      <w:r w:rsidR="00D55C93">
        <w:t>BD Education Expenditure (2009-2013</w:t>
      </w:r>
      <w:r>
        <w:t>)</w:t>
      </w:r>
      <w:bookmarkEnd w:id="87"/>
      <w:bookmarkEnd w:id="88"/>
      <w:r>
        <w:t xml:space="preserve"> </w:t>
      </w:r>
    </w:p>
    <w:p w:rsidR="00430F92" w:rsidRDefault="00D55C93" w:rsidP="00402A11">
      <w:pPr>
        <w:spacing w:after="360"/>
        <w:jc w:val="center"/>
      </w:pPr>
      <w:r>
        <w:rPr>
          <w:noProof/>
          <w:lang w:val="en-AU" w:eastAsia="en-AU"/>
        </w:rPr>
        <w:drawing>
          <wp:inline distT="0" distB="0" distL="0" distR="0" wp14:anchorId="7E5AC022" wp14:editId="7A89E0CB">
            <wp:extent cx="5736540" cy="2592125"/>
            <wp:effectExtent l="19050" t="19050" r="17145" b="177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3415" cy="2590713"/>
                    </a:xfrm>
                    <a:prstGeom prst="rect">
                      <a:avLst/>
                    </a:prstGeom>
                    <a:noFill/>
                    <a:ln>
                      <a:solidFill>
                        <a:schemeClr val="accent1"/>
                      </a:solidFill>
                    </a:ln>
                  </pic:spPr>
                </pic:pic>
              </a:graphicData>
            </a:graphic>
          </wp:inline>
        </w:drawing>
      </w:r>
    </w:p>
    <w:p w:rsidR="006A4E0A" w:rsidRDefault="006A4E0A" w:rsidP="006A4E0A"/>
    <w:p w:rsidR="006A4E0A" w:rsidRDefault="00D40606" w:rsidP="00402A11">
      <w:pPr>
        <w:pStyle w:val="Heading3"/>
      </w:pPr>
      <w:r>
        <w:lastRenderedPageBreak/>
        <w:t>KPI 6</w:t>
      </w:r>
      <w:r w:rsidR="006A4E0A">
        <w:t xml:space="preserve">: </w:t>
      </w:r>
      <w:r w:rsidR="006A4E0A" w:rsidRPr="00024570">
        <w:t xml:space="preserve">Average District </w:t>
      </w:r>
      <w:r w:rsidR="006A4E0A">
        <w:t>Expenditure per S</w:t>
      </w:r>
      <w:r w:rsidR="006A4E0A" w:rsidRPr="00024570">
        <w:t>tudent</w:t>
      </w:r>
      <w:r w:rsidR="004971BD">
        <w:t xml:space="preserve"> </w:t>
      </w:r>
    </w:p>
    <w:p w:rsidR="006A4E0A" w:rsidRDefault="006A4E0A" w:rsidP="009A2DC1">
      <w:pPr>
        <w:pStyle w:val="Caption"/>
      </w:pPr>
      <w:bookmarkStart w:id="89" w:name="_Toc374182077"/>
      <w:bookmarkStart w:id="90" w:name="_Toc414281563"/>
      <w:r>
        <w:t>Average District Education Expendi</w:t>
      </w:r>
      <w:r w:rsidR="00D464B6">
        <w:t>ture per all Students, 2006-2013</w:t>
      </w:r>
      <w:r>
        <w:t xml:space="preserve"> (Rp</w:t>
      </w:r>
      <w:r w:rsidR="00837A39">
        <w:t>.</w:t>
      </w:r>
      <w:r>
        <w:t xml:space="preserve"> millions.)</w:t>
      </w:r>
      <w:bookmarkEnd w:id="89"/>
      <w:bookmarkEnd w:id="90"/>
    </w:p>
    <w:p w:rsidR="006A4E0A" w:rsidRDefault="003006F9" w:rsidP="00402A11">
      <w:pPr>
        <w:spacing w:after="360"/>
        <w:jc w:val="center"/>
      </w:pPr>
      <w:r>
        <w:rPr>
          <w:noProof/>
          <w:lang w:val="en-AU" w:eastAsia="en-AU"/>
        </w:rPr>
        <w:drawing>
          <wp:inline distT="0" distB="0" distL="0" distR="0" wp14:anchorId="1681C31C" wp14:editId="0B26CA4A">
            <wp:extent cx="5731765" cy="3343275"/>
            <wp:effectExtent l="19050" t="19050" r="2159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3415" cy="3344238"/>
                    </a:xfrm>
                    <a:prstGeom prst="rect">
                      <a:avLst/>
                    </a:prstGeom>
                    <a:noFill/>
                    <a:ln>
                      <a:solidFill>
                        <a:schemeClr val="accent1"/>
                      </a:solidFill>
                    </a:ln>
                  </pic:spPr>
                </pic:pic>
              </a:graphicData>
            </a:graphic>
          </wp:inline>
        </w:drawing>
      </w:r>
    </w:p>
    <w:tbl>
      <w:tblPr>
        <w:tblStyle w:val="TableGrid3"/>
        <w:tblW w:w="5000" w:type="pct"/>
        <w:jc w:val="center"/>
        <w:tblBorders>
          <w:top w:val="single" w:sz="12" w:space="0" w:color="auto"/>
          <w:left w:val="single" w:sz="12" w:space="0" w:color="auto"/>
          <w:bottom w:val="single" w:sz="12" w:space="0" w:color="auto"/>
          <w:right w:val="single" w:sz="12" w:space="0" w:color="auto"/>
        </w:tblBorders>
        <w:tblLayout w:type="fixed"/>
        <w:tblCellMar>
          <w:top w:w="28" w:type="dxa"/>
          <w:bottom w:w="28" w:type="dxa"/>
        </w:tblCellMar>
        <w:tblLook w:val="04A0" w:firstRow="1" w:lastRow="0" w:firstColumn="1" w:lastColumn="0" w:noHBand="0" w:noVBand="1"/>
      </w:tblPr>
      <w:tblGrid>
        <w:gridCol w:w="1849"/>
        <w:gridCol w:w="1849"/>
        <w:gridCol w:w="1849"/>
        <w:gridCol w:w="3698"/>
      </w:tblGrid>
      <w:tr w:rsidR="007F1806" w:rsidRPr="00402A11" w:rsidTr="005162C4">
        <w:trPr>
          <w:tblHeader/>
          <w:jc w:val="center"/>
        </w:trPr>
        <w:tc>
          <w:tcPr>
            <w:tcW w:w="1000" w:type="pct"/>
            <w:tcBorders>
              <w:top w:val="single" w:sz="12" w:space="0" w:color="auto"/>
              <w:bottom w:val="single" w:sz="4" w:space="0" w:color="auto"/>
              <w:right w:val="single" w:sz="4" w:space="0" w:color="FFFFFF" w:themeColor="background1"/>
            </w:tcBorders>
            <w:shd w:val="clear" w:color="auto" w:fill="003880"/>
            <w:vAlign w:val="center"/>
          </w:tcPr>
          <w:p w:rsidR="007F1806" w:rsidRPr="00402A11" w:rsidRDefault="00D40606" w:rsidP="00402A11">
            <w:pPr>
              <w:spacing w:after="0"/>
              <w:jc w:val="center"/>
              <w:rPr>
                <w:rFonts w:asciiTheme="minorHAnsi" w:hAnsiTheme="minorHAnsi" w:cstheme="minorHAnsi"/>
                <w:b/>
                <w:color w:val="FFFFFF" w:themeColor="background1"/>
                <w:sz w:val="20"/>
                <w:szCs w:val="20"/>
                <w:lang w:val="en-US"/>
              </w:rPr>
            </w:pPr>
            <w:r>
              <w:rPr>
                <w:rFonts w:asciiTheme="minorHAnsi" w:hAnsiTheme="minorHAnsi" w:cstheme="minorHAnsi"/>
                <w:b/>
                <w:color w:val="FFFFFF" w:themeColor="background1"/>
                <w:sz w:val="20"/>
                <w:szCs w:val="20"/>
                <w:lang w:val="en-US"/>
              </w:rPr>
              <w:t>KPI 6</w:t>
            </w:r>
          </w:p>
        </w:tc>
        <w:tc>
          <w:tcPr>
            <w:tcW w:w="7216" w:type="dxa"/>
            <w:gridSpan w:val="3"/>
            <w:tcBorders>
              <w:top w:val="single" w:sz="12" w:space="0" w:color="auto"/>
              <w:left w:val="single" w:sz="4" w:space="0" w:color="FFFFFF" w:themeColor="background1"/>
              <w:bottom w:val="single" w:sz="4" w:space="0" w:color="auto"/>
            </w:tcBorders>
            <w:shd w:val="clear" w:color="auto" w:fill="003880"/>
            <w:vAlign w:val="center"/>
          </w:tcPr>
          <w:p w:rsidR="007F1806" w:rsidRPr="00402A11" w:rsidRDefault="005162C4" w:rsidP="00402A11">
            <w:pPr>
              <w:spacing w:after="0"/>
              <w:jc w:val="center"/>
              <w:rPr>
                <w:rFonts w:asciiTheme="minorHAnsi" w:hAnsiTheme="minorHAnsi" w:cstheme="minorHAnsi"/>
                <w:b/>
                <w:bCs/>
                <w:color w:val="FFFFFF" w:themeColor="background1"/>
                <w:sz w:val="20"/>
                <w:szCs w:val="20"/>
                <w:lang w:val="en-US"/>
              </w:rPr>
            </w:pPr>
            <w:r w:rsidRPr="00402A11">
              <w:rPr>
                <w:rFonts w:asciiTheme="minorHAnsi" w:hAnsiTheme="minorHAnsi" w:cstheme="minorHAnsi"/>
                <w:b/>
                <w:bCs/>
                <w:color w:val="FFFFFF" w:themeColor="background1"/>
                <w:sz w:val="20"/>
                <w:szCs w:val="20"/>
                <w:lang w:val="en-US"/>
              </w:rPr>
              <w:t xml:space="preserve"> AVERAGE DISTRICT EXPENDITURE PER STUDENT</w:t>
            </w:r>
            <w:r w:rsidR="004971BD">
              <w:rPr>
                <w:rFonts w:asciiTheme="minorHAnsi" w:hAnsiTheme="minorHAnsi" w:cstheme="minorHAnsi"/>
                <w:b/>
                <w:bCs/>
                <w:color w:val="FFFFFF" w:themeColor="background1"/>
                <w:sz w:val="20"/>
                <w:szCs w:val="20"/>
                <w:lang w:val="en-US"/>
              </w:rPr>
              <w:t xml:space="preserve"> </w:t>
            </w:r>
          </w:p>
        </w:tc>
      </w:tr>
      <w:tr w:rsidR="007F1806" w:rsidRPr="00402A11" w:rsidTr="005162C4">
        <w:trPr>
          <w:tblHeader/>
          <w:jc w:val="center"/>
        </w:trPr>
        <w:tc>
          <w:tcPr>
            <w:tcW w:w="9019" w:type="dxa"/>
            <w:gridSpan w:val="4"/>
            <w:tcBorders>
              <w:top w:val="single" w:sz="4" w:space="0" w:color="auto"/>
            </w:tcBorders>
            <w:shd w:val="clear" w:color="auto" w:fill="68BAD6"/>
            <w:vAlign w:val="center"/>
          </w:tcPr>
          <w:p w:rsidR="007F1806" w:rsidRPr="00402A11" w:rsidRDefault="005162C4" w:rsidP="00402A11">
            <w:pPr>
              <w:spacing w:after="0"/>
              <w:jc w:val="center"/>
              <w:rPr>
                <w:rFonts w:asciiTheme="minorHAnsi" w:hAnsiTheme="minorHAnsi" w:cstheme="minorHAnsi"/>
                <w:b/>
                <w:color w:val="FFFFFF" w:themeColor="background1"/>
                <w:sz w:val="20"/>
                <w:szCs w:val="20"/>
                <w:lang w:val="en-US"/>
              </w:rPr>
            </w:pPr>
            <w:r w:rsidRPr="00402A11">
              <w:rPr>
                <w:rFonts w:asciiTheme="minorHAnsi" w:hAnsiTheme="minorHAnsi" w:cstheme="minorHAnsi"/>
                <w:b/>
                <w:sz w:val="20"/>
                <w:szCs w:val="20"/>
                <w:lang w:val="en-US"/>
              </w:rPr>
              <w:t>STATUS AND TRENDS</w:t>
            </w:r>
          </w:p>
        </w:tc>
      </w:tr>
      <w:tr w:rsidR="007F1806" w:rsidRPr="00402A11" w:rsidTr="005162C4">
        <w:trPr>
          <w:jc w:val="center"/>
        </w:trPr>
        <w:tc>
          <w:tcPr>
            <w:tcW w:w="1000" w:type="pct"/>
            <w:shd w:val="clear" w:color="auto" w:fill="BFBFBF" w:themeFill="background1" w:themeFillShade="BF"/>
            <w:vAlign w:val="center"/>
          </w:tcPr>
          <w:p w:rsidR="007F1806" w:rsidRPr="00402A11" w:rsidRDefault="007F1806" w:rsidP="00402A11">
            <w:pPr>
              <w:spacing w:after="0"/>
              <w:jc w:val="center"/>
              <w:rPr>
                <w:sz w:val="20"/>
                <w:szCs w:val="20"/>
                <w:lang w:val="en-AU"/>
              </w:rPr>
            </w:pPr>
            <w:r w:rsidRPr="00402A11">
              <w:rPr>
                <w:sz w:val="20"/>
                <w:szCs w:val="20"/>
                <w:lang w:val="en-AU"/>
              </w:rPr>
              <w:t>Result</w:t>
            </w:r>
          </w:p>
        </w:tc>
        <w:tc>
          <w:tcPr>
            <w:tcW w:w="1000" w:type="pct"/>
            <w:shd w:val="clear" w:color="auto" w:fill="92D050"/>
            <w:vAlign w:val="center"/>
          </w:tcPr>
          <w:p w:rsidR="007F1806" w:rsidRPr="00402A11" w:rsidRDefault="0072338D" w:rsidP="00402A11">
            <w:pPr>
              <w:spacing w:after="0"/>
              <w:jc w:val="center"/>
              <w:rPr>
                <w:sz w:val="20"/>
                <w:szCs w:val="20"/>
                <w:lang w:val="en-AU"/>
              </w:rPr>
            </w:pPr>
            <w:r w:rsidRPr="00402A11">
              <w:rPr>
                <w:sz w:val="20"/>
                <w:szCs w:val="20"/>
                <w:lang w:val="en-AU"/>
              </w:rPr>
              <w:t>Posi</w:t>
            </w:r>
            <w:r w:rsidR="007F1806" w:rsidRPr="00402A11">
              <w:rPr>
                <w:sz w:val="20"/>
                <w:szCs w:val="20"/>
                <w:lang w:val="en-AU"/>
              </w:rPr>
              <w:t>tive</w:t>
            </w:r>
          </w:p>
        </w:tc>
        <w:tc>
          <w:tcPr>
            <w:tcW w:w="1000" w:type="pct"/>
            <w:shd w:val="clear" w:color="auto" w:fill="BFBFBF" w:themeFill="background1" w:themeFillShade="BF"/>
            <w:vAlign w:val="center"/>
          </w:tcPr>
          <w:p w:rsidR="007F1806" w:rsidRPr="00402A11" w:rsidRDefault="007F1806" w:rsidP="00402A11">
            <w:pPr>
              <w:spacing w:after="0"/>
              <w:jc w:val="center"/>
              <w:rPr>
                <w:sz w:val="20"/>
                <w:szCs w:val="20"/>
                <w:lang w:val="en-AU"/>
              </w:rPr>
            </w:pPr>
            <w:r w:rsidRPr="00402A11">
              <w:rPr>
                <w:sz w:val="20"/>
                <w:szCs w:val="20"/>
                <w:lang w:val="en-AU"/>
              </w:rPr>
              <w:t>Data availability</w:t>
            </w:r>
          </w:p>
        </w:tc>
        <w:tc>
          <w:tcPr>
            <w:tcW w:w="3608" w:type="dxa"/>
            <w:vAlign w:val="center"/>
          </w:tcPr>
          <w:p w:rsidR="007F1806" w:rsidRPr="00402A11" w:rsidRDefault="008556EF" w:rsidP="008C1977">
            <w:pPr>
              <w:spacing w:after="0"/>
              <w:jc w:val="both"/>
              <w:rPr>
                <w:sz w:val="20"/>
                <w:szCs w:val="20"/>
                <w:lang w:val="en-AU"/>
              </w:rPr>
            </w:pPr>
            <w:r w:rsidRPr="008556EF">
              <w:rPr>
                <w:sz w:val="20"/>
                <w:szCs w:val="20"/>
                <w:lang w:val="en-AU"/>
              </w:rPr>
              <w:t>Financial data for 2013 was available for 496 districts and enrolment data for 490 districts.</w:t>
            </w:r>
          </w:p>
        </w:tc>
      </w:tr>
      <w:tr w:rsidR="007F1806" w:rsidRPr="00402A11" w:rsidTr="005162C4">
        <w:trPr>
          <w:jc w:val="center"/>
        </w:trPr>
        <w:tc>
          <w:tcPr>
            <w:tcW w:w="1000" w:type="pct"/>
            <w:shd w:val="clear" w:color="auto" w:fill="BFBFBF" w:themeFill="background1" w:themeFillShade="BF"/>
            <w:vAlign w:val="center"/>
          </w:tcPr>
          <w:p w:rsidR="007F1806" w:rsidRPr="00402A11" w:rsidRDefault="007F1806" w:rsidP="00402A11">
            <w:pPr>
              <w:spacing w:after="0"/>
              <w:jc w:val="center"/>
              <w:rPr>
                <w:sz w:val="20"/>
                <w:szCs w:val="20"/>
                <w:lang w:val="en-AU"/>
              </w:rPr>
            </w:pPr>
            <w:r w:rsidRPr="00402A11">
              <w:rPr>
                <w:sz w:val="20"/>
                <w:szCs w:val="20"/>
                <w:lang w:val="en-AU"/>
              </w:rPr>
              <w:t>Observations</w:t>
            </w:r>
          </w:p>
        </w:tc>
        <w:tc>
          <w:tcPr>
            <w:tcW w:w="7216" w:type="dxa"/>
            <w:gridSpan w:val="3"/>
            <w:vAlign w:val="center"/>
          </w:tcPr>
          <w:p w:rsidR="0072338D" w:rsidRPr="00CD59A5" w:rsidRDefault="0072338D" w:rsidP="005162C4">
            <w:pPr>
              <w:pStyle w:val="ListParagraph"/>
              <w:numPr>
                <w:ilvl w:val="0"/>
                <w:numId w:val="12"/>
              </w:numPr>
              <w:spacing w:after="60" w:line="240" w:lineRule="auto"/>
              <w:ind w:left="284" w:hanging="284"/>
              <w:contextualSpacing w:val="0"/>
              <w:jc w:val="both"/>
              <w:rPr>
                <w:sz w:val="20"/>
                <w:szCs w:val="20"/>
                <w:lang w:val="en-AU"/>
              </w:rPr>
            </w:pPr>
            <w:r w:rsidRPr="00CD59A5">
              <w:rPr>
                <w:sz w:val="20"/>
                <w:szCs w:val="20"/>
                <w:lang w:val="en-AU"/>
              </w:rPr>
              <w:t xml:space="preserve">Average expenditure per student across the country grew </w:t>
            </w:r>
            <w:r w:rsidR="00995BD1" w:rsidRPr="00CD59A5">
              <w:rPr>
                <w:sz w:val="20"/>
                <w:szCs w:val="20"/>
                <w:lang w:val="en-AU"/>
              </w:rPr>
              <w:t>at about the same rate as for 2012</w:t>
            </w:r>
            <w:r w:rsidRPr="00CD59A5">
              <w:rPr>
                <w:sz w:val="20"/>
                <w:szCs w:val="20"/>
                <w:lang w:val="en-AU"/>
              </w:rPr>
              <w:t>. Average education expenditure per student ha</w:t>
            </w:r>
            <w:r w:rsidR="00995BD1" w:rsidRPr="00CD59A5">
              <w:rPr>
                <w:sz w:val="20"/>
                <w:szCs w:val="20"/>
                <w:lang w:val="en-AU"/>
              </w:rPr>
              <w:t>s grown to Rp. 3.5 million in 2013, from an average Rp. 3.1 million in 2012</w:t>
            </w:r>
            <w:r w:rsidR="00AC5699" w:rsidRPr="00CD59A5">
              <w:rPr>
                <w:sz w:val="20"/>
                <w:szCs w:val="20"/>
                <w:lang w:val="en-AU"/>
              </w:rPr>
              <w:t xml:space="preserve"> (see Figure 3</w:t>
            </w:r>
            <w:r w:rsidR="00710F2F">
              <w:rPr>
                <w:sz w:val="20"/>
                <w:szCs w:val="20"/>
                <w:lang w:val="en-AU"/>
              </w:rPr>
              <w:t>1</w:t>
            </w:r>
            <w:r w:rsidR="00AC5699" w:rsidRPr="00CD59A5">
              <w:rPr>
                <w:sz w:val="20"/>
                <w:szCs w:val="20"/>
                <w:lang w:val="en-AU"/>
              </w:rPr>
              <w:t>, above)</w:t>
            </w:r>
            <w:r w:rsidRPr="00CD59A5">
              <w:rPr>
                <w:sz w:val="20"/>
                <w:szCs w:val="20"/>
                <w:lang w:val="en-AU"/>
              </w:rPr>
              <w:t xml:space="preserve">. </w:t>
            </w:r>
          </w:p>
          <w:p w:rsidR="0072338D" w:rsidRPr="00CD59A5" w:rsidRDefault="0072338D" w:rsidP="005162C4">
            <w:pPr>
              <w:pStyle w:val="ListParagraph"/>
              <w:numPr>
                <w:ilvl w:val="0"/>
                <w:numId w:val="12"/>
              </w:numPr>
              <w:spacing w:after="60" w:line="240" w:lineRule="auto"/>
              <w:ind w:left="284" w:hanging="284"/>
              <w:contextualSpacing w:val="0"/>
              <w:jc w:val="both"/>
              <w:rPr>
                <w:sz w:val="20"/>
                <w:szCs w:val="20"/>
                <w:lang w:val="en-AU"/>
              </w:rPr>
            </w:pPr>
            <w:r w:rsidRPr="00CD59A5">
              <w:rPr>
                <w:sz w:val="20"/>
                <w:szCs w:val="20"/>
                <w:lang w:val="en-AU"/>
              </w:rPr>
              <w:t>Average per student expenditure is higher in rur</w:t>
            </w:r>
            <w:r w:rsidR="00995BD1" w:rsidRPr="00CD59A5">
              <w:rPr>
                <w:sz w:val="20"/>
                <w:szCs w:val="20"/>
                <w:lang w:val="en-AU"/>
              </w:rPr>
              <w:t>al districts and reached Rp. 3.6 million per student in 2013 compared to Rp. 3.2</w:t>
            </w:r>
            <w:r w:rsidRPr="00CD59A5">
              <w:rPr>
                <w:sz w:val="20"/>
                <w:szCs w:val="20"/>
                <w:lang w:val="en-AU"/>
              </w:rPr>
              <w:t xml:space="preserve"> million per student in the urban areas.</w:t>
            </w:r>
          </w:p>
          <w:p w:rsidR="0072338D" w:rsidRPr="00CD59A5" w:rsidRDefault="0072338D" w:rsidP="005162C4">
            <w:pPr>
              <w:pStyle w:val="ListParagraph"/>
              <w:numPr>
                <w:ilvl w:val="0"/>
                <w:numId w:val="12"/>
              </w:numPr>
              <w:spacing w:after="60" w:line="240" w:lineRule="auto"/>
              <w:ind w:left="284" w:hanging="284"/>
              <w:contextualSpacing w:val="0"/>
              <w:jc w:val="both"/>
              <w:rPr>
                <w:sz w:val="20"/>
                <w:szCs w:val="20"/>
                <w:lang w:val="en-AU"/>
              </w:rPr>
            </w:pPr>
            <w:r w:rsidRPr="00CD59A5">
              <w:rPr>
                <w:sz w:val="20"/>
                <w:szCs w:val="20"/>
                <w:lang w:val="en-AU"/>
              </w:rPr>
              <w:t>Highest allocations per student are found in the poorest districts (q</w:t>
            </w:r>
            <w:r w:rsidR="00995BD1" w:rsidRPr="00CD59A5">
              <w:rPr>
                <w:sz w:val="20"/>
                <w:szCs w:val="20"/>
                <w:lang w:val="en-AU"/>
              </w:rPr>
              <w:t>uintile 5) at an average Rp. 3.8</w:t>
            </w:r>
            <w:r w:rsidRPr="00CD59A5">
              <w:rPr>
                <w:sz w:val="20"/>
                <w:szCs w:val="20"/>
                <w:lang w:val="en-AU"/>
              </w:rPr>
              <w:t xml:space="preserve"> million per student.</w:t>
            </w:r>
          </w:p>
          <w:p w:rsidR="0072338D" w:rsidRPr="00CD59A5" w:rsidRDefault="0072338D" w:rsidP="005162C4">
            <w:pPr>
              <w:pStyle w:val="ListParagraph"/>
              <w:numPr>
                <w:ilvl w:val="0"/>
                <w:numId w:val="12"/>
              </w:numPr>
              <w:spacing w:after="60" w:line="240" w:lineRule="auto"/>
              <w:ind w:left="284" w:hanging="284"/>
              <w:contextualSpacing w:val="0"/>
              <w:jc w:val="both"/>
              <w:rPr>
                <w:sz w:val="20"/>
                <w:szCs w:val="20"/>
                <w:lang w:val="en-AU"/>
              </w:rPr>
            </w:pPr>
            <w:r w:rsidRPr="00CD59A5">
              <w:rPr>
                <w:sz w:val="20"/>
                <w:szCs w:val="20"/>
                <w:lang w:val="en-AU"/>
              </w:rPr>
              <w:t xml:space="preserve"> The richest quintile districts are the outliers with per</w:t>
            </w:r>
            <w:r w:rsidR="00995BD1" w:rsidRPr="00CD59A5">
              <w:rPr>
                <w:sz w:val="20"/>
                <w:szCs w:val="20"/>
                <w:lang w:val="en-AU"/>
              </w:rPr>
              <w:t xml:space="preserve"> student expenditures at Rp. 3.1</w:t>
            </w:r>
            <w:r w:rsidRPr="00CD59A5">
              <w:rPr>
                <w:sz w:val="20"/>
                <w:szCs w:val="20"/>
                <w:lang w:val="en-AU"/>
              </w:rPr>
              <w:t xml:space="preserve"> million. The poorest district</w:t>
            </w:r>
            <w:r w:rsidR="00995BD1" w:rsidRPr="00CD59A5">
              <w:rPr>
                <w:sz w:val="20"/>
                <w:szCs w:val="20"/>
                <w:lang w:val="en-AU"/>
              </w:rPr>
              <w:t>s are on average allocating 23</w:t>
            </w:r>
            <w:r w:rsidRPr="00CD59A5">
              <w:rPr>
                <w:sz w:val="20"/>
                <w:szCs w:val="20"/>
                <w:lang w:val="en-AU"/>
              </w:rPr>
              <w:t xml:space="preserve">% more per student than the richest. </w:t>
            </w:r>
            <w:r w:rsidR="00995BD1" w:rsidRPr="00CD59A5">
              <w:rPr>
                <w:sz w:val="20"/>
                <w:szCs w:val="20"/>
                <w:lang w:val="en-AU"/>
              </w:rPr>
              <w:t>This is a consistent trend over time.</w:t>
            </w:r>
          </w:p>
          <w:p w:rsidR="0072338D" w:rsidRPr="00CD59A5" w:rsidRDefault="0072338D" w:rsidP="005162C4">
            <w:pPr>
              <w:pStyle w:val="ListParagraph"/>
              <w:numPr>
                <w:ilvl w:val="0"/>
                <w:numId w:val="12"/>
              </w:numPr>
              <w:spacing w:after="60" w:line="240" w:lineRule="auto"/>
              <w:ind w:left="284" w:hanging="284"/>
              <w:contextualSpacing w:val="0"/>
              <w:jc w:val="both"/>
              <w:rPr>
                <w:sz w:val="20"/>
                <w:szCs w:val="20"/>
                <w:lang w:val="en-AU"/>
              </w:rPr>
            </w:pPr>
            <w:r w:rsidRPr="00CD59A5">
              <w:rPr>
                <w:sz w:val="20"/>
                <w:szCs w:val="20"/>
                <w:lang w:val="en-AU"/>
              </w:rPr>
              <w:t>Districts in the far eastern region of the country tend to have significantly higher costs per student than districts in the western region because of the lower density of populations. Average</w:t>
            </w:r>
            <w:r w:rsidR="00AE0152">
              <w:rPr>
                <w:sz w:val="20"/>
                <w:szCs w:val="20"/>
                <w:lang w:val="en-AU"/>
              </w:rPr>
              <w:t xml:space="preserve"> expenditure per student in 2013</w:t>
            </w:r>
            <w:r w:rsidRPr="00CD59A5">
              <w:rPr>
                <w:sz w:val="20"/>
                <w:szCs w:val="20"/>
                <w:lang w:val="en-AU"/>
              </w:rPr>
              <w:t xml:space="preserve"> was again highest in the</w:t>
            </w:r>
            <w:r w:rsidR="00995BD1" w:rsidRPr="00CD59A5">
              <w:rPr>
                <w:sz w:val="20"/>
                <w:szCs w:val="20"/>
                <w:lang w:val="en-AU"/>
              </w:rPr>
              <w:t xml:space="preserve"> island groups of Papua (Rp. 6.2</w:t>
            </w:r>
            <w:r w:rsidRPr="00CD59A5">
              <w:rPr>
                <w:sz w:val="20"/>
                <w:szCs w:val="20"/>
                <w:lang w:val="en-AU"/>
              </w:rPr>
              <w:t xml:space="preserve"> </w:t>
            </w:r>
            <w:r w:rsidR="00995BD1" w:rsidRPr="00CD59A5">
              <w:rPr>
                <w:sz w:val="20"/>
                <w:szCs w:val="20"/>
                <w:lang w:val="en-AU"/>
              </w:rPr>
              <w:t>million) and Kalimantan (Rp. 5.7</w:t>
            </w:r>
            <w:r w:rsidRPr="00CD59A5">
              <w:rPr>
                <w:sz w:val="20"/>
                <w:szCs w:val="20"/>
                <w:lang w:val="en-AU"/>
              </w:rPr>
              <w:t xml:space="preserve"> million). Lowest expenditure by a considerable marg</w:t>
            </w:r>
            <w:r w:rsidR="00995BD1" w:rsidRPr="00CD59A5">
              <w:rPr>
                <w:sz w:val="20"/>
                <w:szCs w:val="20"/>
                <w:lang w:val="en-AU"/>
              </w:rPr>
              <w:t>in is found on Java with Rp. 2.9</w:t>
            </w:r>
            <w:r w:rsidRPr="00CD59A5">
              <w:rPr>
                <w:sz w:val="20"/>
                <w:szCs w:val="20"/>
                <w:lang w:val="en-AU"/>
              </w:rPr>
              <w:t xml:space="preserve"> million per student.</w:t>
            </w:r>
          </w:p>
          <w:p w:rsidR="00CD59A5" w:rsidRDefault="00995BD1" w:rsidP="005162C4">
            <w:pPr>
              <w:pStyle w:val="ListParagraph"/>
              <w:numPr>
                <w:ilvl w:val="0"/>
                <w:numId w:val="12"/>
              </w:numPr>
              <w:spacing w:after="60" w:line="240" w:lineRule="auto"/>
              <w:ind w:left="284" w:hanging="284"/>
              <w:contextualSpacing w:val="0"/>
              <w:jc w:val="both"/>
              <w:rPr>
                <w:sz w:val="20"/>
                <w:szCs w:val="20"/>
                <w:lang w:val="en-AU"/>
              </w:rPr>
            </w:pPr>
            <w:r w:rsidRPr="00CD59A5">
              <w:rPr>
                <w:sz w:val="20"/>
                <w:szCs w:val="20"/>
                <w:lang w:val="en-AU"/>
              </w:rPr>
              <w:t xml:space="preserve">Papua has again returned to growth in its education allocations after a contraction 2012. </w:t>
            </w:r>
          </w:p>
          <w:p w:rsidR="00356074" w:rsidRPr="00CD59A5" w:rsidRDefault="00356074" w:rsidP="005162C4">
            <w:pPr>
              <w:pStyle w:val="ListParagraph"/>
              <w:numPr>
                <w:ilvl w:val="0"/>
                <w:numId w:val="12"/>
              </w:numPr>
              <w:spacing w:after="60" w:line="240" w:lineRule="auto"/>
              <w:ind w:left="284" w:hanging="284"/>
              <w:contextualSpacing w:val="0"/>
              <w:jc w:val="both"/>
              <w:rPr>
                <w:sz w:val="20"/>
                <w:szCs w:val="20"/>
                <w:lang w:val="en-AU"/>
              </w:rPr>
            </w:pPr>
            <w:r>
              <w:rPr>
                <w:sz w:val="20"/>
                <w:szCs w:val="20"/>
                <w:lang w:val="en-AU"/>
              </w:rPr>
              <w:t xml:space="preserve">Papua had 13 districts </w:t>
            </w:r>
            <w:r w:rsidR="00951AB8">
              <w:rPr>
                <w:sz w:val="20"/>
                <w:szCs w:val="20"/>
                <w:lang w:val="en-AU"/>
              </w:rPr>
              <w:t>contract</w:t>
            </w:r>
            <w:r>
              <w:rPr>
                <w:sz w:val="20"/>
                <w:szCs w:val="20"/>
                <w:lang w:val="en-AU"/>
              </w:rPr>
              <w:t xml:space="preserve"> budget allocations in 2013. This was an improvement on 2012, when 17 districts showed a contraction on their previous year allocation.</w:t>
            </w:r>
          </w:p>
          <w:p w:rsidR="0072338D" w:rsidRPr="00CD59A5" w:rsidRDefault="0072338D" w:rsidP="005162C4">
            <w:pPr>
              <w:pStyle w:val="ListParagraph"/>
              <w:numPr>
                <w:ilvl w:val="0"/>
                <w:numId w:val="12"/>
              </w:numPr>
              <w:spacing w:after="60" w:line="240" w:lineRule="auto"/>
              <w:ind w:left="284" w:hanging="284"/>
              <w:contextualSpacing w:val="0"/>
              <w:jc w:val="both"/>
              <w:rPr>
                <w:sz w:val="20"/>
                <w:szCs w:val="20"/>
                <w:lang w:val="en-AU"/>
              </w:rPr>
            </w:pPr>
            <w:r w:rsidRPr="00CD59A5">
              <w:rPr>
                <w:sz w:val="20"/>
                <w:szCs w:val="20"/>
                <w:lang w:val="en-AU"/>
              </w:rPr>
              <w:lastRenderedPageBreak/>
              <w:t xml:space="preserve">The </w:t>
            </w:r>
            <w:r w:rsidR="00AC5699" w:rsidRPr="00CD59A5">
              <w:rPr>
                <w:sz w:val="20"/>
                <w:szCs w:val="20"/>
                <w:lang w:val="en-AU"/>
              </w:rPr>
              <w:t>‘</w:t>
            </w:r>
            <w:r w:rsidRPr="00CD59A5">
              <w:rPr>
                <w:sz w:val="20"/>
                <w:szCs w:val="20"/>
                <w:lang w:val="en-AU"/>
              </w:rPr>
              <w:t>per student allocation</w:t>
            </w:r>
            <w:r w:rsidR="00AC5699" w:rsidRPr="00CD59A5">
              <w:rPr>
                <w:sz w:val="20"/>
                <w:szCs w:val="20"/>
                <w:lang w:val="en-AU"/>
              </w:rPr>
              <w:t>’</w:t>
            </w:r>
            <w:r w:rsidRPr="00CD59A5">
              <w:rPr>
                <w:sz w:val="20"/>
                <w:szCs w:val="20"/>
                <w:lang w:val="en-AU"/>
              </w:rPr>
              <w:t xml:space="preserve"> is greatly affected by the spars</w:t>
            </w:r>
            <w:r w:rsidR="00837A39" w:rsidRPr="00CD59A5">
              <w:rPr>
                <w:sz w:val="20"/>
                <w:szCs w:val="20"/>
                <w:lang w:val="en-AU"/>
              </w:rPr>
              <w:t>eness</w:t>
            </w:r>
            <w:r w:rsidRPr="00CD59A5">
              <w:rPr>
                <w:sz w:val="20"/>
                <w:szCs w:val="20"/>
                <w:lang w:val="en-AU"/>
              </w:rPr>
              <w:t xml:space="preserve"> of population. More sparsely populated districts (such as those in the eastern region and many of those in the poorest quintile districts) have higher average salary costs. This is because of both lower student/teacher ratios and higher salary related costs associated with remote area allowances. </w:t>
            </w:r>
          </w:p>
          <w:p w:rsidR="007F1806" w:rsidRPr="00CD59A5" w:rsidRDefault="00CD59A5" w:rsidP="00CD59A5">
            <w:pPr>
              <w:pStyle w:val="ListParagraph"/>
              <w:numPr>
                <w:ilvl w:val="0"/>
                <w:numId w:val="12"/>
              </w:numPr>
              <w:spacing w:after="60" w:line="240" w:lineRule="auto"/>
              <w:ind w:left="284" w:hanging="284"/>
              <w:contextualSpacing w:val="0"/>
              <w:jc w:val="both"/>
              <w:rPr>
                <w:sz w:val="20"/>
                <w:szCs w:val="20"/>
                <w:lang w:val="en-AU"/>
              </w:rPr>
            </w:pPr>
            <w:r w:rsidRPr="00CD59A5">
              <w:rPr>
                <w:sz w:val="20"/>
                <w:szCs w:val="20"/>
                <w:lang w:val="en-AU"/>
              </w:rPr>
              <w:t xml:space="preserve">Sharper increases in funding in the poorest districts (compared to others) has given an equity lift to the slope of funding for the neediest. Wealthier districts are also on average receiving significantly less than others so that remains positive. </w:t>
            </w:r>
          </w:p>
        </w:tc>
      </w:tr>
      <w:tr w:rsidR="007F1806" w:rsidRPr="00402A11" w:rsidTr="005162C4">
        <w:trPr>
          <w:jc w:val="center"/>
        </w:trPr>
        <w:tc>
          <w:tcPr>
            <w:tcW w:w="1000" w:type="pct"/>
            <w:shd w:val="clear" w:color="auto" w:fill="BFBFBF" w:themeFill="background1" w:themeFillShade="BF"/>
            <w:vAlign w:val="center"/>
          </w:tcPr>
          <w:p w:rsidR="007F1806" w:rsidRPr="00402A11" w:rsidRDefault="007F1806" w:rsidP="00402A11">
            <w:pPr>
              <w:spacing w:after="0"/>
              <w:jc w:val="center"/>
              <w:rPr>
                <w:sz w:val="20"/>
                <w:szCs w:val="20"/>
                <w:lang w:val="en-AU"/>
              </w:rPr>
            </w:pPr>
            <w:r w:rsidRPr="00402A11">
              <w:rPr>
                <w:sz w:val="20"/>
                <w:szCs w:val="20"/>
                <w:lang w:val="en-AU"/>
              </w:rPr>
              <w:lastRenderedPageBreak/>
              <w:t>Observations about EP districts</w:t>
            </w:r>
          </w:p>
        </w:tc>
        <w:tc>
          <w:tcPr>
            <w:tcW w:w="7216" w:type="dxa"/>
            <w:gridSpan w:val="3"/>
            <w:vAlign w:val="center"/>
          </w:tcPr>
          <w:p w:rsidR="00876584" w:rsidRPr="00356074" w:rsidRDefault="00876584" w:rsidP="005162C4">
            <w:pPr>
              <w:pStyle w:val="ListParagraph"/>
              <w:numPr>
                <w:ilvl w:val="0"/>
                <w:numId w:val="12"/>
              </w:numPr>
              <w:spacing w:after="60" w:line="240" w:lineRule="auto"/>
              <w:ind w:left="284" w:hanging="284"/>
              <w:contextualSpacing w:val="0"/>
              <w:jc w:val="both"/>
              <w:rPr>
                <w:sz w:val="20"/>
                <w:szCs w:val="20"/>
                <w:lang w:val="en-AU"/>
              </w:rPr>
            </w:pPr>
            <w:r w:rsidRPr="00356074">
              <w:rPr>
                <w:sz w:val="20"/>
                <w:szCs w:val="20"/>
                <w:lang w:val="en-AU"/>
              </w:rPr>
              <w:t xml:space="preserve">District expenditure per student has been increasing across </w:t>
            </w:r>
            <w:r w:rsidR="00EC418C" w:rsidRPr="00356074">
              <w:rPr>
                <w:sz w:val="20"/>
                <w:szCs w:val="20"/>
                <w:lang w:val="en-AU"/>
              </w:rPr>
              <w:t xml:space="preserve">EP </w:t>
            </w:r>
            <w:r w:rsidRPr="00356074">
              <w:rPr>
                <w:sz w:val="20"/>
                <w:szCs w:val="20"/>
                <w:lang w:val="en-AU"/>
              </w:rPr>
              <w:t>participating and non-participating districts.</w:t>
            </w:r>
          </w:p>
          <w:p w:rsidR="00356074" w:rsidRPr="00356074" w:rsidRDefault="00356074" w:rsidP="005162C4">
            <w:pPr>
              <w:pStyle w:val="ListParagraph"/>
              <w:numPr>
                <w:ilvl w:val="0"/>
                <w:numId w:val="12"/>
              </w:numPr>
              <w:spacing w:after="60" w:line="240" w:lineRule="auto"/>
              <w:ind w:left="284" w:hanging="284"/>
              <w:contextualSpacing w:val="0"/>
              <w:jc w:val="both"/>
              <w:rPr>
                <w:sz w:val="20"/>
                <w:szCs w:val="20"/>
                <w:lang w:val="en-AU"/>
              </w:rPr>
            </w:pPr>
            <w:r w:rsidRPr="00356074">
              <w:rPr>
                <w:sz w:val="20"/>
                <w:szCs w:val="20"/>
                <w:lang w:val="en-AU"/>
              </w:rPr>
              <w:t>Non-participating districts have higher allocation per student (3.7 million) compared to EP districts.</w:t>
            </w:r>
          </w:p>
          <w:p w:rsidR="00356074" w:rsidRPr="00356074" w:rsidRDefault="00876584" w:rsidP="00356074">
            <w:pPr>
              <w:pStyle w:val="ListParagraph"/>
              <w:numPr>
                <w:ilvl w:val="0"/>
                <w:numId w:val="12"/>
              </w:numPr>
              <w:spacing w:after="60" w:line="240" w:lineRule="auto"/>
              <w:ind w:left="284" w:hanging="284"/>
              <w:contextualSpacing w:val="0"/>
              <w:jc w:val="both"/>
              <w:rPr>
                <w:sz w:val="20"/>
                <w:szCs w:val="20"/>
                <w:lang w:val="en-AU"/>
              </w:rPr>
            </w:pPr>
            <w:r w:rsidRPr="00356074">
              <w:rPr>
                <w:sz w:val="20"/>
                <w:szCs w:val="20"/>
                <w:lang w:val="en-AU"/>
              </w:rPr>
              <w:t xml:space="preserve">These </w:t>
            </w:r>
            <w:r w:rsidR="00066E98" w:rsidRPr="00356074">
              <w:rPr>
                <w:sz w:val="20"/>
                <w:szCs w:val="20"/>
                <w:lang w:val="en-AU"/>
              </w:rPr>
              <w:t xml:space="preserve">increases </w:t>
            </w:r>
            <w:r w:rsidRPr="00356074">
              <w:rPr>
                <w:sz w:val="20"/>
                <w:szCs w:val="20"/>
                <w:lang w:val="en-AU"/>
              </w:rPr>
              <w:t xml:space="preserve">disguise great internal variation </w:t>
            </w:r>
            <w:r w:rsidR="00066E98" w:rsidRPr="00356074">
              <w:rPr>
                <w:sz w:val="20"/>
                <w:szCs w:val="20"/>
                <w:lang w:val="en-AU"/>
              </w:rPr>
              <w:t xml:space="preserve">in </w:t>
            </w:r>
            <w:r w:rsidRPr="00356074">
              <w:rPr>
                <w:sz w:val="20"/>
                <w:szCs w:val="20"/>
                <w:lang w:val="en-AU"/>
              </w:rPr>
              <w:t>district allocat</w:t>
            </w:r>
            <w:r w:rsidR="00066E98" w:rsidRPr="00356074">
              <w:rPr>
                <w:sz w:val="20"/>
                <w:szCs w:val="20"/>
                <w:lang w:val="en-AU"/>
              </w:rPr>
              <w:t xml:space="preserve">ions. </w:t>
            </w:r>
            <w:r w:rsidR="00356074" w:rsidRPr="00356074">
              <w:rPr>
                <w:sz w:val="20"/>
                <w:szCs w:val="20"/>
                <w:lang w:val="en-AU"/>
              </w:rPr>
              <w:t xml:space="preserve">Forty one </w:t>
            </w:r>
            <w:r w:rsidR="00066E98" w:rsidRPr="00356074">
              <w:rPr>
                <w:sz w:val="20"/>
                <w:szCs w:val="20"/>
                <w:lang w:val="en-AU"/>
              </w:rPr>
              <w:t>EP</w:t>
            </w:r>
            <w:r w:rsidRPr="00356074">
              <w:rPr>
                <w:sz w:val="20"/>
                <w:szCs w:val="20"/>
                <w:lang w:val="en-AU"/>
              </w:rPr>
              <w:t xml:space="preserve"> districts allocat</w:t>
            </w:r>
            <w:r w:rsidR="00AC5699" w:rsidRPr="00356074">
              <w:rPr>
                <w:sz w:val="20"/>
                <w:szCs w:val="20"/>
                <w:lang w:val="en-AU"/>
              </w:rPr>
              <w:t>e</w:t>
            </w:r>
            <w:r w:rsidR="00356074" w:rsidRPr="00356074">
              <w:rPr>
                <w:sz w:val="20"/>
                <w:szCs w:val="20"/>
                <w:lang w:val="en-AU"/>
              </w:rPr>
              <w:t xml:space="preserve"> less than Rp. 2.6</w:t>
            </w:r>
            <w:r w:rsidRPr="00356074">
              <w:rPr>
                <w:sz w:val="20"/>
                <w:szCs w:val="20"/>
                <w:lang w:val="en-AU"/>
              </w:rPr>
              <w:t xml:space="preserve"> million per student</w:t>
            </w:r>
            <w:r w:rsidR="00356074" w:rsidRPr="00356074">
              <w:rPr>
                <w:sz w:val="20"/>
                <w:szCs w:val="20"/>
                <w:lang w:val="en-AU"/>
              </w:rPr>
              <w:t xml:space="preserve"> (25% the national average per student budget allocation)</w:t>
            </w:r>
            <w:r w:rsidRPr="00356074">
              <w:rPr>
                <w:sz w:val="20"/>
                <w:szCs w:val="20"/>
                <w:lang w:val="en-AU"/>
              </w:rPr>
              <w:t xml:space="preserve">. </w:t>
            </w:r>
          </w:p>
          <w:p w:rsidR="007F1806" w:rsidRPr="00356074" w:rsidRDefault="00356074" w:rsidP="00356074">
            <w:pPr>
              <w:pStyle w:val="ListParagraph"/>
              <w:numPr>
                <w:ilvl w:val="0"/>
                <w:numId w:val="12"/>
              </w:numPr>
              <w:spacing w:after="60" w:line="240" w:lineRule="auto"/>
              <w:ind w:left="284" w:hanging="284"/>
              <w:contextualSpacing w:val="0"/>
              <w:jc w:val="both"/>
              <w:rPr>
                <w:sz w:val="20"/>
                <w:szCs w:val="20"/>
                <w:lang w:val="en-AU"/>
              </w:rPr>
            </w:pPr>
            <w:r w:rsidRPr="00356074">
              <w:rPr>
                <w:sz w:val="20"/>
                <w:szCs w:val="20"/>
                <w:lang w:val="en-AU"/>
              </w:rPr>
              <w:t>On the other</w:t>
            </w:r>
            <w:r w:rsidR="00876584" w:rsidRPr="00356074">
              <w:rPr>
                <w:sz w:val="20"/>
                <w:szCs w:val="20"/>
                <w:lang w:val="en-AU"/>
              </w:rPr>
              <w:t xml:space="preserve"> side, 33 </w:t>
            </w:r>
            <w:r w:rsidR="00066E98" w:rsidRPr="00356074">
              <w:rPr>
                <w:sz w:val="20"/>
                <w:szCs w:val="20"/>
                <w:lang w:val="en-AU"/>
              </w:rPr>
              <w:t xml:space="preserve">EP </w:t>
            </w:r>
            <w:r w:rsidR="00876584" w:rsidRPr="00356074">
              <w:rPr>
                <w:sz w:val="20"/>
                <w:szCs w:val="20"/>
                <w:lang w:val="en-AU"/>
              </w:rPr>
              <w:t>districts allocat</w:t>
            </w:r>
            <w:r w:rsidR="00AC5699" w:rsidRPr="00356074">
              <w:rPr>
                <w:sz w:val="20"/>
                <w:szCs w:val="20"/>
                <w:lang w:val="en-AU"/>
              </w:rPr>
              <w:t>e</w:t>
            </w:r>
            <w:r w:rsidRPr="00356074">
              <w:rPr>
                <w:sz w:val="20"/>
                <w:szCs w:val="20"/>
                <w:lang w:val="en-AU"/>
              </w:rPr>
              <w:t xml:space="preserve"> above Rp. 7.0</w:t>
            </w:r>
            <w:r w:rsidR="00876584" w:rsidRPr="00356074">
              <w:rPr>
                <w:sz w:val="20"/>
                <w:szCs w:val="20"/>
                <w:lang w:val="en-AU"/>
              </w:rPr>
              <w:t xml:space="preserve"> million per student</w:t>
            </w:r>
            <w:r w:rsidR="00AC5699" w:rsidRPr="00356074">
              <w:rPr>
                <w:sz w:val="20"/>
                <w:szCs w:val="20"/>
                <w:lang w:val="en-AU"/>
              </w:rPr>
              <w:t>,</w:t>
            </w:r>
            <w:r w:rsidR="00876584" w:rsidRPr="00356074">
              <w:rPr>
                <w:sz w:val="20"/>
                <w:szCs w:val="20"/>
                <w:lang w:val="en-AU"/>
              </w:rPr>
              <w:t xml:space="preserve"> which is more than double the national average per student allocation for education.</w:t>
            </w:r>
          </w:p>
        </w:tc>
      </w:tr>
      <w:tr w:rsidR="007F1806" w:rsidRPr="00402A11" w:rsidTr="005162C4">
        <w:trPr>
          <w:jc w:val="center"/>
        </w:trPr>
        <w:tc>
          <w:tcPr>
            <w:tcW w:w="1000" w:type="pct"/>
            <w:shd w:val="clear" w:color="auto" w:fill="BFBFBF" w:themeFill="background1" w:themeFillShade="BF"/>
            <w:vAlign w:val="center"/>
          </w:tcPr>
          <w:p w:rsidR="007F1806" w:rsidRPr="00402A11" w:rsidRDefault="007F1806" w:rsidP="00402A11">
            <w:pPr>
              <w:spacing w:after="0"/>
              <w:jc w:val="center"/>
              <w:rPr>
                <w:sz w:val="20"/>
                <w:szCs w:val="20"/>
                <w:lang w:val="en-AU"/>
              </w:rPr>
            </w:pPr>
            <w:r w:rsidRPr="00402A11">
              <w:rPr>
                <w:sz w:val="20"/>
                <w:szCs w:val="20"/>
                <w:lang w:val="en-AU"/>
              </w:rPr>
              <w:t>Observations about AIBEP districts</w:t>
            </w:r>
          </w:p>
        </w:tc>
        <w:tc>
          <w:tcPr>
            <w:tcW w:w="7216" w:type="dxa"/>
            <w:gridSpan w:val="3"/>
            <w:vAlign w:val="center"/>
          </w:tcPr>
          <w:p w:rsidR="007F1806" w:rsidRPr="00951AB8" w:rsidRDefault="00876584" w:rsidP="005162C4">
            <w:pPr>
              <w:pStyle w:val="ListParagraph"/>
              <w:numPr>
                <w:ilvl w:val="0"/>
                <w:numId w:val="12"/>
              </w:numPr>
              <w:spacing w:after="60" w:line="240" w:lineRule="auto"/>
              <w:ind w:left="284" w:hanging="284"/>
              <w:contextualSpacing w:val="0"/>
              <w:jc w:val="both"/>
              <w:rPr>
                <w:sz w:val="20"/>
                <w:szCs w:val="20"/>
                <w:lang w:val="en-AU"/>
              </w:rPr>
            </w:pPr>
            <w:r w:rsidRPr="00951AB8">
              <w:rPr>
                <w:sz w:val="20"/>
                <w:szCs w:val="20"/>
                <w:lang w:val="en-AU"/>
              </w:rPr>
              <w:t xml:space="preserve">Per student expenditure in BEP districts has started from a higher base but consistently grown over time at a similar rate to the other non-BEP districts. </w:t>
            </w:r>
          </w:p>
        </w:tc>
      </w:tr>
      <w:tr w:rsidR="007F1806" w:rsidRPr="00402A11" w:rsidTr="005162C4">
        <w:trPr>
          <w:tblHeader/>
          <w:jc w:val="center"/>
        </w:trPr>
        <w:tc>
          <w:tcPr>
            <w:tcW w:w="9019" w:type="dxa"/>
            <w:gridSpan w:val="4"/>
            <w:shd w:val="clear" w:color="auto" w:fill="68BAD6"/>
            <w:vAlign w:val="center"/>
          </w:tcPr>
          <w:p w:rsidR="007F1806" w:rsidRPr="00402A11" w:rsidRDefault="005162C4" w:rsidP="00402A11">
            <w:pPr>
              <w:spacing w:after="0"/>
              <w:jc w:val="center"/>
              <w:rPr>
                <w:rFonts w:asciiTheme="minorHAnsi" w:hAnsiTheme="minorHAnsi" w:cstheme="minorHAnsi"/>
                <w:b/>
                <w:color w:val="FFFFFF" w:themeColor="background1"/>
                <w:sz w:val="20"/>
                <w:szCs w:val="20"/>
                <w:lang w:val="en-US"/>
              </w:rPr>
            </w:pPr>
            <w:r w:rsidRPr="00402A11">
              <w:rPr>
                <w:rFonts w:asciiTheme="minorHAnsi" w:hAnsiTheme="minorHAnsi" w:cstheme="minorHAnsi"/>
                <w:b/>
                <w:sz w:val="20"/>
                <w:szCs w:val="20"/>
                <w:lang w:val="en-US"/>
              </w:rPr>
              <w:t>IMPLICATIONS AND MATTERS ARISING</w:t>
            </w:r>
          </w:p>
        </w:tc>
      </w:tr>
      <w:tr w:rsidR="007F1806" w:rsidRPr="00402A11" w:rsidTr="005162C4">
        <w:trPr>
          <w:jc w:val="center"/>
        </w:trPr>
        <w:tc>
          <w:tcPr>
            <w:tcW w:w="1000" w:type="pct"/>
            <w:shd w:val="clear" w:color="auto" w:fill="BFBFBF" w:themeFill="background1" w:themeFillShade="BF"/>
            <w:vAlign w:val="center"/>
          </w:tcPr>
          <w:p w:rsidR="007F1806" w:rsidRPr="00402A11" w:rsidRDefault="007F1806" w:rsidP="00402A11">
            <w:pPr>
              <w:spacing w:after="0"/>
              <w:jc w:val="center"/>
              <w:rPr>
                <w:sz w:val="20"/>
                <w:szCs w:val="20"/>
                <w:lang w:val="en-AU"/>
              </w:rPr>
            </w:pPr>
            <w:r w:rsidRPr="00402A11">
              <w:rPr>
                <w:sz w:val="20"/>
                <w:szCs w:val="20"/>
                <w:lang w:val="en-AU"/>
              </w:rPr>
              <w:t>For the performance of the education sector</w:t>
            </w:r>
          </w:p>
        </w:tc>
        <w:tc>
          <w:tcPr>
            <w:tcW w:w="7216" w:type="dxa"/>
            <w:gridSpan w:val="3"/>
            <w:vAlign w:val="center"/>
          </w:tcPr>
          <w:p w:rsidR="001525EB" w:rsidRPr="001525EB" w:rsidRDefault="001525EB" w:rsidP="005162C4">
            <w:pPr>
              <w:pStyle w:val="ListParagraph"/>
              <w:numPr>
                <w:ilvl w:val="0"/>
                <w:numId w:val="12"/>
              </w:numPr>
              <w:spacing w:after="60" w:line="240" w:lineRule="auto"/>
              <w:ind w:left="284" w:hanging="284"/>
              <w:contextualSpacing w:val="0"/>
              <w:jc w:val="both"/>
              <w:rPr>
                <w:sz w:val="20"/>
                <w:szCs w:val="20"/>
                <w:lang w:val="en-AU"/>
              </w:rPr>
            </w:pPr>
            <w:r w:rsidRPr="001525EB">
              <w:rPr>
                <w:sz w:val="20"/>
                <w:szCs w:val="20"/>
                <w:lang w:val="en-AU"/>
              </w:rPr>
              <w:t xml:space="preserve">There is improvement in the number of Papua districts that are contracting the allocations but it would be helpful to understand why there are some that continue to contract. </w:t>
            </w:r>
          </w:p>
          <w:p w:rsidR="00AF53D4" w:rsidRDefault="0072338D" w:rsidP="001525EB">
            <w:pPr>
              <w:pStyle w:val="ListParagraph"/>
              <w:numPr>
                <w:ilvl w:val="0"/>
                <w:numId w:val="12"/>
              </w:numPr>
              <w:spacing w:after="60" w:line="240" w:lineRule="auto"/>
              <w:ind w:left="284" w:hanging="284"/>
              <w:contextualSpacing w:val="0"/>
              <w:jc w:val="both"/>
              <w:rPr>
                <w:sz w:val="20"/>
                <w:szCs w:val="20"/>
                <w:lang w:val="en-AU"/>
              </w:rPr>
            </w:pPr>
            <w:r w:rsidRPr="001525EB">
              <w:rPr>
                <w:sz w:val="20"/>
                <w:szCs w:val="20"/>
                <w:lang w:val="en-AU"/>
              </w:rPr>
              <w:t>To achieve better learning outcomes across the poorest districts, the district governments in poorest districts will need to grow their education spending more quickly and drive a stronger ‘equity slope’ in education funding distribution.</w:t>
            </w:r>
          </w:p>
          <w:p w:rsidR="001525EB" w:rsidRPr="001525EB" w:rsidRDefault="001525EB" w:rsidP="001525EB">
            <w:pPr>
              <w:pStyle w:val="ListParagraph"/>
              <w:numPr>
                <w:ilvl w:val="0"/>
                <w:numId w:val="12"/>
              </w:numPr>
              <w:spacing w:after="60" w:line="240" w:lineRule="auto"/>
              <w:ind w:left="284" w:hanging="284"/>
              <w:contextualSpacing w:val="0"/>
              <w:jc w:val="both"/>
              <w:rPr>
                <w:sz w:val="20"/>
                <w:szCs w:val="20"/>
                <w:lang w:val="en-AU"/>
              </w:rPr>
            </w:pPr>
            <w:r>
              <w:rPr>
                <w:sz w:val="20"/>
                <w:szCs w:val="20"/>
                <w:lang w:val="en-AU"/>
              </w:rPr>
              <w:t>Only one district (Pulau Moratai, Maluku) in 2013 registers on the composite indicator for Critical Education Funding Status as presenting strong negative readings across three indicators. This is down from six districts in 2012.</w:t>
            </w:r>
          </w:p>
        </w:tc>
      </w:tr>
      <w:tr w:rsidR="007F1806" w:rsidRPr="00402A11" w:rsidTr="005162C4">
        <w:trPr>
          <w:jc w:val="center"/>
        </w:trPr>
        <w:tc>
          <w:tcPr>
            <w:tcW w:w="1000" w:type="pct"/>
            <w:shd w:val="clear" w:color="auto" w:fill="BFBFBF" w:themeFill="background1" w:themeFillShade="BF"/>
            <w:vAlign w:val="center"/>
          </w:tcPr>
          <w:p w:rsidR="007F1806" w:rsidRPr="00402A11" w:rsidRDefault="007F1806" w:rsidP="00402A11">
            <w:pPr>
              <w:spacing w:after="0"/>
              <w:jc w:val="center"/>
              <w:rPr>
                <w:sz w:val="20"/>
                <w:szCs w:val="20"/>
                <w:lang w:val="en-AU"/>
              </w:rPr>
            </w:pPr>
            <w:r w:rsidRPr="00402A11">
              <w:rPr>
                <w:sz w:val="20"/>
                <w:szCs w:val="20"/>
                <w:lang w:val="en-AU"/>
              </w:rPr>
              <w:t>For the performance of the Education Partnership</w:t>
            </w:r>
          </w:p>
        </w:tc>
        <w:tc>
          <w:tcPr>
            <w:tcW w:w="7216" w:type="dxa"/>
            <w:gridSpan w:val="3"/>
            <w:vAlign w:val="center"/>
          </w:tcPr>
          <w:p w:rsidR="007F1806" w:rsidRPr="001525EB" w:rsidRDefault="006C136A" w:rsidP="005162C4">
            <w:pPr>
              <w:pStyle w:val="ListParagraph"/>
              <w:numPr>
                <w:ilvl w:val="0"/>
                <w:numId w:val="12"/>
              </w:numPr>
              <w:spacing w:after="60" w:line="240" w:lineRule="auto"/>
              <w:ind w:left="284" w:hanging="284"/>
              <w:contextualSpacing w:val="0"/>
              <w:jc w:val="both"/>
              <w:rPr>
                <w:sz w:val="20"/>
                <w:szCs w:val="20"/>
                <w:lang w:val="en-AU"/>
              </w:rPr>
            </w:pPr>
            <w:r w:rsidRPr="001525EB">
              <w:rPr>
                <w:sz w:val="20"/>
                <w:szCs w:val="20"/>
                <w:lang w:val="en-AU"/>
              </w:rPr>
              <w:t>Most EP districts are showing growth in per student allocations for education which provides a good financial base for further improvements.</w:t>
            </w:r>
          </w:p>
          <w:p w:rsidR="007F1806" w:rsidRPr="001525EB" w:rsidRDefault="001525EB" w:rsidP="001525EB">
            <w:pPr>
              <w:pStyle w:val="ListParagraph"/>
              <w:numPr>
                <w:ilvl w:val="0"/>
                <w:numId w:val="12"/>
              </w:numPr>
              <w:spacing w:after="60" w:line="240" w:lineRule="auto"/>
              <w:ind w:left="284" w:hanging="284"/>
              <w:contextualSpacing w:val="0"/>
              <w:jc w:val="both"/>
              <w:rPr>
                <w:sz w:val="20"/>
                <w:szCs w:val="20"/>
                <w:lang w:val="en-AU"/>
              </w:rPr>
            </w:pPr>
            <w:r w:rsidRPr="001525EB">
              <w:rPr>
                <w:sz w:val="20"/>
                <w:szCs w:val="20"/>
                <w:lang w:val="en-AU"/>
              </w:rPr>
              <w:t xml:space="preserve">Liaise with </w:t>
            </w:r>
            <w:r w:rsidR="006C136A" w:rsidRPr="001525EB">
              <w:rPr>
                <w:sz w:val="20"/>
                <w:szCs w:val="20"/>
                <w:lang w:val="en-AU"/>
              </w:rPr>
              <w:t>EP districts that have reduced their per student allocations</w:t>
            </w:r>
            <w:r w:rsidRPr="001525EB">
              <w:rPr>
                <w:sz w:val="20"/>
                <w:szCs w:val="20"/>
                <w:lang w:val="en-AU"/>
              </w:rPr>
              <w:t xml:space="preserve"> in 2013 to understand reasons and trend in 2014 and 2015</w:t>
            </w:r>
            <w:r w:rsidR="004A255B" w:rsidRPr="001525EB">
              <w:rPr>
                <w:sz w:val="20"/>
                <w:szCs w:val="20"/>
                <w:lang w:val="en-AU"/>
              </w:rPr>
              <w:t xml:space="preserve">. </w:t>
            </w:r>
          </w:p>
        </w:tc>
      </w:tr>
    </w:tbl>
    <w:p w:rsidR="007F1806" w:rsidRDefault="007F1806" w:rsidP="006A4E0A"/>
    <w:p w:rsidR="006A4E0A" w:rsidRPr="00382AD4" w:rsidRDefault="006A4E0A" w:rsidP="005162C4">
      <w:pPr>
        <w:spacing w:line="276" w:lineRule="auto"/>
        <w:jc w:val="both"/>
      </w:pPr>
      <w:r w:rsidRPr="00382AD4">
        <w:t xml:space="preserve">A more nuanced analysis of per student education expenditure looks at district expenditures per </w:t>
      </w:r>
      <w:r w:rsidR="0064471E">
        <w:t xml:space="preserve">student in </w:t>
      </w:r>
      <w:r w:rsidRPr="00382AD4">
        <w:t>public M</w:t>
      </w:r>
      <w:r w:rsidR="004A255B">
        <w:t>o</w:t>
      </w:r>
      <w:r w:rsidRPr="00382AD4">
        <w:t>EC school</w:t>
      </w:r>
      <w:r w:rsidR="0064471E">
        <w:t>s</w:t>
      </w:r>
      <w:r w:rsidRPr="00382AD4">
        <w:t>. This provides a more accurate measure because districts are only responsible for teacher salaries and other operational expenses of M</w:t>
      </w:r>
      <w:r w:rsidR="004A255B">
        <w:t>o</w:t>
      </w:r>
      <w:r w:rsidRPr="00382AD4">
        <w:t xml:space="preserve">EC public schools. By excluding private school students from per student calculations it is possible to remove the bias of different rates of enrolment in private schools across districts. </w:t>
      </w:r>
    </w:p>
    <w:p w:rsidR="006A4E0A" w:rsidRPr="00382AD4" w:rsidRDefault="006A4E0A" w:rsidP="005162C4">
      <w:pPr>
        <w:spacing w:line="276" w:lineRule="auto"/>
        <w:jc w:val="both"/>
      </w:pPr>
      <w:r w:rsidRPr="00382AD4">
        <w:t>The average education expendi</w:t>
      </w:r>
      <w:r w:rsidR="00E56640">
        <w:t>ture per public students in rural areas in 2013</w:t>
      </w:r>
      <w:r w:rsidRPr="00382AD4">
        <w:t xml:space="preserve"> was Rp. 4</w:t>
      </w:r>
      <w:r w:rsidR="00E56640">
        <w:t>.2</w:t>
      </w:r>
      <w:r w:rsidRPr="00382AD4">
        <w:t xml:space="preserve"> million per student (from a previous year average of Rp. 3</w:t>
      </w:r>
      <w:r w:rsidR="00E56640">
        <w:t>.8</w:t>
      </w:r>
      <w:r w:rsidRPr="00382AD4">
        <w:t xml:space="preserve"> million). Average </w:t>
      </w:r>
      <w:r w:rsidR="00E56640">
        <w:t xml:space="preserve">2013 </w:t>
      </w:r>
      <w:r w:rsidRPr="00382AD4">
        <w:t>expenditure per student for urban districts (Rp. 3.</w:t>
      </w:r>
      <w:r w:rsidR="00E56640">
        <w:t>5</w:t>
      </w:r>
      <w:r w:rsidRPr="00382AD4">
        <w:t xml:space="preserve"> million) remains very close to rural districts (Rp. 3.98 million). Because there are proportionately greater numbers of private school students in urban areas, this indicator neutralizes the trend of the broader indicator </w:t>
      </w:r>
      <w:r w:rsidRPr="00382AD4">
        <w:rPr>
          <w:i/>
        </w:rPr>
        <w:t>expenditure</w:t>
      </w:r>
      <w:r w:rsidRPr="00382AD4">
        <w:t xml:space="preserve"> </w:t>
      </w:r>
      <w:r w:rsidRPr="00382AD4">
        <w:rPr>
          <w:i/>
        </w:rPr>
        <w:t>per all students.</w:t>
      </w:r>
      <w:r w:rsidRPr="00382AD4">
        <w:t xml:space="preserve"> </w:t>
      </w:r>
    </w:p>
    <w:p w:rsidR="006A4E0A" w:rsidRDefault="006A4E0A" w:rsidP="009A2DC1">
      <w:pPr>
        <w:pStyle w:val="Caption"/>
      </w:pPr>
      <w:bookmarkStart w:id="91" w:name="_Toc374182078"/>
      <w:bookmarkStart w:id="92" w:name="_Toc414281564"/>
      <w:r>
        <w:lastRenderedPageBreak/>
        <w:t>Comparison - Expenditure per All Students vs. Expenditure per Public Students, (Rp. millions)</w:t>
      </w:r>
      <w:bookmarkEnd w:id="91"/>
      <w:bookmarkEnd w:id="92"/>
    </w:p>
    <w:p w:rsidR="006A4E0A" w:rsidRDefault="003006F9" w:rsidP="005162C4">
      <w:pPr>
        <w:spacing w:after="360"/>
        <w:jc w:val="center"/>
      </w:pPr>
      <w:r>
        <w:rPr>
          <w:noProof/>
          <w:lang w:val="en-AU" w:eastAsia="en-AU"/>
        </w:rPr>
        <w:drawing>
          <wp:inline distT="0" distB="0" distL="0" distR="0" wp14:anchorId="6A2B2670" wp14:editId="146E8150">
            <wp:extent cx="5731194" cy="2924175"/>
            <wp:effectExtent l="19050" t="19050" r="222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3415" cy="2925308"/>
                    </a:xfrm>
                    <a:prstGeom prst="rect">
                      <a:avLst/>
                    </a:prstGeom>
                    <a:noFill/>
                    <a:ln>
                      <a:solidFill>
                        <a:schemeClr val="accent1"/>
                      </a:solidFill>
                    </a:ln>
                  </pic:spPr>
                </pic:pic>
              </a:graphicData>
            </a:graphic>
          </wp:inline>
        </w:drawing>
      </w:r>
    </w:p>
    <w:p w:rsidR="006A4E0A" w:rsidRDefault="006A4E0A" w:rsidP="002E318D">
      <w:pPr>
        <w:spacing w:line="276" w:lineRule="auto"/>
        <w:jc w:val="both"/>
      </w:pPr>
      <w:r>
        <w:t>D</w:t>
      </w:r>
      <w:r w:rsidRPr="00ED5215">
        <w:t xml:space="preserve">istricts in the </w:t>
      </w:r>
      <w:r>
        <w:t xml:space="preserve">far </w:t>
      </w:r>
      <w:r w:rsidRPr="00ED5215">
        <w:t xml:space="preserve">eastern region of the country </w:t>
      </w:r>
      <w:r>
        <w:t xml:space="preserve">tend to </w:t>
      </w:r>
      <w:r w:rsidRPr="00ED5215">
        <w:t xml:space="preserve">have significantly higher costs per student than districts in the western region </w:t>
      </w:r>
      <w:r>
        <w:t xml:space="preserve">because of </w:t>
      </w:r>
      <w:r w:rsidRPr="00ED5215">
        <w:t xml:space="preserve">the lower density of populations. </w:t>
      </w:r>
      <w:r>
        <w:t>Average</w:t>
      </w:r>
      <w:r w:rsidR="00E56640">
        <w:t xml:space="preserve"> expenditure per student in 2013</w:t>
      </w:r>
      <w:r>
        <w:t xml:space="preserve"> was again highest in the</w:t>
      </w:r>
      <w:r w:rsidR="00E56640">
        <w:t xml:space="preserve"> island groups of Papua (Rp. 6.2</w:t>
      </w:r>
      <w:r>
        <w:t xml:space="preserve"> </w:t>
      </w:r>
      <w:r w:rsidR="00E56640">
        <w:t>million) and Kalimantan (Rp. 5.7</w:t>
      </w:r>
      <w:r>
        <w:t xml:space="preserve"> million). Lowest expenditure by a considerable marg</w:t>
      </w:r>
      <w:r w:rsidR="00E56640">
        <w:t>in is found on Java with Rp. 2.9</w:t>
      </w:r>
      <w:r>
        <w:t xml:space="preserve"> million per student. To some extent the lower unit costs in java reflect the population density which makes it easier to run schools at maximum capacity and consistently high student: teacher ratios.</w:t>
      </w:r>
    </w:p>
    <w:p w:rsidR="006A4E0A" w:rsidRDefault="006A4E0A" w:rsidP="009A2DC1">
      <w:pPr>
        <w:pStyle w:val="Caption"/>
      </w:pPr>
      <w:bookmarkStart w:id="93" w:name="_Toc374182082"/>
      <w:bookmarkStart w:id="94" w:name="_Toc414281565"/>
      <w:r>
        <w:lastRenderedPageBreak/>
        <w:t xml:space="preserve">Average APBD Education Expenditure per Student </w:t>
      </w:r>
      <w:r w:rsidR="00233537">
        <w:t>(Rp. millions)</w:t>
      </w:r>
      <w:r w:rsidR="00613AED">
        <w:t>, 2010-13</w:t>
      </w:r>
      <w:r>
        <w:t xml:space="preserve"> by Island</w:t>
      </w:r>
      <w:bookmarkEnd w:id="93"/>
      <w:bookmarkEnd w:id="94"/>
    </w:p>
    <w:p w:rsidR="006A4E0A" w:rsidRDefault="00CF6424" w:rsidP="005162C4">
      <w:pPr>
        <w:spacing w:after="360"/>
        <w:jc w:val="center"/>
        <w:rPr>
          <w:b/>
          <w:i/>
        </w:rPr>
      </w:pPr>
      <w:r>
        <w:rPr>
          <w:b/>
          <w:i/>
          <w:noProof/>
          <w:lang w:val="en-AU" w:eastAsia="en-AU"/>
        </w:rPr>
        <w:drawing>
          <wp:inline distT="0" distB="0" distL="0" distR="0" wp14:anchorId="6E639FBE" wp14:editId="7EF43960">
            <wp:extent cx="5733415" cy="4245630"/>
            <wp:effectExtent l="19050" t="19050" r="19685" b="215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3415" cy="4245630"/>
                    </a:xfrm>
                    <a:prstGeom prst="rect">
                      <a:avLst/>
                    </a:prstGeom>
                    <a:noFill/>
                    <a:ln>
                      <a:solidFill>
                        <a:schemeClr val="accent1"/>
                      </a:solidFill>
                    </a:ln>
                  </pic:spPr>
                </pic:pic>
              </a:graphicData>
            </a:graphic>
          </wp:inline>
        </w:drawing>
      </w:r>
    </w:p>
    <w:p w:rsidR="006A4E0A" w:rsidRDefault="00E46A73" w:rsidP="002E318D">
      <w:pPr>
        <w:spacing w:line="276" w:lineRule="auto"/>
        <w:jc w:val="both"/>
      </w:pPr>
      <w:r>
        <w:t>P</w:t>
      </w:r>
      <w:r w:rsidR="00E56640">
        <w:t xml:space="preserve">ositive change in 2013 </w:t>
      </w:r>
      <w:r>
        <w:t xml:space="preserve">is shown by (i) average expenditure per student for education that increased again in Papua districts (after contracting in 2012), and (ii) fewer Papua districts reduced their </w:t>
      </w:r>
      <w:r w:rsidR="006A4E0A">
        <w:t>annual per student allocation</w:t>
      </w:r>
      <w:r w:rsidR="00E56640">
        <w:t xml:space="preserve"> </w:t>
      </w:r>
      <w:r>
        <w:t xml:space="preserve">compared to the </w:t>
      </w:r>
      <w:r w:rsidR="00E56640">
        <w:t>previous year</w:t>
      </w:r>
      <w:r w:rsidR="006A4E0A">
        <w:t xml:space="preserve">. </w:t>
      </w:r>
    </w:p>
    <w:p w:rsidR="006A4E0A" w:rsidRDefault="006A4E0A" w:rsidP="002E318D">
      <w:pPr>
        <w:spacing w:line="276" w:lineRule="auto"/>
        <w:jc w:val="both"/>
      </w:pPr>
      <w:r>
        <w:t>The table below presents a breakdown of the average annual growth in district education budgets within the Papua island group. It shows that with the exception of Kota Sorong in one year (2010) the annual decline in district education budgets has only occurred in the poorest quintile districts. In 2012, seventeen (17) of the poorest districts in Papua (from a total 41 districts) showed an annual decline in their allocations for education.</w:t>
      </w:r>
    </w:p>
    <w:p w:rsidR="00E46A73" w:rsidRDefault="00E46A73" w:rsidP="002E318D">
      <w:pPr>
        <w:spacing w:line="276" w:lineRule="auto"/>
        <w:jc w:val="both"/>
      </w:pPr>
      <w:r>
        <w:t>When we turn to 2013, we see that 13 districts had negative growth compared to the previous year</w:t>
      </w:r>
      <w:r w:rsidR="00113D10">
        <w:t>, which i</w:t>
      </w:r>
      <w:r w:rsidR="00AE0152">
        <w:t xml:space="preserve">s still high but a reduction from </w:t>
      </w:r>
      <w:r w:rsidR="00113D10">
        <w:t>the 17 with declining allocations in 2012</w:t>
      </w:r>
      <w:r>
        <w:t>.</w:t>
      </w:r>
    </w:p>
    <w:p w:rsidR="006A4E0A" w:rsidRDefault="006A4E0A" w:rsidP="009A2DC1">
      <w:pPr>
        <w:pStyle w:val="Caption"/>
      </w:pPr>
      <w:bookmarkStart w:id="95" w:name="_Toc374182083"/>
      <w:bookmarkStart w:id="96" w:name="_Toc414281566"/>
      <w:r>
        <w:lastRenderedPageBreak/>
        <w:t>Papua: Average Annual Growth in District Education Budget,</w:t>
      </w:r>
      <w:r w:rsidR="00233537">
        <w:t xml:space="preserve"> (Rp. millions)</w:t>
      </w:r>
      <w:r>
        <w:t xml:space="preserve"> 2010-1</w:t>
      </w:r>
      <w:bookmarkEnd w:id="95"/>
      <w:r w:rsidR="00F63640">
        <w:t>3</w:t>
      </w:r>
      <w:bookmarkEnd w:id="96"/>
    </w:p>
    <w:p w:rsidR="006A4E0A" w:rsidRDefault="000D29AF" w:rsidP="005162C4">
      <w:pPr>
        <w:spacing w:after="360"/>
        <w:jc w:val="center"/>
        <w:rPr>
          <w:b/>
          <w:i/>
        </w:rPr>
      </w:pPr>
      <w:r>
        <w:rPr>
          <w:b/>
          <w:i/>
          <w:noProof/>
          <w:lang w:val="en-AU" w:eastAsia="en-AU"/>
        </w:rPr>
        <w:drawing>
          <wp:inline distT="0" distB="0" distL="0" distR="0" wp14:anchorId="7A4A13BA" wp14:editId="06E3D084">
            <wp:extent cx="5733415" cy="5159476"/>
            <wp:effectExtent l="0" t="0" r="635"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3415" cy="5159476"/>
                    </a:xfrm>
                    <a:prstGeom prst="rect">
                      <a:avLst/>
                    </a:prstGeom>
                    <a:noFill/>
                    <a:ln>
                      <a:noFill/>
                    </a:ln>
                  </pic:spPr>
                </pic:pic>
              </a:graphicData>
            </a:graphic>
          </wp:inline>
        </w:drawing>
      </w:r>
    </w:p>
    <w:p w:rsidR="00AF53D4" w:rsidRPr="00725F33" w:rsidRDefault="00AF53D4" w:rsidP="002E318D">
      <w:pPr>
        <w:spacing w:line="276" w:lineRule="auto"/>
        <w:jc w:val="both"/>
      </w:pPr>
      <w:r>
        <w:t>District expenditure per student has been increasing across EP districts</w:t>
      </w:r>
      <w:r w:rsidR="00113D10">
        <w:t xml:space="preserve"> and others. By 2013</w:t>
      </w:r>
      <w:r>
        <w:t>, the non-participating districts had a higher average a</w:t>
      </w:r>
      <w:r w:rsidR="00113D10">
        <w:t>llocation for education (Rp. 3.7</w:t>
      </w:r>
      <w:r>
        <w:t xml:space="preserve"> mill.) compared to participa</w:t>
      </w:r>
      <w:r w:rsidR="00113D10">
        <w:t>ting districts (Rp. 3.1 – 3.6</w:t>
      </w:r>
      <w:r>
        <w:t xml:space="preserve"> mill.).</w:t>
      </w:r>
    </w:p>
    <w:p w:rsidR="00AF53D4" w:rsidRDefault="00AF53D4" w:rsidP="009A2DC1">
      <w:pPr>
        <w:pStyle w:val="Caption"/>
      </w:pPr>
      <w:bookmarkStart w:id="97" w:name="_Toc374182102"/>
      <w:bookmarkStart w:id="98" w:name="_Toc414281567"/>
      <w:r>
        <w:lastRenderedPageBreak/>
        <w:t xml:space="preserve">Average District Expenditure per Student, </w:t>
      </w:r>
      <w:r w:rsidR="00846B0E">
        <w:t>EP Districts and Others</w:t>
      </w:r>
      <w:bookmarkEnd w:id="97"/>
      <w:r w:rsidR="00233537">
        <w:t xml:space="preserve"> (Rp. millions)</w:t>
      </w:r>
      <w:bookmarkEnd w:id="98"/>
    </w:p>
    <w:p w:rsidR="00AF53D4" w:rsidRPr="000C07FE" w:rsidRDefault="000D29AF" w:rsidP="005162C4">
      <w:pPr>
        <w:spacing w:after="360"/>
        <w:jc w:val="center"/>
      </w:pPr>
      <w:r>
        <w:rPr>
          <w:noProof/>
          <w:lang w:val="en-AU" w:eastAsia="en-AU"/>
        </w:rPr>
        <w:drawing>
          <wp:inline distT="0" distB="0" distL="0" distR="0" wp14:anchorId="6CC31ADD" wp14:editId="13EA71FF">
            <wp:extent cx="5734050" cy="3228975"/>
            <wp:effectExtent l="19050" t="19050" r="19050" b="285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3415" cy="3228617"/>
                    </a:xfrm>
                    <a:prstGeom prst="rect">
                      <a:avLst/>
                    </a:prstGeom>
                    <a:noFill/>
                    <a:ln>
                      <a:solidFill>
                        <a:schemeClr val="accent1"/>
                      </a:solidFill>
                    </a:ln>
                  </pic:spPr>
                </pic:pic>
              </a:graphicData>
            </a:graphic>
          </wp:inline>
        </w:drawing>
      </w:r>
    </w:p>
    <w:p w:rsidR="00AF53D4" w:rsidRDefault="00AF53D4" w:rsidP="002E318D">
      <w:pPr>
        <w:spacing w:line="276" w:lineRule="auto"/>
        <w:jc w:val="both"/>
        <w:rPr>
          <w:noProof/>
        </w:rPr>
      </w:pPr>
      <w:r>
        <w:rPr>
          <w:noProof/>
        </w:rPr>
        <w:t>These averages disguise great internal variation district allocations. For operational purposes it may be useful to identify the low and high end outliers in terms of per student allocations. Compared</w:t>
      </w:r>
      <w:r w:rsidR="0090595A">
        <w:rPr>
          <w:noProof/>
        </w:rPr>
        <w:t xml:space="preserve"> to the national average Rp. 3.5</w:t>
      </w:r>
      <w:r>
        <w:rPr>
          <w:noProof/>
        </w:rPr>
        <w:t xml:space="preserve"> million allo</w:t>
      </w:r>
      <w:r w:rsidR="0090595A">
        <w:rPr>
          <w:noProof/>
        </w:rPr>
        <w:t>cation per student, there are 41</w:t>
      </w:r>
      <w:r>
        <w:rPr>
          <w:noProof/>
        </w:rPr>
        <w:t xml:space="preserve"> EP disricts allocating less than Rp</w:t>
      </w:r>
      <w:r w:rsidRPr="001525EB">
        <w:rPr>
          <w:noProof/>
        </w:rPr>
        <w:t>. 2.</w:t>
      </w:r>
      <w:r w:rsidR="0090595A" w:rsidRPr="001525EB">
        <w:rPr>
          <w:noProof/>
        </w:rPr>
        <w:t>63</w:t>
      </w:r>
      <w:r w:rsidRPr="001525EB">
        <w:rPr>
          <w:noProof/>
        </w:rPr>
        <w:t xml:space="preserve"> million</w:t>
      </w:r>
      <w:r w:rsidR="0090595A">
        <w:rPr>
          <w:noProof/>
        </w:rPr>
        <w:t xml:space="preserve"> per student (which is less than 75% the national average expenditure per student)</w:t>
      </w:r>
      <w:r>
        <w:rPr>
          <w:noProof/>
        </w:rPr>
        <w:t>.</w:t>
      </w:r>
    </w:p>
    <w:p w:rsidR="00AF53D4" w:rsidRDefault="00AF53D4" w:rsidP="002E318D">
      <w:pPr>
        <w:spacing w:line="276" w:lineRule="auto"/>
        <w:jc w:val="both"/>
        <w:rPr>
          <w:noProof/>
        </w:rPr>
      </w:pPr>
      <w:r>
        <w:rPr>
          <w:noProof/>
        </w:rPr>
        <w:t xml:space="preserve">Some caution needs to be exercised in interpreting these figures. A high percentage of student enrolments in the private school sector will provide a misleadingly low estimate </w:t>
      </w:r>
      <w:r w:rsidR="00CA4BF3">
        <w:rPr>
          <w:noProof/>
        </w:rPr>
        <w:t xml:space="preserve">of </w:t>
      </w:r>
      <w:r>
        <w:rPr>
          <w:noProof/>
        </w:rPr>
        <w:t xml:space="preserve">the actual financing for schools. The private school enrolments are likely to have the biggest impact in the richest urban districts with a likely higher share of well resourced private schools. The </w:t>
      </w:r>
      <w:r w:rsidR="00CA4BF3">
        <w:rPr>
          <w:noProof/>
        </w:rPr>
        <w:t>table below shows there are nine districts (out of 41</w:t>
      </w:r>
      <w:r>
        <w:rPr>
          <w:noProof/>
        </w:rPr>
        <w:t xml:space="preserve">) which are in the richest quintile </w:t>
      </w:r>
      <w:r w:rsidR="00CA4BF3">
        <w:rPr>
          <w:noProof/>
        </w:rPr>
        <w:t>and committing less than Rp. 2.63</w:t>
      </w:r>
      <w:r>
        <w:rPr>
          <w:noProof/>
        </w:rPr>
        <w:t xml:space="preserve"> million per student. </w:t>
      </w:r>
    </w:p>
    <w:p w:rsidR="00CA4BF3" w:rsidRDefault="00CA4BF3" w:rsidP="002E318D">
      <w:pPr>
        <w:spacing w:line="276" w:lineRule="auto"/>
        <w:jc w:val="both"/>
        <w:rPr>
          <w:noProof/>
        </w:rPr>
      </w:pPr>
    </w:p>
    <w:p w:rsidR="00AF53D4" w:rsidRPr="001525EB" w:rsidRDefault="00AF53D4" w:rsidP="009A2DC1">
      <w:pPr>
        <w:pStyle w:val="Caption"/>
      </w:pPr>
      <w:bookmarkStart w:id="99" w:name="_Toc374182103"/>
      <w:bookmarkStart w:id="100" w:name="_Toc414281568"/>
      <w:r w:rsidRPr="001525EB">
        <w:lastRenderedPageBreak/>
        <w:t>EP Districts with Low Expenditure per Student, 201</w:t>
      </w:r>
      <w:bookmarkEnd w:id="99"/>
      <w:r w:rsidR="00883BA1">
        <w:t>3</w:t>
      </w:r>
      <w:r w:rsidR="00233537" w:rsidRPr="001525EB">
        <w:t xml:space="preserve"> (Rp. </w:t>
      </w:r>
      <w:r w:rsidR="00CA4BF3" w:rsidRPr="001525EB">
        <w:t xml:space="preserve">Less than 2.63 </w:t>
      </w:r>
      <w:r w:rsidR="00233537" w:rsidRPr="001525EB">
        <w:t>million)</w:t>
      </w:r>
      <w:bookmarkEnd w:id="100"/>
    </w:p>
    <w:p w:rsidR="00AF53D4" w:rsidRPr="00CA4BF3" w:rsidRDefault="00CA4BF3" w:rsidP="005162C4">
      <w:pPr>
        <w:spacing w:after="360"/>
        <w:jc w:val="center"/>
        <w:rPr>
          <w:noProof/>
          <w:lang w:val="en-GB"/>
        </w:rPr>
      </w:pPr>
      <w:r>
        <w:rPr>
          <w:noProof/>
          <w:lang w:val="en-AU" w:eastAsia="en-AU"/>
        </w:rPr>
        <w:drawing>
          <wp:inline distT="0" distB="0" distL="0" distR="0" wp14:anchorId="2423F1B8" wp14:editId="11FCEE86">
            <wp:extent cx="5733415" cy="5304295"/>
            <wp:effectExtent l="19050" t="19050" r="19685"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3415" cy="5304295"/>
                    </a:xfrm>
                    <a:prstGeom prst="rect">
                      <a:avLst/>
                    </a:prstGeom>
                    <a:solidFill>
                      <a:schemeClr val="accent1"/>
                    </a:solidFill>
                    <a:ln>
                      <a:solidFill>
                        <a:schemeClr val="accent1"/>
                      </a:solidFill>
                    </a:ln>
                  </pic:spPr>
                </pic:pic>
              </a:graphicData>
            </a:graphic>
          </wp:inline>
        </w:drawing>
      </w:r>
    </w:p>
    <w:p w:rsidR="00AF53D4" w:rsidRDefault="00AF53D4" w:rsidP="002E318D">
      <w:pPr>
        <w:spacing w:line="276" w:lineRule="auto"/>
        <w:jc w:val="both"/>
        <w:rPr>
          <w:noProof/>
        </w:rPr>
      </w:pPr>
      <w:r>
        <w:rPr>
          <w:noProof/>
        </w:rPr>
        <w:t>Conversely, there are 33 EP districts that are allo</w:t>
      </w:r>
      <w:r w:rsidR="00CA4BF3">
        <w:rPr>
          <w:noProof/>
        </w:rPr>
        <w:t xml:space="preserve">cating more than Rp. 7 million per student which is more than double </w:t>
      </w:r>
      <w:r>
        <w:rPr>
          <w:noProof/>
        </w:rPr>
        <w:t xml:space="preserve">the national average per student allocation for education. </w:t>
      </w:r>
    </w:p>
    <w:p w:rsidR="00AF53D4" w:rsidRDefault="00AF53D4" w:rsidP="009A2DC1">
      <w:pPr>
        <w:pStyle w:val="Caption"/>
        <w:rPr>
          <w:noProof/>
        </w:rPr>
      </w:pPr>
      <w:bookmarkStart w:id="101" w:name="_Toc374182104"/>
      <w:bookmarkStart w:id="102" w:name="_Toc414281569"/>
      <w:r>
        <w:lastRenderedPageBreak/>
        <w:t>EP Districts</w:t>
      </w:r>
      <w:r>
        <w:rPr>
          <w:noProof/>
        </w:rPr>
        <w:t xml:space="preserve"> with very high per student expenditure, 201</w:t>
      </w:r>
      <w:bookmarkEnd w:id="101"/>
      <w:r w:rsidR="00CA4BF3">
        <w:rPr>
          <w:noProof/>
        </w:rPr>
        <w:t>3</w:t>
      </w:r>
      <w:r w:rsidR="00233537">
        <w:rPr>
          <w:noProof/>
        </w:rPr>
        <w:t xml:space="preserve"> </w:t>
      </w:r>
      <w:r w:rsidR="00233537">
        <w:t>(Rp. millions)</w:t>
      </w:r>
      <w:bookmarkEnd w:id="102"/>
    </w:p>
    <w:p w:rsidR="00AF53D4" w:rsidRDefault="00F63640" w:rsidP="005162C4">
      <w:pPr>
        <w:spacing w:after="360"/>
        <w:jc w:val="center"/>
        <w:rPr>
          <w:noProof/>
        </w:rPr>
      </w:pPr>
      <w:r>
        <w:rPr>
          <w:noProof/>
          <w:lang w:val="en-AU" w:eastAsia="en-AU"/>
        </w:rPr>
        <w:drawing>
          <wp:inline distT="0" distB="0" distL="0" distR="0" wp14:anchorId="2F573384" wp14:editId="3F602891">
            <wp:extent cx="5731884" cy="5086350"/>
            <wp:effectExtent l="19050" t="19050" r="21590" b="190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3415" cy="5087709"/>
                    </a:xfrm>
                    <a:prstGeom prst="rect">
                      <a:avLst/>
                    </a:prstGeom>
                    <a:noFill/>
                    <a:ln>
                      <a:solidFill>
                        <a:schemeClr val="accent1"/>
                      </a:solidFill>
                    </a:ln>
                  </pic:spPr>
                </pic:pic>
              </a:graphicData>
            </a:graphic>
          </wp:inline>
        </w:drawing>
      </w:r>
    </w:p>
    <w:p w:rsidR="006A4E0A" w:rsidRPr="00EE6E25" w:rsidRDefault="003B1CD4" w:rsidP="002E318D">
      <w:pPr>
        <w:spacing w:line="276" w:lineRule="auto"/>
        <w:jc w:val="both"/>
      </w:pPr>
      <w:r>
        <w:t>U</w:t>
      </w:r>
      <w:r w:rsidR="006A4E0A" w:rsidRPr="00EE6E25">
        <w:t>nit cost calculations are greatly affected by the spars</w:t>
      </w:r>
      <w:r w:rsidR="00837A39">
        <w:t>eness</w:t>
      </w:r>
      <w:r w:rsidR="006A4E0A" w:rsidRPr="00EE6E25">
        <w:t xml:space="preserve"> of populations and care needs to be taken when comparing districts. Care should be taken to compare like</w:t>
      </w:r>
      <w:r w:rsidR="0064471E">
        <w:t>-</w:t>
      </w:r>
      <w:r w:rsidR="006A4E0A" w:rsidRPr="00EE6E25">
        <w:t>with</w:t>
      </w:r>
      <w:r w:rsidR="0064471E">
        <w:t>-</w:t>
      </w:r>
      <w:r w:rsidR="006A4E0A" w:rsidRPr="00EE6E25">
        <w:t>like districts in order to get a true feel for the district government commitment and possible impact on quality.</w:t>
      </w:r>
    </w:p>
    <w:p w:rsidR="006A4E0A" w:rsidRPr="00EE6E25" w:rsidRDefault="006A4E0A" w:rsidP="002E318D">
      <w:pPr>
        <w:spacing w:line="276" w:lineRule="auto"/>
        <w:jc w:val="both"/>
      </w:pPr>
      <w:r w:rsidRPr="00EE6E25">
        <w:t>Reasonable distribution of public education funds should generally provide greater funding per student to the poorest areas. This weighted distribution of government funds can enable the poorest communities to overcome a financial inability to pay for services. It also helps to cover the higher cost of servicing poor communities that are also in remote or difficult to reach areas.</w:t>
      </w:r>
    </w:p>
    <w:p w:rsidR="006A4E0A" w:rsidRDefault="006A4E0A" w:rsidP="009A2DC1">
      <w:pPr>
        <w:pStyle w:val="Caption"/>
      </w:pPr>
      <w:bookmarkStart w:id="103" w:name="_Toc374182084"/>
      <w:bookmarkStart w:id="104" w:name="_Toc414281570"/>
      <w:r>
        <w:lastRenderedPageBreak/>
        <w:t>Equity Slope of Funding - Average APBD Education Expenditure per Student (Rp million</w:t>
      </w:r>
      <w:r w:rsidR="00233537">
        <w:t>s</w:t>
      </w:r>
      <w:r w:rsidR="00344332">
        <w:t>), by Poverty Quintile, 2010</w:t>
      </w:r>
      <w:r>
        <w:t>-1</w:t>
      </w:r>
      <w:bookmarkEnd w:id="103"/>
      <w:r w:rsidR="00344332">
        <w:t>3</w:t>
      </w:r>
      <w:bookmarkEnd w:id="104"/>
    </w:p>
    <w:p w:rsidR="006A4E0A" w:rsidRPr="003537F4" w:rsidRDefault="00995BD1" w:rsidP="005162C4">
      <w:pPr>
        <w:spacing w:after="360"/>
        <w:jc w:val="center"/>
        <w:rPr>
          <w:color w:val="FF0000"/>
        </w:rPr>
      </w:pPr>
      <w:r>
        <w:rPr>
          <w:noProof/>
          <w:color w:val="FF0000"/>
          <w:lang w:val="en-AU" w:eastAsia="en-AU"/>
        </w:rPr>
        <w:drawing>
          <wp:inline distT="0" distB="0" distL="0" distR="0" wp14:anchorId="670125CE" wp14:editId="32143597">
            <wp:extent cx="5732890" cy="2393342"/>
            <wp:effectExtent l="19050" t="19050" r="20320" b="260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3415" cy="2393561"/>
                    </a:xfrm>
                    <a:prstGeom prst="rect">
                      <a:avLst/>
                    </a:prstGeom>
                    <a:noFill/>
                    <a:ln>
                      <a:solidFill>
                        <a:schemeClr val="accent1"/>
                      </a:solidFill>
                    </a:ln>
                  </pic:spPr>
                </pic:pic>
              </a:graphicData>
            </a:graphic>
          </wp:inline>
        </w:drawing>
      </w:r>
    </w:p>
    <w:p w:rsidR="006A4E0A" w:rsidRDefault="006A4E0A" w:rsidP="002E318D">
      <w:pPr>
        <w:spacing w:line="276" w:lineRule="auto"/>
        <w:jc w:val="both"/>
      </w:pPr>
      <w:r w:rsidRPr="00EE6E25">
        <w:t xml:space="preserve">The chart above illustrates the ‘equity slope’ of district school funding. The ideal equity slope would begin low at the left hand corner (least public resources per student for the wealthiest districts) and slope upwards indicating that those districts with the lowest socio-economic profile and catering for the most remote communities have the greatest </w:t>
      </w:r>
      <w:r w:rsidR="00CA4BF3">
        <w:t xml:space="preserve">public </w:t>
      </w:r>
      <w:r w:rsidRPr="00EE6E25">
        <w:t xml:space="preserve">resources </w:t>
      </w:r>
      <w:r w:rsidR="00CA4BF3">
        <w:t xml:space="preserve">made available </w:t>
      </w:r>
      <w:r w:rsidRPr="00EE6E25">
        <w:t xml:space="preserve">per student. </w:t>
      </w:r>
    </w:p>
    <w:p w:rsidR="006A4E0A" w:rsidRDefault="006A4E0A" w:rsidP="002E318D">
      <w:pPr>
        <w:spacing w:line="276" w:lineRule="auto"/>
        <w:jc w:val="both"/>
      </w:pPr>
      <w:r>
        <w:t>Indonesia has demonstrated</w:t>
      </w:r>
      <w:r w:rsidRPr="00EE6E25">
        <w:t xml:space="preserve"> a movement over time towards that kind of scenario. By 2011, districts from the two poorest quintiles had grown their allocations at a faster rate than others. This </w:t>
      </w:r>
      <w:r>
        <w:t>wa</w:t>
      </w:r>
      <w:r w:rsidRPr="00EE6E25">
        <w:t xml:space="preserve">s a significant achievement </w:t>
      </w:r>
      <w:r>
        <w:t xml:space="preserve">in </w:t>
      </w:r>
      <w:r w:rsidRPr="00EE6E25">
        <w:t xml:space="preserve">beginning to move away from a relatively flat distribution of district education funding per student across poverty quintiles. </w:t>
      </w:r>
      <w:r>
        <w:t>It showed</w:t>
      </w:r>
      <w:r w:rsidRPr="00EE6E25">
        <w:t xml:space="preserve"> government policies have been successful in moving towards a greater share of public resources being directed towards education in poorer districts. </w:t>
      </w:r>
    </w:p>
    <w:p w:rsidR="006A4E0A" w:rsidRDefault="006A4E0A" w:rsidP="002E318D">
      <w:pPr>
        <w:spacing w:line="276" w:lineRule="auto"/>
        <w:jc w:val="both"/>
      </w:pPr>
      <w:r>
        <w:t>In 2012, because annual growth in district education allocations in the poorest districts was less than for districts in other quintiles, there was a stalling in the move towards greater equity. The line for 2012 (</w:t>
      </w:r>
      <w:r w:rsidR="00822048">
        <w:t xml:space="preserve">the </w:t>
      </w:r>
      <w:r>
        <w:t>brown line in chart above) begins to flatten as it moves towards the poorest quintiles instead of preserving a linear increase in the allocations</w:t>
      </w:r>
      <w:r w:rsidR="00AC4EDA">
        <w:t>.</w:t>
      </w:r>
    </w:p>
    <w:p w:rsidR="00AC4EDA" w:rsidRDefault="00AC4EDA" w:rsidP="002E318D">
      <w:pPr>
        <w:spacing w:line="276" w:lineRule="auto"/>
        <w:jc w:val="both"/>
      </w:pPr>
      <w:r>
        <w:t xml:space="preserve">This situation changes in 2013 with per student funding kicking upwards in the poorest quintile districts does move towards rectify the funding situation that appeared in 2012. However the dip in funding for quintile 3 remains and the increase in funding for the poorest districts has meant a flat line between quintiles 2-5. The lower pre student funding for the richest districts (average Rp. 3.1 million) does suggest fewer public resources are being directed there than poorer districts. </w:t>
      </w:r>
    </w:p>
    <w:p w:rsidR="006A4E0A" w:rsidRDefault="006A4E0A" w:rsidP="002E318D">
      <w:pPr>
        <w:spacing w:line="276" w:lineRule="auto"/>
        <w:jc w:val="both"/>
      </w:pPr>
      <w:r w:rsidRPr="00EE6E25">
        <w:t xml:space="preserve">To achieve better learning outcomes across the poorest districts, the </w:t>
      </w:r>
      <w:r>
        <w:t xml:space="preserve">district </w:t>
      </w:r>
      <w:r w:rsidRPr="00EE6E25">
        <w:t>government</w:t>
      </w:r>
      <w:r>
        <w:t xml:space="preserve">s </w:t>
      </w:r>
      <w:r w:rsidR="00AC4EDA">
        <w:t xml:space="preserve">that are part of poverty quintiles 2,3,4, </w:t>
      </w:r>
      <w:r w:rsidRPr="00EE6E25">
        <w:t xml:space="preserve">will need </w:t>
      </w:r>
      <w:r>
        <w:t xml:space="preserve">to grow their education spending more quickly and drive a stronger </w:t>
      </w:r>
      <w:r w:rsidRPr="00EE6E25">
        <w:t xml:space="preserve">‘equity slope’ in </w:t>
      </w:r>
      <w:r>
        <w:t xml:space="preserve">education </w:t>
      </w:r>
      <w:r w:rsidRPr="00EE6E25">
        <w:t xml:space="preserve">funding distribution. </w:t>
      </w:r>
    </w:p>
    <w:p w:rsidR="00951AB8" w:rsidRDefault="00951AB8" w:rsidP="002E318D">
      <w:pPr>
        <w:spacing w:line="276" w:lineRule="auto"/>
        <w:jc w:val="both"/>
      </w:pPr>
      <w:r>
        <w:t xml:space="preserve">A quick comparison between BEP and non-BEP districts reveals that they are both growing their per student allocations at the same rate. BEP districts continue to spend a steady 20% more than non-BEP districts. </w:t>
      </w:r>
    </w:p>
    <w:p w:rsidR="00951AB8" w:rsidRDefault="00951AB8" w:rsidP="00951AB8">
      <w:pPr>
        <w:pStyle w:val="Caption"/>
      </w:pPr>
      <w:bookmarkStart w:id="105" w:name="_Toc414281571"/>
      <w:r>
        <w:lastRenderedPageBreak/>
        <w:t>BEP District budget allocations per student, 2006-2013</w:t>
      </w:r>
      <w:bookmarkEnd w:id="105"/>
    </w:p>
    <w:p w:rsidR="00951AB8" w:rsidRPr="00EE6E25" w:rsidRDefault="00951AB8" w:rsidP="002E318D">
      <w:pPr>
        <w:spacing w:line="276" w:lineRule="auto"/>
        <w:jc w:val="both"/>
      </w:pPr>
      <w:r>
        <w:rPr>
          <w:noProof/>
          <w:lang w:val="en-AU" w:eastAsia="en-AU"/>
        </w:rPr>
        <w:drawing>
          <wp:inline distT="0" distB="0" distL="0" distR="0" wp14:anchorId="4C58AEF5" wp14:editId="013CC353">
            <wp:extent cx="5733415" cy="1938012"/>
            <wp:effectExtent l="19050" t="19050" r="19685" b="2476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3415" cy="1938012"/>
                    </a:xfrm>
                    <a:prstGeom prst="rect">
                      <a:avLst/>
                    </a:prstGeom>
                    <a:noFill/>
                    <a:ln>
                      <a:solidFill>
                        <a:schemeClr val="accent1"/>
                      </a:solidFill>
                    </a:ln>
                  </pic:spPr>
                </pic:pic>
              </a:graphicData>
            </a:graphic>
          </wp:inline>
        </w:drawing>
      </w:r>
    </w:p>
    <w:p w:rsidR="006A4E0A" w:rsidRPr="005D1552" w:rsidRDefault="006A4E0A" w:rsidP="005162C4">
      <w:pPr>
        <w:spacing w:line="276" w:lineRule="auto"/>
        <w:jc w:val="both"/>
      </w:pPr>
      <w:r w:rsidRPr="005D1552">
        <w:t>A</w:t>
      </w:r>
      <w:r w:rsidRPr="00490A86">
        <w:rPr>
          <w:b/>
        </w:rPr>
        <w:t xml:space="preserve"> </w:t>
      </w:r>
      <w:r w:rsidRPr="00490A86">
        <w:rPr>
          <w:b/>
          <w:i/>
        </w:rPr>
        <w:t>Critical Education Funding Status</w:t>
      </w:r>
      <w:r w:rsidRPr="005D1552">
        <w:t xml:space="preserve"> (CEFS) diagnostic tool is based on three </w:t>
      </w:r>
      <w:r w:rsidR="003464C1">
        <w:t xml:space="preserve">KPIs </w:t>
      </w:r>
      <w:r w:rsidRPr="005D1552">
        <w:t xml:space="preserve">from this </w:t>
      </w:r>
      <w:r w:rsidR="003464C1">
        <w:t>d</w:t>
      </w:r>
      <w:r w:rsidRPr="005D1552">
        <w:t>istrict level analysis (KPIs 6, 7 and 8). The CEFS diagnostic tool identifies critical districts that have:</w:t>
      </w:r>
    </w:p>
    <w:p w:rsidR="006A4E0A" w:rsidRPr="005D1552" w:rsidRDefault="006A4E0A" w:rsidP="005162C4">
      <w:pPr>
        <w:pStyle w:val="ListParagraph"/>
        <w:numPr>
          <w:ilvl w:val="0"/>
          <w:numId w:val="30"/>
        </w:numPr>
        <w:spacing w:after="100" w:afterAutospacing="1"/>
        <w:contextualSpacing w:val="0"/>
        <w:jc w:val="both"/>
      </w:pPr>
      <w:r w:rsidRPr="005D1552">
        <w:t>low expendit</w:t>
      </w:r>
      <w:r w:rsidR="00557AD1">
        <w:t>ur</w:t>
      </w:r>
      <w:r w:rsidR="00AC4EDA">
        <w:t>e per student (less than Rp. 2.63</w:t>
      </w:r>
      <w:r w:rsidR="00AC1DEF">
        <w:t xml:space="preserve"> million) – equates to an expenditure which is </w:t>
      </w:r>
      <w:r w:rsidR="00951AB8">
        <w:t xml:space="preserve">75% </w:t>
      </w:r>
      <w:r w:rsidR="00AC1DEF">
        <w:t>of</w:t>
      </w:r>
      <w:r w:rsidR="00AC4EDA">
        <w:t xml:space="preserve"> </w:t>
      </w:r>
      <w:r w:rsidR="00E46A73">
        <w:t>the average expenditure per stu</w:t>
      </w:r>
      <w:r w:rsidR="00557AD1">
        <w:t>dent in 2013</w:t>
      </w:r>
    </w:p>
    <w:p w:rsidR="006A4E0A" w:rsidRPr="005D1552" w:rsidRDefault="006A4E0A" w:rsidP="005162C4">
      <w:pPr>
        <w:pStyle w:val="ListParagraph"/>
        <w:numPr>
          <w:ilvl w:val="0"/>
          <w:numId w:val="30"/>
        </w:numPr>
        <w:spacing w:after="100" w:afterAutospacing="1"/>
        <w:contextualSpacing w:val="0"/>
        <w:jc w:val="both"/>
      </w:pPr>
      <w:r w:rsidRPr="005D1552">
        <w:t>small education share of t</w:t>
      </w:r>
      <w:r w:rsidR="00C45322">
        <w:t>he district budget (less than 15</w:t>
      </w:r>
      <w:r w:rsidRPr="005D1552">
        <w:t>%)</w:t>
      </w:r>
      <w:r w:rsidR="004971BD">
        <w:t xml:space="preserve"> </w:t>
      </w:r>
    </w:p>
    <w:p w:rsidR="006A4E0A" w:rsidRPr="005D1552" w:rsidRDefault="006A4E0A" w:rsidP="005162C4">
      <w:pPr>
        <w:pStyle w:val="ListParagraph"/>
        <w:numPr>
          <w:ilvl w:val="0"/>
          <w:numId w:val="30"/>
        </w:numPr>
        <w:spacing w:after="240"/>
        <w:contextualSpacing w:val="0"/>
        <w:jc w:val="both"/>
      </w:pPr>
      <w:r w:rsidRPr="005D1552">
        <w:t>weak annual growth in thei</w:t>
      </w:r>
      <w:r w:rsidR="00AC1DEF">
        <w:t>r education budget (less than 5</w:t>
      </w:r>
      <w:r w:rsidRPr="005D1552">
        <w:t xml:space="preserve">%). </w:t>
      </w:r>
    </w:p>
    <w:p w:rsidR="00A15C80" w:rsidRDefault="00A15C80" w:rsidP="005162C4">
      <w:pPr>
        <w:spacing w:line="276" w:lineRule="auto"/>
        <w:jc w:val="both"/>
      </w:pPr>
      <w:r>
        <w:t>These criteria have been adjusted from reports of previous years. The low expenditure per student has been adjusted to reflect changes in prices and is now set as discounted benchmark from the national average expenditure. The other two criteria have been tightened to capture more extreme cases. All these criteria are applied consistently across years for time-series comparisons.</w:t>
      </w:r>
    </w:p>
    <w:p w:rsidR="006A4E0A" w:rsidRDefault="00A15C80" w:rsidP="005162C4">
      <w:pPr>
        <w:spacing w:line="276" w:lineRule="auto"/>
        <w:jc w:val="both"/>
        <w:rPr>
          <w:color w:val="000000" w:themeColor="text1"/>
        </w:rPr>
      </w:pPr>
      <w:r>
        <w:t xml:space="preserve"> </w:t>
      </w:r>
      <w:r w:rsidR="006A4E0A" w:rsidRPr="006065CD">
        <w:t>The</w:t>
      </w:r>
      <w:r w:rsidR="00314228">
        <w:t xml:space="preserve"> figure b</w:t>
      </w:r>
      <w:r w:rsidR="006A4E0A" w:rsidRPr="006065CD">
        <w:t xml:space="preserve">elow </w:t>
      </w:r>
      <w:r w:rsidR="006A4E0A">
        <w:t xml:space="preserve">shows </w:t>
      </w:r>
      <w:r w:rsidR="00AC1DEF">
        <w:t xml:space="preserve">the </w:t>
      </w:r>
      <w:r w:rsidR="003464C1">
        <w:t>one</w:t>
      </w:r>
      <w:r w:rsidR="00AC1DEF">
        <w:t xml:space="preserve"> district meeting these criteria in 2013, compared to </w:t>
      </w:r>
      <w:r w:rsidR="006A4E0A">
        <w:t xml:space="preserve">6 districts </w:t>
      </w:r>
      <w:r w:rsidR="006A4E0A" w:rsidRPr="006065CD">
        <w:t xml:space="preserve">meeting criteria </w:t>
      </w:r>
      <w:r w:rsidR="006A4E0A">
        <w:t xml:space="preserve">in 2012 </w:t>
      </w:r>
      <w:r w:rsidR="00AC1DEF">
        <w:t xml:space="preserve">and only </w:t>
      </w:r>
      <w:r w:rsidR="006A4E0A">
        <w:t xml:space="preserve">two in 2011. </w:t>
      </w:r>
      <w:r w:rsidR="006A4E0A">
        <w:rPr>
          <w:color w:val="000000" w:themeColor="text1"/>
        </w:rPr>
        <w:t xml:space="preserve">It is a good sign that districts do not remain in the CEFS category for more than one year. It suggests there is some corrective re-balancing occurring within districts to prevent those already spending substantially less than average from declining their commitments even further. </w:t>
      </w:r>
    </w:p>
    <w:p w:rsidR="006A4E0A" w:rsidRDefault="006A4E0A" w:rsidP="009A2DC1">
      <w:pPr>
        <w:pStyle w:val="Caption"/>
      </w:pPr>
      <w:bookmarkStart w:id="106" w:name="_Toc374182086"/>
      <w:bookmarkStart w:id="107" w:name="_Toc414281572"/>
      <w:r>
        <w:t>Critical Education Funding Status (CEFS) Districts – Districts with low growth in education budget, low share of district budget and low expenditure per student, 2010-201</w:t>
      </w:r>
      <w:bookmarkEnd w:id="106"/>
      <w:r w:rsidR="00883BA1">
        <w:t>3</w:t>
      </w:r>
      <w:bookmarkEnd w:id="107"/>
    </w:p>
    <w:p w:rsidR="006A4E0A" w:rsidRDefault="00AC1DEF" w:rsidP="005162C4">
      <w:pPr>
        <w:spacing w:after="360"/>
        <w:jc w:val="center"/>
        <w:rPr>
          <w:b/>
          <w:i/>
          <w:noProof/>
          <w:lang w:val="en-AU" w:eastAsia="en-AU"/>
        </w:rPr>
      </w:pPr>
      <w:r>
        <w:rPr>
          <w:b/>
          <w:i/>
          <w:noProof/>
          <w:lang w:val="en-AU" w:eastAsia="en-AU"/>
        </w:rPr>
        <w:drawing>
          <wp:inline distT="0" distB="0" distL="0" distR="0" wp14:anchorId="131E0439" wp14:editId="0194B39D">
            <wp:extent cx="5740841" cy="1876508"/>
            <wp:effectExtent l="19050" t="19050" r="1270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3415" cy="1874081"/>
                    </a:xfrm>
                    <a:prstGeom prst="rect">
                      <a:avLst/>
                    </a:prstGeom>
                    <a:noFill/>
                    <a:ln>
                      <a:solidFill>
                        <a:schemeClr val="accent1"/>
                      </a:solidFill>
                    </a:ln>
                  </pic:spPr>
                </pic:pic>
              </a:graphicData>
            </a:graphic>
          </wp:inline>
        </w:drawing>
      </w:r>
    </w:p>
    <w:p w:rsidR="006A4E0A" w:rsidRDefault="006A4E0A" w:rsidP="006A4E0A">
      <w:pPr>
        <w:rPr>
          <w:rFonts w:ascii="Cambria" w:hAnsi="Cambria"/>
          <w:b/>
          <w:i/>
          <w:color w:val="C0504D"/>
          <w:spacing w:val="5"/>
          <w:szCs w:val="24"/>
        </w:rPr>
      </w:pPr>
    </w:p>
    <w:p w:rsidR="006A4E0A" w:rsidRDefault="006A4E0A" w:rsidP="00DB55DD">
      <w:pPr>
        <w:pStyle w:val="Heading3"/>
      </w:pPr>
      <w:r w:rsidRPr="00E740D9">
        <w:lastRenderedPageBreak/>
        <w:t>KPI</w:t>
      </w:r>
      <w:r>
        <w:t xml:space="preserve"> </w:t>
      </w:r>
      <w:r w:rsidR="00D40606">
        <w:t>7</w:t>
      </w:r>
      <w:r w:rsidRPr="00E740D9">
        <w:t>: Actual district education expenditure as % of planned education expenditure</w:t>
      </w:r>
    </w:p>
    <w:p w:rsidR="006A4E0A" w:rsidRDefault="006A4E0A" w:rsidP="009A2DC1">
      <w:pPr>
        <w:pStyle w:val="Caption"/>
      </w:pPr>
      <w:bookmarkStart w:id="108" w:name="_Toc374182087"/>
      <w:bookmarkStart w:id="109" w:name="_Toc414281573"/>
      <w:r w:rsidRPr="007A0542">
        <w:t>Realised Education Expenditure as % of Planned Expenditure</w:t>
      </w:r>
      <w:r w:rsidR="004971BD">
        <w:t xml:space="preserve"> </w:t>
      </w:r>
      <w:r>
        <w:t xml:space="preserve">2006 </w:t>
      </w:r>
      <w:r w:rsidR="0036323E">
        <w:t>-</w:t>
      </w:r>
      <w:r>
        <w:t>200</w:t>
      </w:r>
      <w:bookmarkEnd w:id="108"/>
      <w:r w:rsidR="00A15C80">
        <w:t>7</w:t>
      </w:r>
      <w:bookmarkEnd w:id="109"/>
    </w:p>
    <w:p w:rsidR="006A4E0A" w:rsidRPr="00AA000F" w:rsidRDefault="00404DEF" w:rsidP="005162C4">
      <w:pPr>
        <w:spacing w:after="360"/>
        <w:jc w:val="center"/>
      </w:pPr>
      <w:r>
        <w:rPr>
          <w:noProof/>
          <w:lang w:val="en-AU" w:eastAsia="en-AU"/>
        </w:rPr>
        <w:drawing>
          <wp:inline distT="0" distB="0" distL="0" distR="0" wp14:anchorId="40BB2FCA" wp14:editId="68253ED9">
            <wp:extent cx="5581650" cy="35528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81650" cy="3552825"/>
                    </a:xfrm>
                    <a:prstGeom prst="rect">
                      <a:avLst/>
                    </a:prstGeom>
                    <a:noFill/>
                  </pic:spPr>
                </pic:pic>
              </a:graphicData>
            </a:graphic>
          </wp:inline>
        </w:drawing>
      </w:r>
    </w:p>
    <w:tbl>
      <w:tblPr>
        <w:tblStyle w:val="TableGrid3"/>
        <w:tblW w:w="5000" w:type="pct"/>
        <w:jc w:val="center"/>
        <w:tblLayout w:type="fixed"/>
        <w:tblCellMar>
          <w:top w:w="28" w:type="dxa"/>
          <w:bottom w:w="28" w:type="dxa"/>
        </w:tblCellMar>
        <w:tblLook w:val="04A0" w:firstRow="1" w:lastRow="0" w:firstColumn="1" w:lastColumn="0" w:noHBand="0" w:noVBand="1"/>
      </w:tblPr>
      <w:tblGrid>
        <w:gridCol w:w="1849"/>
        <w:gridCol w:w="1849"/>
        <w:gridCol w:w="1849"/>
        <w:gridCol w:w="3698"/>
      </w:tblGrid>
      <w:tr w:rsidR="007F1806" w:rsidRPr="005162C4" w:rsidTr="00790BC1">
        <w:trPr>
          <w:tblHeader/>
          <w:jc w:val="center"/>
        </w:trPr>
        <w:tc>
          <w:tcPr>
            <w:tcW w:w="1000" w:type="pct"/>
            <w:tcBorders>
              <w:top w:val="single" w:sz="12" w:space="0" w:color="auto"/>
              <w:left w:val="single" w:sz="12" w:space="0" w:color="auto"/>
              <w:bottom w:val="single" w:sz="4" w:space="0" w:color="auto"/>
              <w:right w:val="single" w:sz="4" w:space="0" w:color="FFFFFF" w:themeColor="background1"/>
            </w:tcBorders>
            <w:shd w:val="clear" w:color="auto" w:fill="003880"/>
            <w:vAlign w:val="center"/>
          </w:tcPr>
          <w:p w:rsidR="007F1806" w:rsidRPr="005162C4" w:rsidRDefault="00D40606" w:rsidP="005162C4">
            <w:pPr>
              <w:spacing w:after="0"/>
              <w:jc w:val="center"/>
              <w:rPr>
                <w:rFonts w:asciiTheme="minorHAnsi" w:hAnsiTheme="minorHAnsi" w:cstheme="minorHAnsi"/>
                <w:b/>
                <w:color w:val="FFFFFF" w:themeColor="background1"/>
                <w:sz w:val="20"/>
                <w:szCs w:val="20"/>
                <w:lang w:val="en-US"/>
              </w:rPr>
            </w:pPr>
            <w:r>
              <w:rPr>
                <w:rFonts w:asciiTheme="minorHAnsi" w:hAnsiTheme="minorHAnsi" w:cstheme="minorHAnsi"/>
                <w:b/>
                <w:color w:val="FFFFFF" w:themeColor="background1"/>
                <w:sz w:val="20"/>
                <w:szCs w:val="20"/>
                <w:lang w:val="en-US"/>
              </w:rPr>
              <w:t>KPI 7</w:t>
            </w:r>
          </w:p>
        </w:tc>
        <w:tc>
          <w:tcPr>
            <w:tcW w:w="7216" w:type="dxa"/>
            <w:gridSpan w:val="3"/>
            <w:tcBorders>
              <w:top w:val="single" w:sz="12" w:space="0" w:color="auto"/>
              <w:left w:val="single" w:sz="4" w:space="0" w:color="FFFFFF" w:themeColor="background1"/>
              <w:bottom w:val="single" w:sz="4" w:space="0" w:color="auto"/>
              <w:right w:val="single" w:sz="12" w:space="0" w:color="auto"/>
            </w:tcBorders>
            <w:shd w:val="clear" w:color="auto" w:fill="003880"/>
            <w:vAlign w:val="center"/>
          </w:tcPr>
          <w:p w:rsidR="007F1806" w:rsidRPr="005162C4" w:rsidRDefault="005162C4" w:rsidP="005162C4">
            <w:pPr>
              <w:spacing w:after="0"/>
              <w:jc w:val="center"/>
              <w:rPr>
                <w:rFonts w:asciiTheme="minorHAnsi" w:hAnsiTheme="minorHAnsi" w:cstheme="minorHAnsi"/>
                <w:b/>
                <w:color w:val="FFFFFF" w:themeColor="background1"/>
                <w:sz w:val="20"/>
                <w:szCs w:val="20"/>
                <w:lang w:val="en-US"/>
              </w:rPr>
            </w:pPr>
            <w:r w:rsidRPr="005162C4">
              <w:rPr>
                <w:rFonts w:asciiTheme="minorHAnsi" w:hAnsiTheme="minorHAnsi" w:cstheme="minorHAnsi"/>
                <w:b/>
                <w:bCs/>
                <w:color w:val="FFFFFF" w:themeColor="background1"/>
                <w:sz w:val="20"/>
                <w:szCs w:val="20"/>
                <w:lang w:val="en-US"/>
              </w:rPr>
              <w:t xml:space="preserve">ACTUAL DISTRICT EDUCATION EXPENDITURE AS % OF PLANNED EDUCATION EXPENDITURE </w:t>
            </w:r>
          </w:p>
        </w:tc>
      </w:tr>
      <w:tr w:rsidR="007F1806" w:rsidRPr="005162C4" w:rsidTr="00790BC1">
        <w:trPr>
          <w:tblHeader/>
          <w:jc w:val="center"/>
        </w:trPr>
        <w:tc>
          <w:tcPr>
            <w:tcW w:w="9019" w:type="dxa"/>
            <w:gridSpan w:val="4"/>
            <w:tcBorders>
              <w:left w:val="single" w:sz="12" w:space="0" w:color="auto"/>
              <w:bottom w:val="single" w:sz="4" w:space="0" w:color="auto"/>
              <w:right w:val="single" w:sz="12" w:space="0" w:color="auto"/>
            </w:tcBorders>
            <w:shd w:val="clear" w:color="auto" w:fill="4BACC6" w:themeFill="accent5"/>
            <w:vAlign w:val="center"/>
          </w:tcPr>
          <w:p w:rsidR="007F1806" w:rsidRPr="005162C4" w:rsidRDefault="005162C4" w:rsidP="005162C4">
            <w:pPr>
              <w:spacing w:after="0"/>
              <w:jc w:val="center"/>
              <w:rPr>
                <w:rFonts w:asciiTheme="minorHAnsi" w:hAnsiTheme="minorHAnsi" w:cstheme="minorHAnsi"/>
                <w:b/>
                <w:color w:val="FFFFFF" w:themeColor="background1"/>
                <w:sz w:val="20"/>
                <w:szCs w:val="20"/>
                <w:lang w:val="en-US"/>
              </w:rPr>
            </w:pPr>
            <w:r w:rsidRPr="005162C4">
              <w:rPr>
                <w:rFonts w:asciiTheme="minorHAnsi" w:hAnsiTheme="minorHAnsi" w:cstheme="minorHAnsi"/>
                <w:b/>
                <w:sz w:val="20"/>
                <w:szCs w:val="20"/>
                <w:lang w:val="en-US"/>
              </w:rPr>
              <w:t>STATUS AND TRENDS</w:t>
            </w:r>
          </w:p>
        </w:tc>
      </w:tr>
      <w:tr w:rsidR="007F1806" w:rsidRPr="005162C4" w:rsidTr="00790BC1">
        <w:trPr>
          <w:jc w:val="center"/>
        </w:trPr>
        <w:tc>
          <w:tcPr>
            <w:tcW w:w="1000" w:type="pct"/>
            <w:tcBorders>
              <w:left w:val="single" w:sz="12" w:space="0" w:color="auto"/>
              <w:bottom w:val="single" w:sz="4" w:space="0" w:color="auto"/>
            </w:tcBorders>
            <w:shd w:val="clear" w:color="auto" w:fill="BFBFBF" w:themeFill="background1" w:themeFillShade="BF"/>
            <w:vAlign w:val="center"/>
          </w:tcPr>
          <w:p w:rsidR="007F1806" w:rsidRPr="005162C4" w:rsidRDefault="007F1806" w:rsidP="005162C4">
            <w:pPr>
              <w:spacing w:after="0"/>
              <w:jc w:val="center"/>
              <w:rPr>
                <w:sz w:val="20"/>
                <w:szCs w:val="20"/>
                <w:lang w:val="en-AU"/>
              </w:rPr>
            </w:pPr>
            <w:r w:rsidRPr="005162C4">
              <w:rPr>
                <w:sz w:val="20"/>
                <w:szCs w:val="20"/>
                <w:lang w:val="en-AU"/>
              </w:rPr>
              <w:t>Result</w:t>
            </w:r>
          </w:p>
        </w:tc>
        <w:tc>
          <w:tcPr>
            <w:tcW w:w="1000" w:type="pct"/>
            <w:shd w:val="clear" w:color="auto" w:fill="FF0000"/>
            <w:vAlign w:val="center"/>
          </w:tcPr>
          <w:p w:rsidR="007F1806" w:rsidRPr="005162C4" w:rsidRDefault="007F1806" w:rsidP="005162C4">
            <w:pPr>
              <w:spacing w:after="0"/>
              <w:jc w:val="center"/>
              <w:rPr>
                <w:sz w:val="20"/>
                <w:szCs w:val="20"/>
                <w:lang w:val="en-AU"/>
              </w:rPr>
            </w:pPr>
            <w:r w:rsidRPr="005162C4">
              <w:rPr>
                <w:sz w:val="20"/>
                <w:szCs w:val="20"/>
                <w:lang w:val="en-AU"/>
              </w:rPr>
              <w:t>Negative</w:t>
            </w:r>
          </w:p>
        </w:tc>
        <w:tc>
          <w:tcPr>
            <w:tcW w:w="1000" w:type="pct"/>
            <w:shd w:val="clear" w:color="auto" w:fill="BFBFBF" w:themeFill="background1" w:themeFillShade="BF"/>
            <w:vAlign w:val="center"/>
          </w:tcPr>
          <w:p w:rsidR="007F1806" w:rsidRPr="005162C4" w:rsidRDefault="007F1806" w:rsidP="005162C4">
            <w:pPr>
              <w:spacing w:after="0"/>
              <w:jc w:val="center"/>
              <w:rPr>
                <w:sz w:val="20"/>
                <w:szCs w:val="20"/>
                <w:lang w:val="en-AU"/>
              </w:rPr>
            </w:pPr>
            <w:r w:rsidRPr="005162C4">
              <w:rPr>
                <w:sz w:val="20"/>
                <w:szCs w:val="20"/>
                <w:lang w:val="en-AU"/>
              </w:rPr>
              <w:t>Data availability</w:t>
            </w:r>
          </w:p>
        </w:tc>
        <w:tc>
          <w:tcPr>
            <w:tcW w:w="3608" w:type="dxa"/>
            <w:tcBorders>
              <w:right w:val="single" w:sz="12" w:space="0" w:color="auto"/>
            </w:tcBorders>
            <w:vAlign w:val="center"/>
          </w:tcPr>
          <w:p w:rsidR="007F1806" w:rsidRPr="005162C4" w:rsidRDefault="00A15C80" w:rsidP="00A15C80">
            <w:pPr>
              <w:spacing w:after="0"/>
              <w:jc w:val="both"/>
              <w:rPr>
                <w:sz w:val="20"/>
                <w:szCs w:val="20"/>
                <w:lang w:val="en-AU"/>
              </w:rPr>
            </w:pPr>
            <w:r>
              <w:rPr>
                <w:sz w:val="20"/>
                <w:szCs w:val="20"/>
                <w:lang w:val="en-AU"/>
              </w:rPr>
              <w:t>Limited verified f</w:t>
            </w:r>
            <w:r w:rsidR="008556EF" w:rsidRPr="008556EF">
              <w:rPr>
                <w:sz w:val="20"/>
                <w:szCs w:val="20"/>
                <w:lang w:val="en-AU"/>
              </w:rPr>
              <w:t xml:space="preserve">inancial data for </w:t>
            </w:r>
            <w:r>
              <w:rPr>
                <w:sz w:val="20"/>
                <w:szCs w:val="20"/>
                <w:lang w:val="en-AU"/>
              </w:rPr>
              <w:t xml:space="preserve">2006 and 2007. </w:t>
            </w:r>
          </w:p>
        </w:tc>
      </w:tr>
      <w:tr w:rsidR="007F1806" w:rsidRPr="005162C4" w:rsidTr="00790BC1">
        <w:trPr>
          <w:jc w:val="center"/>
        </w:trPr>
        <w:tc>
          <w:tcPr>
            <w:tcW w:w="1000" w:type="pct"/>
            <w:tcBorders>
              <w:left w:val="single" w:sz="12" w:space="0" w:color="auto"/>
            </w:tcBorders>
            <w:shd w:val="clear" w:color="auto" w:fill="BFBFBF" w:themeFill="background1" w:themeFillShade="BF"/>
            <w:vAlign w:val="center"/>
          </w:tcPr>
          <w:p w:rsidR="007F1806" w:rsidRPr="005162C4" w:rsidRDefault="007F1806" w:rsidP="005162C4">
            <w:pPr>
              <w:spacing w:after="0"/>
              <w:jc w:val="center"/>
              <w:rPr>
                <w:sz w:val="20"/>
                <w:szCs w:val="20"/>
                <w:lang w:val="en-AU"/>
              </w:rPr>
            </w:pPr>
            <w:r w:rsidRPr="005162C4">
              <w:rPr>
                <w:sz w:val="20"/>
                <w:szCs w:val="20"/>
                <w:lang w:val="en-AU"/>
              </w:rPr>
              <w:t>Observations</w:t>
            </w:r>
          </w:p>
        </w:tc>
        <w:tc>
          <w:tcPr>
            <w:tcW w:w="7216" w:type="dxa"/>
            <w:gridSpan w:val="3"/>
            <w:tcBorders>
              <w:right w:val="single" w:sz="12" w:space="0" w:color="auto"/>
            </w:tcBorders>
            <w:vAlign w:val="center"/>
          </w:tcPr>
          <w:p w:rsidR="00404DEF" w:rsidRPr="005162C4" w:rsidRDefault="00404DEF" w:rsidP="005162C4">
            <w:pPr>
              <w:pStyle w:val="ListParagraph"/>
              <w:numPr>
                <w:ilvl w:val="0"/>
                <w:numId w:val="12"/>
              </w:numPr>
              <w:spacing w:after="60" w:line="240" w:lineRule="auto"/>
              <w:ind w:left="284" w:hanging="284"/>
              <w:contextualSpacing w:val="0"/>
              <w:jc w:val="both"/>
              <w:rPr>
                <w:sz w:val="20"/>
                <w:szCs w:val="20"/>
                <w:lang w:val="en-AU"/>
              </w:rPr>
            </w:pPr>
            <w:r w:rsidRPr="005162C4">
              <w:rPr>
                <w:sz w:val="20"/>
                <w:szCs w:val="20"/>
                <w:lang w:val="en-AU"/>
              </w:rPr>
              <w:t xml:space="preserve">Budget data for 2006 </w:t>
            </w:r>
            <w:r w:rsidR="00822048" w:rsidRPr="005162C4">
              <w:rPr>
                <w:sz w:val="20"/>
                <w:szCs w:val="20"/>
                <w:lang w:val="en-AU"/>
              </w:rPr>
              <w:t xml:space="preserve">are </w:t>
            </w:r>
            <w:r w:rsidRPr="005162C4">
              <w:rPr>
                <w:sz w:val="20"/>
                <w:szCs w:val="20"/>
                <w:lang w:val="en-AU"/>
              </w:rPr>
              <w:t xml:space="preserve">from the ‘final revised budget’ documents and reflect the final allocation. Revised budget data for 2007 </w:t>
            </w:r>
            <w:r w:rsidR="00822048" w:rsidRPr="005162C4">
              <w:rPr>
                <w:sz w:val="20"/>
                <w:szCs w:val="20"/>
                <w:lang w:val="en-AU"/>
              </w:rPr>
              <w:t xml:space="preserve">were </w:t>
            </w:r>
            <w:r w:rsidRPr="005162C4">
              <w:rPr>
                <w:sz w:val="20"/>
                <w:szCs w:val="20"/>
                <w:lang w:val="en-AU"/>
              </w:rPr>
              <w:t xml:space="preserve">not available. Data collected </w:t>
            </w:r>
            <w:r w:rsidR="00822048" w:rsidRPr="005162C4">
              <w:rPr>
                <w:sz w:val="20"/>
                <w:szCs w:val="20"/>
                <w:lang w:val="en-AU"/>
              </w:rPr>
              <w:t xml:space="preserve">are </w:t>
            </w:r>
            <w:r w:rsidRPr="005162C4">
              <w:rPr>
                <w:sz w:val="20"/>
                <w:szCs w:val="20"/>
                <w:lang w:val="en-AU"/>
              </w:rPr>
              <w:t xml:space="preserve">from the ‘planned budget’ documents which reflect a bid by the district education office for funds. This budget may then be revised downwards in the ‘revised final budget’. The 2007 financial data </w:t>
            </w:r>
            <w:r w:rsidR="00822048" w:rsidRPr="005162C4">
              <w:rPr>
                <w:sz w:val="20"/>
                <w:szCs w:val="20"/>
                <w:lang w:val="en-AU"/>
              </w:rPr>
              <w:t xml:space="preserve">are </w:t>
            </w:r>
            <w:r w:rsidRPr="005162C4">
              <w:rPr>
                <w:sz w:val="20"/>
                <w:szCs w:val="20"/>
                <w:lang w:val="en-AU"/>
              </w:rPr>
              <w:t xml:space="preserve">therefore not from identical planning documents and may be responsible for an upwards shift in percentage of budget realized as actual expenditure. </w:t>
            </w:r>
          </w:p>
          <w:p w:rsidR="007F1806" w:rsidRPr="005162C4" w:rsidRDefault="00404DEF" w:rsidP="005162C4">
            <w:pPr>
              <w:pStyle w:val="ListParagraph"/>
              <w:numPr>
                <w:ilvl w:val="0"/>
                <w:numId w:val="12"/>
              </w:numPr>
              <w:spacing w:after="60" w:line="240" w:lineRule="auto"/>
              <w:ind w:left="284" w:hanging="284"/>
              <w:contextualSpacing w:val="0"/>
              <w:jc w:val="both"/>
              <w:rPr>
                <w:sz w:val="20"/>
                <w:szCs w:val="20"/>
                <w:lang w:val="en-AU"/>
              </w:rPr>
            </w:pPr>
            <w:r w:rsidRPr="005162C4">
              <w:rPr>
                <w:sz w:val="20"/>
                <w:szCs w:val="20"/>
                <w:lang w:val="en-AU"/>
              </w:rPr>
              <w:t xml:space="preserve">Data for 2008 and 2009 </w:t>
            </w:r>
            <w:r w:rsidR="00822048" w:rsidRPr="005162C4">
              <w:rPr>
                <w:sz w:val="20"/>
                <w:szCs w:val="20"/>
                <w:lang w:val="en-AU"/>
              </w:rPr>
              <w:t xml:space="preserve">have </w:t>
            </w:r>
            <w:r w:rsidRPr="005162C4">
              <w:rPr>
                <w:sz w:val="20"/>
                <w:szCs w:val="20"/>
                <w:lang w:val="en-AU"/>
              </w:rPr>
              <w:t xml:space="preserve">been collected but </w:t>
            </w:r>
            <w:r w:rsidR="00822048" w:rsidRPr="005162C4">
              <w:rPr>
                <w:sz w:val="20"/>
                <w:szCs w:val="20"/>
                <w:lang w:val="en-AU"/>
              </w:rPr>
              <w:t xml:space="preserve">are </w:t>
            </w:r>
            <w:r w:rsidRPr="005162C4">
              <w:rPr>
                <w:sz w:val="20"/>
                <w:szCs w:val="20"/>
                <w:lang w:val="en-AU"/>
              </w:rPr>
              <w:t xml:space="preserve">not robust to update this analysis from </w:t>
            </w:r>
            <w:r w:rsidR="00822048" w:rsidRPr="005162C4">
              <w:rPr>
                <w:sz w:val="20"/>
                <w:szCs w:val="20"/>
                <w:lang w:val="en-AU"/>
              </w:rPr>
              <w:t xml:space="preserve">the previous </w:t>
            </w:r>
            <w:r w:rsidRPr="005162C4">
              <w:rPr>
                <w:sz w:val="20"/>
                <w:szCs w:val="20"/>
                <w:lang w:val="en-AU"/>
              </w:rPr>
              <w:t>report.</w:t>
            </w:r>
          </w:p>
          <w:p w:rsidR="005162C4" w:rsidRDefault="00404DEF" w:rsidP="005162C4">
            <w:pPr>
              <w:pStyle w:val="ListParagraph"/>
              <w:numPr>
                <w:ilvl w:val="0"/>
                <w:numId w:val="12"/>
              </w:numPr>
              <w:spacing w:after="60" w:line="240" w:lineRule="auto"/>
              <w:ind w:left="284" w:hanging="284"/>
              <w:contextualSpacing w:val="0"/>
              <w:jc w:val="both"/>
              <w:rPr>
                <w:sz w:val="20"/>
                <w:szCs w:val="20"/>
                <w:lang w:val="en-AU"/>
              </w:rPr>
            </w:pPr>
            <w:r w:rsidRPr="005162C4">
              <w:rPr>
                <w:sz w:val="20"/>
                <w:szCs w:val="20"/>
                <w:lang w:val="en-AU"/>
              </w:rPr>
              <w:t>Districts in 2007 managed to spend nearly 100% of their planned budget. This was a significant improvement on 2006 where only 91% of funds were spent nationally.</w:t>
            </w:r>
          </w:p>
          <w:p w:rsidR="00822048" w:rsidRPr="005162C4" w:rsidRDefault="00822048" w:rsidP="009B6D6D">
            <w:pPr>
              <w:pStyle w:val="ListParagraph"/>
              <w:numPr>
                <w:ilvl w:val="0"/>
                <w:numId w:val="12"/>
              </w:numPr>
              <w:spacing w:after="60" w:line="240" w:lineRule="auto"/>
              <w:ind w:left="284" w:hanging="284"/>
              <w:contextualSpacing w:val="0"/>
              <w:jc w:val="both"/>
              <w:rPr>
                <w:sz w:val="20"/>
                <w:szCs w:val="20"/>
                <w:lang w:val="en-AU"/>
              </w:rPr>
            </w:pPr>
            <w:r w:rsidRPr="005162C4">
              <w:rPr>
                <w:sz w:val="20"/>
                <w:szCs w:val="20"/>
                <w:lang w:val="en-AU"/>
              </w:rPr>
              <w:t>Poverty quintile analysis shows that the top two poverty quintile districts on average overspent their planned education budget in 2007. The lowest average rate of realisation was with the poorest quintile districts that only spe</w:t>
            </w:r>
            <w:r w:rsidR="009B6D6D">
              <w:rPr>
                <w:sz w:val="20"/>
                <w:szCs w:val="20"/>
                <w:lang w:val="en-AU"/>
              </w:rPr>
              <w:t>nt 91% of their planned budget</w:t>
            </w:r>
            <w:r w:rsidRPr="005162C4">
              <w:rPr>
                <w:sz w:val="20"/>
                <w:szCs w:val="20"/>
                <w:lang w:val="en-AU"/>
              </w:rPr>
              <w:t xml:space="preserve">. </w:t>
            </w:r>
          </w:p>
        </w:tc>
      </w:tr>
      <w:tr w:rsidR="007F1806" w:rsidRPr="005162C4" w:rsidTr="00790BC1">
        <w:trPr>
          <w:jc w:val="center"/>
        </w:trPr>
        <w:tc>
          <w:tcPr>
            <w:tcW w:w="1000" w:type="pct"/>
            <w:tcBorders>
              <w:left w:val="single" w:sz="12" w:space="0" w:color="auto"/>
            </w:tcBorders>
            <w:shd w:val="clear" w:color="auto" w:fill="BFBFBF" w:themeFill="background1" w:themeFillShade="BF"/>
            <w:vAlign w:val="center"/>
          </w:tcPr>
          <w:p w:rsidR="007F1806" w:rsidRPr="005162C4" w:rsidRDefault="007F1806" w:rsidP="005162C4">
            <w:pPr>
              <w:spacing w:after="0"/>
              <w:jc w:val="center"/>
              <w:rPr>
                <w:sz w:val="20"/>
                <w:szCs w:val="20"/>
                <w:lang w:val="en-AU"/>
              </w:rPr>
            </w:pPr>
            <w:r w:rsidRPr="005162C4">
              <w:rPr>
                <w:sz w:val="20"/>
                <w:szCs w:val="20"/>
                <w:lang w:val="en-AU"/>
              </w:rPr>
              <w:t>Observations about EP districts</w:t>
            </w:r>
          </w:p>
        </w:tc>
        <w:tc>
          <w:tcPr>
            <w:tcW w:w="7216" w:type="dxa"/>
            <w:gridSpan w:val="3"/>
            <w:tcBorders>
              <w:right w:val="single" w:sz="12" w:space="0" w:color="auto"/>
            </w:tcBorders>
            <w:vAlign w:val="center"/>
          </w:tcPr>
          <w:p w:rsidR="007F1806" w:rsidRPr="005162C4" w:rsidRDefault="00404DEF" w:rsidP="005162C4">
            <w:pPr>
              <w:pStyle w:val="ListParagraph"/>
              <w:numPr>
                <w:ilvl w:val="0"/>
                <w:numId w:val="12"/>
              </w:numPr>
              <w:spacing w:after="60" w:line="240" w:lineRule="auto"/>
              <w:ind w:left="284" w:hanging="284"/>
              <w:contextualSpacing w:val="0"/>
              <w:jc w:val="both"/>
              <w:rPr>
                <w:sz w:val="20"/>
                <w:szCs w:val="20"/>
                <w:lang w:val="en-AU"/>
              </w:rPr>
            </w:pPr>
            <w:r w:rsidRPr="005162C4">
              <w:rPr>
                <w:sz w:val="20"/>
                <w:szCs w:val="20"/>
                <w:lang w:val="en-AU"/>
              </w:rPr>
              <w:t xml:space="preserve">In 2007 EP districts were </w:t>
            </w:r>
            <w:r w:rsidR="00822048" w:rsidRPr="005162C4">
              <w:rPr>
                <w:sz w:val="20"/>
                <w:szCs w:val="20"/>
                <w:lang w:val="en-AU"/>
              </w:rPr>
              <w:t>largely</w:t>
            </w:r>
            <w:r w:rsidRPr="005162C4">
              <w:rPr>
                <w:sz w:val="20"/>
                <w:szCs w:val="20"/>
                <w:lang w:val="en-AU"/>
              </w:rPr>
              <w:t xml:space="preserve"> spending around the national average of 100% of budget funds, with the exception of Component 2 districts which were spending 90%.</w:t>
            </w:r>
          </w:p>
        </w:tc>
      </w:tr>
      <w:tr w:rsidR="007F1806" w:rsidRPr="005162C4" w:rsidTr="00790BC1">
        <w:trPr>
          <w:jc w:val="center"/>
        </w:trPr>
        <w:tc>
          <w:tcPr>
            <w:tcW w:w="1000" w:type="pct"/>
            <w:tcBorders>
              <w:left w:val="single" w:sz="12" w:space="0" w:color="auto"/>
            </w:tcBorders>
            <w:shd w:val="clear" w:color="auto" w:fill="BFBFBF" w:themeFill="background1" w:themeFillShade="BF"/>
            <w:vAlign w:val="center"/>
          </w:tcPr>
          <w:p w:rsidR="007F1806" w:rsidRPr="005162C4" w:rsidRDefault="007F1806" w:rsidP="005162C4">
            <w:pPr>
              <w:spacing w:after="0"/>
              <w:jc w:val="center"/>
              <w:rPr>
                <w:sz w:val="20"/>
                <w:szCs w:val="20"/>
                <w:lang w:val="en-AU"/>
              </w:rPr>
            </w:pPr>
            <w:r w:rsidRPr="005162C4">
              <w:rPr>
                <w:sz w:val="20"/>
                <w:szCs w:val="20"/>
                <w:lang w:val="en-AU"/>
              </w:rPr>
              <w:t>Observations about AIBEP districts</w:t>
            </w:r>
          </w:p>
        </w:tc>
        <w:tc>
          <w:tcPr>
            <w:tcW w:w="7216" w:type="dxa"/>
            <w:gridSpan w:val="3"/>
            <w:tcBorders>
              <w:right w:val="single" w:sz="12" w:space="0" w:color="auto"/>
            </w:tcBorders>
            <w:vAlign w:val="center"/>
          </w:tcPr>
          <w:p w:rsidR="007F1806" w:rsidRPr="005162C4" w:rsidRDefault="00237685" w:rsidP="005162C4">
            <w:pPr>
              <w:pStyle w:val="ListParagraph"/>
              <w:numPr>
                <w:ilvl w:val="0"/>
                <w:numId w:val="12"/>
              </w:numPr>
              <w:spacing w:after="60" w:line="240" w:lineRule="auto"/>
              <w:ind w:left="284" w:hanging="284"/>
              <w:contextualSpacing w:val="0"/>
              <w:jc w:val="both"/>
              <w:rPr>
                <w:sz w:val="20"/>
                <w:szCs w:val="20"/>
                <w:lang w:val="en-AU"/>
              </w:rPr>
            </w:pPr>
            <w:r w:rsidRPr="005162C4">
              <w:rPr>
                <w:sz w:val="20"/>
                <w:szCs w:val="20"/>
                <w:lang w:val="en-AU"/>
              </w:rPr>
              <w:t>The average BEP district increased its actual expenditure to 100% of budgeted allocati</w:t>
            </w:r>
            <w:r w:rsidR="007168AC" w:rsidRPr="005162C4">
              <w:rPr>
                <w:sz w:val="20"/>
                <w:szCs w:val="20"/>
                <w:lang w:val="en-AU"/>
              </w:rPr>
              <w:t xml:space="preserve">ons in 2007. This was up from </w:t>
            </w:r>
            <w:r w:rsidRPr="005162C4">
              <w:rPr>
                <w:sz w:val="20"/>
                <w:szCs w:val="20"/>
                <w:lang w:val="en-AU"/>
              </w:rPr>
              <w:t>92</w:t>
            </w:r>
            <w:r w:rsidR="007168AC" w:rsidRPr="005162C4">
              <w:rPr>
                <w:sz w:val="20"/>
                <w:szCs w:val="20"/>
                <w:lang w:val="en-AU"/>
              </w:rPr>
              <w:t>% expenditure</w:t>
            </w:r>
            <w:r w:rsidRPr="005162C4">
              <w:rPr>
                <w:sz w:val="20"/>
                <w:szCs w:val="20"/>
                <w:lang w:val="en-AU"/>
              </w:rPr>
              <w:t xml:space="preserve"> in 2006.</w:t>
            </w:r>
          </w:p>
        </w:tc>
      </w:tr>
      <w:tr w:rsidR="007F1806" w:rsidRPr="005162C4" w:rsidTr="00790BC1">
        <w:trPr>
          <w:jc w:val="center"/>
        </w:trPr>
        <w:tc>
          <w:tcPr>
            <w:tcW w:w="9019" w:type="dxa"/>
            <w:gridSpan w:val="4"/>
            <w:tcBorders>
              <w:left w:val="single" w:sz="12" w:space="0" w:color="auto"/>
              <w:bottom w:val="single" w:sz="4" w:space="0" w:color="auto"/>
              <w:right w:val="single" w:sz="12" w:space="0" w:color="auto"/>
            </w:tcBorders>
            <w:shd w:val="clear" w:color="auto" w:fill="4BACC6" w:themeFill="accent5"/>
            <w:vAlign w:val="center"/>
          </w:tcPr>
          <w:p w:rsidR="007F1806" w:rsidRPr="005162C4" w:rsidRDefault="005162C4" w:rsidP="005162C4">
            <w:pPr>
              <w:spacing w:after="0"/>
              <w:jc w:val="center"/>
              <w:rPr>
                <w:rFonts w:asciiTheme="minorHAnsi" w:hAnsiTheme="minorHAnsi" w:cstheme="minorHAnsi"/>
                <w:b/>
                <w:color w:val="FFFFFF" w:themeColor="background1"/>
                <w:sz w:val="20"/>
                <w:szCs w:val="20"/>
                <w:lang w:val="en-US"/>
              </w:rPr>
            </w:pPr>
            <w:r w:rsidRPr="005162C4">
              <w:rPr>
                <w:rFonts w:asciiTheme="minorHAnsi" w:hAnsiTheme="minorHAnsi" w:cstheme="minorHAnsi"/>
                <w:b/>
                <w:sz w:val="20"/>
                <w:szCs w:val="20"/>
                <w:lang w:val="en-US"/>
              </w:rPr>
              <w:lastRenderedPageBreak/>
              <w:t>IMPLICATIONS AND MATTERS ARISING</w:t>
            </w:r>
          </w:p>
        </w:tc>
      </w:tr>
      <w:tr w:rsidR="007F1806" w:rsidRPr="005162C4" w:rsidTr="00790BC1">
        <w:trPr>
          <w:jc w:val="center"/>
        </w:trPr>
        <w:tc>
          <w:tcPr>
            <w:tcW w:w="1000" w:type="pct"/>
            <w:tcBorders>
              <w:left w:val="single" w:sz="12" w:space="0" w:color="auto"/>
            </w:tcBorders>
            <w:shd w:val="clear" w:color="auto" w:fill="BFBFBF" w:themeFill="background1" w:themeFillShade="BF"/>
            <w:vAlign w:val="center"/>
          </w:tcPr>
          <w:p w:rsidR="007F1806" w:rsidRPr="005162C4" w:rsidRDefault="007F1806" w:rsidP="005162C4">
            <w:pPr>
              <w:spacing w:after="0"/>
              <w:jc w:val="center"/>
              <w:rPr>
                <w:sz w:val="20"/>
                <w:szCs w:val="20"/>
                <w:lang w:val="en-AU"/>
              </w:rPr>
            </w:pPr>
            <w:r w:rsidRPr="005162C4">
              <w:rPr>
                <w:sz w:val="20"/>
                <w:szCs w:val="20"/>
                <w:lang w:val="en-AU"/>
              </w:rPr>
              <w:t>For the performance of the education sector</w:t>
            </w:r>
          </w:p>
        </w:tc>
        <w:tc>
          <w:tcPr>
            <w:tcW w:w="7216" w:type="dxa"/>
            <w:gridSpan w:val="3"/>
            <w:tcBorders>
              <w:right w:val="single" w:sz="12" w:space="0" w:color="auto"/>
            </w:tcBorders>
            <w:vAlign w:val="center"/>
          </w:tcPr>
          <w:p w:rsidR="007F1806" w:rsidRPr="005162C4" w:rsidRDefault="00237685" w:rsidP="005162C4">
            <w:pPr>
              <w:pStyle w:val="ListParagraph"/>
              <w:numPr>
                <w:ilvl w:val="0"/>
                <w:numId w:val="12"/>
              </w:numPr>
              <w:spacing w:after="60" w:line="240" w:lineRule="auto"/>
              <w:ind w:left="284" w:hanging="284"/>
              <w:contextualSpacing w:val="0"/>
              <w:jc w:val="both"/>
              <w:rPr>
                <w:sz w:val="20"/>
                <w:szCs w:val="20"/>
                <w:lang w:val="en-AU"/>
              </w:rPr>
            </w:pPr>
            <w:r w:rsidRPr="005162C4">
              <w:rPr>
                <w:sz w:val="20"/>
                <w:szCs w:val="20"/>
                <w:lang w:val="en-AU"/>
              </w:rPr>
              <w:t xml:space="preserve">More recent actual expenditure data </w:t>
            </w:r>
            <w:r w:rsidR="00822048" w:rsidRPr="005162C4">
              <w:rPr>
                <w:sz w:val="20"/>
                <w:szCs w:val="20"/>
                <w:lang w:val="en-AU"/>
              </w:rPr>
              <w:t xml:space="preserve">are </w:t>
            </w:r>
            <w:r w:rsidRPr="005162C4">
              <w:rPr>
                <w:sz w:val="20"/>
                <w:szCs w:val="20"/>
                <w:lang w:val="en-AU"/>
              </w:rPr>
              <w:t>required to make any comment on implications for the education sector</w:t>
            </w:r>
          </w:p>
        </w:tc>
      </w:tr>
      <w:tr w:rsidR="007F1806" w:rsidRPr="005162C4" w:rsidTr="00790BC1">
        <w:trPr>
          <w:jc w:val="center"/>
        </w:trPr>
        <w:tc>
          <w:tcPr>
            <w:tcW w:w="1000" w:type="pct"/>
            <w:tcBorders>
              <w:left w:val="single" w:sz="12" w:space="0" w:color="auto"/>
              <w:bottom w:val="single" w:sz="12" w:space="0" w:color="auto"/>
            </w:tcBorders>
            <w:shd w:val="clear" w:color="auto" w:fill="BFBFBF" w:themeFill="background1" w:themeFillShade="BF"/>
            <w:vAlign w:val="center"/>
          </w:tcPr>
          <w:p w:rsidR="007F1806" w:rsidRPr="005162C4" w:rsidRDefault="007F1806" w:rsidP="005162C4">
            <w:pPr>
              <w:spacing w:after="0"/>
              <w:jc w:val="center"/>
              <w:rPr>
                <w:sz w:val="20"/>
                <w:szCs w:val="20"/>
                <w:lang w:val="en-AU"/>
              </w:rPr>
            </w:pPr>
            <w:r w:rsidRPr="005162C4">
              <w:rPr>
                <w:sz w:val="20"/>
                <w:szCs w:val="20"/>
                <w:lang w:val="en-AU"/>
              </w:rPr>
              <w:t>For the performance of the Education Partnership</w:t>
            </w:r>
          </w:p>
        </w:tc>
        <w:tc>
          <w:tcPr>
            <w:tcW w:w="7216" w:type="dxa"/>
            <w:gridSpan w:val="3"/>
            <w:tcBorders>
              <w:bottom w:val="single" w:sz="12" w:space="0" w:color="auto"/>
              <w:right w:val="single" w:sz="12" w:space="0" w:color="auto"/>
            </w:tcBorders>
            <w:vAlign w:val="center"/>
          </w:tcPr>
          <w:p w:rsidR="007F1806" w:rsidRPr="005162C4" w:rsidRDefault="00237685" w:rsidP="005162C4">
            <w:pPr>
              <w:pStyle w:val="ListParagraph"/>
              <w:numPr>
                <w:ilvl w:val="0"/>
                <w:numId w:val="12"/>
              </w:numPr>
              <w:spacing w:after="60" w:line="240" w:lineRule="auto"/>
              <w:ind w:left="284" w:hanging="284"/>
              <w:contextualSpacing w:val="0"/>
              <w:jc w:val="both"/>
              <w:rPr>
                <w:sz w:val="20"/>
                <w:szCs w:val="20"/>
                <w:lang w:val="en-AU"/>
              </w:rPr>
            </w:pPr>
            <w:r w:rsidRPr="005162C4">
              <w:rPr>
                <w:sz w:val="20"/>
                <w:szCs w:val="20"/>
                <w:lang w:val="en-AU"/>
              </w:rPr>
              <w:t xml:space="preserve">More recent actual expenditure data </w:t>
            </w:r>
            <w:r w:rsidR="00822048" w:rsidRPr="005162C4">
              <w:rPr>
                <w:sz w:val="20"/>
                <w:szCs w:val="20"/>
                <w:lang w:val="en-AU"/>
              </w:rPr>
              <w:t xml:space="preserve">are </w:t>
            </w:r>
            <w:r w:rsidRPr="005162C4">
              <w:rPr>
                <w:sz w:val="20"/>
                <w:szCs w:val="20"/>
                <w:lang w:val="en-AU"/>
              </w:rPr>
              <w:t>required to make any comment on implications for the Education Partnership</w:t>
            </w:r>
          </w:p>
        </w:tc>
      </w:tr>
    </w:tbl>
    <w:p w:rsidR="006A4E0A" w:rsidRDefault="006A4E0A" w:rsidP="006A4E0A"/>
    <w:p w:rsidR="006A4E0A" w:rsidRDefault="006A4E0A" w:rsidP="009A2DC1">
      <w:pPr>
        <w:pStyle w:val="Caption"/>
      </w:pPr>
      <w:bookmarkStart w:id="110" w:name="_Toc374182088"/>
      <w:bookmarkStart w:id="111" w:name="_Toc414281574"/>
      <w:r w:rsidRPr="007A0542">
        <w:t>Realised Education Expenditu</w:t>
      </w:r>
      <w:r>
        <w:t>re as % o</w:t>
      </w:r>
      <w:r w:rsidR="00F15066">
        <w:t>f Planned Expenditure 2006</w:t>
      </w:r>
      <w:r w:rsidR="00A15C80">
        <w:t>-07</w:t>
      </w:r>
      <w:r w:rsidR="0036323E">
        <w:t>, EP and Non-</w:t>
      </w:r>
      <w:r>
        <w:t>EP districts</w:t>
      </w:r>
      <w:bookmarkEnd w:id="110"/>
      <w:bookmarkEnd w:id="111"/>
    </w:p>
    <w:p w:rsidR="006A4E0A" w:rsidRDefault="00404DEF" w:rsidP="005162C4">
      <w:pPr>
        <w:spacing w:after="360"/>
        <w:jc w:val="center"/>
        <w:rPr>
          <w:b/>
          <w:i/>
          <w:noProof/>
          <w:lang w:val="en-AU" w:eastAsia="en-AU"/>
        </w:rPr>
      </w:pPr>
      <w:r>
        <w:rPr>
          <w:b/>
          <w:i/>
          <w:noProof/>
          <w:lang w:val="en-AU" w:eastAsia="en-AU"/>
        </w:rPr>
        <w:drawing>
          <wp:inline distT="0" distB="0" distL="0" distR="0" wp14:anchorId="77E8EC16" wp14:editId="3DB5FF5A">
            <wp:extent cx="5734050" cy="2828925"/>
            <wp:effectExtent l="19050" t="19050" r="19050"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3415" cy="2828612"/>
                    </a:xfrm>
                    <a:prstGeom prst="rect">
                      <a:avLst/>
                    </a:prstGeom>
                    <a:noFill/>
                    <a:ln>
                      <a:solidFill>
                        <a:schemeClr val="accent1"/>
                      </a:solidFill>
                    </a:ln>
                  </pic:spPr>
                </pic:pic>
              </a:graphicData>
            </a:graphic>
          </wp:inline>
        </w:drawing>
      </w:r>
    </w:p>
    <w:p w:rsidR="0036323E" w:rsidRDefault="0036323E" w:rsidP="006A4E0A"/>
    <w:p w:rsidR="006A4E0A" w:rsidRDefault="006A4E0A" w:rsidP="009A2DC1">
      <w:pPr>
        <w:pStyle w:val="Caption"/>
      </w:pPr>
      <w:bookmarkStart w:id="112" w:name="_Toc374182089"/>
      <w:bookmarkStart w:id="113" w:name="_Toc414281575"/>
      <w:r w:rsidRPr="007A0542">
        <w:lastRenderedPageBreak/>
        <w:t>Realised Education Expenditu</w:t>
      </w:r>
      <w:r>
        <w:t xml:space="preserve">re as % of Planned Expenditure 2006 </w:t>
      </w:r>
      <w:r w:rsidR="003D74D9">
        <w:t>- 20</w:t>
      </w:r>
      <w:r w:rsidR="00A15C80">
        <w:t>07</w:t>
      </w:r>
      <w:r>
        <w:t>, by Poverty Quintile</w:t>
      </w:r>
      <w:bookmarkEnd w:id="112"/>
      <w:bookmarkEnd w:id="113"/>
      <w:r>
        <w:t xml:space="preserve"> </w:t>
      </w:r>
    </w:p>
    <w:p w:rsidR="006A4E0A" w:rsidRDefault="00404DEF" w:rsidP="005162C4">
      <w:pPr>
        <w:spacing w:after="360"/>
        <w:jc w:val="center"/>
      </w:pPr>
      <w:r>
        <w:rPr>
          <w:noProof/>
          <w:lang w:val="en-AU" w:eastAsia="en-AU"/>
        </w:rPr>
        <w:drawing>
          <wp:inline distT="0" distB="0" distL="0" distR="0" wp14:anchorId="0A12072D" wp14:editId="70A9F6E7">
            <wp:extent cx="5734050" cy="2476500"/>
            <wp:effectExtent l="19050" t="19050" r="1905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3415" cy="2476226"/>
                    </a:xfrm>
                    <a:prstGeom prst="rect">
                      <a:avLst/>
                    </a:prstGeom>
                    <a:noFill/>
                    <a:ln>
                      <a:solidFill>
                        <a:schemeClr val="accent1"/>
                      </a:solidFill>
                    </a:ln>
                  </pic:spPr>
                </pic:pic>
              </a:graphicData>
            </a:graphic>
          </wp:inline>
        </w:drawing>
      </w:r>
    </w:p>
    <w:p w:rsidR="006A4E0A" w:rsidRDefault="006A4E0A" w:rsidP="001419DA">
      <w:pPr>
        <w:spacing w:line="276" w:lineRule="auto"/>
        <w:jc w:val="both"/>
      </w:pPr>
      <w:r w:rsidRPr="00FA7E38">
        <w:rPr>
          <w:b/>
          <w:i/>
        </w:rPr>
        <w:t>Policy Implications</w:t>
      </w:r>
      <w:r>
        <w:rPr>
          <w:b/>
          <w:i/>
        </w:rPr>
        <w:t xml:space="preserve">: </w:t>
      </w:r>
      <w:r w:rsidRPr="002334F0">
        <w:t xml:space="preserve">Too many districts </w:t>
      </w:r>
      <w:r>
        <w:t xml:space="preserve">may be </w:t>
      </w:r>
      <w:r w:rsidRPr="002334F0">
        <w:t>failing</w:t>
      </w:r>
      <w:r>
        <w:t xml:space="preserve"> to expend their allocated annual education budgets. The difficulty of the poorest districts in expending their budgets is of a particular concern given the access and quality problems in these districts. The quantum of funds may not be the greatest problem facing some districts, and/or there may be other problems related to disbursement restrictions and reporting or planning requirements.</w:t>
      </w:r>
    </w:p>
    <w:p w:rsidR="00237685" w:rsidRDefault="00237685" w:rsidP="001419DA">
      <w:pPr>
        <w:spacing w:line="276" w:lineRule="auto"/>
        <w:jc w:val="both"/>
      </w:pPr>
      <w:r>
        <w:t>However, more recent data is required to confirm that these findings still apply or if there have been any significant changes.</w:t>
      </w:r>
    </w:p>
    <w:p w:rsidR="00962BFF" w:rsidRDefault="00962BFF">
      <w:pPr>
        <w:spacing w:after="0"/>
        <w:rPr>
          <w:rFonts w:asciiTheme="minorHAnsi" w:hAnsiTheme="minorHAnsi" w:cstheme="minorHAnsi"/>
          <w:b/>
          <w:bCs/>
          <w:i/>
          <w:iCs/>
          <w:color w:val="003880"/>
          <w:sz w:val="24"/>
          <w:szCs w:val="28"/>
        </w:rPr>
      </w:pPr>
      <w:r>
        <w:br w:type="page"/>
      </w:r>
    </w:p>
    <w:p w:rsidR="006A4E0A" w:rsidRDefault="006A4E0A" w:rsidP="00DB55DD">
      <w:pPr>
        <w:pStyle w:val="Heading3"/>
      </w:pPr>
      <w:r>
        <w:lastRenderedPageBreak/>
        <w:t>SPI</w:t>
      </w:r>
      <w:r w:rsidR="00D40606">
        <w:t xml:space="preserve"> </w:t>
      </w:r>
      <w:r w:rsidR="003245E4">
        <w:t>1</w:t>
      </w:r>
      <w:r>
        <w:t xml:space="preserve">: Discretionary </w:t>
      </w:r>
      <w:r w:rsidRPr="004F53DB">
        <w:t xml:space="preserve">School Expenditure </w:t>
      </w:r>
      <w:r>
        <w:t>as Percentage</w:t>
      </w:r>
      <w:r w:rsidRPr="004F53DB">
        <w:t xml:space="preserve"> </w:t>
      </w:r>
      <w:r>
        <w:t>o</w:t>
      </w:r>
      <w:r w:rsidRPr="004F53DB">
        <w:t>f Total Education Expenditure</w:t>
      </w:r>
    </w:p>
    <w:p w:rsidR="006A4E0A" w:rsidRDefault="006A4E0A" w:rsidP="009A2DC1">
      <w:pPr>
        <w:pStyle w:val="Caption"/>
      </w:pPr>
      <w:bookmarkStart w:id="114" w:name="_Toc374182091"/>
      <w:bookmarkStart w:id="115" w:name="_Toc414281576"/>
      <w:r w:rsidRPr="00D33073">
        <w:t>BOS Grants as % of</w:t>
      </w:r>
      <w:r>
        <w:t xml:space="preserve"> Educ</w:t>
      </w:r>
      <w:r w:rsidR="00B90A96">
        <w:t>ation &amp; Culture Budget 2006-2013</w:t>
      </w:r>
      <w:bookmarkEnd w:id="114"/>
      <w:bookmarkEnd w:id="115"/>
    </w:p>
    <w:p w:rsidR="006A4E0A" w:rsidRDefault="00B90A96" w:rsidP="005162C4">
      <w:pPr>
        <w:spacing w:after="360"/>
        <w:jc w:val="center"/>
      </w:pPr>
      <w:r>
        <w:rPr>
          <w:noProof/>
          <w:lang w:val="en-AU" w:eastAsia="en-AU"/>
        </w:rPr>
        <w:drawing>
          <wp:inline distT="0" distB="0" distL="0" distR="0" wp14:anchorId="4371E68B" wp14:editId="03A62842">
            <wp:extent cx="5733415" cy="2597276"/>
            <wp:effectExtent l="19050" t="19050" r="19685"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3415" cy="2597276"/>
                    </a:xfrm>
                    <a:prstGeom prst="rect">
                      <a:avLst/>
                    </a:prstGeom>
                    <a:noFill/>
                    <a:ln>
                      <a:solidFill>
                        <a:schemeClr val="accent1"/>
                      </a:solidFill>
                    </a:ln>
                  </pic:spPr>
                </pic:pic>
              </a:graphicData>
            </a:graphic>
          </wp:inline>
        </w:drawing>
      </w:r>
    </w:p>
    <w:p w:rsidR="007F1806" w:rsidRDefault="007F1806" w:rsidP="006A4E0A">
      <w:pPr>
        <w:rPr>
          <w:sz w:val="16"/>
          <w:szCs w:val="16"/>
          <w:highlight w:val="yellow"/>
        </w:rPr>
      </w:pPr>
    </w:p>
    <w:tbl>
      <w:tblPr>
        <w:tblStyle w:val="TableGrid3"/>
        <w:tblW w:w="5000" w:type="pct"/>
        <w:jc w:val="center"/>
        <w:tblLayout w:type="fixed"/>
        <w:tblCellMar>
          <w:top w:w="28" w:type="dxa"/>
          <w:bottom w:w="28" w:type="dxa"/>
        </w:tblCellMar>
        <w:tblLook w:val="04A0" w:firstRow="1" w:lastRow="0" w:firstColumn="1" w:lastColumn="0" w:noHBand="0" w:noVBand="1"/>
      </w:tblPr>
      <w:tblGrid>
        <w:gridCol w:w="1849"/>
        <w:gridCol w:w="1849"/>
        <w:gridCol w:w="1849"/>
        <w:gridCol w:w="3698"/>
      </w:tblGrid>
      <w:tr w:rsidR="007F1806" w:rsidRPr="005162C4" w:rsidTr="00790BC1">
        <w:trPr>
          <w:tblHeader/>
          <w:jc w:val="center"/>
        </w:trPr>
        <w:tc>
          <w:tcPr>
            <w:tcW w:w="1000" w:type="pct"/>
            <w:tcBorders>
              <w:top w:val="single" w:sz="12" w:space="0" w:color="auto"/>
              <w:left w:val="single" w:sz="12" w:space="0" w:color="auto"/>
              <w:bottom w:val="single" w:sz="4" w:space="0" w:color="auto"/>
              <w:right w:val="single" w:sz="4" w:space="0" w:color="FFFFFF" w:themeColor="background1"/>
            </w:tcBorders>
            <w:shd w:val="clear" w:color="auto" w:fill="003880"/>
            <w:vAlign w:val="center"/>
          </w:tcPr>
          <w:p w:rsidR="007F1806" w:rsidRPr="005162C4" w:rsidRDefault="005162C4" w:rsidP="005162C4">
            <w:pPr>
              <w:spacing w:after="0"/>
              <w:jc w:val="center"/>
              <w:rPr>
                <w:rFonts w:asciiTheme="minorHAnsi" w:hAnsiTheme="minorHAnsi" w:cstheme="minorHAnsi"/>
                <w:b/>
                <w:color w:val="FFFFFF" w:themeColor="background1"/>
                <w:sz w:val="20"/>
                <w:szCs w:val="20"/>
                <w:lang w:val="en-US"/>
              </w:rPr>
            </w:pPr>
            <w:r w:rsidRPr="005162C4">
              <w:rPr>
                <w:rFonts w:asciiTheme="minorHAnsi" w:hAnsiTheme="minorHAnsi" w:cstheme="minorHAnsi"/>
                <w:b/>
                <w:color w:val="FFFFFF" w:themeColor="background1"/>
                <w:sz w:val="20"/>
                <w:szCs w:val="20"/>
                <w:lang w:val="en-US"/>
              </w:rPr>
              <w:t xml:space="preserve">SPI </w:t>
            </w:r>
            <w:r w:rsidR="00A15C80">
              <w:rPr>
                <w:rFonts w:asciiTheme="minorHAnsi" w:hAnsiTheme="minorHAnsi" w:cstheme="minorHAnsi"/>
                <w:b/>
                <w:color w:val="FFFFFF" w:themeColor="background1"/>
                <w:sz w:val="20"/>
                <w:szCs w:val="20"/>
                <w:lang w:val="en-US"/>
              </w:rPr>
              <w:t>1</w:t>
            </w:r>
          </w:p>
        </w:tc>
        <w:tc>
          <w:tcPr>
            <w:tcW w:w="7216" w:type="dxa"/>
            <w:gridSpan w:val="3"/>
            <w:tcBorders>
              <w:top w:val="single" w:sz="12" w:space="0" w:color="auto"/>
              <w:left w:val="single" w:sz="4" w:space="0" w:color="FFFFFF" w:themeColor="background1"/>
              <w:bottom w:val="single" w:sz="4" w:space="0" w:color="auto"/>
              <w:right w:val="single" w:sz="12" w:space="0" w:color="auto"/>
            </w:tcBorders>
            <w:shd w:val="clear" w:color="auto" w:fill="003880"/>
            <w:vAlign w:val="center"/>
          </w:tcPr>
          <w:p w:rsidR="007F1806" w:rsidRPr="005162C4" w:rsidRDefault="005162C4" w:rsidP="005162C4">
            <w:pPr>
              <w:spacing w:after="0"/>
              <w:jc w:val="center"/>
              <w:rPr>
                <w:rFonts w:asciiTheme="minorHAnsi" w:hAnsiTheme="minorHAnsi" w:cstheme="minorHAnsi"/>
                <w:b/>
                <w:color w:val="FFFFFF" w:themeColor="background1"/>
                <w:sz w:val="20"/>
                <w:szCs w:val="20"/>
                <w:lang w:val="en-US"/>
              </w:rPr>
            </w:pPr>
            <w:r w:rsidRPr="005162C4">
              <w:rPr>
                <w:rFonts w:asciiTheme="minorHAnsi" w:hAnsiTheme="minorHAnsi" w:cstheme="minorHAnsi"/>
                <w:b/>
                <w:bCs/>
                <w:color w:val="FFFFFF" w:themeColor="background1"/>
                <w:sz w:val="20"/>
                <w:szCs w:val="20"/>
                <w:lang w:val="en-US"/>
              </w:rPr>
              <w:t xml:space="preserve"> DISCRETIONARY SCHOOL EXPENDITURE AS PERCENTAGE OF TOTAL EDUCATION EXPENDITURE </w:t>
            </w:r>
          </w:p>
        </w:tc>
      </w:tr>
      <w:tr w:rsidR="007F1806" w:rsidRPr="005162C4" w:rsidTr="00790BC1">
        <w:trPr>
          <w:tblHeader/>
          <w:jc w:val="center"/>
        </w:trPr>
        <w:tc>
          <w:tcPr>
            <w:tcW w:w="9019" w:type="dxa"/>
            <w:gridSpan w:val="4"/>
            <w:tcBorders>
              <w:left w:val="single" w:sz="12" w:space="0" w:color="auto"/>
              <w:bottom w:val="single" w:sz="4" w:space="0" w:color="auto"/>
              <w:right w:val="single" w:sz="12" w:space="0" w:color="auto"/>
            </w:tcBorders>
            <w:shd w:val="clear" w:color="auto" w:fill="4BACC6" w:themeFill="accent5"/>
            <w:vAlign w:val="center"/>
          </w:tcPr>
          <w:p w:rsidR="007F1806" w:rsidRPr="005162C4" w:rsidRDefault="005162C4" w:rsidP="005162C4">
            <w:pPr>
              <w:spacing w:after="0"/>
              <w:jc w:val="center"/>
              <w:rPr>
                <w:rFonts w:asciiTheme="minorHAnsi" w:hAnsiTheme="minorHAnsi" w:cstheme="minorHAnsi"/>
                <w:b/>
                <w:color w:val="FFFFFF" w:themeColor="background1"/>
                <w:sz w:val="20"/>
                <w:szCs w:val="20"/>
                <w:lang w:val="en-US"/>
              </w:rPr>
            </w:pPr>
            <w:r w:rsidRPr="005162C4">
              <w:rPr>
                <w:rFonts w:asciiTheme="minorHAnsi" w:hAnsiTheme="minorHAnsi" w:cstheme="minorHAnsi"/>
                <w:b/>
                <w:sz w:val="20"/>
                <w:szCs w:val="20"/>
                <w:lang w:val="en-US"/>
              </w:rPr>
              <w:t>STATUS AND TRENDS</w:t>
            </w:r>
          </w:p>
        </w:tc>
      </w:tr>
      <w:tr w:rsidR="007F1806" w:rsidRPr="005162C4" w:rsidTr="00BD6D46">
        <w:trPr>
          <w:jc w:val="center"/>
        </w:trPr>
        <w:tc>
          <w:tcPr>
            <w:tcW w:w="1000" w:type="pct"/>
            <w:tcBorders>
              <w:left w:val="single" w:sz="12" w:space="0" w:color="auto"/>
              <w:bottom w:val="single" w:sz="4" w:space="0" w:color="auto"/>
            </w:tcBorders>
            <w:shd w:val="clear" w:color="auto" w:fill="BFBFBF" w:themeFill="background1" w:themeFillShade="BF"/>
            <w:vAlign w:val="center"/>
          </w:tcPr>
          <w:p w:rsidR="007F1806" w:rsidRPr="005162C4" w:rsidRDefault="007F1806" w:rsidP="005162C4">
            <w:pPr>
              <w:spacing w:after="0"/>
              <w:jc w:val="center"/>
              <w:rPr>
                <w:sz w:val="20"/>
                <w:szCs w:val="20"/>
                <w:lang w:val="en-AU"/>
              </w:rPr>
            </w:pPr>
            <w:r w:rsidRPr="005162C4">
              <w:rPr>
                <w:sz w:val="20"/>
                <w:szCs w:val="20"/>
                <w:lang w:val="en-AU"/>
              </w:rPr>
              <w:t>Result</w:t>
            </w:r>
          </w:p>
        </w:tc>
        <w:tc>
          <w:tcPr>
            <w:tcW w:w="1000" w:type="pct"/>
            <w:shd w:val="clear" w:color="auto" w:fill="FFC000"/>
            <w:vAlign w:val="center"/>
          </w:tcPr>
          <w:p w:rsidR="007F1806" w:rsidRPr="005162C4" w:rsidRDefault="00BD6D46" w:rsidP="005162C4">
            <w:pPr>
              <w:spacing w:after="0"/>
              <w:jc w:val="center"/>
              <w:rPr>
                <w:sz w:val="20"/>
                <w:szCs w:val="20"/>
                <w:lang w:val="en-AU"/>
              </w:rPr>
            </w:pPr>
            <w:r>
              <w:rPr>
                <w:sz w:val="20"/>
                <w:szCs w:val="20"/>
                <w:lang w:val="en-AU"/>
              </w:rPr>
              <w:t>Neutral</w:t>
            </w:r>
          </w:p>
        </w:tc>
        <w:tc>
          <w:tcPr>
            <w:tcW w:w="1000" w:type="pct"/>
            <w:shd w:val="clear" w:color="auto" w:fill="BFBFBF" w:themeFill="background1" w:themeFillShade="BF"/>
            <w:vAlign w:val="center"/>
          </w:tcPr>
          <w:p w:rsidR="007F1806" w:rsidRPr="005162C4" w:rsidRDefault="007F1806" w:rsidP="005162C4">
            <w:pPr>
              <w:spacing w:after="0"/>
              <w:jc w:val="center"/>
              <w:rPr>
                <w:sz w:val="20"/>
                <w:szCs w:val="20"/>
                <w:lang w:val="en-AU"/>
              </w:rPr>
            </w:pPr>
            <w:r w:rsidRPr="005162C4">
              <w:rPr>
                <w:sz w:val="20"/>
                <w:szCs w:val="20"/>
                <w:lang w:val="en-AU"/>
              </w:rPr>
              <w:t>Data availability</w:t>
            </w:r>
          </w:p>
        </w:tc>
        <w:tc>
          <w:tcPr>
            <w:tcW w:w="3608" w:type="dxa"/>
            <w:tcBorders>
              <w:right w:val="single" w:sz="12" w:space="0" w:color="auto"/>
            </w:tcBorders>
            <w:vAlign w:val="center"/>
          </w:tcPr>
          <w:p w:rsidR="007F1806" w:rsidRPr="005162C4" w:rsidRDefault="003B1CD4" w:rsidP="005162C4">
            <w:pPr>
              <w:spacing w:after="0"/>
              <w:rPr>
                <w:sz w:val="20"/>
                <w:szCs w:val="20"/>
                <w:lang w:val="en-AU"/>
              </w:rPr>
            </w:pPr>
            <w:r w:rsidRPr="005162C4">
              <w:rPr>
                <w:sz w:val="20"/>
                <w:szCs w:val="20"/>
                <w:lang w:val="en-AU"/>
              </w:rPr>
              <w:t xml:space="preserve">BOS grants are used as a proxy variable for discretionary expenditure. </w:t>
            </w:r>
          </w:p>
        </w:tc>
      </w:tr>
      <w:tr w:rsidR="007F1806" w:rsidRPr="005162C4" w:rsidTr="00790BC1">
        <w:trPr>
          <w:jc w:val="center"/>
        </w:trPr>
        <w:tc>
          <w:tcPr>
            <w:tcW w:w="1000" w:type="pct"/>
            <w:tcBorders>
              <w:left w:val="single" w:sz="12" w:space="0" w:color="auto"/>
            </w:tcBorders>
            <w:shd w:val="clear" w:color="auto" w:fill="BFBFBF" w:themeFill="background1" w:themeFillShade="BF"/>
            <w:vAlign w:val="center"/>
          </w:tcPr>
          <w:p w:rsidR="007F1806" w:rsidRPr="005162C4" w:rsidRDefault="007F1806" w:rsidP="005162C4">
            <w:pPr>
              <w:spacing w:after="0"/>
              <w:jc w:val="center"/>
              <w:rPr>
                <w:sz w:val="20"/>
                <w:szCs w:val="20"/>
                <w:lang w:val="en-AU"/>
              </w:rPr>
            </w:pPr>
            <w:r w:rsidRPr="005162C4">
              <w:rPr>
                <w:sz w:val="20"/>
                <w:szCs w:val="20"/>
                <w:lang w:val="en-AU"/>
              </w:rPr>
              <w:t>Observations</w:t>
            </w:r>
          </w:p>
        </w:tc>
        <w:tc>
          <w:tcPr>
            <w:tcW w:w="7216" w:type="dxa"/>
            <w:gridSpan w:val="3"/>
            <w:tcBorders>
              <w:right w:val="single" w:sz="12" w:space="0" w:color="auto"/>
            </w:tcBorders>
            <w:vAlign w:val="center"/>
          </w:tcPr>
          <w:p w:rsidR="003B1CD4" w:rsidRPr="005162C4" w:rsidRDefault="003B1CD4" w:rsidP="005162C4">
            <w:pPr>
              <w:pStyle w:val="ListParagraph"/>
              <w:numPr>
                <w:ilvl w:val="0"/>
                <w:numId w:val="12"/>
              </w:numPr>
              <w:spacing w:after="60" w:line="240" w:lineRule="auto"/>
              <w:ind w:left="284" w:hanging="284"/>
              <w:contextualSpacing w:val="0"/>
              <w:jc w:val="both"/>
              <w:rPr>
                <w:sz w:val="20"/>
                <w:szCs w:val="20"/>
                <w:lang w:val="en-AU"/>
              </w:rPr>
            </w:pPr>
            <w:r w:rsidRPr="005162C4">
              <w:rPr>
                <w:sz w:val="20"/>
                <w:szCs w:val="20"/>
                <w:lang w:val="en-AU"/>
              </w:rPr>
              <w:t>The BOS grants distributed by districts provide a key source of discretionary funds available to schools under their own management. They have injected a dramatic new dimension to school resourcing. Direct payment to schools minimizes the opportunities for leakage before the funds reach the school.</w:t>
            </w:r>
          </w:p>
          <w:p w:rsidR="003B1CD4" w:rsidRPr="005162C4" w:rsidRDefault="003B1CD4" w:rsidP="005162C4">
            <w:pPr>
              <w:pStyle w:val="ListParagraph"/>
              <w:numPr>
                <w:ilvl w:val="0"/>
                <w:numId w:val="12"/>
              </w:numPr>
              <w:spacing w:after="60" w:line="240" w:lineRule="auto"/>
              <w:ind w:left="284" w:hanging="284"/>
              <w:contextualSpacing w:val="0"/>
              <w:jc w:val="both"/>
              <w:rPr>
                <w:sz w:val="20"/>
                <w:szCs w:val="20"/>
                <w:lang w:val="en-AU"/>
              </w:rPr>
            </w:pPr>
            <w:r w:rsidRPr="005162C4">
              <w:rPr>
                <w:sz w:val="20"/>
                <w:szCs w:val="20"/>
                <w:lang w:val="en-AU"/>
              </w:rPr>
              <w:t>BOS grants offer great potential for funding innovative and securely resourced interventions at schools that have an ongoing recurrent funding base. This allows school principals to plan around these allocations instead of pursuing submission based grant models.</w:t>
            </w:r>
          </w:p>
          <w:p w:rsidR="007F1806" w:rsidRPr="0024382F" w:rsidRDefault="0024382F" w:rsidP="00F40BF5">
            <w:pPr>
              <w:pStyle w:val="ListParagraph"/>
              <w:numPr>
                <w:ilvl w:val="0"/>
                <w:numId w:val="12"/>
              </w:numPr>
              <w:spacing w:after="60" w:line="240" w:lineRule="auto"/>
              <w:ind w:left="284" w:hanging="284"/>
              <w:contextualSpacing w:val="0"/>
              <w:jc w:val="both"/>
              <w:rPr>
                <w:sz w:val="20"/>
                <w:szCs w:val="20"/>
                <w:lang w:val="en-AU"/>
              </w:rPr>
            </w:pPr>
            <w:r>
              <w:rPr>
                <w:sz w:val="20"/>
                <w:szCs w:val="20"/>
                <w:lang w:val="en-AU"/>
              </w:rPr>
              <w:t xml:space="preserve">In 2013, the BOS grants have marginally </w:t>
            </w:r>
            <w:r w:rsidR="00BC7F56">
              <w:rPr>
                <w:sz w:val="20"/>
                <w:szCs w:val="20"/>
                <w:lang w:val="en-AU"/>
              </w:rPr>
              <w:t>dec</w:t>
            </w:r>
            <w:r w:rsidR="00BC7F56" w:rsidRPr="005162C4">
              <w:rPr>
                <w:sz w:val="20"/>
                <w:szCs w:val="20"/>
                <w:lang w:val="en-AU"/>
              </w:rPr>
              <w:t>reased</w:t>
            </w:r>
            <w:r w:rsidR="003B1CD4" w:rsidRPr="005162C4">
              <w:rPr>
                <w:sz w:val="20"/>
                <w:szCs w:val="20"/>
                <w:lang w:val="en-AU"/>
              </w:rPr>
              <w:t xml:space="preserve"> as a proportion of the district education budget as a result of </w:t>
            </w:r>
            <w:r>
              <w:rPr>
                <w:sz w:val="20"/>
                <w:szCs w:val="20"/>
                <w:lang w:val="en-AU"/>
              </w:rPr>
              <w:t>no indexation in their value</w:t>
            </w:r>
            <w:r w:rsidR="001A093B" w:rsidRPr="005162C4">
              <w:rPr>
                <w:sz w:val="20"/>
                <w:szCs w:val="20"/>
                <w:lang w:val="en-AU"/>
              </w:rPr>
              <w:t xml:space="preserve"> (see Figure</w:t>
            </w:r>
            <w:r w:rsidR="009B6D6D">
              <w:rPr>
                <w:sz w:val="20"/>
                <w:szCs w:val="20"/>
                <w:lang w:val="en-AU"/>
              </w:rPr>
              <w:t xml:space="preserve"> </w:t>
            </w:r>
            <w:r w:rsidR="001A093B" w:rsidRPr="005162C4">
              <w:rPr>
                <w:sz w:val="20"/>
                <w:szCs w:val="20"/>
                <w:lang w:val="en-AU"/>
              </w:rPr>
              <w:t>4</w:t>
            </w:r>
            <w:r w:rsidR="00710F2F">
              <w:rPr>
                <w:sz w:val="20"/>
                <w:szCs w:val="20"/>
                <w:lang w:val="en-AU"/>
              </w:rPr>
              <w:t>4</w:t>
            </w:r>
            <w:r w:rsidR="001A093B" w:rsidRPr="005162C4">
              <w:rPr>
                <w:sz w:val="20"/>
                <w:szCs w:val="20"/>
                <w:lang w:val="en-AU"/>
              </w:rPr>
              <w:t>, above)</w:t>
            </w:r>
            <w:r w:rsidR="003B1CD4" w:rsidRPr="005162C4">
              <w:rPr>
                <w:sz w:val="20"/>
                <w:szCs w:val="20"/>
                <w:lang w:val="en-AU"/>
              </w:rPr>
              <w:t xml:space="preserve">. </w:t>
            </w:r>
          </w:p>
        </w:tc>
      </w:tr>
      <w:tr w:rsidR="007F1806" w:rsidRPr="005162C4" w:rsidTr="00790BC1">
        <w:trPr>
          <w:tblHeader/>
          <w:jc w:val="center"/>
        </w:trPr>
        <w:tc>
          <w:tcPr>
            <w:tcW w:w="9019" w:type="dxa"/>
            <w:gridSpan w:val="4"/>
            <w:tcBorders>
              <w:left w:val="single" w:sz="12" w:space="0" w:color="auto"/>
              <w:bottom w:val="single" w:sz="4" w:space="0" w:color="auto"/>
              <w:right w:val="single" w:sz="12" w:space="0" w:color="auto"/>
            </w:tcBorders>
            <w:shd w:val="clear" w:color="auto" w:fill="4BACC6" w:themeFill="accent5"/>
            <w:vAlign w:val="center"/>
          </w:tcPr>
          <w:p w:rsidR="007F1806" w:rsidRPr="005162C4" w:rsidRDefault="005162C4" w:rsidP="005162C4">
            <w:pPr>
              <w:spacing w:after="0"/>
              <w:jc w:val="center"/>
              <w:rPr>
                <w:rFonts w:asciiTheme="minorHAnsi" w:hAnsiTheme="minorHAnsi" w:cstheme="minorHAnsi"/>
                <w:b/>
                <w:color w:val="FFFFFF" w:themeColor="background1"/>
                <w:sz w:val="20"/>
                <w:szCs w:val="20"/>
                <w:lang w:val="en-US"/>
              </w:rPr>
            </w:pPr>
            <w:r w:rsidRPr="005162C4">
              <w:rPr>
                <w:rFonts w:asciiTheme="minorHAnsi" w:hAnsiTheme="minorHAnsi" w:cstheme="minorHAnsi"/>
                <w:b/>
                <w:sz w:val="20"/>
                <w:szCs w:val="20"/>
                <w:lang w:val="en-US"/>
              </w:rPr>
              <w:t>IMPLICATIONS AND MATTERS ARISING</w:t>
            </w:r>
          </w:p>
        </w:tc>
      </w:tr>
      <w:tr w:rsidR="007F1806" w:rsidRPr="005162C4" w:rsidTr="00790BC1">
        <w:trPr>
          <w:jc w:val="center"/>
        </w:trPr>
        <w:tc>
          <w:tcPr>
            <w:tcW w:w="1000" w:type="pct"/>
            <w:tcBorders>
              <w:left w:val="single" w:sz="12" w:space="0" w:color="auto"/>
            </w:tcBorders>
            <w:shd w:val="clear" w:color="auto" w:fill="BFBFBF" w:themeFill="background1" w:themeFillShade="BF"/>
            <w:vAlign w:val="center"/>
          </w:tcPr>
          <w:p w:rsidR="007F1806" w:rsidRPr="005162C4" w:rsidRDefault="007F1806" w:rsidP="005162C4">
            <w:pPr>
              <w:spacing w:after="0"/>
              <w:jc w:val="center"/>
              <w:rPr>
                <w:sz w:val="20"/>
                <w:szCs w:val="20"/>
                <w:lang w:val="en-AU"/>
              </w:rPr>
            </w:pPr>
            <w:r w:rsidRPr="005162C4">
              <w:rPr>
                <w:sz w:val="20"/>
                <w:szCs w:val="20"/>
                <w:lang w:val="en-AU"/>
              </w:rPr>
              <w:t>For the performance of the education sector</w:t>
            </w:r>
          </w:p>
        </w:tc>
        <w:tc>
          <w:tcPr>
            <w:tcW w:w="7216" w:type="dxa"/>
            <w:gridSpan w:val="3"/>
            <w:tcBorders>
              <w:right w:val="single" w:sz="12" w:space="0" w:color="auto"/>
            </w:tcBorders>
            <w:vAlign w:val="center"/>
          </w:tcPr>
          <w:p w:rsidR="003B1CD4" w:rsidRPr="005162C4" w:rsidRDefault="003B1CD4" w:rsidP="005162C4">
            <w:pPr>
              <w:pStyle w:val="ListParagraph"/>
              <w:numPr>
                <w:ilvl w:val="0"/>
                <w:numId w:val="12"/>
              </w:numPr>
              <w:spacing w:after="60" w:line="240" w:lineRule="auto"/>
              <w:ind w:left="284" w:hanging="284"/>
              <w:contextualSpacing w:val="0"/>
              <w:jc w:val="both"/>
              <w:rPr>
                <w:sz w:val="20"/>
                <w:szCs w:val="20"/>
                <w:lang w:val="en-AU"/>
              </w:rPr>
            </w:pPr>
            <w:r w:rsidRPr="005162C4">
              <w:rPr>
                <w:sz w:val="20"/>
                <w:szCs w:val="20"/>
                <w:lang w:val="en-AU"/>
              </w:rPr>
              <w:t xml:space="preserve">BOS grants provide a critical injection of funds at the school level. It is important that these funds are utilised as effectively as possible. The injection of such a large scale of funds to schools poses an obvious fiduciary risk. This risk appears at the school level where there have been wide spread reports of funds not being used appropriately or not being accounted for as required. </w:t>
            </w:r>
          </w:p>
          <w:p w:rsidR="007F1806" w:rsidRPr="005162C4" w:rsidRDefault="003B1CD4" w:rsidP="005162C4">
            <w:pPr>
              <w:pStyle w:val="ListParagraph"/>
              <w:numPr>
                <w:ilvl w:val="0"/>
                <w:numId w:val="12"/>
              </w:numPr>
              <w:spacing w:after="60" w:line="240" w:lineRule="auto"/>
              <w:ind w:left="284" w:hanging="284"/>
              <w:contextualSpacing w:val="0"/>
              <w:jc w:val="both"/>
              <w:rPr>
                <w:sz w:val="20"/>
                <w:szCs w:val="20"/>
                <w:lang w:val="en-AU"/>
              </w:rPr>
            </w:pPr>
            <w:r w:rsidRPr="005162C4">
              <w:rPr>
                <w:sz w:val="20"/>
                <w:szCs w:val="20"/>
                <w:lang w:val="en-AU"/>
              </w:rPr>
              <w:t>The challenge for government will be to put in place the appropriate training, monitoring and support to enable the effective use of these funds as well as identifying the inevitable instances where</w:t>
            </w:r>
            <w:r w:rsidRPr="005162C4">
              <w:rPr>
                <w:sz w:val="20"/>
                <w:szCs w:val="20"/>
              </w:rPr>
              <w:t xml:space="preserve"> </w:t>
            </w:r>
            <w:r w:rsidRPr="005162C4">
              <w:rPr>
                <w:sz w:val="20"/>
                <w:szCs w:val="20"/>
                <w:lang w:val="en-AU"/>
              </w:rPr>
              <w:t xml:space="preserve">these funds are not properly expended or adequately reported. </w:t>
            </w:r>
          </w:p>
        </w:tc>
      </w:tr>
      <w:tr w:rsidR="007F1806" w:rsidRPr="005162C4" w:rsidTr="00790BC1">
        <w:trPr>
          <w:jc w:val="center"/>
        </w:trPr>
        <w:tc>
          <w:tcPr>
            <w:tcW w:w="1000" w:type="pct"/>
            <w:tcBorders>
              <w:left w:val="single" w:sz="12" w:space="0" w:color="auto"/>
              <w:bottom w:val="single" w:sz="12" w:space="0" w:color="auto"/>
            </w:tcBorders>
            <w:shd w:val="clear" w:color="auto" w:fill="BFBFBF" w:themeFill="background1" w:themeFillShade="BF"/>
            <w:vAlign w:val="center"/>
          </w:tcPr>
          <w:p w:rsidR="007F1806" w:rsidRPr="005162C4" w:rsidRDefault="007F1806" w:rsidP="005162C4">
            <w:pPr>
              <w:spacing w:after="0"/>
              <w:jc w:val="center"/>
              <w:rPr>
                <w:sz w:val="20"/>
                <w:szCs w:val="20"/>
                <w:lang w:val="en-AU"/>
              </w:rPr>
            </w:pPr>
            <w:r w:rsidRPr="005162C4">
              <w:rPr>
                <w:sz w:val="20"/>
                <w:szCs w:val="20"/>
                <w:lang w:val="en-AU"/>
              </w:rPr>
              <w:t>For the performance of the Education Partnership</w:t>
            </w:r>
          </w:p>
        </w:tc>
        <w:tc>
          <w:tcPr>
            <w:tcW w:w="7216" w:type="dxa"/>
            <w:gridSpan w:val="3"/>
            <w:tcBorders>
              <w:bottom w:val="single" w:sz="12" w:space="0" w:color="auto"/>
              <w:right w:val="single" w:sz="12" w:space="0" w:color="auto"/>
            </w:tcBorders>
            <w:vAlign w:val="center"/>
          </w:tcPr>
          <w:p w:rsidR="00913FF7" w:rsidRPr="005162C4" w:rsidRDefault="001A093B" w:rsidP="005162C4">
            <w:pPr>
              <w:pStyle w:val="ListParagraph"/>
              <w:numPr>
                <w:ilvl w:val="0"/>
                <w:numId w:val="12"/>
              </w:numPr>
              <w:spacing w:after="60" w:line="240" w:lineRule="auto"/>
              <w:ind w:left="284" w:hanging="284"/>
              <w:contextualSpacing w:val="0"/>
              <w:jc w:val="both"/>
              <w:rPr>
                <w:sz w:val="20"/>
                <w:szCs w:val="20"/>
                <w:lang w:val="en-AU"/>
              </w:rPr>
            </w:pPr>
            <w:r w:rsidRPr="005162C4">
              <w:rPr>
                <w:rFonts w:cstheme="minorHAnsi"/>
                <w:sz w:val="20"/>
                <w:szCs w:val="20"/>
              </w:rPr>
              <w:t>DFAT may wish to help</w:t>
            </w:r>
            <w:r w:rsidR="00913FF7" w:rsidRPr="005162C4">
              <w:rPr>
                <w:rFonts w:cstheme="minorHAnsi"/>
                <w:sz w:val="20"/>
                <w:szCs w:val="20"/>
              </w:rPr>
              <w:t xml:space="preserve"> clarify</w:t>
            </w:r>
            <w:r w:rsidRPr="005162C4">
              <w:rPr>
                <w:rFonts w:cstheme="minorHAnsi"/>
                <w:sz w:val="20"/>
                <w:szCs w:val="20"/>
              </w:rPr>
              <w:t xml:space="preserve"> and strengthe</w:t>
            </w:r>
            <w:r w:rsidR="00045BD1" w:rsidRPr="005162C4">
              <w:rPr>
                <w:rFonts w:cstheme="minorHAnsi"/>
                <w:sz w:val="20"/>
                <w:szCs w:val="20"/>
              </w:rPr>
              <w:t>n</w:t>
            </w:r>
            <w:r w:rsidR="00913FF7" w:rsidRPr="005162C4">
              <w:rPr>
                <w:rFonts w:cstheme="minorHAnsi"/>
                <w:sz w:val="20"/>
                <w:szCs w:val="20"/>
              </w:rPr>
              <w:t xml:space="preserve"> the role of the school committees in the management of BOS funds </w:t>
            </w:r>
            <w:r w:rsidRPr="005162C4">
              <w:rPr>
                <w:rFonts w:cstheme="minorHAnsi"/>
                <w:sz w:val="20"/>
                <w:szCs w:val="20"/>
              </w:rPr>
              <w:t>as part of its current and/or upcoming programing.</w:t>
            </w:r>
          </w:p>
        </w:tc>
      </w:tr>
    </w:tbl>
    <w:p w:rsidR="003B1CD4" w:rsidRDefault="003B1CD4" w:rsidP="006A4E0A">
      <w:pPr>
        <w:rPr>
          <w:sz w:val="16"/>
          <w:szCs w:val="16"/>
          <w:highlight w:val="yellow"/>
        </w:rPr>
      </w:pPr>
    </w:p>
    <w:p w:rsidR="00EE5671" w:rsidRPr="00E45EDE" w:rsidRDefault="00EE5671" w:rsidP="001419DA">
      <w:pPr>
        <w:spacing w:line="276" w:lineRule="auto"/>
        <w:jc w:val="both"/>
      </w:pPr>
      <w:r w:rsidRPr="00EE5671">
        <w:rPr>
          <w:b/>
          <w:i/>
          <w:color w:val="000000" w:themeColor="text1"/>
        </w:rPr>
        <w:t xml:space="preserve">Background: </w:t>
      </w:r>
      <w:r w:rsidRPr="00EE5671">
        <w:rPr>
          <w:color w:val="000000" w:themeColor="text1"/>
        </w:rPr>
        <w:t xml:space="preserve">In </w:t>
      </w:r>
      <w:r w:rsidRPr="00763261">
        <w:t>2011, the BOS grants were distributed to the district level of government which will then ma</w:t>
      </w:r>
      <w:r w:rsidR="00F40BF5">
        <w:t>k</w:t>
      </w:r>
      <w:r w:rsidRPr="00763261">
        <w:t>e payments to schools.</w:t>
      </w:r>
      <w:r>
        <w:t xml:space="preserve"> This flow of funding was</w:t>
      </w:r>
      <w:r w:rsidRPr="00763261">
        <w:t xml:space="preserve"> designed to reflect the function and responsibilities of local government towards education under the decentralization policy. It provided districts with significantly greater non-salary related resources to distribute amongst their schools. This was to help strengthen the relevance and importance of district monitoring and support teams for schools within their </w:t>
      </w:r>
      <w:r w:rsidRPr="00E45EDE">
        <w:t>jurisdiction. However, the policy increased the pressure and expectations of schools that were relying upon the efficiency and effectiveness of the district offices.</w:t>
      </w:r>
    </w:p>
    <w:p w:rsidR="00EE5671" w:rsidRPr="00E45EDE" w:rsidRDefault="00EE5671" w:rsidP="001419DA">
      <w:pPr>
        <w:spacing w:line="276" w:lineRule="auto"/>
        <w:jc w:val="both"/>
      </w:pPr>
      <w:r w:rsidRPr="00E45EDE">
        <w:t xml:space="preserve">The district management of the BOS distribution by district governments became a matter of national controversy during 2011. The widespread failure of many districts to manage these funds properly meant that delays and errors in the distribution of BOS funding were seen as a failure at the local rather than central level. By late 2011, the </w:t>
      </w:r>
      <w:r>
        <w:t>dis</w:t>
      </w:r>
      <w:r w:rsidRPr="00E45EDE">
        <w:t>bursement and general management of BOS funds by the district level was considered a gross failure. The program was subsequently brought back under the control of M</w:t>
      </w:r>
      <w:r w:rsidR="001A093B">
        <w:t>o</w:t>
      </w:r>
      <w:r w:rsidRPr="00E45EDE">
        <w:t>EC for the 2012 school year.</w:t>
      </w:r>
      <w:r>
        <w:t xml:space="preserve"> BOS funds in 2012 were distributed by the province (acting as the representative of the central government) directly to the schools. </w:t>
      </w:r>
    </w:p>
    <w:p w:rsidR="006A4E0A" w:rsidRPr="00E45EDE" w:rsidRDefault="006A4E0A" w:rsidP="001419DA">
      <w:pPr>
        <w:spacing w:line="276" w:lineRule="auto"/>
        <w:jc w:val="both"/>
      </w:pPr>
      <w:r w:rsidRPr="00E45EDE">
        <w:t>BOS grants</w:t>
      </w:r>
      <w:r w:rsidR="001A093B">
        <w:t>,</w:t>
      </w:r>
      <w:r w:rsidRPr="00E45EDE">
        <w:t xml:space="preserve"> as a percentage of total education expenditure</w:t>
      </w:r>
      <w:r w:rsidR="001A093B">
        <w:t>,</w:t>
      </w:r>
      <w:r w:rsidRPr="00E45EDE">
        <w:t xml:space="preserve"> are affected by the share of students progressing to secondary education. The per capita BOS grants for junior secondary students are 35% higher in value than grants for primary students. Districts with higher proportionate enrolment at secondary level have an increased proportionate weight in their BOS grants. As a consequence, inter-poverty quintile comparisons are distorted by differences </w:t>
      </w:r>
      <w:r>
        <w:t xml:space="preserve">in </w:t>
      </w:r>
      <w:r w:rsidRPr="00E45EDE">
        <w:t xml:space="preserve">secondary level enrolment rates. </w:t>
      </w:r>
    </w:p>
    <w:p w:rsidR="006A4E0A" w:rsidRDefault="006A4E0A" w:rsidP="001419DA">
      <w:pPr>
        <w:spacing w:line="276" w:lineRule="auto"/>
        <w:jc w:val="both"/>
      </w:pPr>
      <w:r w:rsidRPr="00E45EDE">
        <w:t>The significance of the BOS expenditures in comparison with total district expenditures declined for districts across all poverty quintiles between 2007 and 2008. This reflected the expanding outlays for education being made by the district levels of government during this period. However by 2009 and with the impact of the increase in the size of the per capita grants, the BOS had again risen in significance to 2006 levels.</w:t>
      </w:r>
    </w:p>
    <w:p w:rsidR="006A4E0A" w:rsidRDefault="006A4E0A" w:rsidP="001419DA">
      <w:pPr>
        <w:spacing w:line="276" w:lineRule="auto"/>
        <w:jc w:val="both"/>
      </w:pPr>
      <w:r>
        <w:t>In 2011, the BOS funds represented a smaller share of total expenditure as teacher salaries and allowances increased sharply. These salary and emolument increases are a flow</w:t>
      </w:r>
      <w:r w:rsidR="00F47163">
        <w:t>-</w:t>
      </w:r>
      <w:r>
        <w:t>on effect of the teacher certification process and will continue for a few more years (at least until 2015). In addition to salary increases, 2011 saw increases in district allocations for capital expenditures and other operational expenses.</w:t>
      </w:r>
    </w:p>
    <w:p w:rsidR="006A4E0A" w:rsidRPr="00E36E0A" w:rsidRDefault="006A4E0A" w:rsidP="001419DA">
      <w:pPr>
        <w:spacing w:line="276" w:lineRule="auto"/>
        <w:jc w:val="both"/>
      </w:pPr>
      <w:r>
        <w:t>In 20</w:t>
      </w:r>
      <w:r w:rsidR="00E6313F">
        <w:t>12, the BOS grants</w:t>
      </w:r>
      <w:r>
        <w:t xml:space="preserve"> increased as a proportion of the district education budget as a result of slower growth in the district education budget, and an increase in the value of the BOS grants themselves. </w:t>
      </w:r>
      <w:r w:rsidRPr="00E36E0A">
        <w:t>The per-pupil BOS allocation has increased from Rp 397,000 to Rp 580,000</w:t>
      </w:r>
      <w:r>
        <w:t xml:space="preserve"> per primary student and from R</w:t>
      </w:r>
      <w:r w:rsidR="00837A39">
        <w:t>p</w:t>
      </w:r>
      <w:r>
        <w:t>. 570,000 to R</w:t>
      </w:r>
      <w:r w:rsidR="00837A39">
        <w:t>p</w:t>
      </w:r>
      <w:r>
        <w:t>.</w:t>
      </w:r>
      <w:r w:rsidRPr="00E36E0A">
        <w:t xml:space="preserve"> 710,000 per junior secondary student per year in 2012. The BOS program covers around 44 million students in 228,000 primary and secondary schools.</w:t>
      </w:r>
      <w:r w:rsidR="004971BD">
        <w:t xml:space="preserve"> </w:t>
      </w:r>
    </w:p>
    <w:p w:rsidR="009A7656" w:rsidRDefault="009A7656" w:rsidP="009A7656">
      <w:pPr>
        <w:spacing w:line="276" w:lineRule="auto"/>
        <w:jc w:val="both"/>
      </w:pPr>
      <w:r>
        <w:t xml:space="preserve">In 2013 the BOS allocation in the national budget (APBN) </w:t>
      </w:r>
      <w:r w:rsidRPr="009A7656">
        <w:t xml:space="preserve">was planned to amount Rp.23.4 trillion. This was a drop of Rp.147.9 billion (0.6 percent) from its allocation in APBNP 2012 at Rp.23.6 trillion. </w:t>
      </w:r>
      <w:r>
        <w:t xml:space="preserve">Keeping the same nominal value for </w:t>
      </w:r>
      <w:r w:rsidRPr="009A7656">
        <w:t xml:space="preserve">per capita </w:t>
      </w:r>
      <w:r>
        <w:t xml:space="preserve">student </w:t>
      </w:r>
      <w:r w:rsidRPr="009A7656">
        <w:t>allocations, combined with administrative savings and allowing for price inflation, means that in real terms the value of the BOS subsidy has decreased from the previous year.</w:t>
      </w:r>
    </w:p>
    <w:p w:rsidR="009A7656" w:rsidRPr="00DF2AF5" w:rsidRDefault="009A7656" w:rsidP="00DF2AF5">
      <w:pPr>
        <w:spacing w:line="276" w:lineRule="auto"/>
        <w:jc w:val="both"/>
      </w:pPr>
      <w:r>
        <w:t xml:space="preserve">Notwithstanding this </w:t>
      </w:r>
      <w:r w:rsidR="00DF2AF5">
        <w:t xml:space="preserve">pause in the nominal value of the per student allocation, the BOS funds are a very important source of funding at the school level. These funds are meant to be </w:t>
      </w:r>
      <w:r w:rsidRPr="00DF2AF5">
        <w:t xml:space="preserve">primarily used to </w:t>
      </w:r>
      <w:r w:rsidRPr="00DF2AF5">
        <w:lastRenderedPageBreak/>
        <w:t>finance non-personnel spending in basic education in the</w:t>
      </w:r>
      <w:r w:rsidR="00DF2AF5">
        <w:t xml:space="preserve"> </w:t>
      </w:r>
      <w:r w:rsidRPr="00DF2AF5">
        <w:t xml:space="preserve">context of compulsory education program, and may be used for the financing of other activities as indicated in technical directives of </w:t>
      </w:r>
      <w:r w:rsidR="00F47163">
        <w:t>MoEC</w:t>
      </w:r>
      <w:r w:rsidRPr="00DF2AF5">
        <w:t xml:space="preserve">. </w:t>
      </w:r>
      <w:r w:rsidR="00DF2AF5">
        <w:t>A key objective is to release students from</w:t>
      </w:r>
      <w:r w:rsidRPr="00DF2AF5">
        <w:t xml:space="preserve"> low-income households, who </w:t>
      </w:r>
      <w:r w:rsidR="00F47163">
        <w:t>cannot</w:t>
      </w:r>
      <w:r w:rsidR="00F47163" w:rsidRPr="00DF2AF5">
        <w:t xml:space="preserve"> </w:t>
      </w:r>
      <w:r w:rsidRPr="00DF2AF5">
        <w:t>afford to pay their tuition fees and</w:t>
      </w:r>
      <w:r w:rsidR="00DF2AF5">
        <w:t xml:space="preserve"> to relieve</w:t>
      </w:r>
      <w:r w:rsidRPr="00DF2AF5">
        <w:t xml:space="preserve"> other students from this tuition fee burden so that they can access quality education service </w:t>
      </w:r>
      <w:r w:rsidR="00DF2AF5">
        <w:t xml:space="preserve">for </w:t>
      </w:r>
      <w:r w:rsidRPr="00DF2AF5">
        <w:t>9-year</w:t>
      </w:r>
      <w:r w:rsidR="00DF2AF5">
        <w:t xml:space="preserve">s of </w:t>
      </w:r>
      <w:r w:rsidRPr="00DF2AF5">
        <w:t>compulsory basic education program. BOS aid is stimul</w:t>
      </w:r>
      <w:r w:rsidR="00DF2AF5">
        <w:t>us for regions and not the subs</w:t>
      </w:r>
      <w:r w:rsidRPr="00DF2AF5">
        <w:t>t</w:t>
      </w:r>
      <w:r w:rsidR="00DF2AF5">
        <w:t>it</w:t>
      </w:r>
      <w:r w:rsidRPr="00DF2AF5">
        <w:t xml:space="preserve">ute of obligations of the local government in the allocation of education budget. </w:t>
      </w:r>
    </w:p>
    <w:p w:rsidR="006A4E0A" w:rsidRDefault="006A4E0A" w:rsidP="001419DA">
      <w:pPr>
        <w:spacing w:line="276" w:lineRule="auto"/>
        <w:jc w:val="both"/>
      </w:pPr>
      <w:r>
        <w:t>The BOS grants represent a smaller proportion of total expenditures for schooling in the poorest districts. This is because of the higher teacher costs (such as remote area all</w:t>
      </w:r>
      <w:r w:rsidR="00DF2AF5">
        <w:t>owances) and the lower student:</w:t>
      </w:r>
      <w:r>
        <w:t>teacher ratios which increase the per student teacher cost in these districts. As a consequence, the BOS funds represent a smaller contribution to the overall cost of delivering services to these districts. All other poverty quintile districts are more closely bunched together.</w:t>
      </w:r>
      <w:r w:rsidR="00DF2AF5">
        <w:t xml:space="preserve"> In 2013, analysis of BOS across poverty quintiles, shows they represent on average between 12%-14% of district expenditures. These funds are clearly significant </w:t>
      </w:r>
      <w:r w:rsidR="00AA6900">
        <w:t xml:space="preserve">and roughly equal </w:t>
      </w:r>
      <w:r w:rsidR="00DF2AF5">
        <w:t xml:space="preserve">value in districts irrespective of the wealth of each district. </w:t>
      </w:r>
    </w:p>
    <w:p w:rsidR="006A4E0A" w:rsidRPr="00407F4A" w:rsidRDefault="006A4E0A" w:rsidP="009A2DC1">
      <w:pPr>
        <w:pStyle w:val="Caption"/>
      </w:pPr>
      <w:bookmarkStart w:id="116" w:name="_Toc374182093"/>
      <w:bookmarkStart w:id="117" w:name="_Toc414281577"/>
      <w:r w:rsidRPr="00D33073">
        <w:t xml:space="preserve">BOS Grants as % of </w:t>
      </w:r>
      <w:r w:rsidR="00A15C80">
        <w:t>District Budget</w:t>
      </w:r>
      <w:r w:rsidR="00B90A96">
        <w:t xml:space="preserve"> 2006-2013</w:t>
      </w:r>
      <w:r>
        <w:t>,</w:t>
      </w:r>
      <w:r w:rsidRPr="00D33073">
        <w:t xml:space="preserve"> by Poverty Quintile</w:t>
      </w:r>
      <w:bookmarkEnd w:id="116"/>
      <w:bookmarkEnd w:id="117"/>
    </w:p>
    <w:p w:rsidR="006A4E0A" w:rsidRDefault="00B90A96" w:rsidP="005162C4">
      <w:pPr>
        <w:pStyle w:val="BodyText"/>
        <w:spacing w:after="360"/>
        <w:jc w:val="center"/>
      </w:pPr>
      <w:r>
        <w:rPr>
          <w:noProof/>
          <w:lang w:eastAsia="en-AU"/>
        </w:rPr>
        <w:drawing>
          <wp:inline distT="0" distB="0" distL="0" distR="0" wp14:anchorId="18632393" wp14:editId="2E588FB3">
            <wp:extent cx="5732890" cy="3140766"/>
            <wp:effectExtent l="19050" t="19050" r="20320" b="215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3415" cy="3141054"/>
                    </a:xfrm>
                    <a:prstGeom prst="rect">
                      <a:avLst/>
                    </a:prstGeom>
                    <a:noFill/>
                    <a:ln>
                      <a:solidFill>
                        <a:schemeClr val="accent1"/>
                      </a:solidFill>
                    </a:ln>
                  </pic:spPr>
                </pic:pic>
              </a:graphicData>
            </a:graphic>
          </wp:inline>
        </w:drawing>
      </w:r>
    </w:p>
    <w:p w:rsidR="00505C88" w:rsidRDefault="00505C88">
      <w:pPr>
        <w:spacing w:after="0"/>
      </w:pPr>
      <w:r>
        <w:br w:type="page"/>
      </w:r>
    </w:p>
    <w:p w:rsidR="00505C88" w:rsidRDefault="00505C88" w:rsidP="00505C88">
      <w:pPr>
        <w:pStyle w:val="Heading3"/>
      </w:pPr>
      <w:r>
        <w:lastRenderedPageBreak/>
        <w:t>SPI</w:t>
      </w:r>
      <w:r w:rsidR="00D40606">
        <w:t xml:space="preserve"> </w:t>
      </w:r>
      <w:r w:rsidR="00A15C80">
        <w:t xml:space="preserve">2 </w:t>
      </w:r>
      <w:r>
        <w:t>: Comparing Education and Health Budget Allocations at District Level</w:t>
      </w:r>
    </w:p>
    <w:p w:rsidR="00505C88" w:rsidRDefault="00505C88" w:rsidP="009A2DC1">
      <w:pPr>
        <w:pStyle w:val="Caption"/>
      </w:pPr>
      <w:bookmarkStart w:id="118" w:name="_Toc414281578"/>
      <w:r>
        <w:t>Education and Health – Average shares of district budgets 2007-2013</w:t>
      </w:r>
      <w:bookmarkEnd w:id="118"/>
    </w:p>
    <w:p w:rsidR="00DF49DF" w:rsidRDefault="00505C88" w:rsidP="00DF49DF">
      <w:pPr>
        <w:rPr>
          <w:lang w:val="en-GB"/>
        </w:rPr>
      </w:pPr>
      <w:r>
        <w:rPr>
          <w:noProof/>
          <w:lang w:val="en-AU" w:eastAsia="en-AU"/>
        </w:rPr>
        <w:drawing>
          <wp:inline distT="0" distB="0" distL="0" distR="0" wp14:anchorId="168DA2F1" wp14:editId="52B0B404">
            <wp:extent cx="5734595" cy="3013545"/>
            <wp:effectExtent l="19050" t="19050" r="19050"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3415" cy="3012925"/>
                    </a:xfrm>
                    <a:prstGeom prst="rect">
                      <a:avLst/>
                    </a:prstGeom>
                    <a:noFill/>
                    <a:ln>
                      <a:solidFill>
                        <a:schemeClr val="accent1"/>
                      </a:solidFill>
                    </a:ln>
                  </pic:spPr>
                </pic:pic>
              </a:graphicData>
            </a:graphic>
          </wp:inline>
        </w:drawing>
      </w:r>
    </w:p>
    <w:tbl>
      <w:tblPr>
        <w:tblStyle w:val="TableGrid3"/>
        <w:tblW w:w="5000" w:type="pct"/>
        <w:jc w:val="center"/>
        <w:tblLayout w:type="fixed"/>
        <w:tblCellMar>
          <w:top w:w="28" w:type="dxa"/>
          <w:bottom w:w="28" w:type="dxa"/>
        </w:tblCellMar>
        <w:tblLook w:val="04A0" w:firstRow="1" w:lastRow="0" w:firstColumn="1" w:lastColumn="0" w:noHBand="0" w:noVBand="1"/>
      </w:tblPr>
      <w:tblGrid>
        <w:gridCol w:w="1849"/>
        <w:gridCol w:w="1849"/>
        <w:gridCol w:w="1849"/>
        <w:gridCol w:w="3698"/>
      </w:tblGrid>
      <w:tr w:rsidR="00B15DF8" w:rsidRPr="005162C4" w:rsidTr="00D55991">
        <w:trPr>
          <w:tblHeader/>
          <w:jc w:val="center"/>
        </w:trPr>
        <w:tc>
          <w:tcPr>
            <w:tcW w:w="1000" w:type="pct"/>
            <w:tcBorders>
              <w:top w:val="single" w:sz="12" w:space="0" w:color="auto"/>
              <w:left w:val="single" w:sz="12" w:space="0" w:color="auto"/>
              <w:bottom w:val="single" w:sz="4" w:space="0" w:color="auto"/>
              <w:right w:val="single" w:sz="4" w:space="0" w:color="FFFFFF" w:themeColor="background1"/>
            </w:tcBorders>
            <w:shd w:val="clear" w:color="auto" w:fill="003880"/>
            <w:vAlign w:val="center"/>
          </w:tcPr>
          <w:p w:rsidR="00B15DF8" w:rsidRPr="005162C4" w:rsidRDefault="00B15DF8" w:rsidP="00D55991">
            <w:pPr>
              <w:spacing w:after="0"/>
              <w:jc w:val="center"/>
              <w:rPr>
                <w:rFonts w:asciiTheme="minorHAnsi" w:hAnsiTheme="minorHAnsi" w:cstheme="minorHAnsi"/>
                <w:b/>
                <w:color w:val="FFFFFF" w:themeColor="background1"/>
                <w:sz w:val="20"/>
                <w:szCs w:val="20"/>
                <w:lang w:val="en-US"/>
              </w:rPr>
            </w:pPr>
            <w:r w:rsidRPr="005162C4">
              <w:rPr>
                <w:rFonts w:asciiTheme="minorHAnsi" w:hAnsiTheme="minorHAnsi" w:cstheme="minorHAnsi"/>
                <w:b/>
                <w:color w:val="FFFFFF" w:themeColor="background1"/>
                <w:sz w:val="20"/>
                <w:szCs w:val="20"/>
                <w:lang w:val="en-US"/>
              </w:rPr>
              <w:t xml:space="preserve">SPI </w:t>
            </w:r>
            <w:r w:rsidR="00A15C80">
              <w:rPr>
                <w:rFonts w:asciiTheme="minorHAnsi" w:hAnsiTheme="minorHAnsi" w:cstheme="minorHAnsi"/>
                <w:b/>
                <w:color w:val="FFFFFF" w:themeColor="background1"/>
                <w:sz w:val="20"/>
                <w:szCs w:val="20"/>
                <w:lang w:val="en-US"/>
              </w:rPr>
              <w:t>2</w:t>
            </w:r>
          </w:p>
        </w:tc>
        <w:tc>
          <w:tcPr>
            <w:tcW w:w="7216" w:type="dxa"/>
            <w:gridSpan w:val="3"/>
            <w:tcBorders>
              <w:top w:val="single" w:sz="12" w:space="0" w:color="auto"/>
              <w:left w:val="single" w:sz="4" w:space="0" w:color="FFFFFF" w:themeColor="background1"/>
              <w:bottom w:val="single" w:sz="4" w:space="0" w:color="auto"/>
              <w:right w:val="single" w:sz="12" w:space="0" w:color="auto"/>
            </w:tcBorders>
            <w:shd w:val="clear" w:color="auto" w:fill="003880"/>
            <w:vAlign w:val="center"/>
          </w:tcPr>
          <w:p w:rsidR="00B15DF8" w:rsidRPr="005162C4" w:rsidRDefault="00B15DF8" w:rsidP="00B15DF8">
            <w:pPr>
              <w:spacing w:after="0"/>
              <w:jc w:val="center"/>
              <w:rPr>
                <w:rFonts w:asciiTheme="minorHAnsi" w:hAnsiTheme="minorHAnsi" w:cstheme="minorHAnsi"/>
                <w:b/>
                <w:color w:val="FFFFFF" w:themeColor="background1"/>
                <w:sz w:val="20"/>
                <w:szCs w:val="20"/>
                <w:lang w:val="en-US"/>
              </w:rPr>
            </w:pPr>
            <w:r w:rsidRPr="00B15DF8">
              <w:rPr>
                <w:rFonts w:asciiTheme="minorHAnsi" w:hAnsiTheme="minorHAnsi" w:cstheme="minorHAnsi"/>
                <w:b/>
                <w:color w:val="FFFFFF" w:themeColor="background1"/>
                <w:sz w:val="20"/>
                <w:szCs w:val="20"/>
                <w:lang w:val="en-US"/>
              </w:rPr>
              <w:t xml:space="preserve">Comparing Education and Health Budget Allocations at District Level </w:t>
            </w:r>
          </w:p>
        </w:tc>
      </w:tr>
      <w:tr w:rsidR="00B15DF8" w:rsidRPr="005162C4" w:rsidTr="00D55991">
        <w:trPr>
          <w:tblHeader/>
          <w:jc w:val="center"/>
        </w:trPr>
        <w:tc>
          <w:tcPr>
            <w:tcW w:w="9019" w:type="dxa"/>
            <w:gridSpan w:val="4"/>
            <w:tcBorders>
              <w:left w:val="single" w:sz="12" w:space="0" w:color="auto"/>
              <w:bottom w:val="single" w:sz="4" w:space="0" w:color="auto"/>
              <w:right w:val="single" w:sz="12" w:space="0" w:color="auto"/>
            </w:tcBorders>
            <w:shd w:val="clear" w:color="auto" w:fill="4BACC6" w:themeFill="accent5"/>
            <w:vAlign w:val="center"/>
          </w:tcPr>
          <w:p w:rsidR="00B15DF8" w:rsidRPr="005162C4" w:rsidRDefault="00B15DF8" w:rsidP="00D55991">
            <w:pPr>
              <w:spacing w:after="0"/>
              <w:jc w:val="center"/>
              <w:rPr>
                <w:rFonts w:asciiTheme="minorHAnsi" w:hAnsiTheme="minorHAnsi" w:cstheme="minorHAnsi"/>
                <w:b/>
                <w:color w:val="FFFFFF" w:themeColor="background1"/>
                <w:sz w:val="20"/>
                <w:szCs w:val="20"/>
                <w:lang w:val="en-US"/>
              </w:rPr>
            </w:pPr>
            <w:r w:rsidRPr="005162C4">
              <w:rPr>
                <w:rFonts w:asciiTheme="minorHAnsi" w:hAnsiTheme="minorHAnsi" w:cstheme="minorHAnsi"/>
                <w:b/>
                <w:sz w:val="20"/>
                <w:szCs w:val="20"/>
                <w:lang w:val="en-US"/>
              </w:rPr>
              <w:t>STATUS AND TRENDS</w:t>
            </w:r>
          </w:p>
        </w:tc>
      </w:tr>
      <w:tr w:rsidR="00B15DF8" w:rsidRPr="005162C4" w:rsidTr="00D55991">
        <w:trPr>
          <w:jc w:val="center"/>
        </w:trPr>
        <w:tc>
          <w:tcPr>
            <w:tcW w:w="1000" w:type="pct"/>
            <w:tcBorders>
              <w:left w:val="single" w:sz="12" w:space="0" w:color="auto"/>
              <w:bottom w:val="single" w:sz="4" w:space="0" w:color="auto"/>
            </w:tcBorders>
            <w:shd w:val="clear" w:color="auto" w:fill="BFBFBF" w:themeFill="background1" w:themeFillShade="BF"/>
            <w:vAlign w:val="center"/>
          </w:tcPr>
          <w:p w:rsidR="00B15DF8" w:rsidRPr="005162C4" w:rsidRDefault="00B15DF8" w:rsidP="00D55991">
            <w:pPr>
              <w:spacing w:after="0"/>
              <w:jc w:val="center"/>
              <w:rPr>
                <w:sz w:val="20"/>
                <w:szCs w:val="20"/>
                <w:lang w:val="en-AU"/>
              </w:rPr>
            </w:pPr>
            <w:r w:rsidRPr="005162C4">
              <w:rPr>
                <w:sz w:val="20"/>
                <w:szCs w:val="20"/>
                <w:lang w:val="en-AU"/>
              </w:rPr>
              <w:t>Result</w:t>
            </w:r>
          </w:p>
        </w:tc>
        <w:tc>
          <w:tcPr>
            <w:tcW w:w="1000" w:type="pct"/>
            <w:shd w:val="clear" w:color="auto" w:fill="92D050"/>
            <w:vAlign w:val="center"/>
          </w:tcPr>
          <w:p w:rsidR="00B15DF8" w:rsidRPr="005162C4" w:rsidRDefault="00B15DF8" w:rsidP="00D55991">
            <w:pPr>
              <w:spacing w:after="0"/>
              <w:jc w:val="center"/>
              <w:rPr>
                <w:sz w:val="20"/>
                <w:szCs w:val="20"/>
                <w:lang w:val="en-AU"/>
              </w:rPr>
            </w:pPr>
            <w:r w:rsidRPr="005162C4">
              <w:rPr>
                <w:sz w:val="20"/>
                <w:szCs w:val="20"/>
                <w:lang w:val="en-AU"/>
              </w:rPr>
              <w:t>Positive</w:t>
            </w:r>
          </w:p>
        </w:tc>
        <w:tc>
          <w:tcPr>
            <w:tcW w:w="1000" w:type="pct"/>
            <w:shd w:val="clear" w:color="auto" w:fill="BFBFBF" w:themeFill="background1" w:themeFillShade="BF"/>
            <w:vAlign w:val="center"/>
          </w:tcPr>
          <w:p w:rsidR="00B15DF8" w:rsidRPr="005162C4" w:rsidRDefault="00B15DF8" w:rsidP="00D55991">
            <w:pPr>
              <w:spacing w:after="0"/>
              <w:jc w:val="center"/>
              <w:rPr>
                <w:sz w:val="20"/>
                <w:szCs w:val="20"/>
                <w:lang w:val="en-AU"/>
              </w:rPr>
            </w:pPr>
            <w:r w:rsidRPr="005162C4">
              <w:rPr>
                <w:sz w:val="20"/>
                <w:szCs w:val="20"/>
                <w:lang w:val="en-AU"/>
              </w:rPr>
              <w:t>Data availability</w:t>
            </w:r>
          </w:p>
        </w:tc>
        <w:tc>
          <w:tcPr>
            <w:tcW w:w="3608" w:type="dxa"/>
            <w:tcBorders>
              <w:right w:val="single" w:sz="12" w:space="0" w:color="auto"/>
            </w:tcBorders>
            <w:vAlign w:val="center"/>
          </w:tcPr>
          <w:p w:rsidR="00B15DF8" w:rsidRPr="005162C4" w:rsidRDefault="00DB2328" w:rsidP="00D55991">
            <w:pPr>
              <w:spacing w:after="0"/>
              <w:rPr>
                <w:sz w:val="20"/>
                <w:szCs w:val="20"/>
                <w:lang w:val="en-AU"/>
              </w:rPr>
            </w:pPr>
            <w:r>
              <w:rPr>
                <w:sz w:val="20"/>
                <w:szCs w:val="20"/>
                <w:lang w:val="en-AU"/>
              </w:rPr>
              <w:t>Aggregate health and education financial data available for 490 districts.</w:t>
            </w:r>
          </w:p>
        </w:tc>
      </w:tr>
      <w:tr w:rsidR="00B15DF8" w:rsidRPr="005162C4" w:rsidTr="00D55991">
        <w:trPr>
          <w:jc w:val="center"/>
        </w:trPr>
        <w:tc>
          <w:tcPr>
            <w:tcW w:w="1000" w:type="pct"/>
            <w:tcBorders>
              <w:left w:val="single" w:sz="12" w:space="0" w:color="auto"/>
            </w:tcBorders>
            <w:shd w:val="clear" w:color="auto" w:fill="BFBFBF" w:themeFill="background1" w:themeFillShade="BF"/>
            <w:vAlign w:val="center"/>
          </w:tcPr>
          <w:p w:rsidR="00B15DF8" w:rsidRPr="005162C4" w:rsidRDefault="00B15DF8" w:rsidP="00D55991">
            <w:pPr>
              <w:spacing w:after="0"/>
              <w:jc w:val="center"/>
              <w:rPr>
                <w:sz w:val="20"/>
                <w:szCs w:val="20"/>
                <w:lang w:val="en-AU"/>
              </w:rPr>
            </w:pPr>
            <w:r w:rsidRPr="005162C4">
              <w:rPr>
                <w:sz w:val="20"/>
                <w:szCs w:val="20"/>
                <w:lang w:val="en-AU"/>
              </w:rPr>
              <w:t>Observations</w:t>
            </w:r>
          </w:p>
        </w:tc>
        <w:tc>
          <w:tcPr>
            <w:tcW w:w="7216" w:type="dxa"/>
            <w:gridSpan w:val="3"/>
            <w:tcBorders>
              <w:right w:val="single" w:sz="12" w:space="0" w:color="auto"/>
            </w:tcBorders>
            <w:vAlign w:val="center"/>
          </w:tcPr>
          <w:p w:rsidR="00B15DF8" w:rsidRDefault="006E1E93" w:rsidP="006E1E93">
            <w:pPr>
              <w:pStyle w:val="ListParagraph"/>
              <w:numPr>
                <w:ilvl w:val="0"/>
                <w:numId w:val="12"/>
              </w:numPr>
              <w:spacing w:after="60" w:line="240" w:lineRule="auto"/>
              <w:ind w:left="284" w:hanging="284"/>
              <w:contextualSpacing w:val="0"/>
              <w:jc w:val="both"/>
              <w:rPr>
                <w:sz w:val="20"/>
                <w:szCs w:val="20"/>
                <w:lang w:val="en-AU"/>
              </w:rPr>
            </w:pPr>
            <w:r>
              <w:rPr>
                <w:sz w:val="20"/>
                <w:szCs w:val="20"/>
                <w:lang w:val="en-AU"/>
              </w:rPr>
              <w:t xml:space="preserve">At a macro level both education and health expenditures have grown substantially during period 2007-2013. </w:t>
            </w:r>
          </w:p>
          <w:p w:rsidR="006E1E93" w:rsidRDefault="0024382F" w:rsidP="006E1E93">
            <w:pPr>
              <w:pStyle w:val="ListParagraph"/>
              <w:numPr>
                <w:ilvl w:val="0"/>
                <w:numId w:val="12"/>
              </w:numPr>
              <w:spacing w:after="60" w:line="240" w:lineRule="auto"/>
              <w:ind w:left="284" w:hanging="284"/>
              <w:contextualSpacing w:val="0"/>
              <w:jc w:val="both"/>
              <w:rPr>
                <w:sz w:val="20"/>
                <w:szCs w:val="20"/>
                <w:lang w:val="en-AU"/>
              </w:rPr>
            </w:pPr>
            <w:r>
              <w:rPr>
                <w:sz w:val="20"/>
                <w:szCs w:val="20"/>
                <w:lang w:val="en-AU"/>
              </w:rPr>
              <w:t>The e</w:t>
            </w:r>
            <w:r w:rsidR="006E1E93">
              <w:rPr>
                <w:sz w:val="20"/>
                <w:szCs w:val="20"/>
                <w:lang w:val="en-AU"/>
              </w:rPr>
              <w:t>ducation sector had stronger growth during 2007-2011, but has had declining shares since then.</w:t>
            </w:r>
          </w:p>
          <w:p w:rsidR="006E1E93" w:rsidRDefault="006E1E93" w:rsidP="006E1E93">
            <w:pPr>
              <w:pStyle w:val="ListParagraph"/>
              <w:numPr>
                <w:ilvl w:val="0"/>
                <w:numId w:val="12"/>
              </w:numPr>
              <w:spacing w:after="60" w:line="240" w:lineRule="auto"/>
              <w:ind w:left="284" w:hanging="284"/>
              <w:contextualSpacing w:val="0"/>
              <w:jc w:val="both"/>
              <w:rPr>
                <w:sz w:val="20"/>
                <w:szCs w:val="20"/>
                <w:lang w:val="en-AU"/>
              </w:rPr>
            </w:pPr>
            <w:r>
              <w:rPr>
                <w:sz w:val="20"/>
                <w:szCs w:val="20"/>
                <w:lang w:val="en-AU"/>
              </w:rPr>
              <w:t>Health sector is coming off</w:t>
            </w:r>
            <w:r w:rsidR="00F47163">
              <w:rPr>
                <w:sz w:val="20"/>
                <w:szCs w:val="20"/>
                <w:lang w:val="en-AU"/>
              </w:rPr>
              <w:t xml:space="preserve"> a</w:t>
            </w:r>
            <w:r>
              <w:rPr>
                <w:sz w:val="20"/>
                <w:szCs w:val="20"/>
                <w:lang w:val="en-AU"/>
              </w:rPr>
              <w:t xml:space="preserve"> lower base (8.5%) but has had consistent increase every year in its share of district expenditure.</w:t>
            </w:r>
          </w:p>
          <w:p w:rsidR="006E1E93" w:rsidRPr="005162C4" w:rsidRDefault="00DB2328" w:rsidP="00924312">
            <w:pPr>
              <w:pStyle w:val="ListParagraph"/>
              <w:numPr>
                <w:ilvl w:val="0"/>
                <w:numId w:val="12"/>
              </w:numPr>
              <w:spacing w:after="60" w:line="240" w:lineRule="auto"/>
              <w:ind w:left="284" w:hanging="284"/>
              <w:contextualSpacing w:val="0"/>
              <w:jc w:val="both"/>
              <w:rPr>
                <w:sz w:val="20"/>
                <w:szCs w:val="20"/>
                <w:lang w:val="en-AU"/>
              </w:rPr>
            </w:pPr>
            <w:r>
              <w:rPr>
                <w:sz w:val="20"/>
                <w:szCs w:val="20"/>
                <w:lang w:val="en-AU"/>
              </w:rPr>
              <w:t xml:space="preserve">Average </w:t>
            </w:r>
            <w:r w:rsidR="006E1E93">
              <w:rPr>
                <w:sz w:val="20"/>
                <w:szCs w:val="20"/>
                <w:lang w:val="en-AU"/>
              </w:rPr>
              <w:t xml:space="preserve">Increases in education and health </w:t>
            </w:r>
            <w:r>
              <w:rPr>
                <w:sz w:val="20"/>
                <w:szCs w:val="20"/>
                <w:lang w:val="en-AU"/>
              </w:rPr>
              <w:t xml:space="preserve">appear across </w:t>
            </w:r>
            <w:r w:rsidR="006E1E93">
              <w:rPr>
                <w:sz w:val="20"/>
                <w:szCs w:val="20"/>
                <w:lang w:val="en-AU"/>
              </w:rPr>
              <w:t>rural districts and towns.</w:t>
            </w:r>
          </w:p>
        </w:tc>
      </w:tr>
      <w:tr w:rsidR="00B15DF8" w:rsidRPr="005162C4" w:rsidTr="00D55991">
        <w:trPr>
          <w:tblHeader/>
          <w:jc w:val="center"/>
        </w:trPr>
        <w:tc>
          <w:tcPr>
            <w:tcW w:w="9019" w:type="dxa"/>
            <w:gridSpan w:val="4"/>
            <w:tcBorders>
              <w:left w:val="single" w:sz="12" w:space="0" w:color="auto"/>
              <w:bottom w:val="single" w:sz="4" w:space="0" w:color="auto"/>
              <w:right w:val="single" w:sz="12" w:space="0" w:color="auto"/>
            </w:tcBorders>
            <w:shd w:val="clear" w:color="auto" w:fill="4BACC6" w:themeFill="accent5"/>
            <w:vAlign w:val="center"/>
          </w:tcPr>
          <w:p w:rsidR="00B15DF8" w:rsidRPr="005162C4" w:rsidRDefault="00B15DF8" w:rsidP="00D55991">
            <w:pPr>
              <w:spacing w:after="0"/>
              <w:jc w:val="center"/>
              <w:rPr>
                <w:rFonts w:asciiTheme="minorHAnsi" w:hAnsiTheme="minorHAnsi" w:cstheme="minorHAnsi"/>
                <w:b/>
                <w:color w:val="FFFFFF" w:themeColor="background1"/>
                <w:sz w:val="20"/>
                <w:szCs w:val="20"/>
                <w:lang w:val="en-US"/>
              </w:rPr>
            </w:pPr>
            <w:r w:rsidRPr="005162C4">
              <w:rPr>
                <w:rFonts w:asciiTheme="minorHAnsi" w:hAnsiTheme="minorHAnsi" w:cstheme="minorHAnsi"/>
                <w:b/>
                <w:sz w:val="20"/>
                <w:szCs w:val="20"/>
                <w:lang w:val="en-US"/>
              </w:rPr>
              <w:t>IMPLICATIONS AND MATTERS ARISING</w:t>
            </w:r>
          </w:p>
        </w:tc>
      </w:tr>
      <w:tr w:rsidR="00B15DF8" w:rsidRPr="005162C4" w:rsidTr="00D55991">
        <w:trPr>
          <w:jc w:val="center"/>
        </w:trPr>
        <w:tc>
          <w:tcPr>
            <w:tcW w:w="1000" w:type="pct"/>
            <w:tcBorders>
              <w:left w:val="single" w:sz="12" w:space="0" w:color="auto"/>
            </w:tcBorders>
            <w:shd w:val="clear" w:color="auto" w:fill="BFBFBF" w:themeFill="background1" w:themeFillShade="BF"/>
            <w:vAlign w:val="center"/>
          </w:tcPr>
          <w:p w:rsidR="00B15DF8" w:rsidRPr="005162C4" w:rsidRDefault="00B15DF8" w:rsidP="00D55991">
            <w:pPr>
              <w:spacing w:after="0"/>
              <w:jc w:val="center"/>
              <w:rPr>
                <w:sz w:val="20"/>
                <w:szCs w:val="20"/>
                <w:lang w:val="en-AU"/>
              </w:rPr>
            </w:pPr>
            <w:r w:rsidRPr="005162C4">
              <w:rPr>
                <w:sz w:val="20"/>
                <w:szCs w:val="20"/>
                <w:lang w:val="en-AU"/>
              </w:rPr>
              <w:t>For the performance of the education sector</w:t>
            </w:r>
          </w:p>
        </w:tc>
        <w:tc>
          <w:tcPr>
            <w:tcW w:w="7216" w:type="dxa"/>
            <w:gridSpan w:val="3"/>
            <w:tcBorders>
              <w:right w:val="single" w:sz="12" w:space="0" w:color="auto"/>
            </w:tcBorders>
            <w:vAlign w:val="center"/>
          </w:tcPr>
          <w:p w:rsidR="00B15DF8" w:rsidRDefault="006F4C2C" w:rsidP="00F251BA">
            <w:pPr>
              <w:pStyle w:val="ListParagraph"/>
              <w:numPr>
                <w:ilvl w:val="0"/>
                <w:numId w:val="12"/>
              </w:numPr>
              <w:spacing w:after="60" w:line="240" w:lineRule="auto"/>
              <w:ind w:left="284" w:hanging="284"/>
              <w:contextualSpacing w:val="0"/>
              <w:jc w:val="both"/>
              <w:rPr>
                <w:sz w:val="20"/>
                <w:szCs w:val="20"/>
                <w:lang w:val="en-AU"/>
              </w:rPr>
            </w:pPr>
            <w:r>
              <w:rPr>
                <w:sz w:val="20"/>
                <w:szCs w:val="20"/>
                <w:lang w:val="en-AU"/>
              </w:rPr>
              <w:t xml:space="preserve">There is no sign that health sector is crowding out the education sector spending </w:t>
            </w:r>
            <w:r w:rsidR="00924312">
              <w:rPr>
                <w:sz w:val="20"/>
                <w:szCs w:val="20"/>
                <w:lang w:val="en-AU"/>
              </w:rPr>
              <w:t xml:space="preserve">(or vice-versa) </w:t>
            </w:r>
            <w:r>
              <w:rPr>
                <w:sz w:val="20"/>
                <w:szCs w:val="20"/>
                <w:lang w:val="en-AU"/>
              </w:rPr>
              <w:t>at the district level.</w:t>
            </w:r>
          </w:p>
          <w:p w:rsidR="0024382F" w:rsidRDefault="0024382F" w:rsidP="00F251BA">
            <w:pPr>
              <w:pStyle w:val="ListParagraph"/>
              <w:numPr>
                <w:ilvl w:val="0"/>
                <w:numId w:val="12"/>
              </w:numPr>
              <w:spacing w:after="60" w:line="240" w:lineRule="auto"/>
              <w:ind w:left="284" w:hanging="284"/>
              <w:contextualSpacing w:val="0"/>
              <w:jc w:val="both"/>
              <w:rPr>
                <w:sz w:val="20"/>
                <w:szCs w:val="20"/>
                <w:lang w:val="en-AU"/>
              </w:rPr>
            </w:pPr>
            <w:r>
              <w:rPr>
                <w:sz w:val="20"/>
                <w:szCs w:val="20"/>
                <w:lang w:val="en-AU"/>
              </w:rPr>
              <w:t xml:space="preserve">There is a strong correlation </w:t>
            </w:r>
            <w:r w:rsidR="00CF5BDE">
              <w:rPr>
                <w:sz w:val="20"/>
                <w:szCs w:val="20"/>
                <w:lang w:val="en-AU"/>
              </w:rPr>
              <w:t xml:space="preserve">for </w:t>
            </w:r>
            <w:r>
              <w:rPr>
                <w:sz w:val="20"/>
                <w:szCs w:val="20"/>
                <w:lang w:val="en-AU"/>
              </w:rPr>
              <w:t xml:space="preserve">districts that have contracting education allocations </w:t>
            </w:r>
            <w:r w:rsidR="00CF5BDE">
              <w:rPr>
                <w:sz w:val="20"/>
                <w:szCs w:val="20"/>
                <w:lang w:val="en-AU"/>
              </w:rPr>
              <w:t xml:space="preserve">to also be </w:t>
            </w:r>
            <w:r>
              <w:rPr>
                <w:sz w:val="20"/>
                <w:szCs w:val="20"/>
                <w:lang w:val="en-AU"/>
              </w:rPr>
              <w:t>allocating less than the national average for health.</w:t>
            </w:r>
          </w:p>
          <w:p w:rsidR="006F4C2C" w:rsidRPr="005162C4" w:rsidRDefault="006F4C2C" w:rsidP="00F47163">
            <w:pPr>
              <w:pStyle w:val="ListParagraph"/>
              <w:numPr>
                <w:ilvl w:val="0"/>
                <w:numId w:val="12"/>
              </w:numPr>
              <w:spacing w:after="60" w:line="240" w:lineRule="auto"/>
              <w:ind w:left="284" w:hanging="284"/>
              <w:contextualSpacing w:val="0"/>
              <w:jc w:val="both"/>
              <w:rPr>
                <w:sz w:val="20"/>
                <w:szCs w:val="20"/>
                <w:lang w:val="en-AU"/>
              </w:rPr>
            </w:pPr>
            <w:r>
              <w:rPr>
                <w:sz w:val="20"/>
                <w:szCs w:val="20"/>
                <w:lang w:val="en-AU"/>
              </w:rPr>
              <w:t xml:space="preserve">Correlation in low expenditure for education and health sectors suggests it will be useful to investigate more closely those districts </w:t>
            </w:r>
            <w:r w:rsidR="00F47163">
              <w:rPr>
                <w:sz w:val="20"/>
                <w:szCs w:val="20"/>
                <w:lang w:val="en-AU"/>
              </w:rPr>
              <w:t>in which there</w:t>
            </w:r>
            <w:r>
              <w:rPr>
                <w:sz w:val="20"/>
                <w:szCs w:val="20"/>
                <w:lang w:val="en-AU"/>
              </w:rPr>
              <w:t xml:space="preserve"> is low share of expenditure for the social sector</w:t>
            </w:r>
            <w:r w:rsidR="00F47163">
              <w:rPr>
                <w:sz w:val="20"/>
                <w:szCs w:val="20"/>
                <w:lang w:val="en-AU"/>
              </w:rPr>
              <w:t>.</w:t>
            </w:r>
          </w:p>
        </w:tc>
      </w:tr>
      <w:tr w:rsidR="00B15DF8" w:rsidRPr="0024382F" w:rsidTr="00D55991">
        <w:trPr>
          <w:jc w:val="center"/>
        </w:trPr>
        <w:tc>
          <w:tcPr>
            <w:tcW w:w="1000" w:type="pct"/>
            <w:tcBorders>
              <w:left w:val="single" w:sz="12" w:space="0" w:color="auto"/>
              <w:bottom w:val="single" w:sz="12" w:space="0" w:color="auto"/>
            </w:tcBorders>
            <w:shd w:val="clear" w:color="auto" w:fill="BFBFBF" w:themeFill="background1" w:themeFillShade="BF"/>
            <w:vAlign w:val="center"/>
          </w:tcPr>
          <w:p w:rsidR="00B15DF8" w:rsidRPr="005162C4" w:rsidRDefault="00B15DF8" w:rsidP="00D55991">
            <w:pPr>
              <w:spacing w:after="0"/>
              <w:jc w:val="center"/>
              <w:rPr>
                <w:sz w:val="20"/>
                <w:szCs w:val="20"/>
                <w:lang w:val="en-AU"/>
              </w:rPr>
            </w:pPr>
            <w:r w:rsidRPr="005162C4">
              <w:rPr>
                <w:sz w:val="20"/>
                <w:szCs w:val="20"/>
                <w:lang w:val="en-AU"/>
              </w:rPr>
              <w:t>For the performance of the Education Partnership</w:t>
            </w:r>
          </w:p>
        </w:tc>
        <w:tc>
          <w:tcPr>
            <w:tcW w:w="7216" w:type="dxa"/>
            <w:gridSpan w:val="3"/>
            <w:tcBorders>
              <w:bottom w:val="single" w:sz="12" w:space="0" w:color="auto"/>
              <w:right w:val="single" w:sz="12" w:space="0" w:color="auto"/>
            </w:tcBorders>
            <w:vAlign w:val="center"/>
          </w:tcPr>
          <w:p w:rsidR="00B15DF8" w:rsidRPr="0024382F" w:rsidRDefault="00B15DF8" w:rsidP="006F4C2C">
            <w:pPr>
              <w:pStyle w:val="ListParagraph"/>
              <w:numPr>
                <w:ilvl w:val="0"/>
                <w:numId w:val="12"/>
              </w:numPr>
              <w:spacing w:after="60" w:line="240" w:lineRule="auto"/>
              <w:ind w:left="284" w:hanging="284"/>
              <w:contextualSpacing w:val="0"/>
              <w:jc w:val="both"/>
              <w:rPr>
                <w:sz w:val="20"/>
                <w:szCs w:val="20"/>
                <w:lang w:val="en-AU"/>
              </w:rPr>
            </w:pPr>
            <w:r w:rsidRPr="005162C4">
              <w:rPr>
                <w:rFonts w:cstheme="minorHAnsi"/>
                <w:sz w:val="20"/>
                <w:szCs w:val="20"/>
              </w:rPr>
              <w:t>DFAT may wish to</w:t>
            </w:r>
            <w:r w:rsidR="006F4C2C">
              <w:rPr>
                <w:rFonts w:cstheme="minorHAnsi"/>
                <w:sz w:val="20"/>
                <w:szCs w:val="20"/>
              </w:rPr>
              <w:t xml:space="preserve"> coordinate the education and health social sector interventions of its programs to increase government contributions in those districts which are spending well below the national average for education and health.</w:t>
            </w:r>
          </w:p>
          <w:p w:rsidR="0024382F" w:rsidRPr="005162C4" w:rsidRDefault="0024382F" w:rsidP="0024382F">
            <w:pPr>
              <w:pStyle w:val="ListParagraph"/>
              <w:numPr>
                <w:ilvl w:val="0"/>
                <w:numId w:val="12"/>
              </w:numPr>
              <w:spacing w:after="60" w:line="240" w:lineRule="auto"/>
              <w:ind w:left="284" w:hanging="284"/>
              <w:contextualSpacing w:val="0"/>
              <w:jc w:val="both"/>
              <w:rPr>
                <w:sz w:val="20"/>
                <w:szCs w:val="20"/>
                <w:lang w:val="en-AU"/>
              </w:rPr>
            </w:pPr>
            <w:r>
              <w:rPr>
                <w:rFonts w:cstheme="minorHAnsi"/>
                <w:sz w:val="20"/>
                <w:szCs w:val="20"/>
              </w:rPr>
              <w:t>Coordinate a joint social sector assessment in a selection of districts that have declining and/or low expenditures in education and health to understand the reasons and effects.</w:t>
            </w:r>
          </w:p>
        </w:tc>
      </w:tr>
    </w:tbl>
    <w:p w:rsidR="00B15DF8" w:rsidRDefault="00B15DF8" w:rsidP="00DF49DF"/>
    <w:p w:rsidR="006E1E93" w:rsidRDefault="0034670E" w:rsidP="009A2DC1">
      <w:pPr>
        <w:pStyle w:val="Caption"/>
      </w:pPr>
      <w:bookmarkStart w:id="119" w:name="_Toc414281579"/>
      <w:r>
        <w:lastRenderedPageBreak/>
        <w:t>Per Capita Health and Education district expenditure, 2007-2013</w:t>
      </w:r>
      <w:bookmarkEnd w:id="119"/>
    </w:p>
    <w:p w:rsidR="00B15DF8" w:rsidRDefault="0034670E" w:rsidP="00DF49DF">
      <w:r>
        <w:rPr>
          <w:noProof/>
          <w:lang w:val="en-AU" w:eastAsia="en-AU"/>
        </w:rPr>
        <w:drawing>
          <wp:inline distT="0" distB="0" distL="0" distR="0" wp14:anchorId="5FF6EDB2" wp14:editId="1F09A340">
            <wp:extent cx="5740841" cy="2957885"/>
            <wp:effectExtent l="19050" t="19050" r="12700" b="139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3415" cy="2954059"/>
                    </a:xfrm>
                    <a:prstGeom prst="rect">
                      <a:avLst/>
                    </a:prstGeom>
                    <a:noFill/>
                    <a:ln>
                      <a:solidFill>
                        <a:schemeClr val="accent1"/>
                      </a:solidFill>
                    </a:ln>
                  </pic:spPr>
                </pic:pic>
              </a:graphicData>
            </a:graphic>
          </wp:inline>
        </w:drawing>
      </w:r>
    </w:p>
    <w:p w:rsidR="00B15DF8" w:rsidRDefault="00B15DF8" w:rsidP="00DF49DF"/>
    <w:p w:rsidR="00F251BA" w:rsidRDefault="00F251BA" w:rsidP="00DB2328">
      <w:pPr>
        <w:jc w:val="both"/>
      </w:pPr>
      <w:r w:rsidRPr="00DB2328">
        <w:t xml:space="preserve">Analysis of districts that are allocating less than 15% of their budget </w:t>
      </w:r>
      <w:r w:rsidR="00DB2328">
        <w:t xml:space="preserve">for education </w:t>
      </w:r>
      <w:r w:rsidRPr="00DB2328">
        <w:t>shows that they are nearly all also allocating less than the national average (10%) for health. Of the 31 districts allocating less than 15% of their budget towards education, only one (1) was meeting or exceeding the 10% national average for district allocations towards health.</w:t>
      </w:r>
    </w:p>
    <w:p w:rsidR="00F251BA" w:rsidRPr="00DB2328" w:rsidRDefault="00F251BA" w:rsidP="00DB2328">
      <w:pPr>
        <w:jc w:val="both"/>
      </w:pPr>
      <w:r w:rsidRPr="00DB2328">
        <w:t xml:space="preserve">The strong direct correlation between low expenditures in education with health indicates there is no crowding out by the health sector of education budget allocations. On the contrary, district decisions for low priority appear to affect both the education and health components of the social sector. </w:t>
      </w:r>
    </w:p>
    <w:p w:rsidR="00B15DF8" w:rsidRDefault="0034670E" w:rsidP="009A2DC1">
      <w:pPr>
        <w:pStyle w:val="Caption"/>
      </w:pPr>
      <w:bookmarkStart w:id="120" w:name="_Toc414281580"/>
      <w:r>
        <w:t>Health shares in poorest districts with very low education allocations, 2013</w:t>
      </w:r>
      <w:bookmarkEnd w:id="120"/>
    </w:p>
    <w:p w:rsidR="00B15DF8" w:rsidRDefault="006E1E93" w:rsidP="00DF49DF">
      <w:r>
        <w:rPr>
          <w:noProof/>
          <w:lang w:val="en-AU" w:eastAsia="en-AU"/>
        </w:rPr>
        <w:drawing>
          <wp:inline distT="0" distB="0" distL="0" distR="0" wp14:anchorId="4FC8A311" wp14:editId="5F24B4B1">
            <wp:extent cx="5734993" cy="2854518"/>
            <wp:effectExtent l="19050" t="19050" r="18415" b="222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3415" cy="2853732"/>
                    </a:xfrm>
                    <a:prstGeom prst="rect">
                      <a:avLst/>
                    </a:prstGeom>
                    <a:noFill/>
                    <a:ln>
                      <a:solidFill>
                        <a:schemeClr val="accent1"/>
                      </a:solidFill>
                    </a:ln>
                  </pic:spPr>
                </pic:pic>
              </a:graphicData>
            </a:graphic>
          </wp:inline>
        </w:drawing>
      </w:r>
    </w:p>
    <w:p w:rsidR="00B15DF8" w:rsidRDefault="00483AB2" w:rsidP="00DF49DF">
      <w:r>
        <w:t>Looking at expenditures in districts where there is a large share of the budget for education</w:t>
      </w:r>
      <w:r w:rsidR="006F4C2C">
        <w:t xml:space="preserve"> (greater than 50%) </w:t>
      </w:r>
      <w:r>
        <w:t xml:space="preserve">can indicate if education expenditures might be crowding out health expenditures. Of the </w:t>
      </w:r>
      <w:r>
        <w:lastRenderedPageBreak/>
        <w:t>27 districts that allocated more than 50% of their budget towards education, 15 alloc</w:t>
      </w:r>
      <w:r w:rsidR="00DB2328">
        <w:t>ated less than 10% for health</w:t>
      </w:r>
      <w:r>
        <w:t>. It is not poss</w:t>
      </w:r>
      <w:r w:rsidR="006F4C2C">
        <w:t xml:space="preserve">ible on the basis of these figures to suggest there is a trend for this to be occurring although it might be a factor in certain cases. </w:t>
      </w:r>
    </w:p>
    <w:p w:rsidR="00B15DF8" w:rsidRDefault="0034670E" w:rsidP="009A2DC1">
      <w:pPr>
        <w:pStyle w:val="Caption"/>
      </w:pPr>
      <w:bookmarkStart w:id="121" w:name="_Toc414281581"/>
      <w:r>
        <w:t>Health shares in districts with very high education allocations</w:t>
      </w:r>
      <w:r w:rsidR="00DB2328">
        <w:t xml:space="preserve"> (&gt;50%)</w:t>
      </w:r>
      <w:r>
        <w:t>, 2013</w:t>
      </w:r>
      <w:bookmarkEnd w:id="121"/>
    </w:p>
    <w:p w:rsidR="00B15DF8" w:rsidRDefault="00B15DF8" w:rsidP="00DF49DF">
      <w:r>
        <w:rPr>
          <w:noProof/>
          <w:lang w:val="en-AU" w:eastAsia="en-AU"/>
        </w:rPr>
        <w:drawing>
          <wp:inline distT="0" distB="0" distL="0" distR="0" wp14:anchorId="1E34CB43" wp14:editId="6A667E76">
            <wp:extent cx="5733415" cy="2924519"/>
            <wp:effectExtent l="19050" t="19050" r="19685"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3415" cy="2924519"/>
                    </a:xfrm>
                    <a:prstGeom prst="rect">
                      <a:avLst/>
                    </a:prstGeom>
                    <a:noFill/>
                    <a:ln>
                      <a:solidFill>
                        <a:schemeClr val="accent1"/>
                      </a:solidFill>
                    </a:ln>
                  </pic:spPr>
                </pic:pic>
              </a:graphicData>
            </a:graphic>
          </wp:inline>
        </w:drawing>
      </w:r>
    </w:p>
    <w:p w:rsidR="00972B0E" w:rsidRDefault="00972B0E" w:rsidP="00972B0E">
      <w:pPr>
        <w:pStyle w:val="Heading3"/>
      </w:pPr>
      <w:r>
        <w:t>SPI</w:t>
      </w:r>
      <w:r w:rsidR="00DB2328">
        <w:t xml:space="preserve"> 3</w:t>
      </w:r>
      <w:r>
        <w:t xml:space="preserve">: The Allocation Patterns and Statistical Impact of Newly Established Districts </w:t>
      </w:r>
    </w:p>
    <w:p w:rsidR="00972B0E" w:rsidRDefault="0024382F" w:rsidP="009A2DC1">
      <w:pPr>
        <w:pStyle w:val="Caption"/>
      </w:pPr>
      <w:bookmarkStart w:id="122" w:name="_Toc414281582"/>
      <w:r>
        <w:t xml:space="preserve">Year Districts Created </w:t>
      </w:r>
      <w:r w:rsidR="00972B0E">
        <w:t>– Average shares of district budgets 2007-2013</w:t>
      </w:r>
      <w:bookmarkEnd w:id="122"/>
    </w:p>
    <w:p w:rsidR="00D04C72" w:rsidRPr="00D04C72" w:rsidRDefault="00D04C72" w:rsidP="00D04C72">
      <w:pPr>
        <w:rPr>
          <w:lang w:val="en-GB"/>
        </w:rPr>
      </w:pPr>
      <w:r>
        <w:rPr>
          <w:noProof/>
          <w:lang w:val="en-AU" w:eastAsia="en-AU"/>
        </w:rPr>
        <w:drawing>
          <wp:inline distT="0" distB="0" distL="0" distR="0" wp14:anchorId="790E6CC0" wp14:editId="396EF391">
            <wp:extent cx="5271714" cy="2711395"/>
            <wp:effectExtent l="19050" t="19050" r="24765" b="133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72198" cy="2711644"/>
                    </a:xfrm>
                    <a:prstGeom prst="rect">
                      <a:avLst/>
                    </a:prstGeom>
                    <a:noFill/>
                    <a:ln>
                      <a:solidFill>
                        <a:schemeClr val="accent1"/>
                      </a:solidFill>
                    </a:ln>
                  </pic:spPr>
                </pic:pic>
              </a:graphicData>
            </a:graphic>
          </wp:inline>
        </w:drawing>
      </w:r>
    </w:p>
    <w:p w:rsidR="00D04C72" w:rsidRDefault="00D04C72" w:rsidP="00972B0E">
      <w:pPr>
        <w:rPr>
          <w:lang w:val="en-GB"/>
        </w:rPr>
      </w:pPr>
    </w:p>
    <w:p w:rsidR="0024382F" w:rsidRDefault="0024382F" w:rsidP="00972B0E">
      <w:pPr>
        <w:rPr>
          <w:lang w:val="en-GB"/>
        </w:rPr>
      </w:pPr>
    </w:p>
    <w:p w:rsidR="00D04C72" w:rsidRDefault="00D04C72" w:rsidP="00972B0E">
      <w:pPr>
        <w:rPr>
          <w:lang w:val="en-GB"/>
        </w:rPr>
      </w:pPr>
    </w:p>
    <w:p w:rsidR="0024382F" w:rsidRDefault="0024382F" w:rsidP="00972B0E">
      <w:pPr>
        <w:rPr>
          <w:lang w:val="en-GB"/>
        </w:rPr>
      </w:pPr>
    </w:p>
    <w:tbl>
      <w:tblPr>
        <w:tblStyle w:val="TableGrid3"/>
        <w:tblW w:w="5000" w:type="pct"/>
        <w:jc w:val="center"/>
        <w:tblLayout w:type="fixed"/>
        <w:tblCellMar>
          <w:top w:w="28" w:type="dxa"/>
          <w:bottom w:w="28" w:type="dxa"/>
        </w:tblCellMar>
        <w:tblLook w:val="04A0" w:firstRow="1" w:lastRow="0" w:firstColumn="1" w:lastColumn="0" w:noHBand="0" w:noVBand="1"/>
      </w:tblPr>
      <w:tblGrid>
        <w:gridCol w:w="1849"/>
        <w:gridCol w:w="1849"/>
        <w:gridCol w:w="1849"/>
        <w:gridCol w:w="3698"/>
      </w:tblGrid>
      <w:tr w:rsidR="00972B0E" w:rsidRPr="005162C4" w:rsidTr="00D55991">
        <w:trPr>
          <w:tblHeader/>
          <w:jc w:val="center"/>
        </w:trPr>
        <w:tc>
          <w:tcPr>
            <w:tcW w:w="1000" w:type="pct"/>
            <w:tcBorders>
              <w:top w:val="single" w:sz="12" w:space="0" w:color="auto"/>
              <w:left w:val="single" w:sz="12" w:space="0" w:color="auto"/>
              <w:bottom w:val="single" w:sz="4" w:space="0" w:color="auto"/>
              <w:right w:val="single" w:sz="4" w:space="0" w:color="FFFFFF" w:themeColor="background1"/>
            </w:tcBorders>
            <w:shd w:val="clear" w:color="auto" w:fill="003880"/>
            <w:vAlign w:val="center"/>
          </w:tcPr>
          <w:p w:rsidR="00972B0E" w:rsidRPr="005162C4" w:rsidRDefault="00972B0E" w:rsidP="00D55991">
            <w:pPr>
              <w:spacing w:after="0"/>
              <w:jc w:val="center"/>
              <w:rPr>
                <w:rFonts w:asciiTheme="minorHAnsi" w:hAnsiTheme="minorHAnsi" w:cstheme="minorHAnsi"/>
                <w:b/>
                <w:color w:val="FFFFFF" w:themeColor="background1"/>
                <w:sz w:val="20"/>
                <w:szCs w:val="20"/>
                <w:lang w:val="en-US"/>
              </w:rPr>
            </w:pPr>
            <w:r w:rsidRPr="005162C4">
              <w:rPr>
                <w:rFonts w:asciiTheme="minorHAnsi" w:hAnsiTheme="minorHAnsi" w:cstheme="minorHAnsi"/>
                <w:b/>
                <w:color w:val="FFFFFF" w:themeColor="background1"/>
                <w:sz w:val="20"/>
                <w:szCs w:val="20"/>
                <w:lang w:val="en-US"/>
              </w:rPr>
              <w:t>SPI</w:t>
            </w:r>
            <w:r w:rsidR="003245E4">
              <w:rPr>
                <w:rFonts w:asciiTheme="minorHAnsi" w:hAnsiTheme="minorHAnsi" w:cstheme="minorHAnsi"/>
                <w:b/>
                <w:color w:val="FFFFFF" w:themeColor="background1"/>
                <w:sz w:val="20"/>
                <w:szCs w:val="20"/>
                <w:lang w:val="en-US"/>
              </w:rPr>
              <w:t>3</w:t>
            </w:r>
            <w:r w:rsidRPr="005162C4">
              <w:rPr>
                <w:rFonts w:asciiTheme="minorHAnsi" w:hAnsiTheme="minorHAnsi" w:cstheme="minorHAnsi"/>
                <w:b/>
                <w:color w:val="FFFFFF" w:themeColor="background1"/>
                <w:sz w:val="20"/>
                <w:szCs w:val="20"/>
                <w:lang w:val="en-US"/>
              </w:rPr>
              <w:t xml:space="preserve"> </w:t>
            </w:r>
          </w:p>
        </w:tc>
        <w:tc>
          <w:tcPr>
            <w:tcW w:w="7216" w:type="dxa"/>
            <w:gridSpan w:val="3"/>
            <w:tcBorders>
              <w:top w:val="single" w:sz="12" w:space="0" w:color="auto"/>
              <w:left w:val="single" w:sz="4" w:space="0" w:color="FFFFFF" w:themeColor="background1"/>
              <w:bottom w:val="single" w:sz="4" w:space="0" w:color="auto"/>
              <w:right w:val="single" w:sz="12" w:space="0" w:color="auto"/>
            </w:tcBorders>
            <w:shd w:val="clear" w:color="auto" w:fill="003880"/>
            <w:vAlign w:val="center"/>
          </w:tcPr>
          <w:p w:rsidR="00972B0E" w:rsidRPr="005162C4" w:rsidRDefault="00972B0E" w:rsidP="002A1F23">
            <w:pPr>
              <w:spacing w:after="0"/>
              <w:jc w:val="center"/>
              <w:rPr>
                <w:rFonts w:asciiTheme="minorHAnsi" w:hAnsiTheme="minorHAnsi" w:cstheme="minorHAnsi"/>
                <w:b/>
                <w:color w:val="FFFFFF" w:themeColor="background1"/>
                <w:sz w:val="20"/>
                <w:szCs w:val="20"/>
                <w:lang w:val="en-US"/>
              </w:rPr>
            </w:pPr>
            <w:r w:rsidRPr="00972B0E">
              <w:rPr>
                <w:rFonts w:asciiTheme="minorHAnsi" w:hAnsiTheme="minorHAnsi" w:cstheme="minorHAnsi"/>
                <w:b/>
                <w:color w:val="FFFFFF" w:themeColor="background1"/>
                <w:sz w:val="20"/>
                <w:szCs w:val="20"/>
                <w:lang w:val="en-US"/>
              </w:rPr>
              <w:t xml:space="preserve">Allocation Patterns and Statistical Impact of Newly Established Districts </w:t>
            </w:r>
          </w:p>
        </w:tc>
      </w:tr>
      <w:tr w:rsidR="00972B0E" w:rsidRPr="005162C4" w:rsidTr="00D55991">
        <w:trPr>
          <w:tblHeader/>
          <w:jc w:val="center"/>
        </w:trPr>
        <w:tc>
          <w:tcPr>
            <w:tcW w:w="9019" w:type="dxa"/>
            <w:gridSpan w:val="4"/>
            <w:tcBorders>
              <w:left w:val="single" w:sz="12" w:space="0" w:color="auto"/>
              <w:bottom w:val="single" w:sz="4" w:space="0" w:color="auto"/>
              <w:right w:val="single" w:sz="12" w:space="0" w:color="auto"/>
            </w:tcBorders>
            <w:shd w:val="clear" w:color="auto" w:fill="4BACC6" w:themeFill="accent5"/>
            <w:vAlign w:val="center"/>
          </w:tcPr>
          <w:p w:rsidR="00972B0E" w:rsidRPr="005162C4" w:rsidRDefault="00972B0E" w:rsidP="00D55991">
            <w:pPr>
              <w:spacing w:after="0"/>
              <w:jc w:val="center"/>
              <w:rPr>
                <w:rFonts w:asciiTheme="minorHAnsi" w:hAnsiTheme="minorHAnsi" w:cstheme="minorHAnsi"/>
                <w:b/>
                <w:color w:val="FFFFFF" w:themeColor="background1"/>
                <w:sz w:val="20"/>
                <w:szCs w:val="20"/>
                <w:lang w:val="en-US"/>
              </w:rPr>
            </w:pPr>
            <w:r w:rsidRPr="005162C4">
              <w:rPr>
                <w:rFonts w:asciiTheme="minorHAnsi" w:hAnsiTheme="minorHAnsi" w:cstheme="minorHAnsi"/>
                <w:b/>
                <w:sz w:val="20"/>
                <w:szCs w:val="20"/>
                <w:lang w:val="en-US"/>
              </w:rPr>
              <w:lastRenderedPageBreak/>
              <w:t>STATUS AND TRENDS</w:t>
            </w:r>
          </w:p>
        </w:tc>
      </w:tr>
      <w:tr w:rsidR="00972B0E" w:rsidRPr="005162C4" w:rsidTr="00AB1157">
        <w:trPr>
          <w:jc w:val="center"/>
        </w:trPr>
        <w:tc>
          <w:tcPr>
            <w:tcW w:w="1000" w:type="pct"/>
            <w:tcBorders>
              <w:left w:val="single" w:sz="12" w:space="0" w:color="auto"/>
              <w:bottom w:val="single" w:sz="4" w:space="0" w:color="auto"/>
            </w:tcBorders>
            <w:shd w:val="clear" w:color="auto" w:fill="BFBFBF" w:themeFill="background1" w:themeFillShade="BF"/>
            <w:vAlign w:val="center"/>
          </w:tcPr>
          <w:p w:rsidR="00972B0E" w:rsidRPr="005162C4" w:rsidRDefault="00972B0E" w:rsidP="00D55991">
            <w:pPr>
              <w:spacing w:after="0"/>
              <w:jc w:val="center"/>
              <w:rPr>
                <w:sz w:val="20"/>
                <w:szCs w:val="20"/>
                <w:lang w:val="en-AU"/>
              </w:rPr>
            </w:pPr>
            <w:r w:rsidRPr="005162C4">
              <w:rPr>
                <w:sz w:val="20"/>
                <w:szCs w:val="20"/>
                <w:lang w:val="en-AU"/>
              </w:rPr>
              <w:t>Result</w:t>
            </w:r>
          </w:p>
        </w:tc>
        <w:tc>
          <w:tcPr>
            <w:tcW w:w="1000" w:type="pct"/>
            <w:shd w:val="clear" w:color="auto" w:fill="FFC000"/>
            <w:vAlign w:val="center"/>
          </w:tcPr>
          <w:p w:rsidR="00972B0E" w:rsidRPr="005162C4" w:rsidRDefault="003E2E55" w:rsidP="00D55991">
            <w:pPr>
              <w:spacing w:after="0"/>
              <w:jc w:val="center"/>
              <w:rPr>
                <w:sz w:val="20"/>
                <w:szCs w:val="20"/>
                <w:lang w:val="en-AU"/>
              </w:rPr>
            </w:pPr>
            <w:r>
              <w:rPr>
                <w:sz w:val="20"/>
                <w:szCs w:val="20"/>
                <w:lang w:val="en-AU"/>
              </w:rPr>
              <w:t>Neutral</w:t>
            </w:r>
          </w:p>
        </w:tc>
        <w:tc>
          <w:tcPr>
            <w:tcW w:w="1000" w:type="pct"/>
            <w:shd w:val="clear" w:color="auto" w:fill="BFBFBF" w:themeFill="background1" w:themeFillShade="BF"/>
            <w:vAlign w:val="center"/>
          </w:tcPr>
          <w:p w:rsidR="00972B0E" w:rsidRPr="005162C4" w:rsidRDefault="00972B0E" w:rsidP="00D55991">
            <w:pPr>
              <w:spacing w:after="0"/>
              <w:jc w:val="center"/>
              <w:rPr>
                <w:sz w:val="20"/>
                <w:szCs w:val="20"/>
                <w:lang w:val="en-AU"/>
              </w:rPr>
            </w:pPr>
            <w:r w:rsidRPr="005162C4">
              <w:rPr>
                <w:sz w:val="20"/>
                <w:szCs w:val="20"/>
                <w:lang w:val="en-AU"/>
              </w:rPr>
              <w:t>Data availability</w:t>
            </w:r>
          </w:p>
        </w:tc>
        <w:tc>
          <w:tcPr>
            <w:tcW w:w="3608" w:type="dxa"/>
            <w:tcBorders>
              <w:right w:val="single" w:sz="12" w:space="0" w:color="auto"/>
            </w:tcBorders>
            <w:vAlign w:val="center"/>
          </w:tcPr>
          <w:p w:rsidR="00972B0E" w:rsidRPr="005162C4" w:rsidRDefault="008556EF" w:rsidP="00AB1157">
            <w:pPr>
              <w:spacing w:after="0"/>
              <w:rPr>
                <w:sz w:val="20"/>
                <w:szCs w:val="20"/>
                <w:lang w:val="en-AU"/>
              </w:rPr>
            </w:pPr>
            <w:r w:rsidRPr="008556EF">
              <w:rPr>
                <w:sz w:val="20"/>
                <w:szCs w:val="20"/>
                <w:lang w:val="en-AU"/>
              </w:rPr>
              <w:t>Financial data for 2013 was available for 496 districts and enrolment data for 490 districts.</w:t>
            </w:r>
          </w:p>
        </w:tc>
      </w:tr>
      <w:tr w:rsidR="00972B0E" w:rsidRPr="005162C4" w:rsidTr="00D55991">
        <w:trPr>
          <w:jc w:val="center"/>
        </w:trPr>
        <w:tc>
          <w:tcPr>
            <w:tcW w:w="1000" w:type="pct"/>
            <w:tcBorders>
              <w:left w:val="single" w:sz="12" w:space="0" w:color="auto"/>
            </w:tcBorders>
            <w:shd w:val="clear" w:color="auto" w:fill="BFBFBF" w:themeFill="background1" w:themeFillShade="BF"/>
            <w:vAlign w:val="center"/>
          </w:tcPr>
          <w:p w:rsidR="00972B0E" w:rsidRPr="005162C4" w:rsidRDefault="00972B0E" w:rsidP="00D55991">
            <w:pPr>
              <w:spacing w:after="0"/>
              <w:jc w:val="center"/>
              <w:rPr>
                <w:sz w:val="20"/>
                <w:szCs w:val="20"/>
                <w:lang w:val="en-AU"/>
              </w:rPr>
            </w:pPr>
            <w:r w:rsidRPr="005162C4">
              <w:rPr>
                <w:sz w:val="20"/>
                <w:szCs w:val="20"/>
                <w:lang w:val="en-AU"/>
              </w:rPr>
              <w:t>Observations</w:t>
            </w:r>
          </w:p>
        </w:tc>
        <w:tc>
          <w:tcPr>
            <w:tcW w:w="7216" w:type="dxa"/>
            <w:gridSpan w:val="3"/>
            <w:tcBorders>
              <w:right w:val="single" w:sz="12" w:space="0" w:color="auto"/>
            </w:tcBorders>
            <w:vAlign w:val="center"/>
          </w:tcPr>
          <w:p w:rsidR="00972B0E" w:rsidRPr="005162C4" w:rsidRDefault="003E2E55" w:rsidP="00972B0E">
            <w:pPr>
              <w:pStyle w:val="ListParagraph"/>
              <w:numPr>
                <w:ilvl w:val="0"/>
                <w:numId w:val="12"/>
              </w:numPr>
              <w:spacing w:after="60" w:line="240" w:lineRule="auto"/>
              <w:ind w:left="284" w:hanging="284"/>
              <w:contextualSpacing w:val="0"/>
              <w:jc w:val="both"/>
              <w:rPr>
                <w:sz w:val="20"/>
                <w:szCs w:val="20"/>
                <w:lang w:val="en-AU"/>
              </w:rPr>
            </w:pPr>
            <w:r>
              <w:rPr>
                <w:sz w:val="20"/>
                <w:szCs w:val="20"/>
                <w:lang w:val="en-AU"/>
              </w:rPr>
              <w:t>The older the district the greater the percentage of its budget it tends to allocate towards education</w:t>
            </w:r>
            <w:r w:rsidR="0024382F">
              <w:rPr>
                <w:sz w:val="20"/>
                <w:szCs w:val="20"/>
                <w:lang w:val="en-AU"/>
              </w:rPr>
              <w:t>.</w:t>
            </w:r>
          </w:p>
          <w:p w:rsidR="00972B0E" w:rsidRDefault="003E2E55" w:rsidP="00D55991">
            <w:pPr>
              <w:pStyle w:val="ListParagraph"/>
              <w:numPr>
                <w:ilvl w:val="0"/>
                <w:numId w:val="12"/>
              </w:numPr>
              <w:spacing w:after="60" w:line="240" w:lineRule="auto"/>
              <w:ind w:left="284" w:hanging="284"/>
              <w:contextualSpacing w:val="0"/>
              <w:jc w:val="both"/>
              <w:rPr>
                <w:sz w:val="20"/>
                <w:szCs w:val="20"/>
                <w:lang w:val="en-AU"/>
              </w:rPr>
            </w:pPr>
            <w:r>
              <w:rPr>
                <w:sz w:val="20"/>
                <w:szCs w:val="20"/>
                <w:lang w:val="en-AU"/>
              </w:rPr>
              <w:t>The older the district the greater its total budget for education</w:t>
            </w:r>
            <w:r w:rsidR="0024382F">
              <w:rPr>
                <w:sz w:val="20"/>
                <w:szCs w:val="20"/>
                <w:lang w:val="en-AU"/>
              </w:rPr>
              <w:t>.</w:t>
            </w:r>
          </w:p>
          <w:p w:rsidR="003E2E55" w:rsidRDefault="00D55991" w:rsidP="003E2E55">
            <w:pPr>
              <w:pStyle w:val="ListParagraph"/>
              <w:numPr>
                <w:ilvl w:val="0"/>
                <w:numId w:val="12"/>
              </w:numPr>
              <w:spacing w:after="60" w:line="240" w:lineRule="auto"/>
              <w:ind w:left="284" w:hanging="284"/>
              <w:contextualSpacing w:val="0"/>
              <w:jc w:val="both"/>
              <w:rPr>
                <w:sz w:val="20"/>
                <w:szCs w:val="20"/>
                <w:lang w:val="en-AU"/>
              </w:rPr>
            </w:pPr>
            <w:r>
              <w:rPr>
                <w:sz w:val="20"/>
                <w:szCs w:val="20"/>
                <w:lang w:val="en-AU"/>
              </w:rPr>
              <w:t>Newest</w:t>
            </w:r>
            <w:r w:rsidR="003E2E55">
              <w:rPr>
                <w:sz w:val="20"/>
                <w:szCs w:val="20"/>
                <w:lang w:val="en-AU"/>
              </w:rPr>
              <w:t xml:space="preserve"> districts are smaller</w:t>
            </w:r>
            <w:r>
              <w:rPr>
                <w:sz w:val="20"/>
                <w:szCs w:val="20"/>
                <w:lang w:val="en-AU"/>
              </w:rPr>
              <w:t>, most likely to be found in Papua and Sumatera</w:t>
            </w:r>
            <w:r w:rsidR="003E2E55">
              <w:rPr>
                <w:sz w:val="20"/>
                <w:szCs w:val="20"/>
                <w:lang w:val="en-AU"/>
              </w:rPr>
              <w:t xml:space="preserve"> and likely to spend more per student than others</w:t>
            </w:r>
            <w:r>
              <w:rPr>
                <w:sz w:val="20"/>
                <w:szCs w:val="20"/>
                <w:lang w:val="en-AU"/>
              </w:rPr>
              <w:t xml:space="preserve">. </w:t>
            </w:r>
          </w:p>
          <w:p w:rsidR="00D55991" w:rsidRDefault="00D55991" w:rsidP="00D55991">
            <w:pPr>
              <w:pStyle w:val="ListParagraph"/>
              <w:numPr>
                <w:ilvl w:val="0"/>
                <w:numId w:val="12"/>
              </w:numPr>
              <w:spacing w:after="60" w:line="240" w:lineRule="auto"/>
              <w:ind w:left="284" w:hanging="284"/>
              <w:contextualSpacing w:val="0"/>
              <w:jc w:val="both"/>
              <w:rPr>
                <w:sz w:val="20"/>
                <w:szCs w:val="20"/>
                <w:lang w:val="en-AU"/>
              </w:rPr>
            </w:pPr>
            <w:r>
              <w:rPr>
                <w:sz w:val="20"/>
                <w:szCs w:val="20"/>
                <w:lang w:val="en-AU"/>
              </w:rPr>
              <w:t>Newest districts had very high annu</w:t>
            </w:r>
            <w:r w:rsidR="0024382F">
              <w:rPr>
                <w:sz w:val="20"/>
                <w:szCs w:val="20"/>
                <w:lang w:val="en-AU"/>
              </w:rPr>
              <w:t>al growth rates in 2010 and 2011</w:t>
            </w:r>
            <w:r>
              <w:rPr>
                <w:sz w:val="20"/>
                <w:szCs w:val="20"/>
                <w:lang w:val="en-AU"/>
              </w:rPr>
              <w:t xml:space="preserve"> in their total APBD budgets and this was also reflected in their education allocations. In 2012 and 2013 the annual growth in total budget and education allocations has joined the statistical average for older districts.</w:t>
            </w:r>
          </w:p>
          <w:p w:rsidR="00C37AD5" w:rsidRPr="005162C4" w:rsidRDefault="00C37AD5" w:rsidP="00D55991">
            <w:pPr>
              <w:pStyle w:val="ListParagraph"/>
              <w:numPr>
                <w:ilvl w:val="0"/>
                <w:numId w:val="12"/>
              </w:numPr>
              <w:spacing w:after="60" w:line="240" w:lineRule="auto"/>
              <w:ind w:left="284" w:hanging="284"/>
              <w:contextualSpacing w:val="0"/>
              <w:jc w:val="both"/>
              <w:rPr>
                <w:sz w:val="20"/>
                <w:szCs w:val="20"/>
                <w:lang w:val="en-AU"/>
              </w:rPr>
            </w:pPr>
            <w:r>
              <w:rPr>
                <w:sz w:val="20"/>
                <w:szCs w:val="20"/>
                <w:lang w:val="en-AU"/>
              </w:rPr>
              <w:t xml:space="preserve">The small number of newest districts </w:t>
            </w:r>
            <w:r w:rsidR="00AB1157">
              <w:rPr>
                <w:sz w:val="20"/>
                <w:szCs w:val="20"/>
                <w:lang w:val="en-AU"/>
              </w:rPr>
              <w:t xml:space="preserve">(2007 onwards) </w:t>
            </w:r>
            <w:r>
              <w:rPr>
                <w:sz w:val="20"/>
                <w:szCs w:val="20"/>
                <w:lang w:val="en-AU"/>
              </w:rPr>
              <w:t>means they have not distorted the national level findings of the study</w:t>
            </w:r>
            <w:r w:rsidR="008A317D">
              <w:rPr>
                <w:sz w:val="20"/>
                <w:szCs w:val="20"/>
                <w:lang w:val="en-AU"/>
              </w:rPr>
              <w:t>.</w:t>
            </w:r>
          </w:p>
        </w:tc>
      </w:tr>
      <w:tr w:rsidR="00972B0E" w:rsidRPr="005162C4" w:rsidTr="00D55991">
        <w:trPr>
          <w:tblHeader/>
          <w:jc w:val="center"/>
        </w:trPr>
        <w:tc>
          <w:tcPr>
            <w:tcW w:w="9019" w:type="dxa"/>
            <w:gridSpan w:val="4"/>
            <w:tcBorders>
              <w:left w:val="single" w:sz="12" w:space="0" w:color="auto"/>
              <w:bottom w:val="single" w:sz="4" w:space="0" w:color="auto"/>
              <w:right w:val="single" w:sz="12" w:space="0" w:color="auto"/>
            </w:tcBorders>
            <w:shd w:val="clear" w:color="auto" w:fill="4BACC6" w:themeFill="accent5"/>
            <w:vAlign w:val="center"/>
          </w:tcPr>
          <w:p w:rsidR="00972B0E" w:rsidRPr="005162C4" w:rsidRDefault="00972B0E" w:rsidP="00D55991">
            <w:pPr>
              <w:spacing w:after="0"/>
              <w:jc w:val="center"/>
              <w:rPr>
                <w:rFonts w:asciiTheme="minorHAnsi" w:hAnsiTheme="minorHAnsi" w:cstheme="minorHAnsi"/>
                <w:b/>
                <w:color w:val="FFFFFF" w:themeColor="background1"/>
                <w:sz w:val="20"/>
                <w:szCs w:val="20"/>
                <w:lang w:val="en-US"/>
              </w:rPr>
            </w:pPr>
            <w:r w:rsidRPr="005162C4">
              <w:rPr>
                <w:rFonts w:asciiTheme="minorHAnsi" w:hAnsiTheme="minorHAnsi" w:cstheme="minorHAnsi"/>
                <w:b/>
                <w:sz w:val="20"/>
                <w:szCs w:val="20"/>
                <w:lang w:val="en-US"/>
              </w:rPr>
              <w:t>IMPLICATIONS AND MATTERS ARISING</w:t>
            </w:r>
          </w:p>
        </w:tc>
      </w:tr>
      <w:tr w:rsidR="00972B0E" w:rsidRPr="005162C4" w:rsidTr="00D55991">
        <w:trPr>
          <w:jc w:val="center"/>
        </w:trPr>
        <w:tc>
          <w:tcPr>
            <w:tcW w:w="1000" w:type="pct"/>
            <w:tcBorders>
              <w:left w:val="single" w:sz="12" w:space="0" w:color="auto"/>
            </w:tcBorders>
            <w:shd w:val="clear" w:color="auto" w:fill="BFBFBF" w:themeFill="background1" w:themeFillShade="BF"/>
            <w:vAlign w:val="center"/>
          </w:tcPr>
          <w:p w:rsidR="00972B0E" w:rsidRPr="005162C4" w:rsidRDefault="00972B0E" w:rsidP="00D55991">
            <w:pPr>
              <w:spacing w:after="0"/>
              <w:jc w:val="center"/>
              <w:rPr>
                <w:sz w:val="20"/>
                <w:szCs w:val="20"/>
                <w:lang w:val="en-AU"/>
              </w:rPr>
            </w:pPr>
            <w:r w:rsidRPr="005162C4">
              <w:rPr>
                <w:sz w:val="20"/>
                <w:szCs w:val="20"/>
                <w:lang w:val="en-AU"/>
              </w:rPr>
              <w:t>For the performance of the education sector</w:t>
            </w:r>
          </w:p>
        </w:tc>
        <w:tc>
          <w:tcPr>
            <w:tcW w:w="7216" w:type="dxa"/>
            <w:gridSpan w:val="3"/>
            <w:tcBorders>
              <w:right w:val="single" w:sz="12" w:space="0" w:color="auto"/>
            </w:tcBorders>
            <w:vAlign w:val="center"/>
          </w:tcPr>
          <w:p w:rsidR="00972B0E" w:rsidRPr="00C37AD5" w:rsidRDefault="00D55991" w:rsidP="00AB1157">
            <w:pPr>
              <w:pStyle w:val="ListParagraph"/>
              <w:numPr>
                <w:ilvl w:val="0"/>
                <w:numId w:val="12"/>
              </w:numPr>
              <w:spacing w:after="60" w:line="240" w:lineRule="auto"/>
              <w:ind w:left="284" w:hanging="284"/>
              <w:contextualSpacing w:val="0"/>
              <w:jc w:val="both"/>
              <w:rPr>
                <w:sz w:val="20"/>
                <w:szCs w:val="20"/>
                <w:lang w:val="en-AU"/>
              </w:rPr>
            </w:pPr>
            <w:r>
              <w:rPr>
                <w:sz w:val="20"/>
                <w:szCs w:val="20"/>
                <w:lang w:val="en-AU"/>
              </w:rPr>
              <w:t xml:space="preserve">The newest districts can have very high </w:t>
            </w:r>
            <w:r w:rsidR="00970F47">
              <w:rPr>
                <w:sz w:val="20"/>
                <w:szCs w:val="20"/>
                <w:lang w:val="en-AU"/>
              </w:rPr>
              <w:t xml:space="preserve">initial </w:t>
            </w:r>
            <w:r>
              <w:rPr>
                <w:sz w:val="20"/>
                <w:szCs w:val="20"/>
                <w:lang w:val="en-AU"/>
              </w:rPr>
              <w:t xml:space="preserve">budget allocations for education and these may be related to capital improvements and other establishment costs. </w:t>
            </w:r>
            <w:r w:rsidR="00C37AD5">
              <w:rPr>
                <w:sz w:val="20"/>
                <w:szCs w:val="20"/>
                <w:lang w:val="en-AU"/>
              </w:rPr>
              <w:t>In such high spend setting it will be especially important to be sure that expenditure</w:t>
            </w:r>
            <w:r w:rsidR="008A317D">
              <w:rPr>
                <w:sz w:val="20"/>
                <w:szCs w:val="20"/>
                <w:lang w:val="en-AU"/>
              </w:rPr>
              <w:t xml:space="preserve"> is </w:t>
            </w:r>
            <w:r w:rsidR="00C37AD5">
              <w:rPr>
                <w:sz w:val="20"/>
                <w:szCs w:val="20"/>
                <w:lang w:val="en-AU"/>
              </w:rPr>
              <w:t xml:space="preserve"> well targeted and sequenced with other investments. </w:t>
            </w:r>
          </w:p>
        </w:tc>
      </w:tr>
      <w:tr w:rsidR="00972B0E" w:rsidRPr="005162C4" w:rsidTr="00D55991">
        <w:trPr>
          <w:jc w:val="center"/>
        </w:trPr>
        <w:tc>
          <w:tcPr>
            <w:tcW w:w="1000" w:type="pct"/>
            <w:tcBorders>
              <w:left w:val="single" w:sz="12" w:space="0" w:color="auto"/>
              <w:bottom w:val="single" w:sz="12" w:space="0" w:color="auto"/>
            </w:tcBorders>
            <w:shd w:val="clear" w:color="auto" w:fill="BFBFBF" w:themeFill="background1" w:themeFillShade="BF"/>
            <w:vAlign w:val="center"/>
          </w:tcPr>
          <w:p w:rsidR="00972B0E" w:rsidRPr="005162C4" w:rsidRDefault="00972B0E" w:rsidP="00D55991">
            <w:pPr>
              <w:spacing w:after="0"/>
              <w:jc w:val="center"/>
              <w:rPr>
                <w:sz w:val="20"/>
                <w:szCs w:val="20"/>
                <w:lang w:val="en-AU"/>
              </w:rPr>
            </w:pPr>
            <w:r w:rsidRPr="005162C4">
              <w:rPr>
                <w:sz w:val="20"/>
                <w:szCs w:val="20"/>
                <w:lang w:val="en-AU"/>
              </w:rPr>
              <w:t>For the performance of the Education Partnership</w:t>
            </w:r>
          </w:p>
        </w:tc>
        <w:tc>
          <w:tcPr>
            <w:tcW w:w="7216" w:type="dxa"/>
            <w:gridSpan w:val="3"/>
            <w:tcBorders>
              <w:bottom w:val="single" w:sz="12" w:space="0" w:color="auto"/>
              <w:right w:val="single" w:sz="12" w:space="0" w:color="auto"/>
            </w:tcBorders>
            <w:vAlign w:val="center"/>
          </w:tcPr>
          <w:p w:rsidR="00972B0E" w:rsidRPr="005162C4" w:rsidRDefault="00972B0E" w:rsidP="00AD43AC">
            <w:pPr>
              <w:pStyle w:val="ListParagraph"/>
              <w:numPr>
                <w:ilvl w:val="0"/>
                <w:numId w:val="12"/>
              </w:numPr>
              <w:spacing w:after="60" w:line="240" w:lineRule="auto"/>
              <w:ind w:left="284" w:hanging="284"/>
              <w:contextualSpacing w:val="0"/>
              <w:jc w:val="both"/>
              <w:rPr>
                <w:sz w:val="20"/>
                <w:szCs w:val="20"/>
                <w:lang w:val="en-AU"/>
              </w:rPr>
            </w:pPr>
            <w:r w:rsidRPr="005162C4">
              <w:rPr>
                <w:rFonts w:cstheme="minorHAnsi"/>
                <w:sz w:val="20"/>
                <w:szCs w:val="20"/>
              </w:rPr>
              <w:t xml:space="preserve">DFAT </w:t>
            </w:r>
            <w:r w:rsidR="0024382F">
              <w:rPr>
                <w:rFonts w:cstheme="minorHAnsi"/>
                <w:sz w:val="20"/>
                <w:szCs w:val="20"/>
              </w:rPr>
              <w:t xml:space="preserve">should </w:t>
            </w:r>
            <w:r w:rsidR="007216BA">
              <w:rPr>
                <w:rFonts w:cstheme="minorHAnsi"/>
                <w:sz w:val="20"/>
                <w:szCs w:val="20"/>
              </w:rPr>
              <w:t xml:space="preserve">identify </w:t>
            </w:r>
            <w:r w:rsidR="0024382F">
              <w:rPr>
                <w:rFonts w:cstheme="minorHAnsi"/>
                <w:sz w:val="20"/>
                <w:szCs w:val="20"/>
              </w:rPr>
              <w:t xml:space="preserve">EP </w:t>
            </w:r>
            <w:r w:rsidR="007216BA">
              <w:rPr>
                <w:rFonts w:cstheme="minorHAnsi"/>
                <w:sz w:val="20"/>
                <w:szCs w:val="20"/>
              </w:rPr>
              <w:t xml:space="preserve">districts that are </w:t>
            </w:r>
            <w:r w:rsidR="00AD43AC">
              <w:rPr>
                <w:rFonts w:cstheme="minorHAnsi"/>
                <w:sz w:val="20"/>
                <w:szCs w:val="20"/>
              </w:rPr>
              <w:t xml:space="preserve">affected </w:t>
            </w:r>
            <w:r w:rsidR="00970F47">
              <w:rPr>
                <w:rFonts w:cstheme="minorHAnsi"/>
                <w:sz w:val="20"/>
                <w:szCs w:val="20"/>
              </w:rPr>
              <w:t xml:space="preserve">by the separating off of smaller districts as these may create significant </w:t>
            </w:r>
            <w:r w:rsidR="00BC6256">
              <w:rPr>
                <w:rFonts w:cstheme="minorHAnsi"/>
                <w:sz w:val="20"/>
                <w:szCs w:val="20"/>
              </w:rPr>
              <w:t xml:space="preserve">cost and </w:t>
            </w:r>
            <w:r w:rsidR="00970F47">
              <w:rPr>
                <w:rFonts w:cstheme="minorHAnsi"/>
                <w:sz w:val="20"/>
                <w:szCs w:val="20"/>
              </w:rPr>
              <w:t xml:space="preserve">organisational impacts for </w:t>
            </w:r>
            <w:r w:rsidR="00BC6256">
              <w:rPr>
                <w:rFonts w:cstheme="minorHAnsi"/>
                <w:sz w:val="20"/>
                <w:szCs w:val="20"/>
              </w:rPr>
              <w:t xml:space="preserve">districts, </w:t>
            </w:r>
            <w:r w:rsidR="00970F47">
              <w:rPr>
                <w:rFonts w:cstheme="minorHAnsi"/>
                <w:sz w:val="20"/>
                <w:szCs w:val="20"/>
              </w:rPr>
              <w:t xml:space="preserve">schools and communities. </w:t>
            </w:r>
          </w:p>
        </w:tc>
      </w:tr>
    </w:tbl>
    <w:p w:rsidR="00972B0E" w:rsidRDefault="00972B0E" w:rsidP="00972B0E"/>
    <w:p w:rsidR="00970F47" w:rsidRDefault="00970F47" w:rsidP="00AB1157">
      <w:pPr>
        <w:jc w:val="both"/>
      </w:pPr>
      <w:r>
        <w:t>Districts created before 2003 have more than double the average budget of newer districts.</w:t>
      </w:r>
      <w:r w:rsidR="006B24DB">
        <w:t xml:space="preserve"> D</w:t>
      </w:r>
      <w:r w:rsidR="002D0384">
        <w:t>istricts created before 2003 had average education budget allocations of Rp. 420 billion compared to Rp. 148 billion for the newest districts established after 2007.</w:t>
      </w:r>
      <w:r w:rsidR="00AD43AC">
        <w:t xml:space="preserve"> </w:t>
      </w:r>
      <w:r w:rsidR="009E14CA">
        <w:t>In Papua, the oldest districts have the largest budgets, but the newest districts have on average budgets that are larger than districts created during the period 2003-07. So the newness effect on district budgets is no driven by Papua geography but population size across geographical areas.</w:t>
      </w:r>
    </w:p>
    <w:p w:rsidR="00972B0E" w:rsidRDefault="00FD0F1F" w:rsidP="009A2DC1">
      <w:pPr>
        <w:pStyle w:val="Caption"/>
      </w:pPr>
      <w:bookmarkStart w:id="123" w:name="_Toc414281583"/>
      <w:r>
        <w:lastRenderedPageBreak/>
        <w:t>Average District Allocations for Education, 2013 (Rp. million)</w:t>
      </w:r>
      <w:bookmarkEnd w:id="123"/>
    </w:p>
    <w:p w:rsidR="00972B0E" w:rsidRDefault="00D04C72" w:rsidP="00DF49DF">
      <w:r>
        <w:rPr>
          <w:noProof/>
          <w:lang w:val="en-AU" w:eastAsia="en-AU"/>
        </w:rPr>
        <w:drawing>
          <wp:inline distT="0" distB="0" distL="0" distR="0" wp14:anchorId="7082D837" wp14:editId="66ADAE50">
            <wp:extent cx="5732057" cy="2926080"/>
            <wp:effectExtent l="19050" t="19050" r="21590" b="266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3415" cy="2926773"/>
                    </a:xfrm>
                    <a:prstGeom prst="rect">
                      <a:avLst/>
                    </a:prstGeom>
                    <a:noFill/>
                    <a:ln>
                      <a:solidFill>
                        <a:schemeClr val="accent1"/>
                      </a:solidFill>
                    </a:ln>
                  </pic:spPr>
                </pic:pic>
              </a:graphicData>
            </a:graphic>
          </wp:inline>
        </w:drawing>
      </w:r>
    </w:p>
    <w:p w:rsidR="00D04C72" w:rsidRDefault="00D04C72" w:rsidP="00DF49DF"/>
    <w:p w:rsidR="002D0384" w:rsidRDefault="006B24DB" w:rsidP="009E14CA">
      <w:pPr>
        <w:jc w:val="both"/>
      </w:pPr>
      <w:r>
        <w:t>As the figure below shows, t</w:t>
      </w:r>
      <w:r w:rsidR="002D0384">
        <w:t xml:space="preserve">he higher per student allocations of the newest districts </w:t>
      </w:r>
      <w:r>
        <w:t xml:space="preserve">correlate with </w:t>
      </w:r>
      <w:r w:rsidR="002D0384">
        <w:t xml:space="preserve">the larger average population size of these districts. </w:t>
      </w:r>
      <w:r>
        <w:t>While districts created before 2003 have an average population that is closer to 600,000 the newer districts have average populations that are less than 200,000.</w:t>
      </w:r>
    </w:p>
    <w:p w:rsidR="00FD0F1F" w:rsidRDefault="00FD0F1F" w:rsidP="009A2DC1">
      <w:pPr>
        <w:pStyle w:val="Caption"/>
      </w:pPr>
      <w:bookmarkStart w:id="124" w:name="_Toc414281584"/>
      <w:r>
        <w:t>Average population size of districts by year created, 2013</w:t>
      </w:r>
      <w:bookmarkEnd w:id="124"/>
    </w:p>
    <w:p w:rsidR="00D04C72" w:rsidRDefault="00FD0F1F" w:rsidP="00DF49DF">
      <w:r>
        <w:rPr>
          <w:noProof/>
          <w:lang w:val="en-AU" w:eastAsia="en-AU"/>
        </w:rPr>
        <w:drawing>
          <wp:inline distT="0" distB="0" distL="0" distR="0" wp14:anchorId="30052854" wp14:editId="50E8DC41">
            <wp:extent cx="4993419" cy="2631882"/>
            <wp:effectExtent l="19050" t="19050" r="17145" b="165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93604" cy="2631980"/>
                    </a:xfrm>
                    <a:prstGeom prst="rect">
                      <a:avLst/>
                    </a:prstGeom>
                    <a:noFill/>
                    <a:ln>
                      <a:solidFill>
                        <a:schemeClr val="accent1"/>
                      </a:solidFill>
                    </a:ln>
                  </pic:spPr>
                </pic:pic>
              </a:graphicData>
            </a:graphic>
          </wp:inline>
        </w:drawing>
      </w:r>
    </w:p>
    <w:p w:rsidR="00FD0F1F" w:rsidRDefault="002D0384" w:rsidP="009E14CA">
      <w:pPr>
        <w:jc w:val="both"/>
      </w:pPr>
      <w:r>
        <w:t>Smaller districts are therefore more likely to be affected by the diseconomies of scale as well as the effects of isolated populations in remote areas of Papua and Sumatera</w:t>
      </w:r>
      <w:r w:rsidR="006B24DB">
        <w:t xml:space="preserve">. This is captured by the figure below which shows that newest districts have escalated per student costs compared to the other two groups. Interestingly, this difference in unit cost structures begins to emerge in 2011 but then </w:t>
      </w:r>
      <w:r w:rsidR="00DB4A3E">
        <w:t xml:space="preserve">the price gap </w:t>
      </w:r>
      <w:r w:rsidR="006B24DB">
        <w:t xml:space="preserve">remains </w:t>
      </w:r>
      <w:r w:rsidR="00DB4A3E">
        <w:t xml:space="preserve">at the same level </w:t>
      </w:r>
      <w:r w:rsidR="006B24DB">
        <w:t xml:space="preserve">for the next three years. It may indeed reflect the introduction of special teacher allowances which apply for remote areas and hard to teach districts that are </w:t>
      </w:r>
      <w:r w:rsidR="003B26A9">
        <w:t>found amongst the newest districts.</w:t>
      </w:r>
    </w:p>
    <w:p w:rsidR="00FD0F1F" w:rsidRDefault="00FD0F1F" w:rsidP="00DF49DF"/>
    <w:p w:rsidR="00D04C72" w:rsidRDefault="00A54111" w:rsidP="009A2DC1">
      <w:pPr>
        <w:pStyle w:val="Caption"/>
      </w:pPr>
      <w:bookmarkStart w:id="125" w:name="_Toc414281585"/>
      <w:r>
        <w:lastRenderedPageBreak/>
        <w:t>Average allocations per student, by year district created</w:t>
      </w:r>
      <w:bookmarkEnd w:id="125"/>
    </w:p>
    <w:p w:rsidR="00D04C72" w:rsidRDefault="00FD0F1F" w:rsidP="00DF49DF">
      <w:r>
        <w:rPr>
          <w:noProof/>
          <w:lang w:val="en-AU" w:eastAsia="en-AU"/>
        </w:rPr>
        <w:drawing>
          <wp:inline distT="0" distB="0" distL="0" distR="0" wp14:anchorId="10569D3B" wp14:editId="65DA9E53">
            <wp:extent cx="5009321" cy="2711394"/>
            <wp:effectExtent l="19050" t="19050" r="20320" b="133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83383" cy="2697355"/>
                    </a:xfrm>
                    <a:prstGeom prst="rect">
                      <a:avLst/>
                    </a:prstGeom>
                    <a:noFill/>
                    <a:ln>
                      <a:solidFill>
                        <a:schemeClr val="accent1"/>
                      </a:solidFill>
                    </a:ln>
                  </pic:spPr>
                </pic:pic>
              </a:graphicData>
            </a:graphic>
          </wp:inline>
        </w:drawing>
      </w:r>
    </w:p>
    <w:p w:rsidR="00D04C72" w:rsidRDefault="003B26A9" w:rsidP="009E14CA">
      <w:pPr>
        <w:jc w:val="both"/>
      </w:pPr>
      <w:r>
        <w:t>While the newest districts had very high growth rates (in</w:t>
      </w:r>
      <w:r w:rsidR="00DB4A3E">
        <w:t xml:space="preserve"> e</w:t>
      </w:r>
      <w:r>
        <w:t xml:space="preserve">xcess of 100%) in their budgets during 2010 and 2011, by 2012 </w:t>
      </w:r>
      <w:r w:rsidR="00883BA1">
        <w:t xml:space="preserve">and into 2013, </w:t>
      </w:r>
      <w:r>
        <w:t>these district</w:t>
      </w:r>
      <w:r w:rsidR="00DB4A3E">
        <w:t>s</w:t>
      </w:r>
      <w:r>
        <w:t xml:space="preserve"> had assumed growth rates that were </w:t>
      </w:r>
      <w:r w:rsidR="00DB4A3E">
        <w:t xml:space="preserve">very much </w:t>
      </w:r>
      <w:r>
        <w:t xml:space="preserve">in line with the other older districts (around 10%). </w:t>
      </w:r>
    </w:p>
    <w:p w:rsidR="00D04C72" w:rsidRDefault="003B26A9" w:rsidP="009A2DC1">
      <w:pPr>
        <w:pStyle w:val="Caption"/>
      </w:pPr>
      <w:bookmarkStart w:id="126" w:name="_Toc414281586"/>
      <w:r>
        <w:t>Growth rates in total and education sector district budgets, 2010-2013</w:t>
      </w:r>
      <w:bookmarkEnd w:id="126"/>
      <w:r>
        <w:t xml:space="preserve"> </w:t>
      </w:r>
    </w:p>
    <w:p w:rsidR="00D04C72" w:rsidRDefault="00D04C72" w:rsidP="00DF49DF">
      <w:r>
        <w:rPr>
          <w:noProof/>
          <w:lang w:val="en-AU" w:eastAsia="en-AU"/>
        </w:rPr>
        <w:drawing>
          <wp:inline distT="0" distB="0" distL="0" distR="0" wp14:anchorId="0EF8B158" wp14:editId="75B8329D">
            <wp:extent cx="4977516" cy="3800724"/>
            <wp:effectExtent l="19050" t="19050" r="1397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68970" cy="3794199"/>
                    </a:xfrm>
                    <a:prstGeom prst="rect">
                      <a:avLst/>
                    </a:prstGeom>
                    <a:noFill/>
                    <a:ln>
                      <a:solidFill>
                        <a:schemeClr val="accent1"/>
                      </a:solidFill>
                    </a:ln>
                  </pic:spPr>
                </pic:pic>
              </a:graphicData>
            </a:graphic>
          </wp:inline>
        </w:drawing>
      </w:r>
    </w:p>
    <w:p w:rsidR="00DB4A3E" w:rsidRDefault="00DB4A3E" w:rsidP="00DF49DF"/>
    <w:p w:rsidR="00DB4A3E" w:rsidRDefault="00AA7103" w:rsidP="009E14CA">
      <w:pPr>
        <w:jc w:val="both"/>
      </w:pPr>
      <w:r>
        <w:t xml:space="preserve">On interesting test is to see </w:t>
      </w:r>
      <w:r w:rsidR="00DB4A3E">
        <w:t>the impact some of the newest districts compared to special factors associated with Papua itself. The figures below compare average budget share of districts for education. The national average</w:t>
      </w:r>
      <w:r w:rsidR="007472A3">
        <w:t xml:space="preserve"> (i.e. of </w:t>
      </w:r>
      <w:r w:rsidR="00DB4A3E">
        <w:t>all districts</w:t>
      </w:r>
      <w:r w:rsidR="007472A3">
        <w:t>)</w:t>
      </w:r>
      <w:r w:rsidR="00DB4A3E">
        <w:t xml:space="preserve"> is compared with (i) an average that excludes the newest districts established after 2007, and (ii) an average that excludes Papua districts. </w:t>
      </w:r>
    </w:p>
    <w:p w:rsidR="00DB4A3E" w:rsidRDefault="00DB4A3E" w:rsidP="009A2DC1">
      <w:pPr>
        <w:pStyle w:val="Caption"/>
      </w:pPr>
      <w:bookmarkStart w:id="127" w:name="_Toc414281587"/>
      <w:r>
        <w:lastRenderedPageBreak/>
        <w:t>All districts, education share of district budget</w:t>
      </w:r>
      <w:bookmarkEnd w:id="127"/>
    </w:p>
    <w:p w:rsidR="00DB4A3E" w:rsidRDefault="009A2DC1" w:rsidP="00DF49DF">
      <w:pPr>
        <w:rPr>
          <w:noProof/>
          <w:lang w:val="en-AU" w:eastAsia="en-AU"/>
        </w:rPr>
      </w:pPr>
      <w:r>
        <w:rPr>
          <w:noProof/>
          <w:lang w:val="en-AU" w:eastAsia="en-AU"/>
        </w:rPr>
        <w:t>0</w:t>
      </w:r>
      <w:r w:rsidR="00DB4A3E">
        <w:rPr>
          <w:noProof/>
          <w:lang w:val="en-AU" w:eastAsia="en-AU"/>
        </w:rPr>
        <w:drawing>
          <wp:inline distT="0" distB="0" distL="0" distR="0" wp14:anchorId="367AB356" wp14:editId="1C3EBF4A">
            <wp:extent cx="5732890" cy="2194560"/>
            <wp:effectExtent l="19050" t="19050" r="20320" b="152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3415" cy="2194761"/>
                    </a:xfrm>
                    <a:prstGeom prst="rect">
                      <a:avLst/>
                    </a:prstGeom>
                    <a:noFill/>
                    <a:ln>
                      <a:solidFill>
                        <a:schemeClr val="accent1"/>
                      </a:solidFill>
                    </a:ln>
                  </pic:spPr>
                </pic:pic>
              </a:graphicData>
            </a:graphic>
          </wp:inline>
        </w:drawing>
      </w:r>
    </w:p>
    <w:p w:rsidR="009A2DC1" w:rsidRDefault="009A2DC1" w:rsidP="00AA7103">
      <w:pPr>
        <w:jc w:val="both"/>
        <w:rPr>
          <w:noProof/>
          <w:lang w:val="en-AU" w:eastAsia="en-AU"/>
        </w:rPr>
      </w:pPr>
      <w:r>
        <w:rPr>
          <w:noProof/>
          <w:lang w:val="en-AU" w:eastAsia="en-AU"/>
        </w:rPr>
        <w:t>The exclusion of newest districts (post 2007) has very little impact on the average share of distroct budgets. It only really afects the poorest quintile by 1% point.</w:t>
      </w:r>
    </w:p>
    <w:p w:rsidR="009A2DC1" w:rsidRDefault="009A2DC1" w:rsidP="009A2DC1">
      <w:pPr>
        <w:pStyle w:val="Caption"/>
      </w:pPr>
      <w:bookmarkStart w:id="128" w:name="_Toc414281588"/>
      <w:r>
        <w:t>Excluding newest districts, education share of district budget</w:t>
      </w:r>
      <w:bookmarkEnd w:id="128"/>
    </w:p>
    <w:p w:rsidR="009A2DC1" w:rsidRDefault="009A2DC1" w:rsidP="00DF49DF">
      <w:pPr>
        <w:rPr>
          <w:lang w:val="en-GB"/>
        </w:rPr>
      </w:pPr>
      <w:r>
        <w:rPr>
          <w:noProof/>
          <w:lang w:val="en-AU" w:eastAsia="en-AU"/>
        </w:rPr>
        <w:drawing>
          <wp:inline distT="0" distB="0" distL="0" distR="0" wp14:anchorId="2E3D3394" wp14:editId="7CF0895B">
            <wp:extent cx="5732674" cy="2393343"/>
            <wp:effectExtent l="19050" t="19050" r="20955" b="260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3415" cy="2393652"/>
                    </a:xfrm>
                    <a:prstGeom prst="rect">
                      <a:avLst/>
                    </a:prstGeom>
                    <a:noFill/>
                    <a:ln>
                      <a:solidFill>
                        <a:schemeClr val="accent1"/>
                      </a:solidFill>
                    </a:ln>
                  </pic:spPr>
                </pic:pic>
              </a:graphicData>
            </a:graphic>
          </wp:inline>
        </w:drawing>
      </w:r>
    </w:p>
    <w:p w:rsidR="009A2DC1" w:rsidRDefault="009A2DC1" w:rsidP="00AA7103">
      <w:pPr>
        <w:jc w:val="both"/>
        <w:rPr>
          <w:lang w:val="en-GB"/>
        </w:rPr>
      </w:pPr>
      <w:r>
        <w:rPr>
          <w:lang w:val="en-GB"/>
        </w:rPr>
        <w:t>There is</w:t>
      </w:r>
      <w:r w:rsidR="007472A3">
        <w:rPr>
          <w:lang w:val="en-GB"/>
        </w:rPr>
        <w:t>,</w:t>
      </w:r>
      <w:r>
        <w:rPr>
          <w:lang w:val="en-GB"/>
        </w:rPr>
        <w:t xml:space="preserve"> however</w:t>
      </w:r>
      <w:r w:rsidR="007472A3">
        <w:rPr>
          <w:lang w:val="en-GB"/>
        </w:rPr>
        <w:t>,</w:t>
      </w:r>
      <w:r>
        <w:rPr>
          <w:lang w:val="en-GB"/>
        </w:rPr>
        <w:t xml:space="preserve"> a more significant impact when Papua is excluded from the calculations. The poorest quintile of districts move</w:t>
      </w:r>
      <w:r w:rsidR="007472A3">
        <w:rPr>
          <w:lang w:val="en-GB"/>
        </w:rPr>
        <w:t>s</w:t>
      </w:r>
      <w:r>
        <w:rPr>
          <w:lang w:val="en-GB"/>
        </w:rPr>
        <w:t xml:space="preserve"> from being the only ones with an average allocation below 30%. In fact, the poorest quintile move</w:t>
      </w:r>
      <w:r w:rsidR="007472A3">
        <w:rPr>
          <w:lang w:val="en-GB"/>
        </w:rPr>
        <w:t>s</w:t>
      </w:r>
      <w:r>
        <w:rPr>
          <w:lang w:val="en-GB"/>
        </w:rPr>
        <w:t xml:space="preserve"> into a mid-range distribution with 35% budget share for education.</w:t>
      </w:r>
    </w:p>
    <w:p w:rsidR="009A2DC1" w:rsidRDefault="009A2DC1" w:rsidP="00AA7103">
      <w:pPr>
        <w:jc w:val="both"/>
        <w:rPr>
          <w:lang w:val="en-GB"/>
        </w:rPr>
      </w:pPr>
      <w:r>
        <w:rPr>
          <w:lang w:val="en-GB"/>
        </w:rPr>
        <w:t xml:space="preserve">Papua is a specific high cost case with a substantial number of districts. </w:t>
      </w:r>
      <w:r w:rsidR="00072891">
        <w:rPr>
          <w:lang w:val="en-GB"/>
        </w:rPr>
        <w:t>In this case, t</w:t>
      </w:r>
      <w:r>
        <w:rPr>
          <w:lang w:val="en-GB"/>
        </w:rPr>
        <w:t xml:space="preserve">he </w:t>
      </w:r>
      <w:r w:rsidR="00135139">
        <w:rPr>
          <w:lang w:val="en-GB"/>
        </w:rPr>
        <w:t xml:space="preserve">low </w:t>
      </w:r>
      <w:r>
        <w:rPr>
          <w:lang w:val="en-GB"/>
        </w:rPr>
        <w:t xml:space="preserve">average </w:t>
      </w:r>
      <w:r w:rsidR="00135139">
        <w:rPr>
          <w:lang w:val="en-GB"/>
        </w:rPr>
        <w:t xml:space="preserve">budget share </w:t>
      </w:r>
      <w:r>
        <w:rPr>
          <w:lang w:val="en-GB"/>
        </w:rPr>
        <w:t xml:space="preserve">allocations </w:t>
      </w:r>
      <w:r w:rsidR="00135139">
        <w:rPr>
          <w:lang w:val="en-GB"/>
        </w:rPr>
        <w:t>for these distri</w:t>
      </w:r>
      <w:r>
        <w:rPr>
          <w:lang w:val="en-GB"/>
        </w:rPr>
        <w:t xml:space="preserve">cts </w:t>
      </w:r>
      <w:r w:rsidR="00BC6256">
        <w:rPr>
          <w:lang w:val="en-GB"/>
        </w:rPr>
        <w:t xml:space="preserve">are the critical mass that drag the </w:t>
      </w:r>
      <w:r w:rsidR="00F47163">
        <w:rPr>
          <w:lang w:val="en-GB"/>
        </w:rPr>
        <w:t>poorest</w:t>
      </w:r>
      <w:r w:rsidR="00BC6256">
        <w:rPr>
          <w:lang w:val="en-GB"/>
        </w:rPr>
        <w:t xml:space="preserve"> district group below a 30% education share of budget expenditure.</w:t>
      </w:r>
    </w:p>
    <w:p w:rsidR="009A2DC1" w:rsidRDefault="009A2DC1" w:rsidP="009A2DC1">
      <w:pPr>
        <w:pStyle w:val="Caption"/>
      </w:pPr>
      <w:bookmarkStart w:id="129" w:name="_Toc414281589"/>
      <w:r>
        <w:lastRenderedPageBreak/>
        <w:t>Excluding Papua, education share of district budget</w:t>
      </w:r>
      <w:bookmarkEnd w:id="129"/>
    </w:p>
    <w:p w:rsidR="009A2DC1" w:rsidRPr="009A2DC1" w:rsidRDefault="009A2DC1" w:rsidP="009A2DC1">
      <w:pPr>
        <w:rPr>
          <w:lang w:val="en-GB"/>
        </w:rPr>
      </w:pPr>
      <w:r>
        <w:rPr>
          <w:noProof/>
          <w:lang w:val="en-AU" w:eastAsia="en-AU"/>
        </w:rPr>
        <w:drawing>
          <wp:inline distT="0" distB="0" distL="0" distR="0" wp14:anchorId="32D26B09" wp14:editId="4D60FF3A">
            <wp:extent cx="5732674" cy="2568272"/>
            <wp:effectExtent l="19050" t="19050" r="20955" b="2286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33415" cy="2568604"/>
                    </a:xfrm>
                    <a:prstGeom prst="rect">
                      <a:avLst/>
                    </a:prstGeom>
                    <a:noFill/>
                    <a:ln>
                      <a:solidFill>
                        <a:schemeClr val="accent1"/>
                      </a:solidFill>
                    </a:ln>
                  </pic:spPr>
                </pic:pic>
              </a:graphicData>
            </a:graphic>
          </wp:inline>
        </w:drawing>
      </w:r>
    </w:p>
    <w:p w:rsidR="00DF49DF" w:rsidRDefault="00DF49DF" w:rsidP="00DF49DF"/>
    <w:p w:rsidR="00BC6256" w:rsidRDefault="00BC6256" w:rsidP="00DF49DF"/>
    <w:p w:rsidR="009A2DC1" w:rsidRDefault="009A2DC1" w:rsidP="00DF49DF">
      <w:pPr>
        <w:sectPr w:rsidR="009A2DC1" w:rsidSect="006B7952">
          <w:headerReference w:type="first" r:id="rId96"/>
          <w:footerReference w:type="first" r:id="rId97"/>
          <w:footnotePr>
            <w:numRestart w:val="eachSect"/>
          </w:footnotePr>
          <w:endnotePr>
            <w:numRestart w:val="eachSect"/>
          </w:endnotePr>
          <w:pgSz w:w="11909" w:h="16834" w:code="9"/>
          <w:pgMar w:top="357" w:right="1440" w:bottom="1304" w:left="1440" w:header="431" w:footer="425" w:gutter="0"/>
          <w:cols w:space="720"/>
          <w:titlePg/>
          <w:docGrid w:linePitch="360"/>
        </w:sectPr>
      </w:pPr>
    </w:p>
    <w:p w:rsidR="00DF49DF" w:rsidRDefault="009D32EE" w:rsidP="006B7952">
      <w:pPr>
        <w:tabs>
          <w:tab w:val="left" w:pos="2977"/>
        </w:tabs>
        <w:spacing w:before="6960"/>
        <w:ind w:right="1701"/>
        <w:jc w:val="right"/>
        <w:rPr>
          <w:b/>
          <w:color w:val="FFFFFF" w:themeColor="background1"/>
          <w:sz w:val="36"/>
          <w:szCs w:val="36"/>
        </w:rPr>
      </w:pPr>
      <w:r>
        <w:rPr>
          <w:b/>
          <w:color w:val="FFFFFF" w:themeColor="background1"/>
          <w:sz w:val="36"/>
          <w:szCs w:val="36"/>
        </w:rPr>
        <w:lastRenderedPageBreak/>
        <w:t xml:space="preserve">The </w:t>
      </w:r>
      <w:r w:rsidR="00945A9C">
        <w:rPr>
          <w:b/>
          <w:color w:val="FFFFFF" w:themeColor="background1"/>
          <w:sz w:val="36"/>
          <w:szCs w:val="36"/>
        </w:rPr>
        <w:t xml:space="preserve">Bottom-Line </w:t>
      </w:r>
    </w:p>
    <w:p w:rsidR="00DF49DF" w:rsidRDefault="00DF49DF" w:rsidP="00DF49DF">
      <w:pPr>
        <w:sectPr w:rsidR="00DF49DF" w:rsidSect="006B7952">
          <w:headerReference w:type="default" r:id="rId98"/>
          <w:footerReference w:type="default" r:id="rId99"/>
          <w:headerReference w:type="first" r:id="rId100"/>
          <w:footerReference w:type="first" r:id="rId101"/>
          <w:footnotePr>
            <w:numRestart w:val="eachSect"/>
          </w:footnotePr>
          <w:endnotePr>
            <w:numRestart w:val="eachSect"/>
          </w:endnotePr>
          <w:pgSz w:w="11909" w:h="16834" w:code="9"/>
          <w:pgMar w:top="357" w:right="1440" w:bottom="1304" w:left="1440" w:header="431" w:footer="425" w:gutter="0"/>
          <w:cols w:space="720"/>
          <w:titlePg/>
          <w:docGrid w:linePitch="360"/>
        </w:sectPr>
      </w:pPr>
    </w:p>
    <w:p w:rsidR="00DF49DF" w:rsidRDefault="00DF49DF" w:rsidP="00DF49DF">
      <w:pPr>
        <w:pStyle w:val="Heading2"/>
        <w:numPr>
          <w:ilvl w:val="0"/>
          <w:numId w:val="0"/>
        </w:numPr>
        <w:ind w:left="720"/>
      </w:pPr>
    </w:p>
    <w:p w:rsidR="00245A84" w:rsidRPr="009A7158" w:rsidRDefault="009A7158" w:rsidP="009A7158">
      <w:pPr>
        <w:pStyle w:val="Heading1"/>
        <w:spacing w:after="1320"/>
        <w:ind w:left="357" w:hanging="357"/>
        <w:rPr>
          <w:color w:val="68BAD6"/>
        </w:rPr>
      </w:pPr>
      <w:bookmarkStart w:id="130" w:name="_Toc380740272"/>
      <w:r w:rsidRPr="009A7158">
        <w:rPr>
          <w:color w:val="68BAD6"/>
        </w:rPr>
        <w:t>THE BOTTOM-LINE</w:t>
      </w:r>
      <w:bookmarkEnd w:id="38"/>
      <w:bookmarkEnd w:id="130"/>
      <w:r w:rsidRPr="009A7158">
        <w:rPr>
          <w:color w:val="68BAD6"/>
        </w:rPr>
        <w:t xml:space="preserve"> </w:t>
      </w:r>
    </w:p>
    <w:p w:rsidR="00461F4F" w:rsidRPr="009A7158" w:rsidRDefault="00461F4F" w:rsidP="009A7158">
      <w:pPr>
        <w:pStyle w:val="Heading2"/>
        <w:spacing w:before="360" w:after="240"/>
        <w:ind w:left="567" w:hanging="567"/>
        <w:rPr>
          <w:rFonts w:asciiTheme="minorHAnsi" w:hAnsiTheme="minorHAnsi"/>
          <w:b/>
          <w:sz w:val="32"/>
          <w:szCs w:val="22"/>
        </w:rPr>
      </w:pPr>
      <w:bookmarkStart w:id="131" w:name="_Toc372401522"/>
      <w:r w:rsidRPr="009A7158">
        <w:rPr>
          <w:rFonts w:asciiTheme="minorHAnsi" w:hAnsiTheme="minorHAnsi"/>
          <w:b/>
          <w:sz w:val="32"/>
          <w:szCs w:val="22"/>
        </w:rPr>
        <w:t>What do the trends in sector financing mean for the education sector?</w:t>
      </w:r>
    </w:p>
    <w:p w:rsidR="001A093B" w:rsidRPr="00FE493A" w:rsidRDefault="001A093B" w:rsidP="009A7158">
      <w:pPr>
        <w:pStyle w:val="ListParagraph"/>
        <w:numPr>
          <w:ilvl w:val="0"/>
          <w:numId w:val="41"/>
        </w:numPr>
        <w:spacing w:after="0"/>
        <w:ind w:left="360"/>
        <w:contextualSpacing w:val="0"/>
        <w:jc w:val="both"/>
      </w:pPr>
      <w:r w:rsidRPr="007B732E">
        <w:rPr>
          <w:b/>
          <w:i/>
        </w:rPr>
        <w:t>Strong real growth in national public e</w:t>
      </w:r>
      <w:r w:rsidR="00B67503">
        <w:rPr>
          <w:b/>
          <w:i/>
        </w:rPr>
        <w:t>xpenditure for education in 2013</w:t>
      </w:r>
      <w:r w:rsidRPr="007B732E">
        <w:rPr>
          <w:b/>
          <w:i/>
        </w:rPr>
        <w:t xml:space="preserve">. </w:t>
      </w:r>
    </w:p>
    <w:p w:rsidR="001A093B" w:rsidRPr="00281B7A" w:rsidRDefault="001A093B" w:rsidP="009A7158">
      <w:pPr>
        <w:spacing w:line="276" w:lineRule="auto"/>
        <w:ind w:left="360"/>
        <w:jc w:val="both"/>
      </w:pPr>
      <w:r w:rsidRPr="00281B7A">
        <w:t>The GoI had particularly impressive growth in real and nominal terms in 2006 and 2009. Since 2009, grow</w:t>
      </w:r>
      <w:r>
        <w:t>th in education expenditures ha</w:t>
      </w:r>
      <w:r w:rsidR="007472A3">
        <w:t>s</w:t>
      </w:r>
      <w:r w:rsidRPr="00281B7A">
        <w:t xml:space="preserve"> marginal</w:t>
      </w:r>
      <w:r>
        <w:t>ly outpaced inflation, but there wa</w:t>
      </w:r>
      <w:r w:rsidRPr="00281B7A">
        <w:t>s a plateau in the real increase of national funding for education</w:t>
      </w:r>
      <w:r w:rsidR="00AA7103">
        <w:t xml:space="preserve"> until 2011</w:t>
      </w:r>
      <w:r w:rsidRPr="00281B7A">
        <w:t xml:space="preserve">. </w:t>
      </w:r>
      <w:r>
        <w:t xml:space="preserve">In 2012 </w:t>
      </w:r>
      <w:r w:rsidR="00B67503">
        <w:t xml:space="preserve">and now 2013 </w:t>
      </w:r>
      <w:r>
        <w:t xml:space="preserve">we see </w:t>
      </w:r>
      <w:r w:rsidR="00B67503">
        <w:t xml:space="preserve">consecutive </w:t>
      </w:r>
      <w:r>
        <w:t>significant increase</w:t>
      </w:r>
      <w:r w:rsidR="00B67503">
        <w:t>s</w:t>
      </w:r>
      <w:r>
        <w:t xml:space="preserve"> in real terms for education funding.</w:t>
      </w:r>
    </w:p>
    <w:p w:rsidR="001A093B" w:rsidRPr="00FE493A" w:rsidRDefault="001A093B" w:rsidP="009A7158">
      <w:pPr>
        <w:pStyle w:val="ListParagraph"/>
        <w:numPr>
          <w:ilvl w:val="0"/>
          <w:numId w:val="41"/>
        </w:numPr>
        <w:spacing w:after="0"/>
        <w:ind w:left="360"/>
        <w:contextualSpacing w:val="0"/>
        <w:jc w:val="both"/>
      </w:pPr>
      <w:r w:rsidRPr="00FE493A">
        <w:rPr>
          <w:b/>
          <w:i/>
        </w:rPr>
        <w:t xml:space="preserve">Government commitment to meet a 20% target for education expenditure share of national </w:t>
      </w:r>
      <w:r w:rsidR="00B67503">
        <w:rPr>
          <w:b/>
          <w:i/>
        </w:rPr>
        <w:t>budget has been met for the fif</w:t>
      </w:r>
      <w:r w:rsidRPr="00FE493A">
        <w:rPr>
          <w:b/>
          <w:i/>
        </w:rPr>
        <w:t xml:space="preserve">th year in a row. </w:t>
      </w:r>
    </w:p>
    <w:p w:rsidR="001A093B" w:rsidRPr="00DA470F" w:rsidRDefault="001A093B" w:rsidP="009A7158">
      <w:pPr>
        <w:spacing w:line="276" w:lineRule="auto"/>
        <w:ind w:left="360"/>
        <w:jc w:val="both"/>
      </w:pPr>
      <w:r w:rsidRPr="00DA470F">
        <w:t>The national expenditures for education in 201</w:t>
      </w:r>
      <w:r w:rsidR="00B67503">
        <w:t>3</w:t>
      </w:r>
      <w:r w:rsidRPr="00DA470F">
        <w:t xml:space="preserve"> met the 20% ta</w:t>
      </w:r>
      <w:r>
        <w:t xml:space="preserve">rget. Education has benefited from total national public revenues and expenditures which have grown at a significantly faster rate than inflation. </w:t>
      </w:r>
    </w:p>
    <w:p w:rsidR="001A093B" w:rsidRDefault="001A093B" w:rsidP="009A7158">
      <w:pPr>
        <w:pStyle w:val="ListParagraph"/>
        <w:numPr>
          <w:ilvl w:val="0"/>
          <w:numId w:val="41"/>
        </w:numPr>
        <w:spacing w:after="0"/>
        <w:ind w:left="360"/>
        <w:contextualSpacing w:val="0"/>
        <w:jc w:val="both"/>
        <w:rPr>
          <w:i/>
          <w:color w:val="000000"/>
        </w:rPr>
      </w:pPr>
      <w:r w:rsidRPr="00FE493A">
        <w:rPr>
          <w:b/>
          <w:i/>
          <w:color w:val="000000"/>
        </w:rPr>
        <w:t>Average district level education expenditures across Indonesia have increased from 27% of the total district bu</w:t>
      </w:r>
      <w:r w:rsidR="00B67503">
        <w:rPr>
          <w:b/>
          <w:i/>
          <w:color w:val="000000"/>
        </w:rPr>
        <w:t>dget (APBD) in 2006 to nearly 34% share in 2013</w:t>
      </w:r>
      <w:r w:rsidRPr="00FE493A">
        <w:rPr>
          <w:i/>
          <w:color w:val="000000"/>
        </w:rPr>
        <w:t xml:space="preserve">. </w:t>
      </w:r>
    </w:p>
    <w:p w:rsidR="001A093B" w:rsidRPr="00B67503" w:rsidRDefault="00B67503" w:rsidP="009A7158">
      <w:pPr>
        <w:pStyle w:val="ListParagraph"/>
        <w:spacing w:after="120"/>
        <w:ind w:left="360"/>
        <w:contextualSpacing w:val="0"/>
        <w:jc w:val="both"/>
        <w:rPr>
          <w:color w:val="000000"/>
        </w:rPr>
      </w:pPr>
      <w:r>
        <w:rPr>
          <w:color w:val="000000"/>
        </w:rPr>
        <w:t xml:space="preserve">All of these gains were obtained during the period 2006-2011. </w:t>
      </w:r>
      <w:r w:rsidRPr="00B67503">
        <w:rPr>
          <w:color w:val="000000"/>
        </w:rPr>
        <w:t>This is a positive trend but in 2012 and 2013 the education</w:t>
      </w:r>
      <w:r w:rsidR="007472A3">
        <w:rPr>
          <w:color w:val="000000"/>
        </w:rPr>
        <w:t xml:space="preserve"> budget</w:t>
      </w:r>
      <w:r w:rsidRPr="00B67503">
        <w:rPr>
          <w:color w:val="000000"/>
        </w:rPr>
        <w:t xml:space="preserve"> has not kept up it</w:t>
      </w:r>
      <w:r w:rsidR="007472A3">
        <w:rPr>
          <w:color w:val="000000"/>
        </w:rPr>
        <w:t>s</w:t>
      </w:r>
      <w:r w:rsidRPr="00B67503">
        <w:rPr>
          <w:color w:val="000000"/>
        </w:rPr>
        <w:t xml:space="preserve"> share of expanding district </w:t>
      </w:r>
      <w:r>
        <w:rPr>
          <w:color w:val="000000"/>
        </w:rPr>
        <w:t xml:space="preserve">budgets. The ambitious plans </w:t>
      </w:r>
      <w:r w:rsidR="00AA7103">
        <w:rPr>
          <w:color w:val="000000"/>
        </w:rPr>
        <w:t xml:space="preserve">for </w:t>
      </w:r>
      <w:r>
        <w:rPr>
          <w:color w:val="000000"/>
        </w:rPr>
        <w:t xml:space="preserve">the education sector will be damaged if </w:t>
      </w:r>
      <w:r w:rsidR="007472A3">
        <w:rPr>
          <w:color w:val="000000"/>
        </w:rPr>
        <w:t>the districts allocation to the education sector continues to decline</w:t>
      </w:r>
      <w:r>
        <w:rPr>
          <w:color w:val="000000"/>
        </w:rPr>
        <w:t xml:space="preserve">. </w:t>
      </w:r>
    </w:p>
    <w:p w:rsidR="001A093B" w:rsidRDefault="001A093B" w:rsidP="009A7158">
      <w:pPr>
        <w:pStyle w:val="ListParagraph"/>
        <w:numPr>
          <w:ilvl w:val="0"/>
          <w:numId w:val="41"/>
        </w:numPr>
        <w:spacing w:after="0"/>
        <w:ind w:left="360"/>
        <w:contextualSpacing w:val="0"/>
        <w:jc w:val="both"/>
      </w:pPr>
      <w:r w:rsidRPr="007B732E">
        <w:rPr>
          <w:b/>
          <w:i/>
        </w:rPr>
        <w:t xml:space="preserve">The lowest average share of budget allocation for education was found in Papua (16%) </w:t>
      </w:r>
      <w:r w:rsidR="00B67503">
        <w:rPr>
          <w:b/>
          <w:i/>
        </w:rPr>
        <w:t xml:space="preserve">which now stands </w:t>
      </w:r>
      <w:r w:rsidR="00AA7103">
        <w:rPr>
          <w:b/>
          <w:i/>
        </w:rPr>
        <w:t xml:space="preserve">some distance from other island groups </w:t>
      </w:r>
      <w:r w:rsidR="00B67503">
        <w:rPr>
          <w:b/>
          <w:i/>
        </w:rPr>
        <w:t xml:space="preserve">in allocating </w:t>
      </w:r>
      <w:r w:rsidR="00AA7103">
        <w:rPr>
          <w:b/>
          <w:i/>
        </w:rPr>
        <w:t xml:space="preserve">a very low </w:t>
      </w:r>
      <w:r w:rsidR="00B67503">
        <w:rPr>
          <w:b/>
          <w:i/>
        </w:rPr>
        <w:t>share of its budget for education.</w:t>
      </w:r>
      <w:r>
        <w:t xml:space="preserve"> </w:t>
      </w:r>
    </w:p>
    <w:p w:rsidR="00B67503" w:rsidRDefault="001A093B" w:rsidP="00B67503">
      <w:pPr>
        <w:spacing w:line="276" w:lineRule="auto"/>
        <w:ind w:left="360"/>
        <w:jc w:val="both"/>
      </w:pPr>
      <w:r>
        <w:t>While Maluku has shown growth since 2010, Papua has dropped again from an 18% education share of distric</w:t>
      </w:r>
      <w:r w:rsidR="00B67503">
        <w:t>t budgets in 2010 to 16% in 2013</w:t>
      </w:r>
      <w:r>
        <w:t xml:space="preserve">. </w:t>
      </w:r>
    </w:p>
    <w:p w:rsidR="001A093B" w:rsidRPr="00D7213C" w:rsidRDefault="00AE1712" w:rsidP="00B67503">
      <w:pPr>
        <w:pStyle w:val="ListParagraph"/>
        <w:numPr>
          <w:ilvl w:val="0"/>
          <w:numId w:val="41"/>
        </w:numPr>
        <w:spacing w:after="0"/>
        <w:ind w:left="360"/>
        <w:contextualSpacing w:val="0"/>
        <w:jc w:val="both"/>
        <w:rPr>
          <w:b/>
          <w:i/>
        </w:rPr>
      </w:pPr>
      <w:r>
        <w:rPr>
          <w:b/>
          <w:i/>
        </w:rPr>
        <w:t>Nationally, 31</w:t>
      </w:r>
      <w:r w:rsidR="001A093B" w:rsidRPr="00FE493A">
        <w:rPr>
          <w:b/>
          <w:i/>
        </w:rPr>
        <w:t xml:space="preserve"> districts allocated less than 15% of their total district bu</w:t>
      </w:r>
      <w:r w:rsidR="00883BA1">
        <w:rPr>
          <w:b/>
          <w:i/>
        </w:rPr>
        <w:t>dget (APBD) on education in 2013</w:t>
      </w:r>
      <w:r w:rsidR="001A093B" w:rsidRPr="00FE493A">
        <w:rPr>
          <w:b/>
        </w:rPr>
        <w:t>.</w:t>
      </w:r>
      <w:r w:rsidR="001A093B">
        <w:t xml:space="preserve"> </w:t>
      </w:r>
      <w:r w:rsidR="00D7213C" w:rsidRPr="00D7213C">
        <w:rPr>
          <w:b/>
          <w:i/>
        </w:rPr>
        <w:t>Of these 31 districts,</w:t>
      </w:r>
      <w:r w:rsidR="00D7213C">
        <w:t xml:space="preserve"> </w:t>
      </w:r>
      <w:r w:rsidR="00D7213C" w:rsidRPr="00D7213C">
        <w:rPr>
          <w:b/>
          <w:i/>
        </w:rPr>
        <w:t>24 are in the poorest quintile, and 22 of these poorest are found in Papua</w:t>
      </w:r>
    </w:p>
    <w:p w:rsidR="00D7213C" w:rsidRDefault="00AE1712" w:rsidP="009A7158">
      <w:pPr>
        <w:spacing w:line="276" w:lineRule="auto"/>
        <w:ind w:left="360"/>
        <w:jc w:val="both"/>
      </w:pPr>
      <w:r>
        <w:t>Of the 31</w:t>
      </w:r>
      <w:r w:rsidR="001A093B">
        <w:t xml:space="preserve"> districts spending less than 15% of their bu</w:t>
      </w:r>
      <w:r>
        <w:t>dget on education,</w:t>
      </w:r>
      <w:r w:rsidR="00D7213C">
        <w:t xml:space="preserve"> 19 districts have allocated less than 15% for four years 2010-2013. The continued pattern </w:t>
      </w:r>
      <w:r w:rsidR="007472A3">
        <w:t xml:space="preserve">of </w:t>
      </w:r>
      <w:r w:rsidR="00D7213C">
        <w:t>spending of less than 15% towards education limits the ability of these districts to catch up with others</w:t>
      </w:r>
      <w:r w:rsidR="007472A3">
        <w:t>, i.e. the equity gap will further widen</w:t>
      </w:r>
      <w:r w:rsidR="00D7213C">
        <w:t>. This problem has a particular relevance for Papua as it is heavily represented in this group.</w:t>
      </w:r>
    </w:p>
    <w:p w:rsidR="001A093B" w:rsidRPr="00AE1712" w:rsidRDefault="00AE1712" w:rsidP="009A7158">
      <w:pPr>
        <w:pStyle w:val="ListParagraph"/>
        <w:numPr>
          <w:ilvl w:val="0"/>
          <w:numId w:val="41"/>
        </w:numPr>
        <w:spacing w:after="120"/>
        <w:ind w:left="360"/>
        <w:contextualSpacing w:val="0"/>
        <w:jc w:val="both"/>
      </w:pPr>
      <w:r w:rsidRPr="00AE1712">
        <w:rPr>
          <w:b/>
          <w:i/>
        </w:rPr>
        <w:t>In looking at districts by relative poverty status, t</w:t>
      </w:r>
      <w:r w:rsidR="001A093B" w:rsidRPr="00AE1712">
        <w:rPr>
          <w:b/>
          <w:i/>
        </w:rPr>
        <w:t xml:space="preserve">he poorest </w:t>
      </w:r>
      <w:r w:rsidRPr="00AE1712">
        <w:rPr>
          <w:b/>
          <w:i/>
        </w:rPr>
        <w:t xml:space="preserve">quintile </w:t>
      </w:r>
      <w:r w:rsidR="001A093B" w:rsidRPr="00AE1712">
        <w:rPr>
          <w:b/>
          <w:i/>
        </w:rPr>
        <w:t xml:space="preserve">districts have </w:t>
      </w:r>
      <w:r w:rsidRPr="00AE1712">
        <w:rPr>
          <w:b/>
          <w:i/>
        </w:rPr>
        <w:t xml:space="preserve">slipped further below the others in being the only ones that allocate less than 30% of their district budget for education. </w:t>
      </w:r>
    </w:p>
    <w:p w:rsidR="00AE1712" w:rsidRDefault="00AE1712" w:rsidP="00AE1712">
      <w:pPr>
        <w:spacing w:line="276" w:lineRule="auto"/>
        <w:ind w:left="360"/>
        <w:jc w:val="both"/>
      </w:pPr>
      <w:r>
        <w:t>If the poorest districts do not accelerate their education spending they are likely to fall further behind wealthier districts.</w:t>
      </w:r>
    </w:p>
    <w:p w:rsidR="001A093B" w:rsidRPr="00FE493A" w:rsidRDefault="00AE1712" w:rsidP="009A7158">
      <w:pPr>
        <w:pStyle w:val="ListParagraph"/>
        <w:numPr>
          <w:ilvl w:val="0"/>
          <w:numId w:val="41"/>
        </w:numPr>
        <w:spacing w:after="0"/>
        <w:ind w:left="360"/>
        <w:contextualSpacing w:val="0"/>
        <w:jc w:val="both"/>
        <w:rPr>
          <w:color w:val="000000"/>
        </w:rPr>
      </w:pPr>
      <w:r>
        <w:rPr>
          <w:b/>
          <w:i/>
        </w:rPr>
        <w:t>In 201</w:t>
      </w:r>
      <w:r w:rsidR="00D7213C">
        <w:rPr>
          <w:b/>
          <w:i/>
        </w:rPr>
        <w:t>3</w:t>
      </w:r>
      <w:r w:rsidR="00943D76">
        <w:rPr>
          <w:b/>
          <w:i/>
        </w:rPr>
        <w:t>,</w:t>
      </w:r>
      <w:r w:rsidR="001A093B" w:rsidRPr="007B732E">
        <w:rPr>
          <w:b/>
          <w:i/>
        </w:rPr>
        <w:t xml:space="preserve"> </w:t>
      </w:r>
      <w:r w:rsidR="00943D76">
        <w:rPr>
          <w:b/>
          <w:i/>
        </w:rPr>
        <w:t>62</w:t>
      </w:r>
      <w:r w:rsidR="001A093B" w:rsidRPr="007B732E">
        <w:rPr>
          <w:b/>
          <w:i/>
        </w:rPr>
        <w:t xml:space="preserve"> districts (</w:t>
      </w:r>
      <w:r w:rsidR="00943D76">
        <w:rPr>
          <w:b/>
          <w:i/>
        </w:rPr>
        <w:t>13</w:t>
      </w:r>
      <w:r w:rsidR="001A093B" w:rsidRPr="007B732E">
        <w:rPr>
          <w:b/>
          <w:i/>
        </w:rPr>
        <w:t xml:space="preserve">%) </w:t>
      </w:r>
      <w:r w:rsidR="001A093B">
        <w:rPr>
          <w:b/>
          <w:i/>
        </w:rPr>
        <w:t>posted</w:t>
      </w:r>
      <w:r w:rsidR="001A093B" w:rsidRPr="007B732E">
        <w:rPr>
          <w:b/>
          <w:i/>
        </w:rPr>
        <w:t xml:space="preserve"> a decline in the</w:t>
      </w:r>
      <w:r w:rsidR="001A093B">
        <w:rPr>
          <w:b/>
          <w:i/>
        </w:rPr>
        <w:t>ir</w:t>
      </w:r>
      <w:r w:rsidR="001A093B" w:rsidRPr="007B732E">
        <w:rPr>
          <w:b/>
          <w:i/>
        </w:rPr>
        <w:t xml:space="preserve"> education budget.</w:t>
      </w:r>
      <w:r w:rsidR="001A093B">
        <w:t xml:space="preserve"> </w:t>
      </w:r>
    </w:p>
    <w:p w:rsidR="00184BE5" w:rsidRDefault="00943D76" w:rsidP="00184BE5">
      <w:pPr>
        <w:spacing w:line="276" w:lineRule="auto"/>
        <w:ind w:left="360"/>
        <w:jc w:val="both"/>
      </w:pPr>
      <w:r>
        <w:lastRenderedPageBreak/>
        <w:t>Th</w:t>
      </w:r>
      <w:r w:rsidR="001A093B">
        <w:t xml:space="preserve">is </w:t>
      </w:r>
      <w:r>
        <w:t xml:space="preserve">is </w:t>
      </w:r>
      <w:r w:rsidR="001A093B">
        <w:t>a</w:t>
      </w:r>
      <w:r>
        <w:t>n improvement from 2012</w:t>
      </w:r>
      <w:r w:rsidR="001A093B">
        <w:t xml:space="preserve">, when </w:t>
      </w:r>
      <w:r>
        <w:t xml:space="preserve">97 districts </w:t>
      </w:r>
      <w:r w:rsidR="001A093B">
        <w:t xml:space="preserve">posted a decline in their annual education budget allocation. </w:t>
      </w:r>
    </w:p>
    <w:p w:rsidR="001A093B" w:rsidRPr="00184BE5" w:rsidRDefault="001A093B" w:rsidP="00184BE5">
      <w:pPr>
        <w:pStyle w:val="ListParagraph"/>
        <w:numPr>
          <w:ilvl w:val="0"/>
          <w:numId w:val="41"/>
        </w:numPr>
        <w:spacing w:after="0"/>
        <w:ind w:left="360"/>
        <w:contextualSpacing w:val="0"/>
        <w:jc w:val="both"/>
        <w:rPr>
          <w:color w:val="000000"/>
        </w:rPr>
      </w:pPr>
      <w:r w:rsidRPr="00184BE5">
        <w:rPr>
          <w:b/>
          <w:i/>
        </w:rPr>
        <w:t xml:space="preserve">The problem of contracting education budgets </w:t>
      </w:r>
      <w:r w:rsidR="00184BE5" w:rsidRPr="00184BE5">
        <w:rPr>
          <w:b/>
          <w:i/>
        </w:rPr>
        <w:t xml:space="preserve">in poorest districts </w:t>
      </w:r>
      <w:r w:rsidRPr="00184BE5">
        <w:rPr>
          <w:b/>
          <w:i/>
        </w:rPr>
        <w:t>is focused on Papua</w:t>
      </w:r>
      <w:r>
        <w:t xml:space="preserve">. </w:t>
      </w:r>
    </w:p>
    <w:p w:rsidR="001A093B" w:rsidRPr="00FE493A" w:rsidRDefault="001A093B" w:rsidP="009A7158">
      <w:pPr>
        <w:spacing w:line="276" w:lineRule="auto"/>
        <w:ind w:left="360"/>
        <w:jc w:val="both"/>
        <w:rPr>
          <w:color w:val="000000"/>
        </w:rPr>
      </w:pPr>
      <w:r>
        <w:t>T</w:t>
      </w:r>
      <w:r w:rsidR="00184BE5">
        <w:rPr>
          <w:color w:val="000000"/>
        </w:rPr>
        <w:t xml:space="preserve">en of the 17 poorest </w:t>
      </w:r>
      <w:r w:rsidRPr="00FE493A">
        <w:rPr>
          <w:color w:val="000000"/>
        </w:rPr>
        <w:t xml:space="preserve">districts </w:t>
      </w:r>
      <w:r w:rsidR="007472A3">
        <w:rPr>
          <w:color w:val="000000"/>
        </w:rPr>
        <w:t>which recorded</w:t>
      </w:r>
      <w:r w:rsidR="007472A3" w:rsidRPr="00FE493A">
        <w:rPr>
          <w:color w:val="000000"/>
        </w:rPr>
        <w:t xml:space="preserve"> </w:t>
      </w:r>
      <w:r w:rsidRPr="00FE493A">
        <w:rPr>
          <w:color w:val="000000"/>
        </w:rPr>
        <w:t>a decline in nominal annual district education expenditure</w:t>
      </w:r>
      <w:r w:rsidR="007472A3">
        <w:rPr>
          <w:color w:val="000000"/>
        </w:rPr>
        <w:t xml:space="preserve"> in 2013</w:t>
      </w:r>
      <w:r>
        <w:rPr>
          <w:color w:val="000000"/>
        </w:rPr>
        <w:t xml:space="preserve"> </w:t>
      </w:r>
      <w:r w:rsidRPr="00FE493A">
        <w:rPr>
          <w:color w:val="000000"/>
        </w:rPr>
        <w:t>are located in Papua.</w:t>
      </w:r>
    </w:p>
    <w:p w:rsidR="001A093B" w:rsidRDefault="001A093B" w:rsidP="009A7158">
      <w:pPr>
        <w:pStyle w:val="ListParagraph"/>
        <w:numPr>
          <w:ilvl w:val="0"/>
          <w:numId w:val="41"/>
        </w:numPr>
        <w:spacing w:after="0"/>
        <w:ind w:left="360"/>
        <w:contextualSpacing w:val="0"/>
        <w:jc w:val="both"/>
        <w:rPr>
          <w:color w:val="000000"/>
        </w:rPr>
      </w:pPr>
      <w:r w:rsidRPr="00FE493A">
        <w:rPr>
          <w:b/>
          <w:i/>
          <w:color w:val="000000"/>
        </w:rPr>
        <w:t xml:space="preserve">Average district expenditure per student </w:t>
      </w:r>
      <w:r w:rsidR="00924312">
        <w:rPr>
          <w:b/>
          <w:i/>
          <w:color w:val="000000"/>
        </w:rPr>
        <w:t xml:space="preserve">grew </w:t>
      </w:r>
      <w:r w:rsidRPr="00FE493A">
        <w:rPr>
          <w:b/>
          <w:i/>
          <w:color w:val="000000"/>
        </w:rPr>
        <w:t xml:space="preserve">across the country </w:t>
      </w:r>
      <w:r w:rsidR="00924312">
        <w:rPr>
          <w:b/>
          <w:i/>
          <w:color w:val="000000"/>
        </w:rPr>
        <w:t>and is highest in the poorest districts.</w:t>
      </w:r>
      <w:r w:rsidRPr="00FE493A">
        <w:rPr>
          <w:color w:val="000000"/>
        </w:rPr>
        <w:t xml:space="preserve"> </w:t>
      </w:r>
    </w:p>
    <w:p w:rsidR="001A093B" w:rsidRPr="00FE493A" w:rsidRDefault="001A093B" w:rsidP="009A7158">
      <w:pPr>
        <w:spacing w:line="276" w:lineRule="auto"/>
        <w:ind w:left="360"/>
        <w:jc w:val="both"/>
        <w:rPr>
          <w:color w:val="000000"/>
        </w:rPr>
      </w:pPr>
      <w:r w:rsidRPr="00FE493A">
        <w:rPr>
          <w:color w:val="000000"/>
        </w:rPr>
        <w:t>Average education expenditure per student has grown to Rp. 3.</w:t>
      </w:r>
      <w:r w:rsidR="00265275">
        <w:rPr>
          <w:color w:val="000000"/>
        </w:rPr>
        <w:t>5</w:t>
      </w:r>
      <w:r w:rsidRPr="00FE493A">
        <w:rPr>
          <w:color w:val="000000"/>
        </w:rPr>
        <w:t xml:space="preserve"> million in 201</w:t>
      </w:r>
      <w:r w:rsidR="00265275">
        <w:rPr>
          <w:color w:val="000000"/>
        </w:rPr>
        <w:t>3</w:t>
      </w:r>
      <w:r w:rsidRPr="00FE493A">
        <w:rPr>
          <w:color w:val="000000"/>
        </w:rPr>
        <w:t xml:space="preserve"> from an</w:t>
      </w:r>
      <w:r w:rsidR="00265275">
        <w:rPr>
          <w:color w:val="000000"/>
        </w:rPr>
        <w:t xml:space="preserve"> average Rp. 3.1 million in 2012</w:t>
      </w:r>
      <w:r w:rsidRPr="00FE493A">
        <w:rPr>
          <w:color w:val="000000"/>
        </w:rPr>
        <w:t>. Highest allocations per student are found in the poorest districts (q</w:t>
      </w:r>
      <w:r w:rsidR="00E527C7">
        <w:rPr>
          <w:color w:val="000000"/>
        </w:rPr>
        <w:t>uintile 5) at an average Rp. 3.8</w:t>
      </w:r>
      <w:r w:rsidRPr="00FE493A">
        <w:rPr>
          <w:color w:val="000000"/>
        </w:rPr>
        <w:t xml:space="preserve"> million per student.</w:t>
      </w:r>
    </w:p>
    <w:p w:rsidR="001A093B" w:rsidRDefault="001A093B" w:rsidP="009A7158">
      <w:pPr>
        <w:pStyle w:val="ListParagraph"/>
        <w:numPr>
          <w:ilvl w:val="0"/>
          <w:numId w:val="41"/>
        </w:numPr>
        <w:spacing w:after="0"/>
        <w:ind w:left="360"/>
        <w:contextualSpacing w:val="0"/>
        <w:jc w:val="both"/>
      </w:pPr>
      <w:r w:rsidRPr="00FE493A">
        <w:rPr>
          <w:b/>
          <w:i/>
        </w:rPr>
        <w:t xml:space="preserve">To achieve better learning outcomes across the poorest districts, the district governments in poorest districts will need to </w:t>
      </w:r>
      <w:r w:rsidR="00883BA1">
        <w:rPr>
          <w:b/>
          <w:i/>
        </w:rPr>
        <w:t xml:space="preserve">keep </w:t>
      </w:r>
      <w:r w:rsidRPr="00FE493A">
        <w:rPr>
          <w:b/>
          <w:i/>
        </w:rPr>
        <w:t>grow</w:t>
      </w:r>
      <w:r w:rsidR="00883BA1">
        <w:rPr>
          <w:b/>
          <w:i/>
        </w:rPr>
        <w:t>ing</w:t>
      </w:r>
      <w:r w:rsidRPr="00FE493A">
        <w:rPr>
          <w:b/>
          <w:i/>
        </w:rPr>
        <w:t xml:space="preserve"> their education spending more quickly and drive a stronger ‘equity slope’ in education funding distribution.</w:t>
      </w:r>
      <w:r>
        <w:t xml:space="preserve"> </w:t>
      </w:r>
    </w:p>
    <w:p w:rsidR="001A093B" w:rsidRDefault="001A093B" w:rsidP="009A7158">
      <w:pPr>
        <w:spacing w:line="276" w:lineRule="auto"/>
        <w:ind w:left="360"/>
        <w:jc w:val="both"/>
      </w:pPr>
      <w:r>
        <w:t xml:space="preserve">In 2012 the slope of equity spending was halted, with slower growth in the poorest districts. </w:t>
      </w:r>
      <w:r w:rsidR="00883BA1">
        <w:t>In 2013 there was a spike in expenditure in the poorest districts and this needs to be sustained over a number of years so the poorest districts can improve the quality and reach of their education system.</w:t>
      </w:r>
    </w:p>
    <w:p w:rsidR="001A093B" w:rsidRPr="00FE493A" w:rsidRDefault="00184BE5" w:rsidP="009A7158">
      <w:pPr>
        <w:pStyle w:val="ListParagraph"/>
        <w:numPr>
          <w:ilvl w:val="0"/>
          <w:numId w:val="41"/>
        </w:numPr>
        <w:spacing w:after="0"/>
        <w:ind w:left="360"/>
        <w:contextualSpacing w:val="0"/>
        <w:jc w:val="both"/>
      </w:pPr>
      <w:r>
        <w:rPr>
          <w:b/>
          <w:i/>
        </w:rPr>
        <w:t>There was only one district in 2013 that m</w:t>
      </w:r>
      <w:r w:rsidR="001A093B" w:rsidRPr="00FE493A">
        <w:rPr>
          <w:b/>
          <w:i/>
        </w:rPr>
        <w:t>et Critical Education Funding Status (CEFS) criteria compared t</w:t>
      </w:r>
      <w:r>
        <w:rPr>
          <w:b/>
          <w:i/>
        </w:rPr>
        <w:t>o six districts in 2012</w:t>
      </w:r>
      <w:r w:rsidR="001A093B" w:rsidRPr="00FE493A">
        <w:rPr>
          <w:b/>
        </w:rPr>
        <w:t xml:space="preserve">. </w:t>
      </w:r>
    </w:p>
    <w:p w:rsidR="001A093B" w:rsidRDefault="001A093B" w:rsidP="009A7158">
      <w:pPr>
        <w:spacing w:line="276" w:lineRule="auto"/>
        <w:ind w:left="360"/>
        <w:jc w:val="both"/>
      </w:pPr>
      <w:r w:rsidRPr="00B07268">
        <w:t xml:space="preserve">The CEFS diagnostic tool </w:t>
      </w:r>
      <w:r w:rsidR="00045BD1">
        <w:t xml:space="preserve">developed by the ASFR </w:t>
      </w:r>
      <w:r w:rsidRPr="00B07268">
        <w:t xml:space="preserve">identifies districts that have (i) low expenditure per student, (ii) small education share of the district budget, and (iii) weak annual growth in their education budget. </w:t>
      </w:r>
    </w:p>
    <w:p w:rsidR="00CF5BDE" w:rsidRPr="00CF5BDE" w:rsidRDefault="00CF5BDE" w:rsidP="00CF5BDE">
      <w:pPr>
        <w:pStyle w:val="ListParagraph"/>
        <w:numPr>
          <w:ilvl w:val="0"/>
          <w:numId w:val="41"/>
        </w:numPr>
        <w:spacing w:after="0"/>
        <w:ind w:left="360"/>
        <w:contextualSpacing w:val="0"/>
        <w:jc w:val="both"/>
        <w:rPr>
          <w:b/>
          <w:i/>
        </w:rPr>
      </w:pPr>
      <w:r>
        <w:rPr>
          <w:b/>
          <w:i/>
        </w:rPr>
        <w:t>A c</w:t>
      </w:r>
      <w:r w:rsidRPr="00CF5BDE">
        <w:rPr>
          <w:b/>
          <w:i/>
        </w:rPr>
        <w:t xml:space="preserve">orrelation in low expenditure for education and health sectors suggests it will be useful to investigate more closely those districts </w:t>
      </w:r>
      <w:r>
        <w:rPr>
          <w:b/>
          <w:i/>
        </w:rPr>
        <w:t xml:space="preserve">where and </w:t>
      </w:r>
      <w:r w:rsidRPr="00CF5BDE">
        <w:rPr>
          <w:b/>
          <w:i/>
        </w:rPr>
        <w:t>why there is low share of expenditure for the social sector</w:t>
      </w:r>
      <w:r>
        <w:rPr>
          <w:b/>
          <w:i/>
        </w:rPr>
        <w:t xml:space="preserve"> as a whole.</w:t>
      </w:r>
    </w:p>
    <w:p w:rsidR="00CF5BDE" w:rsidRDefault="00924312" w:rsidP="00924312">
      <w:pPr>
        <w:spacing w:line="276" w:lineRule="auto"/>
        <w:ind w:left="360"/>
        <w:jc w:val="both"/>
      </w:pPr>
      <w:r w:rsidRPr="00924312">
        <w:t>There is no sign that health sector is crowding out the education sector spending (or vice-versa) at the district level.</w:t>
      </w:r>
      <w:r>
        <w:t xml:space="preserve"> On the contrary, t</w:t>
      </w:r>
      <w:r w:rsidRPr="00924312">
        <w:t>here is a strong correlation for districts that have contracting education allocations to also be allocating less than the national average for health</w:t>
      </w:r>
      <w:r>
        <w:t>.</w:t>
      </w:r>
    </w:p>
    <w:p w:rsidR="001A093B" w:rsidRDefault="001A093B" w:rsidP="009A7158">
      <w:pPr>
        <w:spacing w:line="276" w:lineRule="auto"/>
        <w:jc w:val="both"/>
        <w:rPr>
          <w:rFonts w:eastAsia="Calibri" w:cstheme="minorHAnsi"/>
        </w:rPr>
      </w:pPr>
    </w:p>
    <w:p w:rsidR="00CF5BDE" w:rsidRDefault="00CF5BDE" w:rsidP="00CF5BDE">
      <w:pPr>
        <w:pStyle w:val="ListParagraph"/>
        <w:numPr>
          <w:ilvl w:val="0"/>
          <w:numId w:val="41"/>
        </w:numPr>
        <w:spacing w:after="0"/>
        <w:ind w:left="360"/>
        <w:contextualSpacing w:val="0"/>
        <w:jc w:val="both"/>
        <w:rPr>
          <w:rFonts w:cstheme="minorHAnsi"/>
        </w:rPr>
        <w:sectPr w:rsidR="00CF5BDE" w:rsidSect="004B7458">
          <w:headerReference w:type="first" r:id="rId102"/>
          <w:footerReference w:type="first" r:id="rId103"/>
          <w:footnotePr>
            <w:numRestart w:val="eachSect"/>
          </w:footnotePr>
          <w:pgSz w:w="11909" w:h="16834" w:code="9"/>
          <w:pgMar w:top="357" w:right="1440" w:bottom="1304" w:left="1440" w:header="431" w:footer="425" w:gutter="0"/>
          <w:cols w:space="720"/>
          <w:titlePg/>
          <w:docGrid w:linePitch="360"/>
        </w:sectPr>
      </w:pPr>
    </w:p>
    <w:p w:rsidR="00461F4F" w:rsidRPr="00864378" w:rsidRDefault="00461F4F" w:rsidP="009A2DC1">
      <w:pPr>
        <w:pStyle w:val="Caption"/>
        <w:rPr>
          <w:rStyle w:val="Strong"/>
          <w:b/>
          <w:bCs w:val="0"/>
        </w:rPr>
      </w:pPr>
      <w:bookmarkStart w:id="132" w:name="_Toc414281590"/>
      <w:r w:rsidRPr="00864378">
        <w:rPr>
          <w:rStyle w:val="Strong"/>
          <w:b/>
          <w:bCs w:val="0"/>
        </w:rPr>
        <w:lastRenderedPageBreak/>
        <w:t xml:space="preserve">Table </w:t>
      </w:r>
      <w:r w:rsidR="001A3FC6">
        <w:rPr>
          <w:rStyle w:val="Strong"/>
          <w:b/>
          <w:bCs w:val="0"/>
        </w:rPr>
        <w:t>2</w:t>
      </w:r>
      <w:r w:rsidRPr="00864378">
        <w:rPr>
          <w:rStyle w:val="Strong"/>
          <w:b/>
          <w:bCs w:val="0"/>
        </w:rPr>
        <w:t xml:space="preserve">: Progress against </w:t>
      </w:r>
      <w:r w:rsidR="00790BC1" w:rsidRPr="00864378">
        <w:rPr>
          <w:rStyle w:val="Strong"/>
          <w:b/>
          <w:bCs w:val="0"/>
        </w:rPr>
        <w:t>Key Indicators</w:t>
      </w:r>
      <w:bookmarkEnd w:id="1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280"/>
        <w:gridCol w:w="3088"/>
        <w:gridCol w:w="1081"/>
        <w:gridCol w:w="1698"/>
        <w:gridCol w:w="1082"/>
        <w:gridCol w:w="4941"/>
      </w:tblGrid>
      <w:tr w:rsidR="009B6D6D" w:rsidRPr="0038463D" w:rsidTr="009B6D6D">
        <w:trPr>
          <w:tblHeader/>
          <w:jc w:val="center"/>
        </w:trPr>
        <w:tc>
          <w:tcPr>
            <w:tcW w:w="2280" w:type="dxa"/>
            <w:tcBorders>
              <w:top w:val="single" w:sz="12" w:space="0" w:color="auto"/>
              <w:left w:val="single" w:sz="12" w:space="0" w:color="auto"/>
              <w:right w:val="single" w:sz="4" w:space="0" w:color="FFFFFF" w:themeColor="background1"/>
            </w:tcBorders>
            <w:shd w:val="clear" w:color="auto" w:fill="003880"/>
            <w:vAlign w:val="center"/>
          </w:tcPr>
          <w:p w:rsidR="009B6D6D" w:rsidRPr="0038463D" w:rsidRDefault="009B6D6D" w:rsidP="009B6D6D">
            <w:pPr>
              <w:spacing w:after="0"/>
              <w:jc w:val="center"/>
              <w:rPr>
                <w:rFonts w:asciiTheme="minorHAnsi" w:hAnsiTheme="minorHAnsi"/>
                <w:b/>
                <w:bCs/>
                <w:iCs/>
                <w:color w:val="FFFFFF" w:themeColor="background1"/>
                <w:sz w:val="20"/>
                <w:szCs w:val="20"/>
                <w:lang w:val="en-AU"/>
              </w:rPr>
            </w:pPr>
            <w:r w:rsidRPr="0038463D">
              <w:rPr>
                <w:rFonts w:asciiTheme="minorHAnsi" w:hAnsiTheme="minorHAnsi"/>
                <w:b/>
                <w:bCs/>
                <w:iCs/>
                <w:color w:val="FFFFFF" w:themeColor="background1"/>
                <w:sz w:val="20"/>
                <w:szCs w:val="20"/>
                <w:lang w:val="en-AU"/>
              </w:rPr>
              <w:t>INDICATOR</w:t>
            </w:r>
          </w:p>
        </w:tc>
        <w:tc>
          <w:tcPr>
            <w:tcW w:w="3088" w:type="dxa"/>
            <w:tcBorders>
              <w:top w:val="single" w:sz="12" w:space="0" w:color="auto"/>
              <w:left w:val="single" w:sz="4" w:space="0" w:color="FFFFFF" w:themeColor="background1"/>
              <w:right w:val="single" w:sz="4" w:space="0" w:color="FFFFFF" w:themeColor="background1"/>
            </w:tcBorders>
            <w:shd w:val="clear" w:color="auto" w:fill="003880"/>
            <w:vAlign w:val="center"/>
          </w:tcPr>
          <w:p w:rsidR="009B6D6D" w:rsidRPr="0038463D" w:rsidRDefault="009B6D6D" w:rsidP="009B6D6D">
            <w:pPr>
              <w:spacing w:after="0"/>
              <w:jc w:val="center"/>
              <w:rPr>
                <w:rFonts w:asciiTheme="minorHAnsi" w:hAnsiTheme="minorHAnsi"/>
                <w:b/>
                <w:bCs/>
                <w:iCs/>
                <w:color w:val="FFFFFF" w:themeColor="background1"/>
                <w:sz w:val="20"/>
                <w:szCs w:val="20"/>
                <w:lang w:val="en-AU"/>
              </w:rPr>
            </w:pPr>
            <w:r w:rsidRPr="0038463D">
              <w:rPr>
                <w:rFonts w:asciiTheme="minorHAnsi" w:hAnsiTheme="minorHAnsi"/>
                <w:b/>
                <w:bCs/>
                <w:iCs/>
                <w:color w:val="FFFFFF" w:themeColor="background1"/>
                <w:sz w:val="20"/>
                <w:szCs w:val="20"/>
                <w:lang w:val="en-AU"/>
              </w:rPr>
              <w:t>DESCRIPTION</w:t>
            </w:r>
          </w:p>
        </w:tc>
        <w:tc>
          <w:tcPr>
            <w:tcW w:w="1081" w:type="dxa"/>
            <w:tcBorders>
              <w:top w:val="single" w:sz="12" w:space="0" w:color="auto"/>
              <w:left w:val="single" w:sz="4" w:space="0" w:color="FFFFFF" w:themeColor="background1"/>
              <w:right w:val="single" w:sz="4" w:space="0" w:color="FFFFFF" w:themeColor="background1"/>
            </w:tcBorders>
            <w:shd w:val="clear" w:color="auto" w:fill="003880"/>
            <w:vAlign w:val="center"/>
          </w:tcPr>
          <w:p w:rsidR="009B6D6D" w:rsidRPr="0038463D" w:rsidRDefault="009B6D6D" w:rsidP="009B6D6D">
            <w:pPr>
              <w:spacing w:after="0"/>
              <w:jc w:val="center"/>
              <w:rPr>
                <w:rFonts w:asciiTheme="minorHAnsi" w:hAnsiTheme="minorHAnsi"/>
                <w:b/>
                <w:bCs/>
                <w:iCs/>
                <w:color w:val="FFFFFF" w:themeColor="background1"/>
                <w:sz w:val="20"/>
                <w:szCs w:val="20"/>
                <w:lang w:val="en-AU"/>
              </w:rPr>
            </w:pPr>
            <w:r w:rsidRPr="0038463D">
              <w:rPr>
                <w:rFonts w:asciiTheme="minorHAnsi" w:hAnsiTheme="minorHAnsi"/>
                <w:b/>
                <w:bCs/>
                <w:iCs/>
                <w:color w:val="FFFFFF" w:themeColor="background1"/>
                <w:sz w:val="20"/>
                <w:szCs w:val="20"/>
                <w:lang w:val="en-AU"/>
              </w:rPr>
              <w:t>LEVEL</w:t>
            </w:r>
          </w:p>
        </w:tc>
        <w:tc>
          <w:tcPr>
            <w:tcW w:w="1698" w:type="dxa"/>
            <w:tcBorders>
              <w:top w:val="single" w:sz="12" w:space="0" w:color="auto"/>
              <w:left w:val="single" w:sz="4" w:space="0" w:color="FFFFFF" w:themeColor="background1"/>
              <w:right w:val="single" w:sz="4" w:space="0" w:color="FFFFFF" w:themeColor="background1"/>
            </w:tcBorders>
            <w:shd w:val="clear" w:color="auto" w:fill="003880"/>
            <w:vAlign w:val="center"/>
          </w:tcPr>
          <w:p w:rsidR="009B6D6D" w:rsidRPr="0038463D" w:rsidRDefault="009B6D6D" w:rsidP="009B6D6D">
            <w:pPr>
              <w:spacing w:after="0"/>
              <w:jc w:val="center"/>
              <w:rPr>
                <w:rFonts w:asciiTheme="minorHAnsi" w:hAnsiTheme="minorHAnsi"/>
                <w:b/>
                <w:bCs/>
                <w:iCs/>
                <w:color w:val="FFFFFF" w:themeColor="background1"/>
                <w:sz w:val="20"/>
                <w:szCs w:val="20"/>
                <w:lang w:val="en-AU"/>
              </w:rPr>
            </w:pPr>
            <w:r w:rsidRPr="0038463D">
              <w:rPr>
                <w:rFonts w:asciiTheme="minorHAnsi" w:hAnsiTheme="minorHAnsi"/>
                <w:b/>
                <w:bCs/>
                <w:iCs/>
                <w:color w:val="FFFFFF" w:themeColor="background1"/>
                <w:sz w:val="20"/>
                <w:szCs w:val="20"/>
                <w:lang w:val="en-AU"/>
              </w:rPr>
              <w:t>RELATED GOAL</w:t>
            </w:r>
          </w:p>
        </w:tc>
        <w:tc>
          <w:tcPr>
            <w:tcW w:w="1082" w:type="dxa"/>
            <w:tcBorders>
              <w:top w:val="single" w:sz="12" w:space="0" w:color="auto"/>
              <w:left w:val="single" w:sz="4" w:space="0" w:color="FFFFFF" w:themeColor="background1"/>
              <w:right w:val="single" w:sz="4" w:space="0" w:color="FFFFFF" w:themeColor="background1"/>
            </w:tcBorders>
            <w:shd w:val="clear" w:color="auto" w:fill="003880"/>
            <w:vAlign w:val="center"/>
          </w:tcPr>
          <w:p w:rsidR="009B6D6D" w:rsidRPr="0038463D" w:rsidRDefault="009B6D6D" w:rsidP="009B6D6D">
            <w:pPr>
              <w:spacing w:after="0"/>
              <w:jc w:val="center"/>
              <w:rPr>
                <w:rFonts w:asciiTheme="minorHAnsi" w:hAnsiTheme="minorHAnsi"/>
                <w:b/>
                <w:bCs/>
                <w:iCs/>
                <w:color w:val="FFFFFF" w:themeColor="background1"/>
                <w:sz w:val="20"/>
                <w:szCs w:val="20"/>
                <w:lang w:val="en-AU"/>
              </w:rPr>
            </w:pPr>
            <w:r w:rsidRPr="0038463D">
              <w:rPr>
                <w:rFonts w:asciiTheme="minorHAnsi" w:hAnsiTheme="minorHAnsi"/>
                <w:b/>
                <w:bCs/>
                <w:iCs/>
                <w:color w:val="FFFFFF" w:themeColor="background1"/>
                <w:sz w:val="20"/>
                <w:szCs w:val="20"/>
                <w:lang w:val="en-AU"/>
              </w:rPr>
              <w:t>RESULT</w:t>
            </w:r>
          </w:p>
        </w:tc>
        <w:tc>
          <w:tcPr>
            <w:tcW w:w="4941" w:type="dxa"/>
            <w:tcBorders>
              <w:top w:val="single" w:sz="12" w:space="0" w:color="auto"/>
              <w:left w:val="single" w:sz="4" w:space="0" w:color="FFFFFF" w:themeColor="background1"/>
              <w:right w:val="single" w:sz="12" w:space="0" w:color="auto"/>
            </w:tcBorders>
            <w:shd w:val="clear" w:color="auto" w:fill="003880"/>
            <w:vAlign w:val="center"/>
          </w:tcPr>
          <w:p w:rsidR="009B6D6D" w:rsidRPr="0038463D" w:rsidRDefault="009B6D6D" w:rsidP="009B6D6D">
            <w:pPr>
              <w:spacing w:after="0"/>
              <w:jc w:val="center"/>
              <w:rPr>
                <w:rFonts w:asciiTheme="minorHAnsi" w:hAnsiTheme="minorHAnsi"/>
                <w:b/>
                <w:bCs/>
                <w:iCs/>
                <w:color w:val="FFFFFF" w:themeColor="background1"/>
                <w:sz w:val="20"/>
                <w:szCs w:val="20"/>
                <w:lang w:val="en-AU"/>
              </w:rPr>
            </w:pPr>
            <w:r w:rsidRPr="0038463D">
              <w:rPr>
                <w:rFonts w:asciiTheme="minorHAnsi" w:hAnsiTheme="minorHAnsi"/>
                <w:b/>
                <w:bCs/>
                <w:iCs/>
                <w:color w:val="FFFFFF" w:themeColor="background1"/>
                <w:sz w:val="20"/>
                <w:szCs w:val="20"/>
                <w:lang w:val="en-AU"/>
              </w:rPr>
              <w:t>COMMENT AND IMPLICATIONS</w:t>
            </w:r>
          </w:p>
        </w:tc>
      </w:tr>
      <w:tr w:rsidR="009B6D6D" w:rsidRPr="0038463D" w:rsidTr="009B6D6D">
        <w:trPr>
          <w:jc w:val="center"/>
        </w:trPr>
        <w:tc>
          <w:tcPr>
            <w:tcW w:w="2280" w:type="dxa"/>
            <w:tcBorders>
              <w:left w:val="single" w:sz="12" w:space="0" w:color="auto"/>
            </w:tcBorders>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KPI 1</w:t>
            </w:r>
          </w:p>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Share of public expenditure</w:t>
            </w:r>
          </w:p>
        </w:tc>
        <w:tc>
          <w:tcPr>
            <w:tcW w:w="3088" w:type="dxa"/>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Public expenditure on education as percentage of total public expenditure</w:t>
            </w:r>
            <w:r>
              <w:rPr>
                <w:rFonts w:asciiTheme="minorHAnsi" w:hAnsiTheme="minorHAnsi"/>
                <w:sz w:val="20"/>
                <w:szCs w:val="20"/>
                <w:lang w:val="en-AU"/>
              </w:rPr>
              <w:t xml:space="preserve"> </w:t>
            </w:r>
            <w:r w:rsidRPr="0038463D">
              <w:rPr>
                <w:rFonts w:asciiTheme="minorHAnsi" w:hAnsiTheme="minorHAnsi"/>
                <w:sz w:val="20"/>
                <w:szCs w:val="20"/>
                <w:lang w:val="en-AU"/>
              </w:rPr>
              <w:t>(covers MoEC and MoRA expenditure)</w:t>
            </w:r>
          </w:p>
        </w:tc>
        <w:tc>
          <w:tcPr>
            <w:tcW w:w="1081"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National</w:t>
            </w:r>
          </w:p>
        </w:tc>
        <w:tc>
          <w:tcPr>
            <w:tcW w:w="1698"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Government commitment</w:t>
            </w:r>
          </w:p>
        </w:tc>
        <w:tc>
          <w:tcPr>
            <w:tcW w:w="1082" w:type="dxa"/>
            <w:shd w:val="clear" w:color="auto" w:fill="92D050"/>
            <w:vAlign w:val="center"/>
          </w:tcPr>
          <w:p w:rsidR="009B6D6D" w:rsidRPr="0038463D" w:rsidRDefault="009B6D6D" w:rsidP="009B6D6D">
            <w:pPr>
              <w:spacing w:after="0"/>
              <w:jc w:val="center"/>
              <w:rPr>
                <w:rFonts w:asciiTheme="minorHAnsi" w:hAnsiTheme="minorHAnsi"/>
                <w:bCs/>
                <w:iCs/>
                <w:sz w:val="20"/>
                <w:szCs w:val="20"/>
                <w:lang w:val="en-AU"/>
              </w:rPr>
            </w:pPr>
            <w:r w:rsidRPr="0038463D">
              <w:rPr>
                <w:rFonts w:asciiTheme="minorHAnsi" w:hAnsiTheme="minorHAnsi"/>
                <w:bCs/>
                <w:iCs/>
                <w:sz w:val="20"/>
                <w:szCs w:val="20"/>
                <w:lang w:val="en-AU"/>
              </w:rPr>
              <w:t>Positive</w:t>
            </w:r>
          </w:p>
        </w:tc>
        <w:tc>
          <w:tcPr>
            <w:tcW w:w="4941" w:type="dxa"/>
            <w:tcBorders>
              <w:right w:val="single" w:sz="12" w:space="0" w:color="auto"/>
            </w:tcBorders>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b/>
                <w:sz w:val="20"/>
                <w:szCs w:val="20"/>
                <w:lang w:val="en-AU"/>
              </w:rPr>
              <w:t>Comment:</w:t>
            </w:r>
            <w:r w:rsidRPr="0038463D">
              <w:rPr>
                <w:rFonts w:asciiTheme="minorHAnsi" w:hAnsiTheme="minorHAnsi"/>
                <w:sz w:val="20"/>
                <w:szCs w:val="20"/>
                <w:lang w:val="en-AU"/>
              </w:rPr>
              <w:t xml:space="preserve"> Significant growth in allocations as proportion of national expenditure, fr</w:t>
            </w:r>
            <w:r w:rsidR="001E75FE">
              <w:rPr>
                <w:rFonts w:asciiTheme="minorHAnsi" w:hAnsiTheme="minorHAnsi"/>
                <w:sz w:val="20"/>
                <w:szCs w:val="20"/>
                <w:lang w:val="en-AU"/>
              </w:rPr>
              <w:t>om 12% 2001 (12%) to 20% by 2013</w:t>
            </w:r>
            <w:r w:rsidRPr="0038463D">
              <w:rPr>
                <w:rFonts w:asciiTheme="minorHAnsi" w:hAnsiTheme="minorHAnsi"/>
                <w:sz w:val="20"/>
                <w:szCs w:val="20"/>
                <w:lang w:val="en-AU"/>
              </w:rPr>
              <w:t>.</w:t>
            </w:r>
            <w:r>
              <w:rPr>
                <w:rFonts w:asciiTheme="minorHAnsi" w:hAnsiTheme="minorHAnsi"/>
                <w:sz w:val="20"/>
                <w:szCs w:val="20"/>
                <w:lang w:val="en-AU"/>
              </w:rPr>
              <w:t xml:space="preserve"> </w:t>
            </w:r>
          </w:p>
          <w:p w:rsidR="009B6D6D" w:rsidRPr="0038463D" w:rsidRDefault="009B6D6D" w:rsidP="009B6D6D">
            <w:pPr>
              <w:spacing w:after="0"/>
              <w:rPr>
                <w:rFonts w:asciiTheme="minorHAnsi" w:hAnsiTheme="minorHAnsi"/>
                <w:sz w:val="20"/>
                <w:szCs w:val="20"/>
                <w:lang w:val="en-AU"/>
              </w:rPr>
            </w:pPr>
            <w:r w:rsidRPr="0038463D">
              <w:rPr>
                <w:rFonts w:asciiTheme="minorHAnsi" w:hAnsiTheme="minorHAnsi"/>
                <w:b/>
                <w:sz w:val="20"/>
                <w:szCs w:val="20"/>
                <w:lang w:val="en-AU"/>
              </w:rPr>
              <w:t xml:space="preserve">Implications: </w:t>
            </w:r>
            <w:r w:rsidRPr="0038463D">
              <w:rPr>
                <w:rFonts w:asciiTheme="minorHAnsi" w:hAnsiTheme="minorHAnsi"/>
                <w:sz w:val="20"/>
                <w:szCs w:val="20"/>
                <w:lang w:val="en-AU"/>
              </w:rPr>
              <w:t>Stable growth in education financing is positive for further investment.</w:t>
            </w:r>
          </w:p>
        </w:tc>
      </w:tr>
      <w:tr w:rsidR="009B6D6D" w:rsidRPr="0038463D" w:rsidTr="009B6D6D">
        <w:trPr>
          <w:jc w:val="center"/>
        </w:trPr>
        <w:tc>
          <w:tcPr>
            <w:tcW w:w="2280" w:type="dxa"/>
            <w:tcBorders>
              <w:left w:val="single" w:sz="12" w:space="0" w:color="auto"/>
            </w:tcBorders>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 xml:space="preserve">KPI 2 </w:t>
            </w:r>
          </w:p>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Share of GDP</w:t>
            </w:r>
          </w:p>
        </w:tc>
        <w:tc>
          <w:tcPr>
            <w:tcW w:w="3088" w:type="dxa"/>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 xml:space="preserve">Public expenditure on education as percentage of GDP </w:t>
            </w:r>
          </w:p>
        </w:tc>
        <w:tc>
          <w:tcPr>
            <w:tcW w:w="1081"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National</w:t>
            </w:r>
          </w:p>
          <w:p w:rsidR="009B6D6D" w:rsidRPr="0038463D" w:rsidRDefault="009B6D6D" w:rsidP="009B6D6D">
            <w:pPr>
              <w:spacing w:after="0"/>
              <w:jc w:val="center"/>
              <w:rPr>
                <w:rFonts w:asciiTheme="minorHAnsi" w:hAnsiTheme="minorHAnsi"/>
                <w:sz w:val="20"/>
                <w:szCs w:val="20"/>
                <w:lang w:val="en-AU"/>
              </w:rPr>
            </w:pPr>
          </w:p>
        </w:tc>
        <w:tc>
          <w:tcPr>
            <w:tcW w:w="1698"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Government commitment</w:t>
            </w:r>
          </w:p>
        </w:tc>
        <w:tc>
          <w:tcPr>
            <w:tcW w:w="1082" w:type="dxa"/>
            <w:shd w:val="clear" w:color="auto" w:fill="92D050"/>
            <w:vAlign w:val="center"/>
          </w:tcPr>
          <w:p w:rsidR="009B6D6D" w:rsidRPr="0038463D" w:rsidRDefault="009B6D6D" w:rsidP="009B6D6D">
            <w:pPr>
              <w:spacing w:after="0"/>
              <w:jc w:val="center"/>
              <w:rPr>
                <w:rFonts w:asciiTheme="minorHAnsi" w:hAnsiTheme="minorHAnsi"/>
                <w:bCs/>
                <w:iCs/>
                <w:sz w:val="20"/>
                <w:szCs w:val="20"/>
                <w:lang w:val="en-AU"/>
              </w:rPr>
            </w:pPr>
            <w:r w:rsidRPr="0038463D">
              <w:rPr>
                <w:rFonts w:asciiTheme="minorHAnsi" w:hAnsiTheme="minorHAnsi"/>
                <w:bCs/>
                <w:iCs/>
                <w:sz w:val="20"/>
                <w:szCs w:val="20"/>
                <w:lang w:val="en-AU"/>
              </w:rPr>
              <w:t>Positive</w:t>
            </w:r>
          </w:p>
        </w:tc>
        <w:tc>
          <w:tcPr>
            <w:tcW w:w="4941" w:type="dxa"/>
            <w:tcBorders>
              <w:right w:val="single" w:sz="12" w:space="0" w:color="auto"/>
            </w:tcBorders>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b/>
                <w:sz w:val="20"/>
                <w:szCs w:val="20"/>
                <w:lang w:val="en-AU"/>
              </w:rPr>
              <w:t>Comment:</w:t>
            </w:r>
            <w:r w:rsidRPr="0038463D">
              <w:rPr>
                <w:rFonts w:asciiTheme="minorHAnsi" w:hAnsiTheme="minorHAnsi"/>
                <w:sz w:val="20"/>
                <w:szCs w:val="20"/>
                <w:lang w:val="en-AU"/>
              </w:rPr>
              <w:t xml:space="preserve"> Education expenditure, as a proportion of GDP, in</w:t>
            </w:r>
            <w:r w:rsidR="001E75FE">
              <w:rPr>
                <w:rFonts w:asciiTheme="minorHAnsi" w:hAnsiTheme="minorHAnsi"/>
                <w:sz w:val="20"/>
                <w:szCs w:val="20"/>
                <w:lang w:val="en-AU"/>
              </w:rPr>
              <w:t>creased from 3.3% in 2011 to 3.7% in 2013</w:t>
            </w:r>
            <w:r w:rsidRPr="0038463D">
              <w:rPr>
                <w:rFonts w:asciiTheme="minorHAnsi" w:hAnsiTheme="minorHAnsi"/>
                <w:sz w:val="20"/>
                <w:szCs w:val="20"/>
                <w:lang w:val="en-AU"/>
              </w:rPr>
              <w:t>.</w:t>
            </w:r>
          </w:p>
        </w:tc>
      </w:tr>
      <w:tr w:rsidR="009B6D6D" w:rsidRPr="0038463D" w:rsidTr="009B6D6D">
        <w:trPr>
          <w:jc w:val="center"/>
        </w:trPr>
        <w:tc>
          <w:tcPr>
            <w:tcW w:w="2280" w:type="dxa"/>
            <w:tcBorders>
              <w:left w:val="single" w:sz="12" w:space="0" w:color="auto"/>
            </w:tcBorders>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 xml:space="preserve">KPI 3 </w:t>
            </w:r>
          </w:p>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Share of non-salary resources</w:t>
            </w:r>
          </w:p>
        </w:tc>
        <w:tc>
          <w:tcPr>
            <w:tcW w:w="3088" w:type="dxa"/>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 share of education budget spending on non-salary costs.</w:t>
            </w:r>
          </w:p>
        </w:tc>
        <w:tc>
          <w:tcPr>
            <w:tcW w:w="1081"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National</w:t>
            </w:r>
          </w:p>
        </w:tc>
        <w:tc>
          <w:tcPr>
            <w:tcW w:w="1698"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Quality</w:t>
            </w:r>
          </w:p>
        </w:tc>
        <w:tc>
          <w:tcPr>
            <w:tcW w:w="1082" w:type="dxa"/>
            <w:shd w:val="clear" w:color="auto" w:fill="92D050"/>
            <w:vAlign w:val="center"/>
          </w:tcPr>
          <w:p w:rsidR="009B6D6D" w:rsidRPr="0038463D" w:rsidRDefault="009B6D6D" w:rsidP="009B6D6D">
            <w:pPr>
              <w:spacing w:after="0"/>
              <w:jc w:val="center"/>
              <w:rPr>
                <w:rFonts w:asciiTheme="minorHAnsi" w:hAnsiTheme="minorHAnsi"/>
                <w:bCs/>
                <w:iCs/>
                <w:sz w:val="20"/>
                <w:szCs w:val="20"/>
                <w:lang w:val="en-AU"/>
              </w:rPr>
            </w:pPr>
            <w:r w:rsidRPr="0038463D">
              <w:rPr>
                <w:rFonts w:asciiTheme="minorHAnsi" w:hAnsiTheme="minorHAnsi"/>
                <w:bCs/>
                <w:iCs/>
                <w:sz w:val="20"/>
                <w:szCs w:val="20"/>
                <w:lang w:val="en-AU"/>
              </w:rPr>
              <w:t>Positive</w:t>
            </w:r>
          </w:p>
        </w:tc>
        <w:tc>
          <w:tcPr>
            <w:tcW w:w="4941" w:type="dxa"/>
            <w:tcBorders>
              <w:right w:val="single" w:sz="12" w:space="0" w:color="auto"/>
            </w:tcBorders>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b/>
                <w:sz w:val="20"/>
                <w:szCs w:val="20"/>
                <w:lang w:val="en-AU"/>
              </w:rPr>
              <w:t>Comment:</w:t>
            </w:r>
            <w:r w:rsidRPr="0038463D">
              <w:rPr>
                <w:rFonts w:asciiTheme="minorHAnsi" w:hAnsiTheme="minorHAnsi"/>
                <w:sz w:val="20"/>
                <w:szCs w:val="20"/>
                <w:lang w:val="en-AU"/>
              </w:rPr>
              <w:t xml:space="preserve"> Non-salary share of expenditures in 2011 increased to 25% of total district level expenditures (up from 13% in 2010). </w:t>
            </w:r>
          </w:p>
          <w:p w:rsidR="009B6D6D" w:rsidRPr="0038463D" w:rsidRDefault="009B6D6D" w:rsidP="009B6D6D">
            <w:pPr>
              <w:spacing w:after="0"/>
              <w:rPr>
                <w:rFonts w:asciiTheme="minorHAnsi" w:hAnsiTheme="minorHAnsi"/>
                <w:sz w:val="20"/>
                <w:szCs w:val="20"/>
                <w:lang w:val="en-AU"/>
              </w:rPr>
            </w:pPr>
            <w:r w:rsidRPr="0038463D">
              <w:rPr>
                <w:rFonts w:asciiTheme="minorHAnsi" w:hAnsiTheme="minorHAnsi"/>
                <w:b/>
                <w:sz w:val="20"/>
                <w:szCs w:val="20"/>
                <w:lang w:val="en-AU"/>
              </w:rPr>
              <w:t xml:space="preserve">Implications: </w:t>
            </w:r>
            <w:r w:rsidRPr="0038463D">
              <w:rPr>
                <w:rFonts w:asciiTheme="minorHAnsi" w:hAnsiTheme="minorHAnsi"/>
                <w:sz w:val="20"/>
                <w:szCs w:val="20"/>
                <w:lang w:val="en-AU"/>
              </w:rPr>
              <w:t>Growth in budget is not being solely consumed by salaries. New budget allocations were especially strong for capital items.</w:t>
            </w:r>
          </w:p>
        </w:tc>
      </w:tr>
      <w:tr w:rsidR="009B6D6D" w:rsidRPr="0038463D" w:rsidTr="006E194A">
        <w:trPr>
          <w:jc w:val="center"/>
        </w:trPr>
        <w:tc>
          <w:tcPr>
            <w:tcW w:w="2280" w:type="dxa"/>
            <w:tcBorders>
              <w:left w:val="single" w:sz="12" w:space="0" w:color="auto"/>
            </w:tcBorders>
            <w:vAlign w:val="center"/>
          </w:tcPr>
          <w:p w:rsidR="009B6D6D" w:rsidRPr="0038463D" w:rsidRDefault="00710F2F" w:rsidP="009B6D6D">
            <w:pPr>
              <w:spacing w:after="0"/>
              <w:rPr>
                <w:rFonts w:asciiTheme="minorHAnsi" w:hAnsiTheme="minorHAnsi"/>
                <w:sz w:val="20"/>
                <w:szCs w:val="20"/>
                <w:lang w:val="en-AU"/>
              </w:rPr>
            </w:pPr>
            <w:r>
              <w:rPr>
                <w:rFonts w:asciiTheme="minorHAnsi" w:hAnsiTheme="minorHAnsi"/>
                <w:sz w:val="20"/>
                <w:szCs w:val="20"/>
                <w:lang w:val="en-AU"/>
              </w:rPr>
              <w:t>KPI 4</w:t>
            </w:r>
            <w:r w:rsidR="009B6D6D" w:rsidRPr="0038463D">
              <w:rPr>
                <w:rFonts w:asciiTheme="minorHAnsi" w:hAnsiTheme="minorHAnsi"/>
                <w:sz w:val="20"/>
                <w:szCs w:val="20"/>
                <w:lang w:val="en-AU"/>
              </w:rPr>
              <w:t xml:space="preserve"> </w:t>
            </w:r>
          </w:p>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District commitment to education</w:t>
            </w:r>
          </w:p>
        </w:tc>
        <w:tc>
          <w:tcPr>
            <w:tcW w:w="3088" w:type="dxa"/>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Education as % of total public expenditures</w:t>
            </w:r>
          </w:p>
        </w:tc>
        <w:tc>
          <w:tcPr>
            <w:tcW w:w="1081"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District</w:t>
            </w:r>
          </w:p>
          <w:p w:rsidR="009B6D6D" w:rsidRPr="0038463D" w:rsidRDefault="009B6D6D" w:rsidP="009B6D6D">
            <w:pPr>
              <w:spacing w:after="0"/>
              <w:jc w:val="center"/>
              <w:rPr>
                <w:rFonts w:asciiTheme="minorHAnsi" w:hAnsiTheme="minorHAnsi"/>
                <w:sz w:val="20"/>
                <w:szCs w:val="20"/>
                <w:lang w:val="en-AU"/>
              </w:rPr>
            </w:pPr>
          </w:p>
        </w:tc>
        <w:tc>
          <w:tcPr>
            <w:tcW w:w="1698"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Government commitment</w:t>
            </w:r>
          </w:p>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Equity/access</w:t>
            </w:r>
          </w:p>
        </w:tc>
        <w:tc>
          <w:tcPr>
            <w:tcW w:w="1082" w:type="dxa"/>
            <w:shd w:val="clear" w:color="auto" w:fill="FFC000"/>
            <w:vAlign w:val="center"/>
          </w:tcPr>
          <w:p w:rsidR="009B6D6D" w:rsidRPr="0038463D" w:rsidRDefault="006E194A" w:rsidP="009B6D6D">
            <w:pPr>
              <w:spacing w:after="0"/>
              <w:jc w:val="center"/>
              <w:rPr>
                <w:rFonts w:asciiTheme="minorHAnsi" w:hAnsiTheme="minorHAnsi"/>
                <w:sz w:val="20"/>
                <w:szCs w:val="20"/>
                <w:lang w:val="en-AU"/>
              </w:rPr>
            </w:pPr>
            <w:r>
              <w:rPr>
                <w:rFonts w:asciiTheme="minorHAnsi" w:hAnsiTheme="minorHAnsi"/>
                <w:sz w:val="20"/>
                <w:szCs w:val="20"/>
                <w:lang w:val="en-AU"/>
              </w:rPr>
              <w:t>Neutral</w:t>
            </w:r>
          </w:p>
        </w:tc>
        <w:tc>
          <w:tcPr>
            <w:tcW w:w="4941" w:type="dxa"/>
            <w:tcBorders>
              <w:right w:val="single" w:sz="12" w:space="0" w:color="auto"/>
            </w:tcBorders>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b/>
                <w:sz w:val="20"/>
                <w:szCs w:val="20"/>
                <w:lang w:val="en-AU"/>
              </w:rPr>
              <w:t>Comment:</w:t>
            </w:r>
            <w:r w:rsidRPr="0038463D">
              <w:rPr>
                <w:rFonts w:asciiTheme="minorHAnsi" w:hAnsiTheme="minorHAnsi"/>
                <w:sz w:val="20"/>
                <w:szCs w:val="20"/>
                <w:lang w:val="en-AU"/>
              </w:rPr>
              <w:t xml:space="preserve"> The strong increase in the education share of district budgets in 2011 was reversed in </w:t>
            </w:r>
            <w:r w:rsidR="00E0387B">
              <w:rPr>
                <w:rFonts w:asciiTheme="minorHAnsi" w:hAnsiTheme="minorHAnsi"/>
                <w:sz w:val="20"/>
                <w:szCs w:val="20"/>
                <w:lang w:val="en-AU"/>
              </w:rPr>
              <w:t xml:space="preserve">last 2 years </w:t>
            </w:r>
            <w:r w:rsidRPr="0038463D">
              <w:rPr>
                <w:rFonts w:asciiTheme="minorHAnsi" w:hAnsiTheme="minorHAnsi"/>
                <w:sz w:val="20"/>
                <w:szCs w:val="20"/>
                <w:lang w:val="en-AU"/>
              </w:rPr>
              <w:t>2012</w:t>
            </w:r>
            <w:r w:rsidR="00E0387B">
              <w:rPr>
                <w:rFonts w:asciiTheme="minorHAnsi" w:hAnsiTheme="minorHAnsi"/>
                <w:sz w:val="20"/>
                <w:szCs w:val="20"/>
                <w:lang w:val="en-AU"/>
              </w:rPr>
              <w:t xml:space="preserve"> an</w:t>
            </w:r>
            <w:r w:rsidR="00883BA1">
              <w:rPr>
                <w:rFonts w:asciiTheme="minorHAnsi" w:hAnsiTheme="minorHAnsi"/>
                <w:sz w:val="20"/>
                <w:szCs w:val="20"/>
                <w:lang w:val="en-AU"/>
              </w:rPr>
              <w:t>d</w:t>
            </w:r>
            <w:r w:rsidR="00E0387B">
              <w:rPr>
                <w:rFonts w:asciiTheme="minorHAnsi" w:hAnsiTheme="minorHAnsi"/>
                <w:sz w:val="20"/>
                <w:szCs w:val="20"/>
                <w:lang w:val="en-AU"/>
              </w:rPr>
              <w:t xml:space="preserve"> 2013</w:t>
            </w:r>
            <w:r w:rsidRPr="0038463D">
              <w:rPr>
                <w:rFonts w:asciiTheme="minorHAnsi" w:hAnsiTheme="minorHAnsi"/>
                <w:sz w:val="20"/>
                <w:szCs w:val="20"/>
                <w:lang w:val="en-AU"/>
              </w:rPr>
              <w:t xml:space="preserve">, with the education share dropping </w:t>
            </w:r>
            <w:r w:rsidR="00E0387B">
              <w:rPr>
                <w:rFonts w:asciiTheme="minorHAnsi" w:hAnsiTheme="minorHAnsi"/>
                <w:sz w:val="20"/>
                <w:szCs w:val="20"/>
                <w:lang w:val="en-AU"/>
              </w:rPr>
              <w:t>to 34% from 36%.</w:t>
            </w:r>
          </w:p>
          <w:p w:rsidR="009B6D6D" w:rsidRPr="0038463D" w:rsidRDefault="009B6D6D" w:rsidP="00E0387B">
            <w:pPr>
              <w:spacing w:after="0"/>
              <w:rPr>
                <w:rFonts w:asciiTheme="minorHAnsi" w:hAnsiTheme="minorHAnsi"/>
                <w:sz w:val="20"/>
                <w:szCs w:val="20"/>
                <w:lang w:val="en-AU"/>
              </w:rPr>
            </w:pPr>
            <w:r w:rsidRPr="0038463D">
              <w:rPr>
                <w:rFonts w:asciiTheme="minorHAnsi" w:hAnsiTheme="minorHAnsi"/>
                <w:b/>
                <w:sz w:val="20"/>
                <w:szCs w:val="20"/>
                <w:lang w:val="en-AU"/>
              </w:rPr>
              <w:t>Implications</w:t>
            </w:r>
            <w:r w:rsidRPr="0038463D">
              <w:rPr>
                <w:rFonts w:asciiTheme="minorHAnsi" w:hAnsiTheme="minorHAnsi"/>
                <w:sz w:val="20"/>
                <w:szCs w:val="20"/>
                <w:lang w:val="en-AU"/>
              </w:rPr>
              <w:t xml:space="preserve">: </w:t>
            </w:r>
            <w:r w:rsidR="00E0387B">
              <w:rPr>
                <w:rFonts w:asciiTheme="minorHAnsi" w:hAnsiTheme="minorHAnsi"/>
                <w:sz w:val="20"/>
                <w:szCs w:val="20"/>
                <w:lang w:val="en-AU"/>
              </w:rPr>
              <w:t xml:space="preserve">Poorest </w:t>
            </w:r>
            <w:r w:rsidRPr="0038463D">
              <w:rPr>
                <w:rFonts w:asciiTheme="minorHAnsi" w:hAnsiTheme="minorHAnsi"/>
                <w:sz w:val="20"/>
                <w:szCs w:val="20"/>
                <w:lang w:val="en-AU"/>
              </w:rPr>
              <w:t xml:space="preserve">districts </w:t>
            </w:r>
            <w:r w:rsidR="00E0387B">
              <w:rPr>
                <w:rFonts w:asciiTheme="minorHAnsi" w:hAnsiTheme="minorHAnsi"/>
                <w:sz w:val="20"/>
                <w:szCs w:val="20"/>
                <w:lang w:val="en-AU"/>
              </w:rPr>
              <w:t xml:space="preserve">with low allocations for  education </w:t>
            </w:r>
            <w:r w:rsidRPr="0038463D">
              <w:rPr>
                <w:rFonts w:asciiTheme="minorHAnsi" w:hAnsiTheme="minorHAnsi"/>
                <w:sz w:val="20"/>
                <w:szCs w:val="20"/>
                <w:lang w:val="en-AU"/>
              </w:rPr>
              <w:t>should be monitored</w:t>
            </w:r>
          </w:p>
        </w:tc>
      </w:tr>
      <w:tr w:rsidR="009B6D6D" w:rsidRPr="0038463D" w:rsidTr="00E0387B">
        <w:trPr>
          <w:jc w:val="center"/>
        </w:trPr>
        <w:tc>
          <w:tcPr>
            <w:tcW w:w="2280" w:type="dxa"/>
            <w:tcBorders>
              <w:left w:val="single" w:sz="12" w:space="0" w:color="auto"/>
            </w:tcBorders>
            <w:vAlign w:val="center"/>
          </w:tcPr>
          <w:p w:rsidR="009B6D6D" w:rsidRPr="0038463D" w:rsidRDefault="00710F2F" w:rsidP="009B6D6D">
            <w:pPr>
              <w:spacing w:after="0"/>
              <w:rPr>
                <w:rFonts w:asciiTheme="minorHAnsi" w:hAnsiTheme="minorHAnsi"/>
                <w:sz w:val="20"/>
                <w:szCs w:val="20"/>
                <w:lang w:val="en-AU"/>
              </w:rPr>
            </w:pPr>
            <w:r>
              <w:rPr>
                <w:rFonts w:asciiTheme="minorHAnsi" w:hAnsiTheme="minorHAnsi"/>
                <w:sz w:val="20"/>
                <w:szCs w:val="20"/>
                <w:lang w:val="en-AU"/>
              </w:rPr>
              <w:t>KPI 5</w:t>
            </w:r>
            <w:r w:rsidR="009B6D6D" w:rsidRPr="0038463D">
              <w:rPr>
                <w:rFonts w:asciiTheme="minorHAnsi" w:hAnsiTheme="minorHAnsi"/>
                <w:sz w:val="20"/>
                <w:szCs w:val="20"/>
                <w:lang w:val="en-AU"/>
              </w:rPr>
              <w:t xml:space="preserve"> </w:t>
            </w:r>
          </w:p>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Annual growth in spending in the poorest districts</w:t>
            </w:r>
          </w:p>
        </w:tc>
        <w:tc>
          <w:tcPr>
            <w:tcW w:w="3088" w:type="dxa"/>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Annual % change in public expenditures for education in lowest quintile districts compared to national % change in public expenditure for education</w:t>
            </w:r>
          </w:p>
        </w:tc>
        <w:tc>
          <w:tcPr>
            <w:tcW w:w="1081"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District</w:t>
            </w:r>
          </w:p>
          <w:p w:rsidR="009B6D6D" w:rsidRPr="0038463D" w:rsidRDefault="009B6D6D" w:rsidP="009B6D6D">
            <w:pPr>
              <w:spacing w:after="0"/>
              <w:jc w:val="center"/>
              <w:rPr>
                <w:rFonts w:asciiTheme="minorHAnsi" w:hAnsiTheme="minorHAnsi"/>
                <w:sz w:val="20"/>
                <w:szCs w:val="20"/>
                <w:lang w:val="en-AU"/>
              </w:rPr>
            </w:pPr>
          </w:p>
        </w:tc>
        <w:tc>
          <w:tcPr>
            <w:tcW w:w="1698"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Equity/access</w:t>
            </w:r>
          </w:p>
        </w:tc>
        <w:tc>
          <w:tcPr>
            <w:tcW w:w="1082" w:type="dxa"/>
            <w:shd w:val="clear" w:color="auto" w:fill="92D050"/>
            <w:vAlign w:val="center"/>
          </w:tcPr>
          <w:p w:rsidR="009B6D6D" w:rsidRPr="0038463D" w:rsidRDefault="00E0387B" w:rsidP="00E0387B">
            <w:pPr>
              <w:spacing w:after="0"/>
              <w:jc w:val="center"/>
              <w:rPr>
                <w:rFonts w:asciiTheme="minorHAnsi" w:hAnsiTheme="minorHAnsi"/>
                <w:sz w:val="20"/>
                <w:szCs w:val="20"/>
                <w:lang w:val="en-AU"/>
              </w:rPr>
            </w:pPr>
            <w:r>
              <w:rPr>
                <w:rFonts w:asciiTheme="minorHAnsi" w:hAnsiTheme="minorHAnsi"/>
                <w:sz w:val="20"/>
                <w:szCs w:val="20"/>
                <w:lang w:val="en-AU"/>
              </w:rPr>
              <w:t xml:space="preserve">Positive </w:t>
            </w:r>
          </w:p>
        </w:tc>
        <w:tc>
          <w:tcPr>
            <w:tcW w:w="4941" w:type="dxa"/>
            <w:tcBorders>
              <w:right w:val="single" w:sz="12" w:space="0" w:color="auto"/>
            </w:tcBorders>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b/>
                <w:sz w:val="20"/>
                <w:szCs w:val="20"/>
                <w:lang w:val="en-AU"/>
              </w:rPr>
              <w:t>Comment:</w:t>
            </w:r>
            <w:r w:rsidR="00E0387B">
              <w:rPr>
                <w:rFonts w:asciiTheme="minorHAnsi" w:hAnsiTheme="minorHAnsi"/>
                <w:b/>
                <w:sz w:val="20"/>
                <w:szCs w:val="20"/>
                <w:lang w:val="en-AU"/>
              </w:rPr>
              <w:t xml:space="preserve"> </w:t>
            </w:r>
            <w:r w:rsidR="00E0387B" w:rsidRPr="00E0387B">
              <w:rPr>
                <w:rFonts w:asciiTheme="minorHAnsi" w:hAnsiTheme="minorHAnsi"/>
                <w:sz w:val="20"/>
                <w:szCs w:val="20"/>
                <w:lang w:val="en-AU"/>
              </w:rPr>
              <w:t>Average growth in education allocations improved for poorest districts and there fewer poorest districts allocating less than 15% of the budget for education.</w:t>
            </w:r>
          </w:p>
          <w:p w:rsidR="009B6D6D" w:rsidRPr="0038463D" w:rsidRDefault="009B6D6D" w:rsidP="009B6D6D">
            <w:pPr>
              <w:spacing w:after="0"/>
              <w:rPr>
                <w:rFonts w:asciiTheme="minorHAnsi" w:hAnsiTheme="minorHAnsi"/>
                <w:sz w:val="20"/>
                <w:szCs w:val="20"/>
                <w:lang w:val="en-AU"/>
              </w:rPr>
            </w:pPr>
            <w:r w:rsidRPr="0038463D">
              <w:rPr>
                <w:rFonts w:asciiTheme="minorHAnsi" w:hAnsiTheme="minorHAnsi"/>
                <w:b/>
                <w:sz w:val="20"/>
                <w:szCs w:val="20"/>
                <w:lang w:val="en-AU"/>
              </w:rPr>
              <w:t xml:space="preserve">Implications: </w:t>
            </w:r>
            <w:r w:rsidR="00E0387B">
              <w:rPr>
                <w:rFonts w:asciiTheme="minorHAnsi" w:hAnsiTheme="minorHAnsi"/>
                <w:sz w:val="20"/>
                <w:szCs w:val="20"/>
                <w:lang w:val="en-AU"/>
              </w:rPr>
              <w:t>Papua accounts for the majority of poorest districts with contracting budget allocations in 2013.</w:t>
            </w:r>
          </w:p>
        </w:tc>
      </w:tr>
      <w:tr w:rsidR="009B6D6D" w:rsidRPr="0038463D" w:rsidTr="009B6D6D">
        <w:trPr>
          <w:jc w:val="center"/>
        </w:trPr>
        <w:tc>
          <w:tcPr>
            <w:tcW w:w="2280" w:type="dxa"/>
            <w:tcBorders>
              <w:left w:val="single" w:sz="12" w:space="0" w:color="auto"/>
            </w:tcBorders>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 xml:space="preserve">KPI </w:t>
            </w:r>
            <w:r w:rsidR="00710F2F">
              <w:rPr>
                <w:rFonts w:asciiTheme="minorHAnsi" w:hAnsiTheme="minorHAnsi"/>
                <w:sz w:val="20"/>
                <w:szCs w:val="20"/>
                <w:lang w:val="en-AU"/>
              </w:rPr>
              <w:t>6</w:t>
            </w:r>
            <w:r w:rsidRPr="0038463D">
              <w:rPr>
                <w:rFonts w:asciiTheme="minorHAnsi" w:hAnsiTheme="minorHAnsi"/>
                <w:sz w:val="20"/>
                <w:szCs w:val="20"/>
                <w:lang w:val="en-AU"/>
              </w:rPr>
              <w:t xml:space="preserve"> </w:t>
            </w:r>
          </w:p>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 xml:space="preserve">Average district expenditure per student </w:t>
            </w:r>
          </w:p>
        </w:tc>
        <w:tc>
          <w:tcPr>
            <w:tcW w:w="3088" w:type="dxa"/>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Public expenditure from APBD divided by total number of school students</w:t>
            </w:r>
          </w:p>
        </w:tc>
        <w:tc>
          <w:tcPr>
            <w:tcW w:w="1081"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District</w:t>
            </w:r>
          </w:p>
        </w:tc>
        <w:tc>
          <w:tcPr>
            <w:tcW w:w="1698"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Government commitment</w:t>
            </w:r>
          </w:p>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Quality</w:t>
            </w:r>
          </w:p>
        </w:tc>
        <w:tc>
          <w:tcPr>
            <w:tcW w:w="1082" w:type="dxa"/>
            <w:shd w:val="clear" w:color="auto" w:fill="92D050"/>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Positive</w:t>
            </w:r>
          </w:p>
        </w:tc>
        <w:tc>
          <w:tcPr>
            <w:tcW w:w="4941" w:type="dxa"/>
            <w:tcBorders>
              <w:right w:val="single" w:sz="12" w:space="0" w:color="auto"/>
            </w:tcBorders>
            <w:vAlign w:val="center"/>
          </w:tcPr>
          <w:p w:rsidR="00BD6D46" w:rsidRDefault="009B6D6D" w:rsidP="00BD6D46">
            <w:pPr>
              <w:spacing w:after="0"/>
              <w:rPr>
                <w:rFonts w:asciiTheme="minorHAnsi" w:hAnsiTheme="minorHAnsi"/>
                <w:sz w:val="20"/>
                <w:szCs w:val="20"/>
                <w:lang w:val="en-AU"/>
              </w:rPr>
            </w:pPr>
            <w:r w:rsidRPr="0038463D">
              <w:rPr>
                <w:rFonts w:asciiTheme="minorHAnsi" w:hAnsiTheme="minorHAnsi"/>
                <w:b/>
                <w:sz w:val="20"/>
                <w:szCs w:val="20"/>
                <w:lang w:val="en-AU"/>
              </w:rPr>
              <w:t>Comment:</w:t>
            </w:r>
            <w:r w:rsidRPr="0038463D">
              <w:rPr>
                <w:rFonts w:asciiTheme="minorHAnsi" w:hAnsiTheme="minorHAnsi"/>
                <w:sz w:val="20"/>
                <w:szCs w:val="20"/>
                <w:lang w:val="en-AU"/>
              </w:rPr>
              <w:t xml:space="preserve"> Average expenditure per student</w:t>
            </w:r>
            <w:r w:rsidR="005C272B">
              <w:rPr>
                <w:rFonts w:asciiTheme="minorHAnsi" w:hAnsiTheme="minorHAnsi"/>
                <w:sz w:val="20"/>
                <w:szCs w:val="20"/>
                <w:lang w:val="en-AU"/>
              </w:rPr>
              <w:t xml:space="preserve"> across the country grew in 2013 at a reasonable rate.</w:t>
            </w:r>
            <w:r w:rsidRPr="0038463D">
              <w:rPr>
                <w:rFonts w:asciiTheme="minorHAnsi" w:hAnsiTheme="minorHAnsi"/>
                <w:sz w:val="20"/>
                <w:szCs w:val="20"/>
                <w:lang w:val="en-AU"/>
              </w:rPr>
              <w:t xml:space="preserve"> </w:t>
            </w:r>
          </w:p>
          <w:p w:rsidR="009B6D6D" w:rsidRPr="0038463D" w:rsidRDefault="009B6D6D" w:rsidP="00BD6D46">
            <w:pPr>
              <w:spacing w:after="0"/>
              <w:rPr>
                <w:rFonts w:asciiTheme="minorHAnsi" w:hAnsiTheme="minorHAnsi"/>
                <w:sz w:val="20"/>
                <w:szCs w:val="20"/>
                <w:lang w:val="en-AU"/>
              </w:rPr>
            </w:pPr>
            <w:r w:rsidRPr="0038463D">
              <w:rPr>
                <w:rFonts w:asciiTheme="minorHAnsi" w:hAnsiTheme="minorHAnsi"/>
                <w:b/>
                <w:sz w:val="20"/>
                <w:szCs w:val="20"/>
                <w:lang w:val="en-AU"/>
              </w:rPr>
              <w:t>Implications</w:t>
            </w:r>
            <w:r w:rsidRPr="0038463D">
              <w:rPr>
                <w:rFonts w:asciiTheme="minorHAnsi" w:hAnsiTheme="minorHAnsi"/>
                <w:sz w:val="20"/>
                <w:szCs w:val="20"/>
                <w:lang w:val="en-AU"/>
              </w:rPr>
              <w:t xml:space="preserve">: </w:t>
            </w:r>
            <w:r w:rsidR="00BD6D46">
              <w:rPr>
                <w:rFonts w:asciiTheme="minorHAnsi" w:hAnsiTheme="minorHAnsi"/>
                <w:sz w:val="20"/>
                <w:szCs w:val="20"/>
                <w:lang w:val="en-AU"/>
              </w:rPr>
              <w:t xml:space="preserve">Papua had average growth in 2013 (unlike 2012) but it still had 13 districts with contracting budgets </w:t>
            </w:r>
            <w:r w:rsidR="00BD6D46">
              <w:rPr>
                <w:rFonts w:asciiTheme="minorHAnsi" w:hAnsiTheme="minorHAnsi"/>
                <w:sz w:val="20"/>
                <w:szCs w:val="20"/>
                <w:lang w:val="en-AU"/>
              </w:rPr>
              <w:lastRenderedPageBreak/>
              <w:t>for education.</w:t>
            </w:r>
          </w:p>
        </w:tc>
      </w:tr>
      <w:tr w:rsidR="009B6D6D" w:rsidRPr="0038463D" w:rsidTr="009B6D6D">
        <w:trPr>
          <w:jc w:val="center"/>
        </w:trPr>
        <w:tc>
          <w:tcPr>
            <w:tcW w:w="2280" w:type="dxa"/>
            <w:tcBorders>
              <w:left w:val="single" w:sz="12" w:space="0" w:color="auto"/>
            </w:tcBorders>
            <w:vAlign w:val="center"/>
          </w:tcPr>
          <w:p w:rsidR="009B6D6D" w:rsidRPr="0038463D" w:rsidRDefault="00710F2F" w:rsidP="009B6D6D">
            <w:pPr>
              <w:spacing w:after="0"/>
              <w:rPr>
                <w:rFonts w:asciiTheme="minorHAnsi" w:hAnsiTheme="minorHAnsi"/>
                <w:sz w:val="20"/>
                <w:szCs w:val="20"/>
                <w:lang w:val="en-AU"/>
              </w:rPr>
            </w:pPr>
            <w:r>
              <w:rPr>
                <w:rFonts w:asciiTheme="minorHAnsi" w:hAnsiTheme="minorHAnsi"/>
                <w:sz w:val="20"/>
                <w:szCs w:val="20"/>
                <w:lang w:val="en-AU"/>
              </w:rPr>
              <w:lastRenderedPageBreak/>
              <w:t>KPI 7</w:t>
            </w:r>
            <w:r w:rsidR="009B6D6D" w:rsidRPr="0038463D">
              <w:rPr>
                <w:rFonts w:asciiTheme="minorHAnsi" w:hAnsiTheme="minorHAnsi"/>
                <w:sz w:val="20"/>
                <w:szCs w:val="20"/>
                <w:lang w:val="en-AU"/>
              </w:rPr>
              <w:t xml:space="preserve"> </w:t>
            </w:r>
          </w:p>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Actual education expenditure as % of planned expenditure</w:t>
            </w:r>
          </w:p>
        </w:tc>
        <w:tc>
          <w:tcPr>
            <w:tcW w:w="3088" w:type="dxa"/>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Realised APBD for education as % of planned APBD for education</w:t>
            </w:r>
          </w:p>
        </w:tc>
        <w:tc>
          <w:tcPr>
            <w:tcW w:w="1081"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District</w:t>
            </w:r>
          </w:p>
        </w:tc>
        <w:tc>
          <w:tcPr>
            <w:tcW w:w="1698"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Government commitment</w:t>
            </w:r>
          </w:p>
        </w:tc>
        <w:tc>
          <w:tcPr>
            <w:tcW w:w="1082" w:type="dxa"/>
            <w:shd w:val="clear" w:color="auto" w:fill="92D050"/>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Positive</w:t>
            </w:r>
          </w:p>
        </w:tc>
        <w:tc>
          <w:tcPr>
            <w:tcW w:w="4941" w:type="dxa"/>
            <w:tcBorders>
              <w:right w:val="single" w:sz="12" w:space="0" w:color="auto"/>
            </w:tcBorders>
            <w:vAlign w:val="center"/>
          </w:tcPr>
          <w:p w:rsidR="009B6D6D" w:rsidRPr="0038463D" w:rsidRDefault="009B6D6D" w:rsidP="009B6D6D">
            <w:pPr>
              <w:tabs>
                <w:tab w:val="right" w:pos="5171"/>
              </w:tabs>
              <w:spacing w:after="0"/>
              <w:rPr>
                <w:rFonts w:asciiTheme="minorHAnsi" w:hAnsiTheme="minorHAnsi"/>
                <w:sz w:val="20"/>
                <w:szCs w:val="20"/>
                <w:lang w:val="en-AU"/>
              </w:rPr>
            </w:pPr>
            <w:r w:rsidRPr="0038463D">
              <w:rPr>
                <w:rFonts w:asciiTheme="minorHAnsi" w:hAnsiTheme="minorHAnsi"/>
                <w:b/>
                <w:sz w:val="20"/>
                <w:szCs w:val="20"/>
                <w:lang w:val="en-AU"/>
              </w:rPr>
              <w:t>Comment:</w:t>
            </w:r>
            <w:r w:rsidRPr="0038463D">
              <w:rPr>
                <w:rFonts w:asciiTheme="minorHAnsi" w:hAnsiTheme="minorHAnsi"/>
                <w:sz w:val="20"/>
                <w:szCs w:val="20"/>
                <w:lang w:val="en-AU"/>
              </w:rPr>
              <w:t xml:space="preserve"> Districts in 2007 (the last year for which verified data are available) managed to spend nearly 100% of their planned budget. This was a significant improvement on 2006 where only 91% of funds were spent nationally.</w:t>
            </w:r>
          </w:p>
          <w:p w:rsidR="009B6D6D" w:rsidRPr="0038463D" w:rsidRDefault="009B6D6D" w:rsidP="009B6D6D">
            <w:pPr>
              <w:tabs>
                <w:tab w:val="right" w:pos="5171"/>
              </w:tabs>
              <w:spacing w:after="0"/>
              <w:rPr>
                <w:rFonts w:asciiTheme="minorHAnsi" w:hAnsiTheme="minorHAnsi"/>
                <w:sz w:val="20"/>
                <w:szCs w:val="20"/>
                <w:lang w:val="en-AU"/>
              </w:rPr>
            </w:pPr>
            <w:r w:rsidRPr="0038463D">
              <w:rPr>
                <w:rFonts w:asciiTheme="minorHAnsi" w:hAnsiTheme="minorHAnsi"/>
                <w:b/>
                <w:sz w:val="20"/>
                <w:szCs w:val="20"/>
                <w:lang w:val="en-AU"/>
              </w:rPr>
              <w:t>Implications</w:t>
            </w:r>
            <w:r w:rsidRPr="0038463D">
              <w:rPr>
                <w:rFonts w:asciiTheme="minorHAnsi" w:hAnsiTheme="minorHAnsi"/>
                <w:sz w:val="20"/>
                <w:szCs w:val="20"/>
                <w:lang w:val="en-AU"/>
              </w:rPr>
              <w:t>: Updated data are required to reach conclusions about possible changes in expenditure patterns</w:t>
            </w:r>
          </w:p>
        </w:tc>
      </w:tr>
      <w:tr w:rsidR="009B6D6D" w:rsidRPr="0038463D" w:rsidTr="007E0FB8">
        <w:trPr>
          <w:jc w:val="center"/>
        </w:trPr>
        <w:tc>
          <w:tcPr>
            <w:tcW w:w="2280" w:type="dxa"/>
            <w:tcBorders>
              <w:left w:val="single" w:sz="12" w:space="0" w:color="auto"/>
            </w:tcBorders>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 xml:space="preserve">SPI 1 </w:t>
            </w:r>
          </w:p>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Discretionary school funds as % of total district</w:t>
            </w:r>
            <w:r>
              <w:rPr>
                <w:rFonts w:asciiTheme="minorHAnsi" w:hAnsiTheme="minorHAnsi"/>
                <w:sz w:val="20"/>
                <w:szCs w:val="20"/>
                <w:lang w:val="en-AU"/>
              </w:rPr>
              <w:t xml:space="preserve"> </w:t>
            </w:r>
            <w:r w:rsidRPr="0038463D">
              <w:rPr>
                <w:rFonts w:asciiTheme="minorHAnsi" w:hAnsiTheme="minorHAnsi"/>
                <w:sz w:val="20"/>
                <w:szCs w:val="20"/>
                <w:lang w:val="en-AU"/>
              </w:rPr>
              <w:t>school expenditure</w:t>
            </w:r>
          </w:p>
        </w:tc>
        <w:tc>
          <w:tcPr>
            <w:tcW w:w="3088" w:type="dxa"/>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Estimated BOS expenditure as % of total school expenditure</w:t>
            </w:r>
          </w:p>
        </w:tc>
        <w:tc>
          <w:tcPr>
            <w:tcW w:w="1081"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District</w:t>
            </w:r>
          </w:p>
        </w:tc>
        <w:tc>
          <w:tcPr>
            <w:tcW w:w="1698"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Quality</w:t>
            </w:r>
          </w:p>
        </w:tc>
        <w:tc>
          <w:tcPr>
            <w:tcW w:w="1082" w:type="dxa"/>
            <w:shd w:val="clear" w:color="auto" w:fill="FFC000"/>
            <w:vAlign w:val="center"/>
          </w:tcPr>
          <w:p w:rsidR="009B6D6D" w:rsidRPr="0038463D" w:rsidRDefault="00BD6D46" w:rsidP="009B6D6D">
            <w:pPr>
              <w:spacing w:after="0"/>
              <w:jc w:val="center"/>
              <w:rPr>
                <w:rFonts w:asciiTheme="minorHAnsi" w:hAnsiTheme="minorHAnsi"/>
                <w:sz w:val="20"/>
                <w:szCs w:val="20"/>
                <w:lang w:val="en-AU"/>
              </w:rPr>
            </w:pPr>
            <w:r>
              <w:rPr>
                <w:rFonts w:asciiTheme="minorHAnsi" w:hAnsiTheme="minorHAnsi"/>
                <w:sz w:val="20"/>
                <w:szCs w:val="20"/>
                <w:lang w:val="en-AU"/>
              </w:rPr>
              <w:t>Neutral</w:t>
            </w:r>
          </w:p>
        </w:tc>
        <w:tc>
          <w:tcPr>
            <w:tcW w:w="4941" w:type="dxa"/>
            <w:tcBorders>
              <w:right w:val="single" w:sz="12" w:space="0" w:color="auto"/>
            </w:tcBorders>
            <w:vAlign w:val="center"/>
          </w:tcPr>
          <w:p w:rsidR="009B6D6D" w:rsidRPr="0038463D" w:rsidRDefault="009B6D6D" w:rsidP="009B6D6D">
            <w:pPr>
              <w:tabs>
                <w:tab w:val="right" w:pos="5171"/>
              </w:tabs>
              <w:spacing w:after="0"/>
              <w:rPr>
                <w:rFonts w:asciiTheme="minorHAnsi" w:hAnsiTheme="minorHAnsi"/>
                <w:sz w:val="20"/>
                <w:szCs w:val="20"/>
                <w:lang w:val="en-AU"/>
              </w:rPr>
            </w:pPr>
            <w:r w:rsidRPr="0038463D">
              <w:rPr>
                <w:rFonts w:asciiTheme="minorHAnsi" w:hAnsiTheme="minorHAnsi"/>
                <w:b/>
                <w:sz w:val="20"/>
                <w:szCs w:val="20"/>
                <w:lang w:val="en-AU"/>
              </w:rPr>
              <w:t>Comment:</w:t>
            </w:r>
            <w:r w:rsidR="00BD6D46">
              <w:rPr>
                <w:rFonts w:asciiTheme="minorHAnsi" w:hAnsiTheme="minorHAnsi"/>
                <w:sz w:val="20"/>
                <w:szCs w:val="20"/>
                <w:lang w:val="en-AU"/>
              </w:rPr>
              <w:t xml:space="preserve"> In 2013</w:t>
            </w:r>
            <w:r w:rsidRPr="0038463D">
              <w:rPr>
                <w:rFonts w:asciiTheme="minorHAnsi" w:hAnsiTheme="minorHAnsi"/>
                <w:sz w:val="20"/>
                <w:szCs w:val="20"/>
                <w:lang w:val="en-AU"/>
              </w:rPr>
              <w:t xml:space="preserve">, </w:t>
            </w:r>
            <w:r w:rsidR="00BD6D46">
              <w:rPr>
                <w:rFonts w:asciiTheme="minorHAnsi" w:hAnsiTheme="minorHAnsi"/>
                <w:sz w:val="20"/>
                <w:szCs w:val="20"/>
                <w:lang w:val="en-AU"/>
              </w:rPr>
              <w:t>were not further indexed for inflation but are still substantial following the previous year increase in per student allocations.</w:t>
            </w:r>
            <w:r w:rsidRPr="0038463D">
              <w:rPr>
                <w:rFonts w:asciiTheme="minorHAnsi" w:hAnsiTheme="minorHAnsi"/>
                <w:sz w:val="20"/>
                <w:szCs w:val="20"/>
                <w:lang w:val="en-AU"/>
              </w:rPr>
              <w:t xml:space="preserve"> </w:t>
            </w:r>
          </w:p>
          <w:p w:rsidR="009B6D6D" w:rsidRPr="0038463D" w:rsidRDefault="009B6D6D" w:rsidP="00BD6D46">
            <w:pPr>
              <w:tabs>
                <w:tab w:val="right" w:pos="5171"/>
              </w:tabs>
              <w:spacing w:after="0"/>
              <w:rPr>
                <w:rFonts w:asciiTheme="minorHAnsi" w:hAnsiTheme="minorHAnsi"/>
                <w:sz w:val="20"/>
                <w:szCs w:val="20"/>
                <w:lang w:val="en-AU"/>
              </w:rPr>
            </w:pPr>
            <w:r w:rsidRPr="0038463D">
              <w:rPr>
                <w:rFonts w:asciiTheme="minorHAnsi" w:hAnsiTheme="minorHAnsi"/>
                <w:b/>
                <w:sz w:val="20"/>
                <w:szCs w:val="20"/>
                <w:lang w:val="en-AU"/>
              </w:rPr>
              <w:t xml:space="preserve">Implications: </w:t>
            </w:r>
            <w:r w:rsidRPr="0038463D">
              <w:rPr>
                <w:rFonts w:asciiTheme="minorHAnsi" w:hAnsiTheme="minorHAnsi"/>
                <w:sz w:val="20"/>
                <w:szCs w:val="20"/>
                <w:lang w:val="en-AU"/>
              </w:rPr>
              <w:t xml:space="preserve">Principals and school committees have </w:t>
            </w:r>
            <w:r w:rsidR="00BD6D46">
              <w:rPr>
                <w:rFonts w:asciiTheme="minorHAnsi" w:hAnsiTheme="minorHAnsi"/>
                <w:sz w:val="20"/>
                <w:szCs w:val="20"/>
                <w:lang w:val="en-AU"/>
              </w:rPr>
              <w:t xml:space="preserve">substantial </w:t>
            </w:r>
            <w:r w:rsidRPr="0038463D">
              <w:rPr>
                <w:rFonts w:asciiTheme="minorHAnsi" w:hAnsiTheme="minorHAnsi"/>
                <w:sz w:val="20"/>
                <w:szCs w:val="20"/>
                <w:lang w:val="en-AU"/>
              </w:rPr>
              <w:t>funds for discretionary spending at school level</w:t>
            </w:r>
            <w:r w:rsidRPr="0038463D">
              <w:rPr>
                <w:rFonts w:asciiTheme="minorHAnsi" w:hAnsiTheme="minorHAnsi"/>
                <w:b/>
                <w:sz w:val="20"/>
                <w:szCs w:val="20"/>
                <w:lang w:val="en-AU"/>
              </w:rPr>
              <w:t xml:space="preserve"> </w:t>
            </w:r>
          </w:p>
        </w:tc>
      </w:tr>
      <w:tr w:rsidR="007E0FB8" w:rsidRPr="0038463D" w:rsidTr="007E0FB8">
        <w:trPr>
          <w:jc w:val="center"/>
        </w:trPr>
        <w:tc>
          <w:tcPr>
            <w:tcW w:w="2280" w:type="dxa"/>
            <w:tcBorders>
              <w:left w:val="single" w:sz="12" w:space="0" w:color="auto"/>
            </w:tcBorders>
            <w:vAlign w:val="center"/>
          </w:tcPr>
          <w:p w:rsidR="007E0FB8" w:rsidRDefault="007E0FB8" w:rsidP="009B6D6D">
            <w:pPr>
              <w:spacing w:after="0"/>
              <w:rPr>
                <w:rFonts w:asciiTheme="minorHAnsi" w:hAnsiTheme="minorHAnsi"/>
                <w:sz w:val="20"/>
                <w:szCs w:val="20"/>
                <w:lang w:val="en-AU"/>
              </w:rPr>
            </w:pPr>
            <w:r>
              <w:rPr>
                <w:rFonts w:asciiTheme="minorHAnsi" w:hAnsiTheme="minorHAnsi"/>
                <w:sz w:val="20"/>
                <w:szCs w:val="20"/>
                <w:lang w:val="en-AU"/>
              </w:rPr>
              <w:t xml:space="preserve">SPI 2 </w:t>
            </w:r>
          </w:p>
          <w:p w:rsidR="007E0FB8" w:rsidRPr="0038463D" w:rsidRDefault="007E0FB8" w:rsidP="009B6D6D">
            <w:pPr>
              <w:spacing w:after="0"/>
              <w:rPr>
                <w:rFonts w:asciiTheme="minorHAnsi" w:hAnsiTheme="minorHAnsi"/>
                <w:sz w:val="20"/>
                <w:szCs w:val="20"/>
                <w:lang w:val="en-AU"/>
              </w:rPr>
            </w:pPr>
            <w:r>
              <w:rPr>
                <w:rFonts w:asciiTheme="minorHAnsi" w:hAnsiTheme="minorHAnsi"/>
                <w:sz w:val="20"/>
                <w:szCs w:val="20"/>
                <w:lang w:val="en-AU"/>
              </w:rPr>
              <w:t>Comparing education and health allocations at district level</w:t>
            </w:r>
          </w:p>
        </w:tc>
        <w:tc>
          <w:tcPr>
            <w:tcW w:w="3088" w:type="dxa"/>
            <w:vAlign w:val="center"/>
          </w:tcPr>
          <w:p w:rsidR="007E0FB8" w:rsidRPr="0038463D" w:rsidRDefault="001B289C" w:rsidP="001B289C">
            <w:pPr>
              <w:spacing w:after="0"/>
              <w:rPr>
                <w:rFonts w:asciiTheme="minorHAnsi" w:hAnsiTheme="minorHAnsi"/>
                <w:sz w:val="20"/>
                <w:szCs w:val="20"/>
                <w:lang w:val="en-AU"/>
              </w:rPr>
            </w:pPr>
            <w:r>
              <w:rPr>
                <w:rFonts w:asciiTheme="minorHAnsi" w:hAnsiTheme="minorHAnsi"/>
                <w:sz w:val="20"/>
                <w:szCs w:val="20"/>
                <w:lang w:val="en-AU"/>
              </w:rPr>
              <w:t>Analysing education and health allocations in low and high allocation districts for any correlations</w:t>
            </w:r>
            <w:r w:rsidR="007E0FB8">
              <w:rPr>
                <w:rFonts w:asciiTheme="minorHAnsi" w:hAnsiTheme="minorHAnsi"/>
                <w:sz w:val="20"/>
                <w:szCs w:val="20"/>
                <w:lang w:val="en-AU"/>
              </w:rPr>
              <w:t xml:space="preserve"> </w:t>
            </w:r>
          </w:p>
        </w:tc>
        <w:tc>
          <w:tcPr>
            <w:tcW w:w="1081" w:type="dxa"/>
            <w:vAlign w:val="center"/>
          </w:tcPr>
          <w:p w:rsidR="007E0FB8" w:rsidRPr="0038463D" w:rsidRDefault="007E0FB8" w:rsidP="009B6D6D">
            <w:pPr>
              <w:spacing w:after="0"/>
              <w:jc w:val="center"/>
              <w:rPr>
                <w:rFonts w:asciiTheme="minorHAnsi" w:hAnsiTheme="minorHAnsi"/>
                <w:sz w:val="20"/>
                <w:szCs w:val="20"/>
                <w:lang w:val="en-AU"/>
              </w:rPr>
            </w:pPr>
            <w:r>
              <w:rPr>
                <w:rFonts w:asciiTheme="minorHAnsi" w:hAnsiTheme="minorHAnsi"/>
                <w:sz w:val="20"/>
                <w:szCs w:val="20"/>
                <w:lang w:val="en-AU"/>
              </w:rPr>
              <w:t>District</w:t>
            </w:r>
          </w:p>
        </w:tc>
        <w:tc>
          <w:tcPr>
            <w:tcW w:w="1698" w:type="dxa"/>
            <w:vAlign w:val="center"/>
          </w:tcPr>
          <w:p w:rsidR="007E0FB8" w:rsidRPr="0038463D" w:rsidRDefault="007E0FB8" w:rsidP="009B6D6D">
            <w:pPr>
              <w:spacing w:after="0"/>
              <w:jc w:val="center"/>
              <w:rPr>
                <w:rFonts w:asciiTheme="minorHAnsi" w:hAnsiTheme="minorHAnsi"/>
                <w:sz w:val="20"/>
                <w:szCs w:val="20"/>
                <w:lang w:val="en-AU"/>
              </w:rPr>
            </w:pPr>
            <w:r>
              <w:rPr>
                <w:rFonts w:asciiTheme="minorHAnsi" w:hAnsiTheme="minorHAnsi"/>
                <w:sz w:val="20"/>
                <w:szCs w:val="20"/>
                <w:lang w:val="en-AU"/>
              </w:rPr>
              <w:t>Quality</w:t>
            </w:r>
          </w:p>
        </w:tc>
        <w:tc>
          <w:tcPr>
            <w:tcW w:w="1082" w:type="dxa"/>
            <w:shd w:val="clear" w:color="auto" w:fill="92D050"/>
            <w:vAlign w:val="center"/>
          </w:tcPr>
          <w:p w:rsidR="007E0FB8" w:rsidRDefault="007E0FB8" w:rsidP="009B6D6D">
            <w:pPr>
              <w:spacing w:after="0"/>
              <w:jc w:val="center"/>
              <w:rPr>
                <w:rFonts w:asciiTheme="minorHAnsi" w:hAnsiTheme="minorHAnsi"/>
                <w:sz w:val="20"/>
                <w:szCs w:val="20"/>
                <w:lang w:val="en-AU"/>
              </w:rPr>
            </w:pPr>
            <w:r>
              <w:rPr>
                <w:rFonts w:asciiTheme="minorHAnsi" w:hAnsiTheme="minorHAnsi"/>
                <w:sz w:val="20"/>
                <w:szCs w:val="20"/>
                <w:lang w:val="en-AU"/>
              </w:rPr>
              <w:t>Positive</w:t>
            </w:r>
          </w:p>
        </w:tc>
        <w:tc>
          <w:tcPr>
            <w:tcW w:w="4941" w:type="dxa"/>
            <w:tcBorders>
              <w:right w:val="single" w:sz="12" w:space="0" w:color="auto"/>
            </w:tcBorders>
            <w:vAlign w:val="center"/>
          </w:tcPr>
          <w:p w:rsidR="007E0FB8" w:rsidRPr="0038463D" w:rsidRDefault="007E0FB8" w:rsidP="007E0FB8">
            <w:pPr>
              <w:tabs>
                <w:tab w:val="right" w:pos="5171"/>
              </w:tabs>
              <w:spacing w:after="0"/>
              <w:rPr>
                <w:rFonts w:asciiTheme="minorHAnsi" w:hAnsiTheme="minorHAnsi"/>
                <w:sz w:val="20"/>
                <w:szCs w:val="20"/>
                <w:lang w:val="en-AU"/>
              </w:rPr>
            </w:pPr>
            <w:r w:rsidRPr="0038463D">
              <w:rPr>
                <w:rFonts w:asciiTheme="minorHAnsi" w:hAnsiTheme="minorHAnsi"/>
                <w:b/>
                <w:sz w:val="20"/>
                <w:szCs w:val="20"/>
                <w:lang w:val="en-AU"/>
              </w:rPr>
              <w:t>Comment:</w:t>
            </w:r>
            <w:r>
              <w:rPr>
                <w:rFonts w:asciiTheme="minorHAnsi" w:hAnsiTheme="minorHAnsi"/>
                <w:sz w:val="20"/>
                <w:szCs w:val="20"/>
                <w:lang w:val="en-AU"/>
              </w:rPr>
              <w:t xml:space="preserve"> No evidence that education and health expenditures are crowding each other. Evidence shows where education spending contracts it also contracts for health.</w:t>
            </w:r>
            <w:r w:rsidRPr="0038463D">
              <w:rPr>
                <w:rFonts w:asciiTheme="minorHAnsi" w:hAnsiTheme="minorHAnsi"/>
                <w:sz w:val="20"/>
                <w:szCs w:val="20"/>
                <w:lang w:val="en-AU"/>
              </w:rPr>
              <w:t xml:space="preserve"> </w:t>
            </w:r>
          </w:p>
          <w:p w:rsidR="007E0FB8" w:rsidRPr="0038463D" w:rsidRDefault="007E0FB8" w:rsidP="007E0FB8">
            <w:pPr>
              <w:tabs>
                <w:tab w:val="right" w:pos="5171"/>
              </w:tabs>
              <w:spacing w:after="0"/>
              <w:rPr>
                <w:rFonts w:asciiTheme="minorHAnsi" w:hAnsiTheme="minorHAnsi"/>
                <w:b/>
                <w:sz w:val="20"/>
                <w:szCs w:val="20"/>
                <w:lang w:val="en-AU"/>
              </w:rPr>
            </w:pPr>
            <w:r w:rsidRPr="0038463D">
              <w:rPr>
                <w:rFonts w:asciiTheme="minorHAnsi" w:hAnsiTheme="minorHAnsi"/>
                <w:b/>
                <w:sz w:val="20"/>
                <w:szCs w:val="20"/>
                <w:lang w:val="en-AU"/>
              </w:rPr>
              <w:t xml:space="preserve">Implications: </w:t>
            </w:r>
            <w:r w:rsidRPr="007E0FB8">
              <w:rPr>
                <w:rFonts w:asciiTheme="minorHAnsi" w:hAnsiTheme="minorHAnsi"/>
                <w:sz w:val="20"/>
                <w:szCs w:val="20"/>
                <w:lang w:val="en-AU"/>
              </w:rPr>
              <w:t>Education and health sectors may benefit from cooperation.</w:t>
            </w:r>
          </w:p>
        </w:tc>
      </w:tr>
      <w:tr w:rsidR="007E0FB8" w:rsidRPr="001B289C" w:rsidTr="001B289C">
        <w:trPr>
          <w:jc w:val="center"/>
        </w:trPr>
        <w:tc>
          <w:tcPr>
            <w:tcW w:w="2280" w:type="dxa"/>
            <w:tcBorders>
              <w:left w:val="single" w:sz="12" w:space="0" w:color="auto"/>
              <w:bottom w:val="single" w:sz="12" w:space="0" w:color="auto"/>
            </w:tcBorders>
            <w:vAlign w:val="center"/>
          </w:tcPr>
          <w:p w:rsidR="007E0FB8" w:rsidRDefault="007E0FB8" w:rsidP="009B6D6D">
            <w:pPr>
              <w:spacing w:after="0"/>
              <w:rPr>
                <w:rFonts w:asciiTheme="minorHAnsi" w:hAnsiTheme="minorHAnsi"/>
                <w:sz w:val="20"/>
                <w:szCs w:val="20"/>
                <w:lang w:val="en-AU"/>
              </w:rPr>
            </w:pPr>
            <w:r>
              <w:rPr>
                <w:rFonts w:asciiTheme="minorHAnsi" w:hAnsiTheme="minorHAnsi"/>
                <w:sz w:val="20"/>
                <w:szCs w:val="20"/>
                <w:lang w:val="en-AU"/>
              </w:rPr>
              <w:t>SPI 3</w:t>
            </w:r>
          </w:p>
          <w:p w:rsidR="007E0FB8" w:rsidRDefault="007E0FB8" w:rsidP="009B6D6D">
            <w:pPr>
              <w:spacing w:after="0"/>
              <w:rPr>
                <w:rFonts w:asciiTheme="minorHAnsi" w:hAnsiTheme="minorHAnsi"/>
                <w:sz w:val="20"/>
                <w:szCs w:val="20"/>
                <w:lang w:val="en-AU"/>
              </w:rPr>
            </w:pPr>
            <w:r>
              <w:rPr>
                <w:rFonts w:asciiTheme="minorHAnsi" w:hAnsiTheme="minorHAnsi"/>
                <w:sz w:val="20"/>
                <w:szCs w:val="20"/>
                <w:lang w:val="en-AU"/>
              </w:rPr>
              <w:t>Allocation patterns and statistical i</w:t>
            </w:r>
            <w:r w:rsidR="001B289C">
              <w:rPr>
                <w:rFonts w:asciiTheme="minorHAnsi" w:hAnsiTheme="minorHAnsi"/>
                <w:sz w:val="20"/>
                <w:szCs w:val="20"/>
                <w:lang w:val="en-AU"/>
              </w:rPr>
              <w:t>mpact of newly established dist</w:t>
            </w:r>
            <w:r>
              <w:rPr>
                <w:rFonts w:asciiTheme="minorHAnsi" w:hAnsiTheme="minorHAnsi"/>
                <w:sz w:val="20"/>
                <w:szCs w:val="20"/>
                <w:lang w:val="en-AU"/>
              </w:rPr>
              <w:t>ricts</w:t>
            </w:r>
          </w:p>
        </w:tc>
        <w:tc>
          <w:tcPr>
            <w:tcW w:w="3088" w:type="dxa"/>
            <w:tcBorders>
              <w:bottom w:val="single" w:sz="12" w:space="0" w:color="auto"/>
            </w:tcBorders>
            <w:vAlign w:val="center"/>
          </w:tcPr>
          <w:p w:rsidR="007E0FB8" w:rsidRDefault="001B289C" w:rsidP="007E0FB8">
            <w:pPr>
              <w:spacing w:after="0"/>
              <w:rPr>
                <w:rFonts w:asciiTheme="minorHAnsi" w:hAnsiTheme="minorHAnsi"/>
                <w:sz w:val="20"/>
                <w:szCs w:val="20"/>
                <w:lang w:val="en-AU"/>
              </w:rPr>
            </w:pPr>
            <w:r>
              <w:rPr>
                <w:rFonts w:asciiTheme="minorHAnsi" w:hAnsiTheme="minorHAnsi"/>
                <w:sz w:val="20"/>
                <w:szCs w:val="20"/>
                <w:lang w:val="en-AU"/>
              </w:rPr>
              <w:t xml:space="preserve">Budget comparisons between old, newer and newest districts </w:t>
            </w:r>
          </w:p>
        </w:tc>
        <w:tc>
          <w:tcPr>
            <w:tcW w:w="1081" w:type="dxa"/>
            <w:tcBorders>
              <w:bottom w:val="single" w:sz="12" w:space="0" w:color="auto"/>
            </w:tcBorders>
            <w:vAlign w:val="center"/>
          </w:tcPr>
          <w:p w:rsidR="007E0FB8" w:rsidRDefault="007E0FB8" w:rsidP="009B6D6D">
            <w:pPr>
              <w:spacing w:after="0"/>
              <w:jc w:val="center"/>
              <w:rPr>
                <w:rFonts w:asciiTheme="minorHAnsi" w:hAnsiTheme="minorHAnsi"/>
                <w:sz w:val="20"/>
                <w:szCs w:val="20"/>
                <w:lang w:val="en-AU"/>
              </w:rPr>
            </w:pPr>
          </w:p>
        </w:tc>
        <w:tc>
          <w:tcPr>
            <w:tcW w:w="1698" w:type="dxa"/>
            <w:tcBorders>
              <w:bottom w:val="single" w:sz="12" w:space="0" w:color="auto"/>
            </w:tcBorders>
            <w:vAlign w:val="center"/>
          </w:tcPr>
          <w:p w:rsidR="007E0FB8" w:rsidRDefault="007E0FB8" w:rsidP="009B6D6D">
            <w:pPr>
              <w:spacing w:after="0"/>
              <w:jc w:val="center"/>
              <w:rPr>
                <w:rFonts w:asciiTheme="minorHAnsi" w:hAnsiTheme="minorHAnsi"/>
                <w:sz w:val="20"/>
                <w:szCs w:val="20"/>
                <w:lang w:val="en-AU"/>
              </w:rPr>
            </w:pPr>
          </w:p>
        </w:tc>
        <w:tc>
          <w:tcPr>
            <w:tcW w:w="1082" w:type="dxa"/>
            <w:tcBorders>
              <w:bottom w:val="single" w:sz="12" w:space="0" w:color="auto"/>
            </w:tcBorders>
            <w:shd w:val="clear" w:color="auto" w:fill="FFC000"/>
            <w:vAlign w:val="center"/>
          </w:tcPr>
          <w:p w:rsidR="007E0FB8" w:rsidRDefault="001B289C" w:rsidP="009B6D6D">
            <w:pPr>
              <w:spacing w:after="0"/>
              <w:jc w:val="center"/>
              <w:rPr>
                <w:rFonts w:asciiTheme="minorHAnsi" w:hAnsiTheme="minorHAnsi"/>
                <w:sz w:val="20"/>
                <w:szCs w:val="20"/>
                <w:lang w:val="en-AU"/>
              </w:rPr>
            </w:pPr>
            <w:r>
              <w:rPr>
                <w:rFonts w:asciiTheme="minorHAnsi" w:hAnsiTheme="minorHAnsi"/>
                <w:sz w:val="20"/>
                <w:szCs w:val="20"/>
                <w:lang w:val="en-AU"/>
              </w:rPr>
              <w:t>Neutral</w:t>
            </w:r>
          </w:p>
        </w:tc>
        <w:tc>
          <w:tcPr>
            <w:tcW w:w="4941" w:type="dxa"/>
            <w:tcBorders>
              <w:bottom w:val="single" w:sz="12" w:space="0" w:color="auto"/>
              <w:right w:val="single" w:sz="12" w:space="0" w:color="auto"/>
            </w:tcBorders>
            <w:vAlign w:val="center"/>
          </w:tcPr>
          <w:p w:rsidR="001B289C" w:rsidRPr="0038463D" w:rsidRDefault="001B289C" w:rsidP="001B289C">
            <w:pPr>
              <w:tabs>
                <w:tab w:val="right" w:pos="5171"/>
              </w:tabs>
              <w:spacing w:after="0"/>
              <w:rPr>
                <w:rFonts w:asciiTheme="minorHAnsi" w:hAnsiTheme="minorHAnsi"/>
                <w:sz w:val="20"/>
                <w:szCs w:val="20"/>
                <w:lang w:val="en-AU"/>
              </w:rPr>
            </w:pPr>
            <w:r w:rsidRPr="0038463D">
              <w:rPr>
                <w:rFonts w:asciiTheme="minorHAnsi" w:hAnsiTheme="minorHAnsi"/>
                <w:b/>
                <w:sz w:val="20"/>
                <w:szCs w:val="20"/>
                <w:lang w:val="en-AU"/>
              </w:rPr>
              <w:t>Comment:</w:t>
            </w:r>
            <w:r>
              <w:rPr>
                <w:rFonts w:asciiTheme="minorHAnsi" w:hAnsiTheme="minorHAnsi"/>
                <w:sz w:val="20"/>
                <w:szCs w:val="20"/>
                <w:lang w:val="en-AU"/>
              </w:rPr>
              <w:t xml:space="preserve"> Older districts are more likely to have larger populations and larger education budgets. Newer districts are more likely to be in a rural area and remote and have higher average per student allocations. </w:t>
            </w:r>
          </w:p>
          <w:p w:rsidR="007E0FB8" w:rsidRPr="0038463D" w:rsidRDefault="001B289C" w:rsidP="001B289C">
            <w:pPr>
              <w:tabs>
                <w:tab w:val="right" w:pos="5171"/>
              </w:tabs>
              <w:spacing w:after="0"/>
              <w:rPr>
                <w:rFonts w:asciiTheme="minorHAnsi" w:hAnsiTheme="minorHAnsi"/>
                <w:b/>
                <w:sz w:val="20"/>
                <w:szCs w:val="20"/>
                <w:lang w:val="en-AU"/>
              </w:rPr>
            </w:pPr>
            <w:r w:rsidRPr="0038463D">
              <w:rPr>
                <w:rFonts w:asciiTheme="minorHAnsi" w:hAnsiTheme="minorHAnsi"/>
                <w:b/>
                <w:sz w:val="20"/>
                <w:szCs w:val="20"/>
                <w:lang w:val="en-AU"/>
              </w:rPr>
              <w:t xml:space="preserve">Implications: </w:t>
            </w:r>
            <w:r w:rsidRPr="001B289C">
              <w:rPr>
                <w:rFonts w:asciiTheme="minorHAnsi" w:hAnsiTheme="minorHAnsi"/>
                <w:sz w:val="20"/>
                <w:szCs w:val="20"/>
                <w:lang w:val="en-AU"/>
              </w:rPr>
              <w:t>Newest districts can have very high initial per student costs</w:t>
            </w:r>
            <w:r>
              <w:rPr>
                <w:rFonts w:asciiTheme="minorHAnsi" w:hAnsiTheme="minorHAnsi"/>
                <w:sz w:val="20"/>
                <w:szCs w:val="20"/>
                <w:lang w:val="en-AU"/>
              </w:rPr>
              <w:t xml:space="preserve">. Newest group of districts is small and has not had any significant distorting impact on this analysis. </w:t>
            </w:r>
          </w:p>
        </w:tc>
      </w:tr>
    </w:tbl>
    <w:p w:rsidR="00461F4F" w:rsidRDefault="00461F4F" w:rsidP="009D32EE">
      <w:pPr>
        <w:pStyle w:val="Heading2"/>
        <w:spacing w:before="120"/>
        <w:ind w:left="357" w:hanging="357"/>
        <w:sectPr w:rsidR="00461F4F" w:rsidSect="004971BD">
          <w:headerReference w:type="default" r:id="rId104"/>
          <w:footerReference w:type="default" r:id="rId105"/>
          <w:footnotePr>
            <w:numRestart w:val="eachSect"/>
          </w:footnotePr>
          <w:pgSz w:w="16834" w:h="11909" w:orient="landscape" w:code="9"/>
          <w:pgMar w:top="1440" w:right="1440" w:bottom="1440" w:left="1440" w:header="431" w:footer="425" w:gutter="0"/>
          <w:cols w:space="720"/>
          <w:noEndnote/>
          <w:docGrid w:linePitch="360"/>
        </w:sectPr>
      </w:pPr>
    </w:p>
    <w:p w:rsidR="00461F4F" w:rsidRPr="00790BC1" w:rsidRDefault="00461F4F" w:rsidP="00790BC1">
      <w:pPr>
        <w:pStyle w:val="Heading2"/>
        <w:spacing w:before="120" w:after="240"/>
        <w:ind w:left="567" w:hanging="567"/>
        <w:rPr>
          <w:rFonts w:asciiTheme="minorHAnsi" w:hAnsiTheme="minorHAnsi"/>
          <w:b/>
          <w:sz w:val="32"/>
          <w:szCs w:val="22"/>
        </w:rPr>
      </w:pPr>
      <w:r w:rsidRPr="00790BC1">
        <w:rPr>
          <w:rFonts w:asciiTheme="minorHAnsi" w:hAnsiTheme="minorHAnsi"/>
          <w:b/>
          <w:sz w:val="32"/>
          <w:szCs w:val="22"/>
        </w:rPr>
        <w:lastRenderedPageBreak/>
        <w:t>What do the trends in sector financing mean for the Education Partnership?</w:t>
      </w:r>
    </w:p>
    <w:p w:rsidR="00245A84" w:rsidRPr="000F0754" w:rsidRDefault="00245A84" w:rsidP="00DB55DD">
      <w:pPr>
        <w:pStyle w:val="Heading3"/>
      </w:pPr>
      <w:bookmarkStart w:id="133" w:name="_Toc372401524"/>
      <w:bookmarkEnd w:id="131"/>
      <w:r w:rsidRPr="000F0754">
        <w:t xml:space="preserve">Possible </w:t>
      </w:r>
      <w:r w:rsidR="00790BC1" w:rsidRPr="000F0754">
        <w:t xml:space="preserve">Impacts on the Sustainability of Benefits </w:t>
      </w:r>
      <w:r w:rsidR="00790BC1" w:rsidRPr="00245A84">
        <w:t>Stemming</w:t>
      </w:r>
      <w:r w:rsidR="00790BC1" w:rsidRPr="000F0754">
        <w:t xml:space="preserve"> from </w:t>
      </w:r>
      <w:r w:rsidRPr="000F0754">
        <w:t xml:space="preserve">EP </w:t>
      </w:r>
      <w:r w:rsidR="00790BC1" w:rsidRPr="000F0754">
        <w:t>Investments</w:t>
      </w:r>
      <w:bookmarkEnd w:id="133"/>
    </w:p>
    <w:p w:rsidR="001A093B" w:rsidRDefault="001A093B" w:rsidP="00790BC1">
      <w:pPr>
        <w:pStyle w:val="ListParagraph"/>
        <w:numPr>
          <w:ilvl w:val="0"/>
          <w:numId w:val="42"/>
        </w:numPr>
        <w:spacing w:after="120"/>
        <w:ind w:left="357" w:hanging="357"/>
        <w:contextualSpacing w:val="0"/>
        <w:jc w:val="both"/>
      </w:pPr>
      <w:bookmarkStart w:id="134" w:name="_Toc372401525"/>
      <w:r>
        <w:t xml:space="preserve">At a macro level, there is solid evidence to suggest that the GoI will continue to invest heavily in education. This should flow through in its support for district budgets. National funding for the education sector is expected to remain strong. </w:t>
      </w:r>
      <w:r w:rsidRPr="004D04C5">
        <w:t>Adherence to a proportional budget allocation for education enhance</w:t>
      </w:r>
      <w:r>
        <w:t>s</w:t>
      </w:r>
      <w:r w:rsidRPr="004D04C5">
        <w:t xml:space="preserve"> the ability of the education sector to anticipate future allocations and plan accordingly by creating a more stable financing framework. The proportional allocation approach toward education financing enhance</w:t>
      </w:r>
      <w:r>
        <w:t>s</w:t>
      </w:r>
      <w:r w:rsidRPr="004D04C5">
        <w:t xml:space="preserve"> predictability and steady growth of the education budget</w:t>
      </w:r>
      <w:r>
        <w:t xml:space="preserve"> in a growing economy</w:t>
      </w:r>
      <w:r w:rsidRPr="004D04C5">
        <w:t xml:space="preserve">. </w:t>
      </w:r>
    </w:p>
    <w:p w:rsidR="001A093B" w:rsidRDefault="00C260A5" w:rsidP="00790BC1">
      <w:pPr>
        <w:pStyle w:val="ListParagraph"/>
        <w:numPr>
          <w:ilvl w:val="0"/>
          <w:numId w:val="42"/>
        </w:numPr>
        <w:spacing w:after="120"/>
        <w:ind w:left="357" w:hanging="357"/>
        <w:contextualSpacing w:val="0"/>
        <w:jc w:val="both"/>
        <w:rPr>
          <w:noProof/>
        </w:rPr>
      </w:pPr>
      <w:r>
        <w:rPr>
          <w:noProof/>
        </w:rPr>
        <w:t>In 2013</w:t>
      </w:r>
      <w:r w:rsidR="00AC7385">
        <w:rPr>
          <w:noProof/>
        </w:rPr>
        <w:t>,</w:t>
      </w:r>
      <w:r>
        <w:rPr>
          <w:noProof/>
        </w:rPr>
        <w:t xml:space="preserve"> as for 2012</w:t>
      </w:r>
      <w:r w:rsidR="00AC7385">
        <w:rPr>
          <w:noProof/>
        </w:rPr>
        <w:t>,</w:t>
      </w:r>
      <w:r>
        <w:rPr>
          <w:noProof/>
        </w:rPr>
        <w:t xml:space="preserve"> there were </w:t>
      </w:r>
      <w:r w:rsidR="001A093B">
        <w:rPr>
          <w:noProof/>
        </w:rPr>
        <w:t xml:space="preserve">18 EP districts </w:t>
      </w:r>
      <w:r w:rsidR="007009CC">
        <w:rPr>
          <w:noProof/>
        </w:rPr>
        <w:t xml:space="preserve">(ten were C2 districts) </w:t>
      </w:r>
      <w:r w:rsidR="001A093B">
        <w:rPr>
          <w:noProof/>
        </w:rPr>
        <w:t>that contributed less than the 20% national target for education, which is considerably lower</w:t>
      </w:r>
      <w:r>
        <w:rPr>
          <w:noProof/>
        </w:rPr>
        <w:t xml:space="preserve"> than the national average of 34</w:t>
      </w:r>
      <w:r w:rsidR="001A093B">
        <w:rPr>
          <w:noProof/>
        </w:rPr>
        <w:t xml:space="preserve">% for education in </w:t>
      </w:r>
      <w:r>
        <w:rPr>
          <w:noProof/>
        </w:rPr>
        <w:t>2013</w:t>
      </w:r>
      <w:r w:rsidR="001A093B">
        <w:rPr>
          <w:noProof/>
        </w:rPr>
        <w:t>. This low share of funding for education in specific districts may threaten the sustainability of EP investments in the future.</w:t>
      </w:r>
      <w:r w:rsidR="007009CC">
        <w:rPr>
          <w:noProof/>
        </w:rPr>
        <w:t>This is especially the case for those ten EP C2 districts which will require ongoing professional development costs.</w:t>
      </w:r>
    </w:p>
    <w:p w:rsidR="001A093B" w:rsidRPr="005D782A" w:rsidRDefault="00C260A5" w:rsidP="00790BC1">
      <w:pPr>
        <w:pStyle w:val="ListParagraph"/>
        <w:numPr>
          <w:ilvl w:val="0"/>
          <w:numId w:val="42"/>
        </w:numPr>
        <w:spacing w:after="120"/>
        <w:ind w:left="357" w:hanging="357"/>
        <w:contextualSpacing w:val="0"/>
        <w:jc w:val="both"/>
      </w:pPr>
      <w:r>
        <w:t xml:space="preserve">In 2013 there were 19 </w:t>
      </w:r>
      <w:r w:rsidR="001A093B" w:rsidRPr="005D782A">
        <w:t xml:space="preserve">districts with the highest poverty rates persistently </w:t>
      </w:r>
      <w:r>
        <w:t xml:space="preserve">over four years </w:t>
      </w:r>
      <w:r w:rsidR="001A093B" w:rsidRPr="005D782A">
        <w:t xml:space="preserve">allocating a significantly smaller share (less than </w:t>
      </w:r>
      <w:r>
        <w:t>15%) of resources for education</w:t>
      </w:r>
      <w:r w:rsidR="001A093B" w:rsidRPr="005D782A">
        <w:t xml:space="preserve">. </w:t>
      </w:r>
      <w:r w:rsidR="001A093B">
        <w:t xml:space="preserve">This low commitment from some of the poorest districts makes it harder for them to catch up on educational development. It also indicates which districts may have further scope to grow their education budget and cover the cost associated with PD and the maintenance of new school buildings as might be funded under the EP. </w:t>
      </w:r>
    </w:p>
    <w:p w:rsidR="001A093B" w:rsidRDefault="001A093B" w:rsidP="00790BC1">
      <w:pPr>
        <w:pStyle w:val="ListParagraph"/>
        <w:numPr>
          <w:ilvl w:val="0"/>
          <w:numId w:val="42"/>
        </w:numPr>
        <w:spacing w:after="120"/>
        <w:ind w:left="357" w:hanging="357"/>
        <w:contextualSpacing w:val="0"/>
        <w:jc w:val="both"/>
      </w:pPr>
      <w:r w:rsidRPr="005D782A">
        <w:t>Papua stand</w:t>
      </w:r>
      <w:r w:rsidR="00245FD1">
        <w:t>s</w:t>
      </w:r>
      <w:r w:rsidRPr="005D782A">
        <w:t xml:space="preserve"> out as </w:t>
      </w:r>
      <w:r w:rsidR="00245FD1">
        <w:t xml:space="preserve">the one island </w:t>
      </w:r>
      <w:r w:rsidRPr="005D782A">
        <w:t xml:space="preserve">that </w:t>
      </w:r>
      <w:r w:rsidR="00245FD1">
        <w:t xml:space="preserve">now spends </w:t>
      </w:r>
      <w:r w:rsidRPr="005D782A">
        <w:t>the least for education as a proportion of total district funds</w:t>
      </w:r>
      <w:r>
        <w:t>. There is scope to increase education funding in these areas to cover the additional but modest recurrent costs associated with the EP investments.</w:t>
      </w:r>
    </w:p>
    <w:p w:rsidR="00245FD1" w:rsidRDefault="00245FD1" w:rsidP="00790BC1">
      <w:pPr>
        <w:pStyle w:val="ListParagraph"/>
        <w:numPr>
          <w:ilvl w:val="0"/>
          <w:numId w:val="42"/>
        </w:numPr>
        <w:spacing w:after="120"/>
        <w:ind w:left="357" w:hanging="357"/>
        <w:contextualSpacing w:val="0"/>
        <w:jc w:val="both"/>
      </w:pPr>
      <w:r>
        <w:t>Maluku island districts (unlike Papua) have left the low average share of budget for education and are moving towards the na</w:t>
      </w:r>
      <w:r w:rsidR="00CF5BDE">
        <w:t xml:space="preserve">tional average. This suggests </w:t>
      </w:r>
      <w:r>
        <w:t>investment in the island might be met with stronger counterpart funding activity.</w:t>
      </w:r>
    </w:p>
    <w:p w:rsidR="001A093B" w:rsidRDefault="001A093B" w:rsidP="00790BC1">
      <w:pPr>
        <w:pStyle w:val="ListParagraph"/>
        <w:numPr>
          <w:ilvl w:val="0"/>
          <w:numId w:val="42"/>
        </w:numPr>
        <w:spacing w:after="120"/>
        <w:ind w:left="357" w:hanging="357"/>
        <w:contextualSpacing w:val="0"/>
        <w:jc w:val="both"/>
      </w:pPr>
      <w:r w:rsidRPr="00066E98">
        <w:t>Most EP districts are showing growth in per student allocations for education</w:t>
      </w:r>
      <w:r>
        <w:t xml:space="preserve">. </w:t>
      </w:r>
      <w:r w:rsidR="00790BC1">
        <w:t xml:space="preserve">This </w:t>
      </w:r>
      <w:r w:rsidR="00790BC1" w:rsidRPr="00066E98">
        <w:t>provides</w:t>
      </w:r>
      <w:r w:rsidRPr="00066E98">
        <w:t xml:space="preserve"> a good financial base for further improvements. </w:t>
      </w:r>
      <w:r w:rsidR="00245FD1">
        <w:t>In 2013 there was a reductio</w:t>
      </w:r>
      <w:r w:rsidR="00F56A74">
        <w:t xml:space="preserve">n in the number of EP districts (40) that </w:t>
      </w:r>
      <w:r w:rsidR="00F56A74" w:rsidRPr="001B0B60">
        <w:t>contracted their edu</w:t>
      </w:r>
      <w:r w:rsidR="00F56A74">
        <w:t>cation budget - compared to 59</w:t>
      </w:r>
      <w:r w:rsidR="00245FD1">
        <w:t xml:space="preserve"> in 2012</w:t>
      </w:r>
      <w:r w:rsidR="00F56A74">
        <w:t>.</w:t>
      </w:r>
      <w:r w:rsidR="004971BD">
        <w:t xml:space="preserve"> </w:t>
      </w:r>
      <w:r w:rsidR="00F56A74">
        <w:t xml:space="preserve">This is a positive improvement for the program and better positons more districts to assume financial responsibility. </w:t>
      </w:r>
    </w:p>
    <w:p w:rsidR="00790BC1" w:rsidRDefault="001A093B" w:rsidP="00790BC1">
      <w:pPr>
        <w:pStyle w:val="ListParagraph"/>
        <w:numPr>
          <w:ilvl w:val="0"/>
          <w:numId w:val="42"/>
        </w:numPr>
        <w:spacing w:after="120"/>
        <w:ind w:left="357" w:hanging="357"/>
        <w:contextualSpacing w:val="0"/>
        <w:jc w:val="both"/>
      </w:pPr>
      <w:r w:rsidRPr="00233537">
        <w:t>Growing BOS funds provide much needed discretionary funds to schools. The challenge for government will be to put in place the appropriate training, monitoring and support to enable the effective use of these funds as well as identifying the inevitable instances where</w:t>
      </w:r>
      <w:r>
        <w:t xml:space="preserve"> </w:t>
      </w:r>
      <w:r w:rsidRPr="00233537">
        <w:t>these funds are not properly expended or adequately reported</w:t>
      </w:r>
      <w:r>
        <w:t>.</w:t>
      </w:r>
    </w:p>
    <w:p w:rsidR="00CF5BDE" w:rsidRDefault="00CF5BDE" w:rsidP="00790BC1">
      <w:pPr>
        <w:pStyle w:val="ListParagraph"/>
        <w:numPr>
          <w:ilvl w:val="0"/>
          <w:numId w:val="42"/>
        </w:numPr>
        <w:spacing w:after="120"/>
        <w:ind w:left="357" w:hanging="357"/>
        <w:contextualSpacing w:val="0"/>
        <w:jc w:val="both"/>
      </w:pPr>
      <w:r w:rsidRPr="00CF5BDE">
        <w:t>Correlation in low</w:t>
      </w:r>
      <w:r>
        <w:t xml:space="preserve"> budget allocations </w:t>
      </w:r>
      <w:r w:rsidRPr="00CF5BDE">
        <w:t xml:space="preserve">for education and health sectors suggests it will be useful to </w:t>
      </w:r>
      <w:r>
        <w:t xml:space="preserve">work </w:t>
      </w:r>
      <w:r w:rsidRPr="00CF5BDE">
        <w:t xml:space="preserve">more closely </w:t>
      </w:r>
      <w:r>
        <w:t xml:space="preserve">with </w:t>
      </w:r>
      <w:r w:rsidR="00493BDD">
        <w:t xml:space="preserve">both </w:t>
      </w:r>
      <w:r>
        <w:t xml:space="preserve">the education and health programs </w:t>
      </w:r>
      <w:r w:rsidR="00493BDD">
        <w:t xml:space="preserve">to understand and improve the situation as appropriate. </w:t>
      </w:r>
    </w:p>
    <w:p w:rsidR="00245A84" w:rsidRPr="007B3F69" w:rsidRDefault="00245A84" w:rsidP="00DB55DD">
      <w:pPr>
        <w:pStyle w:val="Heading3"/>
      </w:pPr>
      <w:r>
        <w:lastRenderedPageBreak/>
        <w:t xml:space="preserve">Implications for the EP Management: </w:t>
      </w:r>
      <w:r w:rsidR="00790BC1">
        <w:t xml:space="preserve">Risks </w:t>
      </w:r>
      <w:r>
        <w:t xml:space="preserve">and </w:t>
      </w:r>
      <w:r w:rsidR="00790BC1" w:rsidRPr="00245A84">
        <w:t>Opportunities</w:t>
      </w:r>
      <w:bookmarkEnd w:id="134"/>
    </w:p>
    <w:p w:rsidR="00245A84" w:rsidRDefault="00245A84" w:rsidP="00945A9C">
      <w:pPr>
        <w:spacing w:before="120" w:after="360" w:line="276" w:lineRule="auto"/>
        <w:jc w:val="both"/>
      </w:pPr>
      <w:r>
        <w:t xml:space="preserve">As the previous section would suggest, the evolving context poses several risks to the aspirations of </w:t>
      </w:r>
      <w:r w:rsidR="00F15371">
        <w:t>the EP. The four</w:t>
      </w:r>
      <w:r w:rsidRPr="006A4604">
        <w:t xml:space="preserve"> most significant and realistic risks are captured in Table </w:t>
      </w:r>
      <w:r w:rsidR="00942347">
        <w:t>xx, below.</w:t>
      </w:r>
    </w:p>
    <w:p w:rsidR="00245A84" w:rsidRPr="00962BFF" w:rsidRDefault="00E87A20" w:rsidP="00BE42DC">
      <w:pPr>
        <w:pStyle w:val="Table"/>
        <w:rPr>
          <w:rStyle w:val="Strong"/>
        </w:rPr>
      </w:pPr>
      <w:r w:rsidRPr="00962BFF">
        <w:rPr>
          <w:rStyle w:val="Strong"/>
          <w:b/>
          <w:bCs w:val="0"/>
        </w:rPr>
        <w:t xml:space="preserve">Possible Risks Affecting </w:t>
      </w:r>
      <w:r w:rsidR="00EC2E73">
        <w:rPr>
          <w:rStyle w:val="Strong"/>
          <w:b/>
          <w:bCs w:val="0"/>
        </w:rPr>
        <w:t xml:space="preserve">the </w:t>
      </w:r>
      <w:r w:rsidRPr="00962BFF">
        <w:rPr>
          <w:rStyle w:val="Strong"/>
          <w:b/>
          <w:bCs w:val="0"/>
        </w:rPr>
        <w:t xml:space="preserve">EP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550"/>
        <w:gridCol w:w="3635"/>
        <w:gridCol w:w="5060"/>
      </w:tblGrid>
      <w:tr w:rsidR="00EC2E73" w:rsidRPr="0038463D" w:rsidTr="00BE42DC">
        <w:trPr>
          <w:jc w:val="center"/>
        </w:trPr>
        <w:tc>
          <w:tcPr>
            <w:tcW w:w="550" w:type="dxa"/>
            <w:tcBorders>
              <w:top w:val="single" w:sz="12" w:space="0" w:color="auto"/>
              <w:left w:val="single" w:sz="12" w:space="0" w:color="auto"/>
              <w:bottom w:val="single" w:sz="4" w:space="0" w:color="auto"/>
              <w:right w:val="single" w:sz="4" w:space="0" w:color="FFFFFF" w:themeColor="background1"/>
            </w:tcBorders>
            <w:shd w:val="clear" w:color="auto" w:fill="003880"/>
            <w:vAlign w:val="center"/>
          </w:tcPr>
          <w:p w:rsidR="00EC2E73" w:rsidRPr="0038463D" w:rsidRDefault="00EC2E73" w:rsidP="009F162C">
            <w:pPr>
              <w:spacing w:after="0"/>
              <w:jc w:val="center"/>
              <w:rPr>
                <w:rFonts w:asciiTheme="minorHAnsi" w:hAnsiTheme="minorHAnsi" w:cstheme="minorHAnsi"/>
                <w:b/>
                <w:sz w:val="20"/>
                <w:szCs w:val="20"/>
              </w:rPr>
            </w:pPr>
            <w:r w:rsidRPr="0038463D">
              <w:rPr>
                <w:rFonts w:asciiTheme="minorHAnsi" w:hAnsiTheme="minorHAnsi" w:cstheme="minorHAnsi"/>
                <w:b/>
                <w:sz w:val="20"/>
                <w:szCs w:val="20"/>
              </w:rPr>
              <w:t>#</w:t>
            </w:r>
          </w:p>
        </w:tc>
        <w:tc>
          <w:tcPr>
            <w:tcW w:w="3635" w:type="dxa"/>
            <w:tcBorders>
              <w:top w:val="single" w:sz="12" w:space="0" w:color="auto"/>
              <w:left w:val="single" w:sz="4" w:space="0" w:color="FFFFFF" w:themeColor="background1"/>
              <w:bottom w:val="single" w:sz="4" w:space="0" w:color="auto"/>
              <w:right w:val="single" w:sz="4" w:space="0" w:color="FFFFFF" w:themeColor="background1"/>
            </w:tcBorders>
            <w:shd w:val="clear" w:color="auto" w:fill="003880"/>
            <w:vAlign w:val="center"/>
          </w:tcPr>
          <w:p w:rsidR="00EC2E73" w:rsidRPr="0038463D" w:rsidRDefault="00EC2E73" w:rsidP="009F162C">
            <w:pPr>
              <w:spacing w:after="0"/>
              <w:jc w:val="center"/>
              <w:rPr>
                <w:rFonts w:asciiTheme="minorHAnsi" w:hAnsiTheme="minorHAnsi" w:cstheme="minorHAnsi"/>
                <w:b/>
                <w:sz w:val="20"/>
                <w:szCs w:val="20"/>
              </w:rPr>
            </w:pPr>
            <w:r w:rsidRPr="0038463D">
              <w:rPr>
                <w:rFonts w:asciiTheme="minorHAnsi" w:hAnsiTheme="minorHAnsi" w:cstheme="minorHAnsi"/>
                <w:b/>
                <w:sz w:val="20"/>
                <w:szCs w:val="20"/>
              </w:rPr>
              <w:t>FINDING</w:t>
            </w:r>
          </w:p>
        </w:tc>
        <w:tc>
          <w:tcPr>
            <w:tcW w:w="5060" w:type="dxa"/>
            <w:tcBorders>
              <w:top w:val="single" w:sz="12" w:space="0" w:color="auto"/>
              <w:left w:val="single" w:sz="4" w:space="0" w:color="FFFFFF" w:themeColor="background1"/>
              <w:bottom w:val="single" w:sz="4" w:space="0" w:color="auto"/>
              <w:right w:val="single" w:sz="12" w:space="0" w:color="auto"/>
            </w:tcBorders>
            <w:shd w:val="clear" w:color="auto" w:fill="003880"/>
            <w:vAlign w:val="center"/>
          </w:tcPr>
          <w:p w:rsidR="00EC2E73" w:rsidRPr="0038463D" w:rsidRDefault="00EC2E73" w:rsidP="009F162C">
            <w:pPr>
              <w:spacing w:after="0"/>
              <w:jc w:val="center"/>
              <w:rPr>
                <w:rFonts w:asciiTheme="minorHAnsi" w:hAnsiTheme="minorHAnsi" w:cstheme="minorHAnsi"/>
                <w:b/>
                <w:sz w:val="20"/>
                <w:szCs w:val="20"/>
              </w:rPr>
            </w:pPr>
            <w:r w:rsidRPr="0038463D">
              <w:rPr>
                <w:rFonts w:asciiTheme="minorHAnsi" w:hAnsiTheme="minorHAnsi" w:cstheme="minorHAnsi"/>
                <w:b/>
                <w:sz w:val="20"/>
                <w:szCs w:val="20"/>
              </w:rPr>
              <w:t>POSSIBLE CONSEQUENCES FOR THE EP</w:t>
            </w:r>
          </w:p>
        </w:tc>
      </w:tr>
      <w:tr w:rsidR="00EC2E73" w:rsidRPr="0038463D" w:rsidTr="00BE42DC">
        <w:trPr>
          <w:jc w:val="center"/>
        </w:trPr>
        <w:tc>
          <w:tcPr>
            <w:tcW w:w="550" w:type="dxa"/>
            <w:tcBorders>
              <w:left w:val="single" w:sz="12" w:space="0" w:color="auto"/>
            </w:tcBorders>
            <w:shd w:val="clear" w:color="auto" w:fill="auto"/>
            <w:vAlign w:val="center"/>
          </w:tcPr>
          <w:p w:rsidR="00EC2E73" w:rsidRPr="0038463D" w:rsidRDefault="00EC2E73" w:rsidP="009F162C">
            <w:pPr>
              <w:spacing w:after="0"/>
              <w:jc w:val="center"/>
              <w:rPr>
                <w:rFonts w:asciiTheme="minorHAnsi" w:hAnsiTheme="minorHAnsi"/>
                <w:sz w:val="20"/>
                <w:szCs w:val="20"/>
                <w:lang w:val="en-AU"/>
              </w:rPr>
            </w:pPr>
            <w:r w:rsidRPr="0038463D">
              <w:rPr>
                <w:rFonts w:asciiTheme="minorHAnsi" w:hAnsiTheme="minorHAnsi"/>
                <w:sz w:val="20"/>
                <w:szCs w:val="20"/>
                <w:lang w:val="en-AU"/>
              </w:rPr>
              <w:t>RA1</w:t>
            </w:r>
          </w:p>
        </w:tc>
        <w:tc>
          <w:tcPr>
            <w:tcW w:w="3635" w:type="dxa"/>
            <w:shd w:val="clear" w:color="auto" w:fill="auto"/>
            <w:vAlign w:val="center"/>
          </w:tcPr>
          <w:p w:rsidR="00EC2E73" w:rsidRPr="0038463D" w:rsidRDefault="00EC2E73" w:rsidP="009F162C">
            <w:pPr>
              <w:spacing w:after="0"/>
              <w:rPr>
                <w:rFonts w:asciiTheme="minorHAnsi" w:hAnsiTheme="minorHAnsi"/>
                <w:b/>
                <w:sz w:val="20"/>
                <w:szCs w:val="20"/>
                <w:lang w:val="en-AU"/>
              </w:rPr>
            </w:pPr>
            <w:r w:rsidRPr="0038463D">
              <w:rPr>
                <w:sz w:val="20"/>
                <w:szCs w:val="20"/>
                <w:lang w:val="en-AU"/>
              </w:rPr>
              <w:t>Some EP districts (including some with the highest poverty rates) are persistently allocating a very low share of their resources to education.</w:t>
            </w:r>
          </w:p>
        </w:tc>
        <w:tc>
          <w:tcPr>
            <w:tcW w:w="5060" w:type="dxa"/>
            <w:tcBorders>
              <w:right w:val="single" w:sz="12" w:space="0" w:color="auto"/>
            </w:tcBorders>
            <w:shd w:val="clear" w:color="auto" w:fill="auto"/>
            <w:vAlign w:val="center"/>
          </w:tcPr>
          <w:p w:rsidR="00EC2E73" w:rsidRPr="0038463D" w:rsidRDefault="00EC2E73" w:rsidP="009F162C">
            <w:pPr>
              <w:spacing w:after="0"/>
              <w:rPr>
                <w:rFonts w:asciiTheme="minorHAnsi" w:hAnsiTheme="minorHAnsi"/>
                <w:sz w:val="20"/>
                <w:szCs w:val="20"/>
                <w:lang w:val="en-AU"/>
              </w:rPr>
            </w:pPr>
            <w:r w:rsidRPr="0038463D">
              <w:rPr>
                <w:sz w:val="20"/>
                <w:szCs w:val="20"/>
                <w:lang w:val="en-AU"/>
              </w:rPr>
              <w:t>This low commitment may threaten districts’ ability to sustain recurrent expenditures associated with EP investments.</w:t>
            </w:r>
          </w:p>
        </w:tc>
      </w:tr>
      <w:tr w:rsidR="00EC2E73" w:rsidRPr="0038463D" w:rsidTr="00BE42DC">
        <w:trPr>
          <w:jc w:val="center"/>
        </w:trPr>
        <w:tc>
          <w:tcPr>
            <w:tcW w:w="550" w:type="dxa"/>
            <w:tcBorders>
              <w:left w:val="single" w:sz="12" w:space="0" w:color="auto"/>
            </w:tcBorders>
            <w:shd w:val="clear" w:color="auto" w:fill="auto"/>
            <w:vAlign w:val="center"/>
          </w:tcPr>
          <w:p w:rsidR="00EC2E73" w:rsidRPr="0038463D" w:rsidRDefault="00EC2E73" w:rsidP="009F162C">
            <w:pPr>
              <w:spacing w:after="0"/>
              <w:jc w:val="center"/>
              <w:rPr>
                <w:rFonts w:asciiTheme="minorHAnsi" w:hAnsiTheme="minorHAnsi"/>
                <w:sz w:val="20"/>
                <w:szCs w:val="20"/>
                <w:lang w:val="en-AU"/>
              </w:rPr>
            </w:pPr>
            <w:r w:rsidRPr="0038463D">
              <w:rPr>
                <w:rFonts w:asciiTheme="minorHAnsi" w:hAnsiTheme="minorHAnsi"/>
                <w:sz w:val="20"/>
                <w:szCs w:val="20"/>
                <w:lang w:val="en-AU"/>
              </w:rPr>
              <w:t>RA2</w:t>
            </w:r>
          </w:p>
        </w:tc>
        <w:tc>
          <w:tcPr>
            <w:tcW w:w="3635" w:type="dxa"/>
            <w:shd w:val="clear" w:color="auto" w:fill="auto"/>
            <w:vAlign w:val="center"/>
          </w:tcPr>
          <w:p w:rsidR="00EC2E73" w:rsidRPr="0038463D" w:rsidRDefault="00EC2E73" w:rsidP="00CF5BDE">
            <w:pPr>
              <w:spacing w:after="0"/>
              <w:rPr>
                <w:sz w:val="20"/>
                <w:szCs w:val="20"/>
                <w:lang w:val="en-AU"/>
              </w:rPr>
            </w:pPr>
            <w:r w:rsidRPr="0038463D">
              <w:rPr>
                <w:sz w:val="20"/>
                <w:szCs w:val="20"/>
                <w:lang w:val="en-AU"/>
              </w:rPr>
              <w:t xml:space="preserve">Papua </w:t>
            </w:r>
            <w:r w:rsidR="00CF5BDE">
              <w:rPr>
                <w:sz w:val="20"/>
                <w:szCs w:val="20"/>
                <w:lang w:val="en-AU"/>
              </w:rPr>
              <w:t>has</w:t>
            </w:r>
            <w:r w:rsidRPr="0038463D">
              <w:rPr>
                <w:sz w:val="20"/>
                <w:szCs w:val="20"/>
                <w:lang w:val="en-AU"/>
              </w:rPr>
              <w:t xml:space="preserve"> many districts performing badly on numerous financing indicators.</w:t>
            </w:r>
          </w:p>
        </w:tc>
        <w:tc>
          <w:tcPr>
            <w:tcW w:w="5060" w:type="dxa"/>
            <w:tcBorders>
              <w:right w:val="single" w:sz="12" w:space="0" w:color="auto"/>
            </w:tcBorders>
            <w:shd w:val="clear" w:color="auto" w:fill="auto"/>
            <w:vAlign w:val="center"/>
          </w:tcPr>
          <w:p w:rsidR="00EC2E73" w:rsidRPr="0038463D" w:rsidRDefault="00EC2E73" w:rsidP="009F162C">
            <w:pPr>
              <w:spacing w:after="0"/>
              <w:rPr>
                <w:rFonts w:asciiTheme="minorHAnsi" w:hAnsiTheme="minorHAnsi"/>
                <w:sz w:val="20"/>
                <w:szCs w:val="20"/>
                <w:lang w:val="en-AU"/>
              </w:rPr>
            </w:pPr>
            <w:r w:rsidRPr="0038463D">
              <w:rPr>
                <w:sz w:val="20"/>
                <w:szCs w:val="20"/>
                <w:lang w:val="en-AU"/>
              </w:rPr>
              <w:t>EP investments in these two provinces run the risk of losing effectiveness if they are not supported by district financial commitment.</w:t>
            </w:r>
          </w:p>
        </w:tc>
      </w:tr>
      <w:tr w:rsidR="00EC2E73" w:rsidRPr="0038463D" w:rsidTr="00BE42DC">
        <w:trPr>
          <w:jc w:val="center"/>
        </w:trPr>
        <w:tc>
          <w:tcPr>
            <w:tcW w:w="550" w:type="dxa"/>
            <w:tcBorders>
              <w:left w:val="single" w:sz="12" w:space="0" w:color="auto"/>
            </w:tcBorders>
            <w:shd w:val="clear" w:color="auto" w:fill="auto"/>
            <w:vAlign w:val="center"/>
          </w:tcPr>
          <w:p w:rsidR="00EC2E73" w:rsidRPr="0038463D" w:rsidRDefault="00EC2E73" w:rsidP="009F162C">
            <w:pPr>
              <w:spacing w:after="0"/>
              <w:jc w:val="center"/>
              <w:rPr>
                <w:rFonts w:asciiTheme="minorHAnsi" w:hAnsiTheme="minorHAnsi"/>
                <w:sz w:val="20"/>
                <w:szCs w:val="20"/>
                <w:lang w:val="en-AU"/>
              </w:rPr>
            </w:pPr>
            <w:r w:rsidRPr="0038463D">
              <w:rPr>
                <w:rFonts w:asciiTheme="minorHAnsi" w:hAnsiTheme="minorHAnsi"/>
                <w:sz w:val="20"/>
                <w:szCs w:val="20"/>
                <w:lang w:val="en-AU"/>
              </w:rPr>
              <w:t>RA3</w:t>
            </w:r>
          </w:p>
        </w:tc>
        <w:tc>
          <w:tcPr>
            <w:tcW w:w="3635" w:type="dxa"/>
            <w:shd w:val="clear" w:color="auto" w:fill="auto"/>
            <w:vAlign w:val="center"/>
          </w:tcPr>
          <w:p w:rsidR="00EC2E73" w:rsidRPr="0038463D" w:rsidRDefault="00CF5BDE" w:rsidP="009F162C">
            <w:pPr>
              <w:spacing w:after="0"/>
              <w:rPr>
                <w:sz w:val="20"/>
                <w:szCs w:val="20"/>
                <w:lang w:val="en-AU"/>
              </w:rPr>
            </w:pPr>
            <w:r>
              <w:rPr>
                <w:sz w:val="20"/>
                <w:szCs w:val="20"/>
                <w:lang w:val="en-AU"/>
              </w:rPr>
              <w:t>In 2013</w:t>
            </w:r>
            <w:r w:rsidR="00EC2E73" w:rsidRPr="0038463D">
              <w:rPr>
                <w:sz w:val="20"/>
                <w:szCs w:val="20"/>
                <w:lang w:val="en-AU"/>
              </w:rPr>
              <w:t>, 59 EP districts contracted their education budget compared to the previous year.</w:t>
            </w:r>
            <w:r w:rsidR="00EC2E73">
              <w:rPr>
                <w:sz w:val="20"/>
                <w:szCs w:val="20"/>
                <w:lang w:val="en-AU"/>
              </w:rPr>
              <w:t xml:space="preserve"> </w:t>
            </w:r>
            <w:r w:rsidR="00EC2E73" w:rsidRPr="0038463D">
              <w:rPr>
                <w:sz w:val="20"/>
                <w:szCs w:val="20"/>
                <w:lang w:val="en-AU"/>
              </w:rPr>
              <w:t>This may continue into the future.</w:t>
            </w:r>
          </w:p>
        </w:tc>
        <w:tc>
          <w:tcPr>
            <w:tcW w:w="5060" w:type="dxa"/>
            <w:tcBorders>
              <w:right w:val="single" w:sz="12" w:space="0" w:color="auto"/>
            </w:tcBorders>
            <w:shd w:val="clear" w:color="auto" w:fill="auto"/>
            <w:vAlign w:val="center"/>
          </w:tcPr>
          <w:p w:rsidR="00EC2E73" w:rsidRPr="0038463D" w:rsidRDefault="00EC2E73" w:rsidP="009F162C">
            <w:pPr>
              <w:spacing w:after="0"/>
              <w:rPr>
                <w:rFonts w:asciiTheme="minorHAnsi" w:hAnsiTheme="minorHAnsi"/>
                <w:sz w:val="20"/>
                <w:szCs w:val="20"/>
                <w:lang w:val="en-AU"/>
              </w:rPr>
            </w:pPr>
            <w:r w:rsidRPr="0038463D">
              <w:rPr>
                <w:sz w:val="20"/>
                <w:szCs w:val="20"/>
                <w:lang w:val="en-AU"/>
              </w:rPr>
              <w:t xml:space="preserve">Where this reflects a shifting priority away from education it may jeopardise the ability of districts to meet future financial commitments to </w:t>
            </w:r>
            <w:r>
              <w:rPr>
                <w:sz w:val="20"/>
                <w:szCs w:val="20"/>
                <w:lang w:val="en-AU"/>
              </w:rPr>
              <w:t>professional development</w:t>
            </w:r>
            <w:r w:rsidRPr="0038463D">
              <w:rPr>
                <w:sz w:val="20"/>
                <w:szCs w:val="20"/>
                <w:lang w:val="en-AU"/>
              </w:rPr>
              <w:t xml:space="preserve"> and building maintenance.</w:t>
            </w:r>
          </w:p>
        </w:tc>
      </w:tr>
      <w:tr w:rsidR="00CF5BDE" w:rsidRPr="0038463D" w:rsidTr="00BE42DC">
        <w:trPr>
          <w:jc w:val="center"/>
        </w:trPr>
        <w:tc>
          <w:tcPr>
            <w:tcW w:w="550" w:type="dxa"/>
            <w:tcBorders>
              <w:left w:val="single" w:sz="12" w:space="0" w:color="auto"/>
              <w:bottom w:val="single" w:sz="12" w:space="0" w:color="auto"/>
            </w:tcBorders>
            <w:shd w:val="clear" w:color="auto" w:fill="auto"/>
            <w:vAlign w:val="center"/>
          </w:tcPr>
          <w:p w:rsidR="00CF5BDE" w:rsidRPr="0038463D" w:rsidRDefault="00CF5BDE" w:rsidP="009F162C">
            <w:pPr>
              <w:spacing w:after="0"/>
              <w:jc w:val="center"/>
              <w:rPr>
                <w:rFonts w:asciiTheme="minorHAnsi" w:hAnsiTheme="minorHAnsi"/>
                <w:sz w:val="20"/>
                <w:szCs w:val="20"/>
                <w:lang w:val="en-AU"/>
              </w:rPr>
            </w:pPr>
            <w:r>
              <w:rPr>
                <w:rFonts w:asciiTheme="minorHAnsi" w:hAnsiTheme="minorHAnsi"/>
                <w:sz w:val="20"/>
                <w:szCs w:val="20"/>
                <w:lang w:val="en-AU"/>
              </w:rPr>
              <w:t>RA4</w:t>
            </w:r>
          </w:p>
        </w:tc>
        <w:tc>
          <w:tcPr>
            <w:tcW w:w="3635" w:type="dxa"/>
            <w:tcBorders>
              <w:bottom w:val="single" w:sz="12" w:space="0" w:color="auto"/>
            </w:tcBorders>
            <w:shd w:val="clear" w:color="auto" w:fill="auto"/>
            <w:vAlign w:val="center"/>
          </w:tcPr>
          <w:p w:rsidR="00CF5BDE" w:rsidRDefault="00CF5BDE" w:rsidP="00CF5BDE">
            <w:pPr>
              <w:spacing w:after="0"/>
              <w:rPr>
                <w:sz w:val="20"/>
                <w:szCs w:val="20"/>
                <w:lang w:val="en-AU"/>
              </w:rPr>
            </w:pPr>
            <w:r>
              <w:rPr>
                <w:sz w:val="20"/>
                <w:szCs w:val="20"/>
                <w:lang w:val="en-AU"/>
              </w:rPr>
              <w:t xml:space="preserve">Districts with very low budget share allocations for education also often have low budget share allocations for health. </w:t>
            </w:r>
          </w:p>
        </w:tc>
        <w:tc>
          <w:tcPr>
            <w:tcW w:w="5060" w:type="dxa"/>
            <w:tcBorders>
              <w:bottom w:val="single" w:sz="12" w:space="0" w:color="auto"/>
              <w:right w:val="single" w:sz="12" w:space="0" w:color="auto"/>
            </w:tcBorders>
            <w:shd w:val="clear" w:color="auto" w:fill="auto"/>
            <w:vAlign w:val="center"/>
          </w:tcPr>
          <w:p w:rsidR="00CF5BDE" w:rsidRPr="0038463D" w:rsidRDefault="00493BDD" w:rsidP="009F162C">
            <w:pPr>
              <w:spacing w:after="0"/>
              <w:rPr>
                <w:sz w:val="20"/>
                <w:szCs w:val="20"/>
                <w:lang w:val="en-AU"/>
              </w:rPr>
            </w:pPr>
            <w:r>
              <w:rPr>
                <w:sz w:val="20"/>
                <w:szCs w:val="20"/>
                <w:lang w:val="en-AU"/>
              </w:rPr>
              <w:t>It might be beneficial to coordinate the education and health programs to investigate and support increased allocations for the social sector as whole.</w:t>
            </w:r>
          </w:p>
        </w:tc>
      </w:tr>
    </w:tbl>
    <w:p w:rsidR="001409A2" w:rsidRDefault="001409A2" w:rsidP="00245A84">
      <w:pPr>
        <w:rPr>
          <w:rFonts w:asciiTheme="minorHAnsi" w:hAnsiTheme="minorHAnsi" w:cstheme="minorHAnsi"/>
        </w:rPr>
        <w:sectPr w:rsidR="001409A2" w:rsidSect="004B7458">
          <w:footnotePr>
            <w:numRestart w:val="eachSect"/>
          </w:footnotePr>
          <w:endnotePr>
            <w:numRestart w:val="eachSect"/>
          </w:endnotePr>
          <w:pgSz w:w="11909" w:h="16834" w:code="9"/>
          <w:pgMar w:top="1440" w:right="1440" w:bottom="1440" w:left="1440" w:header="431" w:footer="720" w:gutter="0"/>
          <w:cols w:space="720"/>
          <w:noEndnote/>
          <w:docGrid w:linePitch="360"/>
        </w:sectPr>
      </w:pPr>
    </w:p>
    <w:p w:rsidR="00222EFB" w:rsidRPr="00946D3F" w:rsidRDefault="00461F4F" w:rsidP="004B7458">
      <w:pPr>
        <w:tabs>
          <w:tab w:val="left" w:pos="2977"/>
        </w:tabs>
        <w:spacing w:before="6960"/>
        <w:ind w:right="1701"/>
        <w:jc w:val="right"/>
        <w:rPr>
          <w:b/>
          <w:i/>
          <w:color w:val="FFFFFF" w:themeColor="background1"/>
          <w:sz w:val="32"/>
          <w:szCs w:val="32"/>
        </w:rPr>
      </w:pPr>
      <w:r>
        <w:rPr>
          <w:b/>
          <w:color w:val="FFFFFF" w:themeColor="background1"/>
          <w:sz w:val="36"/>
          <w:szCs w:val="36"/>
        </w:rPr>
        <w:lastRenderedPageBreak/>
        <w:t>N</w:t>
      </w:r>
      <w:r w:rsidR="002B0481">
        <w:rPr>
          <w:b/>
          <w:color w:val="FFFFFF" w:themeColor="background1"/>
          <w:sz w:val="36"/>
          <w:szCs w:val="36"/>
        </w:rPr>
        <w:t>ext steps</w:t>
      </w:r>
    </w:p>
    <w:p w:rsidR="00222EFB" w:rsidRDefault="00222EFB" w:rsidP="00222EFB">
      <w:pPr>
        <w:sectPr w:rsidR="00222EFB" w:rsidSect="004B7458">
          <w:headerReference w:type="first" r:id="rId106"/>
          <w:footerReference w:type="first" r:id="rId107"/>
          <w:footnotePr>
            <w:numRestart w:val="eachSect"/>
          </w:footnotePr>
          <w:endnotePr>
            <w:numRestart w:val="eachSect"/>
          </w:endnotePr>
          <w:pgSz w:w="11909" w:h="16834" w:code="9"/>
          <w:pgMar w:top="357" w:right="1440" w:bottom="1304" w:left="1440" w:header="431" w:footer="425" w:gutter="0"/>
          <w:cols w:space="720"/>
          <w:titlePg/>
          <w:docGrid w:linePitch="360"/>
        </w:sectPr>
      </w:pPr>
    </w:p>
    <w:p w:rsidR="00222EFB" w:rsidRPr="004B7458" w:rsidRDefault="004B7458" w:rsidP="004B7458">
      <w:pPr>
        <w:pStyle w:val="Heading1"/>
        <w:spacing w:after="1320"/>
        <w:ind w:left="357" w:hanging="357"/>
        <w:rPr>
          <w:color w:val="68BAD6"/>
        </w:rPr>
      </w:pPr>
      <w:bookmarkStart w:id="135" w:name="_Toc380740273"/>
      <w:r w:rsidRPr="004B7458">
        <w:rPr>
          <w:color w:val="68BAD6"/>
        </w:rPr>
        <w:lastRenderedPageBreak/>
        <w:t>NEXT STEPS</w:t>
      </w:r>
      <w:bookmarkEnd w:id="135"/>
    </w:p>
    <w:tbl>
      <w:tblPr>
        <w:tblStyle w:val="TableGrid3"/>
        <w:tblW w:w="5000" w:type="pct"/>
        <w:jc w:val="center"/>
        <w:tblCellMar>
          <w:top w:w="57" w:type="dxa"/>
          <w:bottom w:w="57" w:type="dxa"/>
        </w:tblCellMar>
        <w:tblLook w:val="04A0" w:firstRow="1" w:lastRow="0" w:firstColumn="1" w:lastColumn="0" w:noHBand="0" w:noVBand="1"/>
      </w:tblPr>
      <w:tblGrid>
        <w:gridCol w:w="6015"/>
        <w:gridCol w:w="3230"/>
      </w:tblGrid>
      <w:tr w:rsidR="00EC2E73" w:rsidRPr="0038463D" w:rsidTr="009F162C">
        <w:trPr>
          <w:tblHeader/>
          <w:jc w:val="center"/>
        </w:trPr>
        <w:tc>
          <w:tcPr>
            <w:tcW w:w="3253" w:type="pct"/>
            <w:tcBorders>
              <w:top w:val="single" w:sz="12" w:space="0" w:color="auto"/>
              <w:left w:val="single" w:sz="12" w:space="0" w:color="auto"/>
              <w:bottom w:val="single" w:sz="4" w:space="0" w:color="auto"/>
              <w:right w:val="single" w:sz="4" w:space="0" w:color="FFFFFF" w:themeColor="background1"/>
            </w:tcBorders>
            <w:shd w:val="clear" w:color="auto" w:fill="003880"/>
            <w:vAlign w:val="center"/>
          </w:tcPr>
          <w:p w:rsidR="00EC2E73" w:rsidRPr="0038463D" w:rsidRDefault="00EC2E73" w:rsidP="00837A39">
            <w:pPr>
              <w:spacing w:after="0"/>
              <w:jc w:val="center"/>
              <w:rPr>
                <w:rFonts w:asciiTheme="minorHAnsi" w:hAnsiTheme="minorHAnsi" w:cstheme="minorHAnsi"/>
                <w:b/>
                <w:color w:val="FFFFFF" w:themeColor="background1"/>
                <w:sz w:val="20"/>
                <w:szCs w:val="19"/>
                <w:lang w:val="en-US"/>
              </w:rPr>
            </w:pPr>
            <w:r>
              <w:rPr>
                <w:rFonts w:asciiTheme="minorHAnsi" w:hAnsiTheme="minorHAnsi" w:cstheme="minorHAnsi"/>
                <w:b/>
                <w:color w:val="FFFFFF" w:themeColor="background1"/>
                <w:sz w:val="20"/>
                <w:szCs w:val="19"/>
                <w:lang w:val="en-US"/>
              </w:rPr>
              <w:t>SUG</w:t>
            </w:r>
            <w:r w:rsidR="00837A39">
              <w:rPr>
                <w:rFonts w:asciiTheme="minorHAnsi" w:hAnsiTheme="minorHAnsi" w:cstheme="minorHAnsi"/>
                <w:b/>
                <w:color w:val="FFFFFF" w:themeColor="background1"/>
                <w:sz w:val="20"/>
                <w:szCs w:val="19"/>
                <w:lang w:val="en-US"/>
              </w:rPr>
              <w:t>GES</w:t>
            </w:r>
            <w:r>
              <w:rPr>
                <w:rFonts w:asciiTheme="minorHAnsi" w:hAnsiTheme="minorHAnsi" w:cstheme="minorHAnsi"/>
                <w:b/>
                <w:color w:val="FFFFFF" w:themeColor="background1"/>
                <w:sz w:val="20"/>
                <w:szCs w:val="19"/>
                <w:lang w:val="en-US"/>
              </w:rPr>
              <w:t xml:space="preserve">TED </w:t>
            </w:r>
            <w:r w:rsidRPr="0038463D">
              <w:rPr>
                <w:rFonts w:asciiTheme="minorHAnsi" w:hAnsiTheme="minorHAnsi" w:cstheme="minorHAnsi"/>
                <w:b/>
                <w:color w:val="FFFFFF" w:themeColor="background1"/>
                <w:sz w:val="20"/>
                <w:szCs w:val="19"/>
                <w:lang w:val="en-US"/>
              </w:rPr>
              <w:t>NEXT STEPS (AND LEVEL OF URGENCY)</w:t>
            </w:r>
          </w:p>
        </w:tc>
        <w:tc>
          <w:tcPr>
            <w:tcW w:w="1747" w:type="pct"/>
            <w:tcBorders>
              <w:top w:val="single" w:sz="12" w:space="0" w:color="auto"/>
              <w:left w:val="single" w:sz="4" w:space="0" w:color="FFFFFF" w:themeColor="background1"/>
              <w:bottom w:val="single" w:sz="4" w:space="0" w:color="auto"/>
              <w:right w:val="single" w:sz="12" w:space="0" w:color="auto"/>
            </w:tcBorders>
            <w:shd w:val="clear" w:color="auto" w:fill="003880"/>
            <w:vAlign w:val="center"/>
          </w:tcPr>
          <w:p w:rsidR="00EC2E73" w:rsidRPr="0038463D" w:rsidRDefault="00EC2E73" w:rsidP="009F162C">
            <w:pPr>
              <w:spacing w:after="0"/>
              <w:jc w:val="center"/>
              <w:rPr>
                <w:rFonts w:asciiTheme="minorHAnsi" w:hAnsiTheme="minorHAnsi" w:cstheme="minorHAnsi"/>
                <w:b/>
                <w:color w:val="FFFFFF" w:themeColor="background1"/>
                <w:sz w:val="20"/>
                <w:szCs w:val="19"/>
                <w:lang w:val="en-US"/>
              </w:rPr>
            </w:pPr>
            <w:r w:rsidRPr="0038463D">
              <w:rPr>
                <w:rFonts w:asciiTheme="minorHAnsi" w:hAnsiTheme="minorHAnsi" w:cstheme="minorHAnsi"/>
                <w:b/>
                <w:color w:val="FFFFFF" w:themeColor="background1"/>
                <w:sz w:val="20"/>
                <w:szCs w:val="19"/>
                <w:lang w:val="en-US"/>
              </w:rPr>
              <w:t>PRIME RESPONSIBILITY</w:t>
            </w:r>
          </w:p>
        </w:tc>
      </w:tr>
      <w:tr w:rsidR="00EC2E73" w:rsidRPr="0038463D" w:rsidTr="009F162C">
        <w:trPr>
          <w:jc w:val="center"/>
        </w:trPr>
        <w:tc>
          <w:tcPr>
            <w:tcW w:w="3253" w:type="pct"/>
            <w:tcBorders>
              <w:left w:val="single" w:sz="12" w:space="0" w:color="auto"/>
            </w:tcBorders>
            <w:shd w:val="clear" w:color="auto" w:fill="FFC000"/>
            <w:vAlign w:val="center"/>
          </w:tcPr>
          <w:p w:rsidR="00EC2E73" w:rsidRPr="0038463D" w:rsidRDefault="00EC2E73" w:rsidP="00BE42DC">
            <w:pPr>
              <w:spacing w:after="0"/>
              <w:rPr>
                <w:rFonts w:eastAsia="Times New Roman" w:cs="Calibri"/>
                <w:sz w:val="20"/>
                <w:szCs w:val="19"/>
                <w:lang w:val="en-AU"/>
              </w:rPr>
            </w:pPr>
            <w:r w:rsidRPr="0038463D">
              <w:rPr>
                <w:sz w:val="20"/>
                <w:szCs w:val="19"/>
                <w:lang w:val="en-AU"/>
              </w:rPr>
              <w:t>NS1: EP districts which have very small share of total district budget allocated for education should be monitored and engaged in a dialogue to understand current allocations and future plans.</w:t>
            </w:r>
            <w:r w:rsidR="00BE42DC">
              <w:rPr>
                <w:sz w:val="20"/>
                <w:szCs w:val="19"/>
                <w:lang w:val="en-AU"/>
              </w:rPr>
              <w:t xml:space="preserve"> Coordinate with DFAT health program (where there is health program activity in these districts)</w:t>
            </w:r>
          </w:p>
        </w:tc>
        <w:tc>
          <w:tcPr>
            <w:tcW w:w="1747" w:type="pct"/>
            <w:tcBorders>
              <w:right w:val="single" w:sz="12" w:space="0" w:color="auto"/>
            </w:tcBorders>
            <w:vAlign w:val="center"/>
          </w:tcPr>
          <w:p w:rsidR="00EC2E73" w:rsidRPr="0038463D" w:rsidRDefault="00EC2E73" w:rsidP="009F162C">
            <w:pPr>
              <w:spacing w:after="0"/>
              <w:jc w:val="center"/>
              <w:rPr>
                <w:sz w:val="20"/>
                <w:szCs w:val="19"/>
                <w:lang w:val="en-AU"/>
              </w:rPr>
            </w:pPr>
            <w:r w:rsidRPr="0038463D">
              <w:rPr>
                <w:sz w:val="20"/>
                <w:szCs w:val="19"/>
                <w:lang w:val="en-AU"/>
              </w:rPr>
              <w:t>POM, with DFAT’s approval</w:t>
            </w:r>
          </w:p>
        </w:tc>
      </w:tr>
      <w:tr w:rsidR="00EC2E73" w:rsidRPr="0038463D" w:rsidTr="009F162C">
        <w:trPr>
          <w:jc w:val="center"/>
        </w:trPr>
        <w:tc>
          <w:tcPr>
            <w:tcW w:w="3253" w:type="pct"/>
            <w:tcBorders>
              <w:left w:val="single" w:sz="12" w:space="0" w:color="auto"/>
              <w:bottom w:val="single" w:sz="4" w:space="0" w:color="auto"/>
            </w:tcBorders>
            <w:shd w:val="clear" w:color="auto" w:fill="FFC000"/>
            <w:vAlign w:val="center"/>
          </w:tcPr>
          <w:p w:rsidR="00EC2E73" w:rsidRPr="0038463D" w:rsidRDefault="00EC2E73" w:rsidP="00BE42DC">
            <w:pPr>
              <w:spacing w:after="0"/>
              <w:rPr>
                <w:sz w:val="20"/>
                <w:szCs w:val="19"/>
                <w:lang w:val="en-AU"/>
              </w:rPr>
            </w:pPr>
            <w:r w:rsidRPr="0038463D">
              <w:rPr>
                <w:sz w:val="20"/>
                <w:szCs w:val="19"/>
                <w:lang w:val="en-AU"/>
              </w:rPr>
              <w:t>NS2: Focus diagnostic and policy</w:t>
            </w:r>
            <w:r w:rsidR="00BE42DC">
              <w:rPr>
                <w:sz w:val="20"/>
                <w:szCs w:val="19"/>
                <w:lang w:val="en-AU"/>
              </w:rPr>
              <w:t xml:space="preserve"> response efforts on the Papua island group</w:t>
            </w:r>
            <w:r w:rsidRPr="0038463D">
              <w:rPr>
                <w:sz w:val="20"/>
                <w:szCs w:val="19"/>
                <w:lang w:val="en-AU"/>
              </w:rPr>
              <w:t xml:space="preserve"> to und</w:t>
            </w:r>
            <w:r w:rsidR="00BE42DC">
              <w:rPr>
                <w:sz w:val="20"/>
                <w:szCs w:val="19"/>
                <w:lang w:val="en-AU"/>
              </w:rPr>
              <w:t xml:space="preserve">erstand the factors driving </w:t>
            </w:r>
            <w:r w:rsidRPr="0038463D">
              <w:rPr>
                <w:sz w:val="20"/>
                <w:szCs w:val="19"/>
                <w:lang w:val="en-AU"/>
              </w:rPr>
              <w:t>low educa</w:t>
            </w:r>
            <w:r w:rsidR="00BE42DC">
              <w:rPr>
                <w:sz w:val="20"/>
                <w:szCs w:val="19"/>
                <w:lang w:val="en-AU"/>
              </w:rPr>
              <w:t>tion share of district budgets</w:t>
            </w:r>
          </w:p>
        </w:tc>
        <w:tc>
          <w:tcPr>
            <w:tcW w:w="1747" w:type="pct"/>
            <w:tcBorders>
              <w:right w:val="single" w:sz="12" w:space="0" w:color="auto"/>
            </w:tcBorders>
            <w:vAlign w:val="center"/>
          </w:tcPr>
          <w:p w:rsidR="00EC2E73" w:rsidRPr="0038463D" w:rsidRDefault="00EC2E73" w:rsidP="009F162C">
            <w:pPr>
              <w:spacing w:after="0"/>
              <w:jc w:val="center"/>
              <w:rPr>
                <w:rFonts w:ascii="Gill Sans MT" w:eastAsia="Times New Roman" w:hAnsi="Gill Sans MT" w:cs="Calibri"/>
                <w:sz w:val="20"/>
                <w:szCs w:val="19"/>
                <w:lang w:val="en-AU"/>
              </w:rPr>
            </w:pPr>
            <w:r w:rsidRPr="0038463D">
              <w:rPr>
                <w:sz w:val="20"/>
                <w:szCs w:val="19"/>
                <w:lang w:val="en-AU"/>
              </w:rPr>
              <w:t>DFAT (with POM, where appropriate)</w:t>
            </w:r>
          </w:p>
        </w:tc>
      </w:tr>
      <w:tr w:rsidR="00EC2E73" w:rsidRPr="0038463D" w:rsidTr="009F162C">
        <w:trPr>
          <w:jc w:val="center"/>
        </w:trPr>
        <w:tc>
          <w:tcPr>
            <w:tcW w:w="3253" w:type="pct"/>
            <w:tcBorders>
              <w:left w:val="single" w:sz="12" w:space="0" w:color="auto"/>
              <w:bottom w:val="single" w:sz="4" w:space="0" w:color="auto"/>
            </w:tcBorders>
            <w:shd w:val="clear" w:color="auto" w:fill="FFC000"/>
            <w:vAlign w:val="center"/>
          </w:tcPr>
          <w:p w:rsidR="00EC2E73" w:rsidRPr="0038463D" w:rsidRDefault="00EC2E73" w:rsidP="009F162C">
            <w:pPr>
              <w:spacing w:after="0"/>
              <w:rPr>
                <w:rFonts w:ascii="Gill Sans MT" w:eastAsia="Times New Roman" w:hAnsi="Gill Sans MT" w:cs="Calibri"/>
                <w:sz w:val="20"/>
                <w:szCs w:val="19"/>
                <w:lang w:val="en-AU"/>
              </w:rPr>
            </w:pPr>
            <w:r w:rsidRPr="0038463D">
              <w:rPr>
                <w:sz w:val="20"/>
                <w:szCs w:val="19"/>
                <w:lang w:val="en-AU"/>
              </w:rPr>
              <w:t>NS3: Engage in dialogue with a sample of EP d</w:t>
            </w:r>
            <w:r w:rsidR="00BE42DC">
              <w:rPr>
                <w:sz w:val="20"/>
                <w:szCs w:val="19"/>
                <w:lang w:val="en-AU"/>
              </w:rPr>
              <w:t>istricts that reduced their 2013</w:t>
            </w:r>
            <w:r w:rsidRPr="0038463D">
              <w:rPr>
                <w:sz w:val="20"/>
                <w:szCs w:val="19"/>
                <w:lang w:val="en-AU"/>
              </w:rPr>
              <w:t xml:space="preserve"> education bud</w:t>
            </w:r>
            <w:r w:rsidR="00BE42DC">
              <w:rPr>
                <w:sz w:val="20"/>
                <w:szCs w:val="19"/>
                <w:lang w:val="en-AU"/>
              </w:rPr>
              <w:t>get allocations compared to 2012</w:t>
            </w:r>
            <w:r w:rsidRPr="0038463D">
              <w:rPr>
                <w:sz w:val="20"/>
                <w:szCs w:val="19"/>
                <w:lang w:val="en-AU"/>
              </w:rPr>
              <w:t>. Detailed diagnostics on (i) poorest EP districts that had an a</w:t>
            </w:r>
            <w:r w:rsidR="00BE42DC">
              <w:rPr>
                <w:sz w:val="20"/>
                <w:szCs w:val="19"/>
                <w:lang w:val="en-AU"/>
              </w:rPr>
              <w:t>nnual reduction in their 2012 and 2013</w:t>
            </w:r>
            <w:r w:rsidRPr="0038463D">
              <w:rPr>
                <w:sz w:val="20"/>
                <w:szCs w:val="19"/>
                <w:lang w:val="en-AU"/>
              </w:rPr>
              <w:t xml:space="preserve"> Budget, and (ii) districts with annual drop greater than 10%. Diagnoses to understand reasons for drop and monit</w:t>
            </w:r>
            <w:r w:rsidR="00BE42DC">
              <w:rPr>
                <w:sz w:val="20"/>
                <w:szCs w:val="19"/>
                <w:lang w:val="en-AU"/>
              </w:rPr>
              <w:t>or change in allocations in 2014 and 2015</w:t>
            </w:r>
            <w:r w:rsidRPr="0038463D">
              <w:rPr>
                <w:sz w:val="20"/>
                <w:szCs w:val="19"/>
                <w:lang w:val="en-AU"/>
              </w:rPr>
              <w:t xml:space="preserve"> district budgets.</w:t>
            </w:r>
          </w:p>
        </w:tc>
        <w:tc>
          <w:tcPr>
            <w:tcW w:w="1747" w:type="pct"/>
            <w:tcBorders>
              <w:right w:val="single" w:sz="12" w:space="0" w:color="auto"/>
            </w:tcBorders>
            <w:vAlign w:val="center"/>
          </w:tcPr>
          <w:p w:rsidR="00EC2E73" w:rsidRPr="0038463D" w:rsidRDefault="00EC2E73" w:rsidP="009F162C">
            <w:pPr>
              <w:spacing w:after="0"/>
              <w:jc w:val="center"/>
              <w:rPr>
                <w:sz w:val="20"/>
                <w:szCs w:val="19"/>
                <w:lang w:val="en-AU"/>
              </w:rPr>
            </w:pPr>
            <w:r w:rsidRPr="0038463D">
              <w:rPr>
                <w:sz w:val="20"/>
                <w:szCs w:val="19"/>
                <w:lang w:val="en-AU"/>
              </w:rPr>
              <w:t>MOEC and POM (with DFAT’s approval)</w:t>
            </w:r>
          </w:p>
        </w:tc>
      </w:tr>
      <w:tr w:rsidR="00EC2E73" w:rsidRPr="0038463D" w:rsidTr="009F162C">
        <w:trPr>
          <w:jc w:val="center"/>
        </w:trPr>
        <w:tc>
          <w:tcPr>
            <w:tcW w:w="3253" w:type="pct"/>
            <w:tcBorders>
              <w:left w:val="single" w:sz="12" w:space="0" w:color="auto"/>
              <w:bottom w:val="single" w:sz="12" w:space="0" w:color="auto"/>
            </w:tcBorders>
            <w:shd w:val="clear" w:color="auto" w:fill="92D050"/>
            <w:vAlign w:val="center"/>
          </w:tcPr>
          <w:p w:rsidR="00EC2E73" w:rsidRPr="0038463D" w:rsidRDefault="00EC2E73" w:rsidP="009F162C">
            <w:pPr>
              <w:spacing w:after="0"/>
              <w:rPr>
                <w:rFonts w:ascii="Gill Sans MT" w:eastAsia="Times New Roman" w:hAnsi="Gill Sans MT" w:cs="Calibri"/>
                <w:sz w:val="20"/>
                <w:szCs w:val="24"/>
                <w:lang w:val="en-US"/>
              </w:rPr>
            </w:pPr>
            <w:r>
              <w:rPr>
                <w:sz w:val="20"/>
                <w:szCs w:val="19"/>
                <w:lang w:val="en-AU"/>
              </w:rPr>
              <w:t>NS4</w:t>
            </w:r>
            <w:r w:rsidRPr="0038463D">
              <w:rPr>
                <w:sz w:val="20"/>
                <w:szCs w:val="19"/>
                <w:lang w:val="en-AU"/>
              </w:rPr>
              <w:t>: Liaise with MoEC and other central agencies so as promote the introduction of district report cards on education. These report cards should be produced on annual basis and include key educational development and financial indicators.</w:t>
            </w:r>
          </w:p>
        </w:tc>
        <w:tc>
          <w:tcPr>
            <w:tcW w:w="1747" w:type="pct"/>
            <w:tcBorders>
              <w:bottom w:val="single" w:sz="12" w:space="0" w:color="auto"/>
              <w:right w:val="single" w:sz="12" w:space="0" w:color="auto"/>
            </w:tcBorders>
            <w:vAlign w:val="center"/>
          </w:tcPr>
          <w:p w:rsidR="00EC2E73" w:rsidRPr="0038463D" w:rsidRDefault="00EC2E73" w:rsidP="009F162C">
            <w:pPr>
              <w:spacing w:after="0"/>
              <w:jc w:val="center"/>
              <w:rPr>
                <w:sz w:val="20"/>
                <w:szCs w:val="19"/>
                <w:lang w:val="en-AU"/>
              </w:rPr>
            </w:pPr>
            <w:r>
              <w:rPr>
                <w:sz w:val="20"/>
                <w:szCs w:val="19"/>
                <w:lang w:val="en-AU"/>
              </w:rPr>
              <w:t>DFAT</w:t>
            </w:r>
          </w:p>
        </w:tc>
      </w:tr>
    </w:tbl>
    <w:p w:rsidR="00EC2E73" w:rsidRDefault="00EC2E73" w:rsidP="004B7458">
      <w:pPr>
        <w:spacing w:before="120"/>
        <w:rPr>
          <w:i/>
          <w:sz w:val="18"/>
          <w:lang w:val="en-AU"/>
        </w:rPr>
      </w:pPr>
    </w:p>
    <w:p w:rsidR="00222EFB" w:rsidRPr="00A2598F" w:rsidRDefault="00222EFB" w:rsidP="004B7458">
      <w:pPr>
        <w:spacing w:before="120"/>
        <w:rPr>
          <w:rFonts w:asciiTheme="minorHAnsi" w:hAnsiTheme="minorHAnsi" w:cstheme="minorHAnsi"/>
        </w:rPr>
        <w:sectPr w:rsidR="00222EFB" w:rsidRPr="00A2598F" w:rsidSect="004B7458">
          <w:headerReference w:type="first" r:id="rId108"/>
          <w:footerReference w:type="first" r:id="rId109"/>
          <w:pgSz w:w="11909" w:h="16834" w:code="9"/>
          <w:pgMar w:top="357" w:right="1440" w:bottom="1304" w:left="1440" w:header="431" w:footer="425" w:gutter="0"/>
          <w:cols w:space="720"/>
          <w:titlePg/>
          <w:docGrid w:linePitch="360"/>
        </w:sectPr>
      </w:pPr>
      <w:r w:rsidRPr="00BF536E">
        <w:rPr>
          <w:i/>
          <w:sz w:val="18"/>
          <w:lang w:val="en-AU"/>
        </w:rPr>
        <w:t xml:space="preserve">NB: Red - high </w:t>
      </w:r>
      <w:r>
        <w:rPr>
          <w:i/>
          <w:sz w:val="18"/>
          <w:lang w:val="en-AU"/>
        </w:rPr>
        <w:t>urgency</w:t>
      </w:r>
      <w:r w:rsidRPr="00BF536E">
        <w:rPr>
          <w:i/>
          <w:sz w:val="18"/>
          <w:lang w:val="en-AU"/>
        </w:rPr>
        <w:t xml:space="preserve">; orange - medium </w:t>
      </w:r>
      <w:r>
        <w:rPr>
          <w:i/>
          <w:sz w:val="18"/>
          <w:lang w:val="en-AU"/>
        </w:rPr>
        <w:t>urgency</w:t>
      </w:r>
      <w:r w:rsidRPr="00BF536E">
        <w:rPr>
          <w:i/>
          <w:sz w:val="18"/>
          <w:lang w:val="en-AU"/>
        </w:rPr>
        <w:t xml:space="preserve">; green </w:t>
      </w:r>
      <w:r>
        <w:rPr>
          <w:i/>
          <w:sz w:val="18"/>
          <w:lang w:val="en-AU"/>
        </w:rPr>
        <w:t>–</w:t>
      </w:r>
      <w:r w:rsidRPr="00BF536E">
        <w:rPr>
          <w:i/>
          <w:sz w:val="18"/>
          <w:lang w:val="en-AU"/>
        </w:rPr>
        <w:t xml:space="preserve"> low</w:t>
      </w:r>
      <w:r>
        <w:rPr>
          <w:i/>
          <w:sz w:val="18"/>
          <w:lang w:val="en-AU"/>
        </w:rPr>
        <w:t xml:space="preserve"> urgency </w:t>
      </w:r>
    </w:p>
    <w:p w:rsidR="00B450D8" w:rsidRPr="004B7458" w:rsidRDefault="00B450D8" w:rsidP="009B6D6D">
      <w:pPr>
        <w:pStyle w:val="Heading1"/>
        <w:numPr>
          <w:ilvl w:val="0"/>
          <w:numId w:val="0"/>
        </w:numPr>
        <w:spacing w:after="600"/>
        <w:rPr>
          <w:color w:val="68BAD6"/>
        </w:rPr>
      </w:pPr>
      <w:bookmarkStart w:id="136" w:name="_Toc380740274"/>
      <w:r w:rsidRPr="004B7458">
        <w:rPr>
          <w:color w:val="68BAD6"/>
        </w:rPr>
        <w:lastRenderedPageBreak/>
        <w:t xml:space="preserve">Annex A - </w:t>
      </w:r>
      <w:r w:rsidR="000B523C" w:rsidRPr="004B7458">
        <w:rPr>
          <w:color w:val="68BAD6"/>
        </w:rPr>
        <w:t>EP LOGIC ARCHITECTURE</w:t>
      </w:r>
      <w:bookmarkEnd w:id="136"/>
    </w:p>
    <w:p w:rsidR="00B450D8" w:rsidRDefault="0003457B" w:rsidP="004B7458">
      <w:pPr>
        <w:spacing w:after="360"/>
        <w:jc w:val="center"/>
        <w:rPr>
          <w:rFonts w:asciiTheme="minorHAnsi" w:hAnsiTheme="minorHAnsi" w:cstheme="minorHAnsi"/>
          <w:bCs/>
          <w:color w:val="003880"/>
          <w:kern w:val="32"/>
          <w:sz w:val="32"/>
          <w:szCs w:val="72"/>
        </w:rPr>
      </w:pPr>
      <w:r w:rsidRPr="00851EC7">
        <w:rPr>
          <w:noProof/>
          <w:szCs w:val="20"/>
          <w:lang w:val="en-AU" w:eastAsia="en-AU"/>
        </w:rPr>
        <w:drawing>
          <wp:inline distT="0" distB="0" distL="0" distR="0" wp14:anchorId="1D2C2E70" wp14:editId="42FE3469">
            <wp:extent cx="6401435" cy="4801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01435" cy="4801235"/>
                    </a:xfrm>
                    <a:prstGeom prst="rect">
                      <a:avLst/>
                    </a:prstGeom>
                    <a:noFill/>
                  </pic:spPr>
                </pic:pic>
              </a:graphicData>
            </a:graphic>
          </wp:inline>
        </w:drawing>
      </w:r>
    </w:p>
    <w:p w:rsidR="00514E63" w:rsidRDefault="00514E63" w:rsidP="004B7458">
      <w:pPr>
        <w:spacing w:after="360"/>
        <w:sectPr w:rsidR="00514E63" w:rsidSect="004B7458">
          <w:headerReference w:type="default" r:id="rId111"/>
          <w:footerReference w:type="default" r:id="rId112"/>
          <w:footnotePr>
            <w:numRestart w:val="eachSect"/>
          </w:footnotePr>
          <w:endnotePr>
            <w:numRestart w:val="eachSect"/>
          </w:endnotePr>
          <w:type w:val="evenPage"/>
          <w:pgSz w:w="16834" w:h="11909" w:orient="landscape" w:code="9"/>
          <w:pgMar w:top="357" w:right="1440" w:bottom="1304" w:left="1440" w:header="431" w:footer="425" w:gutter="0"/>
          <w:cols w:space="720"/>
          <w:docGrid w:linePitch="360"/>
        </w:sectPr>
      </w:pPr>
    </w:p>
    <w:p w:rsidR="00854A82" w:rsidRDefault="00B450D8" w:rsidP="009B6D6D">
      <w:pPr>
        <w:pStyle w:val="Heading1"/>
        <w:numPr>
          <w:ilvl w:val="0"/>
          <w:numId w:val="0"/>
        </w:numPr>
        <w:spacing w:after="600"/>
        <w:rPr>
          <w:color w:val="68BAD6"/>
        </w:rPr>
      </w:pPr>
      <w:bookmarkStart w:id="137" w:name="_Toc380740275"/>
      <w:r w:rsidRPr="004B7458">
        <w:rPr>
          <w:color w:val="68BAD6"/>
        </w:rPr>
        <w:lastRenderedPageBreak/>
        <w:t xml:space="preserve">Annex B – Statistical Table Related </w:t>
      </w:r>
      <w:r w:rsidR="007168AC" w:rsidRPr="004B7458">
        <w:rPr>
          <w:color w:val="68BAD6"/>
        </w:rPr>
        <w:t>to EP</w:t>
      </w:r>
      <w:r w:rsidRPr="004B7458">
        <w:rPr>
          <w:color w:val="68BAD6"/>
        </w:rPr>
        <w:t xml:space="preserve"> Districts</w:t>
      </w:r>
      <w:bookmarkEnd w:id="137"/>
    </w:p>
    <w:tbl>
      <w:tblPr>
        <w:tblW w:w="82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1749"/>
        <w:gridCol w:w="1322"/>
        <w:gridCol w:w="1338"/>
        <w:gridCol w:w="1438"/>
      </w:tblGrid>
      <w:tr w:rsidR="00CA3181" w:rsidRPr="00CA3181" w:rsidTr="00CA3181">
        <w:trPr>
          <w:trHeight w:val="455"/>
          <w:tblHeader/>
        </w:trPr>
        <w:tc>
          <w:tcPr>
            <w:tcW w:w="8260" w:type="dxa"/>
            <w:gridSpan w:val="5"/>
            <w:shd w:val="clear" w:color="auto" w:fill="1F497D" w:themeFill="text2"/>
            <w:noWrap/>
            <w:vAlign w:val="bottom"/>
          </w:tcPr>
          <w:p w:rsidR="00CA3181" w:rsidRPr="00CA3181" w:rsidRDefault="00CA3181" w:rsidP="00CA3181">
            <w:pPr>
              <w:spacing w:after="0"/>
              <w:jc w:val="center"/>
              <w:rPr>
                <w:rFonts w:cs="Times New Roman"/>
                <w:color w:val="000000"/>
                <w:sz w:val="20"/>
                <w:szCs w:val="20"/>
                <w:lang w:val="en-AU" w:eastAsia="en-AU"/>
              </w:rPr>
            </w:pPr>
            <w:r w:rsidRPr="00CA3181">
              <w:rPr>
                <w:rFonts w:asciiTheme="minorHAnsi" w:hAnsiTheme="minorHAnsi" w:cs="Arial"/>
                <w:b/>
                <w:color w:val="FFFFFF" w:themeColor="background1"/>
                <w:sz w:val="20"/>
                <w:szCs w:val="20"/>
                <w:lang w:eastAsia="en-AU"/>
              </w:rPr>
              <w:t>Component 1:</w:t>
            </w:r>
            <w:r>
              <w:rPr>
                <w:rFonts w:asciiTheme="minorHAnsi" w:hAnsiTheme="minorHAnsi" w:cs="Arial"/>
                <w:b/>
                <w:color w:val="FFFFFF" w:themeColor="background1"/>
                <w:sz w:val="20"/>
                <w:szCs w:val="20"/>
                <w:lang w:eastAsia="en-AU"/>
              </w:rPr>
              <w:t xml:space="preserve"> AI</w:t>
            </w:r>
            <w:r w:rsidR="003245E4">
              <w:rPr>
                <w:rFonts w:asciiTheme="minorHAnsi" w:hAnsiTheme="minorHAnsi" w:cs="Arial"/>
                <w:b/>
                <w:color w:val="FFFFFF" w:themeColor="background1"/>
                <w:sz w:val="20"/>
                <w:szCs w:val="20"/>
                <w:lang w:eastAsia="en-AU"/>
              </w:rPr>
              <w:t>E</w:t>
            </w:r>
            <w:r>
              <w:rPr>
                <w:rFonts w:asciiTheme="minorHAnsi" w:hAnsiTheme="minorHAnsi" w:cs="Arial"/>
                <w:b/>
                <w:color w:val="FFFFFF" w:themeColor="background1"/>
                <w:sz w:val="20"/>
                <w:szCs w:val="20"/>
                <w:lang w:eastAsia="en-AU"/>
              </w:rPr>
              <w:t>P 2013</w:t>
            </w:r>
          </w:p>
        </w:tc>
      </w:tr>
      <w:tr w:rsidR="00CA3181" w:rsidRPr="00CA3181" w:rsidTr="00CA3181">
        <w:trPr>
          <w:trHeight w:val="855"/>
          <w:tblHeader/>
        </w:trPr>
        <w:tc>
          <w:tcPr>
            <w:tcW w:w="2413" w:type="dxa"/>
            <w:shd w:val="clear" w:color="auto" w:fill="8DB3E2" w:themeFill="text2" w:themeFillTint="66"/>
            <w:noWrap/>
            <w:vAlign w:val="bottom"/>
            <w:hideMark/>
          </w:tcPr>
          <w:p w:rsidR="00CA3181" w:rsidRPr="00CA3181" w:rsidRDefault="00CA3181" w:rsidP="00CA3181">
            <w:pPr>
              <w:spacing w:after="0"/>
              <w:rPr>
                <w:rFonts w:cs="Times New Roman"/>
                <w:color w:val="FFFFFF" w:themeColor="background1"/>
                <w:sz w:val="20"/>
                <w:szCs w:val="20"/>
                <w:lang w:val="en-AU" w:eastAsia="en-AU"/>
              </w:rPr>
            </w:pPr>
            <w:r w:rsidRPr="00CA3181">
              <w:rPr>
                <w:rFonts w:cs="Times New Roman"/>
                <w:color w:val="FFFFFF" w:themeColor="background1"/>
                <w:sz w:val="20"/>
                <w:szCs w:val="20"/>
                <w:lang w:val="en-AU" w:eastAsia="en-AU"/>
              </w:rPr>
              <w:t>Island/District</w:t>
            </w:r>
          </w:p>
        </w:tc>
        <w:tc>
          <w:tcPr>
            <w:tcW w:w="1749" w:type="dxa"/>
            <w:shd w:val="clear" w:color="auto" w:fill="8DB3E2" w:themeFill="text2" w:themeFillTint="66"/>
            <w:vAlign w:val="bottom"/>
            <w:hideMark/>
          </w:tcPr>
          <w:p w:rsidR="00CA3181" w:rsidRPr="00CA3181" w:rsidRDefault="00CA3181" w:rsidP="00CA3181">
            <w:pPr>
              <w:spacing w:after="0"/>
              <w:jc w:val="right"/>
              <w:rPr>
                <w:rFonts w:cs="Times New Roman"/>
                <w:color w:val="FFFFFF" w:themeColor="background1"/>
                <w:sz w:val="20"/>
                <w:szCs w:val="20"/>
                <w:lang w:val="en-AU" w:eastAsia="en-AU"/>
              </w:rPr>
            </w:pPr>
            <w:r w:rsidRPr="00CA3181">
              <w:rPr>
                <w:rFonts w:cs="Times New Roman"/>
                <w:color w:val="FFFFFF" w:themeColor="background1"/>
                <w:sz w:val="20"/>
                <w:szCs w:val="20"/>
                <w:lang w:eastAsia="en-AU"/>
              </w:rPr>
              <w:t>Education Expenditure per Student (Rp. Million)</w:t>
            </w:r>
          </w:p>
        </w:tc>
        <w:tc>
          <w:tcPr>
            <w:tcW w:w="1322" w:type="dxa"/>
            <w:shd w:val="clear" w:color="auto" w:fill="8DB3E2" w:themeFill="text2" w:themeFillTint="66"/>
            <w:vAlign w:val="bottom"/>
            <w:hideMark/>
          </w:tcPr>
          <w:p w:rsidR="00CA3181" w:rsidRPr="00CA3181" w:rsidRDefault="00CA3181" w:rsidP="00CA3181">
            <w:pPr>
              <w:spacing w:after="0"/>
              <w:jc w:val="right"/>
              <w:rPr>
                <w:rFonts w:cs="Times New Roman"/>
                <w:color w:val="FFFFFF" w:themeColor="background1"/>
                <w:sz w:val="20"/>
                <w:szCs w:val="20"/>
                <w:lang w:val="en-AU" w:eastAsia="en-AU"/>
              </w:rPr>
            </w:pPr>
            <w:r w:rsidRPr="00CA3181">
              <w:rPr>
                <w:rFonts w:cs="Times New Roman"/>
                <w:color w:val="FFFFFF" w:themeColor="background1"/>
                <w:sz w:val="20"/>
                <w:szCs w:val="20"/>
                <w:lang w:val="en-AU" w:eastAsia="en-AU"/>
              </w:rPr>
              <w:t>Education Share of</w:t>
            </w:r>
            <w:r w:rsidRPr="00CA3181">
              <w:rPr>
                <w:rFonts w:cs="Times New Roman"/>
                <w:color w:val="FFFFFF" w:themeColor="background1"/>
                <w:sz w:val="20"/>
                <w:szCs w:val="20"/>
                <w:lang w:val="en-AU" w:eastAsia="en-AU"/>
              </w:rPr>
              <w:br/>
              <w:t xml:space="preserve">  District Budget</w:t>
            </w:r>
          </w:p>
        </w:tc>
        <w:tc>
          <w:tcPr>
            <w:tcW w:w="1338" w:type="dxa"/>
            <w:shd w:val="clear" w:color="auto" w:fill="8DB3E2" w:themeFill="text2" w:themeFillTint="66"/>
            <w:vAlign w:val="bottom"/>
            <w:hideMark/>
          </w:tcPr>
          <w:p w:rsidR="00CA3181" w:rsidRPr="00CA3181" w:rsidRDefault="00CA3181" w:rsidP="00CA3181">
            <w:pPr>
              <w:spacing w:after="0"/>
              <w:jc w:val="right"/>
              <w:rPr>
                <w:rFonts w:cs="Times New Roman"/>
                <w:color w:val="FFFFFF" w:themeColor="background1"/>
                <w:sz w:val="20"/>
                <w:szCs w:val="20"/>
                <w:lang w:val="en-AU" w:eastAsia="en-AU"/>
              </w:rPr>
            </w:pPr>
            <w:r w:rsidRPr="00CA3181">
              <w:rPr>
                <w:rFonts w:cs="Times New Roman"/>
                <w:color w:val="FFFFFF" w:themeColor="background1"/>
                <w:sz w:val="20"/>
                <w:szCs w:val="20"/>
                <w:lang w:val="en-AU" w:eastAsia="en-AU"/>
              </w:rPr>
              <w:t xml:space="preserve">Education Budget </w:t>
            </w:r>
            <w:r w:rsidRPr="00CA3181">
              <w:rPr>
                <w:rFonts w:cs="Times New Roman"/>
                <w:color w:val="FFFFFF" w:themeColor="background1"/>
                <w:sz w:val="20"/>
                <w:szCs w:val="20"/>
                <w:lang w:val="en-AU" w:eastAsia="en-AU"/>
              </w:rPr>
              <w:br/>
              <w:t>Annual Growth</w:t>
            </w:r>
          </w:p>
        </w:tc>
        <w:tc>
          <w:tcPr>
            <w:tcW w:w="1438" w:type="dxa"/>
            <w:shd w:val="clear" w:color="auto" w:fill="8DB3E2" w:themeFill="text2" w:themeFillTint="66"/>
            <w:vAlign w:val="bottom"/>
            <w:hideMark/>
          </w:tcPr>
          <w:p w:rsidR="00CA3181" w:rsidRPr="00CA3181" w:rsidRDefault="00CA3181" w:rsidP="00CA3181">
            <w:pPr>
              <w:spacing w:after="0"/>
              <w:jc w:val="right"/>
              <w:rPr>
                <w:rFonts w:cs="Times New Roman"/>
                <w:color w:val="FFFFFF" w:themeColor="background1"/>
                <w:sz w:val="20"/>
                <w:szCs w:val="20"/>
                <w:lang w:val="en-AU" w:eastAsia="en-AU"/>
              </w:rPr>
            </w:pPr>
            <w:r w:rsidRPr="00CA3181">
              <w:rPr>
                <w:rFonts w:cs="Times New Roman"/>
                <w:color w:val="FFFFFF" w:themeColor="background1"/>
                <w:sz w:val="20"/>
                <w:szCs w:val="20"/>
                <w:lang w:val="en-AU" w:eastAsia="en-AU"/>
              </w:rPr>
              <w:t xml:space="preserve">Education District Budget </w:t>
            </w:r>
            <w:r w:rsidRPr="00CA3181">
              <w:rPr>
                <w:rFonts w:cs="Times New Roman"/>
                <w:color w:val="FFFFFF" w:themeColor="background1"/>
                <w:sz w:val="20"/>
                <w:szCs w:val="20"/>
                <w:lang w:val="en-AU" w:eastAsia="en-AU"/>
              </w:rPr>
              <w:br/>
              <w:t>(Rp. Million)</w:t>
            </w:r>
          </w:p>
        </w:tc>
      </w:tr>
      <w:tr w:rsidR="00CA3181" w:rsidRPr="00CA3181" w:rsidTr="00CA3181">
        <w:trPr>
          <w:trHeight w:val="300"/>
        </w:trPr>
        <w:tc>
          <w:tcPr>
            <w:tcW w:w="2413" w:type="dxa"/>
            <w:shd w:val="clear" w:color="auto" w:fill="C6D9F1" w:themeFill="text2" w:themeFillTint="33"/>
            <w:noWrap/>
            <w:vAlign w:val="bottom"/>
          </w:tcPr>
          <w:p w:rsidR="00CA3181" w:rsidRPr="00CA3181" w:rsidRDefault="00CA3181" w:rsidP="00CA3181">
            <w:pPr>
              <w:spacing w:after="0"/>
              <w:rPr>
                <w:rFonts w:cs="Times New Roman"/>
                <w:color w:val="000000"/>
                <w:sz w:val="20"/>
                <w:szCs w:val="20"/>
                <w:lang w:val="en-AU" w:eastAsia="en-AU"/>
              </w:rPr>
            </w:pPr>
            <w:r>
              <w:rPr>
                <w:rFonts w:cs="Times New Roman"/>
                <w:color w:val="000000"/>
                <w:sz w:val="20"/>
                <w:szCs w:val="20"/>
                <w:lang w:val="en-AU" w:eastAsia="en-AU"/>
              </w:rPr>
              <w:t>Bali and Nusa Tenggara</w:t>
            </w:r>
          </w:p>
        </w:tc>
        <w:tc>
          <w:tcPr>
            <w:tcW w:w="1749" w:type="dxa"/>
            <w:shd w:val="clear" w:color="auto" w:fill="C6D9F1" w:themeFill="text2" w:themeFillTint="33"/>
            <w:noWrap/>
            <w:vAlign w:val="bottom"/>
          </w:tcPr>
          <w:p w:rsidR="00CA3181" w:rsidRPr="00CA3181" w:rsidRDefault="00CA3181" w:rsidP="00CA3181">
            <w:pPr>
              <w:spacing w:after="0"/>
              <w:jc w:val="right"/>
              <w:rPr>
                <w:rFonts w:cs="Times New Roman"/>
                <w:color w:val="000000"/>
                <w:sz w:val="20"/>
                <w:szCs w:val="20"/>
                <w:lang w:val="en-AU" w:eastAsia="en-AU"/>
              </w:rPr>
            </w:pPr>
          </w:p>
        </w:tc>
        <w:tc>
          <w:tcPr>
            <w:tcW w:w="1322" w:type="dxa"/>
            <w:shd w:val="clear" w:color="auto" w:fill="C6D9F1" w:themeFill="text2" w:themeFillTint="33"/>
            <w:noWrap/>
            <w:vAlign w:val="bottom"/>
          </w:tcPr>
          <w:p w:rsidR="00CA3181" w:rsidRPr="00CA3181" w:rsidRDefault="00CA3181" w:rsidP="00CA3181">
            <w:pPr>
              <w:spacing w:after="0"/>
              <w:jc w:val="right"/>
              <w:rPr>
                <w:rFonts w:cs="Times New Roman"/>
                <w:color w:val="000000"/>
                <w:sz w:val="20"/>
                <w:szCs w:val="20"/>
                <w:lang w:val="en-AU" w:eastAsia="en-AU"/>
              </w:rPr>
            </w:pPr>
          </w:p>
        </w:tc>
        <w:tc>
          <w:tcPr>
            <w:tcW w:w="1338" w:type="dxa"/>
            <w:shd w:val="clear" w:color="auto" w:fill="C6D9F1" w:themeFill="text2" w:themeFillTint="33"/>
            <w:noWrap/>
            <w:vAlign w:val="bottom"/>
          </w:tcPr>
          <w:p w:rsidR="00CA3181" w:rsidRPr="00CA3181" w:rsidRDefault="00CA3181" w:rsidP="00CA3181">
            <w:pPr>
              <w:spacing w:after="0"/>
              <w:jc w:val="right"/>
              <w:rPr>
                <w:rFonts w:cs="Times New Roman"/>
                <w:color w:val="000000"/>
                <w:sz w:val="20"/>
                <w:szCs w:val="20"/>
                <w:lang w:val="en-AU" w:eastAsia="en-AU"/>
              </w:rPr>
            </w:pPr>
          </w:p>
        </w:tc>
        <w:tc>
          <w:tcPr>
            <w:tcW w:w="1438" w:type="dxa"/>
            <w:shd w:val="clear" w:color="auto" w:fill="C6D9F1" w:themeFill="text2" w:themeFillTint="33"/>
            <w:noWrap/>
            <w:vAlign w:val="bottom"/>
          </w:tcPr>
          <w:p w:rsidR="00CA3181" w:rsidRPr="00CA3181" w:rsidRDefault="00CA3181" w:rsidP="00CA3181">
            <w:pPr>
              <w:spacing w:after="0"/>
              <w:jc w:val="right"/>
              <w:rPr>
                <w:rFonts w:cs="Times New Roman"/>
                <w:color w:val="000000"/>
                <w:sz w:val="20"/>
                <w:szCs w:val="20"/>
                <w:lang w:val="en-AU" w:eastAsia="en-AU"/>
              </w:rPr>
            </w:pP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Belu</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2.62</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35.63%</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-13.63%</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273,508</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Flores Timur</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4.68</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40.65%</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2.22%</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283,683</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Kupang</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3.56</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29.79%</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-10.92%</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255,450</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Lombok Tengah</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0.73</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28.92%</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-71.33%</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145,003</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Sabu Raijua</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4.23</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24.75%</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-32.65%</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85,006</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Sumba Barat</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3.05</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25.56%</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164.94%</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114,858</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Sumba Barat Daya</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1.88</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32.20%</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4.70%</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167,088</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Sumba Timur</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3.52</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35.41%</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18.35%</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258,771</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Sumbawa</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3.18</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33.83%</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-5.02%</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299,115</w:t>
            </w:r>
          </w:p>
        </w:tc>
      </w:tr>
      <w:tr w:rsidR="00CA3181" w:rsidRPr="00CA3181" w:rsidTr="00CA3181">
        <w:trPr>
          <w:trHeight w:val="300"/>
        </w:trPr>
        <w:tc>
          <w:tcPr>
            <w:tcW w:w="2413" w:type="dxa"/>
            <w:shd w:val="clear" w:color="auto" w:fill="C6D9F1" w:themeFill="text2" w:themeFillTint="33"/>
            <w:noWrap/>
            <w:vAlign w:val="bottom"/>
          </w:tcPr>
          <w:p w:rsidR="00CA3181" w:rsidRPr="00CA3181" w:rsidRDefault="00CA3181" w:rsidP="00CA3181">
            <w:pPr>
              <w:spacing w:after="0"/>
              <w:rPr>
                <w:rFonts w:cs="Times New Roman"/>
                <w:color w:val="000000"/>
                <w:sz w:val="20"/>
                <w:szCs w:val="20"/>
                <w:lang w:val="en-AU" w:eastAsia="en-AU"/>
              </w:rPr>
            </w:pPr>
            <w:r>
              <w:rPr>
                <w:rFonts w:cs="Times New Roman"/>
                <w:color w:val="000000"/>
                <w:sz w:val="20"/>
                <w:szCs w:val="20"/>
                <w:lang w:val="en-AU" w:eastAsia="en-AU"/>
              </w:rPr>
              <w:t>Java</w:t>
            </w:r>
          </w:p>
        </w:tc>
        <w:tc>
          <w:tcPr>
            <w:tcW w:w="1749" w:type="dxa"/>
            <w:shd w:val="clear" w:color="auto" w:fill="C6D9F1" w:themeFill="text2" w:themeFillTint="33"/>
            <w:noWrap/>
            <w:vAlign w:val="bottom"/>
          </w:tcPr>
          <w:p w:rsidR="00CA3181" w:rsidRPr="00CA3181" w:rsidRDefault="00CA3181" w:rsidP="00CA3181">
            <w:pPr>
              <w:spacing w:after="0"/>
              <w:jc w:val="right"/>
              <w:rPr>
                <w:rFonts w:cs="Times New Roman"/>
                <w:color w:val="000000"/>
                <w:sz w:val="20"/>
                <w:szCs w:val="20"/>
                <w:lang w:val="en-AU" w:eastAsia="en-AU"/>
              </w:rPr>
            </w:pPr>
          </w:p>
        </w:tc>
        <w:tc>
          <w:tcPr>
            <w:tcW w:w="1322" w:type="dxa"/>
            <w:shd w:val="clear" w:color="auto" w:fill="C6D9F1" w:themeFill="text2" w:themeFillTint="33"/>
            <w:noWrap/>
            <w:vAlign w:val="bottom"/>
          </w:tcPr>
          <w:p w:rsidR="00CA3181" w:rsidRPr="00CA3181" w:rsidRDefault="00CA3181" w:rsidP="00CA3181">
            <w:pPr>
              <w:spacing w:after="0"/>
              <w:jc w:val="right"/>
              <w:rPr>
                <w:rFonts w:cs="Times New Roman"/>
                <w:color w:val="000000"/>
                <w:sz w:val="20"/>
                <w:szCs w:val="20"/>
                <w:lang w:val="en-AU" w:eastAsia="en-AU"/>
              </w:rPr>
            </w:pPr>
          </w:p>
        </w:tc>
        <w:tc>
          <w:tcPr>
            <w:tcW w:w="1338" w:type="dxa"/>
            <w:shd w:val="clear" w:color="auto" w:fill="C6D9F1" w:themeFill="text2" w:themeFillTint="33"/>
            <w:noWrap/>
            <w:vAlign w:val="bottom"/>
          </w:tcPr>
          <w:p w:rsidR="00CA3181" w:rsidRPr="00CA3181" w:rsidRDefault="00CA3181" w:rsidP="00CA3181">
            <w:pPr>
              <w:spacing w:after="0"/>
              <w:jc w:val="right"/>
              <w:rPr>
                <w:rFonts w:cs="Times New Roman"/>
                <w:color w:val="000000"/>
                <w:sz w:val="20"/>
                <w:szCs w:val="20"/>
                <w:lang w:val="en-AU" w:eastAsia="en-AU"/>
              </w:rPr>
            </w:pPr>
          </w:p>
        </w:tc>
        <w:tc>
          <w:tcPr>
            <w:tcW w:w="1438" w:type="dxa"/>
            <w:shd w:val="clear" w:color="auto" w:fill="C6D9F1" w:themeFill="text2" w:themeFillTint="33"/>
            <w:noWrap/>
            <w:vAlign w:val="bottom"/>
          </w:tcPr>
          <w:p w:rsidR="00CA3181" w:rsidRPr="00CA3181" w:rsidRDefault="00CA3181" w:rsidP="00CA3181">
            <w:pPr>
              <w:spacing w:after="0"/>
              <w:jc w:val="right"/>
              <w:rPr>
                <w:rFonts w:cs="Times New Roman"/>
                <w:color w:val="000000"/>
                <w:sz w:val="20"/>
                <w:szCs w:val="20"/>
                <w:lang w:val="en-AU" w:eastAsia="en-AU"/>
              </w:rPr>
            </w:pP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Bandung</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1.96</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44.72%</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-4.56%</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1,253,687</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Bandung Barat</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1.70</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39.04%</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-7.13%</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561,011</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Bangkalan</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2.28</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38.43%</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3.63%</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526,901</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Batang</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3.53</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43.56%</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-2.92%</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457,051</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Bekasi</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1.84</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32.08%</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22.74%</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989,142</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Cianjur</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2.21</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49.83%</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34.30%</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1,068,954</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Garut</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2.44</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52.22%</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17.01%</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1,429,332</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Grobogan</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2.89</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51.87%</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25.50%</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797,204</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Indramayu</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2.76</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45.83%</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9.25%</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958,253</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Kebumen</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3.18</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50.76%</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14.67%</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829,733</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Kediri</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3.17</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46.05%</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3.62%</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782,779</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Lebak</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2.18</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45.57%</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11.80%</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666,048</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Pasuruan</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3.00</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44.50%</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20.20%</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843,215</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Ponorogo</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4.53</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49.53%</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9.13%</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676,886</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Probolinggo</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2.70</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42.70%</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5.20%</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578,998</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Purwakarta</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2.67</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36.16%</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19.54%</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509,305</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Situbondo</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4.07</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43.00%</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10.98%</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488,790</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Tangerang</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1.48</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32.93%</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27.08%</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930,943</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Tuban</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3.49</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44.47%</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12.01%</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674,884</w:t>
            </w:r>
          </w:p>
        </w:tc>
      </w:tr>
      <w:tr w:rsidR="00CA3181" w:rsidRPr="00CA3181" w:rsidTr="00CA3181">
        <w:trPr>
          <w:trHeight w:val="300"/>
        </w:trPr>
        <w:tc>
          <w:tcPr>
            <w:tcW w:w="2413" w:type="dxa"/>
            <w:shd w:val="clear" w:color="auto" w:fill="C6D9F1" w:themeFill="text2" w:themeFillTint="33"/>
            <w:noWrap/>
            <w:vAlign w:val="bottom"/>
          </w:tcPr>
          <w:p w:rsidR="00CA3181" w:rsidRPr="00CA3181" w:rsidRDefault="00CA3181" w:rsidP="00CA3181">
            <w:pPr>
              <w:spacing w:after="0"/>
              <w:rPr>
                <w:rFonts w:cs="Times New Roman"/>
                <w:color w:val="000000"/>
                <w:sz w:val="20"/>
                <w:szCs w:val="20"/>
                <w:lang w:val="en-AU" w:eastAsia="en-AU"/>
              </w:rPr>
            </w:pPr>
            <w:r>
              <w:rPr>
                <w:rFonts w:cs="Times New Roman"/>
                <w:color w:val="000000"/>
                <w:sz w:val="20"/>
                <w:szCs w:val="20"/>
                <w:lang w:val="en-AU" w:eastAsia="en-AU"/>
              </w:rPr>
              <w:t>Kalimantan</w:t>
            </w:r>
          </w:p>
        </w:tc>
        <w:tc>
          <w:tcPr>
            <w:tcW w:w="1749" w:type="dxa"/>
            <w:shd w:val="clear" w:color="auto" w:fill="C6D9F1" w:themeFill="text2" w:themeFillTint="33"/>
            <w:noWrap/>
            <w:vAlign w:val="bottom"/>
          </w:tcPr>
          <w:p w:rsidR="00CA3181" w:rsidRPr="00CA3181" w:rsidRDefault="00CA3181" w:rsidP="00CA3181">
            <w:pPr>
              <w:spacing w:after="0"/>
              <w:jc w:val="right"/>
              <w:rPr>
                <w:rFonts w:cs="Times New Roman"/>
                <w:color w:val="000000"/>
                <w:sz w:val="20"/>
                <w:szCs w:val="20"/>
                <w:lang w:val="en-AU" w:eastAsia="en-AU"/>
              </w:rPr>
            </w:pPr>
          </w:p>
        </w:tc>
        <w:tc>
          <w:tcPr>
            <w:tcW w:w="1322" w:type="dxa"/>
            <w:shd w:val="clear" w:color="auto" w:fill="C6D9F1" w:themeFill="text2" w:themeFillTint="33"/>
            <w:noWrap/>
            <w:vAlign w:val="bottom"/>
          </w:tcPr>
          <w:p w:rsidR="00CA3181" w:rsidRPr="00CA3181" w:rsidRDefault="00CA3181" w:rsidP="00CA3181">
            <w:pPr>
              <w:spacing w:after="0"/>
              <w:jc w:val="right"/>
              <w:rPr>
                <w:rFonts w:cs="Times New Roman"/>
                <w:color w:val="000000"/>
                <w:sz w:val="20"/>
                <w:szCs w:val="20"/>
                <w:lang w:val="en-AU" w:eastAsia="en-AU"/>
              </w:rPr>
            </w:pPr>
          </w:p>
        </w:tc>
        <w:tc>
          <w:tcPr>
            <w:tcW w:w="1338" w:type="dxa"/>
            <w:shd w:val="clear" w:color="auto" w:fill="C6D9F1" w:themeFill="text2" w:themeFillTint="33"/>
            <w:noWrap/>
            <w:vAlign w:val="bottom"/>
          </w:tcPr>
          <w:p w:rsidR="00CA3181" w:rsidRPr="00CA3181" w:rsidRDefault="00CA3181" w:rsidP="00CA3181">
            <w:pPr>
              <w:spacing w:after="0"/>
              <w:jc w:val="right"/>
              <w:rPr>
                <w:rFonts w:cs="Times New Roman"/>
                <w:color w:val="000000"/>
                <w:sz w:val="20"/>
                <w:szCs w:val="20"/>
                <w:lang w:val="en-AU" w:eastAsia="en-AU"/>
              </w:rPr>
            </w:pPr>
          </w:p>
        </w:tc>
        <w:tc>
          <w:tcPr>
            <w:tcW w:w="1438" w:type="dxa"/>
            <w:shd w:val="clear" w:color="auto" w:fill="C6D9F1" w:themeFill="text2" w:themeFillTint="33"/>
            <w:noWrap/>
            <w:vAlign w:val="bottom"/>
          </w:tcPr>
          <w:p w:rsidR="00CA3181" w:rsidRPr="00CA3181" w:rsidRDefault="00CA3181" w:rsidP="00CA3181">
            <w:pPr>
              <w:spacing w:after="0"/>
              <w:jc w:val="right"/>
              <w:rPr>
                <w:rFonts w:cs="Times New Roman"/>
                <w:color w:val="000000"/>
                <w:sz w:val="20"/>
                <w:szCs w:val="20"/>
                <w:lang w:val="en-AU" w:eastAsia="en-AU"/>
              </w:rPr>
            </w:pP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Balangan</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9.33</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29.70%</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18.28%</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214,872</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Barito Kuala</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5.81</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38.42%</w:t>
            </w:r>
          </w:p>
        </w:tc>
        <w:tc>
          <w:tcPr>
            <w:tcW w:w="1338"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301,013</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Barito Timur</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7.82</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27.38%</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5.00%</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168,657</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Bengkayang</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4.44</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33.91%</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40.73%</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248,169</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Ketapang</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3.38</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27.07%</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13.41%</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325,602</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Landak</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3.36</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34.14%</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12.95%</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306,437</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Malinau</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17.50</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12.33%</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12.15%</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302,108</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Sekadau</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4.19</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31.18%</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-0.62%</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182,383</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lastRenderedPageBreak/>
              <w:t>Sukamara</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10.33</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19.87%</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14.03%</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107,946</w:t>
            </w:r>
          </w:p>
        </w:tc>
      </w:tr>
      <w:tr w:rsidR="00CA3181" w:rsidRPr="00CA3181" w:rsidTr="00CA3181">
        <w:trPr>
          <w:trHeight w:val="300"/>
        </w:trPr>
        <w:tc>
          <w:tcPr>
            <w:tcW w:w="2413" w:type="dxa"/>
            <w:shd w:val="clear" w:color="auto" w:fill="C6D9F1" w:themeFill="text2" w:themeFillTint="33"/>
            <w:noWrap/>
            <w:vAlign w:val="bottom"/>
          </w:tcPr>
          <w:p w:rsidR="00CA3181" w:rsidRPr="00CA3181" w:rsidRDefault="00CA3181" w:rsidP="00CA3181">
            <w:pPr>
              <w:spacing w:after="0"/>
              <w:rPr>
                <w:rFonts w:cs="Times New Roman"/>
                <w:color w:val="000000"/>
                <w:sz w:val="20"/>
                <w:szCs w:val="20"/>
                <w:lang w:val="en-AU" w:eastAsia="en-AU"/>
              </w:rPr>
            </w:pPr>
            <w:r>
              <w:rPr>
                <w:rFonts w:cs="Times New Roman"/>
                <w:color w:val="000000"/>
                <w:sz w:val="20"/>
                <w:szCs w:val="20"/>
                <w:lang w:val="en-AU" w:eastAsia="en-AU"/>
              </w:rPr>
              <w:t>Maluku</w:t>
            </w:r>
          </w:p>
        </w:tc>
        <w:tc>
          <w:tcPr>
            <w:tcW w:w="1749" w:type="dxa"/>
            <w:shd w:val="clear" w:color="auto" w:fill="C6D9F1" w:themeFill="text2" w:themeFillTint="33"/>
            <w:noWrap/>
            <w:vAlign w:val="bottom"/>
          </w:tcPr>
          <w:p w:rsidR="00CA3181" w:rsidRPr="00CA3181" w:rsidRDefault="00CA3181" w:rsidP="00CA3181">
            <w:pPr>
              <w:spacing w:after="0"/>
              <w:jc w:val="right"/>
              <w:rPr>
                <w:rFonts w:cs="Times New Roman"/>
                <w:color w:val="000000"/>
                <w:sz w:val="20"/>
                <w:szCs w:val="20"/>
                <w:lang w:val="en-AU" w:eastAsia="en-AU"/>
              </w:rPr>
            </w:pPr>
          </w:p>
        </w:tc>
        <w:tc>
          <w:tcPr>
            <w:tcW w:w="1322" w:type="dxa"/>
            <w:shd w:val="clear" w:color="auto" w:fill="C6D9F1" w:themeFill="text2" w:themeFillTint="33"/>
            <w:noWrap/>
            <w:vAlign w:val="bottom"/>
          </w:tcPr>
          <w:p w:rsidR="00CA3181" w:rsidRPr="00CA3181" w:rsidRDefault="00CA3181" w:rsidP="00CA3181">
            <w:pPr>
              <w:spacing w:after="0"/>
              <w:jc w:val="right"/>
              <w:rPr>
                <w:rFonts w:cs="Times New Roman"/>
                <w:color w:val="000000"/>
                <w:sz w:val="20"/>
                <w:szCs w:val="20"/>
                <w:lang w:val="en-AU" w:eastAsia="en-AU"/>
              </w:rPr>
            </w:pPr>
          </w:p>
        </w:tc>
        <w:tc>
          <w:tcPr>
            <w:tcW w:w="1338" w:type="dxa"/>
            <w:shd w:val="clear" w:color="auto" w:fill="C6D9F1" w:themeFill="text2" w:themeFillTint="33"/>
            <w:noWrap/>
            <w:vAlign w:val="bottom"/>
          </w:tcPr>
          <w:p w:rsidR="00CA3181" w:rsidRPr="00CA3181" w:rsidRDefault="00CA3181" w:rsidP="00CA3181">
            <w:pPr>
              <w:spacing w:after="0"/>
              <w:jc w:val="right"/>
              <w:rPr>
                <w:rFonts w:cs="Times New Roman"/>
                <w:color w:val="000000"/>
                <w:sz w:val="20"/>
                <w:szCs w:val="20"/>
                <w:lang w:val="en-AU" w:eastAsia="en-AU"/>
              </w:rPr>
            </w:pPr>
          </w:p>
        </w:tc>
        <w:tc>
          <w:tcPr>
            <w:tcW w:w="1438" w:type="dxa"/>
            <w:shd w:val="clear" w:color="auto" w:fill="C6D9F1" w:themeFill="text2" w:themeFillTint="33"/>
            <w:noWrap/>
            <w:vAlign w:val="bottom"/>
          </w:tcPr>
          <w:p w:rsidR="00CA3181" w:rsidRPr="00CA3181" w:rsidRDefault="00CA3181" w:rsidP="00CA3181">
            <w:pPr>
              <w:spacing w:after="0"/>
              <w:jc w:val="right"/>
              <w:rPr>
                <w:rFonts w:cs="Times New Roman"/>
                <w:color w:val="000000"/>
                <w:sz w:val="20"/>
                <w:szCs w:val="20"/>
                <w:lang w:val="en-AU" w:eastAsia="en-AU"/>
              </w:rPr>
            </w:pP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Buru</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4.78</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27.25%</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13.01%</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152,806</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Buru Selatan</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5.11</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18.89%</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21.35%</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81,234</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Maluku Tengah</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4.74</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48.60%</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6.45%</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496,526</w:t>
            </w:r>
          </w:p>
        </w:tc>
      </w:tr>
      <w:tr w:rsidR="00CA3181" w:rsidRPr="00CA3181" w:rsidTr="00CA3181">
        <w:trPr>
          <w:trHeight w:val="300"/>
        </w:trPr>
        <w:tc>
          <w:tcPr>
            <w:tcW w:w="2413" w:type="dxa"/>
            <w:shd w:val="clear" w:color="auto" w:fill="C6D9F1" w:themeFill="text2" w:themeFillTint="33"/>
            <w:noWrap/>
            <w:vAlign w:val="bottom"/>
          </w:tcPr>
          <w:p w:rsidR="00CA3181" w:rsidRPr="00CA3181" w:rsidRDefault="00CA3181" w:rsidP="00CA3181">
            <w:pPr>
              <w:spacing w:after="0"/>
              <w:rPr>
                <w:rFonts w:cs="Times New Roman"/>
                <w:color w:val="000000"/>
                <w:sz w:val="20"/>
                <w:szCs w:val="20"/>
                <w:lang w:val="en-AU" w:eastAsia="en-AU"/>
              </w:rPr>
            </w:pPr>
            <w:r>
              <w:rPr>
                <w:rFonts w:cs="Times New Roman"/>
                <w:color w:val="000000"/>
                <w:sz w:val="20"/>
                <w:szCs w:val="20"/>
                <w:lang w:val="en-AU" w:eastAsia="en-AU"/>
              </w:rPr>
              <w:t>Sulawesi</w:t>
            </w:r>
          </w:p>
        </w:tc>
        <w:tc>
          <w:tcPr>
            <w:tcW w:w="1749" w:type="dxa"/>
            <w:shd w:val="clear" w:color="auto" w:fill="C6D9F1" w:themeFill="text2" w:themeFillTint="33"/>
            <w:noWrap/>
            <w:vAlign w:val="bottom"/>
          </w:tcPr>
          <w:p w:rsidR="00CA3181" w:rsidRPr="00CA3181" w:rsidRDefault="00CA3181" w:rsidP="00CA3181">
            <w:pPr>
              <w:spacing w:after="0"/>
              <w:jc w:val="right"/>
              <w:rPr>
                <w:rFonts w:cs="Times New Roman"/>
                <w:color w:val="000000"/>
                <w:sz w:val="20"/>
                <w:szCs w:val="20"/>
                <w:lang w:val="en-AU" w:eastAsia="en-AU"/>
              </w:rPr>
            </w:pPr>
          </w:p>
        </w:tc>
        <w:tc>
          <w:tcPr>
            <w:tcW w:w="1322" w:type="dxa"/>
            <w:shd w:val="clear" w:color="auto" w:fill="C6D9F1" w:themeFill="text2" w:themeFillTint="33"/>
            <w:noWrap/>
            <w:vAlign w:val="bottom"/>
          </w:tcPr>
          <w:p w:rsidR="00CA3181" w:rsidRPr="00CA3181" w:rsidRDefault="00CA3181" w:rsidP="00CA3181">
            <w:pPr>
              <w:spacing w:after="0"/>
              <w:jc w:val="right"/>
              <w:rPr>
                <w:rFonts w:cs="Times New Roman"/>
                <w:color w:val="000000"/>
                <w:sz w:val="20"/>
                <w:szCs w:val="20"/>
                <w:lang w:val="en-AU" w:eastAsia="en-AU"/>
              </w:rPr>
            </w:pPr>
          </w:p>
        </w:tc>
        <w:tc>
          <w:tcPr>
            <w:tcW w:w="1338" w:type="dxa"/>
            <w:shd w:val="clear" w:color="auto" w:fill="C6D9F1" w:themeFill="text2" w:themeFillTint="33"/>
            <w:noWrap/>
            <w:vAlign w:val="bottom"/>
          </w:tcPr>
          <w:p w:rsidR="00CA3181" w:rsidRPr="00CA3181" w:rsidRDefault="00CA3181" w:rsidP="00CA3181">
            <w:pPr>
              <w:spacing w:after="0"/>
              <w:jc w:val="right"/>
              <w:rPr>
                <w:rFonts w:cs="Times New Roman"/>
                <w:color w:val="000000"/>
                <w:sz w:val="20"/>
                <w:szCs w:val="20"/>
                <w:lang w:val="en-AU" w:eastAsia="en-AU"/>
              </w:rPr>
            </w:pPr>
          </w:p>
        </w:tc>
        <w:tc>
          <w:tcPr>
            <w:tcW w:w="1438" w:type="dxa"/>
            <w:shd w:val="clear" w:color="auto" w:fill="C6D9F1" w:themeFill="text2" w:themeFillTint="33"/>
            <w:noWrap/>
            <w:vAlign w:val="bottom"/>
          </w:tcPr>
          <w:p w:rsidR="00CA3181" w:rsidRPr="00CA3181" w:rsidRDefault="00CA3181" w:rsidP="00CA3181">
            <w:pPr>
              <w:spacing w:after="0"/>
              <w:jc w:val="right"/>
              <w:rPr>
                <w:rFonts w:cs="Times New Roman"/>
                <w:color w:val="000000"/>
                <w:sz w:val="20"/>
                <w:szCs w:val="20"/>
                <w:lang w:val="en-AU" w:eastAsia="en-AU"/>
              </w:rPr>
            </w:pP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Banggai</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4.67</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38.92%</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30.20%</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374,799</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Banggai Kepulauan</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4.24</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30.88%</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3.65%</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199,441</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Bolaang Mongondow</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4.34</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33.64%</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11.53%</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205,656</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Bolaang Mongondow Selatan</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6.57</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24.96%</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5.35%</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88,729</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Bolaang Mongondow Timur</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5.75</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21.00%</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14.55%</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78,236</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Bulukumba</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4.60</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48.85%</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15.21%</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417,047</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Buton</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3.99</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37.65%</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65.93%</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337,209</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Kepulauan Sangihe</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8.96</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37.44%</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1.96%</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228,643</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Kota Bitung</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3.64</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27.08%</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0.97%</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157,702</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Luwu</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3.30</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39.82%</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22.20%</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305,940</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Luwu Utara</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3.26</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33.89%</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-2.87%</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252,261</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Mamasa</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3.81</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30.48%</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2.79%</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163,448</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Mamuju Utara</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2.27</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15.62%</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8.69%</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77,205</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Muna</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5.27</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45.73%</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42.13%</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427,170</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Pinrang</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3.99</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42.15%</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13.60%</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339,272</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Poso</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6.24</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37.08%</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-5.40%</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292,701</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Toraja Utara</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3.01</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32.58%</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4.21%</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202,702</w:t>
            </w:r>
          </w:p>
        </w:tc>
      </w:tr>
      <w:tr w:rsidR="00CA3181" w:rsidRPr="00CA3181" w:rsidTr="00CA3181">
        <w:trPr>
          <w:trHeight w:val="300"/>
        </w:trPr>
        <w:tc>
          <w:tcPr>
            <w:tcW w:w="2413" w:type="dxa"/>
            <w:shd w:val="clear" w:color="auto" w:fill="C6D9F1" w:themeFill="text2" w:themeFillTint="33"/>
            <w:noWrap/>
            <w:vAlign w:val="bottom"/>
          </w:tcPr>
          <w:p w:rsidR="00CA3181" w:rsidRPr="00CA3181" w:rsidRDefault="00CA3181" w:rsidP="00CA3181">
            <w:pPr>
              <w:spacing w:after="0"/>
              <w:rPr>
                <w:rFonts w:cs="Times New Roman"/>
                <w:color w:val="000000"/>
                <w:sz w:val="20"/>
                <w:szCs w:val="20"/>
                <w:lang w:val="en-AU" w:eastAsia="en-AU"/>
              </w:rPr>
            </w:pPr>
            <w:r>
              <w:rPr>
                <w:rFonts w:cs="Times New Roman"/>
                <w:color w:val="000000"/>
                <w:sz w:val="20"/>
                <w:szCs w:val="20"/>
                <w:lang w:val="en-AU" w:eastAsia="en-AU"/>
              </w:rPr>
              <w:t>Sumatera</w:t>
            </w:r>
          </w:p>
        </w:tc>
        <w:tc>
          <w:tcPr>
            <w:tcW w:w="1749" w:type="dxa"/>
            <w:shd w:val="clear" w:color="auto" w:fill="C6D9F1" w:themeFill="text2" w:themeFillTint="33"/>
            <w:noWrap/>
            <w:vAlign w:val="bottom"/>
          </w:tcPr>
          <w:p w:rsidR="00CA3181" w:rsidRPr="00CA3181" w:rsidRDefault="00CA3181" w:rsidP="00CA3181">
            <w:pPr>
              <w:spacing w:after="0"/>
              <w:jc w:val="right"/>
              <w:rPr>
                <w:rFonts w:cs="Times New Roman"/>
                <w:color w:val="000000"/>
                <w:sz w:val="20"/>
                <w:szCs w:val="20"/>
                <w:lang w:val="en-AU" w:eastAsia="en-AU"/>
              </w:rPr>
            </w:pPr>
          </w:p>
        </w:tc>
        <w:tc>
          <w:tcPr>
            <w:tcW w:w="1322" w:type="dxa"/>
            <w:shd w:val="clear" w:color="auto" w:fill="C6D9F1" w:themeFill="text2" w:themeFillTint="33"/>
            <w:noWrap/>
            <w:vAlign w:val="bottom"/>
          </w:tcPr>
          <w:p w:rsidR="00CA3181" w:rsidRPr="00CA3181" w:rsidRDefault="00CA3181" w:rsidP="00CA3181">
            <w:pPr>
              <w:spacing w:after="0"/>
              <w:jc w:val="right"/>
              <w:rPr>
                <w:rFonts w:cs="Times New Roman"/>
                <w:color w:val="000000"/>
                <w:sz w:val="20"/>
                <w:szCs w:val="20"/>
                <w:lang w:val="en-AU" w:eastAsia="en-AU"/>
              </w:rPr>
            </w:pPr>
          </w:p>
        </w:tc>
        <w:tc>
          <w:tcPr>
            <w:tcW w:w="1338" w:type="dxa"/>
            <w:shd w:val="clear" w:color="auto" w:fill="C6D9F1" w:themeFill="text2" w:themeFillTint="33"/>
            <w:noWrap/>
            <w:vAlign w:val="bottom"/>
          </w:tcPr>
          <w:p w:rsidR="00CA3181" w:rsidRPr="00CA3181" w:rsidRDefault="00CA3181" w:rsidP="00CA3181">
            <w:pPr>
              <w:spacing w:after="0"/>
              <w:jc w:val="right"/>
              <w:rPr>
                <w:rFonts w:cs="Times New Roman"/>
                <w:color w:val="000000"/>
                <w:sz w:val="20"/>
                <w:szCs w:val="20"/>
                <w:lang w:val="en-AU" w:eastAsia="en-AU"/>
              </w:rPr>
            </w:pPr>
          </w:p>
        </w:tc>
        <w:tc>
          <w:tcPr>
            <w:tcW w:w="1438" w:type="dxa"/>
            <w:shd w:val="clear" w:color="auto" w:fill="C6D9F1" w:themeFill="text2" w:themeFillTint="33"/>
            <w:noWrap/>
            <w:vAlign w:val="bottom"/>
          </w:tcPr>
          <w:p w:rsidR="00CA3181" w:rsidRPr="00CA3181" w:rsidRDefault="00CA3181" w:rsidP="00CA3181">
            <w:pPr>
              <w:spacing w:after="0"/>
              <w:jc w:val="right"/>
              <w:rPr>
                <w:rFonts w:cs="Times New Roman"/>
                <w:color w:val="000000"/>
                <w:sz w:val="20"/>
                <w:szCs w:val="20"/>
                <w:lang w:val="en-AU" w:eastAsia="en-AU"/>
              </w:rPr>
            </w:pP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Batu Bara</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3.33</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38.06%</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27.89%</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319,187</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Bintan</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6.90</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22.64%</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19.25%</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205,108</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Dairi</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3.87</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41.96%</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28.02%</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320,269</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Empat Lawang</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2.92</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22.65%</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28.31%</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153,028</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Humbang Hasundutan</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4.45</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38.56%</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14.13%</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254,247</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Indragiri Hulu</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4.86</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29.37%</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34.27%</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436,790</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Karo</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3.96</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39.16%</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-9.54%</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334,576</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Kepahiang</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5.48</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31.17%</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31.45%</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161,454</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Kota Payakumbuh</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5.53</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36.96%</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20.79%</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204,957</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Labuhan Batu</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2.02</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32.66%</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-7.72%</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260,575</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Lampung Selatan</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2.40</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42.70%</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-6.58%</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483,523</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Lampung Tengah</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3.39</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51.45%</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5.36%</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820,503</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Lampung Utara</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3.40</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9.50%</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29.34%</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464,073</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Mandailing Natal</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2.87</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42.98%</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10.17%</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336,410</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lastRenderedPageBreak/>
              <w:t>Merangin</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4.66</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38.75%</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38.59%</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369,718</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Muara Enim</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3.32</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33.92%</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14.10%</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560,861</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Muaro Jambi</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4.59</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32.99%</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20.39%</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314,834</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Musi Banyuasin</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4.91</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20.69%</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12.88%</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637,797</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Nias Selatan</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2.05</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25.24%</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-13.43%</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205,989</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Nias Utara</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2.95</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24.66%</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45.86%</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118,534</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Ogan Komering Ilir</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3.41</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34.30%</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11.99%</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517,621</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OKU Selatan</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3.16</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28.71%</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25.41%</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220,608</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Pasaman Barat</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3.19</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38.00%</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0.43%</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297,042</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Sarolangun</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4.38</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33.06%</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-4.82%</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268,501</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Seluma</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5.05</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31.54%</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11.28%</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199,285</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Simalungun</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3.91</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54.82%</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7.24%</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765,872</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Tanggamus</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3.29</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42.83%</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7.48%</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395,801</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Tanjung Jabung Barat</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4.32</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21.24%</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17.88%</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271,790</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Tapanuli Selatan</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4.16</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32.64%</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23.52%</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297,686</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Tapanuli Tengah</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3.74</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35.50%</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32.16%</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317,469</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Toba Samosir</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5.75</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39.53%</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23.30%</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306,648</w:t>
            </w:r>
          </w:p>
        </w:tc>
      </w:tr>
      <w:tr w:rsidR="00CA3181" w:rsidRPr="00CA3181" w:rsidTr="00CA3181">
        <w:trPr>
          <w:trHeight w:val="300"/>
        </w:trPr>
        <w:tc>
          <w:tcPr>
            <w:tcW w:w="2413" w:type="dxa"/>
            <w:shd w:val="clear" w:color="auto" w:fill="auto"/>
            <w:noWrap/>
            <w:vAlign w:val="bottom"/>
            <w:hideMark/>
          </w:tcPr>
          <w:p w:rsidR="00CA3181" w:rsidRPr="00CA3181" w:rsidRDefault="00CA3181" w:rsidP="00CA3181">
            <w:pPr>
              <w:spacing w:after="0"/>
              <w:rPr>
                <w:rFonts w:cs="Times New Roman"/>
                <w:color w:val="000000"/>
                <w:sz w:val="20"/>
                <w:szCs w:val="20"/>
                <w:lang w:val="en-AU" w:eastAsia="en-AU"/>
              </w:rPr>
            </w:pPr>
            <w:r w:rsidRPr="00CA3181">
              <w:rPr>
                <w:rFonts w:cs="Times New Roman"/>
                <w:color w:val="000000"/>
                <w:sz w:val="20"/>
                <w:szCs w:val="20"/>
                <w:lang w:val="en-AU" w:eastAsia="en-AU"/>
              </w:rPr>
              <w:t>Tulang bawang</w:t>
            </w:r>
          </w:p>
        </w:tc>
        <w:tc>
          <w:tcPr>
            <w:tcW w:w="1749"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2.21</w:t>
            </w:r>
          </w:p>
        </w:tc>
        <w:tc>
          <w:tcPr>
            <w:tcW w:w="1322"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28.27%</w:t>
            </w:r>
          </w:p>
        </w:tc>
        <w:tc>
          <w:tcPr>
            <w:tcW w:w="13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20.49%</w:t>
            </w:r>
          </w:p>
        </w:tc>
        <w:tc>
          <w:tcPr>
            <w:tcW w:w="1438" w:type="dxa"/>
            <w:shd w:val="clear" w:color="auto" w:fill="auto"/>
            <w:noWrap/>
            <w:vAlign w:val="bottom"/>
            <w:hideMark/>
          </w:tcPr>
          <w:p w:rsidR="00CA3181" w:rsidRPr="00CA3181" w:rsidRDefault="00CA3181" w:rsidP="00CA3181">
            <w:pPr>
              <w:spacing w:after="0"/>
              <w:jc w:val="right"/>
              <w:rPr>
                <w:rFonts w:cs="Times New Roman"/>
                <w:color w:val="000000"/>
                <w:sz w:val="20"/>
                <w:szCs w:val="20"/>
                <w:lang w:val="en-AU" w:eastAsia="en-AU"/>
              </w:rPr>
            </w:pPr>
            <w:r w:rsidRPr="00CA3181">
              <w:rPr>
                <w:rFonts w:cs="Times New Roman"/>
                <w:color w:val="000000"/>
                <w:sz w:val="20"/>
                <w:szCs w:val="20"/>
                <w:lang w:val="en-AU" w:eastAsia="en-AU"/>
              </w:rPr>
              <w:t>201,657</w:t>
            </w:r>
          </w:p>
        </w:tc>
      </w:tr>
    </w:tbl>
    <w:p w:rsidR="008521E9" w:rsidRPr="008521E9" w:rsidRDefault="008521E9" w:rsidP="008521E9"/>
    <w:p w:rsidR="00EB26B9" w:rsidRDefault="00EB26B9"/>
    <w:tbl>
      <w:tblPr>
        <w:tblW w:w="823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701"/>
        <w:gridCol w:w="1294"/>
        <w:gridCol w:w="1399"/>
        <w:gridCol w:w="1418"/>
      </w:tblGrid>
      <w:tr w:rsidR="00141AC5" w:rsidRPr="00141AC5" w:rsidTr="00141AC5">
        <w:trPr>
          <w:trHeight w:val="340"/>
          <w:tblHeader/>
        </w:trPr>
        <w:tc>
          <w:tcPr>
            <w:tcW w:w="8237" w:type="dxa"/>
            <w:gridSpan w:val="5"/>
            <w:shd w:val="clear" w:color="auto" w:fill="1F497D" w:themeFill="text2"/>
            <w:noWrap/>
            <w:vAlign w:val="bottom"/>
          </w:tcPr>
          <w:p w:rsidR="00141AC5" w:rsidRPr="00CA3181" w:rsidRDefault="00141AC5" w:rsidP="00141AC5">
            <w:pPr>
              <w:spacing w:after="0"/>
              <w:jc w:val="center"/>
              <w:rPr>
                <w:rFonts w:cs="Times New Roman"/>
                <w:color w:val="000000"/>
                <w:sz w:val="20"/>
                <w:szCs w:val="20"/>
                <w:lang w:val="en-AU" w:eastAsia="en-AU"/>
              </w:rPr>
            </w:pPr>
            <w:r w:rsidRPr="00CA3181">
              <w:rPr>
                <w:rFonts w:asciiTheme="minorHAnsi" w:hAnsiTheme="minorHAnsi" w:cs="Arial"/>
                <w:b/>
                <w:color w:val="FFFFFF" w:themeColor="background1"/>
                <w:sz w:val="20"/>
                <w:szCs w:val="20"/>
                <w:lang w:eastAsia="en-AU"/>
              </w:rPr>
              <w:t xml:space="preserve">Component </w:t>
            </w:r>
            <w:r>
              <w:rPr>
                <w:rFonts w:asciiTheme="minorHAnsi" w:hAnsiTheme="minorHAnsi" w:cs="Arial"/>
                <w:b/>
                <w:color w:val="FFFFFF" w:themeColor="background1"/>
                <w:sz w:val="20"/>
                <w:szCs w:val="20"/>
                <w:lang w:eastAsia="en-AU"/>
              </w:rPr>
              <w:t>2</w:t>
            </w:r>
            <w:r w:rsidRPr="00CA3181">
              <w:rPr>
                <w:rFonts w:asciiTheme="minorHAnsi" w:hAnsiTheme="minorHAnsi" w:cs="Arial"/>
                <w:b/>
                <w:color w:val="FFFFFF" w:themeColor="background1"/>
                <w:sz w:val="20"/>
                <w:szCs w:val="20"/>
                <w:lang w:eastAsia="en-AU"/>
              </w:rPr>
              <w:t>:</w:t>
            </w:r>
            <w:r>
              <w:rPr>
                <w:rFonts w:asciiTheme="minorHAnsi" w:hAnsiTheme="minorHAnsi" w:cs="Arial"/>
                <w:b/>
                <w:color w:val="FFFFFF" w:themeColor="background1"/>
                <w:sz w:val="20"/>
                <w:szCs w:val="20"/>
                <w:lang w:eastAsia="en-AU"/>
              </w:rPr>
              <w:t xml:space="preserve"> AI</w:t>
            </w:r>
            <w:r w:rsidR="003245E4">
              <w:rPr>
                <w:rFonts w:asciiTheme="minorHAnsi" w:hAnsiTheme="minorHAnsi" w:cs="Arial"/>
                <w:b/>
                <w:color w:val="FFFFFF" w:themeColor="background1"/>
                <w:sz w:val="20"/>
                <w:szCs w:val="20"/>
                <w:lang w:eastAsia="en-AU"/>
              </w:rPr>
              <w:t>E</w:t>
            </w:r>
            <w:r>
              <w:rPr>
                <w:rFonts w:asciiTheme="minorHAnsi" w:hAnsiTheme="minorHAnsi" w:cs="Arial"/>
                <w:b/>
                <w:color w:val="FFFFFF" w:themeColor="background1"/>
                <w:sz w:val="20"/>
                <w:szCs w:val="20"/>
                <w:lang w:eastAsia="en-AU"/>
              </w:rPr>
              <w:t>P 2013</w:t>
            </w:r>
          </w:p>
        </w:tc>
      </w:tr>
      <w:tr w:rsidR="00141AC5" w:rsidRPr="00141AC5" w:rsidTr="00141AC5">
        <w:trPr>
          <w:trHeight w:val="660"/>
          <w:tblHeader/>
        </w:trPr>
        <w:tc>
          <w:tcPr>
            <w:tcW w:w="2425" w:type="dxa"/>
            <w:shd w:val="clear" w:color="auto" w:fill="8DB3E2" w:themeFill="text2" w:themeFillTint="66"/>
            <w:noWrap/>
            <w:vAlign w:val="bottom"/>
            <w:hideMark/>
          </w:tcPr>
          <w:p w:rsidR="00141AC5" w:rsidRPr="00CA3181" w:rsidRDefault="00141AC5" w:rsidP="00141AC5">
            <w:pPr>
              <w:spacing w:after="0"/>
              <w:rPr>
                <w:rFonts w:cs="Times New Roman"/>
                <w:color w:val="FFFFFF" w:themeColor="background1"/>
                <w:sz w:val="20"/>
                <w:szCs w:val="20"/>
                <w:lang w:val="en-AU" w:eastAsia="en-AU"/>
              </w:rPr>
            </w:pPr>
            <w:r w:rsidRPr="00CA3181">
              <w:rPr>
                <w:rFonts w:cs="Times New Roman"/>
                <w:color w:val="FFFFFF" w:themeColor="background1"/>
                <w:sz w:val="20"/>
                <w:szCs w:val="20"/>
                <w:lang w:val="en-AU" w:eastAsia="en-AU"/>
              </w:rPr>
              <w:t>Island/District</w:t>
            </w:r>
          </w:p>
        </w:tc>
        <w:tc>
          <w:tcPr>
            <w:tcW w:w="1701" w:type="dxa"/>
            <w:shd w:val="clear" w:color="auto" w:fill="8DB3E2" w:themeFill="text2" w:themeFillTint="66"/>
            <w:vAlign w:val="bottom"/>
            <w:hideMark/>
          </w:tcPr>
          <w:p w:rsidR="00141AC5" w:rsidRPr="00CA3181" w:rsidRDefault="00141AC5" w:rsidP="00141AC5">
            <w:pPr>
              <w:spacing w:after="0"/>
              <w:jc w:val="right"/>
              <w:rPr>
                <w:rFonts w:cs="Times New Roman"/>
                <w:color w:val="FFFFFF" w:themeColor="background1"/>
                <w:sz w:val="20"/>
                <w:szCs w:val="20"/>
                <w:lang w:val="en-AU" w:eastAsia="en-AU"/>
              </w:rPr>
            </w:pPr>
            <w:r w:rsidRPr="00CA3181">
              <w:rPr>
                <w:rFonts w:cs="Times New Roman"/>
                <w:color w:val="FFFFFF" w:themeColor="background1"/>
                <w:sz w:val="20"/>
                <w:szCs w:val="20"/>
                <w:lang w:eastAsia="en-AU"/>
              </w:rPr>
              <w:t>Education Expenditure per Student (Rp. Million)</w:t>
            </w:r>
          </w:p>
        </w:tc>
        <w:tc>
          <w:tcPr>
            <w:tcW w:w="1294" w:type="dxa"/>
            <w:shd w:val="clear" w:color="auto" w:fill="8DB3E2" w:themeFill="text2" w:themeFillTint="66"/>
            <w:vAlign w:val="bottom"/>
            <w:hideMark/>
          </w:tcPr>
          <w:p w:rsidR="00141AC5" w:rsidRPr="00CA3181" w:rsidRDefault="00141AC5" w:rsidP="00141AC5">
            <w:pPr>
              <w:spacing w:after="0"/>
              <w:jc w:val="right"/>
              <w:rPr>
                <w:rFonts w:cs="Times New Roman"/>
                <w:color w:val="FFFFFF" w:themeColor="background1"/>
                <w:sz w:val="20"/>
                <w:szCs w:val="20"/>
                <w:lang w:val="en-AU" w:eastAsia="en-AU"/>
              </w:rPr>
            </w:pPr>
            <w:r w:rsidRPr="00CA3181">
              <w:rPr>
                <w:rFonts w:cs="Times New Roman"/>
                <w:color w:val="FFFFFF" w:themeColor="background1"/>
                <w:sz w:val="20"/>
                <w:szCs w:val="20"/>
                <w:lang w:val="en-AU" w:eastAsia="en-AU"/>
              </w:rPr>
              <w:t>Education Share of</w:t>
            </w:r>
            <w:r w:rsidRPr="00CA3181">
              <w:rPr>
                <w:rFonts w:cs="Times New Roman"/>
                <w:color w:val="FFFFFF" w:themeColor="background1"/>
                <w:sz w:val="20"/>
                <w:szCs w:val="20"/>
                <w:lang w:val="en-AU" w:eastAsia="en-AU"/>
              </w:rPr>
              <w:br/>
              <w:t xml:space="preserve">  District Budget</w:t>
            </w:r>
          </w:p>
        </w:tc>
        <w:tc>
          <w:tcPr>
            <w:tcW w:w="1399" w:type="dxa"/>
            <w:shd w:val="clear" w:color="auto" w:fill="8DB3E2" w:themeFill="text2" w:themeFillTint="66"/>
            <w:vAlign w:val="bottom"/>
            <w:hideMark/>
          </w:tcPr>
          <w:p w:rsidR="00141AC5" w:rsidRPr="00CA3181" w:rsidRDefault="00141AC5" w:rsidP="00141AC5">
            <w:pPr>
              <w:spacing w:after="0"/>
              <w:jc w:val="right"/>
              <w:rPr>
                <w:rFonts w:cs="Times New Roman"/>
                <w:color w:val="FFFFFF" w:themeColor="background1"/>
                <w:sz w:val="20"/>
                <w:szCs w:val="20"/>
                <w:lang w:val="en-AU" w:eastAsia="en-AU"/>
              </w:rPr>
            </w:pPr>
            <w:r w:rsidRPr="00CA3181">
              <w:rPr>
                <w:rFonts w:cs="Times New Roman"/>
                <w:color w:val="FFFFFF" w:themeColor="background1"/>
                <w:sz w:val="20"/>
                <w:szCs w:val="20"/>
                <w:lang w:val="en-AU" w:eastAsia="en-AU"/>
              </w:rPr>
              <w:t xml:space="preserve">Education Budget </w:t>
            </w:r>
            <w:r w:rsidRPr="00CA3181">
              <w:rPr>
                <w:rFonts w:cs="Times New Roman"/>
                <w:color w:val="FFFFFF" w:themeColor="background1"/>
                <w:sz w:val="20"/>
                <w:szCs w:val="20"/>
                <w:lang w:val="en-AU" w:eastAsia="en-AU"/>
              </w:rPr>
              <w:br/>
              <w:t>Annual Growth</w:t>
            </w:r>
          </w:p>
        </w:tc>
        <w:tc>
          <w:tcPr>
            <w:tcW w:w="1418" w:type="dxa"/>
            <w:shd w:val="clear" w:color="auto" w:fill="8DB3E2" w:themeFill="text2" w:themeFillTint="66"/>
            <w:vAlign w:val="bottom"/>
            <w:hideMark/>
          </w:tcPr>
          <w:p w:rsidR="00141AC5" w:rsidRPr="00CA3181" w:rsidRDefault="00141AC5" w:rsidP="00141AC5">
            <w:pPr>
              <w:spacing w:after="0"/>
              <w:jc w:val="right"/>
              <w:rPr>
                <w:rFonts w:cs="Times New Roman"/>
                <w:color w:val="FFFFFF" w:themeColor="background1"/>
                <w:sz w:val="20"/>
                <w:szCs w:val="20"/>
                <w:lang w:val="en-AU" w:eastAsia="en-AU"/>
              </w:rPr>
            </w:pPr>
            <w:r w:rsidRPr="00CA3181">
              <w:rPr>
                <w:rFonts w:cs="Times New Roman"/>
                <w:color w:val="FFFFFF" w:themeColor="background1"/>
                <w:sz w:val="20"/>
                <w:szCs w:val="20"/>
                <w:lang w:val="en-AU" w:eastAsia="en-AU"/>
              </w:rPr>
              <w:t xml:space="preserve">Education District Budget </w:t>
            </w:r>
            <w:r w:rsidRPr="00CA3181">
              <w:rPr>
                <w:rFonts w:cs="Times New Roman"/>
                <w:color w:val="FFFFFF" w:themeColor="background1"/>
                <w:sz w:val="20"/>
                <w:szCs w:val="20"/>
                <w:lang w:val="en-AU" w:eastAsia="en-AU"/>
              </w:rPr>
              <w:br/>
              <w:t>(Rp. Million)</w:t>
            </w:r>
          </w:p>
        </w:tc>
      </w:tr>
      <w:tr w:rsidR="00141AC5" w:rsidRPr="00141AC5" w:rsidTr="00141AC5">
        <w:trPr>
          <w:trHeight w:val="330"/>
        </w:trPr>
        <w:tc>
          <w:tcPr>
            <w:tcW w:w="2425" w:type="dxa"/>
            <w:shd w:val="clear" w:color="auto" w:fill="C6D9F1" w:themeFill="text2" w:themeFillTint="33"/>
            <w:noWrap/>
            <w:vAlign w:val="bottom"/>
            <w:hideMark/>
          </w:tcPr>
          <w:p w:rsidR="00141AC5" w:rsidRPr="00CA3181" w:rsidRDefault="00141AC5" w:rsidP="00141AC5">
            <w:pPr>
              <w:spacing w:after="0"/>
              <w:rPr>
                <w:rFonts w:cs="Times New Roman"/>
                <w:color w:val="000000"/>
                <w:sz w:val="20"/>
                <w:szCs w:val="20"/>
                <w:lang w:val="en-AU" w:eastAsia="en-AU"/>
              </w:rPr>
            </w:pPr>
            <w:r>
              <w:rPr>
                <w:rFonts w:cs="Times New Roman"/>
                <w:color w:val="000000"/>
                <w:sz w:val="20"/>
                <w:szCs w:val="20"/>
                <w:lang w:val="en-AU" w:eastAsia="en-AU"/>
              </w:rPr>
              <w:t>Bali and Nusa Tenggara</w:t>
            </w:r>
          </w:p>
        </w:tc>
        <w:tc>
          <w:tcPr>
            <w:tcW w:w="1701" w:type="dxa"/>
            <w:shd w:val="clear" w:color="auto" w:fill="C6D9F1" w:themeFill="text2" w:themeFillTint="33"/>
            <w:vAlign w:val="bottom"/>
            <w:hideMark/>
          </w:tcPr>
          <w:p w:rsidR="00141AC5" w:rsidRPr="00CA3181" w:rsidRDefault="00141AC5" w:rsidP="00141AC5">
            <w:pPr>
              <w:spacing w:after="0"/>
              <w:jc w:val="right"/>
              <w:rPr>
                <w:rFonts w:cs="Times New Roman"/>
                <w:color w:val="000000"/>
                <w:sz w:val="20"/>
                <w:szCs w:val="20"/>
                <w:lang w:val="en-AU" w:eastAsia="en-AU"/>
              </w:rPr>
            </w:pPr>
          </w:p>
        </w:tc>
        <w:tc>
          <w:tcPr>
            <w:tcW w:w="1294" w:type="dxa"/>
            <w:shd w:val="clear" w:color="auto" w:fill="C6D9F1" w:themeFill="text2" w:themeFillTint="33"/>
            <w:vAlign w:val="bottom"/>
            <w:hideMark/>
          </w:tcPr>
          <w:p w:rsidR="00141AC5" w:rsidRPr="00CA3181" w:rsidRDefault="00141AC5" w:rsidP="00141AC5">
            <w:pPr>
              <w:spacing w:after="0"/>
              <w:jc w:val="right"/>
              <w:rPr>
                <w:rFonts w:cs="Times New Roman"/>
                <w:color w:val="000000"/>
                <w:sz w:val="20"/>
                <w:szCs w:val="20"/>
                <w:lang w:val="en-AU" w:eastAsia="en-AU"/>
              </w:rPr>
            </w:pPr>
          </w:p>
        </w:tc>
        <w:tc>
          <w:tcPr>
            <w:tcW w:w="1399" w:type="dxa"/>
            <w:shd w:val="clear" w:color="auto" w:fill="C6D9F1" w:themeFill="text2" w:themeFillTint="33"/>
            <w:vAlign w:val="bottom"/>
            <w:hideMark/>
          </w:tcPr>
          <w:p w:rsidR="00141AC5" w:rsidRPr="00CA3181" w:rsidRDefault="00141AC5" w:rsidP="00141AC5">
            <w:pPr>
              <w:spacing w:after="0"/>
              <w:jc w:val="right"/>
              <w:rPr>
                <w:rFonts w:cs="Times New Roman"/>
                <w:color w:val="000000"/>
                <w:sz w:val="20"/>
                <w:szCs w:val="20"/>
                <w:lang w:val="en-AU" w:eastAsia="en-AU"/>
              </w:rPr>
            </w:pPr>
          </w:p>
        </w:tc>
        <w:tc>
          <w:tcPr>
            <w:tcW w:w="1418" w:type="dxa"/>
            <w:shd w:val="clear" w:color="auto" w:fill="C6D9F1" w:themeFill="text2" w:themeFillTint="33"/>
            <w:vAlign w:val="bottom"/>
            <w:hideMark/>
          </w:tcPr>
          <w:p w:rsidR="00141AC5" w:rsidRPr="00CA3181" w:rsidRDefault="00141AC5" w:rsidP="00141AC5">
            <w:pPr>
              <w:spacing w:after="0"/>
              <w:jc w:val="right"/>
              <w:rPr>
                <w:rFonts w:cs="Times New Roman"/>
                <w:color w:val="000000"/>
                <w:sz w:val="20"/>
                <w:szCs w:val="20"/>
                <w:lang w:val="en-AU" w:eastAsia="en-AU"/>
              </w:rPr>
            </w:pP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Badung</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5.33</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20.07%</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27.63%</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573,908</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Bangli</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5.43</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33.84%</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16.00%</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232,994</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Gianyar</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5.00</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40.61%</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9.72%</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469,749</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Jembrana</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5.08</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37.98%</w:t>
            </w:r>
          </w:p>
        </w:tc>
        <w:tc>
          <w:tcPr>
            <w:tcW w:w="1399"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273,440</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Klungkung</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5.94</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33.62%</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-7.38%</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217,599</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Bima</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5.22</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37.90%</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3.66%</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207,293</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Denpasar</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2.16</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25.83%</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-4.82%</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349,772</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Lombok Barat</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2.53</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39.12%</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15.69%</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375,175</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Sumba Tengah</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5.19</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27.40%</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17.47%</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101,414</w:t>
            </w:r>
          </w:p>
        </w:tc>
      </w:tr>
      <w:tr w:rsidR="00141AC5" w:rsidRPr="00141AC5" w:rsidTr="00141AC5">
        <w:trPr>
          <w:trHeight w:val="300"/>
        </w:trPr>
        <w:tc>
          <w:tcPr>
            <w:tcW w:w="2425" w:type="dxa"/>
            <w:shd w:val="clear" w:color="auto" w:fill="C6D9F1" w:themeFill="text2" w:themeFillTint="33"/>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Java</w:t>
            </w:r>
          </w:p>
        </w:tc>
        <w:tc>
          <w:tcPr>
            <w:tcW w:w="1701" w:type="dxa"/>
            <w:shd w:val="clear" w:color="auto" w:fill="C6D9F1" w:themeFill="text2" w:themeFillTint="33"/>
            <w:noWrap/>
            <w:vAlign w:val="bottom"/>
            <w:hideMark/>
          </w:tcPr>
          <w:p w:rsidR="00141AC5" w:rsidRPr="00141AC5" w:rsidRDefault="00141AC5" w:rsidP="00141AC5">
            <w:pPr>
              <w:spacing w:after="0"/>
              <w:rPr>
                <w:rFonts w:cs="Times New Roman"/>
                <w:color w:val="000000"/>
                <w:sz w:val="20"/>
                <w:szCs w:val="20"/>
                <w:lang w:val="en-AU" w:eastAsia="en-AU"/>
              </w:rPr>
            </w:pPr>
          </w:p>
        </w:tc>
        <w:tc>
          <w:tcPr>
            <w:tcW w:w="1294" w:type="dxa"/>
            <w:shd w:val="clear" w:color="auto" w:fill="C6D9F1" w:themeFill="text2" w:themeFillTint="33"/>
            <w:noWrap/>
            <w:vAlign w:val="bottom"/>
            <w:hideMark/>
          </w:tcPr>
          <w:p w:rsidR="00141AC5" w:rsidRPr="00141AC5" w:rsidRDefault="00141AC5" w:rsidP="00141AC5">
            <w:pPr>
              <w:spacing w:after="0"/>
              <w:rPr>
                <w:rFonts w:cs="Times New Roman"/>
                <w:color w:val="000000"/>
                <w:sz w:val="20"/>
                <w:szCs w:val="20"/>
                <w:lang w:val="en-AU" w:eastAsia="en-AU"/>
              </w:rPr>
            </w:pPr>
          </w:p>
        </w:tc>
        <w:tc>
          <w:tcPr>
            <w:tcW w:w="1399" w:type="dxa"/>
            <w:shd w:val="clear" w:color="auto" w:fill="C6D9F1" w:themeFill="text2" w:themeFillTint="33"/>
            <w:noWrap/>
            <w:vAlign w:val="bottom"/>
            <w:hideMark/>
          </w:tcPr>
          <w:p w:rsidR="00141AC5" w:rsidRPr="00141AC5" w:rsidRDefault="00141AC5" w:rsidP="00141AC5">
            <w:pPr>
              <w:spacing w:after="0"/>
              <w:rPr>
                <w:rFonts w:cs="Times New Roman"/>
                <w:color w:val="000000"/>
                <w:sz w:val="20"/>
                <w:szCs w:val="20"/>
                <w:lang w:val="en-AU" w:eastAsia="en-AU"/>
              </w:rPr>
            </w:pPr>
          </w:p>
        </w:tc>
        <w:tc>
          <w:tcPr>
            <w:tcW w:w="1418" w:type="dxa"/>
            <w:shd w:val="clear" w:color="auto" w:fill="C6D9F1" w:themeFill="text2" w:themeFillTint="33"/>
            <w:noWrap/>
            <w:vAlign w:val="bottom"/>
            <w:hideMark/>
          </w:tcPr>
          <w:p w:rsidR="00141AC5" w:rsidRPr="00141AC5" w:rsidRDefault="00141AC5" w:rsidP="00141AC5">
            <w:pPr>
              <w:spacing w:after="0"/>
              <w:rPr>
                <w:rFonts w:cs="Times New Roman"/>
                <w:color w:val="000000"/>
                <w:sz w:val="20"/>
                <w:szCs w:val="20"/>
                <w:lang w:val="en-AU" w:eastAsia="en-AU"/>
              </w:rPr>
            </w:pP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Bantul</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4.57</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47.71%</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1.93%</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646,616</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Banyumas</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3.56</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51.60%</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19.03%</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1,082,757</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Banyuwangi</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2.68</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42.95%</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-0.92%</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809,354</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lastRenderedPageBreak/>
              <w:t>Bojonegoro</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3.78</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39.16%</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14.13%</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839,952</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Cilacap</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2.58</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44.38%</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15.53%</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920,165</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Demak</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2.66</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44.31%</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4.54%</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581,571</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Gresik</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2.43</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31.36%</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10.02%</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567,829</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Gunung Kidul</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5.95</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55.11%</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10.25%</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681,462</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Jombang</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2.31</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41.14%</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1.24%</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594,721</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Karanganyar</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5.08</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55.18%</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23.48%</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742,864</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Kendal</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3.30</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46.97%</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15.75%</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649,990</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Banjar</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4.71</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33.80%</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50.52%</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192,849</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Batu</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4.22</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27.09%</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2.48%</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153,250</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Bekasi</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2.58</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39.59%</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62.33%</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1,198,030</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Cimahi</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3.86</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40.99%</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24.46%</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421,204</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Depok</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1.54</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25.92%</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16.65%</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470,988</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Jakarta Barat</w:t>
            </w:r>
          </w:p>
        </w:tc>
        <w:tc>
          <w:tcPr>
            <w:tcW w:w="1701"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p>
        </w:tc>
        <w:tc>
          <w:tcPr>
            <w:tcW w:w="1294"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p>
        </w:tc>
        <w:tc>
          <w:tcPr>
            <w:tcW w:w="1399"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p>
        </w:tc>
        <w:tc>
          <w:tcPr>
            <w:tcW w:w="1418"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Jakarta Selatan</w:t>
            </w:r>
          </w:p>
        </w:tc>
        <w:tc>
          <w:tcPr>
            <w:tcW w:w="1701"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p>
        </w:tc>
        <w:tc>
          <w:tcPr>
            <w:tcW w:w="1294"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p>
        </w:tc>
        <w:tc>
          <w:tcPr>
            <w:tcW w:w="1399"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p>
        </w:tc>
        <w:tc>
          <w:tcPr>
            <w:tcW w:w="1418"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Jakarta Timur</w:t>
            </w:r>
          </w:p>
        </w:tc>
        <w:tc>
          <w:tcPr>
            <w:tcW w:w="1701"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p>
        </w:tc>
        <w:tc>
          <w:tcPr>
            <w:tcW w:w="1294"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p>
        </w:tc>
        <w:tc>
          <w:tcPr>
            <w:tcW w:w="1399"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p>
        </w:tc>
        <w:tc>
          <w:tcPr>
            <w:tcW w:w="1418"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Jakarta Utara</w:t>
            </w:r>
          </w:p>
        </w:tc>
        <w:tc>
          <w:tcPr>
            <w:tcW w:w="1701"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p>
        </w:tc>
        <w:tc>
          <w:tcPr>
            <w:tcW w:w="1294"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p>
        </w:tc>
        <w:tc>
          <w:tcPr>
            <w:tcW w:w="1399"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p>
        </w:tc>
        <w:tc>
          <w:tcPr>
            <w:tcW w:w="1418"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Madiun</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5.81</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40.14%</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17.56%</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298,719</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Magelang</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5.27</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36.46%</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8.20%</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224,974</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Sukabumi</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3.68</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33.11%</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29.29%</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278,820</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Surakarta</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3.56</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38.94%</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2.02%</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546,251</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Tangerang</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3.30</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38.40%</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57.81%</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1,155,724</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Tasikmalaya</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2.49</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33.45%</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11.66%</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365,946</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Tegal</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3.88</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36.37%</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11.70%</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251,275</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Yogyakarta</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3.58</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35.64%</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18.07%</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404,537</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Kulon Progo</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5.91</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49.33%</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9.27%</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461,433</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Lumajang</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3.72</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45.67%</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21.21%</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659,999</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Madiun</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5.30</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47.46%</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9.71%</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553,067</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Magelang</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4.23</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57.11%</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9.13%</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863,392</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Malang</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1.86</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33.03%</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4.73%</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787,855</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Ngawi</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4.50</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49.27%</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13.71%</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639,528</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Pati</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3.88</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46.70%</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17.58%</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829,073</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Pekalongan</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3.46</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47.57%</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8.34%</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580,538</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Purbalingga</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3.22</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48.69%</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-8.13%</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548,938</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Purworejo</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4.28</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48.96%</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0.96%</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616,215</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Semarang</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2.60</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39.20%</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-3.30%</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445,721</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Serang</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2.30</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41.00%</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15.93%</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713,119</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Sidoarjo</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2.43</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33.07%</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8.44%</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853,947</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Sleman</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4.52</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45.00%</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15.29%</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779,972</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Sragen</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4.34</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54.56%</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11.87%</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751,932</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lastRenderedPageBreak/>
              <w:t>Sukoharjo</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4.38</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48.25%</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11.39%</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614,904</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Sumedang</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3.49</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44.37%</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7.20%</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729,309</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Tegal</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2.34</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46.19%</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6.11%</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681,321</w:t>
            </w:r>
          </w:p>
        </w:tc>
      </w:tr>
      <w:tr w:rsidR="00141AC5" w:rsidRPr="00141AC5" w:rsidTr="00141AC5">
        <w:trPr>
          <w:trHeight w:val="300"/>
        </w:trPr>
        <w:tc>
          <w:tcPr>
            <w:tcW w:w="2425" w:type="dxa"/>
            <w:shd w:val="clear" w:color="auto" w:fill="C6D9F1" w:themeFill="text2" w:themeFillTint="33"/>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Kalimantan</w:t>
            </w:r>
          </w:p>
        </w:tc>
        <w:tc>
          <w:tcPr>
            <w:tcW w:w="1701" w:type="dxa"/>
            <w:shd w:val="clear" w:color="auto" w:fill="C6D9F1" w:themeFill="text2" w:themeFillTint="33"/>
            <w:noWrap/>
            <w:vAlign w:val="bottom"/>
            <w:hideMark/>
          </w:tcPr>
          <w:p w:rsidR="00141AC5" w:rsidRPr="00141AC5" w:rsidRDefault="00141AC5" w:rsidP="00141AC5">
            <w:pPr>
              <w:spacing w:after="0"/>
              <w:rPr>
                <w:rFonts w:cs="Times New Roman"/>
                <w:color w:val="000000"/>
                <w:sz w:val="20"/>
                <w:szCs w:val="20"/>
                <w:lang w:val="en-AU" w:eastAsia="en-AU"/>
              </w:rPr>
            </w:pPr>
          </w:p>
        </w:tc>
        <w:tc>
          <w:tcPr>
            <w:tcW w:w="1294" w:type="dxa"/>
            <w:shd w:val="clear" w:color="auto" w:fill="C6D9F1" w:themeFill="text2" w:themeFillTint="33"/>
            <w:noWrap/>
            <w:vAlign w:val="bottom"/>
            <w:hideMark/>
          </w:tcPr>
          <w:p w:rsidR="00141AC5" w:rsidRPr="00141AC5" w:rsidRDefault="00141AC5" w:rsidP="00141AC5">
            <w:pPr>
              <w:spacing w:after="0"/>
              <w:rPr>
                <w:rFonts w:cs="Times New Roman"/>
                <w:color w:val="000000"/>
                <w:sz w:val="20"/>
                <w:szCs w:val="20"/>
                <w:lang w:val="en-AU" w:eastAsia="en-AU"/>
              </w:rPr>
            </w:pPr>
          </w:p>
        </w:tc>
        <w:tc>
          <w:tcPr>
            <w:tcW w:w="1399" w:type="dxa"/>
            <w:shd w:val="clear" w:color="auto" w:fill="C6D9F1" w:themeFill="text2" w:themeFillTint="33"/>
            <w:noWrap/>
            <w:vAlign w:val="bottom"/>
            <w:hideMark/>
          </w:tcPr>
          <w:p w:rsidR="00141AC5" w:rsidRPr="00141AC5" w:rsidRDefault="00141AC5" w:rsidP="00141AC5">
            <w:pPr>
              <w:spacing w:after="0"/>
              <w:rPr>
                <w:rFonts w:cs="Times New Roman"/>
                <w:color w:val="000000"/>
                <w:sz w:val="20"/>
                <w:szCs w:val="20"/>
                <w:lang w:val="en-AU" w:eastAsia="en-AU"/>
              </w:rPr>
            </w:pPr>
          </w:p>
        </w:tc>
        <w:tc>
          <w:tcPr>
            <w:tcW w:w="1418" w:type="dxa"/>
            <w:shd w:val="clear" w:color="auto" w:fill="C6D9F1" w:themeFill="text2" w:themeFillTint="33"/>
            <w:noWrap/>
            <w:vAlign w:val="bottom"/>
            <w:hideMark/>
          </w:tcPr>
          <w:p w:rsidR="00141AC5" w:rsidRPr="00141AC5" w:rsidRDefault="00141AC5" w:rsidP="00141AC5">
            <w:pPr>
              <w:spacing w:after="0"/>
              <w:rPr>
                <w:rFonts w:cs="Times New Roman"/>
                <w:color w:val="000000"/>
                <w:sz w:val="20"/>
                <w:szCs w:val="20"/>
                <w:lang w:val="en-AU" w:eastAsia="en-AU"/>
              </w:rPr>
            </w:pP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Barito Selatan</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7.33</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30.20%</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14.63%</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228,190</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Berau</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8.80</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18.85%</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3.75%</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378,853</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Gunung Mas</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8.11</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28.26%</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17.44%</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200,443</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Hulu Sungai Selatan</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6.14</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36.61%</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-6.04%</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267,396.00</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Hulu Sungai Utara</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4.96</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33.66%</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-2.82%</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248,490</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Balikpapan</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3.75</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17.80%</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4.73%</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447,561</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Banjar Baru</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4.55</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35.57%</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13.69%</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204,046</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Banjarmasin</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3.80</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38.39%</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21.70%</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523,726</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Bontang</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8.28</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20.26%</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5.77%</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305,527</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Palangka Raya</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6.70</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41.38%</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17.77%</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349,881</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Pontianak</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3.39</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37.07%</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29.40%</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490,053</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Samarinda</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3.57</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19.93%</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2.30%</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563,458</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Tarakan</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9.01</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20.27%</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3.85%</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364,464</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Kotabaru</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4.89</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26.48%</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11.94%</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314,064</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Kotawaringin Timur</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3.79</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29.23%</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8.82%</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323,345</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Kutai Barat</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5.92</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11.30%</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42.28%</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250,568</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Kutai Kartanegara</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10.64</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19.84%</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27.23%</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1,531,841</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Penajam Paser Utara</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13.05</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25.50%</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41.05%</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432,041</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Pulang Pisau</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7.60</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33.66%</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4.87%</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210,848</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Tabalong</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6.32</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29.80%</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42.88%</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320,789</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Tanah Laut</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6.18</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33.76%</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18.18%</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371,138</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Tapin</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7.00</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27.71%</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3.94%</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244,447</w:t>
            </w:r>
          </w:p>
        </w:tc>
      </w:tr>
      <w:tr w:rsidR="00141AC5" w:rsidRPr="00141AC5" w:rsidTr="00141AC5">
        <w:trPr>
          <w:trHeight w:val="300"/>
        </w:trPr>
        <w:tc>
          <w:tcPr>
            <w:tcW w:w="2425" w:type="dxa"/>
            <w:shd w:val="clear" w:color="auto" w:fill="C6D9F1" w:themeFill="text2" w:themeFillTint="33"/>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Maluku</w:t>
            </w:r>
          </w:p>
        </w:tc>
        <w:tc>
          <w:tcPr>
            <w:tcW w:w="1701" w:type="dxa"/>
            <w:shd w:val="clear" w:color="auto" w:fill="C6D9F1" w:themeFill="text2" w:themeFillTint="33"/>
            <w:noWrap/>
            <w:vAlign w:val="bottom"/>
            <w:hideMark/>
          </w:tcPr>
          <w:p w:rsidR="00141AC5" w:rsidRPr="00141AC5" w:rsidRDefault="00141AC5" w:rsidP="00141AC5">
            <w:pPr>
              <w:spacing w:after="0"/>
              <w:rPr>
                <w:rFonts w:cs="Times New Roman"/>
                <w:color w:val="000000"/>
                <w:sz w:val="20"/>
                <w:szCs w:val="20"/>
                <w:lang w:val="en-AU" w:eastAsia="en-AU"/>
              </w:rPr>
            </w:pPr>
          </w:p>
        </w:tc>
        <w:tc>
          <w:tcPr>
            <w:tcW w:w="1294" w:type="dxa"/>
            <w:shd w:val="clear" w:color="auto" w:fill="C6D9F1" w:themeFill="text2" w:themeFillTint="33"/>
            <w:noWrap/>
            <w:vAlign w:val="bottom"/>
            <w:hideMark/>
          </w:tcPr>
          <w:p w:rsidR="00141AC5" w:rsidRPr="00141AC5" w:rsidRDefault="00141AC5" w:rsidP="00141AC5">
            <w:pPr>
              <w:spacing w:after="0"/>
              <w:rPr>
                <w:rFonts w:cs="Times New Roman"/>
                <w:color w:val="000000"/>
                <w:sz w:val="20"/>
                <w:szCs w:val="20"/>
                <w:lang w:val="en-AU" w:eastAsia="en-AU"/>
              </w:rPr>
            </w:pPr>
          </w:p>
        </w:tc>
        <w:tc>
          <w:tcPr>
            <w:tcW w:w="1399" w:type="dxa"/>
            <w:shd w:val="clear" w:color="auto" w:fill="C6D9F1" w:themeFill="text2" w:themeFillTint="33"/>
            <w:noWrap/>
            <w:vAlign w:val="bottom"/>
            <w:hideMark/>
          </w:tcPr>
          <w:p w:rsidR="00141AC5" w:rsidRPr="00141AC5" w:rsidRDefault="00141AC5" w:rsidP="00141AC5">
            <w:pPr>
              <w:spacing w:after="0"/>
              <w:rPr>
                <w:rFonts w:cs="Times New Roman"/>
                <w:color w:val="000000"/>
                <w:sz w:val="20"/>
                <w:szCs w:val="20"/>
                <w:lang w:val="en-AU" w:eastAsia="en-AU"/>
              </w:rPr>
            </w:pPr>
          </w:p>
        </w:tc>
        <w:tc>
          <w:tcPr>
            <w:tcW w:w="1418" w:type="dxa"/>
            <w:shd w:val="clear" w:color="auto" w:fill="C6D9F1" w:themeFill="text2" w:themeFillTint="33"/>
            <w:noWrap/>
            <w:vAlign w:val="bottom"/>
            <w:hideMark/>
          </w:tcPr>
          <w:p w:rsidR="00141AC5" w:rsidRPr="00141AC5" w:rsidRDefault="00141AC5" w:rsidP="00141AC5">
            <w:pPr>
              <w:spacing w:after="0"/>
              <w:rPr>
                <w:rFonts w:cs="Times New Roman"/>
                <w:color w:val="000000"/>
                <w:sz w:val="20"/>
                <w:szCs w:val="20"/>
                <w:lang w:val="en-AU" w:eastAsia="en-AU"/>
              </w:rPr>
            </w:pP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Halmahera Barat</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3.40</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21.35%</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-4.44%</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106,314</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Halmahera Utara</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1.49</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12.27%</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18.12%</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79,314</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Kepulauan Aru</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6.22</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29.00%</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28.91%</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148,059</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Kepulauan Sula</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2.39</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14.77%</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10.11%</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106,652</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Ambon</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5.80</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55.58%</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17.77%</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461,598</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Ternate</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4.83</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33.14%</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4.71%</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211,823</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Tidore Kepulauan</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7.03</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32.05%</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7.51%</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180,338</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Tual</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3.47</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15.59%</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15.36%</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57,092</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Maluku Tenggara</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2.84</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16.68%</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16.92%</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88,094</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Seram Bagian Barat</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3.71</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35.25%</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13.03%</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204,866</w:t>
            </w:r>
          </w:p>
        </w:tc>
      </w:tr>
      <w:tr w:rsidR="00141AC5" w:rsidRPr="00141AC5" w:rsidTr="00141AC5">
        <w:trPr>
          <w:trHeight w:val="300"/>
        </w:trPr>
        <w:tc>
          <w:tcPr>
            <w:tcW w:w="2425" w:type="dxa"/>
            <w:shd w:val="clear" w:color="auto" w:fill="C6D9F1" w:themeFill="text2" w:themeFillTint="33"/>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Papua</w:t>
            </w:r>
          </w:p>
        </w:tc>
        <w:tc>
          <w:tcPr>
            <w:tcW w:w="1701" w:type="dxa"/>
            <w:shd w:val="clear" w:color="auto" w:fill="C6D9F1" w:themeFill="text2" w:themeFillTint="33"/>
            <w:noWrap/>
            <w:vAlign w:val="bottom"/>
            <w:hideMark/>
          </w:tcPr>
          <w:p w:rsidR="00141AC5" w:rsidRPr="00141AC5" w:rsidRDefault="00141AC5" w:rsidP="00141AC5">
            <w:pPr>
              <w:spacing w:after="0"/>
              <w:rPr>
                <w:rFonts w:cs="Times New Roman"/>
                <w:color w:val="000000"/>
                <w:sz w:val="20"/>
                <w:szCs w:val="20"/>
                <w:lang w:val="en-AU" w:eastAsia="en-AU"/>
              </w:rPr>
            </w:pPr>
          </w:p>
        </w:tc>
        <w:tc>
          <w:tcPr>
            <w:tcW w:w="1294" w:type="dxa"/>
            <w:shd w:val="clear" w:color="auto" w:fill="C6D9F1" w:themeFill="text2" w:themeFillTint="33"/>
            <w:noWrap/>
            <w:vAlign w:val="bottom"/>
            <w:hideMark/>
          </w:tcPr>
          <w:p w:rsidR="00141AC5" w:rsidRPr="00141AC5" w:rsidRDefault="00141AC5" w:rsidP="00141AC5">
            <w:pPr>
              <w:spacing w:after="0"/>
              <w:rPr>
                <w:rFonts w:cs="Times New Roman"/>
                <w:color w:val="000000"/>
                <w:sz w:val="20"/>
                <w:szCs w:val="20"/>
                <w:lang w:val="en-AU" w:eastAsia="en-AU"/>
              </w:rPr>
            </w:pPr>
          </w:p>
        </w:tc>
        <w:tc>
          <w:tcPr>
            <w:tcW w:w="1399" w:type="dxa"/>
            <w:shd w:val="clear" w:color="auto" w:fill="C6D9F1" w:themeFill="text2" w:themeFillTint="33"/>
            <w:noWrap/>
            <w:vAlign w:val="bottom"/>
            <w:hideMark/>
          </w:tcPr>
          <w:p w:rsidR="00141AC5" w:rsidRPr="00141AC5" w:rsidRDefault="00141AC5" w:rsidP="00141AC5">
            <w:pPr>
              <w:spacing w:after="0"/>
              <w:rPr>
                <w:rFonts w:cs="Times New Roman"/>
                <w:color w:val="000000"/>
                <w:sz w:val="20"/>
                <w:szCs w:val="20"/>
                <w:lang w:val="en-AU" w:eastAsia="en-AU"/>
              </w:rPr>
            </w:pPr>
          </w:p>
        </w:tc>
        <w:tc>
          <w:tcPr>
            <w:tcW w:w="1418" w:type="dxa"/>
            <w:shd w:val="clear" w:color="auto" w:fill="C6D9F1" w:themeFill="text2" w:themeFillTint="33"/>
            <w:noWrap/>
            <w:vAlign w:val="bottom"/>
            <w:hideMark/>
          </w:tcPr>
          <w:p w:rsidR="00141AC5" w:rsidRPr="00141AC5" w:rsidRDefault="00141AC5" w:rsidP="00141AC5">
            <w:pPr>
              <w:spacing w:after="0"/>
              <w:rPr>
                <w:rFonts w:cs="Times New Roman"/>
                <w:color w:val="000000"/>
                <w:sz w:val="20"/>
                <w:szCs w:val="20"/>
                <w:lang w:val="en-AU" w:eastAsia="en-AU"/>
              </w:rPr>
            </w:pP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Fakfak</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8.84</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20.25%</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34.23%</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169,306</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Jayapura</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5.00</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36.18%</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27.38%</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321,302</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lastRenderedPageBreak/>
              <w:t>Manokwari</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4.35</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25.23%</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2.96%</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234,527</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Sorong</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7.87</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21.57%</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34.38%</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204,216</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Sorong Selatan</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7.74</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17.10%</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8.74%</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98,980</w:t>
            </w:r>
          </w:p>
        </w:tc>
      </w:tr>
      <w:tr w:rsidR="00141AC5" w:rsidRPr="00141AC5" w:rsidTr="00141AC5">
        <w:trPr>
          <w:trHeight w:val="300"/>
        </w:trPr>
        <w:tc>
          <w:tcPr>
            <w:tcW w:w="2425" w:type="dxa"/>
            <w:shd w:val="clear" w:color="auto" w:fill="C6D9F1" w:themeFill="text2" w:themeFillTint="33"/>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Sulawesi</w:t>
            </w:r>
          </w:p>
        </w:tc>
        <w:tc>
          <w:tcPr>
            <w:tcW w:w="1701" w:type="dxa"/>
            <w:shd w:val="clear" w:color="auto" w:fill="C6D9F1" w:themeFill="text2" w:themeFillTint="33"/>
            <w:noWrap/>
            <w:vAlign w:val="bottom"/>
            <w:hideMark/>
          </w:tcPr>
          <w:p w:rsidR="00141AC5" w:rsidRPr="00141AC5" w:rsidRDefault="00141AC5" w:rsidP="00141AC5">
            <w:pPr>
              <w:spacing w:after="0"/>
              <w:rPr>
                <w:rFonts w:cs="Times New Roman"/>
                <w:color w:val="000000"/>
                <w:sz w:val="20"/>
                <w:szCs w:val="20"/>
                <w:lang w:val="en-AU" w:eastAsia="en-AU"/>
              </w:rPr>
            </w:pPr>
          </w:p>
        </w:tc>
        <w:tc>
          <w:tcPr>
            <w:tcW w:w="1294" w:type="dxa"/>
            <w:shd w:val="clear" w:color="auto" w:fill="C6D9F1" w:themeFill="text2" w:themeFillTint="33"/>
            <w:noWrap/>
            <w:vAlign w:val="bottom"/>
            <w:hideMark/>
          </w:tcPr>
          <w:p w:rsidR="00141AC5" w:rsidRPr="00141AC5" w:rsidRDefault="00141AC5" w:rsidP="00141AC5">
            <w:pPr>
              <w:spacing w:after="0"/>
              <w:rPr>
                <w:rFonts w:cs="Times New Roman"/>
                <w:color w:val="000000"/>
                <w:sz w:val="20"/>
                <w:szCs w:val="20"/>
                <w:lang w:val="en-AU" w:eastAsia="en-AU"/>
              </w:rPr>
            </w:pPr>
          </w:p>
        </w:tc>
        <w:tc>
          <w:tcPr>
            <w:tcW w:w="1399" w:type="dxa"/>
            <w:shd w:val="clear" w:color="auto" w:fill="C6D9F1" w:themeFill="text2" w:themeFillTint="33"/>
            <w:noWrap/>
            <w:vAlign w:val="bottom"/>
            <w:hideMark/>
          </w:tcPr>
          <w:p w:rsidR="00141AC5" w:rsidRPr="00141AC5" w:rsidRDefault="00141AC5" w:rsidP="00141AC5">
            <w:pPr>
              <w:spacing w:after="0"/>
              <w:rPr>
                <w:rFonts w:cs="Times New Roman"/>
                <w:color w:val="000000"/>
                <w:sz w:val="20"/>
                <w:szCs w:val="20"/>
                <w:lang w:val="en-AU" w:eastAsia="en-AU"/>
              </w:rPr>
            </w:pPr>
          </w:p>
        </w:tc>
        <w:tc>
          <w:tcPr>
            <w:tcW w:w="1418" w:type="dxa"/>
            <w:shd w:val="clear" w:color="auto" w:fill="C6D9F1" w:themeFill="text2" w:themeFillTint="33"/>
            <w:noWrap/>
            <w:vAlign w:val="bottom"/>
            <w:hideMark/>
          </w:tcPr>
          <w:p w:rsidR="00141AC5" w:rsidRPr="00141AC5" w:rsidRDefault="00141AC5" w:rsidP="00141AC5">
            <w:pPr>
              <w:spacing w:after="0"/>
              <w:rPr>
                <w:rFonts w:cs="Times New Roman"/>
                <w:color w:val="000000"/>
                <w:sz w:val="20"/>
                <w:szCs w:val="20"/>
                <w:lang w:val="en-AU" w:eastAsia="en-AU"/>
              </w:rPr>
            </w:pP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Barru</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6.75</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45.23%</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17.06%</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272,863</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Bone Bolango</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6.57</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37.22%</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7.36%</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208,481</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Gorontalo</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3.88</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44.67%</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7.16%</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325,565</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Gowa</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3.09</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44.98%</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18.51%</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467,038</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Kepulauan Selayar</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5.06</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22.54%</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5.34%</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142,622</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Kepulauan Talaud</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9.84</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31.77%</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40.74%</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188,843</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Gorontalo</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5.87</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37.29%</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17.43%</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268,459</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Kendari</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4.58</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36.04%</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1.60%</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332,045</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Kotamobagu</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3.93</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28.86%</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-2.78%</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121,992</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Palu</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5.40</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41.26%</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22.57%</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426,904</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Tomohon</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4.90</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23.97%</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6.53%</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105,637</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Minahasa Utara</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5.41</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35.49%</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-1.65%</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208,126</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Sidenreng Rappang</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4.61</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37.03%</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-3.07%</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277,378</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Soppeng</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6.69</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46.63%</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6.12%</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325,946</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Wakatobi</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5.55</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31.30%</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8.41%</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154,938</w:t>
            </w:r>
          </w:p>
        </w:tc>
      </w:tr>
      <w:tr w:rsidR="00141AC5" w:rsidRPr="00141AC5" w:rsidTr="00141AC5">
        <w:trPr>
          <w:trHeight w:val="300"/>
        </w:trPr>
        <w:tc>
          <w:tcPr>
            <w:tcW w:w="2425" w:type="dxa"/>
            <w:shd w:val="clear" w:color="auto" w:fill="C6D9F1" w:themeFill="text2" w:themeFillTint="33"/>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Sumatera</w:t>
            </w:r>
          </w:p>
        </w:tc>
        <w:tc>
          <w:tcPr>
            <w:tcW w:w="1701" w:type="dxa"/>
            <w:shd w:val="clear" w:color="auto" w:fill="C6D9F1" w:themeFill="text2" w:themeFillTint="33"/>
            <w:noWrap/>
            <w:vAlign w:val="bottom"/>
            <w:hideMark/>
          </w:tcPr>
          <w:p w:rsidR="00141AC5" w:rsidRPr="00141AC5" w:rsidRDefault="00141AC5" w:rsidP="00141AC5">
            <w:pPr>
              <w:spacing w:after="0"/>
              <w:rPr>
                <w:rFonts w:cs="Times New Roman"/>
                <w:color w:val="000000"/>
                <w:sz w:val="20"/>
                <w:szCs w:val="20"/>
                <w:lang w:val="en-AU" w:eastAsia="en-AU"/>
              </w:rPr>
            </w:pPr>
          </w:p>
        </w:tc>
        <w:tc>
          <w:tcPr>
            <w:tcW w:w="1294" w:type="dxa"/>
            <w:shd w:val="clear" w:color="auto" w:fill="C6D9F1" w:themeFill="text2" w:themeFillTint="33"/>
            <w:noWrap/>
            <w:vAlign w:val="bottom"/>
            <w:hideMark/>
          </w:tcPr>
          <w:p w:rsidR="00141AC5" w:rsidRPr="00141AC5" w:rsidRDefault="00141AC5" w:rsidP="00141AC5">
            <w:pPr>
              <w:spacing w:after="0"/>
              <w:rPr>
                <w:rFonts w:cs="Times New Roman"/>
                <w:color w:val="000000"/>
                <w:sz w:val="20"/>
                <w:szCs w:val="20"/>
                <w:lang w:val="en-AU" w:eastAsia="en-AU"/>
              </w:rPr>
            </w:pPr>
          </w:p>
        </w:tc>
        <w:tc>
          <w:tcPr>
            <w:tcW w:w="1399" w:type="dxa"/>
            <w:shd w:val="clear" w:color="auto" w:fill="C6D9F1" w:themeFill="text2" w:themeFillTint="33"/>
            <w:noWrap/>
            <w:vAlign w:val="bottom"/>
            <w:hideMark/>
          </w:tcPr>
          <w:p w:rsidR="00141AC5" w:rsidRPr="00141AC5" w:rsidRDefault="00141AC5" w:rsidP="00141AC5">
            <w:pPr>
              <w:spacing w:after="0"/>
              <w:rPr>
                <w:rFonts w:cs="Times New Roman"/>
                <w:color w:val="000000"/>
                <w:sz w:val="20"/>
                <w:szCs w:val="20"/>
                <w:lang w:val="en-AU" w:eastAsia="en-AU"/>
              </w:rPr>
            </w:pPr>
          </w:p>
        </w:tc>
        <w:tc>
          <w:tcPr>
            <w:tcW w:w="1418" w:type="dxa"/>
            <w:shd w:val="clear" w:color="auto" w:fill="C6D9F1" w:themeFill="text2" w:themeFillTint="33"/>
            <w:noWrap/>
            <w:vAlign w:val="bottom"/>
            <w:hideMark/>
          </w:tcPr>
          <w:p w:rsidR="00141AC5" w:rsidRPr="00141AC5" w:rsidRDefault="00141AC5" w:rsidP="00141AC5">
            <w:pPr>
              <w:spacing w:after="0"/>
              <w:rPr>
                <w:rFonts w:cs="Times New Roman"/>
                <w:color w:val="000000"/>
                <w:sz w:val="20"/>
                <w:szCs w:val="20"/>
                <w:lang w:val="en-AU" w:eastAsia="en-AU"/>
              </w:rPr>
            </w:pP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Aceh Barat Daya</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5.30</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29.49%</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18.58%</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172,907</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Aceh Jaya</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9.01</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28.41%</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12.27%</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150,577</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Aceh Selatan</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5.54</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39.70%</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56.17%</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295,074</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Aceh Singkil</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4.13</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26.56%</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25.99%</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126,070</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Aceh Tenggara</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4.30</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37.84%</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37.23%</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231,869</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Belitung</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5.47</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25.71%</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10.87%</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186,279</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Bengkalis</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6.93</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20.23%</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95.35%</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956,801</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Bengkulu Selatan</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6.64</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40.01%</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20.79%</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248,919</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DharmasRaya</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4.90</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33.25%</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18.06%</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205,861</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Banda Aceh</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6.52</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41.03%</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10.15%</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366,769</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Bengkulu</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3.99</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40.29%</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15.15%</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305,669</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Binjai</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4.05</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36.06%</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20.42%</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293,666</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Dumai</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4.47</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23.22%</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17.58%</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276,209</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Langsa</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4.54</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34.47%</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15.44%</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180,767</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Lhokseumawe</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4.56</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31.66%</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22.69%</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210,575</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Lubuk linggau</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3.84</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29.97%</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12.82%</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203,603</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Medan</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2.19</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26.54%</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9.02%</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1,200,930</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Metro</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5.40</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39.16%</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18.37%</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246,915</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Padang</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3.99</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44.61%</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13.01%</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749,009</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Palembang</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3.65</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47.68%</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15.49%</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1,222,086</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lastRenderedPageBreak/>
              <w:t>Kota Pangkal Pinang</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4.59</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29.26%</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17.04%</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185,447</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Pariaman</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7.34</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40.24%</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21.47%</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195,594</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Sabang</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17.26</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26.16%</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8.29%</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119,802</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Subulussalam</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3.44</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24.26%</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-1.20%</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83,076</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Tanjung Pinang</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5.16</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27.14%</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25.06%</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230,935</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Lima Puluh Koto</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6.63</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50.66%</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26.93%</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475,311</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Nagan Raya</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7.13</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34.90%</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16.15%</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232,283</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Ogan Ilir</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4.93</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38.14%</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42.54%</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408,101</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Pesisir Selatan</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4.59</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50.68%</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16.72%</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517,400</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Samosir</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4.89</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32.63%</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10.92%</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186,249</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Sawahlunto/Sijunjung</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5.71</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40.81%</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14.66%</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273,138</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Simeulue</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6.38</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30.02%</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17.49%</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151,890</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Solok</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4.99</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48.26%</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17.14%</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409,436</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Tanah Datar</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4.61</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44.07%</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2.15%</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349,567</w:t>
            </w:r>
          </w:p>
        </w:tc>
      </w:tr>
      <w:tr w:rsidR="00141AC5" w:rsidRPr="00141AC5" w:rsidTr="00141AC5">
        <w:trPr>
          <w:trHeight w:val="300"/>
        </w:trPr>
        <w:tc>
          <w:tcPr>
            <w:tcW w:w="2425" w:type="dxa"/>
            <w:shd w:val="clear" w:color="auto" w:fill="auto"/>
            <w:noWrap/>
            <w:vAlign w:val="bottom"/>
            <w:hideMark/>
          </w:tcPr>
          <w:p w:rsidR="00141AC5" w:rsidRPr="00141AC5" w:rsidRDefault="00141AC5"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Tapanuli Utara</w:t>
            </w:r>
          </w:p>
        </w:tc>
        <w:tc>
          <w:tcPr>
            <w:tcW w:w="1701"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4.49</w:t>
            </w:r>
          </w:p>
        </w:tc>
        <w:tc>
          <w:tcPr>
            <w:tcW w:w="1294"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47.09%</w:t>
            </w:r>
          </w:p>
        </w:tc>
        <w:tc>
          <w:tcPr>
            <w:tcW w:w="1399"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24.21%</w:t>
            </w:r>
          </w:p>
        </w:tc>
        <w:tc>
          <w:tcPr>
            <w:tcW w:w="1418" w:type="dxa"/>
            <w:shd w:val="clear" w:color="auto" w:fill="auto"/>
            <w:noWrap/>
            <w:vAlign w:val="bottom"/>
            <w:hideMark/>
          </w:tcPr>
          <w:p w:rsidR="00141AC5" w:rsidRPr="00141AC5" w:rsidRDefault="00141AC5"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389,133</w:t>
            </w:r>
          </w:p>
        </w:tc>
      </w:tr>
    </w:tbl>
    <w:p w:rsidR="00575142" w:rsidRDefault="00575142"/>
    <w:p w:rsidR="00B450D8" w:rsidRPr="00576504" w:rsidRDefault="00B450D8" w:rsidP="00576504"/>
    <w:tbl>
      <w:tblPr>
        <w:tblW w:w="823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695"/>
        <w:gridCol w:w="1282"/>
        <w:gridCol w:w="1417"/>
        <w:gridCol w:w="1418"/>
      </w:tblGrid>
      <w:tr w:rsidR="00C875A4" w:rsidRPr="00141AC5" w:rsidTr="00C875A4">
        <w:trPr>
          <w:trHeight w:val="396"/>
          <w:tblHeader/>
        </w:trPr>
        <w:tc>
          <w:tcPr>
            <w:tcW w:w="8237" w:type="dxa"/>
            <w:gridSpan w:val="5"/>
            <w:shd w:val="clear" w:color="auto" w:fill="1F497D" w:themeFill="text2"/>
            <w:noWrap/>
            <w:vAlign w:val="bottom"/>
          </w:tcPr>
          <w:p w:rsidR="00C875A4" w:rsidRPr="00CA3181" w:rsidRDefault="00C875A4" w:rsidP="00710F2F">
            <w:pPr>
              <w:spacing w:after="0"/>
              <w:jc w:val="center"/>
              <w:rPr>
                <w:rFonts w:cs="Times New Roman"/>
                <w:color w:val="000000"/>
                <w:sz w:val="20"/>
                <w:szCs w:val="20"/>
                <w:lang w:val="en-AU" w:eastAsia="en-AU"/>
              </w:rPr>
            </w:pPr>
            <w:r w:rsidRPr="00CA3181">
              <w:rPr>
                <w:rFonts w:asciiTheme="minorHAnsi" w:hAnsiTheme="minorHAnsi" w:cs="Arial"/>
                <w:b/>
                <w:color w:val="FFFFFF" w:themeColor="background1"/>
                <w:sz w:val="20"/>
                <w:szCs w:val="20"/>
                <w:lang w:eastAsia="en-AU"/>
              </w:rPr>
              <w:t xml:space="preserve">Component </w:t>
            </w:r>
            <w:r>
              <w:rPr>
                <w:rFonts w:asciiTheme="minorHAnsi" w:hAnsiTheme="minorHAnsi" w:cs="Arial"/>
                <w:b/>
                <w:color w:val="FFFFFF" w:themeColor="background1"/>
                <w:sz w:val="20"/>
                <w:szCs w:val="20"/>
                <w:lang w:eastAsia="en-AU"/>
              </w:rPr>
              <w:t>1 and 2</w:t>
            </w:r>
            <w:r w:rsidRPr="00CA3181">
              <w:rPr>
                <w:rFonts w:asciiTheme="minorHAnsi" w:hAnsiTheme="minorHAnsi" w:cs="Arial"/>
                <w:b/>
                <w:color w:val="FFFFFF" w:themeColor="background1"/>
                <w:sz w:val="20"/>
                <w:szCs w:val="20"/>
                <w:lang w:eastAsia="en-AU"/>
              </w:rPr>
              <w:t>:</w:t>
            </w:r>
            <w:r>
              <w:rPr>
                <w:rFonts w:asciiTheme="minorHAnsi" w:hAnsiTheme="minorHAnsi" w:cs="Arial"/>
                <w:b/>
                <w:color w:val="FFFFFF" w:themeColor="background1"/>
                <w:sz w:val="20"/>
                <w:szCs w:val="20"/>
                <w:lang w:eastAsia="en-AU"/>
              </w:rPr>
              <w:t xml:space="preserve"> AI</w:t>
            </w:r>
            <w:r w:rsidR="003245E4">
              <w:rPr>
                <w:rFonts w:asciiTheme="minorHAnsi" w:hAnsiTheme="minorHAnsi" w:cs="Arial"/>
                <w:b/>
                <w:color w:val="FFFFFF" w:themeColor="background1"/>
                <w:sz w:val="20"/>
                <w:szCs w:val="20"/>
                <w:lang w:eastAsia="en-AU"/>
              </w:rPr>
              <w:t>E</w:t>
            </w:r>
            <w:r>
              <w:rPr>
                <w:rFonts w:asciiTheme="minorHAnsi" w:hAnsiTheme="minorHAnsi" w:cs="Arial"/>
                <w:b/>
                <w:color w:val="FFFFFF" w:themeColor="background1"/>
                <w:sz w:val="20"/>
                <w:szCs w:val="20"/>
                <w:lang w:eastAsia="en-AU"/>
              </w:rPr>
              <w:t>P 2013</w:t>
            </w:r>
          </w:p>
        </w:tc>
      </w:tr>
      <w:tr w:rsidR="00C875A4" w:rsidRPr="00141AC5" w:rsidTr="00C875A4">
        <w:trPr>
          <w:trHeight w:val="840"/>
          <w:tblHeader/>
        </w:trPr>
        <w:tc>
          <w:tcPr>
            <w:tcW w:w="2425" w:type="dxa"/>
            <w:shd w:val="clear" w:color="auto" w:fill="8DB3E2" w:themeFill="text2" w:themeFillTint="66"/>
            <w:noWrap/>
            <w:vAlign w:val="bottom"/>
          </w:tcPr>
          <w:p w:rsidR="00C875A4" w:rsidRPr="00CA3181" w:rsidRDefault="00C875A4" w:rsidP="00710F2F">
            <w:pPr>
              <w:spacing w:after="0"/>
              <w:rPr>
                <w:rFonts w:cs="Times New Roman"/>
                <w:color w:val="FFFFFF" w:themeColor="background1"/>
                <w:sz w:val="20"/>
                <w:szCs w:val="20"/>
                <w:lang w:val="en-AU" w:eastAsia="en-AU"/>
              </w:rPr>
            </w:pPr>
            <w:r w:rsidRPr="00CA3181">
              <w:rPr>
                <w:rFonts w:cs="Times New Roman"/>
                <w:color w:val="FFFFFF" w:themeColor="background1"/>
                <w:sz w:val="20"/>
                <w:szCs w:val="20"/>
                <w:lang w:val="en-AU" w:eastAsia="en-AU"/>
              </w:rPr>
              <w:t>Island/District</w:t>
            </w:r>
          </w:p>
        </w:tc>
        <w:tc>
          <w:tcPr>
            <w:tcW w:w="1695" w:type="dxa"/>
            <w:shd w:val="clear" w:color="auto" w:fill="8DB3E2" w:themeFill="text2" w:themeFillTint="66"/>
            <w:vAlign w:val="bottom"/>
          </w:tcPr>
          <w:p w:rsidR="00C875A4" w:rsidRPr="00CA3181" w:rsidRDefault="00C875A4" w:rsidP="00710F2F">
            <w:pPr>
              <w:spacing w:after="0"/>
              <w:jc w:val="right"/>
              <w:rPr>
                <w:rFonts w:cs="Times New Roman"/>
                <w:color w:val="FFFFFF" w:themeColor="background1"/>
                <w:sz w:val="20"/>
                <w:szCs w:val="20"/>
                <w:lang w:val="en-AU" w:eastAsia="en-AU"/>
              </w:rPr>
            </w:pPr>
            <w:r w:rsidRPr="00CA3181">
              <w:rPr>
                <w:rFonts w:cs="Times New Roman"/>
                <w:color w:val="FFFFFF" w:themeColor="background1"/>
                <w:sz w:val="20"/>
                <w:szCs w:val="20"/>
                <w:lang w:eastAsia="en-AU"/>
              </w:rPr>
              <w:t>Education Expenditure per Student (Rp. Million)</w:t>
            </w:r>
          </w:p>
        </w:tc>
        <w:tc>
          <w:tcPr>
            <w:tcW w:w="1282" w:type="dxa"/>
            <w:shd w:val="clear" w:color="auto" w:fill="8DB3E2" w:themeFill="text2" w:themeFillTint="66"/>
            <w:vAlign w:val="bottom"/>
          </w:tcPr>
          <w:p w:rsidR="00C875A4" w:rsidRPr="00CA3181" w:rsidRDefault="00C875A4" w:rsidP="00710F2F">
            <w:pPr>
              <w:spacing w:after="0"/>
              <w:jc w:val="right"/>
              <w:rPr>
                <w:rFonts w:cs="Times New Roman"/>
                <w:color w:val="FFFFFF" w:themeColor="background1"/>
                <w:sz w:val="20"/>
                <w:szCs w:val="20"/>
                <w:lang w:val="en-AU" w:eastAsia="en-AU"/>
              </w:rPr>
            </w:pPr>
            <w:r w:rsidRPr="00CA3181">
              <w:rPr>
                <w:rFonts w:cs="Times New Roman"/>
                <w:color w:val="FFFFFF" w:themeColor="background1"/>
                <w:sz w:val="20"/>
                <w:szCs w:val="20"/>
                <w:lang w:val="en-AU" w:eastAsia="en-AU"/>
              </w:rPr>
              <w:t>Education Share of</w:t>
            </w:r>
            <w:r w:rsidRPr="00CA3181">
              <w:rPr>
                <w:rFonts w:cs="Times New Roman"/>
                <w:color w:val="FFFFFF" w:themeColor="background1"/>
                <w:sz w:val="20"/>
                <w:szCs w:val="20"/>
                <w:lang w:val="en-AU" w:eastAsia="en-AU"/>
              </w:rPr>
              <w:br/>
              <w:t xml:space="preserve">  District Budget</w:t>
            </w:r>
          </w:p>
        </w:tc>
        <w:tc>
          <w:tcPr>
            <w:tcW w:w="1417" w:type="dxa"/>
            <w:shd w:val="clear" w:color="auto" w:fill="8DB3E2" w:themeFill="text2" w:themeFillTint="66"/>
            <w:vAlign w:val="bottom"/>
          </w:tcPr>
          <w:p w:rsidR="00C875A4" w:rsidRPr="00CA3181" w:rsidRDefault="00C875A4" w:rsidP="00710F2F">
            <w:pPr>
              <w:spacing w:after="0"/>
              <w:jc w:val="right"/>
              <w:rPr>
                <w:rFonts w:cs="Times New Roman"/>
                <w:color w:val="FFFFFF" w:themeColor="background1"/>
                <w:sz w:val="20"/>
                <w:szCs w:val="20"/>
                <w:lang w:val="en-AU" w:eastAsia="en-AU"/>
              </w:rPr>
            </w:pPr>
            <w:r w:rsidRPr="00CA3181">
              <w:rPr>
                <w:rFonts w:cs="Times New Roman"/>
                <w:color w:val="FFFFFF" w:themeColor="background1"/>
                <w:sz w:val="20"/>
                <w:szCs w:val="20"/>
                <w:lang w:val="en-AU" w:eastAsia="en-AU"/>
              </w:rPr>
              <w:t xml:space="preserve">Education Budget </w:t>
            </w:r>
            <w:r w:rsidRPr="00CA3181">
              <w:rPr>
                <w:rFonts w:cs="Times New Roman"/>
                <w:color w:val="FFFFFF" w:themeColor="background1"/>
                <w:sz w:val="20"/>
                <w:szCs w:val="20"/>
                <w:lang w:val="en-AU" w:eastAsia="en-AU"/>
              </w:rPr>
              <w:br/>
              <w:t>Annual Growth</w:t>
            </w:r>
          </w:p>
        </w:tc>
        <w:tc>
          <w:tcPr>
            <w:tcW w:w="1418" w:type="dxa"/>
            <w:shd w:val="clear" w:color="auto" w:fill="8DB3E2" w:themeFill="text2" w:themeFillTint="66"/>
            <w:vAlign w:val="bottom"/>
          </w:tcPr>
          <w:p w:rsidR="00C875A4" w:rsidRPr="00CA3181" w:rsidRDefault="00C875A4" w:rsidP="00710F2F">
            <w:pPr>
              <w:spacing w:after="0"/>
              <w:jc w:val="right"/>
              <w:rPr>
                <w:rFonts w:cs="Times New Roman"/>
                <w:color w:val="FFFFFF" w:themeColor="background1"/>
                <w:sz w:val="20"/>
                <w:szCs w:val="20"/>
                <w:lang w:val="en-AU" w:eastAsia="en-AU"/>
              </w:rPr>
            </w:pPr>
            <w:r w:rsidRPr="00CA3181">
              <w:rPr>
                <w:rFonts w:cs="Times New Roman"/>
                <w:color w:val="FFFFFF" w:themeColor="background1"/>
                <w:sz w:val="20"/>
                <w:szCs w:val="20"/>
                <w:lang w:val="en-AU" w:eastAsia="en-AU"/>
              </w:rPr>
              <w:t xml:space="preserve">Education District Budget </w:t>
            </w:r>
            <w:r w:rsidRPr="00CA3181">
              <w:rPr>
                <w:rFonts w:cs="Times New Roman"/>
                <w:color w:val="FFFFFF" w:themeColor="background1"/>
                <w:sz w:val="20"/>
                <w:szCs w:val="20"/>
                <w:lang w:val="en-AU" w:eastAsia="en-AU"/>
              </w:rPr>
              <w:br/>
              <w:t>(Rp. Million)</w:t>
            </w:r>
          </w:p>
        </w:tc>
      </w:tr>
      <w:tr w:rsidR="00C875A4" w:rsidRPr="00141AC5" w:rsidTr="00C875A4">
        <w:trPr>
          <w:trHeight w:val="300"/>
        </w:trPr>
        <w:tc>
          <w:tcPr>
            <w:tcW w:w="2425" w:type="dxa"/>
            <w:shd w:val="clear" w:color="auto" w:fill="C6D9F1" w:themeFill="text2" w:themeFillTint="33"/>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Bali and Nusa Tengarra</w:t>
            </w:r>
          </w:p>
        </w:tc>
        <w:tc>
          <w:tcPr>
            <w:tcW w:w="1695" w:type="dxa"/>
            <w:shd w:val="clear" w:color="auto" w:fill="C6D9F1" w:themeFill="text2" w:themeFillTint="33"/>
            <w:vAlign w:val="bottom"/>
            <w:hideMark/>
          </w:tcPr>
          <w:p w:rsidR="00C875A4" w:rsidRPr="00141AC5" w:rsidRDefault="00C875A4" w:rsidP="00141AC5">
            <w:pPr>
              <w:spacing w:after="0"/>
              <w:rPr>
                <w:rFonts w:cs="Times New Roman"/>
                <w:color w:val="000000"/>
                <w:sz w:val="20"/>
                <w:szCs w:val="20"/>
                <w:lang w:val="en-AU" w:eastAsia="en-AU"/>
              </w:rPr>
            </w:pPr>
          </w:p>
        </w:tc>
        <w:tc>
          <w:tcPr>
            <w:tcW w:w="1282" w:type="dxa"/>
            <w:shd w:val="clear" w:color="auto" w:fill="C6D9F1" w:themeFill="text2" w:themeFillTint="33"/>
            <w:vAlign w:val="bottom"/>
            <w:hideMark/>
          </w:tcPr>
          <w:p w:rsidR="00C875A4" w:rsidRPr="00141AC5" w:rsidRDefault="00C875A4" w:rsidP="00141AC5">
            <w:pPr>
              <w:spacing w:after="0"/>
              <w:rPr>
                <w:rFonts w:cs="Times New Roman"/>
                <w:color w:val="000000"/>
                <w:sz w:val="20"/>
                <w:szCs w:val="20"/>
                <w:lang w:val="en-AU" w:eastAsia="en-AU"/>
              </w:rPr>
            </w:pPr>
          </w:p>
        </w:tc>
        <w:tc>
          <w:tcPr>
            <w:tcW w:w="1417" w:type="dxa"/>
            <w:shd w:val="clear" w:color="auto" w:fill="C6D9F1" w:themeFill="text2" w:themeFillTint="33"/>
            <w:vAlign w:val="bottom"/>
            <w:hideMark/>
          </w:tcPr>
          <w:p w:rsidR="00C875A4" w:rsidRPr="00141AC5" w:rsidRDefault="00C875A4" w:rsidP="00141AC5">
            <w:pPr>
              <w:spacing w:after="0"/>
              <w:rPr>
                <w:rFonts w:cs="Times New Roman"/>
                <w:color w:val="000000"/>
                <w:sz w:val="20"/>
                <w:szCs w:val="20"/>
                <w:lang w:val="en-AU" w:eastAsia="en-AU"/>
              </w:rPr>
            </w:pPr>
          </w:p>
        </w:tc>
        <w:tc>
          <w:tcPr>
            <w:tcW w:w="1418" w:type="dxa"/>
            <w:shd w:val="clear" w:color="auto" w:fill="C6D9F1" w:themeFill="text2" w:themeFillTint="33"/>
            <w:vAlign w:val="bottom"/>
            <w:hideMark/>
          </w:tcPr>
          <w:p w:rsidR="00C875A4" w:rsidRPr="00141AC5" w:rsidRDefault="00C875A4" w:rsidP="00141AC5">
            <w:pPr>
              <w:spacing w:after="0"/>
              <w:rPr>
                <w:rFonts w:cs="Times New Roman"/>
                <w:color w:val="000000"/>
                <w:sz w:val="20"/>
                <w:szCs w:val="20"/>
                <w:lang w:val="en-AU" w:eastAsia="en-AU"/>
              </w:rPr>
            </w:pP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Alor</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4.58</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34.71%</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7.07%</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231,701</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Bima</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3.09</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37.89%</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-4.24%</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385,725</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Buleleng</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5.08</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48.27%</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16.43%</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676,512</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Ende</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3.96</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39.96%</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-12.91%</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278,263</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Karang Asem</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5.09</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41.66%</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6.21%</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437,250</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Kupang</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4.77</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45.45%</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63.04%</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382,046</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Lembata</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4.85</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27.39%</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18.13%</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144,232</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Lombok Timur</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2.60</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44.69%</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8.75%</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679,824</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Lombok Utara</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3.79</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28.92%</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35.92%</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145,003</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Manggarai</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2.67</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36.58%</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6.74%</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241,034</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Manggarai Timur</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2.22</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39.03%</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11.37%</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213,793</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Nagekeo</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4.81</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35.40%</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17.47%</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169,523</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Ngada</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4.32</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33.90%</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51.07%</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166,067</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Rote Ndao</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4.56</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28.50%</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11.89%</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139,074</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Sikka</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3.11</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33.35%</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6.32%</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226,562</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Sumbawa Barat</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7.00</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22.83%</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22.64%</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177,530</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Tabanan</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6.24</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40.42%</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9.13%</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461,835</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lastRenderedPageBreak/>
              <w:t>Timor Tengah Selatan</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3.39</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43.83%</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27.26%</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408,366</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Timor Tengah Utara</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3.33</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35.58%</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13.36%</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228,792</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Java</w:t>
            </w:r>
          </w:p>
        </w:tc>
        <w:tc>
          <w:tcPr>
            <w:tcW w:w="169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p>
        </w:tc>
        <w:tc>
          <w:tcPr>
            <w:tcW w:w="1282"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p>
        </w:tc>
        <w:tc>
          <w:tcPr>
            <w:tcW w:w="1417"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p>
        </w:tc>
        <w:tc>
          <w:tcPr>
            <w:tcW w:w="1418"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Blitar</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4.37</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53.36%</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3.30%</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796,743</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Bogor</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1.85</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39.12%</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69.73%</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1,922,662</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Bondowoso</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4.07</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43.80%</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14.73%</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508,402</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Brebes</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2.70</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49.23%</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18.88%</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930,998</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Ciamis</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2.91</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49.15%</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1.08%</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854,435</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Cirebon</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2.36</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44.30%</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14.33%</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1,013,271</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Malang</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3.38</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38.85%</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16.94%</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599,661</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Nganjuk</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4.53</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51.70%</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52.65%</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838,489</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Pacitan</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5.35</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50.35%</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5.03%</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490,439</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Pandeglang</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2.33</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50.44%</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3.98%</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700,640</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Sukabumi</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1.53</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39.64%</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-12.42%</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786,374</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Tasikmalaya</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2.11</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46.57%</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-2.13%</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740,389</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Wonogiri</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5.24</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57.33%</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13.74%</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866,099</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Kalimantan</w:t>
            </w:r>
          </w:p>
        </w:tc>
        <w:tc>
          <w:tcPr>
            <w:tcW w:w="169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p>
        </w:tc>
        <w:tc>
          <w:tcPr>
            <w:tcW w:w="1282"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p>
        </w:tc>
        <w:tc>
          <w:tcPr>
            <w:tcW w:w="1417"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p>
        </w:tc>
        <w:tc>
          <w:tcPr>
            <w:tcW w:w="1418"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Banjar</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4.33</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33.55%</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-5.22%</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376,654</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Bulungan</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11.59</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16.94%</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5.20%</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324,699</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Kapuas</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5.66</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36.75%</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17.59%</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438,112</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Katingan</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6.87</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23.20%</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30.18%</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232,274</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Kayong Utara</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5.54</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24.28%</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9.10%</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127,999</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Singkawang</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5.00</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32.72%</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26.36%</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233,961</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Kotawaringin Barat</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3.75</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21.21%</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6.26%</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194,793</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Kubu Raya</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3.17</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40.01%</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6.67%</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373,907</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Kutai Timur</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11.42</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21.54%</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58.45%</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699,010</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Lamandau</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7.28</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18.27%</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4.70%</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110,339</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Melawi</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4.87</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31.00%</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29.30%</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214,235</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Murung Raya</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7.29</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24.63%</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25.22%</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200,659</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Paser</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9.83</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23.45%</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53.99%</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521,021</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Pontianak</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3.65</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33.28%</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-7.18%</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201,166</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Sambas</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4.08</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44.89%</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20.36%</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469,553</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Sanggau</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4.09</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35.13%</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1.62%</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362,823</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Seruyan</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4.56</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15.60%</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17.78%</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135,050</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Sintang</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3.19</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26.93%</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-7.11%</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286,506</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Tanah Bumbu</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4.05</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20.56%</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16.80%</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249,988</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Sulawesi</w:t>
            </w:r>
          </w:p>
        </w:tc>
        <w:tc>
          <w:tcPr>
            <w:tcW w:w="169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p>
        </w:tc>
        <w:tc>
          <w:tcPr>
            <w:tcW w:w="1282"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p>
        </w:tc>
        <w:tc>
          <w:tcPr>
            <w:tcW w:w="1417"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p>
        </w:tc>
        <w:tc>
          <w:tcPr>
            <w:tcW w:w="1418"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Bantaeng</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5.49</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38.21%</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50.49%</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234,332</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Boalemo</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4.47</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31.10%</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3.06%</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147,144</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Bombana</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3.34</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23.75%</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-19.57%</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124,609</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lastRenderedPageBreak/>
              <w:t>Bone</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3.01</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36.15%</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-0.25%</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492,411</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Buton Utara</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6.36</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25.79%</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22.93%</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117,670</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Donggala</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4.36</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39.62%</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12.29%</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316,057</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Enrekang</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4.16</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34.51%</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9.70%</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217,857</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Jeneponto</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3.55</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41.23%</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30.59%</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310,491</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Konawe Utara</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7.73</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22.31%</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31.68%</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127,113</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Luwu Timur</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3.46</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25.09%</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7.59%</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208,561</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Majene</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5.05</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36.50%</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13.51%</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211,395</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Mamuju</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2.26</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25.19%</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13.41%</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211,616</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Maros</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4.90</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39.14%</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60.54%</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364,107</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Minahasa Selatan</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5.48</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42.57%</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36.06%</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250,626</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Morowali</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5.76</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33.09%</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25.10%</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286,698</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Pangkajene Kepulauan</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5.25</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43.57%</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13.56%</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383,775</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Parigi Moutong</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2.19</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27.69%</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-10.50%</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208,000</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Pohuwato</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5.80</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31.28%</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18.19%</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181,217</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Polewali Mandar</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3.56</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47.98%</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7.71%</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351,830</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Sigi</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5.61</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39.18%</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11.33%</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256,535</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Sinjai</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5.06</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46.15%</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5.75%</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297,450</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Tana Toraja</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2.79</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29.04%</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-6.39%</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190,533</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Toli Toli</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3.57</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29.49%</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4.27%</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192,735</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Wajo</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4.22</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30.45%</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3.26%</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308,536</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Sumatera</w:t>
            </w:r>
          </w:p>
        </w:tc>
        <w:tc>
          <w:tcPr>
            <w:tcW w:w="169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p>
        </w:tc>
        <w:tc>
          <w:tcPr>
            <w:tcW w:w="1282"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p>
        </w:tc>
        <w:tc>
          <w:tcPr>
            <w:tcW w:w="1417"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p>
        </w:tc>
        <w:tc>
          <w:tcPr>
            <w:tcW w:w="1418"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Aceh Barat</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6.36</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39.00%</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7.54%</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270,218</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Aceh Besar</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5.60</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41.31%</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17.91%</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373,068</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Aceh Tamiang</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3.56</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36.12%</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1.70%</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229,158</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Aceh Tengah</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6.14</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37.53%</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15.72%</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277,874</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Aceh Timur</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3.32</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35.21%</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29.69%</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310,232</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Aceh Utara</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3.41</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34.85%</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34.10%</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473,240</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Bangka</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4.40</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33.68%</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20.47%</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272,899</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Bangka Barat</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4.68</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30.80%</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20.07%</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182,791</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Bangka Selatan</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4.06</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23.66%</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1.50%</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143,207</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Bangka Tengah</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4.52</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25.03%</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5.71%</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143,045</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BanyuAsin</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3.80</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37.60%</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21.32%</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574,524</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Belitung Timur</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9.69</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31.64%</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42.93%</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216,893</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Bener Meriah</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4.40</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30.99%</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-4.80%</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147,936</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Bengkulu Utara</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3.91</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33.07%</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19.23%</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239,563</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Bireuen</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4.64</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41.30%</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15.60%</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426,641</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Deli Serdang</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2.81</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44.20%</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15.26%</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1,053,278</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Gayo Lues</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5.56</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23.43%</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6.67%</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121,663</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Kampar</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5.05</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41.66%</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19.40%</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792,469</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lastRenderedPageBreak/>
              <w:t>Kaur</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5.19</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28.98%</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6.82%</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135,315</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Kerinci</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4.70</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32.39%</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3.07%</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241,287</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Kota Batam</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3.19</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28.18%</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23.03%</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497,943</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Kuantan Singingi</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5.12</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28.97%</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19.89%</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355,218</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Mukomuko</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4.04</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23.89%</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10.46%</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159,359</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Ogan Komering Ulu</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4.26</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29.92%</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35.36%</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331,631</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Padang Pariaman</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4.97</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53.31%</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9.28%</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487,366</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Pelalawan</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5.13</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22.00%</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30.78%</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355,141</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Pidie</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4.33</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42.69%</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62.04%</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411,996</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Pidie Jaya</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4.69</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32.56%</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12.77%</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154,878</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Pringsewu</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4.82</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48.97%</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-6.63%</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390,683</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Rejang Lebong</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4.04</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35.62%</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6.98%</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238,442</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Rokan Hulu</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2.90</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22.99%</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10.95%</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329,427</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Serdang Bedagai</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3.34</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43.79%</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19.10%</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460,050</w:t>
            </w:r>
          </w:p>
        </w:tc>
      </w:tr>
      <w:tr w:rsidR="00C875A4" w:rsidRPr="00141AC5" w:rsidTr="00C875A4">
        <w:trPr>
          <w:trHeight w:val="300"/>
        </w:trPr>
        <w:tc>
          <w:tcPr>
            <w:tcW w:w="2425" w:type="dxa"/>
            <w:shd w:val="clear" w:color="auto" w:fill="auto"/>
            <w:noWrap/>
            <w:vAlign w:val="bottom"/>
            <w:hideMark/>
          </w:tcPr>
          <w:p w:rsidR="00C875A4" w:rsidRPr="00141AC5" w:rsidRDefault="00C875A4" w:rsidP="00141AC5">
            <w:pPr>
              <w:spacing w:after="0"/>
              <w:rPr>
                <w:rFonts w:cs="Times New Roman"/>
                <w:color w:val="000000"/>
                <w:sz w:val="20"/>
                <w:szCs w:val="20"/>
                <w:lang w:val="en-AU" w:eastAsia="en-AU"/>
              </w:rPr>
            </w:pPr>
            <w:r w:rsidRPr="00141AC5">
              <w:rPr>
                <w:rFonts w:cs="Times New Roman"/>
                <w:color w:val="000000"/>
                <w:sz w:val="20"/>
                <w:szCs w:val="20"/>
                <w:lang w:val="en-AU" w:eastAsia="en-AU"/>
              </w:rPr>
              <w:t>Tebo</w:t>
            </w:r>
          </w:p>
        </w:tc>
        <w:tc>
          <w:tcPr>
            <w:tcW w:w="1695"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3.47</w:t>
            </w:r>
          </w:p>
        </w:tc>
        <w:tc>
          <w:tcPr>
            <w:tcW w:w="1282"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32.01%</w:t>
            </w:r>
          </w:p>
        </w:tc>
        <w:tc>
          <w:tcPr>
            <w:tcW w:w="1417"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1.34%</w:t>
            </w:r>
          </w:p>
        </w:tc>
        <w:tc>
          <w:tcPr>
            <w:tcW w:w="1418" w:type="dxa"/>
            <w:shd w:val="clear" w:color="auto" w:fill="auto"/>
            <w:noWrap/>
            <w:vAlign w:val="bottom"/>
            <w:hideMark/>
          </w:tcPr>
          <w:p w:rsidR="00C875A4" w:rsidRPr="00141AC5" w:rsidRDefault="00C875A4" w:rsidP="00141AC5">
            <w:pPr>
              <w:spacing w:after="0"/>
              <w:jc w:val="right"/>
              <w:rPr>
                <w:rFonts w:cs="Times New Roman"/>
                <w:color w:val="000000"/>
                <w:sz w:val="20"/>
                <w:szCs w:val="20"/>
                <w:lang w:val="en-AU" w:eastAsia="en-AU"/>
              </w:rPr>
            </w:pPr>
            <w:r w:rsidRPr="00141AC5">
              <w:rPr>
                <w:rFonts w:cs="Times New Roman"/>
                <w:color w:val="000000"/>
                <w:sz w:val="20"/>
                <w:szCs w:val="20"/>
                <w:lang w:val="en-AU" w:eastAsia="en-AU"/>
              </w:rPr>
              <w:t>240,380</w:t>
            </w:r>
          </w:p>
        </w:tc>
      </w:tr>
    </w:tbl>
    <w:p w:rsidR="00B450D8" w:rsidRPr="00576504" w:rsidRDefault="00B450D8" w:rsidP="00576504"/>
    <w:p w:rsidR="00854A82" w:rsidRPr="00576504" w:rsidRDefault="00854A82" w:rsidP="00576504"/>
    <w:p w:rsidR="00576504" w:rsidRDefault="00576504" w:rsidP="00854A82">
      <w:pPr>
        <w:rPr>
          <w:rFonts w:asciiTheme="minorHAnsi" w:hAnsiTheme="minorHAnsi" w:cstheme="minorHAnsi"/>
          <w:b/>
          <w:color w:val="003880"/>
          <w:sz w:val="24"/>
          <w:szCs w:val="24"/>
        </w:rPr>
        <w:sectPr w:rsidR="00576504" w:rsidSect="004B7458">
          <w:headerReference w:type="default" r:id="rId113"/>
          <w:footerReference w:type="default" r:id="rId114"/>
          <w:footnotePr>
            <w:numRestart w:val="eachSect"/>
          </w:footnotePr>
          <w:endnotePr>
            <w:numRestart w:val="eachSect"/>
          </w:endnotePr>
          <w:pgSz w:w="11909" w:h="16834" w:code="9"/>
          <w:pgMar w:top="357" w:right="1440" w:bottom="1304" w:left="1440" w:header="431" w:footer="425" w:gutter="0"/>
          <w:cols w:space="720"/>
          <w:titlePg/>
          <w:docGrid w:linePitch="360"/>
        </w:sect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Pr="00267BC5" w:rsidRDefault="00854A82" w:rsidP="00576504">
      <w:pPr>
        <w:spacing w:after="0"/>
        <w:rPr>
          <w:rFonts w:asciiTheme="minorHAnsi" w:hAnsiTheme="minorHAnsi" w:cstheme="minorHAnsi"/>
          <w:b/>
          <w:color w:val="003880"/>
          <w:sz w:val="24"/>
          <w:szCs w:val="24"/>
        </w:rPr>
      </w:pPr>
      <w:r w:rsidRPr="00267BC5">
        <w:rPr>
          <w:rFonts w:asciiTheme="minorHAnsi" w:hAnsiTheme="minorHAnsi" w:cstheme="minorHAnsi"/>
          <w:b/>
          <w:noProof/>
          <w:color w:val="003880"/>
          <w:sz w:val="24"/>
          <w:szCs w:val="24"/>
          <w:lang w:val="en-AU" w:eastAsia="en-AU"/>
        </w:rPr>
        <w:drawing>
          <wp:anchor distT="0" distB="0" distL="114300" distR="114300" simplePos="0" relativeHeight="251662336" behindDoc="0" locked="1" layoutInCell="0" allowOverlap="1" wp14:anchorId="790D5901" wp14:editId="101C8430">
            <wp:simplePos x="0" y="0"/>
            <wp:positionH relativeFrom="column">
              <wp:posOffset>-567690</wp:posOffset>
            </wp:positionH>
            <wp:positionV relativeFrom="page">
              <wp:posOffset>10022205</wp:posOffset>
            </wp:positionV>
            <wp:extent cx="7086600" cy="4019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ORK\EPOS\REPORT &amp; STATIONARY\emf\Watermark sky blue 50.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86600"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7BC5">
        <w:rPr>
          <w:rFonts w:asciiTheme="minorHAnsi" w:hAnsiTheme="minorHAnsi" w:cstheme="minorHAnsi"/>
          <w:b/>
          <w:noProof/>
          <w:color w:val="003880"/>
          <w:sz w:val="24"/>
          <w:szCs w:val="24"/>
          <w:lang w:val="en-AU" w:eastAsia="en-AU"/>
        </w:rPr>
        <w:drawing>
          <wp:anchor distT="0" distB="0" distL="114300" distR="114300" simplePos="0" relativeHeight="251661312" behindDoc="0" locked="1" layoutInCell="1" allowOverlap="1" wp14:anchorId="3107CC7A" wp14:editId="133C3027">
            <wp:simplePos x="0" y="0"/>
            <wp:positionH relativeFrom="column">
              <wp:posOffset>-883920</wp:posOffset>
            </wp:positionH>
            <wp:positionV relativeFrom="paragraph">
              <wp:posOffset>-990600</wp:posOffset>
            </wp:positionV>
            <wp:extent cx="3840480" cy="246380"/>
            <wp:effectExtent l="0" t="0" r="7620" b="1270"/>
            <wp:wrapNone/>
            <wp:docPr id="13" name="Picture 13" descr="F:\WORK\EPOS\REPORT &amp; STATIONARY\emf\Red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ORK\EPOS\REPORT &amp; STATIONARY\emf\Red stripe.em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flipH="1">
                      <a:off x="0" y="0"/>
                      <a:ext cx="384048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7BC5">
        <w:rPr>
          <w:rFonts w:asciiTheme="minorHAnsi" w:hAnsiTheme="minorHAnsi" w:cstheme="minorHAnsi"/>
          <w:b/>
          <w:color w:val="003880"/>
          <w:sz w:val="24"/>
          <w:szCs w:val="24"/>
        </w:rPr>
        <w:t>Australia’s Education Partnership with Indonesia</w:t>
      </w:r>
    </w:p>
    <w:p w:rsidR="00854A82" w:rsidRPr="00267BC5" w:rsidRDefault="00854A82" w:rsidP="00576504">
      <w:pPr>
        <w:spacing w:after="0"/>
        <w:rPr>
          <w:b/>
          <w:color w:val="003880"/>
          <w:sz w:val="24"/>
          <w:szCs w:val="24"/>
        </w:rPr>
      </w:pPr>
      <w:r w:rsidRPr="00267BC5">
        <w:rPr>
          <w:b/>
          <w:color w:val="003880"/>
          <w:sz w:val="24"/>
          <w:szCs w:val="24"/>
        </w:rPr>
        <w:t xml:space="preserve">Education Partnership </w:t>
      </w:r>
      <w:r>
        <w:rPr>
          <w:b/>
          <w:color w:val="003880"/>
          <w:sz w:val="24"/>
          <w:szCs w:val="24"/>
        </w:rPr>
        <w:t>Performance Oversight and Monitoring</w:t>
      </w:r>
    </w:p>
    <w:p w:rsidR="00854A82" w:rsidRPr="00552173" w:rsidRDefault="00854A82" w:rsidP="00576504">
      <w:pPr>
        <w:spacing w:after="0"/>
        <w:rPr>
          <w:b/>
          <w:sz w:val="20"/>
        </w:rPr>
      </w:pPr>
    </w:p>
    <w:p w:rsidR="00854A82" w:rsidRPr="00191799" w:rsidRDefault="00854A82" w:rsidP="00576504">
      <w:pPr>
        <w:spacing w:after="0"/>
        <w:rPr>
          <w:b/>
          <w:color w:val="595959" w:themeColor="text1" w:themeTint="A6"/>
          <w:sz w:val="20"/>
        </w:rPr>
      </w:pPr>
    </w:p>
    <w:p w:rsidR="00854A82" w:rsidRDefault="00854A82" w:rsidP="00576504">
      <w:pPr>
        <w:spacing w:after="0"/>
        <w:rPr>
          <w:b/>
          <w:color w:val="595959" w:themeColor="text1" w:themeTint="A6"/>
          <w:sz w:val="20"/>
        </w:rPr>
      </w:pPr>
      <w:r>
        <w:rPr>
          <w:b/>
          <w:color w:val="595959" w:themeColor="text1" w:themeTint="A6"/>
          <w:sz w:val="20"/>
        </w:rPr>
        <w:t>EP-POM</w:t>
      </w:r>
    </w:p>
    <w:p w:rsidR="00854A82" w:rsidRPr="00191799" w:rsidRDefault="00854A82" w:rsidP="00576504">
      <w:pPr>
        <w:spacing w:after="0"/>
        <w:rPr>
          <w:b/>
          <w:color w:val="595959" w:themeColor="text1" w:themeTint="A6"/>
          <w:sz w:val="20"/>
        </w:rPr>
      </w:pPr>
      <w:r>
        <w:rPr>
          <w:b/>
          <w:color w:val="595959" w:themeColor="text1" w:themeTint="A6"/>
          <w:sz w:val="20"/>
        </w:rPr>
        <w:t>19</w:t>
      </w:r>
      <w:r w:rsidRPr="00A227F0">
        <w:rPr>
          <w:b/>
          <w:color w:val="595959" w:themeColor="text1" w:themeTint="A6"/>
          <w:sz w:val="20"/>
          <w:vertAlign w:val="superscript"/>
        </w:rPr>
        <w:t>th</w:t>
      </w:r>
      <w:r>
        <w:rPr>
          <w:b/>
          <w:color w:val="595959" w:themeColor="text1" w:themeTint="A6"/>
          <w:sz w:val="20"/>
        </w:rPr>
        <w:t xml:space="preserve"> floor Ratu Plaza Building</w:t>
      </w:r>
    </w:p>
    <w:p w:rsidR="00854A82" w:rsidRPr="00191799" w:rsidRDefault="00854A82" w:rsidP="00576504">
      <w:pPr>
        <w:spacing w:after="0"/>
        <w:rPr>
          <w:b/>
          <w:color w:val="595959" w:themeColor="text1" w:themeTint="A6"/>
          <w:sz w:val="20"/>
        </w:rPr>
      </w:pPr>
      <w:r>
        <w:rPr>
          <w:b/>
          <w:color w:val="595959" w:themeColor="text1" w:themeTint="A6"/>
          <w:sz w:val="20"/>
        </w:rPr>
        <w:t>Jl. Jend.</w:t>
      </w:r>
      <w:r w:rsidRPr="00191799">
        <w:rPr>
          <w:b/>
          <w:color w:val="595959" w:themeColor="text1" w:themeTint="A6"/>
          <w:sz w:val="20"/>
        </w:rPr>
        <w:t xml:space="preserve"> Sudirman</w:t>
      </w:r>
      <w:r>
        <w:rPr>
          <w:b/>
          <w:color w:val="595959" w:themeColor="text1" w:themeTint="A6"/>
          <w:sz w:val="20"/>
        </w:rPr>
        <w:t xml:space="preserve"> No. 9</w:t>
      </w:r>
    </w:p>
    <w:p w:rsidR="00854A82" w:rsidRPr="00191799" w:rsidRDefault="00854A82" w:rsidP="00576504">
      <w:pPr>
        <w:spacing w:after="0"/>
        <w:rPr>
          <w:b/>
          <w:color w:val="595959" w:themeColor="text1" w:themeTint="A6"/>
          <w:sz w:val="20"/>
        </w:rPr>
      </w:pPr>
      <w:r w:rsidRPr="00191799">
        <w:rPr>
          <w:b/>
          <w:color w:val="595959" w:themeColor="text1" w:themeTint="A6"/>
          <w:sz w:val="20"/>
        </w:rPr>
        <w:t>Jakarta</w:t>
      </w:r>
      <w:r>
        <w:rPr>
          <w:b/>
          <w:color w:val="595959" w:themeColor="text1" w:themeTint="A6"/>
          <w:sz w:val="20"/>
        </w:rPr>
        <w:t xml:space="preserve"> 10270</w:t>
      </w:r>
    </w:p>
    <w:p w:rsidR="00854A82" w:rsidRPr="00191799" w:rsidRDefault="00854A82" w:rsidP="00576504">
      <w:pPr>
        <w:spacing w:after="0"/>
        <w:rPr>
          <w:b/>
          <w:color w:val="595959" w:themeColor="text1" w:themeTint="A6"/>
          <w:sz w:val="20"/>
        </w:rPr>
      </w:pPr>
      <w:r w:rsidRPr="00191799">
        <w:rPr>
          <w:b/>
          <w:color w:val="595959" w:themeColor="text1" w:themeTint="A6"/>
          <w:sz w:val="20"/>
        </w:rPr>
        <w:t xml:space="preserve">T: 021 </w:t>
      </w:r>
      <w:r>
        <w:rPr>
          <w:b/>
          <w:color w:val="595959" w:themeColor="text1" w:themeTint="A6"/>
          <w:sz w:val="20"/>
        </w:rPr>
        <w:t>720 6616</w:t>
      </w:r>
      <w:r w:rsidRPr="00191799">
        <w:rPr>
          <w:b/>
          <w:color w:val="595959" w:themeColor="text1" w:themeTint="A6"/>
          <w:sz w:val="20"/>
        </w:rPr>
        <w:t xml:space="preserve"> </w:t>
      </w:r>
    </w:p>
    <w:p w:rsidR="00854A82" w:rsidRPr="00191799" w:rsidRDefault="00854A82" w:rsidP="00576504">
      <w:pPr>
        <w:spacing w:after="0"/>
        <w:rPr>
          <w:b/>
          <w:color w:val="595959" w:themeColor="text1" w:themeTint="A6"/>
          <w:sz w:val="20"/>
        </w:rPr>
      </w:pPr>
      <w:r w:rsidRPr="00191799">
        <w:rPr>
          <w:b/>
          <w:color w:val="595959" w:themeColor="text1" w:themeTint="A6"/>
          <w:sz w:val="20"/>
        </w:rPr>
        <w:t>F:</w:t>
      </w:r>
      <w:r w:rsidRPr="00191799">
        <w:rPr>
          <w:color w:val="595959" w:themeColor="text1" w:themeTint="A6"/>
        </w:rPr>
        <w:t xml:space="preserve"> </w:t>
      </w:r>
      <w:r w:rsidRPr="00191799">
        <w:rPr>
          <w:b/>
          <w:color w:val="595959" w:themeColor="text1" w:themeTint="A6"/>
          <w:sz w:val="20"/>
        </w:rPr>
        <w:t xml:space="preserve">021 </w:t>
      </w:r>
      <w:r>
        <w:rPr>
          <w:b/>
          <w:color w:val="595959" w:themeColor="text1" w:themeTint="A6"/>
          <w:sz w:val="20"/>
        </w:rPr>
        <w:t>720 6616 ext.100</w:t>
      </w:r>
    </w:p>
    <w:p w:rsidR="00854A82" w:rsidRPr="00191799" w:rsidRDefault="00854A82" w:rsidP="00576504">
      <w:pPr>
        <w:spacing w:after="0"/>
        <w:rPr>
          <w:b/>
          <w:color w:val="595959" w:themeColor="text1" w:themeTint="A6"/>
          <w:sz w:val="20"/>
        </w:rPr>
      </w:pPr>
      <w:r w:rsidRPr="00191799">
        <w:rPr>
          <w:b/>
          <w:color w:val="595959" w:themeColor="text1" w:themeTint="A6"/>
          <w:sz w:val="20"/>
        </w:rPr>
        <w:t xml:space="preserve">E: </w:t>
      </w:r>
      <w:r>
        <w:rPr>
          <w:b/>
          <w:color w:val="595959" w:themeColor="text1" w:themeTint="A6"/>
          <w:sz w:val="20"/>
        </w:rPr>
        <w:t>simon.milligan@ep-pom.com</w:t>
      </w:r>
    </w:p>
    <w:p w:rsidR="00854A82" w:rsidRPr="00191799" w:rsidRDefault="00854A82" w:rsidP="00576504">
      <w:pPr>
        <w:spacing w:after="0"/>
        <w:rPr>
          <w:b/>
          <w:color w:val="595959" w:themeColor="text1" w:themeTint="A6"/>
          <w:sz w:val="20"/>
        </w:rPr>
      </w:pPr>
    </w:p>
    <w:p w:rsidR="00854A82" w:rsidRPr="00191799" w:rsidRDefault="00854A82" w:rsidP="00576504">
      <w:pPr>
        <w:spacing w:after="0"/>
        <w:rPr>
          <w:b/>
          <w:color w:val="595959" w:themeColor="text1" w:themeTint="A6"/>
          <w:sz w:val="18"/>
          <w:szCs w:val="18"/>
        </w:rPr>
      </w:pPr>
      <w:r w:rsidRPr="00191799">
        <w:rPr>
          <w:b/>
          <w:color w:val="595959" w:themeColor="text1" w:themeTint="A6"/>
          <w:sz w:val="18"/>
          <w:szCs w:val="18"/>
        </w:rPr>
        <w:t xml:space="preserve">Australian Aid – managed by </w:t>
      </w:r>
      <w:r>
        <w:rPr>
          <w:b/>
          <w:color w:val="595959" w:themeColor="text1" w:themeTint="A6"/>
          <w:sz w:val="18"/>
          <w:szCs w:val="18"/>
        </w:rPr>
        <w:t>GRM International Pty Ltd</w:t>
      </w:r>
    </w:p>
    <w:p w:rsidR="00854A82" w:rsidRPr="00191799" w:rsidRDefault="00854A82" w:rsidP="00576504">
      <w:pPr>
        <w:spacing w:after="0"/>
        <w:rPr>
          <w:b/>
          <w:color w:val="595959" w:themeColor="text1" w:themeTint="A6"/>
          <w:sz w:val="24"/>
          <w:szCs w:val="24"/>
        </w:rPr>
      </w:pPr>
    </w:p>
    <w:p w:rsidR="00854A82" w:rsidRPr="00483AB2" w:rsidRDefault="00854A82" w:rsidP="00576504">
      <w:pPr>
        <w:spacing w:after="0"/>
        <w:rPr>
          <w:lang w:val="en-AU"/>
        </w:rPr>
      </w:pPr>
      <w:r w:rsidRPr="00191799">
        <w:rPr>
          <w:b/>
          <w:color w:val="595959" w:themeColor="text1" w:themeTint="A6"/>
          <w:sz w:val="24"/>
          <w:szCs w:val="24"/>
        </w:rPr>
        <w:t>www.kemitraanpendidikan.or.id</w:t>
      </w:r>
    </w:p>
    <w:sectPr w:rsidR="00854A82" w:rsidRPr="00483AB2" w:rsidSect="009B6D6D">
      <w:headerReference w:type="first" r:id="rId116"/>
      <w:footerReference w:type="first" r:id="rId117"/>
      <w:footnotePr>
        <w:numRestart w:val="eachSect"/>
      </w:footnotePr>
      <w:endnotePr>
        <w:numRestart w:val="eachSect"/>
      </w:endnotePr>
      <w:pgSz w:w="11909" w:h="16834" w:code="9"/>
      <w:pgMar w:top="357" w:right="1440" w:bottom="1304" w:left="1440" w:header="431" w:footer="425"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6E5DE8" w15:done="0"/>
  <w15:commentEx w15:paraId="1CD4CF7C" w15:done="0"/>
  <w15:commentEx w15:paraId="2B2889D6" w15:done="0"/>
  <w15:commentEx w15:paraId="4D3C9CA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095" w:rsidRDefault="00F44095">
      <w:r>
        <w:separator/>
      </w:r>
    </w:p>
  </w:endnote>
  <w:endnote w:type="continuationSeparator" w:id="0">
    <w:p w:rsidR="00F44095" w:rsidRDefault="00F44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Bold">
    <w:panose1 w:val="020B07040202020202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NeueLT Std">
    <w:panose1 w:val="00000000000000000000"/>
    <w:charset w:val="00"/>
    <w:family w:val="swiss"/>
    <w:notTrueType/>
    <w:pitch w:val="variable"/>
    <w:sig w:usb0="800000AF" w:usb1="4000204A" w:usb2="00000000" w:usb3="00000000" w:csb0="00000001" w:csb1="00000000"/>
  </w:font>
  <w:font w:name="MinioMM_485 SB 585 NO 11 OP">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ill Sans">
    <w:charset w:val="00"/>
    <w:family w:val="swiss"/>
    <w:pitch w:val="variable"/>
    <w:sig w:usb0="80000067" w:usb1="00000000" w:usb2="00000000" w:usb3="00000000" w:csb0="00000001" w:csb1="00000000"/>
  </w:font>
  <w:font w:name="Cardo">
    <w:charset w:val="00"/>
    <w:family w:val="roman"/>
    <w:pitch w:val="variable"/>
    <w:sig w:usb0="E40008FF" w:usb1="5201E0FB" w:usb2="04608000" w:usb3="00000000" w:csb0="000000BB" w:csb1="00000000"/>
  </w:font>
  <w:font w:name="Agency FB">
    <w:panose1 w:val="020B0503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99E" w:rsidRDefault="004C599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Pr="0032365A" w:rsidRDefault="00710F2F" w:rsidP="0032365A">
    <w:pPr>
      <w:pBdr>
        <w:top w:val="single" w:sz="4" w:space="1" w:color="auto"/>
      </w:pBdr>
      <w:ind w:right="29"/>
      <w:rPr>
        <w:rFonts w:ascii="Arial Narrow" w:hAnsi="Arial Narrow"/>
        <w:b/>
        <w:caps/>
        <w:color w:val="7F7F7F"/>
        <w:sz w:val="20"/>
      </w:rPr>
    </w:pPr>
    <w:r w:rsidRPr="00AF7AFA">
      <w:rPr>
        <w:rFonts w:asciiTheme="minorHAnsi" w:hAnsiTheme="minorHAnsi"/>
        <w:b/>
        <w:caps/>
        <w:color w:val="7F7F7F"/>
        <w:sz w:val="20"/>
      </w:rPr>
      <w:t>ANNU</w:t>
    </w:r>
    <w:r>
      <w:rPr>
        <w:rFonts w:asciiTheme="minorHAnsi" w:hAnsiTheme="minorHAnsi"/>
        <w:b/>
        <w:caps/>
        <w:color w:val="7F7F7F"/>
        <w:sz w:val="20"/>
      </w:rPr>
      <w:t>AL SECTOR financial REPORT (20123</w:t>
    </w:r>
    <w:r>
      <w:rPr>
        <w:rFonts w:ascii="Arial Narrow" w:hAnsi="Arial Narrow"/>
        <w:b/>
        <w:caps/>
        <w:color w:val="7F7F7F"/>
        <w:sz w:val="20"/>
      </w:rPr>
      <w:ptab w:relativeTo="margin" w:alignment="right" w:leader="none"/>
    </w:r>
    <w:r w:rsidRPr="00AF7AFA">
      <w:rPr>
        <w:rFonts w:ascii="Arial Narrow" w:hAnsi="Arial Narrow"/>
        <w:b/>
        <w:caps/>
        <w:color w:val="7F7F7F"/>
        <w:sz w:val="20"/>
      </w:rPr>
      <w:fldChar w:fldCharType="begin"/>
    </w:r>
    <w:r w:rsidRPr="00AF7AFA">
      <w:rPr>
        <w:rFonts w:ascii="Arial Narrow" w:hAnsi="Arial Narrow"/>
        <w:b/>
        <w:caps/>
        <w:color w:val="7F7F7F"/>
        <w:sz w:val="20"/>
      </w:rPr>
      <w:instrText xml:space="preserve"> PAGE   \* MERGEFORMAT </w:instrText>
    </w:r>
    <w:r w:rsidRPr="00AF7AFA">
      <w:rPr>
        <w:rFonts w:ascii="Arial Narrow" w:hAnsi="Arial Narrow"/>
        <w:b/>
        <w:caps/>
        <w:color w:val="7F7F7F"/>
        <w:sz w:val="20"/>
      </w:rPr>
      <w:fldChar w:fldCharType="separate"/>
    </w:r>
    <w:r w:rsidR="004C599E" w:rsidRPr="004C599E">
      <w:rPr>
        <w:rFonts w:ascii="Arial Narrow" w:hAnsi="Arial Narrow"/>
        <w:b/>
        <w:noProof/>
        <w:color w:val="7F7F7F"/>
        <w:sz w:val="20"/>
      </w:rPr>
      <w:t>7</w:t>
    </w:r>
    <w:r w:rsidRPr="00AF7AFA">
      <w:rPr>
        <w:rFonts w:ascii="Arial Narrow" w:hAnsi="Arial Narrow"/>
        <w:b/>
        <w:caps/>
        <w:noProof/>
        <w:color w:val="7F7F7F"/>
        <w:sz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Pr="00DB55DD" w:rsidRDefault="00710F2F" w:rsidP="00DB55D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Pr="0032365A" w:rsidRDefault="00710F2F" w:rsidP="0032365A">
    <w:pPr>
      <w:pBdr>
        <w:top w:val="single" w:sz="4" w:space="1" w:color="auto"/>
      </w:pBdr>
      <w:ind w:right="29"/>
      <w:rPr>
        <w:rFonts w:ascii="Arial Narrow" w:hAnsi="Arial Narrow"/>
        <w:b/>
        <w:caps/>
        <w:color w:val="7F7F7F"/>
        <w:sz w:val="20"/>
      </w:rPr>
    </w:pPr>
    <w:r w:rsidRPr="00AF7AFA">
      <w:rPr>
        <w:rFonts w:asciiTheme="minorHAnsi" w:hAnsiTheme="minorHAnsi"/>
        <w:b/>
        <w:caps/>
        <w:color w:val="7F7F7F"/>
        <w:sz w:val="20"/>
      </w:rPr>
      <w:t>ANNU</w:t>
    </w:r>
    <w:r>
      <w:rPr>
        <w:rFonts w:asciiTheme="minorHAnsi" w:hAnsiTheme="minorHAnsi"/>
        <w:b/>
        <w:caps/>
        <w:color w:val="7F7F7F"/>
        <w:sz w:val="20"/>
      </w:rPr>
      <w:t>AL SECTOR financial REPORT (2013)</w:t>
    </w:r>
    <w:r>
      <w:rPr>
        <w:rFonts w:ascii="Arial Narrow" w:hAnsi="Arial Narrow"/>
        <w:b/>
        <w:caps/>
        <w:color w:val="7F7F7F"/>
        <w:sz w:val="20"/>
      </w:rPr>
      <w:ptab w:relativeTo="margin" w:alignment="right" w:leader="none"/>
    </w:r>
    <w:r w:rsidRPr="00AF7AFA">
      <w:rPr>
        <w:rFonts w:ascii="Arial Narrow" w:hAnsi="Arial Narrow"/>
        <w:b/>
        <w:caps/>
        <w:color w:val="7F7F7F"/>
        <w:sz w:val="20"/>
      </w:rPr>
      <w:fldChar w:fldCharType="begin"/>
    </w:r>
    <w:r w:rsidRPr="00AF7AFA">
      <w:rPr>
        <w:rFonts w:ascii="Arial Narrow" w:hAnsi="Arial Narrow"/>
        <w:b/>
        <w:caps/>
        <w:color w:val="7F7F7F"/>
        <w:sz w:val="20"/>
      </w:rPr>
      <w:instrText xml:space="preserve"> PAGE   \* MERGEFORMAT </w:instrText>
    </w:r>
    <w:r w:rsidRPr="00AF7AFA">
      <w:rPr>
        <w:rFonts w:ascii="Arial Narrow" w:hAnsi="Arial Narrow"/>
        <w:b/>
        <w:caps/>
        <w:color w:val="7F7F7F"/>
        <w:sz w:val="20"/>
      </w:rPr>
      <w:fldChar w:fldCharType="separate"/>
    </w:r>
    <w:r w:rsidR="004C599E" w:rsidRPr="004C599E">
      <w:rPr>
        <w:rFonts w:ascii="Arial Narrow" w:hAnsi="Arial Narrow"/>
        <w:b/>
        <w:noProof/>
        <w:color w:val="7F7F7F"/>
        <w:sz w:val="20"/>
      </w:rPr>
      <w:t>17</w:t>
    </w:r>
    <w:r w:rsidRPr="00AF7AFA">
      <w:rPr>
        <w:rFonts w:ascii="Arial Narrow" w:hAnsi="Arial Narrow"/>
        <w:b/>
        <w:caps/>
        <w:noProof/>
        <w:color w:val="7F7F7F"/>
        <w:sz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Pr="00AF7AFA" w:rsidRDefault="00710F2F" w:rsidP="00AF7AFA">
    <w:pPr>
      <w:pBdr>
        <w:top w:val="single" w:sz="4" w:space="1" w:color="auto"/>
      </w:pBdr>
      <w:ind w:right="29"/>
      <w:rPr>
        <w:rFonts w:ascii="Arial Narrow" w:hAnsi="Arial Narrow"/>
        <w:b/>
        <w:caps/>
        <w:color w:val="7F7F7F"/>
        <w:sz w:val="20"/>
      </w:rPr>
    </w:pPr>
    <w:r w:rsidRPr="00AF7AFA">
      <w:rPr>
        <w:rFonts w:asciiTheme="minorHAnsi" w:hAnsiTheme="minorHAnsi"/>
        <w:b/>
        <w:caps/>
        <w:color w:val="7F7F7F"/>
        <w:sz w:val="20"/>
      </w:rPr>
      <w:t>ANNU</w:t>
    </w:r>
    <w:r>
      <w:rPr>
        <w:rFonts w:asciiTheme="minorHAnsi" w:hAnsiTheme="minorHAnsi"/>
        <w:b/>
        <w:caps/>
        <w:color w:val="7F7F7F"/>
        <w:sz w:val="20"/>
      </w:rPr>
      <w:t>AL SECTOR FINANCIAL REPORT (2013)</w:t>
    </w:r>
    <w:r>
      <w:rPr>
        <w:rFonts w:ascii="Arial Narrow" w:hAnsi="Arial Narrow"/>
        <w:b/>
        <w:caps/>
        <w:color w:val="7F7F7F"/>
        <w:sz w:val="20"/>
      </w:rPr>
      <w:ptab w:relativeTo="margin" w:alignment="right" w:leader="none"/>
    </w:r>
    <w:r w:rsidRPr="00AF7AFA">
      <w:rPr>
        <w:rFonts w:ascii="Arial Narrow" w:hAnsi="Arial Narrow"/>
        <w:b/>
        <w:caps/>
        <w:color w:val="7F7F7F"/>
        <w:sz w:val="20"/>
      </w:rPr>
      <w:fldChar w:fldCharType="begin"/>
    </w:r>
    <w:r w:rsidRPr="00AF7AFA">
      <w:rPr>
        <w:rFonts w:ascii="Arial Narrow" w:hAnsi="Arial Narrow"/>
        <w:b/>
        <w:caps/>
        <w:color w:val="7F7F7F"/>
        <w:sz w:val="20"/>
      </w:rPr>
      <w:instrText xml:space="preserve"> PAGE   \* MERGEFORMAT </w:instrText>
    </w:r>
    <w:r w:rsidRPr="00AF7AFA">
      <w:rPr>
        <w:rFonts w:ascii="Arial Narrow" w:hAnsi="Arial Narrow"/>
        <w:b/>
        <w:caps/>
        <w:color w:val="7F7F7F"/>
        <w:sz w:val="20"/>
      </w:rPr>
      <w:fldChar w:fldCharType="separate"/>
    </w:r>
    <w:r w:rsidR="004C599E">
      <w:rPr>
        <w:rFonts w:ascii="Arial Narrow" w:hAnsi="Arial Narrow"/>
        <w:b/>
        <w:caps/>
        <w:noProof/>
        <w:color w:val="7F7F7F"/>
        <w:sz w:val="20"/>
      </w:rPr>
      <w:t>65</w:t>
    </w:r>
    <w:r w:rsidRPr="00AF7AFA">
      <w:rPr>
        <w:rFonts w:ascii="Arial Narrow" w:hAnsi="Arial Narrow"/>
        <w:b/>
        <w:caps/>
        <w:noProof/>
        <w:color w:val="7F7F7F"/>
        <w:sz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Pr="006B7952" w:rsidRDefault="00710F2F" w:rsidP="006B7952">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Pr="0032365A" w:rsidRDefault="00710F2F" w:rsidP="0032365A">
    <w:pPr>
      <w:pBdr>
        <w:top w:val="single" w:sz="4" w:space="1" w:color="auto"/>
      </w:pBdr>
      <w:ind w:right="29"/>
      <w:rPr>
        <w:rFonts w:ascii="Arial Narrow" w:hAnsi="Arial Narrow"/>
        <w:b/>
        <w:caps/>
        <w:color w:val="7F7F7F"/>
        <w:sz w:val="20"/>
      </w:rPr>
    </w:pPr>
    <w:r w:rsidRPr="00AF7AFA">
      <w:rPr>
        <w:rFonts w:asciiTheme="minorHAnsi" w:hAnsiTheme="minorHAnsi"/>
        <w:b/>
        <w:caps/>
        <w:color w:val="7F7F7F"/>
        <w:sz w:val="20"/>
      </w:rPr>
      <w:t>ANNU</w:t>
    </w:r>
    <w:r>
      <w:rPr>
        <w:rFonts w:asciiTheme="minorHAnsi" w:hAnsiTheme="minorHAnsi"/>
        <w:b/>
        <w:caps/>
        <w:color w:val="7F7F7F"/>
        <w:sz w:val="20"/>
      </w:rPr>
      <w:t>AL SECTOR financial REPORT (2013)</w:t>
    </w:r>
    <w:r>
      <w:rPr>
        <w:rFonts w:ascii="Arial Narrow" w:hAnsi="Arial Narrow"/>
        <w:b/>
        <w:caps/>
        <w:color w:val="7F7F7F"/>
        <w:sz w:val="20"/>
      </w:rPr>
      <w:ptab w:relativeTo="margin" w:alignment="right" w:leader="none"/>
    </w:r>
    <w:r w:rsidRPr="00AF7AFA">
      <w:rPr>
        <w:rFonts w:ascii="Arial Narrow" w:hAnsi="Arial Narrow"/>
        <w:b/>
        <w:caps/>
        <w:color w:val="7F7F7F"/>
        <w:sz w:val="20"/>
      </w:rPr>
      <w:fldChar w:fldCharType="begin"/>
    </w:r>
    <w:r w:rsidRPr="00AF7AFA">
      <w:rPr>
        <w:rFonts w:ascii="Arial Narrow" w:hAnsi="Arial Narrow"/>
        <w:b/>
        <w:caps/>
        <w:color w:val="7F7F7F"/>
        <w:sz w:val="20"/>
      </w:rPr>
      <w:instrText xml:space="preserve"> PAGE   \* MERGEFORMAT </w:instrText>
    </w:r>
    <w:r w:rsidRPr="00AF7AFA">
      <w:rPr>
        <w:rFonts w:ascii="Arial Narrow" w:hAnsi="Arial Narrow"/>
        <w:b/>
        <w:caps/>
        <w:color w:val="7F7F7F"/>
        <w:sz w:val="20"/>
      </w:rPr>
      <w:fldChar w:fldCharType="separate"/>
    </w:r>
    <w:r w:rsidR="004C599E" w:rsidRPr="004C599E">
      <w:rPr>
        <w:rFonts w:ascii="Arial Narrow" w:hAnsi="Arial Narrow"/>
        <w:b/>
        <w:noProof/>
        <w:color w:val="7F7F7F"/>
        <w:sz w:val="20"/>
      </w:rPr>
      <w:t>64</w:t>
    </w:r>
    <w:r w:rsidRPr="00AF7AFA">
      <w:rPr>
        <w:rFonts w:ascii="Arial Narrow" w:hAnsi="Arial Narrow"/>
        <w:b/>
        <w:caps/>
        <w:noProof/>
        <w:color w:val="7F7F7F"/>
        <w:sz w:val="2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Pr="00AF7AFA" w:rsidRDefault="00710F2F" w:rsidP="00AF7AFA">
    <w:pPr>
      <w:pBdr>
        <w:top w:val="single" w:sz="4" w:space="1" w:color="auto"/>
      </w:pBdr>
      <w:ind w:right="29"/>
      <w:rPr>
        <w:rFonts w:ascii="Arial Narrow" w:hAnsi="Arial Narrow"/>
        <w:b/>
        <w:caps/>
        <w:color w:val="7F7F7F"/>
        <w:sz w:val="20"/>
      </w:rPr>
    </w:pPr>
    <w:r w:rsidRPr="00AF7AFA">
      <w:rPr>
        <w:rFonts w:asciiTheme="minorHAnsi" w:hAnsiTheme="minorHAnsi"/>
        <w:b/>
        <w:caps/>
        <w:color w:val="7F7F7F"/>
        <w:sz w:val="20"/>
      </w:rPr>
      <w:t>ANNU</w:t>
    </w:r>
    <w:r>
      <w:rPr>
        <w:rFonts w:asciiTheme="minorHAnsi" w:hAnsiTheme="minorHAnsi"/>
        <w:b/>
        <w:caps/>
        <w:color w:val="7F7F7F"/>
        <w:sz w:val="20"/>
      </w:rPr>
      <w:t>AL SECTOR FINANCIAL REPORT (2013)</w:t>
    </w:r>
    <w:r>
      <w:rPr>
        <w:rFonts w:ascii="Arial Narrow" w:hAnsi="Arial Narrow"/>
        <w:b/>
        <w:caps/>
        <w:color w:val="7F7F7F"/>
        <w:sz w:val="20"/>
      </w:rPr>
      <w:ptab w:relativeTo="margin" w:alignment="right" w:leader="none"/>
    </w:r>
    <w:r w:rsidRPr="00AF7AFA">
      <w:rPr>
        <w:rFonts w:ascii="Arial Narrow" w:hAnsi="Arial Narrow"/>
        <w:b/>
        <w:caps/>
        <w:color w:val="7F7F7F"/>
        <w:sz w:val="20"/>
      </w:rPr>
      <w:fldChar w:fldCharType="begin"/>
    </w:r>
    <w:r w:rsidRPr="00AF7AFA">
      <w:rPr>
        <w:rFonts w:ascii="Arial Narrow" w:hAnsi="Arial Narrow"/>
        <w:b/>
        <w:caps/>
        <w:color w:val="7F7F7F"/>
        <w:sz w:val="20"/>
      </w:rPr>
      <w:instrText xml:space="preserve"> PAGE   \* MERGEFORMAT </w:instrText>
    </w:r>
    <w:r w:rsidRPr="00AF7AFA">
      <w:rPr>
        <w:rFonts w:ascii="Arial Narrow" w:hAnsi="Arial Narrow"/>
        <w:b/>
        <w:caps/>
        <w:color w:val="7F7F7F"/>
        <w:sz w:val="20"/>
      </w:rPr>
      <w:fldChar w:fldCharType="separate"/>
    </w:r>
    <w:r w:rsidR="004C599E">
      <w:rPr>
        <w:rFonts w:ascii="Arial Narrow" w:hAnsi="Arial Narrow"/>
        <w:b/>
        <w:caps/>
        <w:noProof/>
        <w:color w:val="7F7F7F"/>
        <w:sz w:val="20"/>
      </w:rPr>
      <w:t>69</w:t>
    </w:r>
    <w:r w:rsidRPr="00AF7AFA">
      <w:rPr>
        <w:rFonts w:ascii="Arial Narrow" w:hAnsi="Arial Narrow"/>
        <w:b/>
        <w:caps/>
        <w:noProof/>
        <w:color w:val="7F7F7F"/>
        <w:sz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Pr="004B7458" w:rsidRDefault="00710F2F" w:rsidP="004B7458">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Pr="0032365A" w:rsidRDefault="00710F2F" w:rsidP="0032365A">
    <w:pPr>
      <w:pBdr>
        <w:top w:val="single" w:sz="4" w:space="1" w:color="auto"/>
      </w:pBdr>
      <w:ind w:right="29"/>
      <w:rPr>
        <w:rFonts w:ascii="Arial Narrow" w:hAnsi="Arial Narrow"/>
        <w:b/>
        <w:caps/>
        <w:color w:val="7F7F7F"/>
        <w:sz w:val="20"/>
      </w:rPr>
    </w:pPr>
    <w:r w:rsidRPr="00AF7AFA">
      <w:rPr>
        <w:rFonts w:asciiTheme="minorHAnsi" w:hAnsiTheme="minorHAnsi"/>
        <w:b/>
        <w:caps/>
        <w:color w:val="7F7F7F"/>
        <w:sz w:val="20"/>
      </w:rPr>
      <w:t>ANNU</w:t>
    </w:r>
    <w:r>
      <w:rPr>
        <w:rFonts w:asciiTheme="minorHAnsi" w:hAnsiTheme="minorHAnsi"/>
        <w:b/>
        <w:caps/>
        <w:color w:val="7F7F7F"/>
        <w:sz w:val="20"/>
      </w:rPr>
      <w:t>AL SECTOR financial REPORT (2013)</w:t>
    </w:r>
    <w:r>
      <w:rPr>
        <w:rFonts w:ascii="Arial Narrow" w:hAnsi="Arial Narrow"/>
        <w:b/>
        <w:caps/>
        <w:color w:val="7F7F7F"/>
        <w:sz w:val="20"/>
      </w:rPr>
      <w:ptab w:relativeTo="margin" w:alignment="right" w:leader="none"/>
    </w:r>
    <w:r w:rsidRPr="00AF7AFA">
      <w:rPr>
        <w:rFonts w:ascii="Arial Narrow" w:hAnsi="Arial Narrow"/>
        <w:b/>
        <w:caps/>
        <w:color w:val="7F7F7F"/>
        <w:sz w:val="20"/>
      </w:rPr>
      <w:fldChar w:fldCharType="begin"/>
    </w:r>
    <w:r w:rsidRPr="00AF7AFA">
      <w:rPr>
        <w:rFonts w:ascii="Arial Narrow" w:hAnsi="Arial Narrow"/>
        <w:b/>
        <w:caps/>
        <w:color w:val="7F7F7F"/>
        <w:sz w:val="20"/>
      </w:rPr>
      <w:instrText xml:space="preserve"> PAGE   \* MERGEFORMAT </w:instrText>
    </w:r>
    <w:r w:rsidRPr="00AF7AFA">
      <w:rPr>
        <w:rFonts w:ascii="Arial Narrow" w:hAnsi="Arial Narrow"/>
        <w:b/>
        <w:caps/>
        <w:color w:val="7F7F7F"/>
        <w:sz w:val="20"/>
      </w:rPr>
      <w:fldChar w:fldCharType="separate"/>
    </w:r>
    <w:r w:rsidR="004C599E" w:rsidRPr="004C599E">
      <w:rPr>
        <w:rFonts w:ascii="Arial Narrow" w:hAnsi="Arial Narrow"/>
        <w:b/>
        <w:noProof/>
        <w:color w:val="7F7F7F"/>
        <w:sz w:val="20"/>
      </w:rPr>
      <w:t>73</w:t>
    </w:r>
    <w:r w:rsidRPr="00AF7AFA">
      <w:rPr>
        <w:rFonts w:ascii="Arial Narrow" w:hAnsi="Arial Narrow"/>
        <w:b/>
        <w:caps/>
        <w:noProof/>
        <w:color w:val="7F7F7F"/>
        <w:sz w:val="20"/>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Pr="00AF7AFA" w:rsidRDefault="00710F2F" w:rsidP="00AF7AFA">
    <w:pPr>
      <w:pBdr>
        <w:top w:val="single" w:sz="4" w:space="1" w:color="auto"/>
      </w:pBdr>
      <w:ind w:right="29"/>
      <w:rPr>
        <w:rFonts w:ascii="Arial Narrow" w:hAnsi="Arial Narrow"/>
        <w:b/>
        <w:caps/>
        <w:color w:val="7F7F7F"/>
        <w:sz w:val="20"/>
      </w:rPr>
    </w:pPr>
    <w:r w:rsidRPr="00AF7AFA">
      <w:rPr>
        <w:rFonts w:asciiTheme="minorHAnsi" w:hAnsiTheme="minorHAnsi"/>
        <w:b/>
        <w:caps/>
        <w:color w:val="7F7F7F"/>
        <w:sz w:val="20"/>
      </w:rPr>
      <w:t>ANNU</w:t>
    </w:r>
    <w:r>
      <w:rPr>
        <w:rFonts w:asciiTheme="minorHAnsi" w:hAnsiTheme="minorHAnsi"/>
        <w:b/>
        <w:caps/>
        <w:color w:val="7F7F7F"/>
        <w:sz w:val="20"/>
      </w:rPr>
      <w:t>AL SECTOR FINANCIAL REPORT (2013)</w:t>
    </w:r>
    <w:r>
      <w:rPr>
        <w:rFonts w:ascii="Arial Narrow" w:hAnsi="Arial Narrow"/>
        <w:b/>
        <w:caps/>
        <w:color w:val="7F7F7F"/>
        <w:sz w:val="20"/>
      </w:rPr>
      <w:ptab w:relativeTo="margin" w:alignment="right" w:leader="none"/>
    </w:r>
    <w:r w:rsidRPr="00AF7AFA">
      <w:rPr>
        <w:rFonts w:ascii="Arial Narrow" w:hAnsi="Arial Narrow"/>
        <w:b/>
        <w:caps/>
        <w:color w:val="7F7F7F"/>
        <w:sz w:val="20"/>
      </w:rPr>
      <w:fldChar w:fldCharType="begin"/>
    </w:r>
    <w:r w:rsidRPr="00AF7AFA">
      <w:rPr>
        <w:rFonts w:ascii="Arial Narrow" w:hAnsi="Arial Narrow"/>
        <w:b/>
        <w:caps/>
        <w:color w:val="7F7F7F"/>
        <w:sz w:val="20"/>
      </w:rPr>
      <w:instrText xml:space="preserve"> PAGE   \* MERGEFORMAT </w:instrText>
    </w:r>
    <w:r w:rsidRPr="00AF7AFA">
      <w:rPr>
        <w:rFonts w:ascii="Arial Narrow" w:hAnsi="Arial Narrow"/>
        <w:b/>
        <w:caps/>
        <w:color w:val="7F7F7F"/>
        <w:sz w:val="20"/>
      </w:rPr>
      <w:fldChar w:fldCharType="separate"/>
    </w:r>
    <w:r w:rsidR="004C599E">
      <w:rPr>
        <w:rFonts w:ascii="Arial Narrow" w:hAnsi="Arial Narrow"/>
        <w:b/>
        <w:caps/>
        <w:noProof/>
        <w:color w:val="7F7F7F"/>
        <w:sz w:val="20"/>
      </w:rPr>
      <w:t>72</w:t>
    </w:r>
    <w:r w:rsidRPr="00AF7AFA">
      <w:rPr>
        <w:rFonts w:ascii="Arial Narrow" w:hAnsi="Arial Narrow"/>
        <w:b/>
        <w:caps/>
        <w:noProof/>
        <w:color w:val="7F7F7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99E" w:rsidRDefault="004C599E">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Pr="00AF7AFA" w:rsidRDefault="00710F2F" w:rsidP="00AF7AFA">
    <w:pPr>
      <w:pBdr>
        <w:top w:val="single" w:sz="4" w:space="1" w:color="auto"/>
      </w:pBdr>
      <w:ind w:right="29"/>
      <w:rPr>
        <w:rFonts w:ascii="Arial Narrow" w:hAnsi="Arial Narrow"/>
        <w:b/>
        <w:caps/>
        <w:color w:val="7F7F7F"/>
        <w:sz w:val="20"/>
      </w:rPr>
    </w:pPr>
    <w:r w:rsidRPr="00AF7AFA">
      <w:rPr>
        <w:rFonts w:asciiTheme="minorHAnsi" w:hAnsiTheme="minorHAnsi"/>
        <w:b/>
        <w:caps/>
        <w:color w:val="7F7F7F"/>
        <w:sz w:val="20"/>
      </w:rPr>
      <w:t>ANNU</w:t>
    </w:r>
    <w:r>
      <w:rPr>
        <w:rFonts w:asciiTheme="minorHAnsi" w:hAnsiTheme="minorHAnsi"/>
        <w:b/>
        <w:caps/>
        <w:color w:val="7F7F7F"/>
        <w:sz w:val="20"/>
      </w:rPr>
      <w:t>AL SECTOR FINANCIAL REPORT (2013)</w:t>
    </w:r>
    <w:r>
      <w:rPr>
        <w:rFonts w:ascii="Arial Narrow" w:hAnsi="Arial Narrow"/>
        <w:b/>
        <w:caps/>
        <w:color w:val="7F7F7F"/>
        <w:sz w:val="20"/>
      </w:rPr>
      <w:ptab w:relativeTo="margin" w:alignment="right" w:leader="none"/>
    </w:r>
    <w:r w:rsidRPr="00AF7AFA">
      <w:rPr>
        <w:rFonts w:ascii="Arial Narrow" w:hAnsi="Arial Narrow"/>
        <w:b/>
        <w:caps/>
        <w:color w:val="7F7F7F"/>
        <w:sz w:val="20"/>
      </w:rPr>
      <w:fldChar w:fldCharType="begin"/>
    </w:r>
    <w:r w:rsidRPr="00AF7AFA">
      <w:rPr>
        <w:rFonts w:ascii="Arial Narrow" w:hAnsi="Arial Narrow"/>
        <w:b/>
        <w:caps/>
        <w:color w:val="7F7F7F"/>
        <w:sz w:val="20"/>
      </w:rPr>
      <w:instrText xml:space="preserve"> PAGE   \* MERGEFORMAT </w:instrText>
    </w:r>
    <w:r w:rsidRPr="00AF7AFA">
      <w:rPr>
        <w:rFonts w:ascii="Arial Narrow" w:hAnsi="Arial Narrow"/>
        <w:b/>
        <w:caps/>
        <w:color w:val="7F7F7F"/>
        <w:sz w:val="20"/>
      </w:rPr>
      <w:fldChar w:fldCharType="separate"/>
    </w:r>
    <w:r w:rsidR="004C599E">
      <w:rPr>
        <w:rFonts w:ascii="Arial Narrow" w:hAnsi="Arial Narrow"/>
        <w:b/>
        <w:caps/>
        <w:noProof/>
        <w:color w:val="7F7F7F"/>
        <w:sz w:val="20"/>
      </w:rPr>
      <w:t>82</w:t>
    </w:r>
    <w:r w:rsidRPr="00AF7AFA">
      <w:rPr>
        <w:rFonts w:ascii="Arial Narrow" w:hAnsi="Arial Narrow"/>
        <w:b/>
        <w:caps/>
        <w:noProof/>
        <w:color w:val="7F7F7F"/>
        <w:sz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Pr="00576504" w:rsidRDefault="00710F2F" w:rsidP="005765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99E" w:rsidRDefault="004C599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Default="00710F2F" w:rsidP="00AF7AFA">
    <w:pPr>
      <w:pBdr>
        <w:top w:val="single" w:sz="4" w:space="1" w:color="auto"/>
      </w:pBdr>
      <w:ind w:right="29"/>
      <w:rPr>
        <w:rFonts w:asciiTheme="minorHAnsi" w:hAnsiTheme="minorHAnsi"/>
        <w:b/>
        <w:caps/>
        <w:color w:val="7F7F7F"/>
        <w:sz w:val="20"/>
      </w:rPr>
    </w:pPr>
    <w:r w:rsidRPr="00AF7AFA">
      <w:rPr>
        <w:rFonts w:asciiTheme="minorHAnsi" w:hAnsiTheme="minorHAnsi"/>
        <w:b/>
        <w:caps/>
        <w:color w:val="7F7F7F"/>
        <w:sz w:val="20"/>
      </w:rPr>
      <w:t>ANNU</w:t>
    </w:r>
    <w:r>
      <w:rPr>
        <w:rFonts w:asciiTheme="minorHAnsi" w:hAnsiTheme="minorHAnsi"/>
        <w:b/>
        <w:caps/>
        <w:color w:val="7F7F7F"/>
        <w:sz w:val="20"/>
      </w:rPr>
      <w:t>AL SECTOR financial REPORT (2013) version 1.0</w:t>
    </w:r>
  </w:p>
  <w:p w:rsidR="00710F2F" w:rsidRPr="00AF7AFA" w:rsidRDefault="00710F2F" w:rsidP="00AF7AFA">
    <w:pPr>
      <w:pBdr>
        <w:top w:val="single" w:sz="4" w:space="1" w:color="auto"/>
      </w:pBdr>
      <w:ind w:right="29"/>
      <w:rPr>
        <w:rFonts w:ascii="Arial Narrow" w:hAnsi="Arial Narrow"/>
        <w:b/>
        <w:caps/>
        <w:color w:val="7F7F7F"/>
        <w:sz w:val="20"/>
      </w:rPr>
    </w:pPr>
    <w:r>
      <w:rPr>
        <w:rFonts w:ascii="Arial Narrow" w:hAnsi="Arial Narrow"/>
        <w:b/>
        <w:caps/>
        <w:color w:val="7F7F7F"/>
        <w:sz w:val="20"/>
      </w:rPr>
      <w:ptab w:relativeTo="margin" w:alignment="right" w:leader="none"/>
    </w:r>
    <w:r w:rsidRPr="00AF7AFA">
      <w:rPr>
        <w:rFonts w:ascii="Arial Narrow" w:hAnsi="Arial Narrow"/>
        <w:b/>
        <w:caps/>
        <w:color w:val="7F7F7F"/>
        <w:sz w:val="20"/>
      </w:rPr>
      <w:fldChar w:fldCharType="begin"/>
    </w:r>
    <w:r w:rsidRPr="00AF7AFA">
      <w:rPr>
        <w:rFonts w:ascii="Arial Narrow" w:hAnsi="Arial Narrow"/>
        <w:b/>
        <w:caps/>
        <w:color w:val="7F7F7F"/>
        <w:sz w:val="20"/>
      </w:rPr>
      <w:instrText xml:space="preserve"> PAGE   \* MERGEFORMAT </w:instrText>
    </w:r>
    <w:r w:rsidRPr="00AF7AFA">
      <w:rPr>
        <w:rFonts w:ascii="Arial Narrow" w:hAnsi="Arial Narrow"/>
        <w:b/>
        <w:caps/>
        <w:color w:val="7F7F7F"/>
        <w:sz w:val="20"/>
      </w:rPr>
      <w:fldChar w:fldCharType="separate"/>
    </w:r>
    <w:r w:rsidR="004C599E" w:rsidRPr="004C599E">
      <w:rPr>
        <w:rFonts w:ascii="Arial Narrow" w:hAnsi="Arial Narrow"/>
        <w:b/>
        <w:noProof/>
        <w:color w:val="7F7F7F"/>
        <w:sz w:val="20"/>
      </w:rPr>
      <w:t>14</w:t>
    </w:r>
    <w:r w:rsidRPr="00AF7AFA">
      <w:rPr>
        <w:rFonts w:ascii="Arial Narrow" w:hAnsi="Arial Narrow"/>
        <w:b/>
        <w:caps/>
        <w:noProof/>
        <w:color w:val="7F7F7F"/>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Pr="0032365A" w:rsidRDefault="00710F2F" w:rsidP="0032365A">
    <w:pPr>
      <w:pBdr>
        <w:top w:val="single" w:sz="4" w:space="1" w:color="auto"/>
      </w:pBdr>
      <w:ind w:right="29"/>
      <w:rPr>
        <w:rFonts w:ascii="Arial Narrow" w:hAnsi="Arial Narrow"/>
        <w:b/>
        <w:caps/>
        <w:color w:val="7F7F7F"/>
        <w:sz w:val="20"/>
      </w:rPr>
    </w:pPr>
    <w:r w:rsidRPr="00AF7AFA">
      <w:rPr>
        <w:rFonts w:asciiTheme="minorHAnsi" w:hAnsiTheme="minorHAnsi"/>
        <w:b/>
        <w:caps/>
        <w:color w:val="7F7F7F"/>
        <w:sz w:val="20"/>
      </w:rPr>
      <w:t>ANNU</w:t>
    </w:r>
    <w:r>
      <w:rPr>
        <w:rFonts w:asciiTheme="minorHAnsi" w:hAnsiTheme="minorHAnsi"/>
        <w:b/>
        <w:caps/>
        <w:color w:val="7F7F7F"/>
        <w:sz w:val="20"/>
      </w:rPr>
      <w:t>AL SECTOR financial REPORT (2013)</w:t>
    </w:r>
    <w:r>
      <w:rPr>
        <w:rFonts w:ascii="Arial Narrow" w:hAnsi="Arial Narrow"/>
        <w:b/>
        <w:caps/>
        <w:color w:val="7F7F7F"/>
        <w:sz w:val="20"/>
      </w:rPr>
      <w:ptab w:relativeTo="margin" w:alignment="right" w:leader="none"/>
    </w:r>
    <w:r w:rsidRPr="00AF7AFA">
      <w:rPr>
        <w:rFonts w:ascii="Arial Narrow" w:hAnsi="Arial Narrow"/>
        <w:b/>
        <w:caps/>
        <w:color w:val="7F7F7F"/>
        <w:sz w:val="20"/>
      </w:rPr>
      <w:fldChar w:fldCharType="begin"/>
    </w:r>
    <w:r w:rsidRPr="00AF7AFA">
      <w:rPr>
        <w:rFonts w:ascii="Arial Narrow" w:hAnsi="Arial Narrow"/>
        <w:b/>
        <w:caps/>
        <w:color w:val="7F7F7F"/>
        <w:sz w:val="20"/>
      </w:rPr>
      <w:instrText xml:space="preserve"> PAGE   \* MERGEFORMAT </w:instrText>
    </w:r>
    <w:r w:rsidRPr="00AF7AFA">
      <w:rPr>
        <w:rFonts w:ascii="Arial Narrow" w:hAnsi="Arial Narrow"/>
        <w:b/>
        <w:caps/>
        <w:color w:val="7F7F7F"/>
        <w:sz w:val="20"/>
      </w:rPr>
      <w:fldChar w:fldCharType="separate"/>
    </w:r>
    <w:r w:rsidR="004C599E" w:rsidRPr="004C599E">
      <w:rPr>
        <w:rFonts w:ascii="Arial Narrow" w:hAnsi="Arial Narrow"/>
        <w:b/>
        <w:noProof/>
        <w:color w:val="7F7F7F"/>
        <w:sz w:val="20"/>
      </w:rPr>
      <w:t>viii</w:t>
    </w:r>
    <w:r w:rsidRPr="00AF7AFA">
      <w:rPr>
        <w:rFonts w:ascii="Arial Narrow" w:hAnsi="Arial Narrow"/>
        <w:b/>
        <w:caps/>
        <w:noProof/>
        <w:color w:val="7F7F7F"/>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Pr="00AF7AFA" w:rsidRDefault="00710F2F" w:rsidP="00AF7AFA">
    <w:pPr>
      <w:pBdr>
        <w:top w:val="single" w:sz="4" w:space="1" w:color="auto"/>
      </w:pBdr>
      <w:ind w:right="29"/>
      <w:rPr>
        <w:rFonts w:ascii="Arial Narrow" w:hAnsi="Arial Narrow"/>
        <w:b/>
        <w:caps/>
        <w:color w:val="7F7F7F"/>
        <w:sz w:val="20"/>
      </w:rPr>
    </w:pPr>
    <w:r w:rsidRPr="00AF7AFA">
      <w:rPr>
        <w:rFonts w:asciiTheme="minorHAnsi" w:hAnsiTheme="minorHAnsi"/>
        <w:b/>
        <w:caps/>
        <w:color w:val="7F7F7F"/>
        <w:sz w:val="20"/>
      </w:rPr>
      <w:t>ANNU</w:t>
    </w:r>
    <w:r>
      <w:rPr>
        <w:rFonts w:asciiTheme="minorHAnsi" w:hAnsiTheme="minorHAnsi"/>
        <w:b/>
        <w:caps/>
        <w:color w:val="7F7F7F"/>
        <w:sz w:val="20"/>
      </w:rPr>
      <w:t>AL SECTOR FINANCIAL REPORT (2013) version 1.0</w:t>
    </w:r>
    <w:r>
      <w:rPr>
        <w:rFonts w:ascii="Arial Narrow" w:hAnsi="Arial Narrow"/>
        <w:b/>
        <w:caps/>
        <w:color w:val="7F7F7F"/>
        <w:sz w:val="20"/>
      </w:rPr>
      <w:ptab w:relativeTo="margin" w:alignment="right" w:leader="none"/>
    </w:r>
    <w:r w:rsidRPr="00AF7AFA">
      <w:rPr>
        <w:rFonts w:ascii="Arial Narrow" w:hAnsi="Arial Narrow"/>
        <w:b/>
        <w:caps/>
        <w:color w:val="7F7F7F"/>
        <w:sz w:val="20"/>
      </w:rPr>
      <w:fldChar w:fldCharType="begin"/>
    </w:r>
    <w:r w:rsidRPr="00AF7AFA">
      <w:rPr>
        <w:rFonts w:ascii="Arial Narrow" w:hAnsi="Arial Narrow"/>
        <w:b/>
        <w:caps/>
        <w:color w:val="7F7F7F"/>
        <w:sz w:val="20"/>
      </w:rPr>
      <w:instrText xml:space="preserve"> PAGE   \* MERGEFORMAT </w:instrText>
    </w:r>
    <w:r w:rsidRPr="00AF7AFA">
      <w:rPr>
        <w:rFonts w:ascii="Arial Narrow" w:hAnsi="Arial Narrow"/>
        <w:b/>
        <w:caps/>
        <w:color w:val="7F7F7F"/>
        <w:sz w:val="20"/>
      </w:rPr>
      <w:fldChar w:fldCharType="separate"/>
    </w:r>
    <w:r w:rsidR="004C599E">
      <w:rPr>
        <w:rFonts w:ascii="Arial Narrow" w:hAnsi="Arial Narrow"/>
        <w:b/>
        <w:caps/>
        <w:noProof/>
        <w:color w:val="7F7F7F"/>
        <w:sz w:val="20"/>
      </w:rPr>
      <w:t>62</w:t>
    </w:r>
    <w:r w:rsidRPr="00AF7AFA">
      <w:rPr>
        <w:rFonts w:ascii="Arial Narrow" w:hAnsi="Arial Narrow"/>
        <w:b/>
        <w:caps/>
        <w:noProof/>
        <w:color w:val="7F7F7F"/>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Pr="00EF388E" w:rsidRDefault="00710F2F" w:rsidP="00EF388E">
    <w:r>
      <w:rPr>
        <w:noProof/>
        <w:color w:val="000000" w:themeColor="text1"/>
        <w:sz w:val="28"/>
        <w:szCs w:val="28"/>
        <w:lang w:val="en-AU" w:eastAsia="en-AU"/>
      </w:rPr>
      <w:drawing>
        <wp:anchor distT="0" distB="0" distL="114300" distR="114300" simplePos="0" relativeHeight="251673600" behindDoc="1" locked="0" layoutInCell="1" allowOverlap="1" wp14:anchorId="064F5BCD" wp14:editId="2D818105">
          <wp:simplePos x="0" y="0"/>
          <wp:positionH relativeFrom="page">
            <wp:posOffset>-8890</wp:posOffset>
          </wp:positionH>
          <wp:positionV relativeFrom="page">
            <wp:posOffset>-9525</wp:posOffset>
          </wp:positionV>
          <wp:extent cx="7580630" cy="10709275"/>
          <wp:effectExtent l="0" t="0" r="1270" b="0"/>
          <wp:wrapNone/>
          <wp:docPr id="2646" name="Picture 2646" descr="D:\WORK\EPOS AusAid\130212 FINAL\Templates 2\Reports\130228 Report Contents-Chapte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EPOS AusAid\130212 FINAL\Templates 2\Reports\130228 Report Contents-Chapter-Divi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0630" cy="1070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365A">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Pr="0032365A" w:rsidRDefault="00710F2F" w:rsidP="0032365A">
    <w:pPr>
      <w:pBdr>
        <w:top w:val="single" w:sz="4" w:space="1" w:color="auto"/>
      </w:pBdr>
      <w:ind w:right="29"/>
      <w:rPr>
        <w:rFonts w:ascii="Arial Narrow" w:hAnsi="Arial Narrow"/>
        <w:b/>
        <w:caps/>
        <w:color w:val="7F7F7F"/>
        <w:sz w:val="20"/>
      </w:rPr>
    </w:pPr>
    <w:r w:rsidRPr="00AF7AFA">
      <w:rPr>
        <w:rFonts w:asciiTheme="minorHAnsi" w:hAnsiTheme="minorHAnsi"/>
        <w:b/>
        <w:caps/>
        <w:color w:val="7F7F7F"/>
        <w:sz w:val="20"/>
      </w:rPr>
      <w:t>ANNU</w:t>
    </w:r>
    <w:r>
      <w:rPr>
        <w:rFonts w:asciiTheme="minorHAnsi" w:hAnsiTheme="minorHAnsi"/>
        <w:b/>
        <w:caps/>
        <w:color w:val="7F7F7F"/>
        <w:sz w:val="20"/>
      </w:rPr>
      <w:t>AL SECTOR financial REPORT (2013)</w:t>
    </w:r>
    <w:r>
      <w:rPr>
        <w:rFonts w:ascii="Arial Narrow" w:hAnsi="Arial Narrow"/>
        <w:b/>
        <w:caps/>
        <w:color w:val="7F7F7F"/>
        <w:sz w:val="20"/>
      </w:rPr>
      <w:ptab w:relativeTo="margin" w:alignment="right" w:leader="none"/>
    </w:r>
    <w:r w:rsidRPr="00AF7AFA">
      <w:rPr>
        <w:rFonts w:ascii="Arial Narrow" w:hAnsi="Arial Narrow"/>
        <w:b/>
        <w:caps/>
        <w:color w:val="7F7F7F"/>
        <w:sz w:val="20"/>
      </w:rPr>
      <w:fldChar w:fldCharType="begin"/>
    </w:r>
    <w:r w:rsidRPr="00AF7AFA">
      <w:rPr>
        <w:rFonts w:ascii="Arial Narrow" w:hAnsi="Arial Narrow"/>
        <w:b/>
        <w:caps/>
        <w:color w:val="7F7F7F"/>
        <w:sz w:val="20"/>
      </w:rPr>
      <w:instrText xml:space="preserve"> PAGE   \* MERGEFORMAT </w:instrText>
    </w:r>
    <w:r w:rsidRPr="00AF7AFA">
      <w:rPr>
        <w:rFonts w:ascii="Arial Narrow" w:hAnsi="Arial Narrow"/>
        <w:b/>
        <w:caps/>
        <w:color w:val="7F7F7F"/>
        <w:sz w:val="20"/>
      </w:rPr>
      <w:fldChar w:fldCharType="separate"/>
    </w:r>
    <w:r w:rsidR="004C599E" w:rsidRPr="004C599E">
      <w:rPr>
        <w:rFonts w:ascii="Arial Narrow" w:hAnsi="Arial Narrow"/>
        <w:b/>
        <w:noProof/>
        <w:color w:val="7F7F7F"/>
        <w:sz w:val="20"/>
      </w:rPr>
      <w:t>2</w:t>
    </w:r>
    <w:r w:rsidRPr="00AF7AFA">
      <w:rPr>
        <w:rFonts w:ascii="Arial Narrow" w:hAnsi="Arial Narrow"/>
        <w:b/>
        <w:caps/>
        <w:noProof/>
        <w:color w:val="7F7F7F"/>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Pr="00EF388E" w:rsidRDefault="00710F2F" w:rsidP="00EF38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095" w:rsidRDefault="00F44095">
      <w:r>
        <w:separator/>
      </w:r>
    </w:p>
  </w:footnote>
  <w:footnote w:type="continuationSeparator" w:id="0">
    <w:p w:rsidR="00F44095" w:rsidRDefault="00F44095">
      <w:r>
        <w:continuationSeparator/>
      </w:r>
    </w:p>
    <w:p w:rsidR="00F44095" w:rsidRDefault="00F44095"/>
    <w:p w:rsidR="00F44095" w:rsidRDefault="00F44095" w:rsidP="00633791"/>
    <w:p w:rsidR="00F44095" w:rsidRDefault="00F44095" w:rsidP="001F37C9"/>
    <w:p w:rsidR="00F44095" w:rsidRDefault="00F44095" w:rsidP="001C41DC"/>
    <w:p w:rsidR="00F44095" w:rsidRDefault="00F44095"/>
  </w:footnote>
  <w:footnote w:id="1">
    <w:p w:rsidR="00710F2F" w:rsidRPr="005419F4" w:rsidRDefault="00710F2F" w:rsidP="00EF388E">
      <w:pPr>
        <w:pStyle w:val="FootnoteText"/>
        <w:ind w:left="170" w:hanging="170"/>
        <w:jc w:val="both"/>
        <w:rPr>
          <w:rFonts w:asciiTheme="minorHAnsi" w:hAnsiTheme="minorHAnsi"/>
          <w:szCs w:val="18"/>
        </w:rPr>
      </w:pPr>
      <w:r w:rsidRPr="005419F4">
        <w:rPr>
          <w:rStyle w:val="FootnoteReference"/>
          <w:rFonts w:asciiTheme="minorHAnsi" w:hAnsiTheme="minorHAnsi"/>
          <w:sz w:val="20"/>
          <w:szCs w:val="18"/>
        </w:rPr>
        <w:footnoteRef/>
      </w:r>
      <w:r>
        <w:rPr>
          <w:rFonts w:asciiTheme="minorHAnsi" w:hAnsiTheme="minorHAnsi"/>
          <w:szCs w:val="18"/>
        </w:rPr>
        <w:tab/>
      </w:r>
      <w:r w:rsidRPr="005419F4">
        <w:rPr>
          <w:rFonts w:asciiTheme="minorHAnsi" w:hAnsiTheme="minorHAnsi"/>
          <w:szCs w:val="18"/>
        </w:rPr>
        <w:t xml:space="preserve">Conceptually, “lead and lag indicators” have originated in the development of performance scorecards for use by business analysts. They are adapted here for use </w:t>
      </w:r>
      <w:r w:rsidRPr="005419F4">
        <w:rPr>
          <w:rFonts w:asciiTheme="minorHAnsi" w:hAnsiTheme="minorHAnsi"/>
          <w:szCs w:val="18"/>
          <w:lang w:val="en-AU"/>
        </w:rPr>
        <w:t>within</w:t>
      </w:r>
      <w:r w:rsidRPr="005419F4">
        <w:rPr>
          <w:rFonts w:asciiTheme="minorHAnsi" w:hAnsiTheme="minorHAnsi"/>
          <w:szCs w:val="18"/>
        </w:rPr>
        <w:t xml:space="preserve"> the education sector.</w:t>
      </w:r>
    </w:p>
  </w:footnote>
  <w:footnote w:id="2">
    <w:p w:rsidR="00710F2F" w:rsidRPr="00EF388E" w:rsidRDefault="00710F2F" w:rsidP="00EF388E">
      <w:pPr>
        <w:pStyle w:val="FootnoteText"/>
        <w:ind w:left="170" w:hanging="170"/>
        <w:jc w:val="both"/>
        <w:rPr>
          <w:rFonts w:asciiTheme="minorHAnsi" w:hAnsiTheme="minorHAnsi"/>
          <w:szCs w:val="20"/>
          <w:lang w:val="en-AU"/>
        </w:rPr>
      </w:pPr>
      <w:r w:rsidRPr="00EF388E">
        <w:rPr>
          <w:rStyle w:val="FootnoteReference"/>
          <w:rFonts w:asciiTheme="minorHAnsi" w:hAnsiTheme="minorHAnsi"/>
          <w:sz w:val="20"/>
          <w:szCs w:val="20"/>
        </w:rPr>
        <w:footnoteRef/>
      </w:r>
      <w:r>
        <w:rPr>
          <w:rFonts w:asciiTheme="minorHAnsi" w:hAnsiTheme="minorHAnsi"/>
          <w:szCs w:val="20"/>
        </w:rPr>
        <w:tab/>
      </w:r>
      <w:r w:rsidRPr="00EF388E">
        <w:rPr>
          <w:rFonts w:asciiTheme="minorHAnsi" w:hAnsiTheme="minorHAnsi"/>
          <w:szCs w:val="20"/>
        </w:rPr>
        <w:t>The official method for calculating the incidence of poverty in Indonesia is the basic needs approach developed by the BPS. The method is based on consumption related aspects of poverty with a poverty line determined using average consumption in Rupiah for a list of basic essential food items and non-food bundle items. An individual who is below the poverty line is considered to be poor. The PO index is the proportion of all people living below that poverty line</w:t>
      </w:r>
      <w:r>
        <w:rPr>
          <w:rFonts w:asciiTheme="minorHAnsi" w:hAnsiTheme="minorHAnsi"/>
          <w:szCs w:val="20"/>
        </w:rPr>
        <w:t>.</w:t>
      </w:r>
    </w:p>
  </w:footnote>
  <w:footnote w:id="3">
    <w:p w:rsidR="00710F2F" w:rsidRPr="008045B0" w:rsidRDefault="00710F2F" w:rsidP="008045B0">
      <w:pPr>
        <w:pStyle w:val="FootnoteText"/>
        <w:ind w:left="170" w:hanging="170"/>
        <w:jc w:val="both"/>
        <w:rPr>
          <w:rFonts w:asciiTheme="minorHAnsi" w:hAnsiTheme="minorHAnsi"/>
          <w:szCs w:val="20"/>
          <w:lang w:val="en-AU"/>
        </w:rPr>
      </w:pPr>
      <w:r w:rsidRPr="008045B0">
        <w:rPr>
          <w:rStyle w:val="FootnoteReference"/>
          <w:rFonts w:asciiTheme="minorHAnsi" w:hAnsiTheme="minorHAnsi"/>
          <w:sz w:val="20"/>
          <w:szCs w:val="20"/>
        </w:rPr>
        <w:footnoteRef/>
      </w:r>
      <w:r>
        <w:rPr>
          <w:rFonts w:asciiTheme="minorHAnsi" w:hAnsiTheme="minorHAnsi"/>
          <w:szCs w:val="20"/>
        </w:rPr>
        <w:tab/>
      </w:r>
      <w:r w:rsidRPr="008045B0">
        <w:rPr>
          <w:rFonts w:asciiTheme="minorHAnsi" w:hAnsiTheme="minorHAnsi"/>
          <w:szCs w:val="20"/>
          <w:lang w:val="en-AU"/>
        </w:rPr>
        <w:t>National level data captures expenditures from all Ministries, not just MOEC and MORA</w:t>
      </w:r>
      <w:r>
        <w:rPr>
          <w:rFonts w:asciiTheme="minorHAnsi" w:hAnsiTheme="minorHAnsi"/>
          <w:szCs w:val="20"/>
          <w:lang w:val="en-A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99E" w:rsidRDefault="004C599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Pr="0032365A" w:rsidRDefault="00710F2F" w:rsidP="0032365A">
    <w:pPr>
      <w:pStyle w:val="Header"/>
    </w:pPr>
    <w:r w:rsidRPr="00F0409A">
      <w:rPr>
        <w:i/>
        <w:noProof/>
        <w:color w:val="595959" w:themeColor="text1" w:themeTint="A6"/>
        <w:sz w:val="18"/>
        <w:szCs w:val="18"/>
        <w:lang w:val="en-AU" w:eastAsia="en-AU"/>
      </w:rPr>
      <w:drawing>
        <wp:anchor distT="0" distB="0" distL="114300" distR="114300" simplePos="0" relativeHeight="251677696" behindDoc="1" locked="0" layoutInCell="1" allowOverlap="1" wp14:anchorId="2EF5F71D" wp14:editId="2D15D4E0">
          <wp:simplePos x="0" y="0"/>
          <wp:positionH relativeFrom="page">
            <wp:align>right</wp:align>
          </wp:positionH>
          <wp:positionV relativeFrom="paragraph">
            <wp:posOffset>303575</wp:posOffset>
          </wp:positionV>
          <wp:extent cx="7571232" cy="475488"/>
          <wp:effectExtent l="0" t="0" r="0" b="1270"/>
          <wp:wrapNone/>
          <wp:docPr id="2650" name="Picture 2650"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Pr="0032365A" w:rsidRDefault="00710F2F" w:rsidP="0032365A">
    <w:pPr>
      <w:pStyle w:val="Header"/>
    </w:pPr>
    <w:r>
      <w:rPr>
        <w:noProof/>
        <w:color w:val="000000" w:themeColor="text1"/>
        <w:sz w:val="28"/>
        <w:szCs w:val="28"/>
        <w:lang w:val="en-AU" w:eastAsia="en-AU"/>
      </w:rPr>
      <w:drawing>
        <wp:anchor distT="0" distB="0" distL="114300" distR="114300" simplePos="0" relativeHeight="251683840" behindDoc="1" locked="0" layoutInCell="1" allowOverlap="1" wp14:anchorId="399457D6" wp14:editId="0AFA8B01">
          <wp:simplePos x="0" y="0"/>
          <wp:positionH relativeFrom="page">
            <wp:posOffset>-8890</wp:posOffset>
          </wp:positionH>
          <wp:positionV relativeFrom="page">
            <wp:posOffset>-9525</wp:posOffset>
          </wp:positionV>
          <wp:extent cx="7580630" cy="10709275"/>
          <wp:effectExtent l="0" t="0" r="1270" b="0"/>
          <wp:wrapNone/>
          <wp:docPr id="2651" name="Picture 2651" descr="D:\WORK\EPOS AusAid\130212 FINAL\Templates 2\Reports\130228 Report Contents-Chapte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EPOS AusAid\130212 FINAL\Templates 2\Reports\130228 Report Contents-Chapter-Divi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0630" cy="1070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09A">
      <w:rPr>
        <w:i/>
        <w:noProof/>
        <w:color w:val="595959" w:themeColor="text1" w:themeTint="A6"/>
        <w:sz w:val="18"/>
        <w:szCs w:val="18"/>
        <w:lang w:val="en-AU" w:eastAsia="en-AU"/>
      </w:rPr>
      <w:drawing>
        <wp:anchor distT="0" distB="0" distL="114300" distR="114300" simplePos="0" relativeHeight="251681792" behindDoc="1" locked="0" layoutInCell="1" allowOverlap="1" wp14:anchorId="48B36C2C" wp14:editId="2649A06A">
          <wp:simplePos x="0" y="0"/>
          <wp:positionH relativeFrom="page">
            <wp:align>right</wp:align>
          </wp:positionH>
          <wp:positionV relativeFrom="paragraph">
            <wp:posOffset>303575</wp:posOffset>
          </wp:positionV>
          <wp:extent cx="7571232" cy="475488"/>
          <wp:effectExtent l="0" t="0" r="0" b="1270"/>
          <wp:wrapNone/>
          <wp:docPr id="2652" name="Picture 2652"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Pr="0032365A" w:rsidRDefault="00710F2F" w:rsidP="0032365A">
    <w:pPr>
      <w:pStyle w:val="Header"/>
    </w:pPr>
    <w:r w:rsidRPr="00F0409A">
      <w:rPr>
        <w:i/>
        <w:noProof/>
        <w:color w:val="595959" w:themeColor="text1" w:themeTint="A6"/>
        <w:sz w:val="18"/>
        <w:szCs w:val="18"/>
        <w:lang w:val="en-AU" w:eastAsia="en-AU"/>
      </w:rPr>
      <w:drawing>
        <wp:anchor distT="0" distB="0" distL="114300" distR="114300" simplePos="0" relativeHeight="251685888" behindDoc="1" locked="0" layoutInCell="1" allowOverlap="1" wp14:anchorId="719BC079" wp14:editId="7F33C41C">
          <wp:simplePos x="0" y="0"/>
          <wp:positionH relativeFrom="page">
            <wp:align>right</wp:align>
          </wp:positionH>
          <wp:positionV relativeFrom="paragraph">
            <wp:posOffset>303575</wp:posOffset>
          </wp:positionV>
          <wp:extent cx="7571232" cy="475488"/>
          <wp:effectExtent l="0" t="0" r="0" b="1270"/>
          <wp:wrapNone/>
          <wp:docPr id="2653" name="Picture 2653"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Default="00710F2F">
    <w:pPr>
      <w:pStyle w:val="Header"/>
    </w:pPr>
  </w:p>
  <w:p w:rsidR="00710F2F" w:rsidRDefault="00710F2F">
    <w:pPr>
      <w:pStyle w:val="Header"/>
    </w:pPr>
  </w:p>
  <w:p w:rsidR="00710F2F" w:rsidRDefault="00710F2F">
    <w:pPr>
      <w:pStyle w:val="Header"/>
    </w:pPr>
  </w:p>
  <w:p w:rsidR="00710F2F" w:rsidRDefault="00710F2F">
    <w:pPr>
      <w:pStyle w:val="Header"/>
    </w:pPr>
    <w:r w:rsidRPr="00F0409A">
      <w:rPr>
        <w:i/>
        <w:noProof/>
        <w:color w:val="595959" w:themeColor="text1" w:themeTint="A6"/>
        <w:sz w:val="18"/>
        <w:szCs w:val="18"/>
        <w:lang w:val="en-AU" w:eastAsia="en-AU"/>
      </w:rPr>
      <w:drawing>
        <wp:anchor distT="0" distB="0" distL="114300" distR="114300" simplePos="0" relativeHeight="251687936" behindDoc="1" locked="0" layoutInCell="1" allowOverlap="1" wp14:anchorId="7FF7646C" wp14:editId="50D485FC">
          <wp:simplePos x="0" y="0"/>
          <wp:positionH relativeFrom="page">
            <wp:align>right</wp:align>
          </wp:positionH>
          <wp:positionV relativeFrom="page">
            <wp:posOffset>575945</wp:posOffset>
          </wp:positionV>
          <wp:extent cx="7570800" cy="475200"/>
          <wp:effectExtent l="0" t="0" r="0" b="1270"/>
          <wp:wrapNone/>
          <wp:docPr id="2654" name="Picture 2654"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800" cy="475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Pr="0032365A" w:rsidRDefault="00710F2F" w:rsidP="0032365A">
    <w:pPr>
      <w:pStyle w:val="Header"/>
    </w:pPr>
    <w:r>
      <w:rPr>
        <w:noProof/>
        <w:color w:val="000000" w:themeColor="text1"/>
        <w:sz w:val="28"/>
        <w:szCs w:val="28"/>
        <w:lang w:val="en-AU" w:eastAsia="en-AU"/>
      </w:rPr>
      <w:drawing>
        <wp:anchor distT="0" distB="0" distL="114300" distR="114300" simplePos="0" relativeHeight="251694080" behindDoc="1" locked="0" layoutInCell="1" allowOverlap="1" wp14:anchorId="0424ED0B" wp14:editId="17A65FF8">
          <wp:simplePos x="0" y="0"/>
          <wp:positionH relativeFrom="page">
            <wp:posOffset>-8890</wp:posOffset>
          </wp:positionH>
          <wp:positionV relativeFrom="page">
            <wp:posOffset>-9525</wp:posOffset>
          </wp:positionV>
          <wp:extent cx="7580630" cy="10709275"/>
          <wp:effectExtent l="0" t="0" r="1270" b="0"/>
          <wp:wrapNone/>
          <wp:docPr id="2655" name="Picture 2655" descr="D:\WORK\EPOS AusAid\130212 FINAL\Templates 2\Reports\130228 Report Contents-Chapte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EPOS AusAid\130212 FINAL\Templates 2\Reports\130228 Report Contents-Chapter-Divi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0630" cy="1070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09A">
      <w:rPr>
        <w:i/>
        <w:noProof/>
        <w:color w:val="595959" w:themeColor="text1" w:themeTint="A6"/>
        <w:sz w:val="18"/>
        <w:szCs w:val="18"/>
        <w:lang w:val="en-AU" w:eastAsia="en-AU"/>
      </w:rPr>
      <w:drawing>
        <wp:anchor distT="0" distB="0" distL="114300" distR="114300" simplePos="0" relativeHeight="251692032" behindDoc="1" locked="0" layoutInCell="1" allowOverlap="1" wp14:anchorId="64BC5D92" wp14:editId="295E97E3">
          <wp:simplePos x="0" y="0"/>
          <wp:positionH relativeFrom="page">
            <wp:align>right</wp:align>
          </wp:positionH>
          <wp:positionV relativeFrom="paragraph">
            <wp:posOffset>303575</wp:posOffset>
          </wp:positionV>
          <wp:extent cx="7571232" cy="475488"/>
          <wp:effectExtent l="0" t="0" r="0" b="1270"/>
          <wp:wrapNone/>
          <wp:docPr id="2656" name="Picture 2656"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Pr="0032365A" w:rsidRDefault="00710F2F" w:rsidP="0032365A">
    <w:pPr>
      <w:pStyle w:val="Header"/>
    </w:pPr>
    <w:r w:rsidRPr="00F0409A">
      <w:rPr>
        <w:i/>
        <w:noProof/>
        <w:color w:val="595959" w:themeColor="text1" w:themeTint="A6"/>
        <w:sz w:val="18"/>
        <w:szCs w:val="18"/>
        <w:lang w:val="en-AU" w:eastAsia="en-AU"/>
      </w:rPr>
      <w:drawing>
        <wp:anchor distT="0" distB="0" distL="114300" distR="114300" simplePos="0" relativeHeight="251689984" behindDoc="1" locked="0" layoutInCell="1" allowOverlap="1" wp14:anchorId="2CF59DE2" wp14:editId="65B6A657">
          <wp:simplePos x="0" y="0"/>
          <wp:positionH relativeFrom="page">
            <wp:align>right</wp:align>
          </wp:positionH>
          <wp:positionV relativeFrom="paragraph">
            <wp:posOffset>303575</wp:posOffset>
          </wp:positionV>
          <wp:extent cx="7571232" cy="475488"/>
          <wp:effectExtent l="0" t="0" r="0" b="1270"/>
          <wp:wrapNone/>
          <wp:docPr id="2657" name="Picture 2657"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Default="00710F2F">
    <w:pPr>
      <w:pStyle w:val="Header"/>
    </w:pPr>
  </w:p>
  <w:p w:rsidR="00710F2F" w:rsidRDefault="00710F2F">
    <w:pPr>
      <w:pStyle w:val="Header"/>
    </w:pPr>
  </w:p>
  <w:p w:rsidR="00710F2F" w:rsidRDefault="00710F2F">
    <w:pPr>
      <w:pStyle w:val="Header"/>
    </w:pPr>
  </w:p>
  <w:p w:rsidR="00710F2F" w:rsidRDefault="00710F2F">
    <w:pPr>
      <w:pStyle w:val="Header"/>
    </w:pPr>
    <w:r w:rsidRPr="00F0409A">
      <w:rPr>
        <w:i/>
        <w:noProof/>
        <w:color w:val="595959" w:themeColor="text1" w:themeTint="A6"/>
        <w:sz w:val="18"/>
        <w:szCs w:val="18"/>
        <w:lang w:val="en-AU" w:eastAsia="en-AU"/>
      </w:rPr>
      <w:drawing>
        <wp:anchor distT="0" distB="0" distL="114300" distR="114300" simplePos="0" relativeHeight="251708416" behindDoc="1" locked="0" layoutInCell="1" allowOverlap="1" wp14:anchorId="2B183D23" wp14:editId="5BEE1FE9">
          <wp:simplePos x="0" y="0"/>
          <wp:positionH relativeFrom="page">
            <wp:align>right</wp:align>
          </wp:positionH>
          <wp:positionV relativeFrom="page">
            <wp:posOffset>575945</wp:posOffset>
          </wp:positionV>
          <wp:extent cx="7570800" cy="475200"/>
          <wp:effectExtent l="0" t="0" r="0" b="1270"/>
          <wp:wrapNone/>
          <wp:docPr id="2658" name="Picture 2658"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800" cy="475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Pr="0032365A" w:rsidRDefault="00710F2F" w:rsidP="0032365A">
    <w:pPr>
      <w:pStyle w:val="Header"/>
    </w:pPr>
    <w:r>
      <w:rPr>
        <w:noProof/>
        <w:color w:val="000000" w:themeColor="text1"/>
        <w:sz w:val="28"/>
        <w:szCs w:val="28"/>
        <w:lang w:val="en-AU" w:eastAsia="en-AU"/>
      </w:rPr>
      <w:drawing>
        <wp:anchor distT="0" distB="0" distL="114300" distR="114300" simplePos="0" relativeHeight="251700224" behindDoc="1" locked="0" layoutInCell="1" allowOverlap="1" wp14:anchorId="594B1053" wp14:editId="2FBE2276">
          <wp:simplePos x="0" y="0"/>
          <wp:positionH relativeFrom="page">
            <wp:posOffset>-8890</wp:posOffset>
          </wp:positionH>
          <wp:positionV relativeFrom="page">
            <wp:posOffset>-9525</wp:posOffset>
          </wp:positionV>
          <wp:extent cx="7580630" cy="10709275"/>
          <wp:effectExtent l="0" t="0" r="1270" b="0"/>
          <wp:wrapNone/>
          <wp:docPr id="19" name="Picture 19" descr="D:\WORK\EPOS AusAid\130212 FINAL\Templates 2\Reports\130228 Report Contents-Chapte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EPOS AusAid\130212 FINAL\Templates 2\Reports\130228 Report Contents-Chapter-Divi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0630" cy="1070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09A">
      <w:rPr>
        <w:i/>
        <w:noProof/>
        <w:color w:val="595959" w:themeColor="text1" w:themeTint="A6"/>
        <w:sz w:val="18"/>
        <w:szCs w:val="18"/>
        <w:lang w:val="en-AU" w:eastAsia="en-AU"/>
      </w:rPr>
      <w:drawing>
        <wp:anchor distT="0" distB="0" distL="114300" distR="114300" simplePos="0" relativeHeight="251698176" behindDoc="1" locked="0" layoutInCell="1" allowOverlap="1" wp14:anchorId="2C3CC855" wp14:editId="32DE38F3">
          <wp:simplePos x="0" y="0"/>
          <wp:positionH relativeFrom="page">
            <wp:align>right</wp:align>
          </wp:positionH>
          <wp:positionV relativeFrom="paragraph">
            <wp:posOffset>303575</wp:posOffset>
          </wp:positionV>
          <wp:extent cx="7571232" cy="475488"/>
          <wp:effectExtent l="0" t="0" r="0" b="1270"/>
          <wp:wrapNone/>
          <wp:docPr id="90" name="Picture 90"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Pr="0032365A" w:rsidRDefault="00710F2F" w:rsidP="0032365A">
    <w:pPr>
      <w:pStyle w:val="Header"/>
    </w:pPr>
    <w:r w:rsidRPr="00F0409A">
      <w:rPr>
        <w:i/>
        <w:noProof/>
        <w:color w:val="595959" w:themeColor="text1" w:themeTint="A6"/>
        <w:sz w:val="18"/>
        <w:szCs w:val="18"/>
        <w:lang w:val="en-AU" w:eastAsia="en-AU"/>
      </w:rPr>
      <w:drawing>
        <wp:anchor distT="0" distB="0" distL="114300" distR="114300" simplePos="0" relativeHeight="251696128" behindDoc="1" locked="0" layoutInCell="1" allowOverlap="1" wp14:anchorId="123B947A" wp14:editId="12BBC9C4">
          <wp:simplePos x="0" y="0"/>
          <wp:positionH relativeFrom="page">
            <wp:align>right</wp:align>
          </wp:positionH>
          <wp:positionV relativeFrom="paragraph">
            <wp:posOffset>303575</wp:posOffset>
          </wp:positionV>
          <wp:extent cx="7571232" cy="475488"/>
          <wp:effectExtent l="0" t="0" r="0" b="1270"/>
          <wp:wrapNone/>
          <wp:docPr id="89" name="Picture 89"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Default="00710F2F">
    <w:pPr>
      <w:pStyle w:val="Header"/>
    </w:pPr>
    <w:r w:rsidRPr="00F0409A">
      <w:rPr>
        <w:i/>
        <w:noProof/>
        <w:color w:val="595959" w:themeColor="text1" w:themeTint="A6"/>
        <w:sz w:val="18"/>
        <w:szCs w:val="18"/>
        <w:lang w:val="en-AU" w:eastAsia="en-AU"/>
      </w:rPr>
      <w:drawing>
        <wp:anchor distT="0" distB="0" distL="114300" distR="114300" simplePos="0" relativeHeight="251702272" behindDoc="1" locked="0" layoutInCell="1" allowOverlap="1" wp14:anchorId="49381595" wp14:editId="07A0C382">
          <wp:simplePos x="0" y="0"/>
          <wp:positionH relativeFrom="page">
            <wp:align>right</wp:align>
          </wp:positionH>
          <wp:positionV relativeFrom="page">
            <wp:posOffset>575945</wp:posOffset>
          </wp:positionV>
          <wp:extent cx="7570800" cy="475200"/>
          <wp:effectExtent l="0" t="0" r="0" b="1270"/>
          <wp:wrapNone/>
          <wp:docPr id="91" name="Picture 91"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800" cy="475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99E" w:rsidRDefault="004C599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Default="00710F2F">
    <w:pPr>
      <w:pStyle w:val="Header"/>
    </w:pPr>
  </w:p>
  <w:p w:rsidR="00710F2F" w:rsidRDefault="00710F2F">
    <w:pPr>
      <w:pStyle w:val="Header"/>
    </w:pPr>
  </w:p>
  <w:p w:rsidR="00710F2F" w:rsidRDefault="00710F2F">
    <w:pPr>
      <w:pStyle w:val="Header"/>
    </w:pPr>
  </w:p>
  <w:p w:rsidR="00710F2F" w:rsidRDefault="00710F2F">
    <w:pPr>
      <w:pStyle w:val="Header"/>
    </w:pPr>
    <w:r w:rsidRPr="00F0409A">
      <w:rPr>
        <w:i/>
        <w:noProof/>
        <w:color w:val="595959" w:themeColor="text1" w:themeTint="A6"/>
        <w:sz w:val="18"/>
        <w:szCs w:val="18"/>
        <w:lang w:val="en-AU" w:eastAsia="en-AU"/>
      </w:rPr>
      <w:drawing>
        <wp:anchor distT="0" distB="0" distL="114300" distR="114300" simplePos="0" relativeHeight="251704320" behindDoc="1" locked="0" layoutInCell="1" allowOverlap="1" wp14:anchorId="029635C4" wp14:editId="57994AD6">
          <wp:simplePos x="0" y="0"/>
          <wp:positionH relativeFrom="page">
            <wp:align>right</wp:align>
          </wp:positionH>
          <wp:positionV relativeFrom="page">
            <wp:posOffset>575945</wp:posOffset>
          </wp:positionV>
          <wp:extent cx="7570800" cy="475200"/>
          <wp:effectExtent l="0" t="0" r="0" b="1270"/>
          <wp:wrapNone/>
          <wp:docPr id="94" name="Picture 94"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800" cy="475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Pr="0032365A" w:rsidRDefault="00710F2F" w:rsidP="0032365A">
    <w:pPr>
      <w:pStyle w:val="Header"/>
    </w:pPr>
    <w:r w:rsidRPr="00F0409A">
      <w:rPr>
        <w:i/>
        <w:noProof/>
        <w:color w:val="595959" w:themeColor="text1" w:themeTint="A6"/>
        <w:sz w:val="18"/>
        <w:szCs w:val="18"/>
        <w:lang w:val="en-AU" w:eastAsia="en-AU"/>
      </w:rPr>
      <w:drawing>
        <wp:anchor distT="0" distB="0" distL="114300" distR="114300" simplePos="0" relativeHeight="251706368" behindDoc="1" locked="0" layoutInCell="1" allowOverlap="1" wp14:anchorId="0F89B153" wp14:editId="3064810A">
          <wp:simplePos x="0" y="0"/>
          <wp:positionH relativeFrom="page">
            <wp:align>right</wp:align>
          </wp:positionH>
          <wp:positionV relativeFrom="paragraph">
            <wp:posOffset>303575</wp:posOffset>
          </wp:positionV>
          <wp:extent cx="7571232" cy="475488"/>
          <wp:effectExtent l="0" t="0" r="0" b="1270"/>
          <wp:wrapNone/>
          <wp:docPr id="95" name="Picture 95"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99E" w:rsidRDefault="004C599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Default="00710F2F">
    <w:pPr>
      <w:pStyle w:val="Header"/>
    </w:pPr>
  </w:p>
  <w:p w:rsidR="00710F2F" w:rsidRDefault="00710F2F">
    <w:pPr>
      <w:pStyle w:val="Header"/>
    </w:pPr>
  </w:p>
  <w:p w:rsidR="00710F2F" w:rsidRDefault="00710F2F">
    <w:pPr>
      <w:pStyle w:val="Header"/>
    </w:pPr>
  </w:p>
  <w:p w:rsidR="00710F2F" w:rsidRDefault="00710F2F">
    <w:pPr>
      <w:pStyle w:val="Header"/>
    </w:pPr>
    <w:r w:rsidRPr="00F0409A">
      <w:rPr>
        <w:i/>
        <w:noProof/>
        <w:color w:val="595959" w:themeColor="text1" w:themeTint="A6"/>
        <w:sz w:val="18"/>
        <w:szCs w:val="18"/>
        <w:lang w:val="en-AU" w:eastAsia="en-AU"/>
      </w:rPr>
      <w:drawing>
        <wp:anchor distT="0" distB="0" distL="114300" distR="114300" simplePos="0" relativeHeight="251665408" behindDoc="1" locked="0" layoutInCell="1" allowOverlap="1" wp14:anchorId="3B7D99C6" wp14:editId="5C811992">
          <wp:simplePos x="0" y="0"/>
          <wp:positionH relativeFrom="page">
            <wp:align>right</wp:align>
          </wp:positionH>
          <wp:positionV relativeFrom="page">
            <wp:posOffset>575945</wp:posOffset>
          </wp:positionV>
          <wp:extent cx="7570800" cy="475200"/>
          <wp:effectExtent l="0" t="0" r="0" b="1270"/>
          <wp:wrapNone/>
          <wp:docPr id="71" name="Picture 71"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800" cy="475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Pr="0032365A" w:rsidRDefault="00710F2F" w:rsidP="0032365A">
    <w:pPr>
      <w:pStyle w:val="Header"/>
    </w:pPr>
    <w:r w:rsidRPr="00F0409A">
      <w:rPr>
        <w:i/>
        <w:noProof/>
        <w:color w:val="595959" w:themeColor="text1" w:themeTint="A6"/>
        <w:sz w:val="18"/>
        <w:szCs w:val="18"/>
        <w:lang w:val="en-AU" w:eastAsia="en-AU"/>
      </w:rPr>
      <w:drawing>
        <wp:anchor distT="0" distB="0" distL="114300" distR="114300" simplePos="0" relativeHeight="251667456" behindDoc="1" locked="0" layoutInCell="1" allowOverlap="1" wp14:anchorId="5FBECB4E" wp14:editId="358A644D">
          <wp:simplePos x="0" y="0"/>
          <wp:positionH relativeFrom="page">
            <wp:align>right</wp:align>
          </wp:positionH>
          <wp:positionV relativeFrom="paragraph">
            <wp:posOffset>303575</wp:posOffset>
          </wp:positionV>
          <wp:extent cx="7571232" cy="475488"/>
          <wp:effectExtent l="0" t="0" r="0" b="1270"/>
          <wp:wrapNone/>
          <wp:docPr id="72" name="Picture 72"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Default="00710F2F">
    <w:pPr>
      <w:pStyle w:val="Header"/>
    </w:pPr>
  </w:p>
  <w:p w:rsidR="00710F2F" w:rsidRDefault="00710F2F">
    <w:pPr>
      <w:pStyle w:val="Header"/>
    </w:pPr>
  </w:p>
  <w:p w:rsidR="00710F2F" w:rsidRDefault="00710F2F">
    <w:pPr>
      <w:pStyle w:val="Header"/>
    </w:pPr>
  </w:p>
  <w:p w:rsidR="00710F2F" w:rsidRDefault="00710F2F">
    <w:pPr>
      <w:pStyle w:val="Header"/>
    </w:pPr>
    <w:r w:rsidRPr="00F0409A">
      <w:rPr>
        <w:i/>
        <w:noProof/>
        <w:color w:val="595959" w:themeColor="text1" w:themeTint="A6"/>
        <w:sz w:val="18"/>
        <w:szCs w:val="18"/>
        <w:lang w:val="en-AU" w:eastAsia="en-AU"/>
      </w:rPr>
      <w:drawing>
        <wp:anchor distT="0" distB="0" distL="114300" distR="114300" simplePos="0" relativeHeight="251663360" behindDoc="1" locked="0" layoutInCell="1" allowOverlap="1" wp14:anchorId="1936A635" wp14:editId="6092F6A0">
          <wp:simplePos x="0" y="0"/>
          <wp:positionH relativeFrom="page">
            <wp:align>right</wp:align>
          </wp:positionH>
          <wp:positionV relativeFrom="page">
            <wp:posOffset>575945</wp:posOffset>
          </wp:positionV>
          <wp:extent cx="7570800" cy="475200"/>
          <wp:effectExtent l="0" t="0" r="0" b="1270"/>
          <wp:wrapNone/>
          <wp:docPr id="2644" name="Picture 2644"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800" cy="475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Pr="0032365A" w:rsidRDefault="00710F2F" w:rsidP="0032365A">
    <w:pPr>
      <w:pStyle w:val="Header"/>
    </w:pPr>
    <w:r w:rsidRPr="00F0409A">
      <w:rPr>
        <w:i/>
        <w:noProof/>
        <w:color w:val="595959" w:themeColor="text1" w:themeTint="A6"/>
        <w:sz w:val="18"/>
        <w:szCs w:val="18"/>
        <w:lang w:val="en-AU" w:eastAsia="en-AU"/>
      </w:rPr>
      <w:drawing>
        <wp:anchor distT="0" distB="0" distL="114300" distR="114300" simplePos="0" relativeHeight="251671552" behindDoc="1" locked="0" layoutInCell="1" allowOverlap="1" wp14:anchorId="010C3AE2" wp14:editId="4D3BB303">
          <wp:simplePos x="0" y="0"/>
          <wp:positionH relativeFrom="page">
            <wp:align>right</wp:align>
          </wp:positionH>
          <wp:positionV relativeFrom="paragraph">
            <wp:posOffset>303575</wp:posOffset>
          </wp:positionV>
          <wp:extent cx="7571232" cy="475488"/>
          <wp:effectExtent l="0" t="0" r="0" b="1270"/>
          <wp:wrapNone/>
          <wp:docPr id="2645" name="Picture 2645"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Pr="0032365A" w:rsidRDefault="00710F2F" w:rsidP="0032365A">
    <w:pPr>
      <w:pStyle w:val="Header"/>
    </w:pPr>
    <w:r w:rsidRPr="00F0409A">
      <w:rPr>
        <w:i/>
        <w:noProof/>
        <w:color w:val="595959" w:themeColor="text1" w:themeTint="A6"/>
        <w:sz w:val="18"/>
        <w:szCs w:val="18"/>
        <w:lang w:val="en-AU" w:eastAsia="en-AU"/>
      </w:rPr>
      <w:drawing>
        <wp:anchor distT="0" distB="0" distL="114300" distR="114300" simplePos="0" relativeHeight="251669504" behindDoc="1" locked="0" layoutInCell="1" allowOverlap="1" wp14:anchorId="5C3F6379" wp14:editId="06D7FDD0">
          <wp:simplePos x="0" y="0"/>
          <wp:positionH relativeFrom="page">
            <wp:align>right</wp:align>
          </wp:positionH>
          <wp:positionV relativeFrom="paragraph">
            <wp:posOffset>303575</wp:posOffset>
          </wp:positionV>
          <wp:extent cx="7571232" cy="475488"/>
          <wp:effectExtent l="0" t="0" r="0" b="1270"/>
          <wp:wrapNone/>
          <wp:docPr id="2647" name="Picture 2647"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2F" w:rsidRPr="0032365A" w:rsidRDefault="00710F2F" w:rsidP="0032365A">
    <w:pPr>
      <w:pStyle w:val="Header"/>
    </w:pPr>
    <w:r>
      <w:rPr>
        <w:noProof/>
        <w:color w:val="000000" w:themeColor="text1"/>
        <w:sz w:val="28"/>
        <w:szCs w:val="28"/>
        <w:lang w:val="en-AU" w:eastAsia="en-AU"/>
      </w:rPr>
      <w:drawing>
        <wp:anchor distT="0" distB="0" distL="114300" distR="114300" simplePos="0" relativeHeight="251679744" behindDoc="1" locked="0" layoutInCell="1" allowOverlap="1" wp14:anchorId="2730DAC6" wp14:editId="184598FA">
          <wp:simplePos x="0" y="0"/>
          <wp:positionH relativeFrom="page">
            <wp:posOffset>-8890</wp:posOffset>
          </wp:positionH>
          <wp:positionV relativeFrom="page">
            <wp:posOffset>-9525</wp:posOffset>
          </wp:positionV>
          <wp:extent cx="7580630" cy="10709275"/>
          <wp:effectExtent l="0" t="0" r="1270" b="0"/>
          <wp:wrapNone/>
          <wp:docPr id="2648" name="Picture 2648" descr="D:\WORK\EPOS AusAid\130212 FINAL\Templates 2\Reports\130228 Report Contents-Chapte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EPOS AusAid\130212 FINAL\Templates 2\Reports\130228 Report Contents-Chapter-Divi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0630" cy="1070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09A">
      <w:rPr>
        <w:i/>
        <w:noProof/>
        <w:color w:val="595959" w:themeColor="text1" w:themeTint="A6"/>
        <w:sz w:val="18"/>
        <w:szCs w:val="18"/>
        <w:lang w:val="en-AU" w:eastAsia="en-AU"/>
      </w:rPr>
      <w:drawing>
        <wp:anchor distT="0" distB="0" distL="114300" distR="114300" simplePos="0" relativeHeight="251675648" behindDoc="1" locked="0" layoutInCell="1" allowOverlap="1" wp14:anchorId="410A6764" wp14:editId="472D467D">
          <wp:simplePos x="0" y="0"/>
          <wp:positionH relativeFrom="page">
            <wp:posOffset>-4445</wp:posOffset>
          </wp:positionH>
          <wp:positionV relativeFrom="paragraph">
            <wp:posOffset>303530</wp:posOffset>
          </wp:positionV>
          <wp:extent cx="7571232" cy="475488"/>
          <wp:effectExtent l="0" t="0" r="0" b="1270"/>
          <wp:wrapNone/>
          <wp:docPr id="2649" name="Picture 2649"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947E169A"/>
    <w:lvl w:ilvl="0">
      <w:start w:val="1"/>
      <w:numFmt w:val="decimal"/>
      <w:pStyle w:val="ListNumber2"/>
      <w:lvlText w:val="%1."/>
      <w:lvlJc w:val="left"/>
      <w:pPr>
        <w:tabs>
          <w:tab w:val="num" w:pos="643"/>
        </w:tabs>
        <w:ind w:left="643" w:hanging="360"/>
      </w:pPr>
      <w:rPr>
        <w:rFonts w:cs="Times New Roman"/>
      </w:rPr>
    </w:lvl>
  </w:abstractNum>
  <w:abstractNum w:abstractNumId="1">
    <w:nsid w:val="FFFFFF82"/>
    <w:multiLevelType w:val="singleLevel"/>
    <w:tmpl w:val="D844302A"/>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8"/>
    <w:multiLevelType w:val="singleLevel"/>
    <w:tmpl w:val="C6902776"/>
    <w:lvl w:ilvl="0">
      <w:start w:val="1"/>
      <w:numFmt w:val="decimal"/>
      <w:lvlText w:val="%1."/>
      <w:lvlJc w:val="left"/>
      <w:pPr>
        <w:tabs>
          <w:tab w:val="num" w:pos="360"/>
        </w:tabs>
        <w:ind w:left="360" w:hanging="360"/>
      </w:pPr>
      <w:rPr>
        <w:rFonts w:cs="Times New Roman"/>
      </w:rPr>
    </w:lvl>
  </w:abstractNum>
  <w:abstractNum w:abstractNumId="3">
    <w:nsid w:val="FFFFFF89"/>
    <w:multiLevelType w:val="singleLevel"/>
    <w:tmpl w:val="0DF48996"/>
    <w:lvl w:ilvl="0">
      <w:start w:val="1"/>
      <w:numFmt w:val="bullet"/>
      <w:pStyle w:val="ListBullet"/>
      <w:lvlText w:val=""/>
      <w:lvlJc w:val="left"/>
      <w:pPr>
        <w:tabs>
          <w:tab w:val="num" w:pos="1440"/>
        </w:tabs>
        <w:ind w:left="1440" w:hanging="720"/>
      </w:pPr>
      <w:rPr>
        <w:rFonts w:ascii="Symbol" w:hAnsi="Symbol" w:hint="default"/>
      </w:rPr>
    </w:lvl>
  </w:abstractNum>
  <w:abstractNum w:abstractNumId="4">
    <w:nsid w:val="004C2087"/>
    <w:multiLevelType w:val="hybridMultilevel"/>
    <w:tmpl w:val="92CADAA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nsid w:val="07BD7E60"/>
    <w:multiLevelType w:val="hybridMultilevel"/>
    <w:tmpl w:val="4A6C89F2"/>
    <w:lvl w:ilvl="0" w:tplc="7E946A66">
      <w:start w:val="1"/>
      <w:numFmt w:val="decimal"/>
      <w:lvlText w:val="%1."/>
      <w:lvlJc w:val="left"/>
      <w:pPr>
        <w:ind w:left="720" w:hanging="360"/>
      </w:pPr>
      <w:rPr>
        <w:rFonts w:asciiTheme="minorHAnsi" w:hAnsiTheme="minorHAnsi" w:cstheme="minorHAnsi" w:hint="default"/>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9F11C02"/>
    <w:multiLevelType w:val="hybridMultilevel"/>
    <w:tmpl w:val="7BE0B7B8"/>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7">
    <w:nsid w:val="11F81650"/>
    <w:multiLevelType w:val="hybridMultilevel"/>
    <w:tmpl w:val="DA94E4FE"/>
    <w:lvl w:ilvl="0" w:tplc="96445D44">
      <w:start w:val="1"/>
      <w:numFmt w:val="decimal"/>
      <w:pStyle w:val="Caption"/>
      <w:lvlText w:val="Figure %1:"/>
      <w:lvlJc w:val="left"/>
      <w:pPr>
        <w:ind w:left="720" w:hanging="360"/>
      </w:pPr>
      <w:rPr>
        <w:rFonts w:hint="default"/>
        <w:lang w:val="en-G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47C1EA6"/>
    <w:multiLevelType w:val="hybridMultilevel"/>
    <w:tmpl w:val="7BE0B7B8"/>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9">
    <w:nsid w:val="167413D0"/>
    <w:multiLevelType w:val="hybridMultilevel"/>
    <w:tmpl w:val="7BE0B7B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8D275BD"/>
    <w:multiLevelType w:val="hybridMultilevel"/>
    <w:tmpl w:val="328A4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11B4877"/>
    <w:multiLevelType w:val="singleLevel"/>
    <w:tmpl w:val="E29291F8"/>
    <w:lvl w:ilvl="0">
      <w:start w:val="1"/>
      <w:numFmt w:val="bullet"/>
      <w:pStyle w:val="Bullet1"/>
      <w:lvlText w:val=""/>
      <w:lvlJc w:val="left"/>
      <w:pPr>
        <w:tabs>
          <w:tab w:val="num" w:pos="288"/>
        </w:tabs>
        <w:ind w:left="288" w:hanging="288"/>
      </w:pPr>
      <w:rPr>
        <w:rFonts w:ascii="Wingdings" w:hAnsi="Wingdings" w:cs="Times New Roman" w:hint="default"/>
        <w:b w:val="0"/>
        <w:i w:val="0"/>
        <w:sz w:val="24"/>
        <w:szCs w:val="24"/>
      </w:rPr>
    </w:lvl>
  </w:abstractNum>
  <w:abstractNum w:abstractNumId="12">
    <w:nsid w:val="27687D99"/>
    <w:multiLevelType w:val="multilevel"/>
    <w:tmpl w:val="0A188BEE"/>
    <w:lvl w:ilvl="0">
      <w:start w:val="1"/>
      <w:numFmt w:val="decimal"/>
      <w:pStyle w:val="CaptionT"/>
      <w:lvlText w:val="Table %1. "/>
      <w:lvlJc w:val="left"/>
      <w:pPr>
        <w:tabs>
          <w:tab w:val="num" w:pos="786"/>
        </w:tabs>
        <w:ind w:left="786" w:hanging="360"/>
      </w:pPr>
      <w:rPr>
        <w:rFonts w:ascii="Cambria" w:hAnsi="Cambria" w:cs="Times New Roman" w:hint="default"/>
        <w:b w:val="0"/>
        <w:i/>
        <w:sz w:val="18"/>
        <w:szCs w:val="18"/>
      </w:rPr>
    </w:lvl>
    <w:lvl w:ilvl="1">
      <w:start w:val="1"/>
      <w:numFmt w:val="decimal"/>
      <w:lvlText w:val="%1.%2."/>
      <w:lvlJc w:val="left"/>
      <w:pPr>
        <w:tabs>
          <w:tab w:val="num" w:pos="1218"/>
        </w:tabs>
        <w:ind w:left="1218" w:hanging="432"/>
      </w:pPr>
      <w:rPr>
        <w:rFonts w:cs="Times New Roman" w:hint="default"/>
      </w:rPr>
    </w:lvl>
    <w:lvl w:ilvl="2">
      <w:start w:val="1"/>
      <w:numFmt w:val="decimal"/>
      <w:lvlText w:val="%1.%2.%3."/>
      <w:lvlJc w:val="left"/>
      <w:pPr>
        <w:tabs>
          <w:tab w:val="num" w:pos="1650"/>
        </w:tabs>
        <w:ind w:left="1650" w:hanging="504"/>
      </w:pPr>
      <w:rPr>
        <w:rFonts w:cs="Times New Roman" w:hint="default"/>
      </w:rPr>
    </w:lvl>
    <w:lvl w:ilvl="3">
      <w:start w:val="1"/>
      <w:numFmt w:val="decimal"/>
      <w:lvlText w:val="%1.%2.%3.%4."/>
      <w:lvlJc w:val="left"/>
      <w:pPr>
        <w:tabs>
          <w:tab w:val="num" w:pos="2226"/>
        </w:tabs>
        <w:ind w:left="2154" w:hanging="648"/>
      </w:pPr>
      <w:rPr>
        <w:rFonts w:cs="Times New Roman" w:hint="default"/>
      </w:rPr>
    </w:lvl>
    <w:lvl w:ilvl="4">
      <w:start w:val="1"/>
      <w:numFmt w:val="decimal"/>
      <w:lvlText w:val="%1.%2.%3.%4.%5."/>
      <w:lvlJc w:val="left"/>
      <w:pPr>
        <w:tabs>
          <w:tab w:val="num" w:pos="2946"/>
        </w:tabs>
        <w:ind w:left="2658" w:hanging="792"/>
      </w:pPr>
      <w:rPr>
        <w:rFonts w:cs="Times New Roman" w:hint="default"/>
      </w:rPr>
    </w:lvl>
    <w:lvl w:ilvl="5">
      <w:start w:val="1"/>
      <w:numFmt w:val="decimal"/>
      <w:lvlText w:val="%1.%2.%3.%4.%5.%6."/>
      <w:lvlJc w:val="left"/>
      <w:pPr>
        <w:tabs>
          <w:tab w:val="num" w:pos="3306"/>
        </w:tabs>
        <w:ind w:left="3162" w:hanging="936"/>
      </w:pPr>
      <w:rPr>
        <w:rFonts w:cs="Times New Roman" w:hint="default"/>
      </w:rPr>
    </w:lvl>
    <w:lvl w:ilvl="6">
      <w:start w:val="1"/>
      <w:numFmt w:val="decimal"/>
      <w:lvlText w:val="%1.%2.%3.%4.%5.%6.%7."/>
      <w:lvlJc w:val="left"/>
      <w:pPr>
        <w:tabs>
          <w:tab w:val="num" w:pos="4026"/>
        </w:tabs>
        <w:ind w:left="3666" w:hanging="1080"/>
      </w:pPr>
      <w:rPr>
        <w:rFonts w:cs="Times New Roman" w:hint="default"/>
      </w:rPr>
    </w:lvl>
    <w:lvl w:ilvl="7">
      <w:start w:val="1"/>
      <w:numFmt w:val="decimal"/>
      <w:lvlText w:val="%1.%2.%3.%4.%5.%6.%7.%8."/>
      <w:lvlJc w:val="left"/>
      <w:pPr>
        <w:tabs>
          <w:tab w:val="num" w:pos="4386"/>
        </w:tabs>
        <w:ind w:left="4170" w:hanging="1224"/>
      </w:pPr>
      <w:rPr>
        <w:rFonts w:cs="Times New Roman" w:hint="default"/>
      </w:rPr>
    </w:lvl>
    <w:lvl w:ilvl="8">
      <w:start w:val="1"/>
      <w:numFmt w:val="decimal"/>
      <w:lvlText w:val="%1.%2.%3.%4.%5.%6.%7.%8.%9."/>
      <w:lvlJc w:val="left"/>
      <w:pPr>
        <w:tabs>
          <w:tab w:val="num" w:pos="5106"/>
        </w:tabs>
        <w:ind w:left="4746" w:hanging="1440"/>
      </w:pPr>
      <w:rPr>
        <w:rFonts w:cs="Times New Roman" w:hint="default"/>
      </w:rPr>
    </w:lvl>
  </w:abstractNum>
  <w:abstractNum w:abstractNumId="13">
    <w:nsid w:val="357867B4"/>
    <w:multiLevelType w:val="hybridMultilevel"/>
    <w:tmpl w:val="41DC1178"/>
    <w:lvl w:ilvl="0" w:tplc="D890B076">
      <w:start w:val="1"/>
      <w:numFmt w:val="decimal"/>
      <w:pStyle w:val="Table"/>
      <w:lvlText w:val="Table %1:"/>
      <w:lvlJc w:val="left"/>
      <w:pPr>
        <w:ind w:left="1080" w:hanging="360"/>
      </w:pPr>
      <w:rPr>
        <w:rFonts w:cs="Times New Roman" w:hint="default"/>
        <w:b/>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nsid w:val="37544AE5"/>
    <w:multiLevelType w:val="hybridMultilevel"/>
    <w:tmpl w:val="F04C27AC"/>
    <w:lvl w:ilvl="0" w:tplc="34588BD2">
      <w:start w:val="1"/>
      <w:numFmt w:val="decimal"/>
      <w:pStyle w:val="SectionNumber"/>
      <w:lvlText w:val="%1"/>
      <w:lvlJc w:val="right"/>
      <w:pPr>
        <w:tabs>
          <w:tab w:val="num" w:pos="720"/>
        </w:tabs>
        <w:ind w:left="720" w:hanging="360"/>
      </w:pPr>
      <w:rPr>
        <w:rFonts w:ascii="Verdana" w:hAnsi="Verdana" w:cs="Times New Roman" w:hint="default"/>
        <w:color w:val="000000"/>
        <w:sz w:val="96"/>
        <w:szCs w:val="96"/>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5">
    <w:nsid w:val="37AC6F26"/>
    <w:multiLevelType w:val="hybridMultilevel"/>
    <w:tmpl w:val="FAAC47F6"/>
    <w:lvl w:ilvl="0" w:tplc="F5B60A02">
      <w:start w:val="1"/>
      <w:numFmt w:val="bullet"/>
      <w:pStyle w:val="List1"/>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nsid w:val="3D0C3138"/>
    <w:multiLevelType w:val="hybridMultilevel"/>
    <w:tmpl w:val="C6542A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416D3DD0"/>
    <w:multiLevelType w:val="hybridMultilevel"/>
    <w:tmpl w:val="06FC37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36A7126"/>
    <w:multiLevelType w:val="hybridMultilevel"/>
    <w:tmpl w:val="3104ACDA"/>
    <w:lvl w:ilvl="0" w:tplc="FDE01EF6">
      <w:start w:val="1"/>
      <w:numFmt w:val="decimal"/>
      <w:pStyle w:val="StyleSPI"/>
      <w:lvlText w:val="SPI %1.     "/>
      <w:lvlJc w:val="left"/>
      <w:pPr>
        <w:tabs>
          <w:tab w:val="num" w:pos="1401"/>
        </w:tabs>
        <w:ind w:left="1401" w:hanging="360"/>
      </w:pPr>
      <w:rPr>
        <w:rFonts w:ascii="Arial Bold" w:hAnsi="Arial Bold" w:cs="Times New Roman" w:hint="default"/>
        <w:b/>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43A66F4E"/>
    <w:multiLevelType w:val="hybridMultilevel"/>
    <w:tmpl w:val="7BE0B7B8"/>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20">
    <w:nsid w:val="44BF1B41"/>
    <w:multiLevelType w:val="multilevel"/>
    <w:tmpl w:val="75DAC440"/>
    <w:lvl w:ilvl="0">
      <w:start w:val="1"/>
      <w:numFmt w:val="decimal"/>
      <w:lvlText w:val="%1."/>
      <w:lvlJc w:val="left"/>
    </w:lvl>
    <w:lvl w:ilvl="1">
      <w:start w:val="1"/>
      <w:numFmt w:val="upperLetter"/>
      <w:lvlText w:val="%2."/>
      <w:lvlJc w:val="left"/>
      <w:pPr>
        <w:ind w:left="578"/>
      </w:pPr>
      <w:rPr>
        <w:rFonts w:cs="Times New Roman"/>
      </w:rPr>
    </w:lvl>
    <w:lvl w:ilvl="2">
      <w:start w:val="1"/>
      <w:numFmt w:val="decimal"/>
      <w:lvlText w:val="%3."/>
      <w:lvlJc w:val="left"/>
      <w:pPr>
        <w:ind w:left="1298"/>
      </w:pPr>
      <w:rPr>
        <w:rFonts w:cs="Times New Roman"/>
      </w:rPr>
    </w:lvl>
    <w:lvl w:ilvl="3">
      <w:start w:val="1"/>
      <w:numFmt w:val="lowerLetter"/>
      <w:lvlText w:val="%4)"/>
      <w:lvlJc w:val="left"/>
      <w:pPr>
        <w:ind w:left="2018"/>
      </w:pPr>
      <w:rPr>
        <w:rFonts w:cs="Times New Roman"/>
      </w:rPr>
    </w:lvl>
    <w:lvl w:ilvl="4">
      <w:start w:val="1"/>
      <w:numFmt w:val="decimal"/>
      <w:lvlText w:val="(%5)"/>
      <w:lvlJc w:val="left"/>
      <w:pPr>
        <w:ind w:left="2738"/>
      </w:pPr>
      <w:rPr>
        <w:rFonts w:cs="Times New Roman"/>
      </w:rPr>
    </w:lvl>
    <w:lvl w:ilvl="5">
      <w:start w:val="1"/>
      <w:numFmt w:val="lowerLetter"/>
      <w:lvlText w:val="(%6)"/>
      <w:lvlJc w:val="left"/>
      <w:pPr>
        <w:ind w:left="3458"/>
      </w:pPr>
      <w:rPr>
        <w:rFonts w:cs="Times New Roman"/>
      </w:rPr>
    </w:lvl>
    <w:lvl w:ilvl="6">
      <w:start w:val="1"/>
      <w:numFmt w:val="lowerRoman"/>
      <w:lvlText w:val="(%7)"/>
      <w:lvlJc w:val="left"/>
      <w:pPr>
        <w:ind w:left="4178"/>
      </w:pPr>
      <w:rPr>
        <w:rFonts w:cs="Times New Roman"/>
      </w:rPr>
    </w:lvl>
    <w:lvl w:ilvl="7">
      <w:start w:val="1"/>
      <w:numFmt w:val="lowerLetter"/>
      <w:lvlText w:val="(%8)"/>
      <w:lvlJc w:val="left"/>
      <w:pPr>
        <w:ind w:left="4898"/>
      </w:pPr>
      <w:rPr>
        <w:rFonts w:cs="Times New Roman"/>
      </w:rPr>
    </w:lvl>
    <w:lvl w:ilvl="8">
      <w:start w:val="1"/>
      <w:numFmt w:val="lowerRoman"/>
      <w:lvlText w:val="(%9)"/>
      <w:lvlJc w:val="left"/>
      <w:pPr>
        <w:ind w:left="5618"/>
      </w:pPr>
      <w:rPr>
        <w:rFonts w:cs="Times New Roman"/>
      </w:rPr>
    </w:lvl>
  </w:abstractNum>
  <w:abstractNum w:abstractNumId="21">
    <w:nsid w:val="489D7366"/>
    <w:multiLevelType w:val="multilevel"/>
    <w:tmpl w:val="F4864DDE"/>
    <w:lvl w:ilvl="0">
      <w:start w:val="1"/>
      <w:numFmt w:val="decimal"/>
      <w:pStyle w:val="Figureheader"/>
      <w:lvlText w:val="Figure %1. "/>
      <w:lvlJc w:val="left"/>
      <w:pPr>
        <w:tabs>
          <w:tab w:val="num" w:pos="785"/>
        </w:tabs>
        <w:ind w:left="785" w:hanging="360"/>
      </w:pPr>
      <w:rPr>
        <w:rFonts w:ascii="Garamond" w:hAnsi="Garamond" w:cs="Times New Roman" w:hint="default"/>
        <w:b/>
        <w:i w:val="0"/>
        <w:sz w:val="20"/>
        <w:szCs w:val="20"/>
      </w:rPr>
    </w:lvl>
    <w:lvl w:ilvl="1">
      <w:start w:val="1"/>
      <w:numFmt w:val="decimal"/>
      <w:lvlText w:val="%1.%2."/>
      <w:lvlJc w:val="left"/>
      <w:pPr>
        <w:tabs>
          <w:tab w:val="num" w:pos="517"/>
        </w:tabs>
        <w:ind w:left="517" w:hanging="432"/>
      </w:pPr>
      <w:rPr>
        <w:rFonts w:cs="Times New Roman" w:hint="default"/>
      </w:rPr>
    </w:lvl>
    <w:lvl w:ilvl="2">
      <w:start w:val="1"/>
      <w:numFmt w:val="decimal"/>
      <w:lvlText w:val="%1.%2.%3."/>
      <w:lvlJc w:val="left"/>
      <w:pPr>
        <w:tabs>
          <w:tab w:val="num" w:pos="949"/>
        </w:tabs>
        <w:ind w:left="949" w:hanging="504"/>
      </w:pPr>
      <w:rPr>
        <w:rFonts w:cs="Times New Roman" w:hint="default"/>
      </w:rPr>
    </w:lvl>
    <w:lvl w:ilvl="3">
      <w:start w:val="1"/>
      <w:numFmt w:val="decimal"/>
      <w:lvlText w:val="%1.%2.%3.%4."/>
      <w:lvlJc w:val="left"/>
      <w:pPr>
        <w:tabs>
          <w:tab w:val="num" w:pos="1525"/>
        </w:tabs>
        <w:ind w:left="1453" w:hanging="648"/>
      </w:pPr>
      <w:rPr>
        <w:rFonts w:cs="Times New Roman" w:hint="default"/>
      </w:rPr>
    </w:lvl>
    <w:lvl w:ilvl="4">
      <w:start w:val="1"/>
      <w:numFmt w:val="decimal"/>
      <w:lvlText w:val="%1.%2.%3.%4.%5."/>
      <w:lvlJc w:val="left"/>
      <w:pPr>
        <w:tabs>
          <w:tab w:val="num" w:pos="2245"/>
        </w:tabs>
        <w:ind w:left="1957" w:hanging="792"/>
      </w:pPr>
      <w:rPr>
        <w:rFonts w:cs="Times New Roman" w:hint="default"/>
      </w:rPr>
    </w:lvl>
    <w:lvl w:ilvl="5">
      <w:start w:val="1"/>
      <w:numFmt w:val="decimal"/>
      <w:lvlText w:val="%1.%2.%3.%4.%5.%6."/>
      <w:lvlJc w:val="left"/>
      <w:pPr>
        <w:tabs>
          <w:tab w:val="num" w:pos="2605"/>
        </w:tabs>
        <w:ind w:left="2461" w:hanging="936"/>
      </w:pPr>
      <w:rPr>
        <w:rFonts w:cs="Times New Roman" w:hint="default"/>
      </w:rPr>
    </w:lvl>
    <w:lvl w:ilvl="6">
      <w:start w:val="1"/>
      <w:numFmt w:val="decimal"/>
      <w:lvlText w:val="%1.%2.%3.%4.%5.%6.%7."/>
      <w:lvlJc w:val="left"/>
      <w:pPr>
        <w:tabs>
          <w:tab w:val="num" w:pos="3325"/>
        </w:tabs>
        <w:ind w:left="2965" w:hanging="1080"/>
      </w:pPr>
      <w:rPr>
        <w:rFonts w:cs="Times New Roman" w:hint="default"/>
      </w:rPr>
    </w:lvl>
    <w:lvl w:ilvl="7">
      <w:start w:val="1"/>
      <w:numFmt w:val="decimal"/>
      <w:lvlText w:val="%1.%2.%3.%4.%5.%6.%7.%8."/>
      <w:lvlJc w:val="left"/>
      <w:pPr>
        <w:tabs>
          <w:tab w:val="num" w:pos="3685"/>
        </w:tabs>
        <w:ind w:left="3469" w:hanging="1224"/>
      </w:pPr>
      <w:rPr>
        <w:rFonts w:cs="Times New Roman" w:hint="default"/>
      </w:rPr>
    </w:lvl>
    <w:lvl w:ilvl="8">
      <w:start w:val="1"/>
      <w:numFmt w:val="decimal"/>
      <w:lvlText w:val="%1.%2.%3.%4.%5.%6.%7.%8.%9."/>
      <w:lvlJc w:val="left"/>
      <w:pPr>
        <w:tabs>
          <w:tab w:val="num" w:pos="4405"/>
        </w:tabs>
        <w:ind w:left="4045" w:hanging="1440"/>
      </w:pPr>
      <w:rPr>
        <w:rFonts w:cs="Times New Roman" w:hint="default"/>
      </w:rPr>
    </w:lvl>
  </w:abstractNum>
  <w:abstractNum w:abstractNumId="22">
    <w:nsid w:val="498537F1"/>
    <w:multiLevelType w:val="multilevel"/>
    <w:tmpl w:val="664019F4"/>
    <w:lvl w:ilvl="0">
      <w:start w:val="1"/>
      <w:numFmt w:val="decimal"/>
      <w:pStyle w:val="Tableheader"/>
      <w:lvlText w:val="Table %1. "/>
      <w:lvlJc w:val="left"/>
      <w:pPr>
        <w:tabs>
          <w:tab w:val="num" w:pos="781"/>
        </w:tabs>
        <w:ind w:left="781" w:hanging="360"/>
      </w:pPr>
      <w:rPr>
        <w:rFonts w:ascii="Garamond" w:hAnsi="Garamond" w:cs="Times New Roman" w:hint="default"/>
        <w:b/>
        <w:i w:val="0"/>
        <w:sz w:val="20"/>
        <w:szCs w:val="20"/>
      </w:rPr>
    </w:lvl>
    <w:lvl w:ilvl="1">
      <w:start w:val="1"/>
      <w:numFmt w:val="decimal"/>
      <w:lvlText w:val="%1.%2."/>
      <w:lvlJc w:val="left"/>
      <w:pPr>
        <w:tabs>
          <w:tab w:val="num" w:pos="1213"/>
        </w:tabs>
        <w:ind w:left="1213" w:hanging="432"/>
      </w:pPr>
      <w:rPr>
        <w:rFonts w:cs="Times New Roman" w:hint="default"/>
      </w:rPr>
    </w:lvl>
    <w:lvl w:ilvl="2">
      <w:start w:val="1"/>
      <w:numFmt w:val="decimal"/>
      <w:lvlText w:val="%1.%2.%3."/>
      <w:lvlJc w:val="left"/>
      <w:pPr>
        <w:tabs>
          <w:tab w:val="num" w:pos="1861"/>
        </w:tabs>
        <w:ind w:left="1645" w:hanging="504"/>
      </w:pPr>
      <w:rPr>
        <w:rFonts w:cs="Times New Roman" w:hint="default"/>
      </w:rPr>
    </w:lvl>
    <w:lvl w:ilvl="3">
      <w:start w:val="1"/>
      <w:numFmt w:val="decimal"/>
      <w:lvlText w:val="%1.%2.%3.%4."/>
      <w:lvlJc w:val="left"/>
      <w:pPr>
        <w:tabs>
          <w:tab w:val="num" w:pos="2221"/>
        </w:tabs>
        <w:ind w:left="2149" w:hanging="648"/>
      </w:pPr>
      <w:rPr>
        <w:rFonts w:cs="Times New Roman" w:hint="default"/>
      </w:rPr>
    </w:lvl>
    <w:lvl w:ilvl="4">
      <w:start w:val="1"/>
      <w:numFmt w:val="decimal"/>
      <w:lvlText w:val="%1.%2.%3.%4.%5."/>
      <w:lvlJc w:val="left"/>
      <w:pPr>
        <w:tabs>
          <w:tab w:val="num" w:pos="2941"/>
        </w:tabs>
        <w:ind w:left="2653" w:hanging="792"/>
      </w:pPr>
      <w:rPr>
        <w:rFonts w:cs="Times New Roman" w:hint="default"/>
      </w:rPr>
    </w:lvl>
    <w:lvl w:ilvl="5">
      <w:start w:val="1"/>
      <w:numFmt w:val="decimal"/>
      <w:lvlText w:val="%1.%2.%3.%4.%5.%6."/>
      <w:lvlJc w:val="left"/>
      <w:pPr>
        <w:tabs>
          <w:tab w:val="num" w:pos="3301"/>
        </w:tabs>
        <w:ind w:left="3157" w:hanging="936"/>
      </w:pPr>
      <w:rPr>
        <w:rFonts w:cs="Times New Roman" w:hint="default"/>
      </w:rPr>
    </w:lvl>
    <w:lvl w:ilvl="6">
      <w:start w:val="1"/>
      <w:numFmt w:val="decimal"/>
      <w:lvlText w:val="%1.%2.%3.%4.%5.%6.%7."/>
      <w:lvlJc w:val="left"/>
      <w:pPr>
        <w:tabs>
          <w:tab w:val="num" w:pos="4021"/>
        </w:tabs>
        <w:ind w:left="3661" w:hanging="1080"/>
      </w:pPr>
      <w:rPr>
        <w:rFonts w:cs="Times New Roman" w:hint="default"/>
      </w:rPr>
    </w:lvl>
    <w:lvl w:ilvl="7">
      <w:start w:val="1"/>
      <w:numFmt w:val="decimal"/>
      <w:lvlText w:val="%1.%2.%3.%4.%5.%6.%7.%8."/>
      <w:lvlJc w:val="left"/>
      <w:pPr>
        <w:tabs>
          <w:tab w:val="num" w:pos="4381"/>
        </w:tabs>
        <w:ind w:left="4165" w:hanging="1224"/>
      </w:pPr>
      <w:rPr>
        <w:rFonts w:cs="Times New Roman" w:hint="default"/>
      </w:rPr>
    </w:lvl>
    <w:lvl w:ilvl="8">
      <w:start w:val="1"/>
      <w:numFmt w:val="decimal"/>
      <w:lvlText w:val="%1.%2.%3.%4.%5.%6.%7.%8.%9."/>
      <w:lvlJc w:val="left"/>
      <w:pPr>
        <w:tabs>
          <w:tab w:val="num" w:pos="5101"/>
        </w:tabs>
        <w:ind w:left="4741" w:hanging="1440"/>
      </w:pPr>
      <w:rPr>
        <w:rFonts w:cs="Times New Roman" w:hint="default"/>
      </w:rPr>
    </w:lvl>
  </w:abstractNum>
  <w:abstractNum w:abstractNumId="23">
    <w:nsid w:val="4BBC2762"/>
    <w:multiLevelType w:val="hybridMultilevel"/>
    <w:tmpl w:val="A5BCBE38"/>
    <w:lvl w:ilvl="0" w:tplc="087CF562">
      <w:start w:val="1"/>
      <w:numFmt w:val="decimal"/>
      <w:pStyle w:val="SPI"/>
      <w:lvlText w:val="SPI %1.     "/>
      <w:lvlJc w:val="left"/>
      <w:pPr>
        <w:tabs>
          <w:tab w:val="num" w:pos="1401"/>
        </w:tabs>
        <w:ind w:left="1401" w:hanging="360"/>
      </w:pPr>
      <w:rPr>
        <w:rFonts w:ascii="Arial Bold" w:hAnsi="Arial Bold" w:cs="Times New Roman" w:hint="default"/>
        <w:b/>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4C732E0C"/>
    <w:multiLevelType w:val="hybridMultilevel"/>
    <w:tmpl w:val="0BA40DF8"/>
    <w:lvl w:ilvl="0" w:tplc="234C9FF6">
      <w:start w:val="1"/>
      <w:numFmt w:val="decimal"/>
      <w:lvlText w:val="Figure %1:"/>
      <w:lvlJc w:val="left"/>
      <w:pPr>
        <w:ind w:left="360" w:hanging="360"/>
      </w:pPr>
      <w:rPr>
        <w:rFonts w:cs="Times New Roman" w:hint="default"/>
        <w:b w:val="0"/>
      </w:rPr>
    </w:lvl>
    <w:lvl w:ilvl="1" w:tplc="0C090019">
      <w:start w:val="1"/>
      <w:numFmt w:val="lowerLetter"/>
      <w:lvlText w:val="%2."/>
      <w:lvlJc w:val="left"/>
      <w:pPr>
        <w:ind w:left="1014" w:hanging="360"/>
      </w:pPr>
      <w:rPr>
        <w:rFonts w:cs="Times New Roman"/>
      </w:rPr>
    </w:lvl>
    <w:lvl w:ilvl="2" w:tplc="0C09001B" w:tentative="1">
      <w:start w:val="1"/>
      <w:numFmt w:val="lowerRoman"/>
      <w:lvlText w:val="%3."/>
      <w:lvlJc w:val="right"/>
      <w:pPr>
        <w:ind w:left="1734" w:hanging="180"/>
      </w:pPr>
      <w:rPr>
        <w:rFonts w:cs="Times New Roman"/>
      </w:rPr>
    </w:lvl>
    <w:lvl w:ilvl="3" w:tplc="0C09000F" w:tentative="1">
      <w:start w:val="1"/>
      <w:numFmt w:val="decimal"/>
      <w:lvlText w:val="%4."/>
      <w:lvlJc w:val="left"/>
      <w:pPr>
        <w:ind w:left="2454" w:hanging="360"/>
      </w:pPr>
      <w:rPr>
        <w:rFonts w:cs="Times New Roman"/>
      </w:rPr>
    </w:lvl>
    <w:lvl w:ilvl="4" w:tplc="0C090019" w:tentative="1">
      <w:start w:val="1"/>
      <w:numFmt w:val="lowerLetter"/>
      <w:lvlText w:val="%5."/>
      <w:lvlJc w:val="left"/>
      <w:pPr>
        <w:ind w:left="3174" w:hanging="360"/>
      </w:pPr>
      <w:rPr>
        <w:rFonts w:cs="Times New Roman"/>
      </w:rPr>
    </w:lvl>
    <w:lvl w:ilvl="5" w:tplc="0C09001B" w:tentative="1">
      <w:start w:val="1"/>
      <w:numFmt w:val="lowerRoman"/>
      <w:lvlText w:val="%6."/>
      <w:lvlJc w:val="right"/>
      <w:pPr>
        <w:ind w:left="3894" w:hanging="180"/>
      </w:pPr>
      <w:rPr>
        <w:rFonts w:cs="Times New Roman"/>
      </w:rPr>
    </w:lvl>
    <w:lvl w:ilvl="6" w:tplc="0C09000F" w:tentative="1">
      <w:start w:val="1"/>
      <w:numFmt w:val="decimal"/>
      <w:lvlText w:val="%7."/>
      <w:lvlJc w:val="left"/>
      <w:pPr>
        <w:ind w:left="4614" w:hanging="360"/>
      </w:pPr>
      <w:rPr>
        <w:rFonts w:cs="Times New Roman"/>
      </w:rPr>
    </w:lvl>
    <w:lvl w:ilvl="7" w:tplc="0C090019" w:tentative="1">
      <w:start w:val="1"/>
      <w:numFmt w:val="lowerLetter"/>
      <w:lvlText w:val="%8."/>
      <w:lvlJc w:val="left"/>
      <w:pPr>
        <w:ind w:left="5334" w:hanging="360"/>
      </w:pPr>
      <w:rPr>
        <w:rFonts w:cs="Times New Roman"/>
      </w:rPr>
    </w:lvl>
    <w:lvl w:ilvl="8" w:tplc="0C09001B" w:tentative="1">
      <w:start w:val="1"/>
      <w:numFmt w:val="lowerRoman"/>
      <w:lvlText w:val="%9."/>
      <w:lvlJc w:val="right"/>
      <w:pPr>
        <w:ind w:left="6054" w:hanging="180"/>
      </w:pPr>
      <w:rPr>
        <w:rFonts w:cs="Times New Roman"/>
      </w:rPr>
    </w:lvl>
  </w:abstractNum>
  <w:abstractNum w:abstractNumId="25">
    <w:nsid w:val="4D190A80"/>
    <w:multiLevelType w:val="hybridMultilevel"/>
    <w:tmpl w:val="141A67D4"/>
    <w:lvl w:ilvl="0" w:tplc="A88ECBE4">
      <w:start w:val="1"/>
      <w:numFmt w:val="decimal"/>
      <w:pStyle w:val="CaptionA"/>
      <w:lvlText w:val="Annex  %1.   "/>
      <w:lvlJc w:val="left"/>
      <w:pPr>
        <w:tabs>
          <w:tab w:val="num" w:pos="1138"/>
        </w:tabs>
      </w:pPr>
      <w:rPr>
        <w:rFonts w:ascii="Arial Bold" w:hAnsi="Arial Bold" w:cs="Times New Roman" w:hint="default"/>
        <w:b/>
        <w:i/>
        <w:sz w:val="21"/>
        <w:szCs w:val="21"/>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4F716C1A"/>
    <w:multiLevelType w:val="hybridMultilevel"/>
    <w:tmpl w:val="276E0AF2"/>
    <w:lvl w:ilvl="0" w:tplc="1E448106">
      <w:start w:val="1"/>
      <w:numFmt w:val="decimal"/>
      <w:lvlText w:val="Figure %1:"/>
      <w:lvlJc w:val="left"/>
      <w:pPr>
        <w:ind w:left="360" w:hanging="360"/>
      </w:pPr>
      <w:rPr>
        <w:rFonts w:cs="Times New Roman" w:hint="default"/>
        <w:b w:val="0"/>
      </w:rPr>
    </w:lvl>
    <w:lvl w:ilvl="1" w:tplc="0C090019">
      <w:start w:val="1"/>
      <w:numFmt w:val="lowerLetter"/>
      <w:lvlText w:val="%2."/>
      <w:lvlJc w:val="left"/>
      <w:pPr>
        <w:ind w:left="1014" w:hanging="360"/>
      </w:pPr>
      <w:rPr>
        <w:rFonts w:cs="Times New Roman"/>
      </w:rPr>
    </w:lvl>
    <w:lvl w:ilvl="2" w:tplc="0C09001B" w:tentative="1">
      <w:start w:val="1"/>
      <w:numFmt w:val="lowerRoman"/>
      <w:lvlText w:val="%3."/>
      <w:lvlJc w:val="right"/>
      <w:pPr>
        <w:ind w:left="1734" w:hanging="180"/>
      </w:pPr>
      <w:rPr>
        <w:rFonts w:cs="Times New Roman"/>
      </w:rPr>
    </w:lvl>
    <w:lvl w:ilvl="3" w:tplc="0C09000F" w:tentative="1">
      <w:start w:val="1"/>
      <w:numFmt w:val="decimal"/>
      <w:lvlText w:val="%4."/>
      <w:lvlJc w:val="left"/>
      <w:pPr>
        <w:ind w:left="2454" w:hanging="360"/>
      </w:pPr>
      <w:rPr>
        <w:rFonts w:cs="Times New Roman"/>
      </w:rPr>
    </w:lvl>
    <w:lvl w:ilvl="4" w:tplc="0C090019" w:tentative="1">
      <w:start w:val="1"/>
      <w:numFmt w:val="lowerLetter"/>
      <w:lvlText w:val="%5."/>
      <w:lvlJc w:val="left"/>
      <w:pPr>
        <w:ind w:left="3174" w:hanging="360"/>
      </w:pPr>
      <w:rPr>
        <w:rFonts w:cs="Times New Roman"/>
      </w:rPr>
    </w:lvl>
    <w:lvl w:ilvl="5" w:tplc="0C09001B" w:tentative="1">
      <w:start w:val="1"/>
      <w:numFmt w:val="lowerRoman"/>
      <w:lvlText w:val="%6."/>
      <w:lvlJc w:val="right"/>
      <w:pPr>
        <w:ind w:left="3894" w:hanging="180"/>
      </w:pPr>
      <w:rPr>
        <w:rFonts w:cs="Times New Roman"/>
      </w:rPr>
    </w:lvl>
    <w:lvl w:ilvl="6" w:tplc="0C09000F" w:tentative="1">
      <w:start w:val="1"/>
      <w:numFmt w:val="decimal"/>
      <w:lvlText w:val="%7."/>
      <w:lvlJc w:val="left"/>
      <w:pPr>
        <w:ind w:left="4614" w:hanging="360"/>
      </w:pPr>
      <w:rPr>
        <w:rFonts w:cs="Times New Roman"/>
      </w:rPr>
    </w:lvl>
    <w:lvl w:ilvl="7" w:tplc="0C090019" w:tentative="1">
      <w:start w:val="1"/>
      <w:numFmt w:val="lowerLetter"/>
      <w:lvlText w:val="%8."/>
      <w:lvlJc w:val="left"/>
      <w:pPr>
        <w:ind w:left="5334" w:hanging="360"/>
      </w:pPr>
      <w:rPr>
        <w:rFonts w:cs="Times New Roman"/>
      </w:rPr>
    </w:lvl>
    <w:lvl w:ilvl="8" w:tplc="0C09001B" w:tentative="1">
      <w:start w:val="1"/>
      <w:numFmt w:val="lowerRoman"/>
      <w:lvlText w:val="%9."/>
      <w:lvlJc w:val="right"/>
      <w:pPr>
        <w:ind w:left="6054" w:hanging="180"/>
      </w:pPr>
      <w:rPr>
        <w:rFonts w:cs="Times New Roman"/>
      </w:rPr>
    </w:lvl>
  </w:abstractNum>
  <w:abstractNum w:abstractNumId="27">
    <w:nsid w:val="4FDF61CB"/>
    <w:multiLevelType w:val="multilevel"/>
    <w:tmpl w:val="A1C231A6"/>
    <w:lvl w:ilvl="0">
      <w:start w:val="1"/>
      <w:numFmt w:val="decimal"/>
      <w:pStyle w:val="CaptionF"/>
      <w:lvlText w:val="Figure %1. "/>
      <w:lvlJc w:val="left"/>
      <w:pPr>
        <w:tabs>
          <w:tab w:val="num" w:pos="360"/>
        </w:tabs>
        <w:ind w:left="360" w:hanging="360"/>
      </w:pPr>
      <w:rPr>
        <w:rFonts w:ascii="Arial" w:hAnsi="Arial" w:cs="Arial" w:hint="default"/>
        <w:b/>
        <w:i w:val="0"/>
        <w:sz w:val="20"/>
        <w:szCs w:val="20"/>
      </w:rPr>
    </w:lvl>
    <w:lvl w:ilvl="1">
      <w:start w:val="1"/>
      <w:numFmt w:val="decimal"/>
      <w:pStyle w:val="StyleHeading2Centered"/>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8">
    <w:nsid w:val="513E7B2F"/>
    <w:multiLevelType w:val="multilevel"/>
    <w:tmpl w:val="0409001F"/>
    <w:styleLink w:val="111111"/>
    <w:lvl w:ilvl="0">
      <w:start w:val="1"/>
      <w:numFmt w:val="decimal"/>
      <w:pStyle w:val="Bodytextnumbered"/>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040"/>
        </w:tabs>
        <w:ind w:left="3240" w:hanging="1080"/>
      </w:pPr>
      <w:rPr>
        <w:rFonts w:cs="Times New Roman"/>
      </w:rPr>
    </w:lvl>
    <w:lvl w:ilvl="7">
      <w:start w:val="1"/>
      <w:numFmt w:val="decimal"/>
      <w:lvlText w:val="%1.%2.%3.%4.%5.%6.%7.%8."/>
      <w:lvlJc w:val="left"/>
      <w:pPr>
        <w:tabs>
          <w:tab w:val="num" w:pos="5760"/>
        </w:tabs>
        <w:ind w:left="3744" w:hanging="1224"/>
      </w:pPr>
      <w:rPr>
        <w:rFonts w:cs="Times New Roman"/>
      </w:rPr>
    </w:lvl>
    <w:lvl w:ilvl="8">
      <w:start w:val="1"/>
      <w:numFmt w:val="decimal"/>
      <w:lvlText w:val="%1.%2.%3.%4.%5.%6.%7.%8.%9."/>
      <w:lvlJc w:val="left"/>
      <w:pPr>
        <w:tabs>
          <w:tab w:val="num" w:pos="6480"/>
        </w:tabs>
        <w:ind w:left="4320" w:hanging="1440"/>
      </w:pPr>
      <w:rPr>
        <w:rFonts w:cs="Times New Roman"/>
      </w:rPr>
    </w:lvl>
  </w:abstractNum>
  <w:abstractNum w:abstractNumId="29">
    <w:nsid w:val="530C3DF5"/>
    <w:multiLevelType w:val="hybridMultilevel"/>
    <w:tmpl w:val="F9549C16"/>
    <w:lvl w:ilvl="0" w:tplc="0CC2C732">
      <w:start w:val="1"/>
      <w:numFmt w:val="bullet"/>
      <w:pStyle w:val="Listbullet0"/>
      <w:lvlText w:val=""/>
      <w:lvlJc w:val="left"/>
      <w:pPr>
        <w:ind w:left="720" w:hanging="360"/>
      </w:pPr>
      <w:rPr>
        <w:rFonts w:ascii="Symbol" w:hAnsi="Symbol" w:hint="default"/>
      </w:rPr>
    </w:lvl>
    <w:lvl w:ilvl="1" w:tplc="56440644" w:tentative="1">
      <w:start w:val="1"/>
      <w:numFmt w:val="bullet"/>
      <w:lvlText w:val="o"/>
      <w:lvlJc w:val="left"/>
      <w:pPr>
        <w:ind w:left="1440" w:hanging="360"/>
      </w:pPr>
      <w:rPr>
        <w:rFonts w:ascii="Courier New" w:hAnsi="Courier New" w:hint="default"/>
      </w:rPr>
    </w:lvl>
    <w:lvl w:ilvl="2" w:tplc="D6E4987C" w:tentative="1">
      <w:start w:val="1"/>
      <w:numFmt w:val="bullet"/>
      <w:lvlText w:val=""/>
      <w:lvlJc w:val="left"/>
      <w:pPr>
        <w:ind w:left="2160" w:hanging="360"/>
      </w:pPr>
      <w:rPr>
        <w:rFonts w:ascii="Wingdings" w:hAnsi="Wingdings" w:hint="default"/>
      </w:rPr>
    </w:lvl>
    <w:lvl w:ilvl="3" w:tplc="7ABE611C" w:tentative="1">
      <w:start w:val="1"/>
      <w:numFmt w:val="bullet"/>
      <w:lvlText w:val=""/>
      <w:lvlJc w:val="left"/>
      <w:pPr>
        <w:ind w:left="2880" w:hanging="360"/>
      </w:pPr>
      <w:rPr>
        <w:rFonts w:ascii="Symbol" w:hAnsi="Symbol" w:hint="default"/>
      </w:rPr>
    </w:lvl>
    <w:lvl w:ilvl="4" w:tplc="FED0390C" w:tentative="1">
      <w:start w:val="1"/>
      <w:numFmt w:val="bullet"/>
      <w:lvlText w:val="o"/>
      <w:lvlJc w:val="left"/>
      <w:pPr>
        <w:ind w:left="3600" w:hanging="360"/>
      </w:pPr>
      <w:rPr>
        <w:rFonts w:ascii="Courier New" w:hAnsi="Courier New" w:hint="default"/>
      </w:rPr>
    </w:lvl>
    <w:lvl w:ilvl="5" w:tplc="EDEE43B0" w:tentative="1">
      <w:start w:val="1"/>
      <w:numFmt w:val="bullet"/>
      <w:lvlText w:val=""/>
      <w:lvlJc w:val="left"/>
      <w:pPr>
        <w:ind w:left="4320" w:hanging="360"/>
      </w:pPr>
      <w:rPr>
        <w:rFonts w:ascii="Wingdings" w:hAnsi="Wingdings" w:hint="default"/>
      </w:rPr>
    </w:lvl>
    <w:lvl w:ilvl="6" w:tplc="2ADE1172" w:tentative="1">
      <w:start w:val="1"/>
      <w:numFmt w:val="bullet"/>
      <w:lvlText w:val=""/>
      <w:lvlJc w:val="left"/>
      <w:pPr>
        <w:ind w:left="5040" w:hanging="360"/>
      </w:pPr>
      <w:rPr>
        <w:rFonts w:ascii="Symbol" w:hAnsi="Symbol" w:hint="default"/>
      </w:rPr>
    </w:lvl>
    <w:lvl w:ilvl="7" w:tplc="865E667E" w:tentative="1">
      <w:start w:val="1"/>
      <w:numFmt w:val="bullet"/>
      <w:lvlText w:val="o"/>
      <w:lvlJc w:val="left"/>
      <w:pPr>
        <w:ind w:left="5760" w:hanging="360"/>
      </w:pPr>
      <w:rPr>
        <w:rFonts w:ascii="Courier New" w:hAnsi="Courier New" w:hint="default"/>
      </w:rPr>
    </w:lvl>
    <w:lvl w:ilvl="8" w:tplc="5E80DB10" w:tentative="1">
      <w:start w:val="1"/>
      <w:numFmt w:val="bullet"/>
      <w:lvlText w:val=""/>
      <w:lvlJc w:val="left"/>
      <w:pPr>
        <w:ind w:left="6480" w:hanging="360"/>
      </w:pPr>
      <w:rPr>
        <w:rFonts w:ascii="Wingdings" w:hAnsi="Wingdings" w:hint="default"/>
      </w:rPr>
    </w:lvl>
  </w:abstractNum>
  <w:abstractNum w:abstractNumId="30">
    <w:nsid w:val="53150C89"/>
    <w:multiLevelType w:val="multilevel"/>
    <w:tmpl w:val="647419AC"/>
    <w:lvl w:ilvl="0">
      <w:start w:val="1"/>
      <w:numFmt w:val="upperRoman"/>
      <w:lvlText w:val="%1."/>
      <w:lvlJc w:val="left"/>
      <w:rPr>
        <w:rFonts w:cs="Times New Roman"/>
      </w:rPr>
    </w:lvl>
    <w:lvl w:ilvl="1">
      <w:start w:val="1"/>
      <w:numFmt w:val="upperLetter"/>
      <w:lvlText w:val="%2."/>
      <w:lvlJc w:val="left"/>
      <w:pPr>
        <w:ind w:left="578"/>
      </w:pPr>
      <w:rPr>
        <w:rFonts w:cs="Times New Roman"/>
      </w:rPr>
    </w:lvl>
    <w:lvl w:ilvl="2">
      <w:start w:val="1"/>
      <w:numFmt w:val="decimal"/>
      <w:lvlText w:val="%3."/>
      <w:lvlJc w:val="left"/>
      <w:pPr>
        <w:ind w:left="1298"/>
      </w:pPr>
      <w:rPr>
        <w:rFonts w:cs="Times New Roman"/>
      </w:rPr>
    </w:lvl>
    <w:lvl w:ilvl="3">
      <w:start w:val="1"/>
      <w:numFmt w:val="lowerLetter"/>
      <w:lvlText w:val="%4)"/>
      <w:lvlJc w:val="left"/>
      <w:pPr>
        <w:ind w:left="2018"/>
      </w:pPr>
      <w:rPr>
        <w:rFonts w:cs="Times New Roman"/>
      </w:rPr>
    </w:lvl>
    <w:lvl w:ilvl="4">
      <w:start w:val="1"/>
      <w:numFmt w:val="decimal"/>
      <w:lvlText w:val="(%5)"/>
      <w:lvlJc w:val="left"/>
      <w:pPr>
        <w:ind w:left="2738"/>
      </w:pPr>
      <w:rPr>
        <w:rFonts w:cs="Times New Roman"/>
      </w:rPr>
    </w:lvl>
    <w:lvl w:ilvl="5">
      <w:start w:val="1"/>
      <w:numFmt w:val="lowerLetter"/>
      <w:lvlText w:val="(%6)"/>
      <w:lvlJc w:val="left"/>
      <w:pPr>
        <w:ind w:left="3458"/>
      </w:pPr>
      <w:rPr>
        <w:rFonts w:cs="Times New Roman"/>
      </w:rPr>
    </w:lvl>
    <w:lvl w:ilvl="6">
      <w:start w:val="1"/>
      <w:numFmt w:val="lowerRoman"/>
      <w:lvlText w:val="(%7)"/>
      <w:lvlJc w:val="left"/>
      <w:pPr>
        <w:ind w:left="4178"/>
      </w:pPr>
      <w:rPr>
        <w:rFonts w:cs="Times New Roman"/>
      </w:rPr>
    </w:lvl>
    <w:lvl w:ilvl="7">
      <w:start w:val="1"/>
      <w:numFmt w:val="lowerLetter"/>
      <w:lvlText w:val="(%8)"/>
      <w:lvlJc w:val="left"/>
      <w:pPr>
        <w:ind w:left="4898"/>
      </w:pPr>
      <w:rPr>
        <w:rFonts w:cs="Times New Roman"/>
      </w:rPr>
    </w:lvl>
    <w:lvl w:ilvl="8">
      <w:start w:val="1"/>
      <w:numFmt w:val="lowerRoman"/>
      <w:lvlText w:val="(%9)"/>
      <w:lvlJc w:val="left"/>
      <w:pPr>
        <w:ind w:left="5618"/>
      </w:pPr>
      <w:rPr>
        <w:rFonts w:cs="Times New Roman"/>
      </w:rPr>
    </w:lvl>
  </w:abstractNum>
  <w:abstractNum w:abstractNumId="31">
    <w:nsid w:val="551F60F4"/>
    <w:multiLevelType w:val="hybridMultilevel"/>
    <w:tmpl w:val="7BE0B7B8"/>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32">
    <w:nsid w:val="56496C0C"/>
    <w:multiLevelType w:val="hybridMultilevel"/>
    <w:tmpl w:val="FA0649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575B7D2F"/>
    <w:multiLevelType w:val="hybridMultilevel"/>
    <w:tmpl w:val="7BE0B7B8"/>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34">
    <w:nsid w:val="5801671D"/>
    <w:multiLevelType w:val="multilevel"/>
    <w:tmpl w:val="23B07024"/>
    <w:lvl w:ilvl="0">
      <w:start w:val="1"/>
      <w:numFmt w:val="decimal"/>
      <w:lvlText w:val="%1"/>
      <w:lvlJc w:val="left"/>
      <w:pPr>
        <w:ind w:left="432" w:hanging="432"/>
      </w:pPr>
    </w:lvl>
    <w:lvl w:ilvl="1">
      <w:start w:val="1"/>
      <w:numFmt w:val="decimal"/>
      <w:lvlText w:val="%1.%2"/>
      <w:lvlJc w:val="left"/>
      <w:pPr>
        <w:ind w:left="2561"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nsid w:val="59381138"/>
    <w:multiLevelType w:val="hybridMultilevel"/>
    <w:tmpl w:val="7BE0B7B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nsid w:val="59CF2DAC"/>
    <w:multiLevelType w:val="hybridMultilevel"/>
    <w:tmpl w:val="B73AACD4"/>
    <w:lvl w:ilvl="0" w:tplc="081670E0">
      <w:start w:val="1"/>
      <w:numFmt w:val="bullet"/>
      <w:pStyle w:val="Bulletswithsinglespacingfont11"/>
      <w:lvlText w:val=""/>
      <w:lvlJc w:val="left"/>
      <w:pPr>
        <w:ind w:left="360" w:hanging="360"/>
      </w:pPr>
      <w:rPr>
        <w:rFonts w:ascii="Symbol" w:hAnsi="Symbol" w:hint="default"/>
        <w:color w:val="4F81B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03D49BB"/>
    <w:multiLevelType w:val="hybridMultilevel"/>
    <w:tmpl w:val="923A3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61B6F58"/>
    <w:multiLevelType w:val="multilevel"/>
    <w:tmpl w:val="5F4EB140"/>
    <w:lvl w:ilvl="0">
      <w:start w:val="1"/>
      <w:numFmt w:val="upperLetter"/>
      <w:pStyle w:val="HeadingAP1"/>
      <w:lvlText w:val="Appendix %1"/>
      <w:lvlJc w:val="left"/>
      <w:pPr>
        <w:tabs>
          <w:tab w:val="num" w:pos="1797"/>
        </w:tabs>
        <w:ind w:left="1797" w:hanging="1797"/>
      </w:pPr>
      <w:rPr>
        <w:rFonts w:hint="default"/>
      </w:rPr>
    </w:lvl>
    <w:lvl w:ilvl="1">
      <w:start w:val="1"/>
      <w:numFmt w:val="decimal"/>
      <w:pStyle w:val="HeadingAP2"/>
      <w:lvlText w:val="%1.%2"/>
      <w:lvlJc w:val="left"/>
      <w:pPr>
        <w:tabs>
          <w:tab w:val="num" w:pos="1009"/>
        </w:tabs>
        <w:ind w:left="1009" w:hanging="1009"/>
      </w:pPr>
      <w:rPr>
        <w:rFonts w:hint="default"/>
      </w:rPr>
    </w:lvl>
    <w:lvl w:ilvl="2">
      <w:start w:val="1"/>
      <w:numFmt w:val="decimal"/>
      <w:pStyle w:val="HeadingAP3"/>
      <w:lvlText w:val="%1.%2.%3"/>
      <w:lvlJc w:val="left"/>
      <w:pPr>
        <w:tabs>
          <w:tab w:val="num" w:pos="1009"/>
        </w:tabs>
        <w:ind w:left="1009" w:hanging="1009"/>
      </w:pPr>
      <w:rPr>
        <w:rFonts w:hint="default"/>
      </w:rPr>
    </w:lvl>
    <w:lvl w:ilvl="3">
      <w:start w:val="1"/>
      <w:numFmt w:val="none"/>
      <w:pStyle w:val="HeadingAP4"/>
      <w:suff w:val="nothing"/>
      <w:lvlText w:val=""/>
      <w:lvlJc w:val="left"/>
      <w:pPr>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9">
    <w:nsid w:val="68205693"/>
    <w:multiLevelType w:val="hybridMultilevel"/>
    <w:tmpl w:val="86A041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6F5A1011"/>
    <w:multiLevelType w:val="multilevel"/>
    <w:tmpl w:val="4A6A241A"/>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360" w:hanging="360"/>
      </w:pPr>
      <w:rPr>
        <w:rFonts w:hint="default"/>
      </w:rPr>
    </w:lvl>
    <w:lvl w:ilvl="2">
      <w:start w:val="1"/>
      <w:numFmt w:val="decimal"/>
      <w:isLgl/>
      <w:lvlText w:val="%1.%2.%3"/>
      <w:lvlJc w:val="left"/>
      <w:pPr>
        <w:ind w:left="4613" w:hanging="720"/>
      </w:pPr>
      <w:rPr>
        <w:rFonts w:hint="default"/>
      </w:rPr>
    </w:lvl>
    <w:lvl w:ilvl="3">
      <w:start w:val="1"/>
      <w:numFmt w:val="decimal"/>
      <w:pStyle w:val="Heading4"/>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nsid w:val="74CC7A89"/>
    <w:multiLevelType w:val="hybridMultilevel"/>
    <w:tmpl w:val="F91C600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B182796"/>
    <w:multiLevelType w:val="multilevel"/>
    <w:tmpl w:val="376A52EA"/>
    <w:lvl w:ilvl="0">
      <w:start w:val="1"/>
      <w:numFmt w:val="decimal"/>
      <w:pStyle w:val="CONLevel1"/>
      <w:lvlText w:val="%1."/>
      <w:lvlJc w:val="left"/>
      <w:pPr>
        <w:tabs>
          <w:tab w:val="num" w:pos="720"/>
        </w:tabs>
        <w:ind w:left="720" w:hanging="720"/>
      </w:pPr>
      <w:rPr>
        <w:rFonts w:ascii="Garamond" w:hAnsi="Garamond" w:cs="Times New Roman" w:hint="default"/>
        <w:b w:val="0"/>
        <w:i w:val="0"/>
        <w:sz w:val="20"/>
        <w:szCs w:val="20"/>
      </w:rPr>
    </w:lvl>
    <w:lvl w:ilvl="1">
      <w:start w:val="1"/>
      <w:numFmt w:val="decimal"/>
      <w:pStyle w:val="CONLevel11Char"/>
      <w:lvlText w:val="%1.%2"/>
      <w:lvlJc w:val="left"/>
      <w:pPr>
        <w:tabs>
          <w:tab w:val="num" w:pos="1246"/>
        </w:tabs>
        <w:ind w:left="1246" w:hanging="706"/>
      </w:pPr>
      <w:rPr>
        <w:rFonts w:ascii="Garamond" w:hAnsi="Garamond" w:cs="Times New Roman" w:hint="default"/>
        <w:b w:val="0"/>
        <w:i w:val="0"/>
        <w:sz w:val="20"/>
        <w:szCs w:val="20"/>
      </w:rPr>
    </w:lvl>
    <w:lvl w:ilvl="2">
      <w:start w:val="1"/>
      <w:numFmt w:val="lowerLetter"/>
      <w:pStyle w:val="CONLevelaChar"/>
      <w:lvlText w:val="(%3)"/>
      <w:lvlJc w:val="left"/>
      <w:pPr>
        <w:tabs>
          <w:tab w:val="num" w:pos="1260"/>
        </w:tabs>
        <w:ind w:left="1260" w:hanging="720"/>
      </w:pPr>
      <w:rPr>
        <w:rFonts w:ascii="Garamond" w:hAnsi="Garamond" w:cs="Times New Roman" w:hint="default"/>
        <w:b w:val="0"/>
        <w:i w:val="0"/>
        <w:color w:val="auto"/>
        <w:sz w:val="20"/>
        <w:szCs w:val="20"/>
      </w:rPr>
    </w:lvl>
    <w:lvl w:ilvl="3">
      <w:start w:val="1"/>
      <w:numFmt w:val="lowerRoman"/>
      <w:pStyle w:val="CONLeveli"/>
      <w:lvlText w:val="(%4)"/>
      <w:lvlJc w:val="left"/>
      <w:pPr>
        <w:tabs>
          <w:tab w:val="num" w:pos="2160"/>
        </w:tabs>
        <w:ind w:left="2160" w:hanging="720"/>
      </w:pPr>
      <w:rPr>
        <w:rFonts w:ascii="Garamond" w:hAnsi="Garamond" w:cs="Times New Roman" w:hint="default"/>
        <w:b w:val="0"/>
        <w:i w:val="0"/>
        <w:sz w:val="20"/>
        <w:szCs w:val="20"/>
      </w:rPr>
    </w:lvl>
    <w:lvl w:ilvl="4">
      <w:start w:val="1"/>
      <w:numFmt w:val="upperLetter"/>
      <w:pStyle w:val="CONLevelA"/>
      <w:lvlText w:val="(%5)"/>
      <w:lvlJc w:val="left"/>
      <w:pPr>
        <w:tabs>
          <w:tab w:val="num" w:pos="2880"/>
        </w:tabs>
        <w:ind w:left="2880" w:hanging="720"/>
      </w:pPr>
      <w:rPr>
        <w:rFonts w:ascii="Times New Roman" w:hAnsi="Times New Roman" w:cs="Times New Roman" w:hint="default"/>
        <w:b w:val="0"/>
        <w:i w:val="0"/>
        <w:sz w:val="24"/>
      </w:rPr>
    </w:lvl>
    <w:lvl w:ilvl="5">
      <w:start w:val="1"/>
      <w:numFmt w:val="upperRoman"/>
      <w:pStyle w:val="CONLevelI0"/>
      <w:lvlText w:val="(%6)"/>
      <w:lvlJc w:val="left"/>
      <w:pPr>
        <w:tabs>
          <w:tab w:val="num" w:pos="3600"/>
        </w:tabs>
        <w:ind w:left="3600" w:hanging="720"/>
      </w:pPr>
      <w:rPr>
        <w:rFonts w:ascii="Times New Roman" w:hAnsi="Times New Roman" w:cs="Times New Roman" w:hint="default"/>
        <w:b w:val="0"/>
        <w:i w:val="0"/>
        <w:sz w:val="24"/>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43">
    <w:nsid w:val="7BE95C27"/>
    <w:multiLevelType w:val="hybridMultilevel"/>
    <w:tmpl w:val="06FC37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11"/>
  </w:num>
  <w:num w:numId="3">
    <w:abstractNumId w:val="34"/>
  </w:num>
  <w:num w:numId="4">
    <w:abstractNumId w:val="38"/>
  </w:num>
  <w:num w:numId="5">
    <w:abstractNumId w:val="36"/>
  </w:num>
  <w:num w:numId="6">
    <w:abstractNumId w:val="37"/>
  </w:num>
  <w:num w:numId="7">
    <w:abstractNumId w:val="40"/>
  </w:num>
  <w:num w:numId="8">
    <w:abstractNumId w:val="5"/>
  </w:num>
  <w:num w:numId="9">
    <w:abstractNumId w:val="32"/>
  </w:num>
  <w:num w:numId="10">
    <w:abstractNumId w:val="42"/>
  </w:num>
  <w:num w:numId="11">
    <w:abstractNumId w:val="2"/>
  </w:num>
  <w:num w:numId="12">
    <w:abstractNumId w:val="39"/>
  </w:num>
  <w:num w:numId="13">
    <w:abstractNumId w:val="24"/>
  </w:num>
  <w:num w:numId="14">
    <w:abstractNumId w:val="2"/>
    <w:lvlOverride w:ilvl="0">
      <w:startOverride w:val="1"/>
    </w:lvlOverride>
  </w:num>
  <w:num w:numId="15">
    <w:abstractNumId w:val="30"/>
  </w:num>
  <w:num w:numId="16">
    <w:abstractNumId w:val="16"/>
  </w:num>
  <w:num w:numId="17">
    <w:abstractNumId w:val="26"/>
  </w:num>
  <w:num w:numId="18">
    <w:abstractNumId w:val="27"/>
  </w:num>
  <w:num w:numId="19">
    <w:abstractNumId w:val="29"/>
  </w:num>
  <w:num w:numId="20">
    <w:abstractNumId w:val="14"/>
  </w:num>
  <w:num w:numId="21">
    <w:abstractNumId w:val="28"/>
  </w:num>
  <w:num w:numId="22">
    <w:abstractNumId w:val="15"/>
  </w:num>
  <w:num w:numId="23">
    <w:abstractNumId w:val="25"/>
  </w:num>
  <w:num w:numId="24">
    <w:abstractNumId w:val="18"/>
  </w:num>
  <w:num w:numId="25">
    <w:abstractNumId w:val="23"/>
  </w:num>
  <w:num w:numId="26">
    <w:abstractNumId w:val="12"/>
  </w:num>
  <w:num w:numId="27">
    <w:abstractNumId w:val="21"/>
  </w:num>
  <w:num w:numId="28">
    <w:abstractNumId w:val="22"/>
  </w:num>
  <w:num w:numId="29">
    <w:abstractNumId w:val="0"/>
  </w:num>
  <w:num w:numId="30">
    <w:abstractNumId w:val="10"/>
  </w:num>
  <w:num w:numId="31">
    <w:abstractNumId w:val="1"/>
  </w:num>
  <w:num w:numId="32">
    <w:abstractNumId w:val="24"/>
  </w:num>
  <w:num w:numId="33">
    <w:abstractNumId w:val="4"/>
  </w:num>
  <w:num w:numId="34">
    <w:abstractNumId w:val="35"/>
  </w:num>
  <w:num w:numId="35">
    <w:abstractNumId w:val="19"/>
  </w:num>
  <w:num w:numId="36">
    <w:abstractNumId w:val="6"/>
  </w:num>
  <w:num w:numId="37">
    <w:abstractNumId w:val="8"/>
  </w:num>
  <w:num w:numId="38">
    <w:abstractNumId w:val="33"/>
  </w:num>
  <w:num w:numId="39">
    <w:abstractNumId w:val="31"/>
  </w:num>
  <w:num w:numId="40">
    <w:abstractNumId w:val="43"/>
  </w:num>
  <w:num w:numId="41">
    <w:abstractNumId w:val="17"/>
  </w:num>
  <w:num w:numId="42">
    <w:abstractNumId w:val="9"/>
  </w:num>
  <w:num w:numId="43">
    <w:abstractNumId w:val="20"/>
  </w:num>
  <w:num w:numId="44">
    <w:abstractNumId w:val="7"/>
  </w:num>
  <w:num w:numId="45">
    <w:abstractNumId w:val="7"/>
  </w:num>
  <w:num w:numId="46">
    <w:abstractNumId w:val="7"/>
    <w:lvlOverride w:ilvl="0">
      <w:startOverride w:val="1"/>
    </w:lvlOverride>
  </w:num>
  <w:num w:numId="47">
    <w:abstractNumId w:val="13"/>
  </w:num>
  <w:num w:numId="48">
    <w:abstractNumId w:val="4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mirrorMargin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12289">
      <o:colormru v:ext="edit" colors="#002a6c"/>
    </o:shapedefaults>
  </w:hdrShapeDefaults>
  <w:footnotePr>
    <w:numRestart w:val="eachSect"/>
    <w:footnote w:id="-1"/>
    <w:footnote w:id="0"/>
  </w:footnotePr>
  <w:endnotePr>
    <w:pos w:val="sectEnd"/>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1EC"/>
    <w:rsid w:val="000000F1"/>
    <w:rsid w:val="000008BB"/>
    <w:rsid w:val="000010AE"/>
    <w:rsid w:val="00001FC8"/>
    <w:rsid w:val="0000225C"/>
    <w:rsid w:val="00002483"/>
    <w:rsid w:val="00002711"/>
    <w:rsid w:val="00003054"/>
    <w:rsid w:val="000031F4"/>
    <w:rsid w:val="0000341B"/>
    <w:rsid w:val="0000381A"/>
    <w:rsid w:val="00003A03"/>
    <w:rsid w:val="000043F8"/>
    <w:rsid w:val="0000468E"/>
    <w:rsid w:val="000046CB"/>
    <w:rsid w:val="00004DA6"/>
    <w:rsid w:val="000055C5"/>
    <w:rsid w:val="0000598F"/>
    <w:rsid w:val="00006767"/>
    <w:rsid w:val="00006A00"/>
    <w:rsid w:val="00007205"/>
    <w:rsid w:val="0000724A"/>
    <w:rsid w:val="000077C2"/>
    <w:rsid w:val="00007C60"/>
    <w:rsid w:val="00007D98"/>
    <w:rsid w:val="00007DC4"/>
    <w:rsid w:val="000100E5"/>
    <w:rsid w:val="000101D5"/>
    <w:rsid w:val="00010BDB"/>
    <w:rsid w:val="000112A4"/>
    <w:rsid w:val="00011BED"/>
    <w:rsid w:val="00012B91"/>
    <w:rsid w:val="00012F8C"/>
    <w:rsid w:val="000130E5"/>
    <w:rsid w:val="00013854"/>
    <w:rsid w:val="00013AFB"/>
    <w:rsid w:val="00013F55"/>
    <w:rsid w:val="000140F0"/>
    <w:rsid w:val="0001433B"/>
    <w:rsid w:val="00014934"/>
    <w:rsid w:val="00014ADC"/>
    <w:rsid w:val="00014BF2"/>
    <w:rsid w:val="00015960"/>
    <w:rsid w:val="00015D9D"/>
    <w:rsid w:val="00016036"/>
    <w:rsid w:val="000161BD"/>
    <w:rsid w:val="00016411"/>
    <w:rsid w:val="00016AF7"/>
    <w:rsid w:val="00017338"/>
    <w:rsid w:val="000173E2"/>
    <w:rsid w:val="00017ABE"/>
    <w:rsid w:val="00017B83"/>
    <w:rsid w:val="00017C53"/>
    <w:rsid w:val="00017E4C"/>
    <w:rsid w:val="00020016"/>
    <w:rsid w:val="00020466"/>
    <w:rsid w:val="00020F04"/>
    <w:rsid w:val="000215DE"/>
    <w:rsid w:val="00021604"/>
    <w:rsid w:val="00021816"/>
    <w:rsid w:val="000223DA"/>
    <w:rsid w:val="000228FE"/>
    <w:rsid w:val="00022909"/>
    <w:rsid w:val="000229C1"/>
    <w:rsid w:val="00022A4B"/>
    <w:rsid w:val="0002366B"/>
    <w:rsid w:val="000237CF"/>
    <w:rsid w:val="000237E1"/>
    <w:rsid w:val="00023870"/>
    <w:rsid w:val="00023B70"/>
    <w:rsid w:val="0002409D"/>
    <w:rsid w:val="00024537"/>
    <w:rsid w:val="00024B7F"/>
    <w:rsid w:val="00024D05"/>
    <w:rsid w:val="00024E2C"/>
    <w:rsid w:val="000250D1"/>
    <w:rsid w:val="00026177"/>
    <w:rsid w:val="000265E4"/>
    <w:rsid w:val="0002678A"/>
    <w:rsid w:val="00026A4A"/>
    <w:rsid w:val="00027037"/>
    <w:rsid w:val="000277D4"/>
    <w:rsid w:val="000278D8"/>
    <w:rsid w:val="00027CC2"/>
    <w:rsid w:val="00031571"/>
    <w:rsid w:val="00031A5C"/>
    <w:rsid w:val="00031F69"/>
    <w:rsid w:val="000327A7"/>
    <w:rsid w:val="000328A3"/>
    <w:rsid w:val="00034032"/>
    <w:rsid w:val="0003457B"/>
    <w:rsid w:val="0003469D"/>
    <w:rsid w:val="000349C9"/>
    <w:rsid w:val="00034CD8"/>
    <w:rsid w:val="00035A6D"/>
    <w:rsid w:val="00035AAE"/>
    <w:rsid w:val="00036068"/>
    <w:rsid w:val="00036454"/>
    <w:rsid w:val="00036C8A"/>
    <w:rsid w:val="00036C95"/>
    <w:rsid w:val="000379EF"/>
    <w:rsid w:val="000400C4"/>
    <w:rsid w:val="0004042D"/>
    <w:rsid w:val="00040729"/>
    <w:rsid w:val="000408C5"/>
    <w:rsid w:val="0004092E"/>
    <w:rsid w:val="000409EE"/>
    <w:rsid w:val="00040AD1"/>
    <w:rsid w:val="00040D5A"/>
    <w:rsid w:val="000411B3"/>
    <w:rsid w:val="0004176F"/>
    <w:rsid w:val="0004193B"/>
    <w:rsid w:val="0004392A"/>
    <w:rsid w:val="0004426C"/>
    <w:rsid w:val="000444B9"/>
    <w:rsid w:val="00044826"/>
    <w:rsid w:val="000454EF"/>
    <w:rsid w:val="0004592B"/>
    <w:rsid w:val="00045BD1"/>
    <w:rsid w:val="00045CAA"/>
    <w:rsid w:val="000461A4"/>
    <w:rsid w:val="000462A2"/>
    <w:rsid w:val="000464CC"/>
    <w:rsid w:val="000465B4"/>
    <w:rsid w:val="00046E85"/>
    <w:rsid w:val="00047863"/>
    <w:rsid w:val="00047B50"/>
    <w:rsid w:val="00050760"/>
    <w:rsid w:val="00050EC5"/>
    <w:rsid w:val="00051341"/>
    <w:rsid w:val="000515B0"/>
    <w:rsid w:val="00051ABF"/>
    <w:rsid w:val="00051B87"/>
    <w:rsid w:val="00052080"/>
    <w:rsid w:val="000525F0"/>
    <w:rsid w:val="000527D1"/>
    <w:rsid w:val="00052C10"/>
    <w:rsid w:val="0005382C"/>
    <w:rsid w:val="00054597"/>
    <w:rsid w:val="000545C9"/>
    <w:rsid w:val="00054F3B"/>
    <w:rsid w:val="00055139"/>
    <w:rsid w:val="00055FDA"/>
    <w:rsid w:val="000561F6"/>
    <w:rsid w:val="0005654B"/>
    <w:rsid w:val="0005658E"/>
    <w:rsid w:val="00056676"/>
    <w:rsid w:val="00056838"/>
    <w:rsid w:val="00056D06"/>
    <w:rsid w:val="00056ECF"/>
    <w:rsid w:val="00057323"/>
    <w:rsid w:val="00057A0D"/>
    <w:rsid w:val="000602E0"/>
    <w:rsid w:val="00060613"/>
    <w:rsid w:val="0006071E"/>
    <w:rsid w:val="00060C49"/>
    <w:rsid w:val="000611AA"/>
    <w:rsid w:val="00061FFA"/>
    <w:rsid w:val="00062459"/>
    <w:rsid w:val="0006283F"/>
    <w:rsid w:val="00062FA4"/>
    <w:rsid w:val="00063360"/>
    <w:rsid w:val="0006354D"/>
    <w:rsid w:val="00063661"/>
    <w:rsid w:val="00063680"/>
    <w:rsid w:val="000636AB"/>
    <w:rsid w:val="00063738"/>
    <w:rsid w:val="000638CB"/>
    <w:rsid w:val="00063E90"/>
    <w:rsid w:val="00063EA7"/>
    <w:rsid w:val="00064D87"/>
    <w:rsid w:val="00065CFF"/>
    <w:rsid w:val="000665C5"/>
    <w:rsid w:val="0006695C"/>
    <w:rsid w:val="0006697D"/>
    <w:rsid w:val="00066A72"/>
    <w:rsid w:val="00066B86"/>
    <w:rsid w:val="00066E98"/>
    <w:rsid w:val="0006766D"/>
    <w:rsid w:val="00067CDC"/>
    <w:rsid w:val="0007052D"/>
    <w:rsid w:val="0007080F"/>
    <w:rsid w:val="00070D2F"/>
    <w:rsid w:val="00071679"/>
    <w:rsid w:val="0007229A"/>
    <w:rsid w:val="00072891"/>
    <w:rsid w:val="00072C5B"/>
    <w:rsid w:val="00073A4F"/>
    <w:rsid w:val="000748F7"/>
    <w:rsid w:val="00074C2B"/>
    <w:rsid w:val="00074CB8"/>
    <w:rsid w:val="000753B2"/>
    <w:rsid w:val="000754A0"/>
    <w:rsid w:val="00075611"/>
    <w:rsid w:val="00075909"/>
    <w:rsid w:val="00075A95"/>
    <w:rsid w:val="00075A99"/>
    <w:rsid w:val="00075B43"/>
    <w:rsid w:val="0007684D"/>
    <w:rsid w:val="0007692A"/>
    <w:rsid w:val="00076DB9"/>
    <w:rsid w:val="00077214"/>
    <w:rsid w:val="00077540"/>
    <w:rsid w:val="0007764E"/>
    <w:rsid w:val="00077F78"/>
    <w:rsid w:val="0008055A"/>
    <w:rsid w:val="00080B2A"/>
    <w:rsid w:val="00080D96"/>
    <w:rsid w:val="00080FD1"/>
    <w:rsid w:val="000812D5"/>
    <w:rsid w:val="00081328"/>
    <w:rsid w:val="000817ED"/>
    <w:rsid w:val="00082023"/>
    <w:rsid w:val="00082AB6"/>
    <w:rsid w:val="000835DC"/>
    <w:rsid w:val="0008398E"/>
    <w:rsid w:val="00083E33"/>
    <w:rsid w:val="00084141"/>
    <w:rsid w:val="00085492"/>
    <w:rsid w:val="00085679"/>
    <w:rsid w:val="00085BF7"/>
    <w:rsid w:val="00085CCE"/>
    <w:rsid w:val="00085F1D"/>
    <w:rsid w:val="0008610F"/>
    <w:rsid w:val="00086299"/>
    <w:rsid w:val="000865B0"/>
    <w:rsid w:val="00086FB9"/>
    <w:rsid w:val="00087248"/>
    <w:rsid w:val="00087893"/>
    <w:rsid w:val="00087A7B"/>
    <w:rsid w:val="00087CE9"/>
    <w:rsid w:val="00087DAF"/>
    <w:rsid w:val="00090A2C"/>
    <w:rsid w:val="00090E6A"/>
    <w:rsid w:val="00091022"/>
    <w:rsid w:val="00091630"/>
    <w:rsid w:val="000918A9"/>
    <w:rsid w:val="00091AF8"/>
    <w:rsid w:val="000928BF"/>
    <w:rsid w:val="00092B3A"/>
    <w:rsid w:val="00093450"/>
    <w:rsid w:val="000934F0"/>
    <w:rsid w:val="00094221"/>
    <w:rsid w:val="0009422C"/>
    <w:rsid w:val="0009484F"/>
    <w:rsid w:val="00095169"/>
    <w:rsid w:val="0009533E"/>
    <w:rsid w:val="000954C8"/>
    <w:rsid w:val="000960F4"/>
    <w:rsid w:val="0009620D"/>
    <w:rsid w:val="00096552"/>
    <w:rsid w:val="00096C3C"/>
    <w:rsid w:val="0009767F"/>
    <w:rsid w:val="000A0385"/>
    <w:rsid w:val="000A0A09"/>
    <w:rsid w:val="000A0C77"/>
    <w:rsid w:val="000A0CF8"/>
    <w:rsid w:val="000A0EC1"/>
    <w:rsid w:val="000A1140"/>
    <w:rsid w:val="000A11D8"/>
    <w:rsid w:val="000A1A9F"/>
    <w:rsid w:val="000A1CFE"/>
    <w:rsid w:val="000A2167"/>
    <w:rsid w:val="000A2986"/>
    <w:rsid w:val="000A2AEA"/>
    <w:rsid w:val="000A3AF2"/>
    <w:rsid w:val="000A3E5E"/>
    <w:rsid w:val="000A4055"/>
    <w:rsid w:val="000A48A3"/>
    <w:rsid w:val="000A4F06"/>
    <w:rsid w:val="000A5672"/>
    <w:rsid w:val="000A570D"/>
    <w:rsid w:val="000A6160"/>
    <w:rsid w:val="000A7185"/>
    <w:rsid w:val="000A791D"/>
    <w:rsid w:val="000A7E89"/>
    <w:rsid w:val="000B0125"/>
    <w:rsid w:val="000B01BF"/>
    <w:rsid w:val="000B0473"/>
    <w:rsid w:val="000B06C9"/>
    <w:rsid w:val="000B0B8C"/>
    <w:rsid w:val="000B0D37"/>
    <w:rsid w:val="000B0EE0"/>
    <w:rsid w:val="000B1139"/>
    <w:rsid w:val="000B16A3"/>
    <w:rsid w:val="000B1AC6"/>
    <w:rsid w:val="000B283B"/>
    <w:rsid w:val="000B2A26"/>
    <w:rsid w:val="000B2E32"/>
    <w:rsid w:val="000B401C"/>
    <w:rsid w:val="000B495D"/>
    <w:rsid w:val="000B4A98"/>
    <w:rsid w:val="000B51C2"/>
    <w:rsid w:val="000B523C"/>
    <w:rsid w:val="000B54A2"/>
    <w:rsid w:val="000B594A"/>
    <w:rsid w:val="000B5B31"/>
    <w:rsid w:val="000B5ED4"/>
    <w:rsid w:val="000B67A3"/>
    <w:rsid w:val="000B752B"/>
    <w:rsid w:val="000B783B"/>
    <w:rsid w:val="000B7B10"/>
    <w:rsid w:val="000C0770"/>
    <w:rsid w:val="000C08CE"/>
    <w:rsid w:val="000C0E0C"/>
    <w:rsid w:val="000C119D"/>
    <w:rsid w:val="000C14FF"/>
    <w:rsid w:val="000C1A10"/>
    <w:rsid w:val="000C1F50"/>
    <w:rsid w:val="000C1FBE"/>
    <w:rsid w:val="000C2323"/>
    <w:rsid w:val="000C261C"/>
    <w:rsid w:val="000C2761"/>
    <w:rsid w:val="000C2A3D"/>
    <w:rsid w:val="000C34EB"/>
    <w:rsid w:val="000C37F6"/>
    <w:rsid w:val="000C3831"/>
    <w:rsid w:val="000C3A22"/>
    <w:rsid w:val="000C3B2E"/>
    <w:rsid w:val="000C4006"/>
    <w:rsid w:val="000C45E4"/>
    <w:rsid w:val="000C4799"/>
    <w:rsid w:val="000C4BC9"/>
    <w:rsid w:val="000C4DCC"/>
    <w:rsid w:val="000C4E91"/>
    <w:rsid w:val="000C50AC"/>
    <w:rsid w:val="000C5B0F"/>
    <w:rsid w:val="000C5F77"/>
    <w:rsid w:val="000C79DB"/>
    <w:rsid w:val="000D0283"/>
    <w:rsid w:val="000D1211"/>
    <w:rsid w:val="000D12AD"/>
    <w:rsid w:val="000D141E"/>
    <w:rsid w:val="000D1591"/>
    <w:rsid w:val="000D18A1"/>
    <w:rsid w:val="000D18B6"/>
    <w:rsid w:val="000D1918"/>
    <w:rsid w:val="000D2534"/>
    <w:rsid w:val="000D29AF"/>
    <w:rsid w:val="000D2B06"/>
    <w:rsid w:val="000D361C"/>
    <w:rsid w:val="000D3A26"/>
    <w:rsid w:val="000D4284"/>
    <w:rsid w:val="000D464C"/>
    <w:rsid w:val="000D4771"/>
    <w:rsid w:val="000D4826"/>
    <w:rsid w:val="000D55BB"/>
    <w:rsid w:val="000D5B1C"/>
    <w:rsid w:val="000D5E04"/>
    <w:rsid w:val="000D5E91"/>
    <w:rsid w:val="000D5F0E"/>
    <w:rsid w:val="000D6019"/>
    <w:rsid w:val="000D67CD"/>
    <w:rsid w:val="000D6813"/>
    <w:rsid w:val="000D7119"/>
    <w:rsid w:val="000D7195"/>
    <w:rsid w:val="000D748B"/>
    <w:rsid w:val="000D7FB7"/>
    <w:rsid w:val="000E0338"/>
    <w:rsid w:val="000E0770"/>
    <w:rsid w:val="000E1A37"/>
    <w:rsid w:val="000E227D"/>
    <w:rsid w:val="000E26AA"/>
    <w:rsid w:val="000E2FAF"/>
    <w:rsid w:val="000E3819"/>
    <w:rsid w:val="000E399E"/>
    <w:rsid w:val="000E3A49"/>
    <w:rsid w:val="000E3B34"/>
    <w:rsid w:val="000E3E4F"/>
    <w:rsid w:val="000E42A7"/>
    <w:rsid w:val="000E458E"/>
    <w:rsid w:val="000E54F7"/>
    <w:rsid w:val="000E5769"/>
    <w:rsid w:val="000E5EAF"/>
    <w:rsid w:val="000E669E"/>
    <w:rsid w:val="000E66F7"/>
    <w:rsid w:val="000E6C4E"/>
    <w:rsid w:val="000E6F9C"/>
    <w:rsid w:val="000E7727"/>
    <w:rsid w:val="000F053D"/>
    <w:rsid w:val="000F0754"/>
    <w:rsid w:val="000F160C"/>
    <w:rsid w:val="000F1D2B"/>
    <w:rsid w:val="000F1EE1"/>
    <w:rsid w:val="000F232C"/>
    <w:rsid w:val="000F298E"/>
    <w:rsid w:val="000F2BED"/>
    <w:rsid w:val="000F2CF9"/>
    <w:rsid w:val="000F2D6E"/>
    <w:rsid w:val="000F2E79"/>
    <w:rsid w:val="000F38A8"/>
    <w:rsid w:val="000F3A99"/>
    <w:rsid w:val="000F499E"/>
    <w:rsid w:val="000F4A2A"/>
    <w:rsid w:val="000F5438"/>
    <w:rsid w:val="000F555C"/>
    <w:rsid w:val="000F58E8"/>
    <w:rsid w:val="000F5E2C"/>
    <w:rsid w:val="000F627B"/>
    <w:rsid w:val="000F65A3"/>
    <w:rsid w:val="000F6C88"/>
    <w:rsid w:val="000F6F9F"/>
    <w:rsid w:val="000F715A"/>
    <w:rsid w:val="000F7605"/>
    <w:rsid w:val="000F7E19"/>
    <w:rsid w:val="0010017A"/>
    <w:rsid w:val="00100967"/>
    <w:rsid w:val="00100A23"/>
    <w:rsid w:val="00100B9D"/>
    <w:rsid w:val="00100D76"/>
    <w:rsid w:val="00101FD7"/>
    <w:rsid w:val="00102068"/>
    <w:rsid w:val="00102108"/>
    <w:rsid w:val="00102FBC"/>
    <w:rsid w:val="001035F5"/>
    <w:rsid w:val="00103992"/>
    <w:rsid w:val="001039A1"/>
    <w:rsid w:val="00103A86"/>
    <w:rsid w:val="00103D99"/>
    <w:rsid w:val="00104CA6"/>
    <w:rsid w:val="00104E79"/>
    <w:rsid w:val="001054DC"/>
    <w:rsid w:val="00105B02"/>
    <w:rsid w:val="00105FD6"/>
    <w:rsid w:val="00106802"/>
    <w:rsid w:val="00106CB6"/>
    <w:rsid w:val="00107C07"/>
    <w:rsid w:val="001113A4"/>
    <w:rsid w:val="001113C2"/>
    <w:rsid w:val="00111CB2"/>
    <w:rsid w:val="00111EC8"/>
    <w:rsid w:val="00112BE9"/>
    <w:rsid w:val="00112D86"/>
    <w:rsid w:val="00112F6E"/>
    <w:rsid w:val="0011352C"/>
    <w:rsid w:val="001136B9"/>
    <w:rsid w:val="00113790"/>
    <w:rsid w:val="00113D10"/>
    <w:rsid w:val="00113D2F"/>
    <w:rsid w:val="00114396"/>
    <w:rsid w:val="00114702"/>
    <w:rsid w:val="00114C81"/>
    <w:rsid w:val="0011562E"/>
    <w:rsid w:val="0011577A"/>
    <w:rsid w:val="00116B56"/>
    <w:rsid w:val="00116E25"/>
    <w:rsid w:val="0011718F"/>
    <w:rsid w:val="001173EB"/>
    <w:rsid w:val="00117CB3"/>
    <w:rsid w:val="00120152"/>
    <w:rsid w:val="0012072C"/>
    <w:rsid w:val="00120A01"/>
    <w:rsid w:val="00120AFA"/>
    <w:rsid w:val="00120BD6"/>
    <w:rsid w:val="00120FDB"/>
    <w:rsid w:val="001220EB"/>
    <w:rsid w:val="001224AA"/>
    <w:rsid w:val="00122CC1"/>
    <w:rsid w:val="00122FAE"/>
    <w:rsid w:val="00123902"/>
    <w:rsid w:val="00123B63"/>
    <w:rsid w:val="00123DFB"/>
    <w:rsid w:val="0012473E"/>
    <w:rsid w:val="0012505A"/>
    <w:rsid w:val="0012518F"/>
    <w:rsid w:val="00125AA8"/>
    <w:rsid w:val="00125CCF"/>
    <w:rsid w:val="00125D77"/>
    <w:rsid w:val="001264B5"/>
    <w:rsid w:val="00126917"/>
    <w:rsid w:val="001269CE"/>
    <w:rsid w:val="00127F33"/>
    <w:rsid w:val="0013020B"/>
    <w:rsid w:val="00130929"/>
    <w:rsid w:val="00130BBE"/>
    <w:rsid w:val="001310E4"/>
    <w:rsid w:val="00131507"/>
    <w:rsid w:val="0013172A"/>
    <w:rsid w:val="00131978"/>
    <w:rsid w:val="001319AC"/>
    <w:rsid w:val="001319EF"/>
    <w:rsid w:val="0013275F"/>
    <w:rsid w:val="00132860"/>
    <w:rsid w:val="00132ABE"/>
    <w:rsid w:val="00133870"/>
    <w:rsid w:val="00133BCD"/>
    <w:rsid w:val="00133E5C"/>
    <w:rsid w:val="00133F21"/>
    <w:rsid w:val="00135139"/>
    <w:rsid w:val="00135853"/>
    <w:rsid w:val="001358CC"/>
    <w:rsid w:val="00135F78"/>
    <w:rsid w:val="00136EB7"/>
    <w:rsid w:val="001376A8"/>
    <w:rsid w:val="00137D7F"/>
    <w:rsid w:val="00137DE1"/>
    <w:rsid w:val="00140327"/>
    <w:rsid w:val="00140511"/>
    <w:rsid w:val="00140901"/>
    <w:rsid w:val="001409A2"/>
    <w:rsid w:val="00140EEC"/>
    <w:rsid w:val="001419DA"/>
    <w:rsid w:val="00141AC5"/>
    <w:rsid w:val="00142963"/>
    <w:rsid w:val="00142B1E"/>
    <w:rsid w:val="00143873"/>
    <w:rsid w:val="001446BE"/>
    <w:rsid w:val="00144932"/>
    <w:rsid w:val="001449DE"/>
    <w:rsid w:val="0014515D"/>
    <w:rsid w:val="00145174"/>
    <w:rsid w:val="00145458"/>
    <w:rsid w:val="0014566B"/>
    <w:rsid w:val="001457F5"/>
    <w:rsid w:val="001471CE"/>
    <w:rsid w:val="001473BD"/>
    <w:rsid w:val="00147D13"/>
    <w:rsid w:val="00150F12"/>
    <w:rsid w:val="0015131A"/>
    <w:rsid w:val="00151D5E"/>
    <w:rsid w:val="00151FD0"/>
    <w:rsid w:val="001525DA"/>
    <w:rsid w:val="001525EB"/>
    <w:rsid w:val="00152865"/>
    <w:rsid w:val="00152C03"/>
    <w:rsid w:val="00153387"/>
    <w:rsid w:val="00153718"/>
    <w:rsid w:val="00153F5D"/>
    <w:rsid w:val="001546E0"/>
    <w:rsid w:val="00154725"/>
    <w:rsid w:val="00154B76"/>
    <w:rsid w:val="00155987"/>
    <w:rsid w:val="00155A7F"/>
    <w:rsid w:val="00155CA4"/>
    <w:rsid w:val="00155FAA"/>
    <w:rsid w:val="001560A3"/>
    <w:rsid w:val="001561D3"/>
    <w:rsid w:val="00156237"/>
    <w:rsid w:val="0015624A"/>
    <w:rsid w:val="00156952"/>
    <w:rsid w:val="00156E51"/>
    <w:rsid w:val="00157F4F"/>
    <w:rsid w:val="0016009E"/>
    <w:rsid w:val="001605EE"/>
    <w:rsid w:val="0016067E"/>
    <w:rsid w:val="001607B4"/>
    <w:rsid w:val="0016097A"/>
    <w:rsid w:val="00161221"/>
    <w:rsid w:val="00162459"/>
    <w:rsid w:val="00162533"/>
    <w:rsid w:val="00162535"/>
    <w:rsid w:val="001629E3"/>
    <w:rsid w:val="00162AAC"/>
    <w:rsid w:val="001631B7"/>
    <w:rsid w:val="001639D1"/>
    <w:rsid w:val="001640AE"/>
    <w:rsid w:val="001643B0"/>
    <w:rsid w:val="00164CB5"/>
    <w:rsid w:val="00164CFF"/>
    <w:rsid w:val="0016516C"/>
    <w:rsid w:val="001664D8"/>
    <w:rsid w:val="001666A4"/>
    <w:rsid w:val="00170A9A"/>
    <w:rsid w:val="001710F3"/>
    <w:rsid w:val="0017134E"/>
    <w:rsid w:val="00171921"/>
    <w:rsid w:val="00171B72"/>
    <w:rsid w:val="001723CA"/>
    <w:rsid w:val="00172947"/>
    <w:rsid w:val="00172DC9"/>
    <w:rsid w:val="00172FFC"/>
    <w:rsid w:val="001730FB"/>
    <w:rsid w:val="00174DAE"/>
    <w:rsid w:val="0017510C"/>
    <w:rsid w:val="00175298"/>
    <w:rsid w:val="001765E7"/>
    <w:rsid w:val="00176748"/>
    <w:rsid w:val="001769D6"/>
    <w:rsid w:val="00177AF0"/>
    <w:rsid w:val="00177B64"/>
    <w:rsid w:val="00177D5F"/>
    <w:rsid w:val="00180549"/>
    <w:rsid w:val="00180685"/>
    <w:rsid w:val="0018169B"/>
    <w:rsid w:val="001816CA"/>
    <w:rsid w:val="00181767"/>
    <w:rsid w:val="00182023"/>
    <w:rsid w:val="00182603"/>
    <w:rsid w:val="00184B59"/>
    <w:rsid w:val="00184BE5"/>
    <w:rsid w:val="00185409"/>
    <w:rsid w:val="001854F6"/>
    <w:rsid w:val="00185E1D"/>
    <w:rsid w:val="00186184"/>
    <w:rsid w:val="001864FB"/>
    <w:rsid w:val="001868C8"/>
    <w:rsid w:val="00187254"/>
    <w:rsid w:val="0018753E"/>
    <w:rsid w:val="001902FF"/>
    <w:rsid w:val="001912AC"/>
    <w:rsid w:val="001912D1"/>
    <w:rsid w:val="00191799"/>
    <w:rsid w:val="00192E93"/>
    <w:rsid w:val="0019306F"/>
    <w:rsid w:val="0019391F"/>
    <w:rsid w:val="00194573"/>
    <w:rsid w:val="001947DF"/>
    <w:rsid w:val="001949EF"/>
    <w:rsid w:val="00194B89"/>
    <w:rsid w:val="00196CA0"/>
    <w:rsid w:val="001970DD"/>
    <w:rsid w:val="00197457"/>
    <w:rsid w:val="001977DD"/>
    <w:rsid w:val="00197BD7"/>
    <w:rsid w:val="00197C61"/>
    <w:rsid w:val="001A02E1"/>
    <w:rsid w:val="001A04A6"/>
    <w:rsid w:val="001A093B"/>
    <w:rsid w:val="001A0D64"/>
    <w:rsid w:val="001A1292"/>
    <w:rsid w:val="001A12A8"/>
    <w:rsid w:val="001A15B5"/>
    <w:rsid w:val="001A1BAD"/>
    <w:rsid w:val="001A22F3"/>
    <w:rsid w:val="001A2695"/>
    <w:rsid w:val="001A2FF0"/>
    <w:rsid w:val="001A37DC"/>
    <w:rsid w:val="001A3D91"/>
    <w:rsid w:val="001A3F6A"/>
    <w:rsid w:val="001A3FC6"/>
    <w:rsid w:val="001A43B7"/>
    <w:rsid w:val="001A4444"/>
    <w:rsid w:val="001A5D3A"/>
    <w:rsid w:val="001A5E75"/>
    <w:rsid w:val="001A6771"/>
    <w:rsid w:val="001A6B0C"/>
    <w:rsid w:val="001A6B8E"/>
    <w:rsid w:val="001A6C47"/>
    <w:rsid w:val="001A6D1C"/>
    <w:rsid w:val="001A6E2E"/>
    <w:rsid w:val="001A6EB0"/>
    <w:rsid w:val="001A79C3"/>
    <w:rsid w:val="001A7CDB"/>
    <w:rsid w:val="001A7D3B"/>
    <w:rsid w:val="001A7D68"/>
    <w:rsid w:val="001A7EE4"/>
    <w:rsid w:val="001A7FD0"/>
    <w:rsid w:val="001B013F"/>
    <w:rsid w:val="001B02AE"/>
    <w:rsid w:val="001B05D9"/>
    <w:rsid w:val="001B08BC"/>
    <w:rsid w:val="001B0B60"/>
    <w:rsid w:val="001B12D2"/>
    <w:rsid w:val="001B159D"/>
    <w:rsid w:val="001B1A21"/>
    <w:rsid w:val="001B21B4"/>
    <w:rsid w:val="001B289C"/>
    <w:rsid w:val="001B33CF"/>
    <w:rsid w:val="001B368F"/>
    <w:rsid w:val="001B37AB"/>
    <w:rsid w:val="001B43CD"/>
    <w:rsid w:val="001B46A1"/>
    <w:rsid w:val="001B4A03"/>
    <w:rsid w:val="001B4B34"/>
    <w:rsid w:val="001B4E48"/>
    <w:rsid w:val="001B545E"/>
    <w:rsid w:val="001B58C2"/>
    <w:rsid w:val="001B59E3"/>
    <w:rsid w:val="001B60CC"/>
    <w:rsid w:val="001B6708"/>
    <w:rsid w:val="001B6833"/>
    <w:rsid w:val="001B6993"/>
    <w:rsid w:val="001B707A"/>
    <w:rsid w:val="001B70CB"/>
    <w:rsid w:val="001B750D"/>
    <w:rsid w:val="001B75B0"/>
    <w:rsid w:val="001B7F47"/>
    <w:rsid w:val="001B7F6F"/>
    <w:rsid w:val="001C0142"/>
    <w:rsid w:val="001C0291"/>
    <w:rsid w:val="001C0E3F"/>
    <w:rsid w:val="001C0E76"/>
    <w:rsid w:val="001C0EDD"/>
    <w:rsid w:val="001C135C"/>
    <w:rsid w:val="001C215E"/>
    <w:rsid w:val="001C272C"/>
    <w:rsid w:val="001C27B7"/>
    <w:rsid w:val="001C28C7"/>
    <w:rsid w:val="001C31F4"/>
    <w:rsid w:val="001C3EBE"/>
    <w:rsid w:val="001C41DC"/>
    <w:rsid w:val="001C5252"/>
    <w:rsid w:val="001C5619"/>
    <w:rsid w:val="001C5956"/>
    <w:rsid w:val="001C5CE2"/>
    <w:rsid w:val="001C6069"/>
    <w:rsid w:val="001C6458"/>
    <w:rsid w:val="001C64BF"/>
    <w:rsid w:val="001C6623"/>
    <w:rsid w:val="001C6CB0"/>
    <w:rsid w:val="001C7279"/>
    <w:rsid w:val="001C7412"/>
    <w:rsid w:val="001D002B"/>
    <w:rsid w:val="001D07BA"/>
    <w:rsid w:val="001D0E1E"/>
    <w:rsid w:val="001D10B2"/>
    <w:rsid w:val="001D139D"/>
    <w:rsid w:val="001D2056"/>
    <w:rsid w:val="001D20F1"/>
    <w:rsid w:val="001D2B3C"/>
    <w:rsid w:val="001D2CD5"/>
    <w:rsid w:val="001D2EF2"/>
    <w:rsid w:val="001D3348"/>
    <w:rsid w:val="001D35B5"/>
    <w:rsid w:val="001D3698"/>
    <w:rsid w:val="001D3B4B"/>
    <w:rsid w:val="001D3B7D"/>
    <w:rsid w:val="001D40DF"/>
    <w:rsid w:val="001D425D"/>
    <w:rsid w:val="001D4B24"/>
    <w:rsid w:val="001D6083"/>
    <w:rsid w:val="001D6A82"/>
    <w:rsid w:val="001D6D33"/>
    <w:rsid w:val="001D6EE6"/>
    <w:rsid w:val="001D7048"/>
    <w:rsid w:val="001D788E"/>
    <w:rsid w:val="001D7BC4"/>
    <w:rsid w:val="001D7FC8"/>
    <w:rsid w:val="001E0119"/>
    <w:rsid w:val="001E020D"/>
    <w:rsid w:val="001E0397"/>
    <w:rsid w:val="001E0810"/>
    <w:rsid w:val="001E09A5"/>
    <w:rsid w:val="001E0BDD"/>
    <w:rsid w:val="001E0E2A"/>
    <w:rsid w:val="001E0F30"/>
    <w:rsid w:val="001E130A"/>
    <w:rsid w:val="001E1494"/>
    <w:rsid w:val="001E1593"/>
    <w:rsid w:val="001E2340"/>
    <w:rsid w:val="001E29B5"/>
    <w:rsid w:val="001E35C3"/>
    <w:rsid w:val="001E375A"/>
    <w:rsid w:val="001E3934"/>
    <w:rsid w:val="001E3A10"/>
    <w:rsid w:val="001E3D0A"/>
    <w:rsid w:val="001E3D1D"/>
    <w:rsid w:val="001E4D11"/>
    <w:rsid w:val="001E5575"/>
    <w:rsid w:val="001E5F43"/>
    <w:rsid w:val="001E72D0"/>
    <w:rsid w:val="001E75FE"/>
    <w:rsid w:val="001E7895"/>
    <w:rsid w:val="001F0970"/>
    <w:rsid w:val="001F0C99"/>
    <w:rsid w:val="001F14CD"/>
    <w:rsid w:val="001F22C9"/>
    <w:rsid w:val="001F2766"/>
    <w:rsid w:val="001F2BF1"/>
    <w:rsid w:val="001F2C5F"/>
    <w:rsid w:val="001F37C9"/>
    <w:rsid w:val="001F3CA1"/>
    <w:rsid w:val="001F3FE6"/>
    <w:rsid w:val="001F4E85"/>
    <w:rsid w:val="001F5C4B"/>
    <w:rsid w:val="001F5CF6"/>
    <w:rsid w:val="001F5F6B"/>
    <w:rsid w:val="001F6157"/>
    <w:rsid w:val="001F6342"/>
    <w:rsid w:val="001F6696"/>
    <w:rsid w:val="001F6C64"/>
    <w:rsid w:val="0020033F"/>
    <w:rsid w:val="002008D3"/>
    <w:rsid w:val="0020123F"/>
    <w:rsid w:val="00202748"/>
    <w:rsid w:val="00202AFB"/>
    <w:rsid w:val="00202DAA"/>
    <w:rsid w:val="00203750"/>
    <w:rsid w:val="002038E3"/>
    <w:rsid w:val="00203B8E"/>
    <w:rsid w:val="00203C39"/>
    <w:rsid w:val="002050E7"/>
    <w:rsid w:val="00205B0E"/>
    <w:rsid w:val="00205C7C"/>
    <w:rsid w:val="00206217"/>
    <w:rsid w:val="00206404"/>
    <w:rsid w:val="002064A6"/>
    <w:rsid w:val="00206733"/>
    <w:rsid w:val="00206A14"/>
    <w:rsid w:val="00206AB0"/>
    <w:rsid w:val="00206D9D"/>
    <w:rsid w:val="00207B55"/>
    <w:rsid w:val="00207E15"/>
    <w:rsid w:val="002104D1"/>
    <w:rsid w:val="00211095"/>
    <w:rsid w:val="00211485"/>
    <w:rsid w:val="002118B1"/>
    <w:rsid w:val="00212004"/>
    <w:rsid w:val="0021212C"/>
    <w:rsid w:val="0021243A"/>
    <w:rsid w:val="002129E3"/>
    <w:rsid w:val="00212E49"/>
    <w:rsid w:val="00212E8D"/>
    <w:rsid w:val="00212EBE"/>
    <w:rsid w:val="00212F32"/>
    <w:rsid w:val="0021301A"/>
    <w:rsid w:val="002132AC"/>
    <w:rsid w:val="00213411"/>
    <w:rsid w:val="0021343C"/>
    <w:rsid w:val="00213C3C"/>
    <w:rsid w:val="002144C0"/>
    <w:rsid w:val="002145D4"/>
    <w:rsid w:val="00215567"/>
    <w:rsid w:val="00215578"/>
    <w:rsid w:val="00215C9D"/>
    <w:rsid w:val="00215C9E"/>
    <w:rsid w:val="002160BB"/>
    <w:rsid w:val="00216105"/>
    <w:rsid w:val="002164E3"/>
    <w:rsid w:val="0021670E"/>
    <w:rsid w:val="0021779E"/>
    <w:rsid w:val="00217995"/>
    <w:rsid w:val="0022091F"/>
    <w:rsid w:val="00220C1E"/>
    <w:rsid w:val="0022104D"/>
    <w:rsid w:val="00221790"/>
    <w:rsid w:val="002219B3"/>
    <w:rsid w:val="00221E29"/>
    <w:rsid w:val="002226E2"/>
    <w:rsid w:val="00222DCE"/>
    <w:rsid w:val="00222E60"/>
    <w:rsid w:val="00222EFB"/>
    <w:rsid w:val="0022327D"/>
    <w:rsid w:val="002233D6"/>
    <w:rsid w:val="0022473D"/>
    <w:rsid w:val="00224C27"/>
    <w:rsid w:val="00224C2A"/>
    <w:rsid w:val="00225887"/>
    <w:rsid w:val="00225D87"/>
    <w:rsid w:val="00225EF1"/>
    <w:rsid w:val="0022659D"/>
    <w:rsid w:val="002266D3"/>
    <w:rsid w:val="00227D9D"/>
    <w:rsid w:val="0023015E"/>
    <w:rsid w:val="00230242"/>
    <w:rsid w:val="002304B8"/>
    <w:rsid w:val="0023094A"/>
    <w:rsid w:val="00231C98"/>
    <w:rsid w:val="00231CB8"/>
    <w:rsid w:val="00231F87"/>
    <w:rsid w:val="00232ABB"/>
    <w:rsid w:val="00232B29"/>
    <w:rsid w:val="00233152"/>
    <w:rsid w:val="00233537"/>
    <w:rsid w:val="00233F5C"/>
    <w:rsid w:val="002342B2"/>
    <w:rsid w:val="002342DC"/>
    <w:rsid w:val="002345ED"/>
    <w:rsid w:val="00234646"/>
    <w:rsid w:val="0023489B"/>
    <w:rsid w:val="002348B6"/>
    <w:rsid w:val="00234C8F"/>
    <w:rsid w:val="00234E29"/>
    <w:rsid w:val="00235E42"/>
    <w:rsid w:val="0023616F"/>
    <w:rsid w:val="002366FA"/>
    <w:rsid w:val="002368C3"/>
    <w:rsid w:val="00236A0A"/>
    <w:rsid w:val="00236BAA"/>
    <w:rsid w:val="0023716D"/>
    <w:rsid w:val="0023759D"/>
    <w:rsid w:val="00237685"/>
    <w:rsid w:val="00237D77"/>
    <w:rsid w:val="002406E3"/>
    <w:rsid w:val="00240D2A"/>
    <w:rsid w:val="00240ED7"/>
    <w:rsid w:val="0024156A"/>
    <w:rsid w:val="002417AE"/>
    <w:rsid w:val="00242124"/>
    <w:rsid w:val="0024257F"/>
    <w:rsid w:val="00242830"/>
    <w:rsid w:val="00242B37"/>
    <w:rsid w:val="00242D1A"/>
    <w:rsid w:val="0024382F"/>
    <w:rsid w:val="00243AD7"/>
    <w:rsid w:val="00244019"/>
    <w:rsid w:val="00244A7F"/>
    <w:rsid w:val="00244CEE"/>
    <w:rsid w:val="00244E0A"/>
    <w:rsid w:val="0024589A"/>
    <w:rsid w:val="002458B5"/>
    <w:rsid w:val="00245A03"/>
    <w:rsid w:val="00245A84"/>
    <w:rsid w:val="00245D79"/>
    <w:rsid w:val="00245FD1"/>
    <w:rsid w:val="00246329"/>
    <w:rsid w:val="00247052"/>
    <w:rsid w:val="002478E9"/>
    <w:rsid w:val="00247C16"/>
    <w:rsid w:val="00247E2A"/>
    <w:rsid w:val="00250143"/>
    <w:rsid w:val="002501AF"/>
    <w:rsid w:val="002503E4"/>
    <w:rsid w:val="00250478"/>
    <w:rsid w:val="00250884"/>
    <w:rsid w:val="00251321"/>
    <w:rsid w:val="002515D1"/>
    <w:rsid w:val="00251694"/>
    <w:rsid w:val="0025175B"/>
    <w:rsid w:val="00251A02"/>
    <w:rsid w:val="00251BCC"/>
    <w:rsid w:val="00251D0D"/>
    <w:rsid w:val="00251D5F"/>
    <w:rsid w:val="002521E7"/>
    <w:rsid w:val="002526F2"/>
    <w:rsid w:val="00252EE4"/>
    <w:rsid w:val="00253494"/>
    <w:rsid w:val="00253789"/>
    <w:rsid w:val="00253952"/>
    <w:rsid w:val="002548CF"/>
    <w:rsid w:val="00254908"/>
    <w:rsid w:val="00254BAB"/>
    <w:rsid w:val="002556E1"/>
    <w:rsid w:val="002557E1"/>
    <w:rsid w:val="00255D6A"/>
    <w:rsid w:val="0025632A"/>
    <w:rsid w:val="0025642A"/>
    <w:rsid w:val="00257283"/>
    <w:rsid w:val="002573B5"/>
    <w:rsid w:val="002606C3"/>
    <w:rsid w:val="00260757"/>
    <w:rsid w:val="00260A6F"/>
    <w:rsid w:val="00260D78"/>
    <w:rsid w:val="00260D7F"/>
    <w:rsid w:val="00261A0A"/>
    <w:rsid w:val="00261CE1"/>
    <w:rsid w:val="0026216D"/>
    <w:rsid w:val="00262989"/>
    <w:rsid w:val="00262E71"/>
    <w:rsid w:val="0026302D"/>
    <w:rsid w:val="0026303F"/>
    <w:rsid w:val="00263712"/>
    <w:rsid w:val="00263F95"/>
    <w:rsid w:val="0026454A"/>
    <w:rsid w:val="002649FD"/>
    <w:rsid w:val="00264E77"/>
    <w:rsid w:val="00265158"/>
    <w:rsid w:val="00265275"/>
    <w:rsid w:val="002654A2"/>
    <w:rsid w:val="0026556A"/>
    <w:rsid w:val="002659F6"/>
    <w:rsid w:val="00265DEE"/>
    <w:rsid w:val="00266C92"/>
    <w:rsid w:val="00267072"/>
    <w:rsid w:val="00267133"/>
    <w:rsid w:val="00267261"/>
    <w:rsid w:val="002674BC"/>
    <w:rsid w:val="00267BC5"/>
    <w:rsid w:val="00267C8B"/>
    <w:rsid w:val="0027037E"/>
    <w:rsid w:val="002704D6"/>
    <w:rsid w:val="00270977"/>
    <w:rsid w:val="00270B17"/>
    <w:rsid w:val="00270B2C"/>
    <w:rsid w:val="00270C53"/>
    <w:rsid w:val="00270DDA"/>
    <w:rsid w:val="00270F03"/>
    <w:rsid w:val="0027184C"/>
    <w:rsid w:val="002718F9"/>
    <w:rsid w:val="002719DD"/>
    <w:rsid w:val="00271BB5"/>
    <w:rsid w:val="00271DC5"/>
    <w:rsid w:val="002721D9"/>
    <w:rsid w:val="00272560"/>
    <w:rsid w:val="00272813"/>
    <w:rsid w:val="00272832"/>
    <w:rsid w:val="00272A22"/>
    <w:rsid w:val="00272D35"/>
    <w:rsid w:val="0027326B"/>
    <w:rsid w:val="00273937"/>
    <w:rsid w:val="00273E8E"/>
    <w:rsid w:val="002749C7"/>
    <w:rsid w:val="00274BC6"/>
    <w:rsid w:val="00274D35"/>
    <w:rsid w:val="002751B5"/>
    <w:rsid w:val="00275761"/>
    <w:rsid w:val="00275AF3"/>
    <w:rsid w:val="00275C2B"/>
    <w:rsid w:val="00275E4B"/>
    <w:rsid w:val="00276372"/>
    <w:rsid w:val="00276628"/>
    <w:rsid w:val="0027688F"/>
    <w:rsid w:val="00277184"/>
    <w:rsid w:val="00277AC1"/>
    <w:rsid w:val="00280613"/>
    <w:rsid w:val="00280CF1"/>
    <w:rsid w:val="002829A6"/>
    <w:rsid w:val="00282BF9"/>
    <w:rsid w:val="00282CDB"/>
    <w:rsid w:val="00282E7E"/>
    <w:rsid w:val="002830A4"/>
    <w:rsid w:val="002834C0"/>
    <w:rsid w:val="00283C57"/>
    <w:rsid w:val="00284709"/>
    <w:rsid w:val="00284812"/>
    <w:rsid w:val="00284B53"/>
    <w:rsid w:val="00285C29"/>
    <w:rsid w:val="00285D8C"/>
    <w:rsid w:val="00286477"/>
    <w:rsid w:val="002868A4"/>
    <w:rsid w:val="00286966"/>
    <w:rsid w:val="00286990"/>
    <w:rsid w:val="002900E3"/>
    <w:rsid w:val="002901B6"/>
    <w:rsid w:val="00290321"/>
    <w:rsid w:val="0029047F"/>
    <w:rsid w:val="0029068C"/>
    <w:rsid w:val="002906A8"/>
    <w:rsid w:val="00290A81"/>
    <w:rsid w:val="00290FDA"/>
    <w:rsid w:val="002910E3"/>
    <w:rsid w:val="002910E8"/>
    <w:rsid w:val="00291645"/>
    <w:rsid w:val="0029188D"/>
    <w:rsid w:val="00291A9D"/>
    <w:rsid w:val="00291AE0"/>
    <w:rsid w:val="00291EDF"/>
    <w:rsid w:val="00292600"/>
    <w:rsid w:val="00292A04"/>
    <w:rsid w:val="00293265"/>
    <w:rsid w:val="0029339D"/>
    <w:rsid w:val="002933E9"/>
    <w:rsid w:val="00293831"/>
    <w:rsid w:val="00293843"/>
    <w:rsid w:val="00293DDE"/>
    <w:rsid w:val="00293EDD"/>
    <w:rsid w:val="0029408F"/>
    <w:rsid w:val="0029459C"/>
    <w:rsid w:val="002949B6"/>
    <w:rsid w:val="00294D01"/>
    <w:rsid w:val="00294DF1"/>
    <w:rsid w:val="00295411"/>
    <w:rsid w:val="00295423"/>
    <w:rsid w:val="0029553A"/>
    <w:rsid w:val="002957B1"/>
    <w:rsid w:val="002960AD"/>
    <w:rsid w:val="00296EE1"/>
    <w:rsid w:val="00296FD5"/>
    <w:rsid w:val="002978D3"/>
    <w:rsid w:val="002979DC"/>
    <w:rsid w:val="002A035C"/>
    <w:rsid w:val="002A091C"/>
    <w:rsid w:val="002A0A1A"/>
    <w:rsid w:val="002A0B13"/>
    <w:rsid w:val="002A0F8C"/>
    <w:rsid w:val="002A14C6"/>
    <w:rsid w:val="002A1CB2"/>
    <w:rsid w:val="002A1EF0"/>
    <w:rsid w:val="002A1F23"/>
    <w:rsid w:val="002A1F5B"/>
    <w:rsid w:val="002A292F"/>
    <w:rsid w:val="002A2E86"/>
    <w:rsid w:val="002A4259"/>
    <w:rsid w:val="002A4562"/>
    <w:rsid w:val="002A5684"/>
    <w:rsid w:val="002A5CAE"/>
    <w:rsid w:val="002A5EBD"/>
    <w:rsid w:val="002A5FC6"/>
    <w:rsid w:val="002A616F"/>
    <w:rsid w:val="002A6C5C"/>
    <w:rsid w:val="002A7932"/>
    <w:rsid w:val="002A7A7D"/>
    <w:rsid w:val="002A7A82"/>
    <w:rsid w:val="002A7D67"/>
    <w:rsid w:val="002B0481"/>
    <w:rsid w:val="002B0575"/>
    <w:rsid w:val="002B0A4F"/>
    <w:rsid w:val="002B0E91"/>
    <w:rsid w:val="002B0F50"/>
    <w:rsid w:val="002B0F9B"/>
    <w:rsid w:val="002B1222"/>
    <w:rsid w:val="002B12D8"/>
    <w:rsid w:val="002B1805"/>
    <w:rsid w:val="002B2172"/>
    <w:rsid w:val="002B24CD"/>
    <w:rsid w:val="002B26B4"/>
    <w:rsid w:val="002B293D"/>
    <w:rsid w:val="002B2B32"/>
    <w:rsid w:val="002B2D35"/>
    <w:rsid w:val="002B2F0E"/>
    <w:rsid w:val="002B3641"/>
    <w:rsid w:val="002B3939"/>
    <w:rsid w:val="002B3A49"/>
    <w:rsid w:val="002B427F"/>
    <w:rsid w:val="002B4683"/>
    <w:rsid w:val="002B4C49"/>
    <w:rsid w:val="002B52FC"/>
    <w:rsid w:val="002B59A6"/>
    <w:rsid w:val="002B6EB4"/>
    <w:rsid w:val="002B6ECD"/>
    <w:rsid w:val="002B7196"/>
    <w:rsid w:val="002B75BE"/>
    <w:rsid w:val="002B77CE"/>
    <w:rsid w:val="002B7925"/>
    <w:rsid w:val="002B7B97"/>
    <w:rsid w:val="002C0554"/>
    <w:rsid w:val="002C0E03"/>
    <w:rsid w:val="002C1059"/>
    <w:rsid w:val="002C1670"/>
    <w:rsid w:val="002C23D4"/>
    <w:rsid w:val="002C28C6"/>
    <w:rsid w:val="002C2A44"/>
    <w:rsid w:val="002C3029"/>
    <w:rsid w:val="002C327E"/>
    <w:rsid w:val="002C328F"/>
    <w:rsid w:val="002C371B"/>
    <w:rsid w:val="002C4CD8"/>
    <w:rsid w:val="002C4CE8"/>
    <w:rsid w:val="002C5D78"/>
    <w:rsid w:val="002C66EB"/>
    <w:rsid w:val="002C66F3"/>
    <w:rsid w:val="002C720B"/>
    <w:rsid w:val="002C72CD"/>
    <w:rsid w:val="002C744D"/>
    <w:rsid w:val="002C7A6C"/>
    <w:rsid w:val="002D011A"/>
    <w:rsid w:val="002D0384"/>
    <w:rsid w:val="002D0F83"/>
    <w:rsid w:val="002D1005"/>
    <w:rsid w:val="002D1015"/>
    <w:rsid w:val="002D14E2"/>
    <w:rsid w:val="002D18E3"/>
    <w:rsid w:val="002D1A52"/>
    <w:rsid w:val="002D1D01"/>
    <w:rsid w:val="002D25D6"/>
    <w:rsid w:val="002D2B4E"/>
    <w:rsid w:val="002D3358"/>
    <w:rsid w:val="002D3931"/>
    <w:rsid w:val="002D3F52"/>
    <w:rsid w:val="002D47BB"/>
    <w:rsid w:val="002D57CE"/>
    <w:rsid w:val="002D5E21"/>
    <w:rsid w:val="002D5FD2"/>
    <w:rsid w:val="002D6DD6"/>
    <w:rsid w:val="002D6EFC"/>
    <w:rsid w:val="002D7492"/>
    <w:rsid w:val="002D7B97"/>
    <w:rsid w:val="002D7D73"/>
    <w:rsid w:val="002E07D3"/>
    <w:rsid w:val="002E097A"/>
    <w:rsid w:val="002E0E66"/>
    <w:rsid w:val="002E1241"/>
    <w:rsid w:val="002E318D"/>
    <w:rsid w:val="002E342A"/>
    <w:rsid w:val="002E36B6"/>
    <w:rsid w:val="002E39D6"/>
    <w:rsid w:val="002E3A8B"/>
    <w:rsid w:val="002E3A96"/>
    <w:rsid w:val="002E4084"/>
    <w:rsid w:val="002E4628"/>
    <w:rsid w:val="002E4692"/>
    <w:rsid w:val="002E4E4E"/>
    <w:rsid w:val="002E4FDD"/>
    <w:rsid w:val="002E5AE6"/>
    <w:rsid w:val="002E6207"/>
    <w:rsid w:val="002E65AE"/>
    <w:rsid w:val="002E6BD7"/>
    <w:rsid w:val="002E76F1"/>
    <w:rsid w:val="002E7ABC"/>
    <w:rsid w:val="002E7E91"/>
    <w:rsid w:val="002F0111"/>
    <w:rsid w:val="002F0351"/>
    <w:rsid w:val="002F068F"/>
    <w:rsid w:val="002F13BA"/>
    <w:rsid w:val="002F14A2"/>
    <w:rsid w:val="002F1C10"/>
    <w:rsid w:val="002F1DD6"/>
    <w:rsid w:val="002F1FD5"/>
    <w:rsid w:val="002F23E8"/>
    <w:rsid w:val="002F2552"/>
    <w:rsid w:val="002F2857"/>
    <w:rsid w:val="002F28EB"/>
    <w:rsid w:val="002F2A9F"/>
    <w:rsid w:val="002F306E"/>
    <w:rsid w:val="002F313D"/>
    <w:rsid w:val="002F3D90"/>
    <w:rsid w:val="002F41AD"/>
    <w:rsid w:val="002F44D9"/>
    <w:rsid w:val="002F4933"/>
    <w:rsid w:val="002F4BD6"/>
    <w:rsid w:val="002F4BEB"/>
    <w:rsid w:val="002F4FBA"/>
    <w:rsid w:val="002F5307"/>
    <w:rsid w:val="002F5316"/>
    <w:rsid w:val="002F62AE"/>
    <w:rsid w:val="002F64F4"/>
    <w:rsid w:val="002F684E"/>
    <w:rsid w:val="002F735A"/>
    <w:rsid w:val="002F778D"/>
    <w:rsid w:val="003006F9"/>
    <w:rsid w:val="0030070A"/>
    <w:rsid w:val="00300741"/>
    <w:rsid w:val="00300C78"/>
    <w:rsid w:val="00300CA5"/>
    <w:rsid w:val="0030228C"/>
    <w:rsid w:val="00303966"/>
    <w:rsid w:val="00303A0A"/>
    <w:rsid w:val="00303CC2"/>
    <w:rsid w:val="003045F0"/>
    <w:rsid w:val="0030460A"/>
    <w:rsid w:val="00304908"/>
    <w:rsid w:val="003049B1"/>
    <w:rsid w:val="003054BB"/>
    <w:rsid w:val="00305730"/>
    <w:rsid w:val="00305B64"/>
    <w:rsid w:val="003061D3"/>
    <w:rsid w:val="003065FA"/>
    <w:rsid w:val="00306631"/>
    <w:rsid w:val="00307299"/>
    <w:rsid w:val="003078FE"/>
    <w:rsid w:val="00307D43"/>
    <w:rsid w:val="00310288"/>
    <w:rsid w:val="0031081A"/>
    <w:rsid w:val="00310AA5"/>
    <w:rsid w:val="00310B4F"/>
    <w:rsid w:val="00310C3F"/>
    <w:rsid w:val="00310D3B"/>
    <w:rsid w:val="00310F87"/>
    <w:rsid w:val="003110D2"/>
    <w:rsid w:val="00311393"/>
    <w:rsid w:val="00311865"/>
    <w:rsid w:val="00312383"/>
    <w:rsid w:val="0031243D"/>
    <w:rsid w:val="00312538"/>
    <w:rsid w:val="00312E17"/>
    <w:rsid w:val="00313042"/>
    <w:rsid w:val="00313793"/>
    <w:rsid w:val="00313947"/>
    <w:rsid w:val="00313AAA"/>
    <w:rsid w:val="00314228"/>
    <w:rsid w:val="00314695"/>
    <w:rsid w:val="00315046"/>
    <w:rsid w:val="00315873"/>
    <w:rsid w:val="00315D50"/>
    <w:rsid w:val="00315DCA"/>
    <w:rsid w:val="00316178"/>
    <w:rsid w:val="00316676"/>
    <w:rsid w:val="00316A24"/>
    <w:rsid w:val="00317EA2"/>
    <w:rsid w:val="00321169"/>
    <w:rsid w:val="00321348"/>
    <w:rsid w:val="00321D60"/>
    <w:rsid w:val="00322162"/>
    <w:rsid w:val="0032288A"/>
    <w:rsid w:val="0032365A"/>
    <w:rsid w:val="00323C2B"/>
    <w:rsid w:val="00323DAE"/>
    <w:rsid w:val="003245E4"/>
    <w:rsid w:val="003248E0"/>
    <w:rsid w:val="00324992"/>
    <w:rsid w:val="00324A4C"/>
    <w:rsid w:val="00324F92"/>
    <w:rsid w:val="003260E8"/>
    <w:rsid w:val="003262AE"/>
    <w:rsid w:val="0032714E"/>
    <w:rsid w:val="0032761B"/>
    <w:rsid w:val="00327710"/>
    <w:rsid w:val="00327841"/>
    <w:rsid w:val="00327B51"/>
    <w:rsid w:val="003301F7"/>
    <w:rsid w:val="00330682"/>
    <w:rsid w:val="00330D4D"/>
    <w:rsid w:val="00330E30"/>
    <w:rsid w:val="00330FD1"/>
    <w:rsid w:val="00331F3F"/>
    <w:rsid w:val="00332695"/>
    <w:rsid w:val="003329BC"/>
    <w:rsid w:val="00332DA6"/>
    <w:rsid w:val="00333AA2"/>
    <w:rsid w:val="00333C52"/>
    <w:rsid w:val="00333DD6"/>
    <w:rsid w:val="003342BA"/>
    <w:rsid w:val="00334717"/>
    <w:rsid w:val="00334E25"/>
    <w:rsid w:val="00334F48"/>
    <w:rsid w:val="00334F5A"/>
    <w:rsid w:val="003354D9"/>
    <w:rsid w:val="0033566B"/>
    <w:rsid w:val="00336066"/>
    <w:rsid w:val="003368AF"/>
    <w:rsid w:val="00336D73"/>
    <w:rsid w:val="00336EF5"/>
    <w:rsid w:val="0033799F"/>
    <w:rsid w:val="00340003"/>
    <w:rsid w:val="00340075"/>
    <w:rsid w:val="00340F68"/>
    <w:rsid w:val="0034101D"/>
    <w:rsid w:val="0034289C"/>
    <w:rsid w:val="003429FD"/>
    <w:rsid w:val="00342D43"/>
    <w:rsid w:val="00342DAE"/>
    <w:rsid w:val="00342E00"/>
    <w:rsid w:val="0034327A"/>
    <w:rsid w:val="003436F0"/>
    <w:rsid w:val="00343816"/>
    <w:rsid w:val="00343C45"/>
    <w:rsid w:val="00344332"/>
    <w:rsid w:val="003448F2"/>
    <w:rsid w:val="00344E77"/>
    <w:rsid w:val="0034528F"/>
    <w:rsid w:val="003458E3"/>
    <w:rsid w:val="00345970"/>
    <w:rsid w:val="003464C1"/>
    <w:rsid w:val="00346659"/>
    <w:rsid w:val="0034670E"/>
    <w:rsid w:val="00346838"/>
    <w:rsid w:val="00346F42"/>
    <w:rsid w:val="00347416"/>
    <w:rsid w:val="003474AC"/>
    <w:rsid w:val="00347706"/>
    <w:rsid w:val="0035022E"/>
    <w:rsid w:val="00350655"/>
    <w:rsid w:val="003507B7"/>
    <w:rsid w:val="0035121E"/>
    <w:rsid w:val="003517E3"/>
    <w:rsid w:val="0035183D"/>
    <w:rsid w:val="003518CB"/>
    <w:rsid w:val="00351DA0"/>
    <w:rsid w:val="00351E4B"/>
    <w:rsid w:val="003520C4"/>
    <w:rsid w:val="00352569"/>
    <w:rsid w:val="003526C5"/>
    <w:rsid w:val="0035381C"/>
    <w:rsid w:val="00353861"/>
    <w:rsid w:val="00353B45"/>
    <w:rsid w:val="00353CC1"/>
    <w:rsid w:val="00354125"/>
    <w:rsid w:val="0035418E"/>
    <w:rsid w:val="003549AA"/>
    <w:rsid w:val="00354B3A"/>
    <w:rsid w:val="00354ECB"/>
    <w:rsid w:val="003557F7"/>
    <w:rsid w:val="00355820"/>
    <w:rsid w:val="00355B28"/>
    <w:rsid w:val="00356074"/>
    <w:rsid w:val="003566A7"/>
    <w:rsid w:val="00356843"/>
    <w:rsid w:val="00357390"/>
    <w:rsid w:val="003603C7"/>
    <w:rsid w:val="0036055B"/>
    <w:rsid w:val="0036080D"/>
    <w:rsid w:val="00360E68"/>
    <w:rsid w:val="00361358"/>
    <w:rsid w:val="003616C8"/>
    <w:rsid w:val="00361F4C"/>
    <w:rsid w:val="00362602"/>
    <w:rsid w:val="00362E41"/>
    <w:rsid w:val="0036323E"/>
    <w:rsid w:val="00363CBA"/>
    <w:rsid w:val="003643FE"/>
    <w:rsid w:val="00364C4C"/>
    <w:rsid w:val="00365923"/>
    <w:rsid w:val="003659B6"/>
    <w:rsid w:val="00365CE4"/>
    <w:rsid w:val="0036605A"/>
    <w:rsid w:val="00366331"/>
    <w:rsid w:val="00366EA8"/>
    <w:rsid w:val="00367ABE"/>
    <w:rsid w:val="00367CB5"/>
    <w:rsid w:val="00367EE3"/>
    <w:rsid w:val="00370E8D"/>
    <w:rsid w:val="0037106E"/>
    <w:rsid w:val="00371C4D"/>
    <w:rsid w:val="0037265A"/>
    <w:rsid w:val="00372D57"/>
    <w:rsid w:val="003740AB"/>
    <w:rsid w:val="00374763"/>
    <w:rsid w:val="003758B2"/>
    <w:rsid w:val="00375B13"/>
    <w:rsid w:val="003771A3"/>
    <w:rsid w:val="003773CB"/>
    <w:rsid w:val="00380787"/>
    <w:rsid w:val="0038089C"/>
    <w:rsid w:val="00380B71"/>
    <w:rsid w:val="0038180D"/>
    <w:rsid w:val="00381AF7"/>
    <w:rsid w:val="00381F1A"/>
    <w:rsid w:val="00382676"/>
    <w:rsid w:val="003829D7"/>
    <w:rsid w:val="00382FD7"/>
    <w:rsid w:val="00383150"/>
    <w:rsid w:val="00383B36"/>
    <w:rsid w:val="00383FD7"/>
    <w:rsid w:val="0038463D"/>
    <w:rsid w:val="00384A43"/>
    <w:rsid w:val="00384BD9"/>
    <w:rsid w:val="00384D85"/>
    <w:rsid w:val="00384EFF"/>
    <w:rsid w:val="00385523"/>
    <w:rsid w:val="003857FE"/>
    <w:rsid w:val="00385A56"/>
    <w:rsid w:val="00385BD2"/>
    <w:rsid w:val="003869D7"/>
    <w:rsid w:val="00386A5D"/>
    <w:rsid w:val="00386CF5"/>
    <w:rsid w:val="00386DE9"/>
    <w:rsid w:val="0038742A"/>
    <w:rsid w:val="00387609"/>
    <w:rsid w:val="00387806"/>
    <w:rsid w:val="00387885"/>
    <w:rsid w:val="00390A95"/>
    <w:rsid w:val="003910CD"/>
    <w:rsid w:val="003922B1"/>
    <w:rsid w:val="00392425"/>
    <w:rsid w:val="00392475"/>
    <w:rsid w:val="003924DF"/>
    <w:rsid w:val="00392517"/>
    <w:rsid w:val="003928D8"/>
    <w:rsid w:val="00392D23"/>
    <w:rsid w:val="00392DDF"/>
    <w:rsid w:val="00392F0D"/>
    <w:rsid w:val="00392FAD"/>
    <w:rsid w:val="00393577"/>
    <w:rsid w:val="00393BB3"/>
    <w:rsid w:val="00393E4B"/>
    <w:rsid w:val="00394182"/>
    <w:rsid w:val="0039476E"/>
    <w:rsid w:val="003950D9"/>
    <w:rsid w:val="003953D3"/>
    <w:rsid w:val="003959B5"/>
    <w:rsid w:val="00396005"/>
    <w:rsid w:val="0039604B"/>
    <w:rsid w:val="00396227"/>
    <w:rsid w:val="00396814"/>
    <w:rsid w:val="00397361"/>
    <w:rsid w:val="003A0990"/>
    <w:rsid w:val="003A09C1"/>
    <w:rsid w:val="003A0A1C"/>
    <w:rsid w:val="003A0AAA"/>
    <w:rsid w:val="003A0B42"/>
    <w:rsid w:val="003A0F8A"/>
    <w:rsid w:val="003A170D"/>
    <w:rsid w:val="003A1B0A"/>
    <w:rsid w:val="003A2157"/>
    <w:rsid w:val="003A2B44"/>
    <w:rsid w:val="003A38CC"/>
    <w:rsid w:val="003A3B94"/>
    <w:rsid w:val="003A43E1"/>
    <w:rsid w:val="003A594A"/>
    <w:rsid w:val="003A595F"/>
    <w:rsid w:val="003A597E"/>
    <w:rsid w:val="003A5DC5"/>
    <w:rsid w:val="003A6BC8"/>
    <w:rsid w:val="003A77E5"/>
    <w:rsid w:val="003A7900"/>
    <w:rsid w:val="003A7D61"/>
    <w:rsid w:val="003A7D8B"/>
    <w:rsid w:val="003A7F2D"/>
    <w:rsid w:val="003B1541"/>
    <w:rsid w:val="003B1CD4"/>
    <w:rsid w:val="003B2518"/>
    <w:rsid w:val="003B26A9"/>
    <w:rsid w:val="003B2BF1"/>
    <w:rsid w:val="003B2F33"/>
    <w:rsid w:val="003B324B"/>
    <w:rsid w:val="003B377B"/>
    <w:rsid w:val="003B395A"/>
    <w:rsid w:val="003B4E02"/>
    <w:rsid w:val="003B4E50"/>
    <w:rsid w:val="003B4F6B"/>
    <w:rsid w:val="003B55A4"/>
    <w:rsid w:val="003B587F"/>
    <w:rsid w:val="003B67B6"/>
    <w:rsid w:val="003B737A"/>
    <w:rsid w:val="003B751C"/>
    <w:rsid w:val="003B75C6"/>
    <w:rsid w:val="003C0069"/>
    <w:rsid w:val="003C042F"/>
    <w:rsid w:val="003C13C2"/>
    <w:rsid w:val="003C168C"/>
    <w:rsid w:val="003C1883"/>
    <w:rsid w:val="003C1F4C"/>
    <w:rsid w:val="003C2081"/>
    <w:rsid w:val="003C239D"/>
    <w:rsid w:val="003C2FD8"/>
    <w:rsid w:val="003C377B"/>
    <w:rsid w:val="003C3ABF"/>
    <w:rsid w:val="003C3C64"/>
    <w:rsid w:val="003C4166"/>
    <w:rsid w:val="003C5041"/>
    <w:rsid w:val="003C549A"/>
    <w:rsid w:val="003C5937"/>
    <w:rsid w:val="003C5E66"/>
    <w:rsid w:val="003C5F6F"/>
    <w:rsid w:val="003C6012"/>
    <w:rsid w:val="003C6043"/>
    <w:rsid w:val="003C631C"/>
    <w:rsid w:val="003C71FD"/>
    <w:rsid w:val="003C765B"/>
    <w:rsid w:val="003C7C2F"/>
    <w:rsid w:val="003D0014"/>
    <w:rsid w:val="003D04B0"/>
    <w:rsid w:val="003D097A"/>
    <w:rsid w:val="003D15F8"/>
    <w:rsid w:val="003D1A49"/>
    <w:rsid w:val="003D1EAC"/>
    <w:rsid w:val="003D2011"/>
    <w:rsid w:val="003D2353"/>
    <w:rsid w:val="003D2664"/>
    <w:rsid w:val="003D2884"/>
    <w:rsid w:val="003D2B56"/>
    <w:rsid w:val="003D2FAE"/>
    <w:rsid w:val="003D3839"/>
    <w:rsid w:val="003D3B38"/>
    <w:rsid w:val="003D3BB7"/>
    <w:rsid w:val="003D3C04"/>
    <w:rsid w:val="003D49CE"/>
    <w:rsid w:val="003D5595"/>
    <w:rsid w:val="003D56F5"/>
    <w:rsid w:val="003D5B4A"/>
    <w:rsid w:val="003D61A0"/>
    <w:rsid w:val="003D6AC9"/>
    <w:rsid w:val="003D7213"/>
    <w:rsid w:val="003D74D9"/>
    <w:rsid w:val="003D7B43"/>
    <w:rsid w:val="003E0942"/>
    <w:rsid w:val="003E09CD"/>
    <w:rsid w:val="003E0B5F"/>
    <w:rsid w:val="003E119C"/>
    <w:rsid w:val="003E1511"/>
    <w:rsid w:val="003E174D"/>
    <w:rsid w:val="003E17F1"/>
    <w:rsid w:val="003E19A5"/>
    <w:rsid w:val="003E1F6F"/>
    <w:rsid w:val="003E20E5"/>
    <w:rsid w:val="003E2281"/>
    <w:rsid w:val="003E27A7"/>
    <w:rsid w:val="003E2B95"/>
    <w:rsid w:val="003E2C19"/>
    <w:rsid w:val="003E2E55"/>
    <w:rsid w:val="003E442C"/>
    <w:rsid w:val="003E4951"/>
    <w:rsid w:val="003E4A58"/>
    <w:rsid w:val="003E4A9E"/>
    <w:rsid w:val="003E4DC9"/>
    <w:rsid w:val="003E58F8"/>
    <w:rsid w:val="003E5F4E"/>
    <w:rsid w:val="003E67E4"/>
    <w:rsid w:val="003E68D5"/>
    <w:rsid w:val="003E6DC7"/>
    <w:rsid w:val="003E6E7C"/>
    <w:rsid w:val="003E7E40"/>
    <w:rsid w:val="003E7FF8"/>
    <w:rsid w:val="003F0391"/>
    <w:rsid w:val="003F10CC"/>
    <w:rsid w:val="003F117E"/>
    <w:rsid w:val="003F1490"/>
    <w:rsid w:val="003F1ADB"/>
    <w:rsid w:val="003F1D6B"/>
    <w:rsid w:val="003F2199"/>
    <w:rsid w:val="003F2896"/>
    <w:rsid w:val="003F2B6E"/>
    <w:rsid w:val="003F2DC4"/>
    <w:rsid w:val="003F2EC1"/>
    <w:rsid w:val="003F350B"/>
    <w:rsid w:val="003F3B37"/>
    <w:rsid w:val="003F3BF4"/>
    <w:rsid w:val="003F3D0E"/>
    <w:rsid w:val="003F46D5"/>
    <w:rsid w:val="003F4B51"/>
    <w:rsid w:val="003F50BB"/>
    <w:rsid w:val="003F5663"/>
    <w:rsid w:val="003F5678"/>
    <w:rsid w:val="003F56FD"/>
    <w:rsid w:val="003F6547"/>
    <w:rsid w:val="003F6A54"/>
    <w:rsid w:val="003F6BE1"/>
    <w:rsid w:val="003F732A"/>
    <w:rsid w:val="003F7615"/>
    <w:rsid w:val="004002EB"/>
    <w:rsid w:val="004003CF"/>
    <w:rsid w:val="004006D9"/>
    <w:rsid w:val="0040093F"/>
    <w:rsid w:val="004010B7"/>
    <w:rsid w:val="00401A46"/>
    <w:rsid w:val="00401FE6"/>
    <w:rsid w:val="00402406"/>
    <w:rsid w:val="0040256B"/>
    <w:rsid w:val="00402727"/>
    <w:rsid w:val="00402A11"/>
    <w:rsid w:val="00402C7F"/>
    <w:rsid w:val="00402ECB"/>
    <w:rsid w:val="00402FBF"/>
    <w:rsid w:val="00403742"/>
    <w:rsid w:val="004038B9"/>
    <w:rsid w:val="00403F1E"/>
    <w:rsid w:val="0040459D"/>
    <w:rsid w:val="004048C2"/>
    <w:rsid w:val="00404DEF"/>
    <w:rsid w:val="00405232"/>
    <w:rsid w:val="004054FC"/>
    <w:rsid w:val="0040651E"/>
    <w:rsid w:val="004067A8"/>
    <w:rsid w:val="00407901"/>
    <w:rsid w:val="00407C08"/>
    <w:rsid w:val="0041031C"/>
    <w:rsid w:val="00410A0C"/>
    <w:rsid w:val="00410C0F"/>
    <w:rsid w:val="004116F2"/>
    <w:rsid w:val="004117C4"/>
    <w:rsid w:val="004117E8"/>
    <w:rsid w:val="00411974"/>
    <w:rsid w:val="00413261"/>
    <w:rsid w:val="004138F1"/>
    <w:rsid w:val="004155B1"/>
    <w:rsid w:val="004158F0"/>
    <w:rsid w:val="00416B92"/>
    <w:rsid w:val="00416C31"/>
    <w:rsid w:val="00416EFE"/>
    <w:rsid w:val="004170A3"/>
    <w:rsid w:val="00417EA0"/>
    <w:rsid w:val="0042093A"/>
    <w:rsid w:val="00420B33"/>
    <w:rsid w:val="00420BC0"/>
    <w:rsid w:val="00420E17"/>
    <w:rsid w:val="00420F67"/>
    <w:rsid w:val="0042115D"/>
    <w:rsid w:val="00421383"/>
    <w:rsid w:val="004213E1"/>
    <w:rsid w:val="00421660"/>
    <w:rsid w:val="00421EFD"/>
    <w:rsid w:val="0042258E"/>
    <w:rsid w:val="004228F4"/>
    <w:rsid w:val="00423131"/>
    <w:rsid w:val="0042362E"/>
    <w:rsid w:val="00424035"/>
    <w:rsid w:val="004241C4"/>
    <w:rsid w:val="00424C6E"/>
    <w:rsid w:val="00425BEC"/>
    <w:rsid w:val="00425D59"/>
    <w:rsid w:val="00425E8F"/>
    <w:rsid w:val="00426493"/>
    <w:rsid w:val="00427739"/>
    <w:rsid w:val="00430616"/>
    <w:rsid w:val="00430BA7"/>
    <w:rsid w:val="00430F92"/>
    <w:rsid w:val="004319C1"/>
    <w:rsid w:val="00431EBF"/>
    <w:rsid w:val="00431FCF"/>
    <w:rsid w:val="00432996"/>
    <w:rsid w:val="00433502"/>
    <w:rsid w:val="004348EA"/>
    <w:rsid w:val="00435049"/>
    <w:rsid w:val="004352E6"/>
    <w:rsid w:val="0043535F"/>
    <w:rsid w:val="00435386"/>
    <w:rsid w:val="0043541F"/>
    <w:rsid w:val="00435D0E"/>
    <w:rsid w:val="004360F9"/>
    <w:rsid w:val="00436EF4"/>
    <w:rsid w:val="0043769A"/>
    <w:rsid w:val="00437A20"/>
    <w:rsid w:val="004400C5"/>
    <w:rsid w:val="00440211"/>
    <w:rsid w:val="00440988"/>
    <w:rsid w:val="00440F0D"/>
    <w:rsid w:val="00441416"/>
    <w:rsid w:val="00441620"/>
    <w:rsid w:val="00441BA5"/>
    <w:rsid w:val="00442738"/>
    <w:rsid w:val="00442991"/>
    <w:rsid w:val="00442A7A"/>
    <w:rsid w:val="00442B41"/>
    <w:rsid w:val="00442C78"/>
    <w:rsid w:val="00442C7F"/>
    <w:rsid w:val="00443000"/>
    <w:rsid w:val="00443193"/>
    <w:rsid w:val="004437FC"/>
    <w:rsid w:val="004438EE"/>
    <w:rsid w:val="00443C6A"/>
    <w:rsid w:val="00444009"/>
    <w:rsid w:val="00444100"/>
    <w:rsid w:val="00444DC6"/>
    <w:rsid w:val="00444EA0"/>
    <w:rsid w:val="004450A3"/>
    <w:rsid w:val="00445286"/>
    <w:rsid w:val="004452F6"/>
    <w:rsid w:val="00445468"/>
    <w:rsid w:val="00445483"/>
    <w:rsid w:val="00446D98"/>
    <w:rsid w:val="00447D50"/>
    <w:rsid w:val="00447E6B"/>
    <w:rsid w:val="00447E96"/>
    <w:rsid w:val="0045096D"/>
    <w:rsid w:val="00451004"/>
    <w:rsid w:val="00451109"/>
    <w:rsid w:val="00451AE8"/>
    <w:rsid w:val="00451EA1"/>
    <w:rsid w:val="00451F10"/>
    <w:rsid w:val="004523AC"/>
    <w:rsid w:val="00452625"/>
    <w:rsid w:val="004527F3"/>
    <w:rsid w:val="00452BE3"/>
    <w:rsid w:val="00452EEB"/>
    <w:rsid w:val="004538C8"/>
    <w:rsid w:val="00453C2E"/>
    <w:rsid w:val="0045444A"/>
    <w:rsid w:val="00454C88"/>
    <w:rsid w:val="00454D89"/>
    <w:rsid w:val="00455B74"/>
    <w:rsid w:val="004560FE"/>
    <w:rsid w:val="0045726B"/>
    <w:rsid w:val="00457B56"/>
    <w:rsid w:val="00460AED"/>
    <w:rsid w:val="00461002"/>
    <w:rsid w:val="00461758"/>
    <w:rsid w:val="00461CC4"/>
    <w:rsid w:val="00461F4F"/>
    <w:rsid w:val="004624CC"/>
    <w:rsid w:val="00462C57"/>
    <w:rsid w:val="004638A9"/>
    <w:rsid w:val="00463D08"/>
    <w:rsid w:val="00464426"/>
    <w:rsid w:val="004645AE"/>
    <w:rsid w:val="00464674"/>
    <w:rsid w:val="004646EA"/>
    <w:rsid w:val="00464958"/>
    <w:rsid w:val="00464E61"/>
    <w:rsid w:val="0046589B"/>
    <w:rsid w:val="00465C8C"/>
    <w:rsid w:val="00465CED"/>
    <w:rsid w:val="00465D3E"/>
    <w:rsid w:val="00466355"/>
    <w:rsid w:val="0046650E"/>
    <w:rsid w:val="004675D5"/>
    <w:rsid w:val="004702C6"/>
    <w:rsid w:val="00470637"/>
    <w:rsid w:val="004707D2"/>
    <w:rsid w:val="00470A54"/>
    <w:rsid w:val="00470A8A"/>
    <w:rsid w:val="00471018"/>
    <w:rsid w:val="0047126D"/>
    <w:rsid w:val="00471339"/>
    <w:rsid w:val="0047165C"/>
    <w:rsid w:val="00471766"/>
    <w:rsid w:val="00471B63"/>
    <w:rsid w:val="00472385"/>
    <w:rsid w:val="00472873"/>
    <w:rsid w:val="004729A3"/>
    <w:rsid w:val="00472A06"/>
    <w:rsid w:val="004730DC"/>
    <w:rsid w:val="004739B0"/>
    <w:rsid w:val="00473A86"/>
    <w:rsid w:val="00473C0B"/>
    <w:rsid w:val="0047418D"/>
    <w:rsid w:val="00474514"/>
    <w:rsid w:val="00474E22"/>
    <w:rsid w:val="00474FD8"/>
    <w:rsid w:val="0047536D"/>
    <w:rsid w:val="0047542D"/>
    <w:rsid w:val="0047547A"/>
    <w:rsid w:val="004757E2"/>
    <w:rsid w:val="00475C58"/>
    <w:rsid w:val="00475C7A"/>
    <w:rsid w:val="00476B33"/>
    <w:rsid w:val="00476C74"/>
    <w:rsid w:val="0047760A"/>
    <w:rsid w:val="00477829"/>
    <w:rsid w:val="00480050"/>
    <w:rsid w:val="0048063E"/>
    <w:rsid w:val="0048168E"/>
    <w:rsid w:val="00481B51"/>
    <w:rsid w:val="00481B94"/>
    <w:rsid w:val="00481DB5"/>
    <w:rsid w:val="004826E1"/>
    <w:rsid w:val="00482AA9"/>
    <w:rsid w:val="00482D81"/>
    <w:rsid w:val="004833B6"/>
    <w:rsid w:val="00483AB2"/>
    <w:rsid w:val="00483EB5"/>
    <w:rsid w:val="00484019"/>
    <w:rsid w:val="004845F1"/>
    <w:rsid w:val="00484A96"/>
    <w:rsid w:val="00484B6E"/>
    <w:rsid w:val="00484FF4"/>
    <w:rsid w:val="0048565C"/>
    <w:rsid w:val="004862FA"/>
    <w:rsid w:val="00486441"/>
    <w:rsid w:val="0048692E"/>
    <w:rsid w:val="00486C1B"/>
    <w:rsid w:val="0048735C"/>
    <w:rsid w:val="0048789C"/>
    <w:rsid w:val="004878FF"/>
    <w:rsid w:val="00487E28"/>
    <w:rsid w:val="0049002C"/>
    <w:rsid w:val="004903BA"/>
    <w:rsid w:val="0049040B"/>
    <w:rsid w:val="00490540"/>
    <w:rsid w:val="00490832"/>
    <w:rsid w:val="004908E4"/>
    <w:rsid w:val="00490C7B"/>
    <w:rsid w:val="00490DE0"/>
    <w:rsid w:val="0049128B"/>
    <w:rsid w:val="004914B2"/>
    <w:rsid w:val="00491998"/>
    <w:rsid w:val="00492563"/>
    <w:rsid w:val="004927EA"/>
    <w:rsid w:val="004931C0"/>
    <w:rsid w:val="004938D2"/>
    <w:rsid w:val="00493B28"/>
    <w:rsid w:val="00493BDD"/>
    <w:rsid w:val="00493D82"/>
    <w:rsid w:val="00493E92"/>
    <w:rsid w:val="00494825"/>
    <w:rsid w:val="0049583F"/>
    <w:rsid w:val="0049672A"/>
    <w:rsid w:val="00496E02"/>
    <w:rsid w:val="004971BD"/>
    <w:rsid w:val="00497540"/>
    <w:rsid w:val="00497678"/>
    <w:rsid w:val="0049774C"/>
    <w:rsid w:val="00497A03"/>
    <w:rsid w:val="00497F00"/>
    <w:rsid w:val="004A012E"/>
    <w:rsid w:val="004A0409"/>
    <w:rsid w:val="004A07A4"/>
    <w:rsid w:val="004A09A3"/>
    <w:rsid w:val="004A0A77"/>
    <w:rsid w:val="004A1076"/>
    <w:rsid w:val="004A17FF"/>
    <w:rsid w:val="004A1B2A"/>
    <w:rsid w:val="004A255B"/>
    <w:rsid w:val="004A31C2"/>
    <w:rsid w:val="004A3951"/>
    <w:rsid w:val="004A3DB1"/>
    <w:rsid w:val="004A3FE6"/>
    <w:rsid w:val="004A41E4"/>
    <w:rsid w:val="004A41F3"/>
    <w:rsid w:val="004A4CBA"/>
    <w:rsid w:val="004A54AE"/>
    <w:rsid w:val="004A59EE"/>
    <w:rsid w:val="004A5A68"/>
    <w:rsid w:val="004A62FE"/>
    <w:rsid w:val="004A648F"/>
    <w:rsid w:val="004A68F3"/>
    <w:rsid w:val="004A698E"/>
    <w:rsid w:val="004A7105"/>
    <w:rsid w:val="004A793E"/>
    <w:rsid w:val="004A7AB5"/>
    <w:rsid w:val="004B0394"/>
    <w:rsid w:val="004B0589"/>
    <w:rsid w:val="004B0D96"/>
    <w:rsid w:val="004B14B7"/>
    <w:rsid w:val="004B15A5"/>
    <w:rsid w:val="004B1A59"/>
    <w:rsid w:val="004B1A99"/>
    <w:rsid w:val="004B1AF2"/>
    <w:rsid w:val="004B2F7F"/>
    <w:rsid w:val="004B32F0"/>
    <w:rsid w:val="004B36F7"/>
    <w:rsid w:val="004B380C"/>
    <w:rsid w:val="004B3E2B"/>
    <w:rsid w:val="004B3EE3"/>
    <w:rsid w:val="004B4585"/>
    <w:rsid w:val="004B4660"/>
    <w:rsid w:val="004B4963"/>
    <w:rsid w:val="004B4B80"/>
    <w:rsid w:val="004B58AE"/>
    <w:rsid w:val="004B5D91"/>
    <w:rsid w:val="004B7288"/>
    <w:rsid w:val="004B7458"/>
    <w:rsid w:val="004B7E43"/>
    <w:rsid w:val="004C046C"/>
    <w:rsid w:val="004C0BA3"/>
    <w:rsid w:val="004C120D"/>
    <w:rsid w:val="004C155A"/>
    <w:rsid w:val="004C1966"/>
    <w:rsid w:val="004C1E97"/>
    <w:rsid w:val="004C2264"/>
    <w:rsid w:val="004C2CCB"/>
    <w:rsid w:val="004C2E15"/>
    <w:rsid w:val="004C2F01"/>
    <w:rsid w:val="004C307C"/>
    <w:rsid w:val="004C3785"/>
    <w:rsid w:val="004C454F"/>
    <w:rsid w:val="004C4C09"/>
    <w:rsid w:val="004C4D38"/>
    <w:rsid w:val="004C53AA"/>
    <w:rsid w:val="004C599E"/>
    <w:rsid w:val="004C5C39"/>
    <w:rsid w:val="004C5CDB"/>
    <w:rsid w:val="004C5FDB"/>
    <w:rsid w:val="004C619A"/>
    <w:rsid w:val="004C619F"/>
    <w:rsid w:val="004C6357"/>
    <w:rsid w:val="004C692B"/>
    <w:rsid w:val="004C69AA"/>
    <w:rsid w:val="004C6C7B"/>
    <w:rsid w:val="004C7749"/>
    <w:rsid w:val="004C7AB1"/>
    <w:rsid w:val="004D04C5"/>
    <w:rsid w:val="004D0D8B"/>
    <w:rsid w:val="004D1A85"/>
    <w:rsid w:val="004D2AB4"/>
    <w:rsid w:val="004D2B6F"/>
    <w:rsid w:val="004D35C5"/>
    <w:rsid w:val="004D3621"/>
    <w:rsid w:val="004D3CB9"/>
    <w:rsid w:val="004D4029"/>
    <w:rsid w:val="004D4233"/>
    <w:rsid w:val="004D43A2"/>
    <w:rsid w:val="004D4644"/>
    <w:rsid w:val="004D47D2"/>
    <w:rsid w:val="004D4B44"/>
    <w:rsid w:val="004D51C3"/>
    <w:rsid w:val="004D55EA"/>
    <w:rsid w:val="004D56FE"/>
    <w:rsid w:val="004D5EA4"/>
    <w:rsid w:val="004D5F2C"/>
    <w:rsid w:val="004D62B9"/>
    <w:rsid w:val="004D6A33"/>
    <w:rsid w:val="004D74D4"/>
    <w:rsid w:val="004D7629"/>
    <w:rsid w:val="004D774B"/>
    <w:rsid w:val="004D7763"/>
    <w:rsid w:val="004D7A86"/>
    <w:rsid w:val="004E00FB"/>
    <w:rsid w:val="004E029E"/>
    <w:rsid w:val="004E0346"/>
    <w:rsid w:val="004E06C4"/>
    <w:rsid w:val="004E0DBD"/>
    <w:rsid w:val="004E134E"/>
    <w:rsid w:val="004E1DB5"/>
    <w:rsid w:val="004E2006"/>
    <w:rsid w:val="004E2106"/>
    <w:rsid w:val="004E24C2"/>
    <w:rsid w:val="004E27D9"/>
    <w:rsid w:val="004E2D90"/>
    <w:rsid w:val="004E3390"/>
    <w:rsid w:val="004E355C"/>
    <w:rsid w:val="004E3613"/>
    <w:rsid w:val="004E3C8D"/>
    <w:rsid w:val="004E4712"/>
    <w:rsid w:val="004E4E6B"/>
    <w:rsid w:val="004E57AD"/>
    <w:rsid w:val="004E610A"/>
    <w:rsid w:val="004E6706"/>
    <w:rsid w:val="004E6B84"/>
    <w:rsid w:val="004E6C59"/>
    <w:rsid w:val="004E6E0A"/>
    <w:rsid w:val="004E75A8"/>
    <w:rsid w:val="004F0D88"/>
    <w:rsid w:val="004F0FA1"/>
    <w:rsid w:val="004F10FC"/>
    <w:rsid w:val="004F274E"/>
    <w:rsid w:val="004F2A3C"/>
    <w:rsid w:val="004F3238"/>
    <w:rsid w:val="004F373B"/>
    <w:rsid w:val="004F3F30"/>
    <w:rsid w:val="004F446D"/>
    <w:rsid w:val="004F4551"/>
    <w:rsid w:val="004F4AAC"/>
    <w:rsid w:val="004F59B6"/>
    <w:rsid w:val="004F5A27"/>
    <w:rsid w:val="004F5E7F"/>
    <w:rsid w:val="004F6AF4"/>
    <w:rsid w:val="004F6EB4"/>
    <w:rsid w:val="004F717D"/>
    <w:rsid w:val="004F720F"/>
    <w:rsid w:val="004F721F"/>
    <w:rsid w:val="004F7321"/>
    <w:rsid w:val="004F74CB"/>
    <w:rsid w:val="004F75FC"/>
    <w:rsid w:val="004F76EB"/>
    <w:rsid w:val="004F78B5"/>
    <w:rsid w:val="00500197"/>
    <w:rsid w:val="00500747"/>
    <w:rsid w:val="00500932"/>
    <w:rsid w:val="00500D9A"/>
    <w:rsid w:val="00500DA1"/>
    <w:rsid w:val="0050130C"/>
    <w:rsid w:val="0050143B"/>
    <w:rsid w:val="00502077"/>
    <w:rsid w:val="005020FB"/>
    <w:rsid w:val="005022F1"/>
    <w:rsid w:val="00502E01"/>
    <w:rsid w:val="005031CA"/>
    <w:rsid w:val="005032C1"/>
    <w:rsid w:val="00503306"/>
    <w:rsid w:val="0050395B"/>
    <w:rsid w:val="00503D23"/>
    <w:rsid w:val="00503DA3"/>
    <w:rsid w:val="0050407A"/>
    <w:rsid w:val="00504263"/>
    <w:rsid w:val="00504608"/>
    <w:rsid w:val="00504761"/>
    <w:rsid w:val="00504D35"/>
    <w:rsid w:val="005058BC"/>
    <w:rsid w:val="00505C88"/>
    <w:rsid w:val="00505DE9"/>
    <w:rsid w:val="005065DA"/>
    <w:rsid w:val="005071E7"/>
    <w:rsid w:val="005074A9"/>
    <w:rsid w:val="005075A6"/>
    <w:rsid w:val="0050764E"/>
    <w:rsid w:val="00507B37"/>
    <w:rsid w:val="00510102"/>
    <w:rsid w:val="005104BA"/>
    <w:rsid w:val="005107F4"/>
    <w:rsid w:val="00510BEA"/>
    <w:rsid w:val="0051208C"/>
    <w:rsid w:val="00512B4A"/>
    <w:rsid w:val="00512B91"/>
    <w:rsid w:val="005135AD"/>
    <w:rsid w:val="00513A00"/>
    <w:rsid w:val="00513C06"/>
    <w:rsid w:val="00514039"/>
    <w:rsid w:val="00514989"/>
    <w:rsid w:val="00514E63"/>
    <w:rsid w:val="005153C3"/>
    <w:rsid w:val="0051571F"/>
    <w:rsid w:val="00515DCD"/>
    <w:rsid w:val="00515FA6"/>
    <w:rsid w:val="005162BB"/>
    <w:rsid w:val="005162C4"/>
    <w:rsid w:val="00516D05"/>
    <w:rsid w:val="00516DFF"/>
    <w:rsid w:val="00517257"/>
    <w:rsid w:val="00517973"/>
    <w:rsid w:val="00517A98"/>
    <w:rsid w:val="005200D1"/>
    <w:rsid w:val="00520D97"/>
    <w:rsid w:val="00520E09"/>
    <w:rsid w:val="00521387"/>
    <w:rsid w:val="00521891"/>
    <w:rsid w:val="005218AD"/>
    <w:rsid w:val="005222E2"/>
    <w:rsid w:val="005225B5"/>
    <w:rsid w:val="00522CC5"/>
    <w:rsid w:val="00522F88"/>
    <w:rsid w:val="005237CC"/>
    <w:rsid w:val="00523973"/>
    <w:rsid w:val="00523D5E"/>
    <w:rsid w:val="005242E7"/>
    <w:rsid w:val="005243CE"/>
    <w:rsid w:val="005250BF"/>
    <w:rsid w:val="00525718"/>
    <w:rsid w:val="005259E7"/>
    <w:rsid w:val="00525E7C"/>
    <w:rsid w:val="005261A9"/>
    <w:rsid w:val="005262F6"/>
    <w:rsid w:val="00526655"/>
    <w:rsid w:val="00526730"/>
    <w:rsid w:val="00526AD2"/>
    <w:rsid w:val="00526ECC"/>
    <w:rsid w:val="00530259"/>
    <w:rsid w:val="00530776"/>
    <w:rsid w:val="0053117D"/>
    <w:rsid w:val="005314BE"/>
    <w:rsid w:val="0053159E"/>
    <w:rsid w:val="00531AB8"/>
    <w:rsid w:val="0053224C"/>
    <w:rsid w:val="005338BC"/>
    <w:rsid w:val="00533A72"/>
    <w:rsid w:val="00535369"/>
    <w:rsid w:val="00536219"/>
    <w:rsid w:val="0053687E"/>
    <w:rsid w:val="00536CD8"/>
    <w:rsid w:val="0053717A"/>
    <w:rsid w:val="005371ED"/>
    <w:rsid w:val="00537395"/>
    <w:rsid w:val="00537893"/>
    <w:rsid w:val="00540058"/>
    <w:rsid w:val="005400AC"/>
    <w:rsid w:val="00540622"/>
    <w:rsid w:val="00541068"/>
    <w:rsid w:val="005419F4"/>
    <w:rsid w:val="00541C4C"/>
    <w:rsid w:val="00541CA7"/>
    <w:rsid w:val="005423D9"/>
    <w:rsid w:val="005423ED"/>
    <w:rsid w:val="00542423"/>
    <w:rsid w:val="0054274E"/>
    <w:rsid w:val="00542F78"/>
    <w:rsid w:val="00544C24"/>
    <w:rsid w:val="00544FF2"/>
    <w:rsid w:val="0054520C"/>
    <w:rsid w:val="00545716"/>
    <w:rsid w:val="00545843"/>
    <w:rsid w:val="00545D5F"/>
    <w:rsid w:val="00545FAC"/>
    <w:rsid w:val="005462A7"/>
    <w:rsid w:val="00546E99"/>
    <w:rsid w:val="00546EAF"/>
    <w:rsid w:val="005473B0"/>
    <w:rsid w:val="00547C2D"/>
    <w:rsid w:val="00550237"/>
    <w:rsid w:val="005507F9"/>
    <w:rsid w:val="00550F55"/>
    <w:rsid w:val="00550FD6"/>
    <w:rsid w:val="00551E3D"/>
    <w:rsid w:val="00552498"/>
    <w:rsid w:val="005528CB"/>
    <w:rsid w:val="00552E21"/>
    <w:rsid w:val="00553108"/>
    <w:rsid w:val="005532CB"/>
    <w:rsid w:val="005533BC"/>
    <w:rsid w:val="005536BC"/>
    <w:rsid w:val="0055472F"/>
    <w:rsid w:val="00554D3E"/>
    <w:rsid w:val="005555B4"/>
    <w:rsid w:val="005556A3"/>
    <w:rsid w:val="0055576C"/>
    <w:rsid w:val="00555893"/>
    <w:rsid w:val="00555DE6"/>
    <w:rsid w:val="00556008"/>
    <w:rsid w:val="005561D8"/>
    <w:rsid w:val="00556204"/>
    <w:rsid w:val="005566A6"/>
    <w:rsid w:val="00556EBA"/>
    <w:rsid w:val="00557009"/>
    <w:rsid w:val="00557662"/>
    <w:rsid w:val="00557791"/>
    <w:rsid w:val="0055796C"/>
    <w:rsid w:val="005579F1"/>
    <w:rsid w:val="00557AD1"/>
    <w:rsid w:val="00557DE7"/>
    <w:rsid w:val="0056028D"/>
    <w:rsid w:val="00560363"/>
    <w:rsid w:val="00560D35"/>
    <w:rsid w:val="005610D5"/>
    <w:rsid w:val="00561211"/>
    <w:rsid w:val="00561395"/>
    <w:rsid w:val="005615DC"/>
    <w:rsid w:val="005618FE"/>
    <w:rsid w:val="00561C16"/>
    <w:rsid w:val="00562F0C"/>
    <w:rsid w:val="00563AFE"/>
    <w:rsid w:val="00563CEE"/>
    <w:rsid w:val="00563F7D"/>
    <w:rsid w:val="00564200"/>
    <w:rsid w:val="00564A08"/>
    <w:rsid w:val="00565B74"/>
    <w:rsid w:val="00565F7B"/>
    <w:rsid w:val="0056614F"/>
    <w:rsid w:val="00566290"/>
    <w:rsid w:val="0056634A"/>
    <w:rsid w:val="005667E7"/>
    <w:rsid w:val="00566975"/>
    <w:rsid w:val="005675C6"/>
    <w:rsid w:val="00567B46"/>
    <w:rsid w:val="00570639"/>
    <w:rsid w:val="00570CFC"/>
    <w:rsid w:val="0057238F"/>
    <w:rsid w:val="00572728"/>
    <w:rsid w:val="0057281D"/>
    <w:rsid w:val="00573026"/>
    <w:rsid w:val="00573133"/>
    <w:rsid w:val="005732C3"/>
    <w:rsid w:val="00573388"/>
    <w:rsid w:val="00573477"/>
    <w:rsid w:val="00573EB4"/>
    <w:rsid w:val="00575089"/>
    <w:rsid w:val="00575142"/>
    <w:rsid w:val="005753BE"/>
    <w:rsid w:val="0057542D"/>
    <w:rsid w:val="00575751"/>
    <w:rsid w:val="00575832"/>
    <w:rsid w:val="0057615B"/>
    <w:rsid w:val="00576504"/>
    <w:rsid w:val="005768A0"/>
    <w:rsid w:val="00577A59"/>
    <w:rsid w:val="00577CC5"/>
    <w:rsid w:val="005801DC"/>
    <w:rsid w:val="0058038A"/>
    <w:rsid w:val="005807D9"/>
    <w:rsid w:val="00580D0E"/>
    <w:rsid w:val="00580FE5"/>
    <w:rsid w:val="00581723"/>
    <w:rsid w:val="005818C1"/>
    <w:rsid w:val="00581A19"/>
    <w:rsid w:val="00581ECD"/>
    <w:rsid w:val="0058220C"/>
    <w:rsid w:val="0058268D"/>
    <w:rsid w:val="00582AF8"/>
    <w:rsid w:val="00582FC2"/>
    <w:rsid w:val="005831F8"/>
    <w:rsid w:val="0058369D"/>
    <w:rsid w:val="0058377F"/>
    <w:rsid w:val="00584D2F"/>
    <w:rsid w:val="00584EC5"/>
    <w:rsid w:val="0058524F"/>
    <w:rsid w:val="00585830"/>
    <w:rsid w:val="005862E1"/>
    <w:rsid w:val="00586B02"/>
    <w:rsid w:val="00586C82"/>
    <w:rsid w:val="00586E1B"/>
    <w:rsid w:val="00586ECF"/>
    <w:rsid w:val="005872E0"/>
    <w:rsid w:val="00587914"/>
    <w:rsid w:val="00587DE2"/>
    <w:rsid w:val="005902F4"/>
    <w:rsid w:val="00590985"/>
    <w:rsid w:val="00591114"/>
    <w:rsid w:val="00591979"/>
    <w:rsid w:val="00591DFB"/>
    <w:rsid w:val="00591EB5"/>
    <w:rsid w:val="005921A1"/>
    <w:rsid w:val="00593393"/>
    <w:rsid w:val="00594264"/>
    <w:rsid w:val="0059472D"/>
    <w:rsid w:val="0059483F"/>
    <w:rsid w:val="005949B9"/>
    <w:rsid w:val="00595124"/>
    <w:rsid w:val="00595F84"/>
    <w:rsid w:val="005965DF"/>
    <w:rsid w:val="005966E2"/>
    <w:rsid w:val="00596BEB"/>
    <w:rsid w:val="00596E85"/>
    <w:rsid w:val="0059741C"/>
    <w:rsid w:val="00597DDC"/>
    <w:rsid w:val="00597EE3"/>
    <w:rsid w:val="00597FD2"/>
    <w:rsid w:val="005A0827"/>
    <w:rsid w:val="005A090E"/>
    <w:rsid w:val="005A120F"/>
    <w:rsid w:val="005A1419"/>
    <w:rsid w:val="005A1687"/>
    <w:rsid w:val="005A17D9"/>
    <w:rsid w:val="005A1995"/>
    <w:rsid w:val="005A1A54"/>
    <w:rsid w:val="005A1B41"/>
    <w:rsid w:val="005A1B6F"/>
    <w:rsid w:val="005A1C99"/>
    <w:rsid w:val="005A1D66"/>
    <w:rsid w:val="005A248F"/>
    <w:rsid w:val="005A27AD"/>
    <w:rsid w:val="005A31A5"/>
    <w:rsid w:val="005A321E"/>
    <w:rsid w:val="005A322B"/>
    <w:rsid w:val="005A3D5D"/>
    <w:rsid w:val="005A44BA"/>
    <w:rsid w:val="005A4787"/>
    <w:rsid w:val="005A4D04"/>
    <w:rsid w:val="005A4D98"/>
    <w:rsid w:val="005A503E"/>
    <w:rsid w:val="005A50B7"/>
    <w:rsid w:val="005A5277"/>
    <w:rsid w:val="005A550A"/>
    <w:rsid w:val="005A551F"/>
    <w:rsid w:val="005A5719"/>
    <w:rsid w:val="005A5BA3"/>
    <w:rsid w:val="005A5CC1"/>
    <w:rsid w:val="005A6F0A"/>
    <w:rsid w:val="005A70B2"/>
    <w:rsid w:val="005A72A9"/>
    <w:rsid w:val="005A7348"/>
    <w:rsid w:val="005A7724"/>
    <w:rsid w:val="005B099E"/>
    <w:rsid w:val="005B0DC0"/>
    <w:rsid w:val="005B12B1"/>
    <w:rsid w:val="005B1431"/>
    <w:rsid w:val="005B209E"/>
    <w:rsid w:val="005B2398"/>
    <w:rsid w:val="005B23F1"/>
    <w:rsid w:val="005B240F"/>
    <w:rsid w:val="005B242A"/>
    <w:rsid w:val="005B2603"/>
    <w:rsid w:val="005B287A"/>
    <w:rsid w:val="005B295F"/>
    <w:rsid w:val="005B30A7"/>
    <w:rsid w:val="005B3188"/>
    <w:rsid w:val="005B363F"/>
    <w:rsid w:val="005B3791"/>
    <w:rsid w:val="005B3B1D"/>
    <w:rsid w:val="005B3CF4"/>
    <w:rsid w:val="005B442F"/>
    <w:rsid w:val="005B5083"/>
    <w:rsid w:val="005B51EA"/>
    <w:rsid w:val="005B5715"/>
    <w:rsid w:val="005B775E"/>
    <w:rsid w:val="005B7D11"/>
    <w:rsid w:val="005C0457"/>
    <w:rsid w:val="005C0527"/>
    <w:rsid w:val="005C09F7"/>
    <w:rsid w:val="005C0F0B"/>
    <w:rsid w:val="005C0F13"/>
    <w:rsid w:val="005C184E"/>
    <w:rsid w:val="005C1BE7"/>
    <w:rsid w:val="005C1DD2"/>
    <w:rsid w:val="005C2176"/>
    <w:rsid w:val="005C25AA"/>
    <w:rsid w:val="005C272B"/>
    <w:rsid w:val="005C2742"/>
    <w:rsid w:val="005C3088"/>
    <w:rsid w:val="005C31E2"/>
    <w:rsid w:val="005C3752"/>
    <w:rsid w:val="005C38C3"/>
    <w:rsid w:val="005C40B2"/>
    <w:rsid w:val="005C475A"/>
    <w:rsid w:val="005C4A5C"/>
    <w:rsid w:val="005C4ECC"/>
    <w:rsid w:val="005C4F83"/>
    <w:rsid w:val="005C5A41"/>
    <w:rsid w:val="005C5BD7"/>
    <w:rsid w:val="005C5E2F"/>
    <w:rsid w:val="005C6228"/>
    <w:rsid w:val="005C679D"/>
    <w:rsid w:val="005C6A8C"/>
    <w:rsid w:val="005C6E3E"/>
    <w:rsid w:val="005C7236"/>
    <w:rsid w:val="005C7342"/>
    <w:rsid w:val="005C74C8"/>
    <w:rsid w:val="005D061D"/>
    <w:rsid w:val="005D0EE3"/>
    <w:rsid w:val="005D0F43"/>
    <w:rsid w:val="005D1377"/>
    <w:rsid w:val="005D1626"/>
    <w:rsid w:val="005D2BF0"/>
    <w:rsid w:val="005D38DE"/>
    <w:rsid w:val="005D64CF"/>
    <w:rsid w:val="005D70CC"/>
    <w:rsid w:val="005D71A2"/>
    <w:rsid w:val="005D7550"/>
    <w:rsid w:val="005D7703"/>
    <w:rsid w:val="005D782A"/>
    <w:rsid w:val="005E0383"/>
    <w:rsid w:val="005E03F6"/>
    <w:rsid w:val="005E17FA"/>
    <w:rsid w:val="005E1AD8"/>
    <w:rsid w:val="005E1D50"/>
    <w:rsid w:val="005E20A5"/>
    <w:rsid w:val="005E2411"/>
    <w:rsid w:val="005E2FC7"/>
    <w:rsid w:val="005E3434"/>
    <w:rsid w:val="005E34D5"/>
    <w:rsid w:val="005E390B"/>
    <w:rsid w:val="005E390E"/>
    <w:rsid w:val="005E411D"/>
    <w:rsid w:val="005E4460"/>
    <w:rsid w:val="005E4A1E"/>
    <w:rsid w:val="005E61BD"/>
    <w:rsid w:val="005E6CB3"/>
    <w:rsid w:val="005E77B5"/>
    <w:rsid w:val="005E792D"/>
    <w:rsid w:val="005E7BD9"/>
    <w:rsid w:val="005E7D01"/>
    <w:rsid w:val="005F06B7"/>
    <w:rsid w:val="005F0B7F"/>
    <w:rsid w:val="005F0C94"/>
    <w:rsid w:val="005F1206"/>
    <w:rsid w:val="005F1626"/>
    <w:rsid w:val="005F17B1"/>
    <w:rsid w:val="005F2262"/>
    <w:rsid w:val="005F2630"/>
    <w:rsid w:val="005F265E"/>
    <w:rsid w:val="005F2D7D"/>
    <w:rsid w:val="005F2DE7"/>
    <w:rsid w:val="005F33EE"/>
    <w:rsid w:val="005F4302"/>
    <w:rsid w:val="005F45AF"/>
    <w:rsid w:val="005F4624"/>
    <w:rsid w:val="005F47AF"/>
    <w:rsid w:val="005F4900"/>
    <w:rsid w:val="005F4EB2"/>
    <w:rsid w:val="005F5015"/>
    <w:rsid w:val="005F594B"/>
    <w:rsid w:val="005F5956"/>
    <w:rsid w:val="005F6693"/>
    <w:rsid w:val="005F779F"/>
    <w:rsid w:val="006000B8"/>
    <w:rsid w:val="00600192"/>
    <w:rsid w:val="0060031B"/>
    <w:rsid w:val="00600822"/>
    <w:rsid w:val="006009FF"/>
    <w:rsid w:val="00600BCE"/>
    <w:rsid w:val="00600F5F"/>
    <w:rsid w:val="006013D6"/>
    <w:rsid w:val="006014BF"/>
    <w:rsid w:val="006020AE"/>
    <w:rsid w:val="00602B34"/>
    <w:rsid w:val="00603249"/>
    <w:rsid w:val="00603B53"/>
    <w:rsid w:val="00604093"/>
    <w:rsid w:val="00604230"/>
    <w:rsid w:val="006048E5"/>
    <w:rsid w:val="006048F8"/>
    <w:rsid w:val="00604B75"/>
    <w:rsid w:val="00604CAF"/>
    <w:rsid w:val="00604E52"/>
    <w:rsid w:val="00604E5B"/>
    <w:rsid w:val="0060538A"/>
    <w:rsid w:val="00605CB2"/>
    <w:rsid w:val="00605D19"/>
    <w:rsid w:val="00606308"/>
    <w:rsid w:val="0060657C"/>
    <w:rsid w:val="006067ED"/>
    <w:rsid w:val="00606C96"/>
    <w:rsid w:val="00606CEF"/>
    <w:rsid w:val="006107F7"/>
    <w:rsid w:val="006109BE"/>
    <w:rsid w:val="00610A07"/>
    <w:rsid w:val="00611665"/>
    <w:rsid w:val="006116AC"/>
    <w:rsid w:val="0061189C"/>
    <w:rsid w:val="00611A61"/>
    <w:rsid w:val="00611F2D"/>
    <w:rsid w:val="0061259A"/>
    <w:rsid w:val="00612F60"/>
    <w:rsid w:val="0061320E"/>
    <w:rsid w:val="00613462"/>
    <w:rsid w:val="0061361C"/>
    <w:rsid w:val="00613AED"/>
    <w:rsid w:val="0061523D"/>
    <w:rsid w:val="00615940"/>
    <w:rsid w:val="00615C27"/>
    <w:rsid w:val="00615CE3"/>
    <w:rsid w:val="006161ED"/>
    <w:rsid w:val="00616499"/>
    <w:rsid w:val="00616523"/>
    <w:rsid w:val="00616B4F"/>
    <w:rsid w:val="00617216"/>
    <w:rsid w:val="006175AF"/>
    <w:rsid w:val="0061786D"/>
    <w:rsid w:val="0062010E"/>
    <w:rsid w:val="00620AF6"/>
    <w:rsid w:val="00620E0F"/>
    <w:rsid w:val="006213D1"/>
    <w:rsid w:val="00621442"/>
    <w:rsid w:val="00621917"/>
    <w:rsid w:val="00621B15"/>
    <w:rsid w:val="00621E44"/>
    <w:rsid w:val="00622037"/>
    <w:rsid w:val="006225AC"/>
    <w:rsid w:val="00623899"/>
    <w:rsid w:val="00623B60"/>
    <w:rsid w:val="00624F07"/>
    <w:rsid w:val="006250D4"/>
    <w:rsid w:val="00625391"/>
    <w:rsid w:val="006253B5"/>
    <w:rsid w:val="006254AA"/>
    <w:rsid w:val="00625DDD"/>
    <w:rsid w:val="00625F27"/>
    <w:rsid w:val="006268AA"/>
    <w:rsid w:val="00626D57"/>
    <w:rsid w:val="0062719A"/>
    <w:rsid w:val="0062768B"/>
    <w:rsid w:val="00627B8D"/>
    <w:rsid w:val="00627DED"/>
    <w:rsid w:val="006303B7"/>
    <w:rsid w:val="00631996"/>
    <w:rsid w:val="006319C5"/>
    <w:rsid w:val="00631A21"/>
    <w:rsid w:val="00631F43"/>
    <w:rsid w:val="00633791"/>
    <w:rsid w:val="006339A5"/>
    <w:rsid w:val="006341E4"/>
    <w:rsid w:val="00634DC9"/>
    <w:rsid w:val="00635006"/>
    <w:rsid w:val="00635AAE"/>
    <w:rsid w:val="00635D14"/>
    <w:rsid w:val="006361B5"/>
    <w:rsid w:val="006361B9"/>
    <w:rsid w:val="0063634A"/>
    <w:rsid w:val="006363EA"/>
    <w:rsid w:val="0063699B"/>
    <w:rsid w:val="00636F06"/>
    <w:rsid w:val="006378A9"/>
    <w:rsid w:val="00637CF1"/>
    <w:rsid w:val="006402F0"/>
    <w:rsid w:val="00640E44"/>
    <w:rsid w:val="00640E4D"/>
    <w:rsid w:val="006410A5"/>
    <w:rsid w:val="006411A5"/>
    <w:rsid w:val="006417E5"/>
    <w:rsid w:val="00641D9D"/>
    <w:rsid w:val="006429F1"/>
    <w:rsid w:val="00643C39"/>
    <w:rsid w:val="00643E4A"/>
    <w:rsid w:val="00644466"/>
    <w:rsid w:val="0064471E"/>
    <w:rsid w:val="0064539D"/>
    <w:rsid w:val="00645B1F"/>
    <w:rsid w:val="00645B34"/>
    <w:rsid w:val="00645CC8"/>
    <w:rsid w:val="00645CE0"/>
    <w:rsid w:val="0064602B"/>
    <w:rsid w:val="00646928"/>
    <w:rsid w:val="00646E07"/>
    <w:rsid w:val="00646ECB"/>
    <w:rsid w:val="0064728F"/>
    <w:rsid w:val="006477CD"/>
    <w:rsid w:val="00647BF1"/>
    <w:rsid w:val="00650BBC"/>
    <w:rsid w:val="00650EB6"/>
    <w:rsid w:val="00650FF9"/>
    <w:rsid w:val="00651585"/>
    <w:rsid w:val="00652007"/>
    <w:rsid w:val="006524D6"/>
    <w:rsid w:val="0065285B"/>
    <w:rsid w:val="006537C4"/>
    <w:rsid w:val="00653874"/>
    <w:rsid w:val="00653ADB"/>
    <w:rsid w:val="00653BF4"/>
    <w:rsid w:val="00654BF2"/>
    <w:rsid w:val="00654F28"/>
    <w:rsid w:val="006551FE"/>
    <w:rsid w:val="006552D7"/>
    <w:rsid w:val="006555B6"/>
    <w:rsid w:val="006556F5"/>
    <w:rsid w:val="006561C4"/>
    <w:rsid w:val="00656A44"/>
    <w:rsid w:val="00656DB8"/>
    <w:rsid w:val="006571C7"/>
    <w:rsid w:val="00657521"/>
    <w:rsid w:val="00657CBE"/>
    <w:rsid w:val="00657FA5"/>
    <w:rsid w:val="00660275"/>
    <w:rsid w:val="0066062F"/>
    <w:rsid w:val="00660634"/>
    <w:rsid w:val="00660ED4"/>
    <w:rsid w:val="00661FE4"/>
    <w:rsid w:val="00662059"/>
    <w:rsid w:val="00662C5A"/>
    <w:rsid w:val="00665416"/>
    <w:rsid w:val="0066574E"/>
    <w:rsid w:val="00665999"/>
    <w:rsid w:val="00665EEF"/>
    <w:rsid w:val="0066662C"/>
    <w:rsid w:val="00666679"/>
    <w:rsid w:val="0066694A"/>
    <w:rsid w:val="00666A13"/>
    <w:rsid w:val="00666CB7"/>
    <w:rsid w:val="00666CCA"/>
    <w:rsid w:val="00666F80"/>
    <w:rsid w:val="00667BF4"/>
    <w:rsid w:val="00667F53"/>
    <w:rsid w:val="00670392"/>
    <w:rsid w:val="006703E1"/>
    <w:rsid w:val="006709E6"/>
    <w:rsid w:val="00670BEA"/>
    <w:rsid w:val="00670CEA"/>
    <w:rsid w:val="00672645"/>
    <w:rsid w:val="00672EDC"/>
    <w:rsid w:val="00672F45"/>
    <w:rsid w:val="00673F18"/>
    <w:rsid w:val="0067438F"/>
    <w:rsid w:val="006754AE"/>
    <w:rsid w:val="00675545"/>
    <w:rsid w:val="00675A11"/>
    <w:rsid w:val="00675BB4"/>
    <w:rsid w:val="00675EC2"/>
    <w:rsid w:val="006761D8"/>
    <w:rsid w:val="00676DA3"/>
    <w:rsid w:val="00677AF0"/>
    <w:rsid w:val="00680169"/>
    <w:rsid w:val="00680343"/>
    <w:rsid w:val="00680A81"/>
    <w:rsid w:val="0068190E"/>
    <w:rsid w:val="006827CA"/>
    <w:rsid w:val="0068309B"/>
    <w:rsid w:val="00683713"/>
    <w:rsid w:val="00683D5B"/>
    <w:rsid w:val="00684174"/>
    <w:rsid w:val="0068463D"/>
    <w:rsid w:val="00684958"/>
    <w:rsid w:val="006849CA"/>
    <w:rsid w:val="0068505E"/>
    <w:rsid w:val="006852CB"/>
    <w:rsid w:val="006858EB"/>
    <w:rsid w:val="00685DD6"/>
    <w:rsid w:val="006860C5"/>
    <w:rsid w:val="00686110"/>
    <w:rsid w:val="00686428"/>
    <w:rsid w:val="0068644A"/>
    <w:rsid w:val="0068651C"/>
    <w:rsid w:val="00686649"/>
    <w:rsid w:val="00686B6E"/>
    <w:rsid w:val="00686BF5"/>
    <w:rsid w:val="00686CE6"/>
    <w:rsid w:val="006872BA"/>
    <w:rsid w:val="006874F7"/>
    <w:rsid w:val="00687DF8"/>
    <w:rsid w:val="0069054A"/>
    <w:rsid w:val="00690AA0"/>
    <w:rsid w:val="006917B9"/>
    <w:rsid w:val="006917F9"/>
    <w:rsid w:val="00692BDF"/>
    <w:rsid w:val="00693F6E"/>
    <w:rsid w:val="0069430B"/>
    <w:rsid w:val="00694844"/>
    <w:rsid w:val="006949E9"/>
    <w:rsid w:val="00694F03"/>
    <w:rsid w:val="00694F27"/>
    <w:rsid w:val="00695380"/>
    <w:rsid w:val="00695A1E"/>
    <w:rsid w:val="00695BE3"/>
    <w:rsid w:val="00696147"/>
    <w:rsid w:val="006967BA"/>
    <w:rsid w:val="00696B11"/>
    <w:rsid w:val="00697903"/>
    <w:rsid w:val="00697CC7"/>
    <w:rsid w:val="00697D1C"/>
    <w:rsid w:val="006A08DB"/>
    <w:rsid w:val="006A0D46"/>
    <w:rsid w:val="006A0D9B"/>
    <w:rsid w:val="006A15F6"/>
    <w:rsid w:val="006A2414"/>
    <w:rsid w:val="006A2848"/>
    <w:rsid w:val="006A338B"/>
    <w:rsid w:val="006A38E9"/>
    <w:rsid w:val="006A3B96"/>
    <w:rsid w:val="006A40F8"/>
    <w:rsid w:val="006A447B"/>
    <w:rsid w:val="006A4604"/>
    <w:rsid w:val="006A4E0A"/>
    <w:rsid w:val="006A4E92"/>
    <w:rsid w:val="006A5392"/>
    <w:rsid w:val="006A5C68"/>
    <w:rsid w:val="006A672B"/>
    <w:rsid w:val="006A67A5"/>
    <w:rsid w:val="006A67EC"/>
    <w:rsid w:val="006A6A9E"/>
    <w:rsid w:val="006A6E90"/>
    <w:rsid w:val="006A6F64"/>
    <w:rsid w:val="006A7513"/>
    <w:rsid w:val="006A7937"/>
    <w:rsid w:val="006B03B2"/>
    <w:rsid w:val="006B0AE4"/>
    <w:rsid w:val="006B1F6F"/>
    <w:rsid w:val="006B23D9"/>
    <w:rsid w:val="006B24DB"/>
    <w:rsid w:val="006B2657"/>
    <w:rsid w:val="006B27D9"/>
    <w:rsid w:val="006B2E79"/>
    <w:rsid w:val="006B3034"/>
    <w:rsid w:val="006B314B"/>
    <w:rsid w:val="006B33E3"/>
    <w:rsid w:val="006B40CB"/>
    <w:rsid w:val="006B4661"/>
    <w:rsid w:val="006B4AED"/>
    <w:rsid w:val="006B4C07"/>
    <w:rsid w:val="006B567C"/>
    <w:rsid w:val="006B60FB"/>
    <w:rsid w:val="006B618F"/>
    <w:rsid w:val="006B737E"/>
    <w:rsid w:val="006B7581"/>
    <w:rsid w:val="006B7952"/>
    <w:rsid w:val="006B7DE5"/>
    <w:rsid w:val="006C00A8"/>
    <w:rsid w:val="006C0B73"/>
    <w:rsid w:val="006C0D80"/>
    <w:rsid w:val="006C105D"/>
    <w:rsid w:val="006C1128"/>
    <w:rsid w:val="006C11F9"/>
    <w:rsid w:val="006C136A"/>
    <w:rsid w:val="006C13B1"/>
    <w:rsid w:val="006C15BC"/>
    <w:rsid w:val="006C1D43"/>
    <w:rsid w:val="006C249D"/>
    <w:rsid w:val="006C2B40"/>
    <w:rsid w:val="006C2CB0"/>
    <w:rsid w:val="006C2F44"/>
    <w:rsid w:val="006C372D"/>
    <w:rsid w:val="006C40EB"/>
    <w:rsid w:val="006C4117"/>
    <w:rsid w:val="006C4BEB"/>
    <w:rsid w:val="006C563A"/>
    <w:rsid w:val="006C581A"/>
    <w:rsid w:val="006C5B9F"/>
    <w:rsid w:val="006C5C3B"/>
    <w:rsid w:val="006C6378"/>
    <w:rsid w:val="006C70F2"/>
    <w:rsid w:val="006C71F8"/>
    <w:rsid w:val="006C7432"/>
    <w:rsid w:val="006D0004"/>
    <w:rsid w:val="006D01ED"/>
    <w:rsid w:val="006D02A0"/>
    <w:rsid w:val="006D079D"/>
    <w:rsid w:val="006D0CA4"/>
    <w:rsid w:val="006D0E06"/>
    <w:rsid w:val="006D1796"/>
    <w:rsid w:val="006D1A14"/>
    <w:rsid w:val="006D1CB7"/>
    <w:rsid w:val="006D258D"/>
    <w:rsid w:val="006D2E1B"/>
    <w:rsid w:val="006D3174"/>
    <w:rsid w:val="006D35FE"/>
    <w:rsid w:val="006D3E11"/>
    <w:rsid w:val="006D4239"/>
    <w:rsid w:val="006D4EFD"/>
    <w:rsid w:val="006D4F50"/>
    <w:rsid w:val="006D4FB4"/>
    <w:rsid w:val="006D52C5"/>
    <w:rsid w:val="006D5444"/>
    <w:rsid w:val="006D549C"/>
    <w:rsid w:val="006D5B43"/>
    <w:rsid w:val="006D5E3F"/>
    <w:rsid w:val="006D5F66"/>
    <w:rsid w:val="006D6220"/>
    <w:rsid w:val="006D6C75"/>
    <w:rsid w:val="006D6E3B"/>
    <w:rsid w:val="006D72F4"/>
    <w:rsid w:val="006D73CF"/>
    <w:rsid w:val="006D7705"/>
    <w:rsid w:val="006E083D"/>
    <w:rsid w:val="006E0D0B"/>
    <w:rsid w:val="006E15D0"/>
    <w:rsid w:val="006E173A"/>
    <w:rsid w:val="006E194A"/>
    <w:rsid w:val="006E1E93"/>
    <w:rsid w:val="006E1F77"/>
    <w:rsid w:val="006E1FB6"/>
    <w:rsid w:val="006E2264"/>
    <w:rsid w:val="006E26F0"/>
    <w:rsid w:val="006E275A"/>
    <w:rsid w:val="006E2DA0"/>
    <w:rsid w:val="006E3374"/>
    <w:rsid w:val="006E3643"/>
    <w:rsid w:val="006E3954"/>
    <w:rsid w:val="006E3EFB"/>
    <w:rsid w:val="006E419C"/>
    <w:rsid w:val="006E42C4"/>
    <w:rsid w:val="006E439E"/>
    <w:rsid w:val="006E48D1"/>
    <w:rsid w:val="006E4AEE"/>
    <w:rsid w:val="006E54AE"/>
    <w:rsid w:val="006E5729"/>
    <w:rsid w:val="006E5967"/>
    <w:rsid w:val="006E5C1E"/>
    <w:rsid w:val="006E5E68"/>
    <w:rsid w:val="006E5FA6"/>
    <w:rsid w:val="006E5FE1"/>
    <w:rsid w:val="006E7A16"/>
    <w:rsid w:val="006F077B"/>
    <w:rsid w:val="006F0A7E"/>
    <w:rsid w:val="006F0CE4"/>
    <w:rsid w:val="006F0E24"/>
    <w:rsid w:val="006F0EF9"/>
    <w:rsid w:val="006F1352"/>
    <w:rsid w:val="006F15E8"/>
    <w:rsid w:val="006F1C23"/>
    <w:rsid w:val="006F285C"/>
    <w:rsid w:val="006F28A4"/>
    <w:rsid w:val="006F2BC0"/>
    <w:rsid w:val="006F2BD9"/>
    <w:rsid w:val="006F3F18"/>
    <w:rsid w:val="006F4367"/>
    <w:rsid w:val="006F43D8"/>
    <w:rsid w:val="006F443D"/>
    <w:rsid w:val="006F4A7F"/>
    <w:rsid w:val="006F4C2C"/>
    <w:rsid w:val="006F4E71"/>
    <w:rsid w:val="006F567A"/>
    <w:rsid w:val="006F573A"/>
    <w:rsid w:val="006F623B"/>
    <w:rsid w:val="006F6337"/>
    <w:rsid w:val="006F65A3"/>
    <w:rsid w:val="006F6969"/>
    <w:rsid w:val="006F7D03"/>
    <w:rsid w:val="007001C5"/>
    <w:rsid w:val="007009CC"/>
    <w:rsid w:val="00700A98"/>
    <w:rsid w:val="00700C98"/>
    <w:rsid w:val="0070125F"/>
    <w:rsid w:val="007012AE"/>
    <w:rsid w:val="00701606"/>
    <w:rsid w:val="007018F4"/>
    <w:rsid w:val="007019BA"/>
    <w:rsid w:val="00701F57"/>
    <w:rsid w:val="0070259E"/>
    <w:rsid w:val="00702631"/>
    <w:rsid w:val="00702DFC"/>
    <w:rsid w:val="0070304B"/>
    <w:rsid w:val="00703105"/>
    <w:rsid w:val="0070323D"/>
    <w:rsid w:val="00703316"/>
    <w:rsid w:val="00704342"/>
    <w:rsid w:val="00704931"/>
    <w:rsid w:val="007049C8"/>
    <w:rsid w:val="00704E76"/>
    <w:rsid w:val="00705CE2"/>
    <w:rsid w:val="00705CF0"/>
    <w:rsid w:val="007064DD"/>
    <w:rsid w:val="0070657C"/>
    <w:rsid w:val="00706EFC"/>
    <w:rsid w:val="00706FB8"/>
    <w:rsid w:val="00710F2F"/>
    <w:rsid w:val="0071153E"/>
    <w:rsid w:val="00711A43"/>
    <w:rsid w:val="00711C5B"/>
    <w:rsid w:val="007121E0"/>
    <w:rsid w:val="007127CE"/>
    <w:rsid w:val="0071470B"/>
    <w:rsid w:val="00714BC4"/>
    <w:rsid w:val="007150E7"/>
    <w:rsid w:val="007157D4"/>
    <w:rsid w:val="00715857"/>
    <w:rsid w:val="00715DF5"/>
    <w:rsid w:val="00716453"/>
    <w:rsid w:val="007168AC"/>
    <w:rsid w:val="00716D60"/>
    <w:rsid w:val="00716FBE"/>
    <w:rsid w:val="007173D9"/>
    <w:rsid w:val="0071756E"/>
    <w:rsid w:val="00717DD0"/>
    <w:rsid w:val="00717FA5"/>
    <w:rsid w:val="00720979"/>
    <w:rsid w:val="00720BED"/>
    <w:rsid w:val="00720DBC"/>
    <w:rsid w:val="00720DC5"/>
    <w:rsid w:val="007214FD"/>
    <w:rsid w:val="0072168C"/>
    <w:rsid w:val="007216BA"/>
    <w:rsid w:val="0072185A"/>
    <w:rsid w:val="00722597"/>
    <w:rsid w:val="0072264C"/>
    <w:rsid w:val="00722B89"/>
    <w:rsid w:val="0072338D"/>
    <w:rsid w:val="00723442"/>
    <w:rsid w:val="00723458"/>
    <w:rsid w:val="00723682"/>
    <w:rsid w:val="00723951"/>
    <w:rsid w:val="00724159"/>
    <w:rsid w:val="0072470F"/>
    <w:rsid w:val="00724DD7"/>
    <w:rsid w:val="00725986"/>
    <w:rsid w:val="00725D0C"/>
    <w:rsid w:val="00725F79"/>
    <w:rsid w:val="007261D9"/>
    <w:rsid w:val="0072620C"/>
    <w:rsid w:val="00726402"/>
    <w:rsid w:val="007265A6"/>
    <w:rsid w:val="007270D4"/>
    <w:rsid w:val="0072747B"/>
    <w:rsid w:val="007274BF"/>
    <w:rsid w:val="00727BEF"/>
    <w:rsid w:val="00730314"/>
    <w:rsid w:val="00730383"/>
    <w:rsid w:val="00730776"/>
    <w:rsid w:val="00731044"/>
    <w:rsid w:val="007312EC"/>
    <w:rsid w:val="00731545"/>
    <w:rsid w:val="00731946"/>
    <w:rsid w:val="00731A4A"/>
    <w:rsid w:val="00731F1F"/>
    <w:rsid w:val="00731F47"/>
    <w:rsid w:val="00731FBD"/>
    <w:rsid w:val="00732091"/>
    <w:rsid w:val="00732552"/>
    <w:rsid w:val="00732567"/>
    <w:rsid w:val="00733390"/>
    <w:rsid w:val="00734D06"/>
    <w:rsid w:val="00735430"/>
    <w:rsid w:val="0073555C"/>
    <w:rsid w:val="007365DA"/>
    <w:rsid w:val="007369B3"/>
    <w:rsid w:val="0073716A"/>
    <w:rsid w:val="00737B66"/>
    <w:rsid w:val="00737BEC"/>
    <w:rsid w:val="00737E86"/>
    <w:rsid w:val="007401C1"/>
    <w:rsid w:val="00740600"/>
    <w:rsid w:val="00740943"/>
    <w:rsid w:val="00740C03"/>
    <w:rsid w:val="0074100E"/>
    <w:rsid w:val="007418D5"/>
    <w:rsid w:val="007424E5"/>
    <w:rsid w:val="0074296F"/>
    <w:rsid w:val="007429E5"/>
    <w:rsid w:val="00742AF0"/>
    <w:rsid w:val="00742FE3"/>
    <w:rsid w:val="00743269"/>
    <w:rsid w:val="00743366"/>
    <w:rsid w:val="00744C76"/>
    <w:rsid w:val="007450E4"/>
    <w:rsid w:val="0074564D"/>
    <w:rsid w:val="00745E21"/>
    <w:rsid w:val="00746709"/>
    <w:rsid w:val="007472A3"/>
    <w:rsid w:val="007472D7"/>
    <w:rsid w:val="00747A52"/>
    <w:rsid w:val="00750009"/>
    <w:rsid w:val="00750B29"/>
    <w:rsid w:val="00751583"/>
    <w:rsid w:val="0075188E"/>
    <w:rsid w:val="00751D26"/>
    <w:rsid w:val="00752029"/>
    <w:rsid w:val="00752600"/>
    <w:rsid w:val="00752E22"/>
    <w:rsid w:val="00752F51"/>
    <w:rsid w:val="0075304D"/>
    <w:rsid w:val="00753171"/>
    <w:rsid w:val="00753174"/>
    <w:rsid w:val="007546CF"/>
    <w:rsid w:val="00754851"/>
    <w:rsid w:val="0075497B"/>
    <w:rsid w:val="00754995"/>
    <w:rsid w:val="00754BD5"/>
    <w:rsid w:val="0075545F"/>
    <w:rsid w:val="00755756"/>
    <w:rsid w:val="007558AB"/>
    <w:rsid w:val="00755BA7"/>
    <w:rsid w:val="00755BB1"/>
    <w:rsid w:val="00755CB6"/>
    <w:rsid w:val="00756025"/>
    <w:rsid w:val="0075609A"/>
    <w:rsid w:val="007569CA"/>
    <w:rsid w:val="00756ACD"/>
    <w:rsid w:val="00756D23"/>
    <w:rsid w:val="00756F59"/>
    <w:rsid w:val="00760113"/>
    <w:rsid w:val="007609C8"/>
    <w:rsid w:val="00760BB3"/>
    <w:rsid w:val="00760F32"/>
    <w:rsid w:val="007611A2"/>
    <w:rsid w:val="00761CFB"/>
    <w:rsid w:val="00762C20"/>
    <w:rsid w:val="00762C68"/>
    <w:rsid w:val="00763002"/>
    <w:rsid w:val="007632DB"/>
    <w:rsid w:val="00763459"/>
    <w:rsid w:val="00763C21"/>
    <w:rsid w:val="007640EB"/>
    <w:rsid w:val="007641DC"/>
    <w:rsid w:val="007642E8"/>
    <w:rsid w:val="007645F2"/>
    <w:rsid w:val="00764632"/>
    <w:rsid w:val="0076464D"/>
    <w:rsid w:val="007647BD"/>
    <w:rsid w:val="00764FA4"/>
    <w:rsid w:val="00765455"/>
    <w:rsid w:val="00765844"/>
    <w:rsid w:val="00765923"/>
    <w:rsid w:val="00765946"/>
    <w:rsid w:val="00765F1A"/>
    <w:rsid w:val="007664CD"/>
    <w:rsid w:val="0076654E"/>
    <w:rsid w:val="007674DA"/>
    <w:rsid w:val="0077106E"/>
    <w:rsid w:val="00771101"/>
    <w:rsid w:val="0077140B"/>
    <w:rsid w:val="00771545"/>
    <w:rsid w:val="00771CA4"/>
    <w:rsid w:val="00771E02"/>
    <w:rsid w:val="00772A13"/>
    <w:rsid w:val="00772B7F"/>
    <w:rsid w:val="00772F3A"/>
    <w:rsid w:val="007734B6"/>
    <w:rsid w:val="00773755"/>
    <w:rsid w:val="007742CA"/>
    <w:rsid w:val="0077438B"/>
    <w:rsid w:val="007756D6"/>
    <w:rsid w:val="007760C9"/>
    <w:rsid w:val="0077610C"/>
    <w:rsid w:val="0077623E"/>
    <w:rsid w:val="0077671D"/>
    <w:rsid w:val="0077694B"/>
    <w:rsid w:val="00777191"/>
    <w:rsid w:val="007779E2"/>
    <w:rsid w:val="00777CC0"/>
    <w:rsid w:val="0078074E"/>
    <w:rsid w:val="0078075A"/>
    <w:rsid w:val="00780F74"/>
    <w:rsid w:val="00780F9F"/>
    <w:rsid w:val="00781A7A"/>
    <w:rsid w:val="00781F03"/>
    <w:rsid w:val="007821C8"/>
    <w:rsid w:val="007821EA"/>
    <w:rsid w:val="00782976"/>
    <w:rsid w:val="00783936"/>
    <w:rsid w:val="00783C95"/>
    <w:rsid w:val="00784041"/>
    <w:rsid w:val="00784494"/>
    <w:rsid w:val="007845D5"/>
    <w:rsid w:val="0078476E"/>
    <w:rsid w:val="00784C6A"/>
    <w:rsid w:val="007851AB"/>
    <w:rsid w:val="0078560D"/>
    <w:rsid w:val="00786C20"/>
    <w:rsid w:val="007871C2"/>
    <w:rsid w:val="007876EE"/>
    <w:rsid w:val="00787C9C"/>
    <w:rsid w:val="007900B1"/>
    <w:rsid w:val="00790626"/>
    <w:rsid w:val="00790A02"/>
    <w:rsid w:val="00790B24"/>
    <w:rsid w:val="00790BC1"/>
    <w:rsid w:val="00790BFC"/>
    <w:rsid w:val="00790E9A"/>
    <w:rsid w:val="00791CE9"/>
    <w:rsid w:val="00791DB2"/>
    <w:rsid w:val="00791EEA"/>
    <w:rsid w:val="0079204D"/>
    <w:rsid w:val="007938E4"/>
    <w:rsid w:val="007938E8"/>
    <w:rsid w:val="007939C4"/>
    <w:rsid w:val="00793AAF"/>
    <w:rsid w:val="0079403E"/>
    <w:rsid w:val="007940CF"/>
    <w:rsid w:val="007943A9"/>
    <w:rsid w:val="007944EE"/>
    <w:rsid w:val="00794AD1"/>
    <w:rsid w:val="00795194"/>
    <w:rsid w:val="00795224"/>
    <w:rsid w:val="007958DE"/>
    <w:rsid w:val="00795B24"/>
    <w:rsid w:val="00795D17"/>
    <w:rsid w:val="00795D30"/>
    <w:rsid w:val="00796FF4"/>
    <w:rsid w:val="00797407"/>
    <w:rsid w:val="00797A7E"/>
    <w:rsid w:val="00797DC4"/>
    <w:rsid w:val="007A0252"/>
    <w:rsid w:val="007A0D8E"/>
    <w:rsid w:val="007A15D7"/>
    <w:rsid w:val="007A191C"/>
    <w:rsid w:val="007A1CE8"/>
    <w:rsid w:val="007A2D76"/>
    <w:rsid w:val="007A3A03"/>
    <w:rsid w:val="007A3A8A"/>
    <w:rsid w:val="007A4584"/>
    <w:rsid w:val="007A45EB"/>
    <w:rsid w:val="007A49C8"/>
    <w:rsid w:val="007A651A"/>
    <w:rsid w:val="007A6983"/>
    <w:rsid w:val="007A73B0"/>
    <w:rsid w:val="007A75B1"/>
    <w:rsid w:val="007A7B64"/>
    <w:rsid w:val="007B0111"/>
    <w:rsid w:val="007B0A65"/>
    <w:rsid w:val="007B0DC5"/>
    <w:rsid w:val="007B2109"/>
    <w:rsid w:val="007B216C"/>
    <w:rsid w:val="007B251A"/>
    <w:rsid w:val="007B2F53"/>
    <w:rsid w:val="007B3072"/>
    <w:rsid w:val="007B30D5"/>
    <w:rsid w:val="007B33E7"/>
    <w:rsid w:val="007B3423"/>
    <w:rsid w:val="007B3810"/>
    <w:rsid w:val="007B3F69"/>
    <w:rsid w:val="007B4272"/>
    <w:rsid w:val="007B45BF"/>
    <w:rsid w:val="007B543E"/>
    <w:rsid w:val="007B5563"/>
    <w:rsid w:val="007B5782"/>
    <w:rsid w:val="007B578B"/>
    <w:rsid w:val="007B5B7F"/>
    <w:rsid w:val="007B6252"/>
    <w:rsid w:val="007B6449"/>
    <w:rsid w:val="007B64C2"/>
    <w:rsid w:val="007B6A1D"/>
    <w:rsid w:val="007B732E"/>
    <w:rsid w:val="007B75B0"/>
    <w:rsid w:val="007B7DE7"/>
    <w:rsid w:val="007C029F"/>
    <w:rsid w:val="007C02D8"/>
    <w:rsid w:val="007C03A7"/>
    <w:rsid w:val="007C09AF"/>
    <w:rsid w:val="007C1204"/>
    <w:rsid w:val="007C14D1"/>
    <w:rsid w:val="007C1560"/>
    <w:rsid w:val="007C1EF0"/>
    <w:rsid w:val="007C1FF8"/>
    <w:rsid w:val="007C21FF"/>
    <w:rsid w:val="007C22B6"/>
    <w:rsid w:val="007C22CC"/>
    <w:rsid w:val="007C26A6"/>
    <w:rsid w:val="007C2882"/>
    <w:rsid w:val="007C28A2"/>
    <w:rsid w:val="007C29DE"/>
    <w:rsid w:val="007C2DE9"/>
    <w:rsid w:val="007C336F"/>
    <w:rsid w:val="007C36EA"/>
    <w:rsid w:val="007C3879"/>
    <w:rsid w:val="007C399B"/>
    <w:rsid w:val="007C3A7F"/>
    <w:rsid w:val="007C407E"/>
    <w:rsid w:val="007C408B"/>
    <w:rsid w:val="007C4902"/>
    <w:rsid w:val="007C4FF4"/>
    <w:rsid w:val="007C5185"/>
    <w:rsid w:val="007C6A98"/>
    <w:rsid w:val="007C6E6F"/>
    <w:rsid w:val="007C6F27"/>
    <w:rsid w:val="007C79D3"/>
    <w:rsid w:val="007C7C04"/>
    <w:rsid w:val="007C7D2C"/>
    <w:rsid w:val="007D0265"/>
    <w:rsid w:val="007D04E5"/>
    <w:rsid w:val="007D100C"/>
    <w:rsid w:val="007D15D4"/>
    <w:rsid w:val="007D1BBE"/>
    <w:rsid w:val="007D1E26"/>
    <w:rsid w:val="007D1F96"/>
    <w:rsid w:val="007D20F6"/>
    <w:rsid w:val="007D279E"/>
    <w:rsid w:val="007D2860"/>
    <w:rsid w:val="007D2C6C"/>
    <w:rsid w:val="007D3949"/>
    <w:rsid w:val="007D3B3D"/>
    <w:rsid w:val="007D3D0B"/>
    <w:rsid w:val="007D3DB2"/>
    <w:rsid w:val="007D42D3"/>
    <w:rsid w:val="007D46CA"/>
    <w:rsid w:val="007D4C8D"/>
    <w:rsid w:val="007D4D5D"/>
    <w:rsid w:val="007D5217"/>
    <w:rsid w:val="007D56D7"/>
    <w:rsid w:val="007D5916"/>
    <w:rsid w:val="007D6046"/>
    <w:rsid w:val="007D6663"/>
    <w:rsid w:val="007D6732"/>
    <w:rsid w:val="007D67E5"/>
    <w:rsid w:val="007D686E"/>
    <w:rsid w:val="007D7BB7"/>
    <w:rsid w:val="007E014D"/>
    <w:rsid w:val="007E01F0"/>
    <w:rsid w:val="007E0FB8"/>
    <w:rsid w:val="007E1685"/>
    <w:rsid w:val="007E17A0"/>
    <w:rsid w:val="007E1A3F"/>
    <w:rsid w:val="007E1B55"/>
    <w:rsid w:val="007E2A58"/>
    <w:rsid w:val="007E2EE1"/>
    <w:rsid w:val="007E354D"/>
    <w:rsid w:val="007E3644"/>
    <w:rsid w:val="007E3B14"/>
    <w:rsid w:val="007E3B9C"/>
    <w:rsid w:val="007E43FF"/>
    <w:rsid w:val="007E49D0"/>
    <w:rsid w:val="007E538E"/>
    <w:rsid w:val="007E56E2"/>
    <w:rsid w:val="007E5709"/>
    <w:rsid w:val="007E61E9"/>
    <w:rsid w:val="007E654D"/>
    <w:rsid w:val="007E6DB6"/>
    <w:rsid w:val="007E6E73"/>
    <w:rsid w:val="007E78E5"/>
    <w:rsid w:val="007E7B7A"/>
    <w:rsid w:val="007F01C0"/>
    <w:rsid w:val="007F0A7A"/>
    <w:rsid w:val="007F0C40"/>
    <w:rsid w:val="007F0F1C"/>
    <w:rsid w:val="007F1466"/>
    <w:rsid w:val="007F1806"/>
    <w:rsid w:val="007F244B"/>
    <w:rsid w:val="007F2518"/>
    <w:rsid w:val="007F29DA"/>
    <w:rsid w:val="007F2F8B"/>
    <w:rsid w:val="007F321D"/>
    <w:rsid w:val="007F389B"/>
    <w:rsid w:val="007F40A1"/>
    <w:rsid w:val="007F519C"/>
    <w:rsid w:val="007F5352"/>
    <w:rsid w:val="007F550E"/>
    <w:rsid w:val="007F578D"/>
    <w:rsid w:val="007F5861"/>
    <w:rsid w:val="007F5967"/>
    <w:rsid w:val="007F5EEA"/>
    <w:rsid w:val="007F645D"/>
    <w:rsid w:val="007F67C3"/>
    <w:rsid w:val="007F6E2E"/>
    <w:rsid w:val="007F6E9C"/>
    <w:rsid w:val="007F6F2B"/>
    <w:rsid w:val="007F714F"/>
    <w:rsid w:val="007F73BF"/>
    <w:rsid w:val="007F75E0"/>
    <w:rsid w:val="007F770B"/>
    <w:rsid w:val="007F7A40"/>
    <w:rsid w:val="00800061"/>
    <w:rsid w:val="0080089A"/>
    <w:rsid w:val="008015C1"/>
    <w:rsid w:val="00801B33"/>
    <w:rsid w:val="00801BF5"/>
    <w:rsid w:val="0080277E"/>
    <w:rsid w:val="00802BEC"/>
    <w:rsid w:val="00803615"/>
    <w:rsid w:val="00803B13"/>
    <w:rsid w:val="00803B3F"/>
    <w:rsid w:val="00804433"/>
    <w:rsid w:val="008045B0"/>
    <w:rsid w:val="008046BC"/>
    <w:rsid w:val="0080471F"/>
    <w:rsid w:val="00804DE7"/>
    <w:rsid w:val="00805B22"/>
    <w:rsid w:val="00805BD0"/>
    <w:rsid w:val="008060DF"/>
    <w:rsid w:val="00806279"/>
    <w:rsid w:val="00806D5B"/>
    <w:rsid w:val="008077B6"/>
    <w:rsid w:val="008078C9"/>
    <w:rsid w:val="00807F9A"/>
    <w:rsid w:val="008103D0"/>
    <w:rsid w:val="00810A7C"/>
    <w:rsid w:val="008112D8"/>
    <w:rsid w:val="008115F7"/>
    <w:rsid w:val="0081165C"/>
    <w:rsid w:val="00812E1B"/>
    <w:rsid w:val="0081304E"/>
    <w:rsid w:val="0081374C"/>
    <w:rsid w:val="00813F0A"/>
    <w:rsid w:val="00814B71"/>
    <w:rsid w:val="00815CE4"/>
    <w:rsid w:val="00816782"/>
    <w:rsid w:val="008168F4"/>
    <w:rsid w:val="00816A0A"/>
    <w:rsid w:val="00817332"/>
    <w:rsid w:val="0081760F"/>
    <w:rsid w:val="008176ED"/>
    <w:rsid w:val="00817A80"/>
    <w:rsid w:val="00817B0F"/>
    <w:rsid w:val="008200EA"/>
    <w:rsid w:val="00820B3C"/>
    <w:rsid w:val="00820DBE"/>
    <w:rsid w:val="008210FC"/>
    <w:rsid w:val="0082126C"/>
    <w:rsid w:val="00821D48"/>
    <w:rsid w:val="00822048"/>
    <w:rsid w:val="008224F8"/>
    <w:rsid w:val="00822590"/>
    <w:rsid w:val="00823721"/>
    <w:rsid w:val="00824338"/>
    <w:rsid w:val="00824D8C"/>
    <w:rsid w:val="00824F5F"/>
    <w:rsid w:val="008252BE"/>
    <w:rsid w:val="00825A76"/>
    <w:rsid w:val="00825CB4"/>
    <w:rsid w:val="00825D1C"/>
    <w:rsid w:val="00825D2B"/>
    <w:rsid w:val="00826988"/>
    <w:rsid w:val="00827B4A"/>
    <w:rsid w:val="00827B97"/>
    <w:rsid w:val="00827DC6"/>
    <w:rsid w:val="00831064"/>
    <w:rsid w:val="00831071"/>
    <w:rsid w:val="008311C3"/>
    <w:rsid w:val="0083142C"/>
    <w:rsid w:val="00831C82"/>
    <w:rsid w:val="00832560"/>
    <w:rsid w:val="00833959"/>
    <w:rsid w:val="00833CDC"/>
    <w:rsid w:val="00833E6B"/>
    <w:rsid w:val="008345B7"/>
    <w:rsid w:val="0083487A"/>
    <w:rsid w:val="008348FB"/>
    <w:rsid w:val="00834AA5"/>
    <w:rsid w:val="00834C93"/>
    <w:rsid w:val="00834DFE"/>
    <w:rsid w:val="00835D44"/>
    <w:rsid w:val="00835E08"/>
    <w:rsid w:val="00836340"/>
    <w:rsid w:val="00836562"/>
    <w:rsid w:val="00836CB6"/>
    <w:rsid w:val="00836E81"/>
    <w:rsid w:val="0083793F"/>
    <w:rsid w:val="00837A39"/>
    <w:rsid w:val="0084021D"/>
    <w:rsid w:val="0084039D"/>
    <w:rsid w:val="008405A0"/>
    <w:rsid w:val="00840BB4"/>
    <w:rsid w:val="00840D13"/>
    <w:rsid w:val="0084120B"/>
    <w:rsid w:val="0084149E"/>
    <w:rsid w:val="008418CE"/>
    <w:rsid w:val="00842A00"/>
    <w:rsid w:val="00842C8F"/>
    <w:rsid w:val="00842DE6"/>
    <w:rsid w:val="00842E93"/>
    <w:rsid w:val="00842E95"/>
    <w:rsid w:val="008433C1"/>
    <w:rsid w:val="008436EA"/>
    <w:rsid w:val="00843DB7"/>
    <w:rsid w:val="00844688"/>
    <w:rsid w:val="00844DB6"/>
    <w:rsid w:val="0084508D"/>
    <w:rsid w:val="00845D74"/>
    <w:rsid w:val="0084620E"/>
    <w:rsid w:val="008463C2"/>
    <w:rsid w:val="008464E2"/>
    <w:rsid w:val="00846B0E"/>
    <w:rsid w:val="00846FAC"/>
    <w:rsid w:val="00850067"/>
    <w:rsid w:val="00850187"/>
    <w:rsid w:val="00850608"/>
    <w:rsid w:val="0085099B"/>
    <w:rsid w:val="00850F18"/>
    <w:rsid w:val="0085149C"/>
    <w:rsid w:val="008516CD"/>
    <w:rsid w:val="0085202E"/>
    <w:rsid w:val="008521E9"/>
    <w:rsid w:val="00852531"/>
    <w:rsid w:val="0085275C"/>
    <w:rsid w:val="00852C9F"/>
    <w:rsid w:val="00853468"/>
    <w:rsid w:val="00853769"/>
    <w:rsid w:val="00853885"/>
    <w:rsid w:val="00854472"/>
    <w:rsid w:val="00854A82"/>
    <w:rsid w:val="00854CD1"/>
    <w:rsid w:val="00854F96"/>
    <w:rsid w:val="00855464"/>
    <w:rsid w:val="008555A5"/>
    <w:rsid w:val="008556CD"/>
    <w:rsid w:val="008556EF"/>
    <w:rsid w:val="008560F5"/>
    <w:rsid w:val="00857129"/>
    <w:rsid w:val="008572EA"/>
    <w:rsid w:val="008573EA"/>
    <w:rsid w:val="00857FFE"/>
    <w:rsid w:val="00860563"/>
    <w:rsid w:val="008613A1"/>
    <w:rsid w:val="0086184A"/>
    <w:rsid w:val="008618B0"/>
    <w:rsid w:val="00861922"/>
    <w:rsid w:val="008621C2"/>
    <w:rsid w:val="00862635"/>
    <w:rsid w:val="008629F5"/>
    <w:rsid w:val="008633D4"/>
    <w:rsid w:val="00863B2B"/>
    <w:rsid w:val="0086403D"/>
    <w:rsid w:val="00864133"/>
    <w:rsid w:val="00864249"/>
    <w:rsid w:val="00864378"/>
    <w:rsid w:val="0086493E"/>
    <w:rsid w:val="00864D14"/>
    <w:rsid w:val="00865DDB"/>
    <w:rsid w:val="0086668D"/>
    <w:rsid w:val="008670C3"/>
    <w:rsid w:val="00867A88"/>
    <w:rsid w:val="00867FC6"/>
    <w:rsid w:val="008700E9"/>
    <w:rsid w:val="0087035C"/>
    <w:rsid w:val="0087148F"/>
    <w:rsid w:val="008717DF"/>
    <w:rsid w:val="00871CB1"/>
    <w:rsid w:val="00871FE6"/>
    <w:rsid w:val="00872520"/>
    <w:rsid w:val="00872A73"/>
    <w:rsid w:val="00872BF2"/>
    <w:rsid w:val="00873297"/>
    <w:rsid w:val="0087360C"/>
    <w:rsid w:val="0087375D"/>
    <w:rsid w:val="00874480"/>
    <w:rsid w:val="008747C4"/>
    <w:rsid w:val="008751C7"/>
    <w:rsid w:val="00875B40"/>
    <w:rsid w:val="008763F3"/>
    <w:rsid w:val="0087641B"/>
    <w:rsid w:val="00876584"/>
    <w:rsid w:val="00876716"/>
    <w:rsid w:val="008768BE"/>
    <w:rsid w:val="00876D6A"/>
    <w:rsid w:val="00876E80"/>
    <w:rsid w:val="00880B11"/>
    <w:rsid w:val="0088111E"/>
    <w:rsid w:val="00881525"/>
    <w:rsid w:val="00881928"/>
    <w:rsid w:val="00881BC8"/>
    <w:rsid w:val="00881DAC"/>
    <w:rsid w:val="00882712"/>
    <w:rsid w:val="008829F4"/>
    <w:rsid w:val="0088305F"/>
    <w:rsid w:val="00883144"/>
    <w:rsid w:val="00883342"/>
    <w:rsid w:val="008834AA"/>
    <w:rsid w:val="00883711"/>
    <w:rsid w:val="00883BA1"/>
    <w:rsid w:val="00883C08"/>
    <w:rsid w:val="00884208"/>
    <w:rsid w:val="008845AD"/>
    <w:rsid w:val="008845B3"/>
    <w:rsid w:val="00884783"/>
    <w:rsid w:val="008854C0"/>
    <w:rsid w:val="00885710"/>
    <w:rsid w:val="008859DD"/>
    <w:rsid w:val="0088699D"/>
    <w:rsid w:val="00887523"/>
    <w:rsid w:val="00887565"/>
    <w:rsid w:val="008904A6"/>
    <w:rsid w:val="00890678"/>
    <w:rsid w:val="008906D0"/>
    <w:rsid w:val="00890B09"/>
    <w:rsid w:val="00890C09"/>
    <w:rsid w:val="00891032"/>
    <w:rsid w:val="008911F5"/>
    <w:rsid w:val="008917AC"/>
    <w:rsid w:val="008918D2"/>
    <w:rsid w:val="00891CD3"/>
    <w:rsid w:val="00891F96"/>
    <w:rsid w:val="00892308"/>
    <w:rsid w:val="008923FD"/>
    <w:rsid w:val="00892415"/>
    <w:rsid w:val="008925B0"/>
    <w:rsid w:val="0089292C"/>
    <w:rsid w:val="0089345F"/>
    <w:rsid w:val="00893987"/>
    <w:rsid w:val="008939F4"/>
    <w:rsid w:val="008945EA"/>
    <w:rsid w:val="0089486A"/>
    <w:rsid w:val="00894AB8"/>
    <w:rsid w:val="00894F4A"/>
    <w:rsid w:val="00895280"/>
    <w:rsid w:val="00895464"/>
    <w:rsid w:val="00895C53"/>
    <w:rsid w:val="00895D5F"/>
    <w:rsid w:val="00896042"/>
    <w:rsid w:val="00896295"/>
    <w:rsid w:val="0089630A"/>
    <w:rsid w:val="008970B0"/>
    <w:rsid w:val="008972CA"/>
    <w:rsid w:val="008973BE"/>
    <w:rsid w:val="00897547"/>
    <w:rsid w:val="0089784A"/>
    <w:rsid w:val="00897ED6"/>
    <w:rsid w:val="008A0872"/>
    <w:rsid w:val="008A0969"/>
    <w:rsid w:val="008A0994"/>
    <w:rsid w:val="008A0D7C"/>
    <w:rsid w:val="008A0F38"/>
    <w:rsid w:val="008A183A"/>
    <w:rsid w:val="008A1AE2"/>
    <w:rsid w:val="008A1C23"/>
    <w:rsid w:val="008A23B7"/>
    <w:rsid w:val="008A317D"/>
    <w:rsid w:val="008A3364"/>
    <w:rsid w:val="008A363C"/>
    <w:rsid w:val="008A36C4"/>
    <w:rsid w:val="008A392C"/>
    <w:rsid w:val="008A3A0F"/>
    <w:rsid w:val="008A3A12"/>
    <w:rsid w:val="008A3B38"/>
    <w:rsid w:val="008A4925"/>
    <w:rsid w:val="008A59E9"/>
    <w:rsid w:val="008A5B04"/>
    <w:rsid w:val="008A5CBF"/>
    <w:rsid w:val="008A5F76"/>
    <w:rsid w:val="008A6920"/>
    <w:rsid w:val="008A6E11"/>
    <w:rsid w:val="008A71DC"/>
    <w:rsid w:val="008A743F"/>
    <w:rsid w:val="008A7E81"/>
    <w:rsid w:val="008B03DC"/>
    <w:rsid w:val="008B0C35"/>
    <w:rsid w:val="008B0F8C"/>
    <w:rsid w:val="008B13DF"/>
    <w:rsid w:val="008B17B9"/>
    <w:rsid w:val="008B1BFC"/>
    <w:rsid w:val="008B1E16"/>
    <w:rsid w:val="008B1F3C"/>
    <w:rsid w:val="008B2BC3"/>
    <w:rsid w:val="008B3F86"/>
    <w:rsid w:val="008B40FF"/>
    <w:rsid w:val="008B4314"/>
    <w:rsid w:val="008B4435"/>
    <w:rsid w:val="008B48AA"/>
    <w:rsid w:val="008B4A4E"/>
    <w:rsid w:val="008B4B0A"/>
    <w:rsid w:val="008B4DCF"/>
    <w:rsid w:val="008B4E70"/>
    <w:rsid w:val="008B5376"/>
    <w:rsid w:val="008B551D"/>
    <w:rsid w:val="008B5DD0"/>
    <w:rsid w:val="008B5FA0"/>
    <w:rsid w:val="008B6004"/>
    <w:rsid w:val="008B6199"/>
    <w:rsid w:val="008B6268"/>
    <w:rsid w:val="008B62E1"/>
    <w:rsid w:val="008B6375"/>
    <w:rsid w:val="008B67C1"/>
    <w:rsid w:val="008B73F3"/>
    <w:rsid w:val="008B7B7F"/>
    <w:rsid w:val="008C0B13"/>
    <w:rsid w:val="008C0B6E"/>
    <w:rsid w:val="008C174E"/>
    <w:rsid w:val="008C1977"/>
    <w:rsid w:val="008C3153"/>
    <w:rsid w:val="008C3E76"/>
    <w:rsid w:val="008C4218"/>
    <w:rsid w:val="008C42D1"/>
    <w:rsid w:val="008C49AC"/>
    <w:rsid w:val="008C4A1C"/>
    <w:rsid w:val="008C5BA1"/>
    <w:rsid w:val="008C6B62"/>
    <w:rsid w:val="008C7725"/>
    <w:rsid w:val="008C7DFC"/>
    <w:rsid w:val="008D028A"/>
    <w:rsid w:val="008D0991"/>
    <w:rsid w:val="008D0A53"/>
    <w:rsid w:val="008D15EC"/>
    <w:rsid w:val="008D17F1"/>
    <w:rsid w:val="008D2621"/>
    <w:rsid w:val="008D280C"/>
    <w:rsid w:val="008D2DE8"/>
    <w:rsid w:val="008D2E96"/>
    <w:rsid w:val="008D30BA"/>
    <w:rsid w:val="008D30C2"/>
    <w:rsid w:val="008D3B93"/>
    <w:rsid w:val="008D3D31"/>
    <w:rsid w:val="008D3F0E"/>
    <w:rsid w:val="008D3FEF"/>
    <w:rsid w:val="008D4C0A"/>
    <w:rsid w:val="008D4FC4"/>
    <w:rsid w:val="008D5081"/>
    <w:rsid w:val="008D5684"/>
    <w:rsid w:val="008D5A16"/>
    <w:rsid w:val="008D5A45"/>
    <w:rsid w:val="008D6898"/>
    <w:rsid w:val="008D757D"/>
    <w:rsid w:val="008D76B2"/>
    <w:rsid w:val="008D7FBD"/>
    <w:rsid w:val="008E1C39"/>
    <w:rsid w:val="008E224F"/>
    <w:rsid w:val="008E3A8E"/>
    <w:rsid w:val="008E3CE9"/>
    <w:rsid w:val="008E3DA4"/>
    <w:rsid w:val="008E4991"/>
    <w:rsid w:val="008E4AA8"/>
    <w:rsid w:val="008E4B25"/>
    <w:rsid w:val="008E4BBA"/>
    <w:rsid w:val="008E4FD5"/>
    <w:rsid w:val="008E50F7"/>
    <w:rsid w:val="008E5245"/>
    <w:rsid w:val="008E55EE"/>
    <w:rsid w:val="008E619E"/>
    <w:rsid w:val="008E6AFD"/>
    <w:rsid w:val="008F0201"/>
    <w:rsid w:val="008F0DA7"/>
    <w:rsid w:val="008F106F"/>
    <w:rsid w:val="008F1558"/>
    <w:rsid w:val="008F2108"/>
    <w:rsid w:val="008F2220"/>
    <w:rsid w:val="008F234C"/>
    <w:rsid w:val="008F28E1"/>
    <w:rsid w:val="008F2A88"/>
    <w:rsid w:val="008F35EF"/>
    <w:rsid w:val="008F36E7"/>
    <w:rsid w:val="008F3927"/>
    <w:rsid w:val="008F417A"/>
    <w:rsid w:val="008F48A2"/>
    <w:rsid w:val="008F4D23"/>
    <w:rsid w:val="008F4F7E"/>
    <w:rsid w:val="008F55B9"/>
    <w:rsid w:val="008F5A8C"/>
    <w:rsid w:val="008F5B1B"/>
    <w:rsid w:val="008F61E8"/>
    <w:rsid w:val="008F74E5"/>
    <w:rsid w:val="008F7917"/>
    <w:rsid w:val="008F7D61"/>
    <w:rsid w:val="00900296"/>
    <w:rsid w:val="009002F4"/>
    <w:rsid w:val="0090049F"/>
    <w:rsid w:val="009011C4"/>
    <w:rsid w:val="009011E8"/>
    <w:rsid w:val="00901258"/>
    <w:rsid w:val="009018EE"/>
    <w:rsid w:val="009018F4"/>
    <w:rsid w:val="00901B84"/>
    <w:rsid w:val="00902112"/>
    <w:rsid w:val="0090221F"/>
    <w:rsid w:val="009024DC"/>
    <w:rsid w:val="009024F6"/>
    <w:rsid w:val="00902641"/>
    <w:rsid w:val="00902875"/>
    <w:rsid w:val="00902A25"/>
    <w:rsid w:val="00902A57"/>
    <w:rsid w:val="00902C00"/>
    <w:rsid w:val="00902FB2"/>
    <w:rsid w:val="00903008"/>
    <w:rsid w:val="009030B8"/>
    <w:rsid w:val="009032F4"/>
    <w:rsid w:val="00903541"/>
    <w:rsid w:val="00904F7D"/>
    <w:rsid w:val="00905372"/>
    <w:rsid w:val="0090595A"/>
    <w:rsid w:val="00905CC6"/>
    <w:rsid w:val="009069F2"/>
    <w:rsid w:val="0090757C"/>
    <w:rsid w:val="009076DD"/>
    <w:rsid w:val="00907928"/>
    <w:rsid w:val="00907F5C"/>
    <w:rsid w:val="00910373"/>
    <w:rsid w:val="00910B80"/>
    <w:rsid w:val="00912198"/>
    <w:rsid w:val="00912355"/>
    <w:rsid w:val="00912497"/>
    <w:rsid w:val="00912587"/>
    <w:rsid w:val="00912B07"/>
    <w:rsid w:val="00912E38"/>
    <w:rsid w:val="009137F8"/>
    <w:rsid w:val="00913B8E"/>
    <w:rsid w:val="00913CCF"/>
    <w:rsid w:val="00913FF7"/>
    <w:rsid w:val="00914A10"/>
    <w:rsid w:val="00915210"/>
    <w:rsid w:val="00915964"/>
    <w:rsid w:val="009160EF"/>
    <w:rsid w:val="00916509"/>
    <w:rsid w:val="00916924"/>
    <w:rsid w:val="00916EC6"/>
    <w:rsid w:val="009172DE"/>
    <w:rsid w:val="00917611"/>
    <w:rsid w:val="00917847"/>
    <w:rsid w:val="00917867"/>
    <w:rsid w:val="0091794F"/>
    <w:rsid w:val="00917AB4"/>
    <w:rsid w:val="00920101"/>
    <w:rsid w:val="00920364"/>
    <w:rsid w:val="00920E61"/>
    <w:rsid w:val="009211A6"/>
    <w:rsid w:val="0092121D"/>
    <w:rsid w:val="00921344"/>
    <w:rsid w:val="0092184B"/>
    <w:rsid w:val="00921C4D"/>
    <w:rsid w:val="009227F4"/>
    <w:rsid w:val="0092296A"/>
    <w:rsid w:val="00922987"/>
    <w:rsid w:val="00923175"/>
    <w:rsid w:val="0092399C"/>
    <w:rsid w:val="00923AE8"/>
    <w:rsid w:val="00924126"/>
    <w:rsid w:val="0092417E"/>
    <w:rsid w:val="00924312"/>
    <w:rsid w:val="009249BA"/>
    <w:rsid w:val="00925195"/>
    <w:rsid w:val="00925BC9"/>
    <w:rsid w:val="009265AF"/>
    <w:rsid w:val="009267D2"/>
    <w:rsid w:val="0092693D"/>
    <w:rsid w:val="009271B2"/>
    <w:rsid w:val="009276BC"/>
    <w:rsid w:val="00927A3C"/>
    <w:rsid w:val="00927C08"/>
    <w:rsid w:val="00931367"/>
    <w:rsid w:val="00931A16"/>
    <w:rsid w:val="00931B00"/>
    <w:rsid w:val="00931CCD"/>
    <w:rsid w:val="00931F51"/>
    <w:rsid w:val="00932169"/>
    <w:rsid w:val="0093239E"/>
    <w:rsid w:val="00932540"/>
    <w:rsid w:val="00932632"/>
    <w:rsid w:val="00932786"/>
    <w:rsid w:val="009327C3"/>
    <w:rsid w:val="00933AF8"/>
    <w:rsid w:val="0093418B"/>
    <w:rsid w:val="009342EC"/>
    <w:rsid w:val="00935046"/>
    <w:rsid w:val="009352B0"/>
    <w:rsid w:val="00935427"/>
    <w:rsid w:val="009354BA"/>
    <w:rsid w:val="00936296"/>
    <w:rsid w:val="00936E34"/>
    <w:rsid w:val="00937F21"/>
    <w:rsid w:val="009400BF"/>
    <w:rsid w:val="00941174"/>
    <w:rsid w:val="00941238"/>
    <w:rsid w:val="00941464"/>
    <w:rsid w:val="00941515"/>
    <w:rsid w:val="0094161E"/>
    <w:rsid w:val="00941701"/>
    <w:rsid w:val="0094191D"/>
    <w:rsid w:val="00942347"/>
    <w:rsid w:val="00942EA4"/>
    <w:rsid w:val="009435AB"/>
    <w:rsid w:val="009435BA"/>
    <w:rsid w:val="00943D76"/>
    <w:rsid w:val="00943DF6"/>
    <w:rsid w:val="00943F5E"/>
    <w:rsid w:val="0094499D"/>
    <w:rsid w:val="00944DA8"/>
    <w:rsid w:val="0094523E"/>
    <w:rsid w:val="00945866"/>
    <w:rsid w:val="00945A9C"/>
    <w:rsid w:val="00945F61"/>
    <w:rsid w:val="009468AA"/>
    <w:rsid w:val="00946D3F"/>
    <w:rsid w:val="00946DBC"/>
    <w:rsid w:val="0094715A"/>
    <w:rsid w:val="00947858"/>
    <w:rsid w:val="0094792D"/>
    <w:rsid w:val="00950695"/>
    <w:rsid w:val="00950777"/>
    <w:rsid w:val="00950861"/>
    <w:rsid w:val="00950B1B"/>
    <w:rsid w:val="00951A05"/>
    <w:rsid w:val="00951AB8"/>
    <w:rsid w:val="0095274B"/>
    <w:rsid w:val="00953069"/>
    <w:rsid w:val="0095335A"/>
    <w:rsid w:val="00953AD4"/>
    <w:rsid w:val="00953BAA"/>
    <w:rsid w:val="00953CD9"/>
    <w:rsid w:val="00953CF8"/>
    <w:rsid w:val="00954AF7"/>
    <w:rsid w:val="00956117"/>
    <w:rsid w:val="00956262"/>
    <w:rsid w:val="00956DA3"/>
    <w:rsid w:val="00957A8C"/>
    <w:rsid w:val="00960017"/>
    <w:rsid w:val="00960137"/>
    <w:rsid w:val="0096040F"/>
    <w:rsid w:val="009609B0"/>
    <w:rsid w:val="00960AD7"/>
    <w:rsid w:val="00960D94"/>
    <w:rsid w:val="00960F7F"/>
    <w:rsid w:val="00960FF5"/>
    <w:rsid w:val="009613D4"/>
    <w:rsid w:val="00962008"/>
    <w:rsid w:val="00962BFF"/>
    <w:rsid w:val="00962E37"/>
    <w:rsid w:val="009630BB"/>
    <w:rsid w:val="0096351D"/>
    <w:rsid w:val="009638C9"/>
    <w:rsid w:val="00963993"/>
    <w:rsid w:val="00964D10"/>
    <w:rsid w:val="00965223"/>
    <w:rsid w:val="00965590"/>
    <w:rsid w:val="00966212"/>
    <w:rsid w:val="0096624A"/>
    <w:rsid w:val="00966D35"/>
    <w:rsid w:val="009678DA"/>
    <w:rsid w:val="00967F60"/>
    <w:rsid w:val="00970788"/>
    <w:rsid w:val="00970B86"/>
    <w:rsid w:val="00970F47"/>
    <w:rsid w:val="00971390"/>
    <w:rsid w:val="00971D6C"/>
    <w:rsid w:val="00971E49"/>
    <w:rsid w:val="00972B0E"/>
    <w:rsid w:val="00973650"/>
    <w:rsid w:val="0097382F"/>
    <w:rsid w:val="009739AE"/>
    <w:rsid w:val="00975168"/>
    <w:rsid w:val="0097576E"/>
    <w:rsid w:val="009757E5"/>
    <w:rsid w:val="00975D9C"/>
    <w:rsid w:val="00976D1A"/>
    <w:rsid w:val="00976DC7"/>
    <w:rsid w:val="00976E53"/>
    <w:rsid w:val="009777BB"/>
    <w:rsid w:val="00977A68"/>
    <w:rsid w:val="00977CB2"/>
    <w:rsid w:val="00980094"/>
    <w:rsid w:val="0098055C"/>
    <w:rsid w:val="00980653"/>
    <w:rsid w:val="00980BBE"/>
    <w:rsid w:val="00980D29"/>
    <w:rsid w:val="00980DB4"/>
    <w:rsid w:val="00981272"/>
    <w:rsid w:val="0098175D"/>
    <w:rsid w:val="009818CA"/>
    <w:rsid w:val="00982785"/>
    <w:rsid w:val="00983D9B"/>
    <w:rsid w:val="00984578"/>
    <w:rsid w:val="00985354"/>
    <w:rsid w:val="00985609"/>
    <w:rsid w:val="009857A4"/>
    <w:rsid w:val="009862A8"/>
    <w:rsid w:val="009869D2"/>
    <w:rsid w:val="00987B88"/>
    <w:rsid w:val="00987F23"/>
    <w:rsid w:val="009902CF"/>
    <w:rsid w:val="009903A6"/>
    <w:rsid w:val="00990583"/>
    <w:rsid w:val="00990AA3"/>
    <w:rsid w:val="00990C10"/>
    <w:rsid w:val="00991039"/>
    <w:rsid w:val="009911FE"/>
    <w:rsid w:val="009916E1"/>
    <w:rsid w:val="00991A56"/>
    <w:rsid w:val="00991D05"/>
    <w:rsid w:val="00992D8C"/>
    <w:rsid w:val="009934C3"/>
    <w:rsid w:val="0099364E"/>
    <w:rsid w:val="00993C7D"/>
    <w:rsid w:val="00994368"/>
    <w:rsid w:val="00994C1F"/>
    <w:rsid w:val="00994D50"/>
    <w:rsid w:val="00995486"/>
    <w:rsid w:val="00995BD1"/>
    <w:rsid w:val="009962EF"/>
    <w:rsid w:val="0099698B"/>
    <w:rsid w:val="0099699D"/>
    <w:rsid w:val="00997049"/>
    <w:rsid w:val="009972C0"/>
    <w:rsid w:val="00997BCE"/>
    <w:rsid w:val="00997D39"/>
    <w:rsid w:val="00997E37"/>
    <w:rsid w:val="009A0222"/>
    <w:rsid w:val="009A0765"/>
    <w:rsid w:val="009A07B3"/>
    <w:rsid w:val="009A07F8"/>
    <w:rsid w:val="009A1614"/>
    <w:rsid w:val="009A267D"/>
    <w:rsid w:val="009A285E"/>
    <w:rsid w:val="009A2DC1"/>
    <w:rsid w:val="009A2E98"/>
    <w:rsid w:val="009A3031"/>
    <w:rsid w:val="009A33F8"/>
    <w:rsid w:val="009A3CE5"/>
    <w:rsid w:val="009A3D76"/>
    <w:rsid w:val="009A403B"/>
    <w:rsid w:val="009A428F"/>
    <w:rsid w:val="009A429D"/>
    <w:rsid w:val="009A4A64"/>
    <w:rsid w:val="009A4E66"/>
    <w:rsid w:val="009A51AD"/>
    <w:rsid w:val="009A547E"/>
    <w:rsid w:val="009A55A8"/>
    <w:rsid w:val="009A6553"/>
    <w:rsid w:val="009A7158"/>
    <w:rsid w:val="009A7466"/>
    <w:rsid w:val="009A74CC"/>
    <w:rsid w:val="009A7526"/>
    <w:rsid w:val="009A7645"/>
    <w:rsid w:val="009A7656"/>
    <w:rsid w:val="009A7748"/>
    <w:rsid w:val="009A7E82"/>
    <w:rsid w:val="009B005A"/>
    <w:rsid w:val="009B02F3"/>
    <w:rsid w:val="009B04FE"/>
    <w:rsid w:val="009B15AA"/>
    <w:rsid w:val="009B1A16"/>
    <w:rsid w:val="009B3039"/>
    <w:rsid w:val="009B30EE"/>
    <w:rsid w:val="009B3596"/>
    <w:rsid w:val="009B3B8A"/>
    <w:rsid w:val="009B458D"/>
    <w:rsid w:val="009B45EE"/>
    <w:rsid w:val="009B5203"/>
    <w:rsid w:val="009B5619"/>
    <w:rsid w:val="009B5688"/>
    <w:rsid w:val="009B573B"/>
    <w:rsid w:val="009B57F3"/>
    <w:rsid w:val="009B5964"/>
    <w:rsid w:val="009B5FE9"/>
    <w:rsid w:val="009B6198"/>
    <w:rsid w:val="009B63A2"/>
    <w:rsid w:val="009B6D6D"/>
    <w:rsid w:val="009B6E8B"/>
    <w:rsid w:val="009B75BC"/>
    <w:rsid w:val="009C0285"/>
    <w:rsid w:val="009C0A18"/>
    <w:rsid w:val="009C0D87"/>
    <w:rsid w:val="009C0F45"/>
    <w:rsid w:val="009C11D0"/>
    <w:rsid w:val="009C13CF"/>
    <w:rsid w:val="009C2303"/>
    <w:rsid w:val="009C3055"/>
    <w:rsid w:val="009C33EC"/>
    <w:rsid w:val="009C4B30"/>
    <w:rsid w:val="009C4F07"/>
    <w:rsid w:val="009C509F"/>
    <w:rsid w:val="009C51EB"/>
    <w:rsid w:val="009C5219"/>
    <w:rsid w:val="009C5291"/>
    <w:rsid w:val="009C53D6"/>
    <w:rsid w:val="009C5D6F"/>
    <w:rsid w:val="009C5E80"/>
    <w:rsid w:val="009C6148"/>
    <w:rsid w:val="009C6305"/>
    <w:rsid w:val="009C63E2"/>
    <w:rsid w:val="009C69E6"/>
    <w:rsid w:val="009C6EF2"/>
    <w:rsid w:val="009C7243"/>
    <w:rsid w:val="009C7605"/>
    <w:rsid w:val="009C7E4C"/>
    <w:rsid w:val="009D11A5"/>
    <w:rsid w:val="009D1A14"/>
    <w:rsid w:val="009D1A2C"/>
    <w:rsid w:val="009D205C"/>
    <w:rsid w:val="009D2DD3"/>
    <w:rsid w:val="009D32EE"/>
    <w:rsid w:val="009D4045"/>
    <w:rsid w:val="009D4333"/>
    <w:rsid w:val="009D468C"/>
    <w:rsid w:val="009D46F5"/>
    <w:rsid w:val="009D48A6"/>
    <w:rsid w:val="009D4DDB"/>
    <w:rsid w:val="009D5BB0"/>
    <w:rsid w:val="009D5EA5"/>
    <w:rsid w:val="009D6AAE"/>
    <w:rsid w:val="009D7019"/>
    <w:rsid w:val="009D7150"/>
    <w:rsid w:val="009D7431"/>
    <w:rsid w:val="009D763A"/>
    <w:rsid w:val="009E01E7"/>
    <w:rsid w:val="009E0325"/>
    <w:rsid w:val="009E0950"/>
    <w:rsid w:val="009E14CA"/>
    <w:rsid w:val="009E1C39"/>
    <w:rsid w:val="009E28A5"/>
    <w:rsid w:val="009E2AE8"/>
    <w:rsid w:val="009E353B"/>
    <w:rsid w:val="009E3798"/>
    <w:rsid w:val="009E4256"/>
    <w:rsid w:val="009E4619"/>
    <w:rsid w:val="009E488F"/>
    <w:rsid w:val="009E578B"/>
    <w:rsid w:val="009E640D"/>
    <w:rsid w:val="009E687D"/>
    <w:rsid w:val="009E721C"/>
    <w:rsid w:val="009E7544"/>
    <w:rsid w:val="009E7CAB"/>
    <w:rsid w:val="009F0189"/>
    <w:rsid w:val="009F024F"/>
    <w:rsid w:val="009F0DD8"/>
    <w:rsid w:val="009F0EF8"/>
    <w:rsid w:val="009F1218"/>
    <w:rsid w:val="009F146B"/>
    <w:rsid w:val="009F162C"/>
    <w:rsid w:val="009F1867"/>
    <w:rsid w:val="009F1DB8"/>
    <w:rsid w:val="009F28DE"/>
    <w:rsid w:val="009F3345"/>
    <w:rsid w:val="009F35AE"/>
    <w:rsid w:val="009F36AD"/>
    <w:rsid w:val="009F3B79"/>
    <w:rsid w:val="009F3FA3"/>
    <w:rsid w:val="009F41CB"/>
    <w:rsid w:val="009F4346"/>
    <w:rsid w:val="009F4557"/>
    <w:rsid w:val="009F531D"/>
    <w:rsid w:val="009F5B6B"/>
    <w:rsid w:val="009F5C90"/>
    <w:rsid w:val="009F5D8A"/>
    <w:rsid w:val="009F5D9A"/>
    <w:rsid w:val="009F5E43"/>
    <w:rsid w:val="009F7CCC"/>
    <w:rsid w:val="009F7F70"/>
    <w:rsid w:val="009F7FD5"/>
    <w:rsid w:val="00A00842"/>
    <w:rsid w:val="00A00B23"/>
    <w:rsid w:val="00A00E68"/>
    <w:rsid w:val="00A01AE2"/>
    <w:rsid w:val="00A01E35"/>
    <w:rsid w:val="00A022E4"/>
    <w:rsid w:val="00A0254D"/>
    <w:rsid w:val="00A02EF9"/>
    <w:rsid w:val="00A0329D"/>
    <w:rsid w:val="00A033BA"/>
    <w:rsid w:val="00A033EC"/>
    <w:rsid w:val="00A034AE"/>
    <w:rsid w:val="00A03CA9"/>
    <w:rsid w:val="00A03CD7"/>
    <w:rsid w:val="00A03D25"/>
    <w:rsid w:val="00A03D64"/>
    <w:rsid w:val="00A04901"/>
    <w:rsid w:val="00A050E5"/>
    <w:rsid w:val="00A05916"/>
    <w:rsid w:val="00A05AA0"/>
    <w:rsid w:val="00A05C5B"/>
    <w:rsid w:val="00A06006"/>
    <w:rsid w:val="00A06CBF"/>
    <w:rsid w:val="00A07913"/>
    <w:rsid w:val="00A07EF2"/>
    <w:rsid w:val="00A10758"/>
    <w:rsid w:val="00A1085F"/>
    <w:rsid w:val="00A10E4A"/>
    <w:rsid w:val="00A10EEE"/>
    <w:rsid w:val="00A110EB"/>
    <w:rsid w:val="00A111B9"/>
    <w:rsid w:val="00A11817"/>
    <w:rsid w:val="00A119FE"/>
    <w:rsid w:val="00A11C14"/>
    <w:rsid w:val="00A11FF7"/>
    <w:rsid w:val="00A127CB"/>
    <w:rsid w:val="00A1292C"/>
    <w:rsid w:val="00A13699"/>
    <w:rsid w:val="00A13987"/>
    <w:rsid w:val="00A148F6"/>
    <w:rsid w:val="00A1497C"/>
    <w:rsid w:val="00A14E93"/>
    <w:rsid w:val="00A14FB0"/>
    <w:rsid w:val="00A154FC"/>
    <w:rsid w:val="00A15AF4"/>
    <w:rsid w:val="00A15C80"/>
    <w:rsid w:val="00A165E9"/>
    <w:rsid w:val="00A16A6D"/>
    <w:rsid w:val="00A16AE7"/>
    <w:rsid w:val="00A16D90"/>
    <w:rsid w:val="00A171D3"/>
    <w:rsid w:val="00A1730D"/>
    <w:rsid w:val="00A2031A"/>
    <w:rsid w:val="00A204E0"/>
    <w:rsid w:val="00A207E2"/>
    <w:rsid w:val="00A214ED"/>
    <w:rsid w:val="00A21C38"/>
    <w:rsid w:val="00A221C1"/>
    <w:rsid w:val="00A221F0"/>
    <w:rsid w:val="00A22731"/>
    <w:rsid w:val="00A227F0"/>
    <w:rsid w:val="00A2339E"/>
    <w:rsid w:val="00A233E1"/>
    <w:rsid w:val="00A23D1C"/>
    <w:rsid w:val="00A2424B"/>
    <w:rsid w:val="00A2437F"/>
    <w:rsid w:val="00A2483F"/>
    <w:rsid w:val="00A251B2"/>
    <w:rsid w:val="00A251FC"/>
    <w:rsid w:val="00A256CF"/>
    <w:rsid w:val="00A2598F"/>
    <w:rsid w:val="00A265B6"/>
    <w:rsid w:val="00A269E1"/>
    <w:rsid w:val="00A26C7B"/>
    <w:rsid w:val="00A27194"/>
    <w:rsid w:val="00A2780B"/>
    <w:rsid w:val="00A27BBD"/>
    <w:rsid w:val="00A30B23"/>
    <w:rsid w:val="00A31493"/>
    <w:rsid w:val="00A319C8"/>
    <w:rsid w:val="00A321AE"/>
    <w:rsid w:val="00A32376"/>
    <w:rsid w:val="00A32D21"/>
    <w:rsid w:val="00A333E0"/>
    <w:rsid w:val="00A33817"/>
    <w:rsid w:val="00A33CE8"/>
    <w:rsid w:val="00A345F1"/>
    <w:rsid w:val="00A34893"/>
    <w:rsid w:val="00A35032"/>
    <w:rsid w:val="00A35276"/>
    <w:rsid w:val="00A35308"/>
    <w:rsid w:val="00A358E9"/>
    <w:rsid w:val="00A35AA6"/>
    <w:rsid w:val="00A35D62"/>
    <w:rsid w:val="00A361D2"/>
    <w:rsid w:val="00A36754"/>
    <w:rsid w:val="00A36A18"/>
    <w:rsid w:val="00A36A19"/>
    <w:rsid w:val="00A36DA5"/>
    <w:rsid w:val="00A36FFE"/>
    <w:rsid w:val="00A373BF"/>
    <w:rsid w:val="00A375D2"/>
    <w:rsid w:val="00A376AE"/>
    <w:rsid w:val="00A37CC3"/>
    <w:rsid w:val="00A37D2B"/>
    <w:rsid w:val="00A401EA"/>
    <w:rsid w:val="00A4081A"/>
    <w:rsid w:val="00A40983"/>
    <w:rsid w:val="00A40BB2"/>
    <w:rsid w:val="00A40E78"/>
    <w:rsid w:val="00A40EE1"/>
    <w:rsid w:val="00A414FD"/>
    <w:rsid w:val="00A41BA3"/>
    <w:rsid w:val="00A42205"/>
    <w:rsid w:val="00A4260C"/>
    <w:rsid w:val="00A429A1"/>
    <w:rsid w:val="00A42D64"/>
    <w:rsid w:val="00A431E7"/>
    <w:rsid w:val="00A4375A"/>
    <w:rsid w:val="00A43DDF"/>
    <w:rsid w:val="00A44588"/>
    <w:rsid w:val="00A446BE"/>
    <w:rsid w:val="00A44D43"/>
    <w:rsid w:val="00A45066"/>
    <w:rsid w:val="00A45BF4"/>
    <w:rsid w:val="00A45CDD"/>
    <w:rsid w:val="00A45E5A"/>
    <w:rsid w:val="00A45F67"/>
    <w:rsid w:val="00A4631C"/>
    <w:rsid w:val="00A46385"/>
    <w:rsid w:val="00A464FE"/>
    <w:rsid w:val="00A46A30"/>
    <w:rsid w:val="00A46A8B"/>
    <w:rsid w:val="00A46E8B"/>
    <w:rsid w:val="00A47119"/>
    <w:rsid w:val="00A477E2"/>
    <w:rsid w:val="00A501C8"/>
    <w:rsid w:val="00A50423"/>
    <w:rsid w:val="00A505E1"/>
    <w:rsid w:val="00A50AE6"/>
    <w:rsid w:val="00A50BBF"/>
    <w:rsid w:val="00A514CF"/>
    <w:rsid w:val="00A516C8"/>
    <w:rsid w:val="00A5170D"/>
    <w:rsid w:val="00A51A43"/>
    <w:rsid w:val="00A51CC8"/>
    <w:rsid w:val="00A52014"/>
    <w:rsid w:val="00A524C6"/>
    <w:rsid w:val="00A525A4"/>
    <w:rsid w:val="00A5292A"/>
    <w:rsid w:val="00A52C50"/>
    <w:rsid w:val="00A53251"/>
    <w:rsid w:val="00A533F0"/>
    <w:rsid w:val="00A54111"/>
    <w:rsid w:val="00A54CD2"/>
    <w:rsid w:val="00A54E7F"/>
    <w:rsid w:val="00A5525F"/>
    <w:rsid w:val="00A55518"/>
    <w:rsid w:val="00A55876"/>
    <w:rsid w:val="00A55A4B"/>
    <w:rsid w:val="00A55AE3"/>
    <w:rsid w:val="00A55CF1"/>
    <w:rsid w:val="00A55EEA"/>
    <w:rsid w:val="00A561EA"/>
    <w:rsid w:val="00A566A1"/>
    <w:rsid w:val="00A566E5"/>
    <w:rsid w:val="00A56AF5"/>
    <w:rsid w:val="00A57529"/>
    <w:rsid w:val="00A5791A"/>
    <w:rsid w:val="00A60EC5"/>
    <w:rsid w:val="00A625B7"/>
    <w:rsid w:val="00A62C71"/>
    <w:rsid w:val="00A62CE5"/>
    <w:rsid w:val="00A62D6A"/>
    <w:rsid w:val="00A63386"/>
    <w:rsid w:val="00A637AE"/>
    <w:rsid w:val="00A63A9B"/>
    <w:rsid w:val="00A63BBD"/>
    <w:rsid w:val="00A63D35"/>
    <w:rsid w:val="00A640EE"/>
    <w:rsid w:val="00A642EA"/>
    <w:rsid w:val="00A64420"/>
    <w:rsid w:val="00A645E9"/>
    <w:rsid w:val="00A64E20"/>
    <w:rsid w:val="00A65199"/>
    <w:rsid w:val="00A65213"/>
    <w:rsid w:val="00A6619C"/>
    <w:rsid w:val="00A665CA"/>
    <w:rsid w:val="00A66850"/>
    <w:rsid w:val="00A673C3"/>
    <w:rsid w:val="00A673E5"/>
    <w:rsid w:val="00A67583"/>
    <w:rsid w:val="00A67F0D"/>
    <w:rsid w:val="00A7028B"/>
    <w:rsid w:val="00A70410"/>
    <w:rsid w:val="00A70613"/>
    <w:rsid w:val="00A70626"/>
    <w:rsid w:val="00A70715"/>
    <w:rsid w:val="00A7071F"/>
    <w:rsid w:val="00A7072E"/>
    <w:rsid w:val="00A70E23"/>
    <w:rsid w:val="00A71DDC"/>
    <w:rsid w:val="00A72372"/>
    <w:rsid w:val="00A72780"/>
    <w:rsid w:val="00A72B48"/>
    <w:rsid w:val="00A72B7E"/>
    <w:rsid w:val="00A72BEA"/>
    <w:rsid w:val="00A72E96"/>
    <w:rsid w:val="00A73D54"/>
    <w:rsid w:val="00A741A6"/>
    <w:rsid w:val="00A746D2"/>
    <w:rsid w:val="00A74CBE"/>
    <w:rsid w:val="00A74E64"/>
    <w:rsid w:val="00A758B6"/>
    <w:rsid w:val="00A75E64"/>
    <w:rsid w:val="00A75F39"/>
    <w:rsid w:val="00A761B1"/>
    <w:rsid w:val="00A762DA"/>
    <w:rsid w:val="00A764AA"/>
    <w:rsid w:val="00A768D6"/>
    <w:rsid w:val="00A76C69"/>
    <w:rsid w:val="00A803D8"/>
    <w:rsid w:val="00A80A72"/>
    <w:rsid w:val="00A80C51"/>
    <w:rsid w:val="00A80F44"/>
    <w:rsid w:val="00A81144"/>
    <w:rsid w:val="00A81341"/>
    <w:rsid w:val="00A81CB4"/>
    <w:rsid w:val="00A8250C"/>
    <w:rsid w:val="00A827D8"/>
    <w:rsid w:val="00A82C91"/>
    <w:rsid w:val="00A8312D"/>
    <w:rsid w:val="00A8368B"/>
    <w:rsid w:val="00A83C9C"/>
    <w:rsid w:val="00A843DD"/>
    <w:rsid w:val="00A84AC1"/>
    <w:rsid w:val="00A84AFF"/>
    <w:rsid w:val="00A8518C"/>
    <w:rsid w:val="00A860D4"/>
    <w:rsid w:val="00A874BD"/>
    <w:rsid w:val="00A87574"/>
    <w:rsid w:val="00A87789"/>
    <w:rsid w:val="00A879E2"/>
    <w:rsid w:val="00A87A52"/>
    <w:rsid w:val="00A87A53"/>
    <w:rsid w:val="00A87C70"/>
    <w:rsid w:val="00A901EF"/>
    <w:rsid w:val="00A90371"/>
    <w:rsid w:val="00A90E73"/>
    <w:rsid w:val="00A90F69"/>
    <w:rsid w:val="00A91A78"/>
    <w:rsid w:val="00A91BA2"/>
    <w:rsid w:val="00A91ED8"/>
    <w:rsid w:val="00A9272B"/>
    <w:rsid w:val="00A92884"/>
    <w:rsid w:val="00A93747"/>
    <w:rsid w:val="00A938B0"/>
    <w:rsid w:val="00A93A7E"/>
    <w:rsid w:val="00A94000"/>
    <w:rsid w:val="00A94705"/>
    <w:rsid w:val="00A94AEC"/>
    <w:rsid w:val="00A94E4B"/>
    <w:rsid w:val="00A95F89"/>
    <w:rsid w:val="00A96047"/>
    <w:rsid w:val="00A961A4"/>
    <w:rsid w:val="00A96343"/>
    <w:rsid w:val="00A96540"/>
    <w:rsid w:val="00A97072"/>
    <w:rsid w:val="00A97677"/>
    <w:rsid w:val="00AA0480"/>
    <w:rsid w:val="00AA0580"/>
    <w:rsid w:val="00AA0823"/>
    <w:rsid w:val="00AA18F1"/>
    <w:rsid w:val="00AA24B0"/>
    <w:rsid w:val="00AA2826"/>
    <w:rsid w:val="00AA2861"/>
    <w:rsid w:val="00AA2B45"/>
    <w:rsid w:val="00AA2E20"/>
    <w:rsid w:val="00AA331E"/>
    <w:rsid w:val="00AA396F"/>
    <w:rsid w:val="00AA3BA2"/>
    <w:rsid w:val="00AA47BB"/>
    <w:rsid w:val="00AA53DC"/>
    <w:rsid w:val="00AA6900"/>
    <w:rsid w:val="00AA7068"/>
    <w:rsid w:val="00AA7103"/>
    <w:rsid w:val="00AA770F"/>
    <w:rsid w:val="00AA77DE"/>
    <w:rsid w:val="00AB0416"/>
    <w:rsid w:val="00AB08BE"/>
    <w:rsid w:val="00AB0AC5"/>
    <w:rsid w:val="00AB0E8A"/>
    <w:rsid w:val="00AB0E91"/>
    <w:rsid w:val="00AB1149"/>
    <w:rsid w:val="00AB1157"/>
    <w:rsid w:val="00AB1339"/>
    <w:rsid w:val="00AB1E3A"/>
    <w:rsid w:val="00AB2245"/>
    <w:rsid w:val="00AB2317"/>
    <w:rsid w:val="00AB333A"/>
    <w:rsid w:val="00AB39C6"/>
    <w:rsid w:val="00AB40DF"/>
    <w:rsid w:val="00AB4B3C"/>
    <w:rsid w:val="00AB4E32"/>
    <w:rsid w:val="00AB5424"/>
    <w:rsid w:val="00AB5526"/>
    <w:rsid w:val="00AB5540"/>
    <w:rsid w:val="00AB59DE"/>
    <w:rsid w:val="00AB5A01"/>
    <w:rsid w:val="00AB5E79"/>
    <w:rsid w:val="00AB6CA5"/>
    <w:rsid w:val="00AB72A8"/>
    <w:rsid w:val="00AB757E"/>
    <w:rsid w:val="00AB75EA"/>
    <w:rsid w:val="00AC0370"/>
    <w:rsid w:val="00AC0584"/>
    <w:rsid w:val="00AC06B5"/>
    <w:rsid w:val="00AC0B1B"/>
    <w:rsid w:val="00AC0EEA"/>
    <w:rsid w:val="00AC157E"/>
    <w:rsid w:val="00AC1DEF"/>
    <w:rsid w:val="00AC219A"/>
    <w:rsid w:val="00AC2BCF"/>
    <w:rsid w:val="00AC2DBE"/>
    <w:rsid w:val="00AC3213"/>
    <w:rsid w:val="00AC33F9"/>
    <w:rsid w:val="00AC3B7E"/>
    <w:rsid w:val="00AC3BD2"/>
    <w:rsid w:val="00AC403C"/>
    <w:rsid w:val="00AC4197"/>
    <w:rsid w:val="00AC4299"/>
    <w:rsid w:val="00AC442D"/>
    <w:rsid w:val="00AC49D9"/>
    <w:rsid w:val="00AC4EDA"/>
    <w:rsid w:val="00AC557B"/>
    <w:rsid w:val="00AC5684"/>
    <w:rsid w:val="00AC5699"/>
    <w:rsid w:val="00AC57DF"/>
    <w:rsid w:val="00AC6761"/>
    <w:rsid w:val="00AC6800"/>
    <w:rsid w:val="00AC69FA"/>
    <w:rsid w:val="00AC6C0B"/>
    <w:rsid w:val="00AC6CBA"/>
    <w:rsid w:val="00AC7385"/>
    <w:rsid w:val="00AC7412"/>
    <w:rsid w:val="00AC7B6E"/>
    <w:rsid w:val="00AD0021"/>
    <w:rsid w:val="00AD00E2"/>
    <w:rsid w:val="00AD00F9"/>
    <w:rsid w:val="00AD013A"/>
    <w:rsid w:val="00AD03FA"/>
    <w:rsid w:val="00AD0D5E"/>
    <w:rsid w:val="00AD1201"/>
    <w:rsid w:val="00AD160B"/>
    <w:rsid w:val="00AD189D"/>
    <w:rsid w:val="00AD1D77"/>
    <w:rsid w:val="00AD228B"/>
    <w:rsid w:val="00AD34B8"/>
    <w:rsid w:val="00AD3FD4"/>
    <w:rsid w:val="00AD419B"/>
    <w:rsid w:val="00AD41A5"/>
    <w:rsid w:val="00AD4229"/>
    <w:rsid w:val="00AD43AC"/>
    <w:rsid w:val="00AD54D5"/>
    <w:rsid w:val="00AD5B5B"/>
    <w:rsid w:val="00AD5C9E"/>
    <w:rsid w:val="00AD6168"/>
    <w:rsid w:val="00AD683D"/>
    <w:rsid w:val="00AD6A84"/>
    <w:rsid w:val="00AD728D"/>
    <w:rsid w:val="00AD7443"/>
    <w:rsid w:val="00AD7590"/>
    <w:rsid w:val="00AE00AA"/>
    <w:rsid w:val="00AE0152"/>
    <w:rsid w:val="00AE1712"/>
    <w:rsid w:val="00AE19A2"/>
    <w:rsid w:val="00AE2ACF"/>
    <w:rsid w:val="00AE2E03"/>
    <w:rsid w:val="00AE435C"/>
    <w:rsid w:val="00AE4672"/>
    <w:rsid w:val="00AE4D66"/>
    <w:rsid w:val="00AE54A4"/>
    <w:rsid w:val="00AE54FD"/>
    <w:rsid w:val="00AE56BB"/>
    <w:rsid w:val="00AE5BC5"/>
    <w:rsid w:val="00AE655C"/>
    <w:rsid w:val="00AE671F"/>
    <w:rsid w:val="00AE6CE0"/>
    <w:rsid w:val="00AE7549"/>
    <w:rsid w:val="00AE76A7"/>
    <w:rsid w:val="00AE7C8B"/>
    <w:rsid w:val="00AE7F11"/>
    <w:rsid w:val="00AF2886"/>
    <w:rsid w:val="00AF2B04"/>
    <w:rsid w:val="00AF2D15"/>
    <w:rsid w:val="00AF3038"/>
    <w:rsid w:val="00AF33D3"/>
    <w:rsid w:val="00AF3423"/>
    <w:rsid w:val="00AF45A9"/>
    <w:rsid w:val="00AF4DB2"/>
    <w:rsid w:val="00AF4FF5"/>
    <w:rsid w:val="00AF53D4"/>
    <w:rsid w:val="00AF5419"/>
    <w:rsid w:val="00AF554D"/>
    <w:rsid w:val="00AF5709"/>
    <w:rsid w:val="00AF5FDD"/>
    <w:rsid w:val="00AF628C"/>
    <w:rsid w:val="00AF62F6"/>
    <w:rsid w:val="00AF6791"/>
    <w:rsid w:val="00AF6CA4"/>
    <w:rsid w:val="00AF6E67"/>
    <w:rsid w:val="00AF72F2"/>
    <w:rsid w:val="00AF7AFA"/>
    <w:rsid w:val="00AF7BBB"/>
    <w:rsid w:val="00AF7FCB"/>
    <w:rsid w:val="00B00152"/>
    <w:rsid w:val="00B00287"/>
    <w:rsid w:val="00B01182"/>
    <w:rsid w:val="00B0123E"/>
    <w:rsid w:val="00B017B4"/>
    <w:rsid w:val="00B01ACA"/>
    <w:rsid w:val="00B01C5A"/>
    <w:rsid w:val="00B02167"/>
    <w:rsid w:val="00B02F01"/>
    <w:rsid w:val="00B03293"/>
    <w:rsid w:val="00B03412"/>
    <w:rsid w:val="00B0349A"/>
    <w:rsid w:val="00B037D7"/>
    <w:rsid w:val="00B037D8"/>
    <w:rsid w:val="00B03A08"/>
    <w:rsid w:val="00B03EB3"/>
    <w:rsid w:val="00B03EFF"/>
    <w:rsid w:val="00B04308"/>
    <w:rsid w:val="00B051E4"/>
    <w:rsid w:val="00B05BD9"/>
    <w:rsid w:val="00B064CA"/>
    <w:rsid w:val="00B0702D"/>
    <w:rsid w:val="00B078FB"/>
    <w:rsid w:val="00B101CC"/>
    <w:rsid w:val="00B108DA"/>
    <w:rsid w:val="00B1092E"/>
    <w:rsid w:val="00B1110E"/>
    <w:rsid w:val="00B1127A"/>
    <w:rsid w:val="00B114AA"/>
    <w:rsid w:val="00B119CF"/>
    <w:rsid w:val="00B11DA4"/>
    <w:rsid w:val="00B122E2"/>
    <w:rsid w:val="00B12855"/>
    <w:rsid w:val="00B12F37"/>
    <w:rsid w:val="00B13097"/>
    <w:rsid w:val="00B13261"/>
    <w:rsid w:val="00B1382A"/>
    <w:rsid w:val="00B1400B"/>
    <w:rsid w:val="00B1509E"/>
    <w:rsid w:val="00B15C8A"/>
    <w:rsid w:val="00B15DF8"/>
    <w:rsid w:val="00B163A0"/>
    <w:rsid w:val="00B16792"/>
    <w:rsid w:val="00B17128"/>
    <w:rsid w:val="00B17153"/>
    <w:rsid w:val="00B17289"/>
    <w:rsid w:val="00B172AB"/>
    <w:rsid w:val="00B173C6"/>
    <w:rsid w:val="00B1775D"/>
    <w:rsid w:val="00B17EBF"/>
    <w:rsid w:val="00B208BF"/>
    <w:rsid w:val="00B20ABA"/>
    <w:rsid w:val="00B21002"/>
    <w:rsid w:val="00B21742"/>
    <w:rsid w:val="00B21B34"/>
    <w:rsid w:val="00B21D0A"/>
    <w:rsid w:val="00B21DCC"/>
    <w:rsid w:val="00B220E6"/>
    <w:rsid w:val="00B224E8"/>
    <w:rsid w:val="00B22736"/>
    <w:rsid w:val="00B233F8"/>
    <w:rsid w:val="00B24BBD"/>
    <w:rsid w:val="00B24DE8"/>
    <w:rsid w:val="00B25223"/>
    <w:rsid w:val="00B2551D"/>
    <w:rsid w:val="00B262E8"/>
    <w:rsid w:val="00B2651C"/>
    <w:rsid w:val="00B26597"/>
    <w:rsid w:val="00B266F7"/>
    <w:rsid w:val="00B266FE"/>
    <w:rsid w:val="00B26976"/>
    <w:rsid w:val="00B26E73"/>
    <w:rsid w:val="00B278D1"/>
    <w:rsid w:val="00B27AB0"/>
    <w:rsid w:val="00B27FE5"/>
    <w:rsid w:val="00B300C1"/>
    <w:rsid w:val="00B3035A"/>
    <w:rsid w:val="00B30576"/>
    <w:rsid w:val="00B30816"/>
    <w:rsid w:val="00B30992"/>
    <w:rsid w:val="00B309BA"/>
    <w:rsid w:val="00B31112"/>
    <w:rsid w:val="00B31CDA"/>
    <w:rsid w:val="00B31E5E"/>
    <w:rsid w:val="00B31F42"/>
    <w:rsid w:val="00B31F4A"/>
    <w:rsid w:val="00B322DB"/>
    <w:rsid w:val="00B328C6"/>
    <w:rsid w:val="00B331F5"/>
    <w:rsid w:val="00B3351D"/>
    <w:rsid w:val="00B335E3"/>
    <w:rsid w:val="00B337F3"/>
    <w:rsid w:val="00B342BE"/>
    <w:rsid w:val="00B342D9"/>
    <w:rsid w:val="00B344EF"/>
    <w:rsid w:val="00B34A62"/>
    <w:rsid w:val="00B35A74"/>
    <w:rsid w:val="00B35AA6"/>
    <w:rsid w:val="00B35B60"/>
    <w:rsid w:val="00B3608A"/>
    <w:rsid w:val="00B360DB"/>
    <w:rsid w:val="00B36383"/>
    <w:rsid w:val="00B3708E"/>
    <w:rsid w:val="00B3747C"/>
    <w:rsid w:val="00B37E4E"/>
    <w:rsid w:val="00B40010"/>
    <w:rsid w:val="00B40406"/>
    <w:rsid w:val="00B40AE9"/>
    <w:rsid w:val="00B40E48"/>
    <w:rsid w:val="00B4180F"/>
    <w:rsid w:val="00B418D0"/>
    <w:rsid w:val="00B41F75"/>
    <w:rsid w:val="00B4210B"/>
    <w:rsid w:val="00B422A2"/>
    <w:rsid w:val="00B42609"/>
    <w:rsid w:val="00B42C82"/>
    <w:rsid w:val="00B444A5"/>
    <w:rsid w:val="00B444EA"/>
    <w:rsid w:val="00B44902"/>
    <w:rsid w:val="00B450D8"/>
    <w:rsid w:val="00B45376"/>
    <w:rsid w:val="00B453C0"/>
    <w:rsid w:val="00B45B03"/>
    <w:rsid w:val="00B46761"/>
    <w:rsid w:val="00B4680D"/>
    <w:rsid w:val="00B46D81"/>
    <w:rsid w:val="00B47235"/>
    <w:rsid w:val="00B47246"/>
    <w:rsid w:val="00B477C3"/>
    <w:rsid w:val="00B47F56"/>
    <w:rsid w:val="00B50122"/>
    <w:rsid w:val="00B5097F"/>
    <w:rsid w:val="00B50AFC"/>
    <w:rsid w:val="00B50F94"/>
    <w:rsid w:val="00B5128E"/>
    <w:rsid w:val="00B51C26"/>
    <w:rsid w:val="00B525D3"/>
    <w:rsid w:val="00B52B5D"/>
    <w:rsid w:val="00B52E38"/>
    <w:rsid w:val="00B5327C"/>
    <w:rsid w:val="00B53506"/>
    <w:rsid w:val="00B5375F"/>
    <w:rsid w:val="00B53B82"/>
    <w:rsid w:val="00B53D56"/>
    <w:rsid w:val="00B54C8D"/>
    <w:rsid w:val="00B54F19"/>
    <w:rsid w:val="00B55166"/>
    <w:rsid w:val="00B551A3"/>
    <w:rsid w:val="00B55733"/>
    <w:rsid w:val="00B55A02"/>
    <w:rsid w:val="00B55A5C"/>
    <w:rsid w:val="00B56395"/>
    <w:rsid w:val="00B5666A"/>
    <w:rsid w:val="00B576BD"/>
    <w:rsid w:val="00B576FD"/>
    <w:rsid w:val="00B57BA1"/>
    <w:rsid w:val="00B60618"/>
    <w:rsid w:val="00B607C0"/>
    <w:rsid w:val="00B6081F"/>
    <w:rsid w:val="00B60AEE"/>
    <w:rsid w:val="00B60C9F"/>
    <w:rsid w:val="00B611F2"/>
    <w:rsid w:val="00B61568"/>
    <w:rsid w:val="00B61780"/>
    <w:rsid w:val="00B61BC1"/>
    <w:rsid w:val="00B61E37"/>
    <w:rsid w:val="00B6202C"/>
    <w:rsid w:val="00B62349"/>
    <w:rsid w:val="00B62D6B"/>
    <w:rsid w:val="00B632DC"/>
    <w:rsid w:val="00B63371"/>
    <w:rsid w:val="00B636E1"/>
    <w:rsid w:val="00B63D28"/>
    <w:rsid w:val="00B63E49"/>
    <w:rsid w:val="00B63F2B"/>
    <w:rsid w:val="00B6446F"/>
    <w:rsid w:val="00B647D6"/>
    <w:rsid w:val="00B64829"/>
    <w:rsid w:val="00B65044"/>
    <w:rsid w:val="00B655BD"/>
    <w:rsid w:val="00B65FD9"/>
    <w:rsid w:val="00B6606D"/>
    <w:rsid w:val="00B670E4"/>
    <w:rsid w:val="00B67503"/>
    <w:rsid w:val="00B67622"/>
    <w:rsid w:val="00B71125"/>
    <w:rsid w:val="00B714B9"/>
    <w:rsid w:val="00B71C1F"/>
    <w:rsid w:val="00B721FC"/>
    <w:rsid w:val="00B72229"/>
    <w:rsid w:val="00B72890"/>
    <w:rsid w:val="00B7300E"/>
    <w:rsid w:val="00B73821"/>
    <w:rsid w:val="00B73BE0"/>
    <w:rsid w:val="00B73C78"/>
    <w:rsid w:val="00B73E53"/>
    <w:rsid w:val="00B74686"/>
    <w:rsid w:val="00B7482E"/>
    <w:rsid w:val="00B74BFC"/>
    <w:rsid w:val="00B75208"/>
    <w:rsid w:val="00B75EE3"/>
    <w:rsid w:val="00B77A2E"/>
    <w:rsid w:val="00B810C4"/>
    <w:rsid w:val="00B814F8"/>
    <w:rsid w:val="00B817FC"/>
    <w:rsid w:val="00B82028"/>
    <w:rsid w:val="00B8213F"/>
    <w:rsid w:val="00B82281"/>
    <w:rsid w:val="00B823F0"/>
    <w:rsid w:val="00B833FE"/>
    <w:rsid w:val="00B83F59"/>
    <w:rsid w:val="00B84C02"/>
    <w:rsid w:val="00B84E8A"/>
    <w:rsid w:val="00B857B2"/>
    <w:rsid w:val="00B8580B"/>
    <w:rsid w:val="00B85917"/>
    <w:rsid w:val="00B8605F"/>
    <w:rsid w:val="00B860DB"/>
    <w:rsid w:val="00B86231"/>
    <w:rsid w:val="00B86B88"/>
    <w:rsid w:val="00B86C59"/>
    <w:rsid w:val="00B872F9"/>
    <w:rsid w:val="00B8732C"/>
    <w:rsid w:val="00B875EB"/>
    <w:rsid w:val="00B900E6"/>
    <w:rsid w:val="00B9029C"/>
    <w:rsid w:val="00B9053D"/>
    <w:rsid w:val="00B90799"/>
    <w:rsid w:val="00B909D8"/>
    <w:rsid w:val="00B90A96"/>
    <w:rsid w:val="00B90CCE"/>
    <w:rsid w:val="00B9117D"/>
    <w:rsid w:val="00B9145A"/>
    <w:rsid w:val="00B915A1"/>
    <w:rsid w:val="00B91762"/>
    <w:rsid w:val="00B92489"/>
    <w:rsid w:val="00B92B35"/>
    <w:rsid w:val="00B92D0C"/>
    <w:rsid w:val="00B9312A"/>
    <w:rsid w:val="00B931B7"/>
    <w:rsid w:val="00B932EE"/>
    <w:rsid w:val="00B9330C"/>
    <w:rsid w:val="00B93541"/>
    <w:rsid w:val="00B93A58"/>
    <w:rsid w:val="00B93AE5"/>
    <w:rsid w:val="00B941B9"/>
    <w:rsid w:val="00B94691"/>
    <w:rsid w:val="00B94786"/>
    <w:rsid w:val="00B94823"/>
    <w:rsid w:val="00B9488E"/>
    <w:rsid w:val="00B9501B"/>
    <w:rsid w:val="00B950E9"/>
    <w:rsid w:val="00B952E7"/>
    <w:rsid w:val="00B968B3"/>
    <w:rsid w:val="00B968B7"/>
    <w:rsid w:val="00B96BED"/>
    <w:rsid w:val="00B96C7E"/>
    <w:rsid w:val="00B96FB5"/>
    <w:rsid w:val="00B9751D"/>
    <w:rsid w:val="00B976E8"/>
    <w:rsid w:val="00B97C8D"/>
    <w:rsid w:val="00BA03B9"/>
    <w:rsid w:val="00BA0524"/>
    <w:rsid w:val="00BA078C"/>
    <w:rsid w:val="00BA09ED"/>
    <w:rsid w:val="00BA0C39"/>
    <w:rsid w:val="00BA0D47"/>
    <w:rsid w:val="00BA0E08"/>
    <w:rsid w:val="00BA123B"/>
    <w:rsid w:val="00BA1474"/>
    <w:rsid w:val="00BA16A4"/>
    <w:rsid w:val="00BA1CDC"/>
    <w:rsid w:val="00BA20DB"/>
    <w:rsid w:val="00BA2750"/>
    <w:rsid w:val="00BA328A"/>
    <w:rsid w:val="00BA32EB"/>
    <w:rsid w:val="00BA39E2"/>
    <w:rsid w:val="00BA3B26"/>
    <w:rsid w:val="00BA3C10"/>
    <w:rsid w:val="00BA4953"/>
    <w:rsid w:val="00BA4FFE"/>
    <w:rsid w:val="00BA5119"/>
    <w:rsid w:val="00BA52AB"/>
    <w:rsid w:val="00BA541C"/>
    <w:rsid w:val="00BA5524"/>
    <w:rsid w:val="00BA5D35"/>
    <w:rsid w:val="00BA5E77"/>
    <w:rsid w:val="00BA61F0"/>
    <w:rsid w:val="00BA6B84"/>
    <w:rsid w:val="00BA73E1"/>
    <w:rsid w:val="00BA76F3"/>
    <w:rsid w:val="00BA785B"/>
    <w:rsid w:val="00BA79C5"/>
    <w:rsid w:val="00BA7B9D"/>
    <w:rsid w:val="00BA7C89"/>
    <w:rsid w:val="00BA7E32"/>
    <w:rsid w:val="00BB036F"/>
    <w:rsid w:val="00BB0436"/>
    <w:rsid w:val="00BB06ED"/>
    <w:rsid w:val="00BB08A5"/>
    <w:rsid w:val="00BB0D64"/>
    <w:rsid w:val="00BB1020"/>
    <w:rsid w:val="00BB114B"/>
    <w:rsid w:val="00BB1689"/>
    <w:rsid w:val="00BB2590"/>
    <w:rsid w:val="00BB289A"/>
    <w:rsid w:val="00BB2ABA"/>
    <w:rsid w:val="00BB2BBB"/>
    <w:rsid w:val="00BB3522"/>
    <w:rsid w:val="00BB3835"/>
    <w:rsid w:val="00BB3AFC"/>
    <w:rsid w:val="00BB3D00"/>
    <w:rsid w:val="00BB4059"/>
    <w:rsid w:val="00BB4068"/>
    <w:rsid w:val="00BB41BE"/>
    <w:rsid w:val="00BB5012"/>
    <w:rsid w:val="00BB5675"/>
    <w:rsid w:val="00BB5878"/>
    <w:rsid w:val="00BB58B6"/>
    <w:rsid w:val="00BB5F4D"/>
    <w:rsid w:val="00BB6392"/>
    <w:rsid w:val="00BB64B7"/>
    <w:rsid w:val="00BB7696"/>
    <w:rsid w:val="00BB79BE"/>
    <w:rsid w:val="00BB7BE2"/>
    <w:rsid w:val="00BB7DC2"/>
    <w:rsid w:val="00BC0376"/>
    <w:rsid w:val="00BC038E"/>
    <w:rsid w:val="00BC06EB"/>
    <w:rsid w:val="00BC0895"/>
    <w:rsid w:val="00BC0AC4"/>
    <w:rsid w:val="00BC1218"/>
    <w:rsid w:val="00BC1CD2"/>
    <w:rsid w:val="00BC1F5E"/>
    <w:rsid w:val="00BC2911"/>
    <w:rsid w:val="00BC2BB6"/>
    <w:rsid w:val="00BC2D2F"/>
    <w:rsid w:val="00BC2DD4"/>
    <w:rsid w:val="00BC3004"/>
    <w:rsid w:val="00BC372F"/>
    <w:rsid w:val="00BC3880"/>
    <w:rsid w:val="00BC39F2"/>
    <w:rsid w:val="00BC3A57"/>
    <w:rsid w:val="00BC3B1B"/>
    <w:rsid w:val="00BC4BBE"/>
    <w:rsid w:val="00BC4E9C"/>
    <w:rsid w:val="00BC5A76"/>
    <w:rsid w:val="00BC6132"/>
    <w:rsid w:val="00BC6256"/>
    <w:rsid w:val="00BC63C9"/>
    <w:rsid w:val="00BC6709"/>
    <w:rsid w:val="00BC7F56"/>
    <w:rsid w:val="00BD032B"/>
    <w:rsid w:val="00BD04E5"/>
    <w:rsid w:val="00BD052B"/>
    <w:rsid w:val="00BD0785"/>
    <w:rsid w:val="00BD1133"/>
    <w:rsid w:val="00BD13E1"/>
    <w:rsid w:val="00BD1660"/>
    <w:rsid w:val="00BD1BB5"/>
    <w:rsid w:val="00BD1CC1"/>
    <w:rsid w:val="00BD22A4"/>
    <w:rsid w:val="00BD2457"/>
    <w:rsid w:val="00BD2C2B"/>
    <w:rsid w:val="00BD3259"/>
    <w:rsid w:val="00BD3290"/>
    <w:rsid w:val="00BD3433"/>
    <w:rsid w:val="00BD3823"/>
    <w:rsid w:val="00BD40CA"/>
    <w:rsid w:val="00BD47B8"/>
    <w:rsid w:val="00BD4880"/>
    <w:rsid w:val="00BD49A8"/>
    <w:rsid w:val="00BD4AA1"/>
    <w:rsid w:val="00BD658A"/>
    <w:rsid w:val="00BD6D46"/>
    <w:rsid w:val="00BD7023"/>
    <w:rsid w:val="00BE027D"/>
    <w:rsid w:val="00BE03EF"/>
    <w:rsid w:val="00BE05EF"/>
    <w:rsid w:val="00BE0731"/>
    <w:rsid w:val="00BE18B6"/>
    <w:rsid w:val="00BE2996"/>
    <w:rsid w:val="00BE2DE3"/>
    <w:rsid w:val="00BE30D5"/>
    <w:rsid w:val="00BE3178"/>
    <w:rsid w:val="00BE32CD"/>
    <w:rsid w:val="00BE4237"/>
    <w:rsid w:val="00BE42DC"/>
    <w:rsid w:val="00BE46B0"/>
    <w:rsid w:val="00BE5529"/>
    <w:rsid w:val="00BE5C19"/>
    <w:rsid w:val="00BE655A"/>
    <w:rsid w:val="00BE68EC"/>
    <w:rsid w:val="00BE690B"/>
    <w:rsid w:val="00BE6E82"/>
    <w:rsid w:val="00BE74E8"/>
    <w:rsid w:val="00BE74FC"/>
    <w:rsid w:val="00BE753E"/>
    <w:rsid w:val="00BE7A5E"/>
    <w:rsid w:val="00BF048C"/>
    <w:rsid w:val="00BF06CF"/>
    <w:rsid w:val="00BF0968"/>
    <w:rsid w:val="00BF0BD2"/>
    <w:rsid w:val="00BF0ED9"/>
    <w:rsid w:val="00BF1698"/>
    <w:rsid w:val="00BF1D6E"/>
    <w:rsid w:val="00BF307C"/>
    <w:rsid w:val="00BF33D6"/>
    <w:rsid w:val="00BF385A"/>
    <w:rsid w:val="00BF3908"/>
    <w:rsid w:val="00BF3B9C"/>
    <w:rsid w:val="00BF48C9"/>
    <w:rsid w:val="00BF49A9"/>
    <w:rsid w:val="00BF4EBA"/>
    <w:rsid w:val="00BF4FE3"/>
    <w:rsid w:val="00BF536E"/>
    <w:rsid w:val="00BF5D26"/>
    <w:rsid w:val="00BF5F0E"/>
    <w:rsid w:val="00BF69D9"/>
    <w:rsid w:val="00BF71CB"/>
    <w:rsid w:val="00BF7B32"/>
    <w:rsid w:val="00BF7BA9"/>
    <w:rsid w:val="00C009FF"/>
    <w:rsid w:val="00C00D7D"/>
    <w:rsid w:val="00C01328"/>
    <w:rsid w:val="00C01A05"/>
    <w:rsid w:val="00C01D11"/>
    <w:rsid w:val="00C0233B"/>
    <w:rsid w:val="00C02D88"/>
    <w:rsid w:val="00C0302E"/>
    <w:rsid w:val="00C03033"/>
    <w:rsid w:val="00C037C6"/>
    <w:rsid w:val="00C03862"/>
    <w:rsid w:val="00C0458A"/>
    <w:rsid w:val="00C04B76"/>
    <w:rsid w:val="00C04D51"/>
    <w:rsid w:val="00C04E6D"/>
    <w:rsid w:val="00C04F36"/>
    <w:rsid w:val="00C054C2"/>
    <w:rsid w:val="00C05978"/>
    <w:rsid w:val="00C05D1B"/>
    <w:rsid w:val="00C063E0"/>
    <w:rsid w:val="00C0666C"/>
    <w:rsid w:val="00C0728C"/>
    <w:rsid w:val="00C07A0A"/>
    <w:rsid w:val="00C07F0A"/>
    <w:rsid w:val="00C10434"/>
    <w:rsid w:val="00C10794"/>
    <w:rsid w:val="00C107A2"/>
    <w:rsid w:val="00C109F8"/>
    <w:rsid w:val="00C111B0"/>
    <w:rsid w:val="00C114C7"/>
    <w:rsid w:val="00C12201"/>
    <w:rsid w:val="00C12203"/>
    <w:rsid w:val="00C12583"/>
    <w:rsid w:val="00C130A9"/>
    <w:rsid w:val="00C13305"/>
    <w:rsid w:val="00C135D0"/>
    <w:rsid w:val="00C13741"/>
    <w:rsid w:val="00C13C36"/>
    <w:rsid w:val="00C13D2B"/>
    <w:rsid w:val="00C13F67"/>
    <w:rsid w:val="00C1471A"/>
    <w:rsid w:val="00C1479F"/>
    <w:rsid w:val="00C14896"/>
    <w:rsid w:val="00C154D6"/>
    <w:rsid w:val="00C158E2"/>
    <w:rsid w:val="00C15A8B"/>
    <w:rsid w:val="00C15AEB"/>
    <w:rsid w:val="00C15D94"/>
    <w:rsid w:val="00C15FA2"/>
    <w:rsid w:val="00C1646D"/>
    <w:rsid w:val="00C1664A"/>
    <w:rsid w:val="00C167B2"/>
    <w:rsid w:val="00C169F0"/>
    <w:rsid w:val="00C176BD"/>
    <w:rsid w:val="00C1782C"/>
    <w:rsid w:val="00C17ABD"/>
    <w:rsid w:val="00C20491"/>
    <w:rsid w:val="00C209B3"/>
    <w:rsid w:val="00C22254"/>
    <w:rsid w:val="00C227B2"/>
    <w:rsid w:val="00C22818"/>
    <w:rsid w:val="00C22F9F"/>
    <w:rsid w:val="00C22FA3"/>
    <w:rsid w:val="00C22FEA"/>
    <w:rsid w:val="00C23104"/>
    <w:rsid w:val="00C231A7"/>
    <w:rsid w:val="00C23963"/>
    <w:rsid w:val="00C23D0F"/>
    <w:rsid w:val="00C23FA7"/>
    <w:rsid w:val="00C24445"/>
    <w:rsid w:val="00C244A1"/>
    <w:rsid w:val="00C2489F"/>
    <w:rsid w:val="00C249E7"/>
    <w:rsid w:val="00C257FE"/>
    <w:rsid w:val="00C25A23"/>
    <w:rsid w:val="00C25C9C"/>
    <w:rsid w:val="00C25E33"/>
    <w:rsid w:val="00C260A5"/>
    <w:rsid w:val="00C262C0"/>
    <w:rsid w:val="00C263D1"/>
    <w:rsid w:val="00C26FE2"/>
    <w:rsid w:val="00C27348"/>
    <w:rsid w:val="00C27695"/>
    <w:rsid w:val="00C278E7"/>
    <w:rsid w:val="00C300E1"/>
    <w:rsid w:val="00C3020D"/>
    <w:rsid w:val="00C30359"/>
    <w:rsid w:val="00C30849"/>
    <w:rsid w:val="00C31685"/>
    <w:rsid w:val="00C31AD5"/>
    <w:rsid w:val="00C31C41"/>
    <w:rsid w:val="00C31DE1"/>
    <w:rsid w:val="00C31FAA"/>
    <w:rsid w:val="00C32574"/>
    <w:rsid w:val="00C325C0"/>
    <w:rsid w:val="00C32891"/>
    <w:rsid w:val="00C3307E"/>
    <w:rsid w:val="00C3338C"/>
    <w:rsid w:val="00C341DA"/>
    <w:rsid w:val="00C3434F"/>
    <w:rsid w:val="00C3481E"/>
    <w:rsid w:val="00C34ED6"/>
    <w:rsid w:val="00C350F5"/>
    <w:rsid w:val="00C3655D"/>
    <w:rsid w:val="00C36709"/>
    <w:rsid w:val="00C36BD2"/>
    <w:rsid w:val="00C36D60"/>
    <w:rsid w:val="00C36F30"/>
    <w:rsid w:val="00C37588"/>
    <w:rsid w:val="00C37A0A"/>
    <w:rsid w:val="00C37AD5"/>
    <w:rsid w:val="00C37CBE"/>
    <w:rsid w:val="00C37EE8"/>
    <w:rsid w:val="00C407EB"/>
    <w:rsid w:val="00C40B08"/>
    <w:rsid w:val="00C40EFE"/>
    <w:rsid w:val="00C414A4"/>
    <w:rsid w:val="00C417E4"/>
    <w:rsid w:val="00C42315"/>
    <w:rsid w:val="00C42850"/>
    <w:rsid w:val="00C4364E"/>
    <w:rsid w:val="00C43C44"/>
    <w:rsid w:val="00C44007"/>
    <w:rsid w:val="00C443AB"/>
    <w:rsid w:val="00C4460E"/>
    <w:rsid w:val="00C44836"/>
    <w:rsid w:val="00C449B2"/>
    <w:rsid w:val="00C449B6"/>
    <w:rsid w:val="00C449F5"/>
    <w:rsid w:val="00C44AE4"/>
    <w:rsid w:val="00C45232"/>
    <w:rsid w:val="00C45322"/>
    <w:rsid w:val="00C454E1"/>
    <w:rsid w:val="00C459D2"/>
    <w:rsid w:val="00C46092"/>
    <w:rsid w:val="00C463E4"/>
    <w:rsid w:val="00C471CD"/>
    <w:rsid w:val="00C47721"/>
    <w:rsid w:val="00C47CF5"/>
    <w:rsid w:val="00C47ED9"/>
    <w:rsid w:val="00C5033D"/>
    <w:rsid w:val="00C50C7E"/>
    <w:rsid w:val="00C513E8"/>
    <w:rsid w:val="00C51492"/>
    <w:rsid w:val="00C5171A"/>
    <w:rsid w:val="00C51972"/>
    <w:rsid w:val="00C51FD2"/>
    <w:rsid w:val="00C5225E"/>
    <w:rsid w:val="00C52779"/>
    <w:rsid w:val="00C52B24"/>
    <w:rsid w:val="00C52F77"/>
    <w:rsid w:val="00C531FC"/>
    <w:rsid w:val="00C534D9"/>
    <w:rsid w:val="00C537B6"/>
    <w:rsid w:val="00C53CB8"/>
    <w:rsid w:val="00C550D8"/>
    <w:rsid w:val="00C55B05"/>
    <w:rsid w:val="00C55E0F"/>
    <w:rsid w:val="00C5611A"/>
    <w:rsid w:val="00C569AB"/>
    <w:rsid w:val="00C56AEE"/>
    <w:rsid w:val="00C56D33"/>
    <w:rsid w:val="00C570A4"/>
    <w:rsid w:val="00C57363"/>
    <w:rsid w:val="00C57A52"/>
    <w:rsid w:val="00C57CE1"/>
    <w:rsid w:val="00C57DC4"/>
    <w:rsid w:val="00C57E5F"/>
    <w:rsid w:val="00C6095A"/>
    <w:rsid w:val="00C60995"/>
    <w:rsid w:val="00C61379"/>
    <w:rsid w:val="00C616D1"/>
    <w:rsid w:val="00C61B2F"/>
    <w:rsid w:val="00C61F3B"/>
    <w:rsid w:val="00C62230"/>
    <w:rsid w:val="00C62761"/>
    <w:rsid w:val="00C634BF"/>
    <w:rsid w:val="00C6354A"/>
    <w:rsid w:val="00C63C29"/>
    <w:rsid w:val="00C63F8A"/>
    <w:rsid w:val="00C6437E"/>
    <w:rsid w:val="00C64886"/>
    <w:rsid w:val="00C6700C"/>
    <w:rsid w:val="00C670C4"/>
    <w:rsid w:val="00C67363"/>
    <w:rsid w:val="00C677E8"/>
    <w:rsid w:val="00C67F9E"/>
    <w:rsid w:val="00C70D09"/>
    <w:rsid w:val="00C70F2A"/>
    <w:rsid w:val="00C7113E"/>
    <w:rsid w:val="00C7118D"/>
    <w:rsid w:val="00C71331"/>
    <w:rsid w:val="00C71BC1"/>
    <w:rsid w:val="00C72229"/>
    <w:rsid w:val="00C72A3D"/>
    <w:rsid w:val="00C735E0"/>
    <w:rsid w:val="00C735F9"/>
    <w:rsid w:val="00C738CC"/>
    <w:rsid w:val="00C73ACB"/>
    <w:rsid w:val="00C73D2F"/>
    <w:rsid w:val="00C7405B"/>
    <w:rsid w:val="00C74990"/>
    <w:rsid w:val="00C74A98"/>
    <w:rsid w:val="00C752B9"/>
    <w:rsid w:val="00C75C40"/>
    <w:rsid w:val="00C75D56"/>
    <w:rsid w:val="00C75D76"/>
    <w:rsid w:val="00C75F7C"/>
    <w:rsid w:val="00C76100"/>
    <w:rsid w:val="00C76137"/>
    <w:rsid w:val="00C7637E"/>
    <w:rsid w:val="00C77651"/>
    <w:rsid w:val="00C77E9D"/>
    <w:rsid w:val="00C77EFF"/>
    <w:rsid w:val="00C806C3"/>
    <w:rsid w:val="00C80721"/>
    <w:rsid w:val="00C80B19"/>
    <w:rsid w:val="00C80F30"/>
    <w:rsid w:val="00C81117"/>
    <w:rsid w:val="00C81271"/>
    <w:rsid w:val="00C818B6"/>
    <w:rsid w:val="00C820A7"/>
    <w:rsid w:val="00C82B27"/>
    <w:rsid w:val="00C82D5B"/>
    <w:rsid w:val="00C82F67"/>
    <w:rsid w:val="00C8331D"/>
    <w:rsid w:val="00C836A5"/>
    <w:rsid w:val="00C837C7"/>
    <w:rsid w:val="00C83813"/>
    <w:rsid w:val="00C83DC5"/>
    <w:rsid w:val="00C85553"/>
    <w:rsid w:val="00C858EC"/>
    <w:rsid w:val="00C85A55"/>
    <w:rsid w:val="00C85E16"/>
    <w:rsid w:val="00C86765"/>
    <w:rsid w:val="00C86823"/>
    <w:rsid w:val="00C86CBE"/>
    <w:rsid w:val="00C86DEB"/>
    <w:rsid w:val="00C8703F"/>
    <w:rsid w:val="00C875A4"/>
    <w:rsid w:val="00C904DD"/>
    <w:rsid w:val="00C90523"/>
    <w:rsid w:val="00C90F7D"/>
    <w:rsid w:val="00C912B0"/>
    <w:rsid w:val="00C91A27"/>
    <w:rsid w:val="00C9293A"/>
    <w:rsid w:val="00C92F1D"/>
    <w:rsid w:val="00C932CC"/>
    <w:rsid w:val="00C938D8"/>
    <w:rsid w:val="00C939E5"/>
    <w:rsid w:val="00C93AA4"/>
    <w:rsid w:val="00C93FE8"/>
    <w:rsid w:val="00C944BE"/>
    <w:rsid w:val="00C945C4"/>
    <w:rsid w:val="00C94F70"/>
    <w:rsid w:val="00C9541A"/>
    <w:rsid w:val="00C956A0"/>
    <w:rsid w:val="00C957D8"/>
    <w:rsid w:val="00C95D4A"/>
    <w:rsid w:val="00C95E42"/>
    <w:rsid w:val="00C96051"/>
    <w:rsid w:val="00C960BA"/>
    <w:rsid w:val="00C97344"/>
    <w:rsid w:val="00C9738F"/>
    <w:rsid w:val="00C97ACB"/>
    <w:rsid w:val="00CA01F0"/>
    <w:rsid w:val="00CA0369"/>
    <w:rsid w:val="00CA05BD"/>
    <w:rsid w:val="00CA0608"/>
    <w:rsid w:val="00CA0C48"/>
    <w:rsid w:val="00CA143F"/>
    <w:rsid w:val="00CA2438"/>
    <w:rsid w:val="00CA3035"/>
    <w:rsid w:val="00CA3181"/>
    <w:rsid w:val="00CA3264"/>
    <w:rsid w:val="00CA33FB"/>
    <w:rsid w:val="00CA3A31"/>
    <w:rsid w:val="00CA3C95"/>
    <w:rsid w:val="00CA4232"/>
    <w:rsid w:val="00CA4B35"/>
    <w:rsid w:val="00CA4BF3"/>
    <w:rsid w:val="00CA64C6"/>
    <w:rsid w:val="00CA667C"/>
    <w:rsid w:val="00CA6AB0"/>
    <w:rsid w:val="00CA7287"/>
    <w:rsid w:val="00CA7443"/>
    <w:rsid w:val="00CA74BD"/>
    <w:rsid w:val="00CA75E3"/>
    <w:rsid w:val="00CA766E"/>
    <w:rsid w:val="00CA7D5C"/>
    <w:rsid w:val="00CA7E2F"/>
    <w:rsid w:val="00CB01AD"/>
    <w:rsid w:val="00CB08DE"/>
    <w:rsid w:val="00CB1267"/>
    <w:rsid w:val="00CB132B"/>
    <w:rsid w:val="00CB16E7"/>
    <w:rsid w:val="00CB1C62"/>
    <w:rsid w:val="00CB2671"/>
    <w:rsid w:val="00CB27EA"/>
    <w:rsid w:val="00CB2A4A"/>
    <w:rsid w:val="00CB4097"/>
    <w:rsid w:val="00CB42A6"/>
    <w:rsid w:val="00CB46DC"/>
    <w:rsid w:val="00CB5338"/>
    <w:rsid w:val="00CB593A"/>
    <w:rsid w:val="00CB614B"/>
    <w:rsid w:val="00CB639C"/>
    <w:rsid w:val="00CB685C"/>
    <w:rsid w:val="00CB6E2D"/>
    <w:rsid w:val="00CB717A"/>
    <w:rsid w:val="00CB72F6"/>
    <w:rsid w:val="00CB7471"/>
    <w:rsid w:val="00CB7C19"/>
    <w:rsid w:val="00CC0735"/>
    <w:rsid w:val="00CC07C5"/>
    <w:rsid w:val="00CC192B"/>
    <w:rsid w:val="00CC25D8"/>
    <w:rsid w:val="00CC28A5"/>
    <w:rsid w:val="00CC29EB"/>
    <w:rsid w:val="00CC3056"/>
    <w:rsid w:val="00CC3B21"/>
    <w:rsid w:val="00CC3CBB"/>
    <w:rsid w:val="00CC4734"/>
    <w:rsid w:val="00CC4C67"/>
    <w:rsid w:val="00CC5EAE"/>
    <w:rsid w:val="00CC5FB0"/>
    <w:rsid w:val="00CC68E4"/>
    <w:rsid w:val="00CC706F"/>
    <w:rsid w:val="00CC7208"/>
    <w:rsid w:val="00CC7350"/>
    <w:rsid w:val="00CC78AC"/>
    <w:rsid w:val="00CD05AC"/>
    <w:rsid w:val="00CD0983"/>
    <w:rsid w:val="00CD0DC4"/>
    <w:rsid w:val="00CD0FB1"/>
    <w:rsid w:val="00CD10CA"/>
    <w:rsid w:val="00CD1567"/>
    <w:rsid w:val="00CD252A"/>
    <w:rsid w:val="00CD288D"/>
    <w:rsid w:val="00CD2EF3"/>
    <w:rsid w:val="00CD35F6"/>
    <w:rsid w:val="00CD3AB9"/>
    <w:rsid w:val="00CD3E6E"/>
    <w:rsid w:val="00CD4336"/>
    <w:rsid w:val="00CD46BD"/>
    <w:rsid w:val="00CD48B2"/>
    <w:rsid w:val="00CD4A50"/>
    <w:rsid w:val="00CD4F33"/>
    <w:rsid w:val="00CD55EE"/>
    <w:rsid w:val="00CD5691"/>
    <w:rsid w:val="00CD59A5"/>
    <w:rsid w:val="00CD5A64"/>
    <w:rsid w:val="00CD6202"/>
    <w:rsid w:val="00CD63B1"/>
    <w:rsid w:val="00CD63E2"/>
    <w:rsid w:val="00CD6D8D"/>
    <w:rsid w:val="00CD7EC1"/>
    <w:rsid w:val="00CE01F6"/>
    <w:rsid w:val="00CE0380"/>
    <w:rsid w:val="00CE0708"/>
    <w:rsid w:val="00CE072B"/>
    <w:rsid w:val="00CE12C3"/>
    <w:rsid w:val="00CE14C7"/>
    <w:rsid w:val="00CE1804"/>
    <w:rsid w:val="00CE195F"/>
    <w:rsid w:val="00CE1A00"/>
    <w:rsid w:val="00CE1CD2"/>
    <w:rsid w:val="00CE2094"/>
    <w:rsid w:val="00CE28ED"/>
    <w:rsid w:val="00CE4314"/>
    <w:rsid w:val="00CE452E"/>
    <w:rsid w:val="00CE45B7"/>
    <w:rsid w:val="00CE488E"/>
    <w:rsid w:val="00CE4EEC"/>
    <w:rsid w:val="00CE50D2"/>
    <w:rsid w:val="00CE532A"/>
    <w:rsid w:val="00CE5743"/>
    <w:rsid w:val="00CE5848"/>
    <w:rsid w:val="00CE59A9"/>
    <w:rsid w:val="00CE5A08"/>
    <w:rsid w:val="00CE5EF9"/>
    <w:rsid w:val="00CE63A7"/>
    <w:rsid w:val="00CE653D"/>
    <w:rsid w:val="00CE6F60"/>
    <w:rsid w:val="00CE6F70"/>
    <w:rsid w:val="00CF0771"/>
    <w:rsid w:val="00CF0E61"/>
    <w:rsid w:val="00CF0F64"/>
    <w:rsid w:val="00CF14C0"/>
    <w:rsid w:val="00CF1886"/>
    <w:rsid w:val="00CF1A51"/>
    <w:rsid w:val="00CF26B1"/>
    <w:rsid w:val="00CF2827"/>
    <w:rsid w:val="00CF2DC1"/>
    <w:rsid w:val="00CF2F51"/>
    <w:rsid w:val="00CF3510"/>
    <w:rsid w:val="00CF358F"/>
    <w:rsid w:val="00CF40AB"/>
    <w:rsid w:val="00CF4233"/>
    <w:rsid w:val="00CF4B62"/>
    <w:rsid w:val="00CF54F0"/>
    <w:rsid w:val="00CF5BDE"/>
    <w:rsid w:val="00CF6075"/>
    <w:rsid w:val="00CF60F5"/>
    <w:rsid w:val="00CF610D"/>
    <w:rsid w:val="00CF61F4"/>
    <w:rsid w:val="00CF6424"/>
    <w:rsid w:val="00CF66D4"/>
    <w:rsid w:val="00CF6717"/>
    <w:rsid w:val="00CF6909"/>
    <w:rsid w:val="00CF6B04"/>
    <w:rsid w:val="00CF71C9"/>
    <w:rsid w:val="00CF79AC"/>
    <w:rsid w:val="00D004F6"/>
    <w:rsid w:val="00D00544"/>
    <w:rsid w:val="00D005CC"/>
    <w:rsid w:val="00D009FB"/>
    <w:rsid w:val="00D00A59"/>
    <w:rsid w:val="00D00BCD"/>
    <w:rsid w:val="00D00BEB"/>
    <w:rsid w:val="00D00C92"/>
    <w:rsid w:val="00D011EA"/>
    <w:rsid w:val="00D0196A"/>
    <w:rsid w:val="00D01C63"/>
    <w:rsid w:val="00D0221A"/>
    <w:rsid w:val="00D02381"/>
    <w:rsid w:val="00D02A0C"/>
    <w:rsid w:val="00D02C19"/>
    <w:rsid w:val="00D02CF7"/>
    <w:rsid w:val="00D0342F"/>
    <w:rsid w:val="00D03711"/>
    <w:rsid w:val="00D03B3F"/>
    <w:rsid w:val="00D03D23"/>
    <w:rsid w:val="00D03D4C"/>
    <w:rsid w:val="00D03D7A"/>
    <w:rsid w:val="00D04697"/>
    <w:rsid w:val="00D046EF"/>
    <w:rsid w:val="00D04916"/>
    <w:rsid w:val="00D04C72"/>
    <w:rsid w:val="00D053C4"/>
    <w:rsid w:val="00D05698"/>
    <w:rsid w:val="00D057E4"/>
    <w:rsid w:val="00D05AB7"/>
    <w:rsid w:val="00D05F8A"/>
    <w:rsid w:val="00D0646C"/>
    <w:rsid w:val="00D06B56"/>
    <w:rsid w:val="00D07645"/>
    <w:rsid w:val="00D07729"/>
    <w:rsid w:val="00D07F95"/>
    <w:rsid w:val="00D105BC"/>
    <w:rsid w:val="00D10942"/>
    <w:rsid w:val="00D113CD"/>
    <w:rsid w:val="00D115F2"/>
    <w:rsid w:val="00D117FE"/>
    <w:rsid w:val="00D12665"/>
    <w:rsid w:val="00D1272B"/>
    <w:rsid w:val="00D12A13"/>
    <w:rsid w:val="00D12A9E"/>
    <w:rsid w:val="00D13191"/>
    <w:rsid w:val="00D1345B"/>
    <w:rsid w:val="00D13B31"/>
    <w:rsid w:val="00D1402E"/>
    <w:rsid w:val="00D147CD"/>
    <w:rsid w:val="00D149D9"/>
    <w:rsid w:val="00D14AFA"/>
    <w:rsid w:val="00D14E38"/>
    <w:rsid w:val="00D14E76"/>
    <w:rsid w:val="00D15354"/>
    <w:rsid w:val="00D15678"/>
    <w:rsid w:val="00D15A86"/>
    <w:rsid w:val="00D16D86"/>
    <w:rsid w:val="00D1713B"/>
    <w:rsid w:val="00D174BD"/>
    <w:rsid w:val="00D174F6"/>
    <w:rsid w:val="00D17724"/>
    <w:rsid w:val="00D179AA"/>
    <w:rsid w:val="00D20B13"/>
    <w:rsid w:val="00D20C2F"/>
    <w:rsid w:val="00D21284"/>
    <w:rsid w:val="00D215AE"/>
    <w:rsid w:val="00D216C1"/>
    <w:rsid w:val="00D217F6"/>
    <w:rsid w:val="00D21B61"/>
    <w:rsid w:val="00D223C6"/>
    <w:rsid w:val="00D22CC6"/>
    <w:rsid w:val="00D2335E"/>
    <w:rsid w:val="00D234C8"/>
    <w:rsid w:val="00D23962"/>
    <w:rsid w:val="00D23BE1"/>
    <w:rsid w:val="00D241D3"/>
    <w:rsid w:val="00D242A9"/>
    <w:rsid w:val="00D2440E"/>
    <w:rsid w:val="00D2487E"/>
    <w:rsid w:val="00D24CBB"/>
    <w:rsid w:val="00D25346"/>
    <w:rsid w:val="00D254A4"/>
    <w:rsid w:val="00D25C37"/>
    <w:rsid w:val="00D2611B"/>
    <w:rsid w:val="00D2634A"/>
    <w:rsid w:val="00D26717"/>
    <w:rsid w:val="00D26B3C"/>
    <w:rsid w:val="00D26B44"/>
    <w:rsid w:val="00D26E6D"/>
    <w:rsid w:val="00D27A44"/>
    <w:rsid w:val="00D27AB5"/>
    <w:rsid w:val="00D31319"/>
    <w:rsid w:val="00D313E7"/>
    <w:rsid w:val="00D32A48"/>
    <w:rsid w:val="00D32CCD"/>
    <w:rsid w:val="00D33135"/>
    <w:rsid w:val="00D33985"/>
    <w:rsid w:val="00D3406B"/>
    <w:rsid w:val="00D34939"/>
    <w:rsid w:val="00D34C5C"/>
    <w:rsid w:val="00D35184"/>
    <w:rsid w:val="00D3546D"/>
    <w:rsid w:val="00D35F97"/>
    <w:rsid w:val="00D364B5"/>
    <w:rsid w:val="00D364F3"/>
    <w:rsid w:val="00D36BF5"/>
    <w:rsid w:val="00D36CAD"/>
    <w:rsid w:val="00D37A04"/>
    <w:rsid w:val="00D37C5F"/>
    <w:rsid w:val="00D37C60"/>
    <w:rsid w:val="00D40368"/>
    <w:rsid w:val="00D40606"/>
    <w:rsid w:val="00D40AFF"/>
    <w:rsid w:val="00D40DFE"/>
    <w:rsid w:val="00D40E28"/>
    <w:rsid w:val="00D4112C"/>
    <w:rsid w:val="00D41838"/>
    <w:rsid w:val="00D41DA1"/>
    <w:rsid w:val="00D422E0"/>
    <w:rsid w:val="00D4272C"/>
    <w:rsid w:val="00D42989"/>
    <w:rsid w:val="00D432F3"/>
    <w:rsid w:val="00D43324"/>
    <w:rsid w:val="00D442CD"/>
    <w:rsid w:val="00D44AAF"/>
    <w:rsid w:val="00D44FC1"/>
    <w:rsid w:val="00D4576C"/>
    <w:rsid w:val="00D45DE8"/>
    <w:rsid w:val="00D45FD7"/>
    <w:rsid w:val="00D46088"/>
    <w:rsid w:val="00D464B6"/>
    <w:rsid w:val="00D466BB"/>
    <w:rsid w:val="00D47081"/>
    <w:rsid w:val="00D47104"/>
    <w:rsid w:val="00D4719F"/>
    <w:rsid w:val="00D4754B"/>
    <w:rsid w:val="00D47A67"/>
    <w:rsid w:val="00D47D30"/>
    <w:rsid w:val="00D5001D"/>
    <w:rsid w:val="00D504A8"/>
    <w:rsid w:val="00D50B7B"/>
    <w:rsid w:val="00D50E38"/>
    <w:rsid w:val="00D51413"/>
    <w:rsid w:val="00D51472"/>
    <w:rsid w:val="00D5159B"/>
    <w:rsid w:val="00D51871"/>
    <w:rsid w:val="00D5199F"/>
    <w:rsid w:val="00D519E0"/>
    <w:rsid w:val="00D51AD9"/>
    <w:rsid w:val="00D52128"/>
    <w:rsid w:val="00D52235"/>
    <w:rsid w:val="00D52D7D"/>
    <w:rsid w:val="00D531CD"/>
    <w:rsid w:val="00D53483"/>
    <w:rsid w:val="00D53A05"/>
    <w:rsid w:val="00D53F18"/>
    <w:rsid w:val="00D5421F"/>
    <w:rsid w:val="00D54D34"/>
    <w:rsid w:val="00D54F19"/>
    <w:rsid w:val="00D54FBE"/>
    <w:rsid w:val="00D55790"/>
    <w:rsid w:val="00D55991"/>
    <w:rsid w:val="00D55B21"/>
    <w:rsid w:val="00D55C93"/>
    <w:rsid w:val="00D55F21"/>
    <w:rsid w:val="00D56993"/>
    <w:rsid w:val="00D570ED"/>
    <w:rsid w:val="00D57128"/>
    <w:rsid w:val="00D576E9"/>
    <w:rsid w:val="00D578EF"/>
    <w:rsid w:val="00D5792B"/>
    <w:rsid w:val="00D608F5"/>
    <w:rsid w:val="00D60A82"/>
    <w:rsid w:val="00D6195E"/>
    <w:rsid w:val="00D61D3B"/>
    <w:rsid w:val="00D620A1"/>
    <w:rsid w:val="00D623E1"/>
    <w:rsid w:val="00D628CB"/>
    <w:rsid w:val="00D62A7A"/>
    <w:rsid w:val="00D6307D"/>
    <w:rsid w:val="00D634ED"/>
    <w:rsid w:val="00D63C1C"/>
    <w:rsid w:val="00D64491"/>
    <w:rsid w:val="00D64C17"/>
    <w:rsid w:val="00D64F12"/>
    <w:rsid w:val="00D65382"/>
    <w:rsid w:val="00D654DE"/>
    <w:rsid w:val="00D65584"/>
    <w:rsid w:val="00D65912"/>
    <w:rsid w:val="00D65F3D"/>
    <w:rsid w:val="00D66B22"/>
    <w:rsid w:val="00D66C73"/>
    <w:rsid w:val="00D66EAA"/>
    <w:rsid w:val="00D6735E"/>
    <w:rsid w:val="00D701EC"/>
    <w:rsid w:val="00D70371"/>
    <w:rsid w:val="00D70BD1"/>
    <w:rsid w:val="00D71352"/>
    <w:rsid w:val="00D71C93"/>
    <w:rsid w:val="00D7213C"/>
    <w:rsid w:val="00D72A33"/>
    <w:rsid w:val="00D72AE4"/>
    <w:rsid w:val="00D72E97"/>
    <w:rsid w:val="00D739CA"/>
    <w:rsid w:val="00D73B5A"/>
    <w:rsid w:val="00D73D36"/>
    <w:rsid w:val="00D73DAA"/>
    <w:rsid w:val="00D743A4"/>
    <w:rsid w:val="00D74990"/>
    <w:rsid w:val="00D74B04"/>
    <w:rsid w:val="00D752E8"/>
    <w:rsid w:val="00D7555A"/>
    <w:rsid w:val="00D75738"/>
    <w:rsid w:val="00D757CA"/>
    <w:rsid w:val="00D75C73"/>
    <w:rsid w:val="00D7676D"/>
    <w:rsid w:val="00D76823"/>
    <w:rsid w:val="00D77503"/>
    <w:rsid w:val="00D77916"/>
    <w:rsid w:val="00D77A5F"/>
    <w:rsid w:val="00D803A1"/>
    <w:rsid w:val="00D807A3"/>
    <w:rsid w:val="00D80AF4"/>
    <w:rsid w:val="00D80F81"/>
    <w:rsid w:val="00D81145"/>
    <w:rsid w:val="00D81EF3"/>
    <w:rsid w:val="00D82535"/>
    <w:rsid w:val="00D826DA"/>
    <w:rsid w:val="00D82938"/>
    <w:rsid w:val="00D82AD3"/>
    <w:rsid w:val="00D82E5D"/>
    <w:rsid w:val="00D8380E"/>
    <w:rsid w:val="00D83A60"/>
    <w:rsid w:val="00D84796"/>
    <w:rsid w:val="00D84E71"/>
    <w:rsid w:val="00D8557C"/>
    <w:rsid w:val="00D8596F"/>
    <w:rsid w:val="00D85C1C"/>
    <w:rsid w:val="00D85E13"/>
    <w:rsid w:val="00D85EFA"/>
    <w:rsid w:val="00D85F1E"/>
    <w:rsid w:val="00D86020"/>
    <w:rsid w:val="00D868B2"/>
    <w:rsid w:val="00D86F6E"/>
    <w:rsid w:val="00D87C77"/>
    <w:rsid w:val="00D900F5"/>
    <w:rsid w:val="00D90885"/>
    <w:rsid w:val="00D911EB"/>
    <w:rsid w:val="00D913F0"/>
    <w:rsid w:val="00D915CF"/>
    <w:rsid w:val="00D91D34"/>
    <w:rsid w:val="00D91DAA"/>
    <w:rsid w:val="00D92308"/>
    <w:rsid w:val="00D92801"/>
    <w:rsid w:val="00D92BE7"/>
    <w:rsid w:val="00D9321B"/>
    <w:rsid w:val="00D9323B"/>
    <w:rsid w:val="00D93364"/>
    <w:rsid w:val="00D9378E"/>
    <w:rsid w:val="00D93A02"/>
    <w:rsid w:val="00D93C65"/>
    <w:rsid w:val="00D93DA7"/>
    <w:rsid w:val="00D940E7"/>
    <w:rsid w:val="00D943B6"/>
    <w:rsid w:val="00D94610"/>
    <w:rsid w:val="00D94BB3"/>
    <w:rsid w:val="00D94C2B"/>
    <w:rsid w:val="00D94E97"/>
    <w:rsid w:val="00D955B5"/>
    <w:rsid w:val="00D9585C"/>
    <w:rsid w:val="00D95C87"/>
    <w:rsid w:val="00D95D1E"/>
    <w:rsid w:val="00D97A2C"/>
    <w:rsid w:val="00D97C85"/>
    <w:rsid w:val="00D97DA1"/>
    <w:rsid w:val="00DA00BF"/>
    <w:rsid w:val="00DA0502"/>
    <w:rsid w:val="00DA125C"/>
    <w:rsid w:val="00DA1A43"/>
    <w:rsid w:val="00DA395F"/>
    <w:rsid w:val="00DA3B0A"/>
    <w:rsid w:val="00DA3B3C"/>
    <w:rsid w:val="00DA445D"/>
    <w:rsid w:val="00DA4568"/>
    <w:rsid w:val="00DA4678"/>
    <w:rsid w:val="00DA4933"/>
    <w:rsid w:val="00DA4A52"/>
    <w:rsid w:val="00DA5363"/>
    <w:rsid w:val="00DA5545"/>
    <w:rsid w:val="00DA573F"/>
    <w:rsid w:val="00DA5ECA"/>
    <w:rsid w:val="00DA5F4D"/>
    <w:rsid w:val="00DA6887"/>
    <w:rsid w:val="00DA77DE"/>
    <w:rsid w:val="00DA781A"/>
    <w:rsid w:val="00DA7899"/>
    <w:rsid w:val="00DA78FC"/>
    <w:rsid w:val="00DB0290"/>
    <w:rsid w:val="00DB052E"/>
    <w:rsid w:val="00DB0531"/>
    <w:rsid w:val="00DB0FE6"/>
    <w:rsid w:val="00DB1230"/>
    <w:rsid w:val="00DB171A"/>
    <w:rsid w:val="00DB1A1D"/>
    <w:rsid w:val="00DB2065"/>
    <w:rsid w:val="00DB216A"/>
    <w:rsid w:val="00DB2328"/>
    <w:rsid w:val="00DB2D2B"/>
    <w:rsid w:val="00DB3E4E"/>
    <w:rsid w:val="00DB4138"/>
    <w:rsid w:val="00DB4154"/>
    <w:rsid w:val="00DB4A3E"/>
    <w:rsid w:val="00DB55DD"/>
    <w:rsid w:val="00DB593F"/>
    <w:rsid w:val="00DB5A02"/>
    <w:rsid w:val="00DB5E20"/>
    <w:rsid w:val="00DB5FF7"/>
    <w:rsid w:val="00DB6096"/>
    <w:rsid w:val="00DB653A"/>
    <w:rsid w:val="00DB6FFE"/>
    <w:rsid w:val="00DB7150"/>
    <w:rsid w:val="00DB730A"/>
    <w:rsid w:val="00DB75E9"/>
    <w:rsid w:val="00DB7E9C"/>
    <w:rsid w:val="00DC01D6"/>
    <w:rsid w:val="00DC0270"/>
    <w:rsid w:val="00DC06FD"/>
    <w:rsid w:val="00DC0881"/>
    <w:rsid w:val="00DC1211"/>
    <w:rsid w:val="00DC1423"/>
    <w:rsid w:val="00DC29EA"/>
    <w:rsid w:val="00DC3059"/>
    <w:rsid w:val="00DC33EA"/>
    <w:rsid w:val="00DC4ABC"/>
    <w:rsid w:val="00DC5AB5"/>
    <w:rsid w:val="00DC5DDC"/>
    <w:rsid w:val="00DC5E63"/>
    <w:rsid w:val="00DC6251"/>
    <w:rsid w:val="00DC6471"/>
    <w:rsid w:val="00DC6BDE"/>
    <w:rsid w:val="00DC7BBB"/>
    <w:rsid w:val="00DC7BE2"/>
    <w:rsid w:val="00DD093C"/>
    <w:rsid w:val="00DD0B8D"/>
    <w:rsid w:val="00DD0D4F"/>
    <w:rsid w:val="00DD0E7C"/>
    <w:rsid w:val="00DD0F1C"/>
    <w:rsid w:val="00DD12AC"/>
    <w:rsid w:val="00DD17AD"/>
    <w:rsid w:val="00DD185F"/>
    <w:rsid w:val="00DD226E"/>
    <w:rsid w:val="00DD27AA"/>
    <w:rsid w:val="00DD3998"/>
    <w:rsid w:val="00DD3CD9"/>
    <w:rsid w:val="00DD3DB6"/>
    <w:rsid w:val="00DD46E4"/>
    <w:rsid w:val="00DD512A"/>
    <w:rsid w:val="00DD532E"/>
    <w:rsid w:val="00DD599D"/>
    <w:rsid w:val="00DD6A07"/>
    <w:rsid w:val="00DD6DDE"/>
    <w:rsid w:val="00DD6F17"/>
    <w:rsid w:val="00DD71B7"/>
    <w:rsid w:val="00DD76CA"/>
    <w:rsid w:val="00DE0065"/>
    <w:rsid w:val="00DE036C"/>
    <w:rsid w:val="00DE085A"/>
    <w:rsid w:val="00DE0C5D"/>
    <w:rsid w:val="00DE0CE5"/>
    <w:rsid w:val="00DE2029"/>
    <w:rsid w:val="00DE21B3"/>
    <w:rsid w:val="00DE2335"/>
    <w:rsid w:val="00DE24DD"/>
    <w:rsid w:val="00DE25C2"/>
    <w:rsid w:val="00DE3075"/>
    <w:rsid w:val="00DE3338"/>
    <w:rsid w:val="00DE3F6D"/>
    <w:rsid w:val="00DE4541"/>
    <w:rsid w:val="00DE4A80"/>
    <w:rsid w:val="00DE4FF6"/>
    <w:rsid w:val="00DE558F"/>
    <w:rsid w:val="00DE5BE2"/>
    <w:rsid w:val="00DE5CEF"/>
    <w:rsid w:val="00DE694A"/>
    <w:rsid w:val="00DE6DD4"/>
    <w:rsid w:val="00DE71D1"/>
    <w:rsid w:val="00DE7523"/>
    <w:rsid w:val="00DE796E"/>
    <w:rsid w:val="00DF008E"/>
    <w:rsid w:val="00DF1385"/>
    <w:rsid w:val="00DF16B3"/>
    <w:rsid w:val="00DF24DA"/>
    <w:rsid w:val="00DF26C2"/>
    <w:rsid w:val="00DF28A7"/>
    <w:rsid w:val="00DF2AF5"/>
    <w:rsid w:val="00DF2B62"/>
    <w:rsid w:val="00DF2F67"/>
    <w:rsid w:val="00DF39F4"/>
    <w:rsid w:val="00DF3AD9"/>
    <w:rsid w:val="00DF3F77"/>
    <w:rsid w:val="00DF41D2"/>
    <w:rsid w:val="00DF490D"/>
    <w:rsid w:val="00DF49DF"/>
    <w:rsid w:val="00DF4A46"/>
    <w:rsid w:val="00DF4AB9"/>
    <w:rsid w:val="00DF4ABD"/>
    <w:rsid w:val="00DF595D"/>
    <w:rsid w:val="00DF5C97"/>
    <w:rsid w:val="00DF6179"/>
    <w:rsid w:val="00DF62C6"/>
    <w:rsid w:val="00DF6814"/>
    <w:rsid w:val="00DF68BA"/>
    <w:rsid w:val="00DF69BE"/>
    <w:rsid w:val="00DF70A5"/>
    <w:rsid w:val="00DF7215"/>
    <w:rsid w:val="00DF73CA"/>
    <w:rsid w:val="00DF7E2A"/>
    <w:rsid w:val="00E0004C"/>
    <w:rsid w:val="00E00AFF"/>
    <w:rsid w:val="00E011C0"/>
    <w:rsid w:val="00E01585"/>
    <w:rsid w:val="00E01603"/>
    <w:rsid w:val="00E01686"/>
    <w:rsid w:val="00E01CC2"/>
    <w:rsid w:val="00E02CEC"/>
    <w:rsid w:val="00E036FB"/>
    <w:rsid w:val="00E03731"/>
    <w:rsid w:val="00E03803"/>
    <w:rsid w:val="00E0387B"/>
    <w:rsid w:val="00E03B25"/>
    <w:rsid w:val="00E03F7B"/>
    <w:rsid w:val="00E04E94"/>
    <w:rsid w:val="00E04FCE"/>
    <w:rsid w:val="00E0505A"/>
    <w:rsid w:val="00E05289"/>
    <w:rsid w:val="00E058C7"/>
    <w:rsid w:val="00E0608D"/>
    <w:rsid w:val="00E06105"/>
    <w:rsid w:val="00E06890"/>
    <w:rsid w:val="00E06F97"/>
    <w:rsid w:val="00E0706F"/>
    <w:rsid w:val="00E073DF"/>
    <w:rsid w:val="00E0754C"/>
    <w:rsid w:val="00E0754F"/>
    <w:rsid w:val="00E076BE"/>
    <w:rsid w:val="00E07866"/>
    <w:rsid w:val="00E10334"/>
    <w:rsid w:val="00E109B3"/>
    <w:rsid w:val="00E12015"/>
    <w:rsid w:val="00E1246F"/>
    <w:rsid w:val="00E124B7"/>
    <w:rsid w:val="00E12B48"/>
    <w:rsid w:val="00E12D73"/>
    <w:rsid w:val="00E138AA"/>
    <w:rsid w:val="00E139FC"/>
    <w:rsid w:val="00E13E27"/>
    <w:rsid w:val="00E1416D"/>
    <w:rsid w:val="00E14D7D"/>
    <w:rsid w:val="00E167DC"/>
    <w:rsid w:val="00E16F4E"/>
    <w:rsid w:val="00E1717D"/>
    <w:rsid w:val="00E17703"/>
    <w:rsid w:val="00E17DA9"/>
    <w:rsid w:val="00E20F66"/>
    <w:rsid w:val="00E21086"/>
    <w:rsid w:val="00E21A2B"/>
    <w:rsid w:val="00E21EB0"/>
    <w:rsid w:val="00E228DC"/>
    <w:rsid w:val="00E22CA8"/>
    <w:rsid w:val="00E23573"/>
    <w:rsid w:val="00E238FE"/>
    <w:rsid w:val="00E24B39"/>
    <w:rsid w:val="00E2597F"/>
    <w:rsid w:val="00E25AA8"/>
    <w:rsid w:val="00E2634A"/>
    <w:rsid w:val="00E26E3D"/>
    <w:rsid w:val="00E26E86"/>
    <w:rsid w:val="00E27123"/>
    <w:rsid w:val="00E27157"/>
    <w:rsid w:val="00E27620"/>
    <w:rsid w:val="00E27965"/>
    <w:rsid w:val="00E30004"/>
    <w:rsid w:val="00E308A4"/>
    <w:rsid w:val="00E30A5B"/>
    <w:rsid w:val="00E316EE"/>
    <w:rsid w:val="00E317D4"/>
    <w:rsid w:val="00E32107"/>
    <w:rsid w:val="00E34BBB"/>
    <w:rsid w:val="00E34E8B"/>
    <w:rsid w:val="00E34F6B"/>
    <w:rsid w:val="00E35346"/>
    <w:rsid w:val="00E3553A"/>
    <w:rsid w:val="00E3569A"/>
    <w:rsid w:val="00E35827"/>
    <w:rsid w:val="00E35E72"/>
    <w:rsid w:val="00E36419"/>
    <w:rsid w:val="00E36B2A"/>
    <w:rsid w:val="00E3719F"/>
    <w:rsid w:val="00E37290"/>
    <w:rsid w:val="00E378B5"/>
    <w:rsid w:val="00E4094E"/>
    <w:rsid w:val="00E41455"/>
    <w:rsid w:val="00E416E8"/>
    <w:rsid w:val="00E41A18"/>
    <w:rsid w:val="00E41C77"/>
    <w:rsid w:val="00E41D4E"/>
    <w:rsid w:val="00E42D2F"/>
    <w:rsid w:val="00E435A1"/>
    <w:rsid w:val="00E435DB"/>
    <w:rsid w:val="00E44073"/>
    <w:rsid w:val="00E441A2"/>
    <w:rsid w:val="00E441F5"/>
    <w:rsid w:val="00E446EB"/>
    <w:rsid w:val="00E447C8"/>
    <w:rsid w:val="00E44B02"/>
    <w:rsid w:val="00E44D1F"/>
    <w:rsid w:val="00E4548A"/>
    <w:rsid w:val="00E45F8C"/>
    <w:rsid w:val="00E46002"/>
    <w:rsid w:val="00E462E5"/>
    <w:rsid w:val="00E46316"/>
    <w:rsid w:val="00E4692D"/>
    <w:rsid w:val="00E46A73"/>
    <w:rsid w:val="00E46C90"/>
    <w:rsid w:val="00E4770D"/>
    <w:rsid w:val="00E47EBC"/>
    <w:rsid w:val="00E503BB"/>
    <w:rsid w:val="00E5090B"/>
    <w:rsid w:val="00E51315"/>
    <w:rsid w:val="00E513C0"/>
    <w:rsid w:val="00E5157E"/>
    <w:rsid w:val="00E5162C"/>
    <w:rsid w:val="00E5198C"/>
    <w:rsid w:val="00E51BEF"/>
    <w:rsid w:val="00E527C7"/>
    <w:rsid w:val="00E528F9"/>
    <w:rsid w:val="00E5290F"/>
    <w:rsid w:val="00E52A59"/>
    <w:rsid w:val="00E53049"/>
    <w:rsid w:val="00E530A4"/>
    <w:rsid w:val="00E536F5"/>
    <w:rsid w:val="00E53E7E"/>
    <w:rsid w:val="00E53F7D"/>
    <w:rsid w:val="00E54047"/>
    <w:rsid w:val="00E541AF"/>
    <w:rsid w:val="00E54768"/>
    <w:rsid w:val="00E54905"/>
    <w:rsid w:val="00E54ECA"/>
    <w:rsid w:val="00E557AB"/>
    <w:rsid w:val="00E5590C"/>
    <w:rsid w:val="00E55985"/>
    <w:rsid w:val="00E56640"/>
    <w:rsid w:val="00E56B3A"/>
    <w:rsid w:val="00E57161"/>
    <w:rsid w:val="00E5749A"/>
    <w:rsid w:val="00E604BD"/>
    <w:rsid w:val="00E6063C"/>
    <w:rsid w:val="00E60646"/>
    <w:rsid w:val="00E60651"/>
    <w:rsid w:val="00E60803"/>
    <w:rsid w:val="00E60E11"/>
    <w:rsid w:val="00E6217D"/>
    <w:rsid w:val="00E622E9"/>
    <w:rsid w:val="00E6266B"/>
    <w:rsid w:val="00E6295B"/>
    <w:rsid w:val="00E62EA1"/>
    <w:rsid w:val="00E6313F"/>
    <w:rsid w:val="00E647D7"/>
    <w:rsid w:val="00E64A03"/>
    <w:rsid w:val="00E64F82"/>
    <w:rsid w:val="00E65549"/>
    <w:rsid w:val="00E655FB"/>
    <w:rsid w:val="00E659C3"/>
    <w:rsid w:val="00E6604D"/>
    <w:rsid w:val="00E66A1D"/>
    <w:rsid w:val="00E66AAF"/>
    <w:rsid w:val="00E66CE1"/>
    <w:rsid w:val="00E66DB8"/>
    <w:rsid w:val="00E6701E"/>
    <w:rsid w:val="00E6771F"/>
    <w:rsid w:val="00E67B29"/>
    <w:rsid w:val="00E67BCF"/>
    <w:rsid w:val="00E700FD"/>
    <w:rsid w:val="00E705E3"/>
    <w:rsid w:val="00E712E0"/>
    <w:rsid w:val="00E7163C"/>
    <w:rsid w:val="00E71CAF"/>
    <w:rsid w:val="00E726A1"/>
    <w:rsid w:val="00E72A42"/>
    <w:rsid w:val="00E7301B"/>
    <w:rsid w:val="00E73448"/>
    <w:rsid w:val="00E73A73"/>
    <w:rsid w:val="00E74443"/>
    <w:rsid w:val="00E74581"/>
    <w:rsid w:val="00E74675"/>
    <w:rsid w:val="00E74EC4"/>
    <w:rsid w:val="00E758AA"/>
    <w:rsid w:val="00E75CA6"/>
    <w:rsid w:val="00E760C2"/>
    <w:rsid w:val="00E76384"/>
    <w:rsid w:val="00E766B7"/>
    <w:rsid w:val="00E7726D"/>
    <w:rsid w:val="00E773F0"/>
    <w:rsid w:val="00E77ECC"/>
    <w:rsid w:val="00E8078F"/>
    <w:rsid w:val="00E80A66"/>
    <w:rsid w:val="00E80B4D"/>
    <w:rsid w:val="00E80E31"/>
    <w:rsid w:val="00E81542"/>
    <w:rsid w:val="00E81905"/>
    <w:rsid w:val="00E82310"/>
    <w:rsid w:val="00E82866"/>
    <w:rsid w:val="00E82AD6"/>
    <w:rsid w:val="00E835A7"/>
    <w:rsid w:val="00E846EA"/>
    <w:rsid w:val="00E849EC"/>
    <w:rsid w:val="00E84D92"/>
    <w:rsid w:val="00E858B2"/>
    <w:rsid w:val="00E858D7"/>
    <w:rsid w:val="00E85C2A"/>
    <w:rsid w:val="00E866E4"/>
    <w:rsid w:val="00E86D2C"/>
    <w:rsid w:val="00E87A20"/>
    <w:rsid w:val="00E87E00"/>
    <w:rsid w:val="00E903CF"/>
    <w:rsid w:val="00E90F35"/>
    <w:rsid w:val="00E91059"/>
    <w:rsid w:val="00E91233"/>
    <w:rsid w:val="00E912BB"/>
    <w:rsid w:val="00E9145C"/>
    <w:rsid w:val="00E9152E"/>
    <w:rsid w:val="00E916E8"/>
    <w:rsid w:val="00E9256F"/>
    <w:rsid w:val="00E925F6"/>
    <w:rsid w:val="00E92964"/>
    <w:rsid w:val="00E92D68"/>
    <w:rsid w:val="00E9344F"/>
    <w:rsid w:val="00E948E6"/>
    <w:rsid w:val="00E94F2D"/>
    <w:rsid w:val="00E9556F"/>
    <w:rsid w:val="00E95ECE"/>
    <w:rsid w:val="00E960FA"/>
    <w:rsid w:val="00E96122"/>
    <w:rsid w:val="00E96699"/>
    <w:rsid w:val="00E972D4"/>
    <w:rsid w:val="00EA0DB4"/>
    <w:rsid w:val="00EA1F21"/>
    <w:rsid w:val="00EA26A3"/>
    <w:rsid w:val="00EA270E"/>
    <w:rsid w:val="00EA2B02"/>
    <w:rsid w:val="00EA30DA"/>
    <w:rsid w:val="00EA3310"/>
    <w:rsid w:val="00EA388D"/>
    <w:rsid w:val="00EA4613"/>
    <w:rsid w:val="00EA4767"/>
    <w:rsid w:val="00EA4A4B"/>
    <w:rsid w:val="00EA4ADC"/>
    <w:rsid w:val="00EA572A"/>
    <w:rsid w:val="00EA5890"/>
    <w:rsid w:val="00EA5B63"/>
    <w:rsid w:val="00EA6068"/>
    <w:rsid w:val="00EA6EF5"/>
    <w:rsid w:val="00EA7089"/>
    <w:rsid w:val="00EA73D7"/>
    <w:rsid w:val="00EA7BA6"/>
    <w:rsid w:val="00EA7CD0"/>
    <w:rsid w:val="00EB0DAE"/>
    <w:rsid w:val="00EB0E74"/>
    <w:rsid w:val="00EB251A"/>
    <w:rsid w:val="00EB2681"/>
    <w:rsid w:val="00EB26B9"/>
    <w:rsid w:val="00EB2798"/>
    <w:rsid w:val="00EB2B0B"/>
    <w:rsid w:val="00EB2EDA"/>
    <w:rsid w:val="00EB30E8"/>
    <w:rsid w:val="00EB316D"/>
    <w:rsid w:val="00EB3408"/>
    <w:rsid w:val="00EB345F"/>
    <w:rsid w:val="00EB367A"/>
    <w:rsid w:val="00EB3842"/>
    <w:rsid w:val="00EB4092"/>
    <w:rsid w:val="00EB41D8"/>
    <w:rsid w:val="00EB4448"/>
    <w:rsid w:val="00EB49BB"/>
    <w:rsid w:val="00EB4F6E"/>
    <w:rsid w:val="00EB57B3"/>
    <w:rsid w:val="00EB59C4"/>
    <w:rsid w:val="00EB5B6D"/>
    <w:rsid w:val="00EB5C5C"/>
    <w:rsid w:val="00EB60F8"/>
    <w:rsid w:val="00EB63C9"/>
    <w:rsid w:val="00EB63E8"/>
    <w:rsid w:val="00EB698E"/>
    <w:rsid w:val="00EB6BCB"/>
    <w:rsid w:val="00EB6C24"/>
    <w:rsid w:val="00EB7B19"/>
    <w:rsid w:val="00EB7C96"/>
    <w:rsid w:val="00EC0020"/>
    <w:rsid w:val="00EC0698"/>
    <w:rsid w:val="00EC0CF4"/>
    <w:rsid w:val="00EC0F96"/>
    <w:rsid w:val="00EC18C7"/>
    <w:rsid w:val="00EC19E8"/>
    <w:rsid w:val="00EC19F0"/>
    <w:rsid w:val="00EC1A5A"/>
    <w:rsid w:val="00EC1A8B"/>
    <w:rsid w:val="00EC1B1F"/>
    <w:rsid w:val="00EC1B4B"/>
    <w:rsid w:val="00EC1EBA"/>
    <w:rsid w:val="00EC210A"/>
    <w:rsid w:val="00EC2A13"/>
    <w:rsid w:val="00EC2D82"/>
    <w:rsid w:val="00EC2E73"/>
    <w:rsid w:val="00EC31AD"/>
    <w:rsid w:val="00EC418C"/>
    <w:rsid w:val="00EC4229"/>
    <w:rsid w:val="00EC46BE"/>
    <w:rsid w:val="00EC47D1"/>
    <w:rsid w:val="00EC5741"/>
    <w:rsid w:val="00EC594C"/>
    <w:rsid w:val="00EC59AE"/>
    <w:rsid w:val="00EC5BF9"/>
    <w:rsid w:val="00EC6595"/>
    <w:rsid w:val="00EC689A"/>
    <w:rsid w:val="00EC6C33"/>
    <w:rsid w:val="00EC6FF2"/>
    <w:rsid w:val="00EC7B75"/>
    <w:rsid w:val="00ED02AD"/>
    <w:rsid w:val="00ED074D"/>
    <w:rsid w:val="00ED09CC"/>
    <w:rsid w:val="00ED0C26"/>
    <w:rsid w:val="00ED0C2B"/>
    <w:rsid w:val="00ED1153"/>
    <w:rsid w:val="00ED182C"/>
    <w:rsid w:val="00ED1B86"/>
    <w:rsid w:val="00ED1C4E"/>
    <w:rsid w:val="00ED35B4"/>
    <w:rsid w:val="00ED37DB"/>
    <w:rsid w:val="00ED39D1"/>
    <w:rsid w:val="00ED3AA5"/>
    <w:rsid w:val="00ED3B7B"/>
    <w:rsid w:val="00ED3C92"/>
    <w:rsid w:val="00ED43F5"/>
    <w:rsid w:val="00ED4509"/>
    <w:rsid w:val="00ED4C26"/>
    <w:rsid w:val="00ED4E5A"/>
    <w:rsid w:val="00ED55C6"/>
    <w:rsid w:val="00ED5ED1"/>
    <w:rsid w:val="00ED5EFC"/>
    <w:rsid w:val="00ED6434"/>
    <w:rsid w:val="00ED695C"/>
    <w:rsid w:val="00ED727F"/>
    <w:rsid w:val="00ED79E5"/>
    <w:rsid w:val="00ED7F60"/>
    <w:rsid w:val="00EE0278"/>
    <w:rsid w:val="00EE07E0"/>
    <w:rsid w:val="00EE0970"/>
    <w:rsid w:val="00EE0C3E"/>
    <w:rsid w:val="00EE0CC4"/>
    <w:rsid w:val="00EE0EDD"/>
    <w:rsid w:val="00EE14F0"/>
    <w:rsid w:val="00EE182F"/>
    <w:rsid w:val="00EE18D5"/>
    <w:rsid w:val="00EE203D"/>
    <w:rsid w:val="00EE20A2"/>
    <w:rsid w:val="00EE2DDF"/>
    <w:rsid w:val="00EE3825"/>
    <w:rsid w:val="00EE39A6"/>
    <w:rsid w:val="00EE451E"/>
    <w:rsid w:val="00EE4A9D"/>
    <w:rsid w:val="00EE4D2C"/>
    <w:rsid w:val="00EE4F03"/>
    <w:rsid w:val="00EE5008"/>
    <w:rsid w:val="00EE5671"/>
    <w:rsid w:val="00EE62BF"/>
    <w:rsid w:val="00EE6A9D"/>
    <w:rsid w:val="00EE7214"/>
    <w:rsid w:val="00EE7B06"/>
    <w:rsid w:val="00EF0930"/>
    <w:rsid w:val="00EF0C4C"/>
    <w:rsid w:val="00EF1837"/>
    <w:rsid w:val="00EF1A78"/>
    <w:rsid w:val="00EF1D0B"/>
    <w:rsid w:val="00EF2665"/>
    <w:rsid w:val="00EF388E"/>
    <w:rsid w:val="00EF3F8D"/>
    <w:rsid w:val="00EF4778"/>
    <w:rsid w:val="00EF4B91"/>
    <w:rsid w:val="00EF5E25"/>
    <w:rsid w:val="00EF6019"/>
    <w:rsid w:val="00EF6BC9"/>
    <w:rsid w:val="00EF6E86"/>
    <w:rsid w:val="00EF7306"/>
    <w:rsid w:val="00EF7672"/>
    <w:rsid w:val="00EF7BE6"/>
    <w:rsid w:val="00F00913"/>
    <w:rsid w:val="00F00A6A"/>
    <w:rsid w:val="00F00B38"/>
    <w:rsid w:val="00F00DD9"/>
    <w:rsid w:val="00F00E6E"/>
    <w:rsid w:val="00F012A6"/>
    <w:rsid w:val="00F013B4"/>
    <w:rsid w:val="00F016A5"/>
    <w:rsid w:val="00F017DD"/>
    <w:rsid w:val="00F01901"/>
    <w:rsid w:val="00F01A1A"/>
    <w:rsid w:val="00F01C80"/>
    <w:rsid w:val="00F01CCA"/>
    <w:rsid w:val="00F01EDE"/>
    <w:rsid w:val="00F0243B"/>
    <w:rsid w:val="00F0280C"/>
    <w:rsid w:val="00F03039"/>
    <w:rsid w:val="00F0343C"/>
    <w:rsid w:val="00F03BBD"/>
    <w:rsid w:val="00F0409A"/>
    <w:rsid w:val="00F045C9"/>
    <w:rsid w:val="00F0491A"/>
    <w:rsid w:val="00F049D2"/>
    <w:rsid w:val="00F04A66"/>
    <w:rsid w:val="00F04ABC"/>
    <w:rsid w:val="00F04F68"/>
    <w:rsid w:val="00F064E5"/>
    <w:rsid w:val="00F06D80"/>
    <w:rsid w:val="00F06F97"/>
    <w:rsid w:val="00F07103"/>
    <w:rsid w:val="00F074C3"/>
    <w:rsid w:val="00F0757E"/>
    <w:rsid w:val="00F079D7"/>
    <w:rsid w:val="00F07AA9"/>
    <w:rsid w:val="00F07CA3"/>
    <w:rsid w:val="00F07D63"/>
    <w:rsid w:val="00F07FF7"/>
    <w:rsid w:val="00F10425"/>
    <w:rsid w:val="00F10AEF"/>
    <w:rsid w:val="00F10F1D"/>
    <w:rsid w:val="00F11741"/>
    <w:rsid w:val="00F126B0"/>
    <w:rsid w:val="00F129F0"/>
    <w:rsid w:val="00F12D06"/>
    <w:rsid w:val="00F12E5A"/>
    <w:rsid w:val="00F143B7"/>
    <w:rsid w:val="00F146BD"/>
    <w:rsid w:val="00F14B09"/>
    <w:rsid w:val="00F14F55"/>
    <w:rsid w:val="00F15066"/>
    <w:rsid w:val="00F15215"/>
    <w:rsid w:val="00F15371"/>
    <w:rsid w:val="00F1557D"/>
    <w:rsid w:val="00F15E52"/>
    <w:rsid w:val="00F16C4F"/>
    <w:rsid w:val="00F16DBD"/>
    <w:rsid w:val="00F170D2"/>
    <w:rsid w:val="00F1728E"/>
    <w:rsid w:val="00F17996"/>
    <w:rsid w:val="00F17BAB"/>
    <w:rsid w:val="00F17CC9"/>
    <w:rsid w:val="00F200DE"/>
    <w:rsid w:val="00F20203"/>
    <w:rsid w:val="00F20BFE"/>
    <w:rsid w:val="00F20F5F"/>
    <w:rsid w:val="00F21457"/>
    <w:rsid w:val="00F21EEA"/>
    <w:rsid w:val="00F22BA4"/>
    <w:rsid w:val="00F235B1"/>
    <w:rsid w:val="00F23B50"/>
    <w:rsid w:val="00F23E1B"/>
    <w:rsid w:val="00F23FA5"/>
    <w:rsid w:val="00F25184"/>
    <w:rsid w:val="00F251BA"/>
    <w:rsid w:val="00F257FE"/>
    <w:rsid w:val="00F25E12"/>
    <w:rsid w:val="00F26056"/>
    <w:rsid w:val="00F26095"/>
    <w:rsid w:val="00F2645E"/>
    <w:rsid w:val="00F265BF"/>
    <w:rsid w:val="00F269A7"/>
    <w:rsid w:val="00F26A53"/>
    <w:rsid w:val="00F26AC1"/>
    <w:rsid w:val="00F271D3"/>
    <w:rsid w:val="00F273C1"/>
    <w:rsid w:val="00F301C2"/>
    <w:rsid w:val="00F302B8"/>
    <w:rsid w:val="00F30AE8"/>
    <w:rsid w:val="00F30BC8"/>
    <w:rsid w:val="00F30D1D"/>
    <w:rsid w:val="00F310C8"/>
    <w:rsid w:val="00F3127E"/>
    <w:rsid w:val="00F3136F"/>
    <w:rsid w:val="00F31779"/>
    <w:rsid w:val="00F31FA4"/>
    <w:rsid w:val="00F32324"/>
    <w:rsid w:val="00F323BC"/>
    <w:rsid w:val="00F326C5"/>
    <w:rsid w:val="00F32A46"/>
    <w:rsid w:val="00F32DC6"/>
    <w:rsid w:val="00F33103"/>
    <w:rsid w:val="00F3334B"/>
    <w:rsid w:val="00F3526A"/>
    <w:rsid w:val="00F35270"/>
    <w:rsid w:val="00F35F18"/>
    <w:rsid w:val="00F360FF"/>
    <w:rsid w:val="00F3611C"/>
    <w:rsid w:val="00F36195"/>
    <w:rsid w:val="00F3643F"/>
    <w:rsid w:val="00F36C85"/>
    <w:rsid w:val="00F37034"/>
    <w:rsid w:val="00F3766D"/>
    <w:rsid w:val="00F405A3"/>
    <w:rsid w:val="00F406D2"/>
    <w:rsid w:val="00F40A16"/>
    <w:rsid w:val="00F40BF5"/>
    <w:rsid w:val="00F41FE8"/>
    <w:rsid w:val="00F42630"/>
    <w:rsid w:val="00F42AE7"/>
    <w:rsid w:val="00F42F34"/>
    <w:rsid w:val="00F43660"/>
    <w:rsid w:val="00F43CAE"/>
    <w:rsid w:val="00F44095"/>
    <w:rsid w:val="00F446DB"/>
    <w:rsid w:val="00F44FE2"/>
    <w:rsid w:val="00F45725"/>
    <w:rsid w:val="00F46092"/>
    <w:rsid w:val="00F462FE"/>
    <w:rsid w:val="00F46895"/>
    <w:rsid w:val="00F469D4"/>
    <w:rsid w:val="00F46AF4"/>
    <w:rsid w:val="00F47163"/>
    <w:rsid w:val="00F476E5"/>
    <w:rsid w:val="00F47C96"/>
    <w:rsid w:val="00F47F30"/>
    <w:rsid w:val="00F50FFA"/>
    <w:rsid w:val="00F5105E"/>
    <w:rsid w:val="00F514CC"/>
    <w:rsid w:val="00F51663"/>
    <w:rsid w:val="00F51AC4"/>
    <w:rsid w:val="00F51B4D"/>
    <w:rsid w:val="00F5256A"/>
    <w:rsid w:val="00F52CDE"/>
    <w:rsid w:val="00F52F14"/>
    <w:rsid w:val="00F53CA9"/>
    <w:rsid w:val="00F54612"/>
    <w:rsid w:val="00F54834"/>
    <w:rsid w:val="00F553C6"/>
    <w:rsid w:val="00F55759"/>
    <w:rsid w:val="00F55D2C"/>
    <w:rsid w:val="00F567D5"/>
    <w:rsid w:val="00F56A00"/>
    <w:rsid w:val="00F56A53"/>
    <w:rsid w:val="00F56A74"/>
    <w:rsid w:val="00F56E64"/>
    <w:rsid w:val="00F571DC"/>
    <w:rsid w:val="00F57394"/>
    <w:rsid w:val="00F57611"/>
    <w:rsid w:val="00F5788F"/>
    <w:rsid w:val="00F57963"/>
    <w:rsid w:val="00F600A0"/>
    <w:rsid w:val="00F604FC"/>
    <w:rsid w:val="00F612BB"/>
    <w:rsid w:val="00F6180A"/>
    <w:rsid w:val="00F619CF"/>
    <w:rsid w:val="00F61D91"/>
    <w:rsid w:val="00F625EB"/>
    <w:rsid w:val="00F62942"/>
    <w:rsid w:val="00F62DBA"/>
    <w:rsid w:val="00F63192"/>
    <w:rsid w:val="00F63640"/>
    <w:rsid w:val="00F6399E"/>
    <w:rsid w:val="00F63E0B"/>
    <w:rsid w:val="00F64748"/>
    <w:rsid w:val="00F649D8"/>
    <w:rsid w:val="00F64D97"/>
    <w:rsid w:val="00F64E51"/>
    <w:rsid w:val="00F65172"/>
    <w:rsid w:val="00F652B0"/>
    <w:rsid w:val="00F65B91"/>
    <w:rsid w:val="00F662F8"/>
    <w:rsid w:val="00F663E5"/>
    <w:rsid w:val="00F667E4"/>
    <w:rsid w:val="00F66E8F"/>
    <w:rsid w:val="00F6761B"/>
    <w:rsid w:val="00F6778B"/>
    <w:rsid w:val="00F6787E"/>
    <w:rsid w:val="00F6796B"/>
    <w:rsid w:val="00F7074C"/>
    <w:rsid w:val="00F708DF"/>
    <w:rsid w:val="00F71485"/>
    <w:rsid w:val="00F7160F"/>
    <w:rsid w:val="00F719E0"/>
    <w:rsid w:val="00F72265"/>
    <w:rsid w:val="00F72649"/>
    <w:rsid w:val="00F727AD"/>
    <w:rsid w:val="00F72A42"/>
    <w:rsid w:val="00F72A81"/>
    <w:rsid w:val="00F72D3A"/>
    <w:rsid w:val="00F73472"/>
    <w:rsid w:val="00F73EFF"/>
    <w:rsid w:val="00F7419D"/>
    <w:rsid w:val="00F74293"/>
    <w:rsid w:val="00F74B24"/>
    <w:rsid w:val="00F75679"/>
    <w:rsid w:val="00F75723"/>
    <w:rsid w:val="00F75C3E"/>
    <w:rsid w:val="00F75C5E"/>
    <w:rsid w:val="00F75E97"/>
    <w:rsid w:val="00F76779"/>
    <w:rsid w:val="00F77451"/>
    <w:rsid w:val="00F77674"/>
    <w:rsid w:val="00F77792"/>
    <w:rsid w:val="00F77A98"/>
    <w:rsid w:val="00F77B45"/>
    <w:rsid w:val="00F77B9B"/>
    <w:rsid w:val="00F80699"/>
    <w:rsid w:val="00F80E56"/>
    <w:rsid w:val="00F811EC"/>
    <w:rsid w:val="00F816BB"/>
    <w:rsid w:val="00F81816"/>
    <w:rsid w:val="00F82AA9"/>
    <w:rsid w:val="00F82B61"/>
    <w:rsid w:val="00F82D59"/>
    <w:rsid w:val="00F82E64"/>
    <w:rsid w:val="00F832D4"/>
    <w:rsid w:val="00F8353D"/>
    <w:rsid w:val="00F8355E"/>
    <w:rsid w:val="00F83CB3"/>
    <w:rsid w:val="00F83D16"/>
    <w:rsid w:val="00F83EFD"/>
    <w:rsid w:val="00F83F38"/>
    <w:rsid w:val="00F83FDB"/>
    <w:rsid w:val="00F86239"/>
    <w:rsid w:val="00F86551"/>
    <w:rsid w:val="00F866E3"/>
    <w:rsid w:val="00F8670C"/>
    <w:rsid w:val="00F870E1"/>
    <w:rsid w:val="00F909FE"/>
    <w:rsid w:val="00F90A2E"/>
    <w:rsid w:val="00F90FB8"/>
    <w:rsid w:val="00F91A45"/>
    <w:rsid w:val="00F91B30"/>
    <w:rsid w:val="00F929D1"/>
    <w:rsid w:val="00F92E1A"/>
    <w:rsid w:val="00F92E20"/>
    <w:rsid w:val="00F9384F"/>
    <w:rsid w:val="00F941F7"/>
    <w:rsid w:val="00F9485D"/>
    <w:rsid w:val="00F94D38"/>
    <w:rsid w:val="00F94D56"/>
    <w:rsid w:val="00F94E7E"/>
    <w:rsid w:val="00F94FFE"/>
    <w:rsid w:val="00F9579F"/>
    <w:rsid w:val="00F95B33"/>
    <w:rsid w:val="00F9620C"/>
    <w:rsid w:val="00F9628B"/>
    <w:rsid w:val="00F96325"/>
    <w:rsid w:val="00F96A71"/>
    <w:rsid w:val="00F96C40"/>
    <w:rsid w:val="00F971EF"/>
    <w:rsid w:val="00F9765B"/>
    <w:rsid w:val="00FA0F02"/>
    <w:rsid w:val="00FA13B5"/>
    <w:rsid w:val="00FA1423"/>
    <w:rsid w:val="00FA16CE"/>
    <w:rsid w:val="00FA181A"/>
    <w:rsid w:val="00FA21D1"/>
    <w:rsid w:val="00FA235F"/>
    <w:rsid w:val="00FA2435"/>
    <w:rsid w:val="00FA2ACC"/>
    <w:rsid w:val="00FA2B3B"/>
    <w:rsid w:val="00FA2D35"/>
    <w:rsid w:val="00FA30C9"/>
    <w:rsid w:val="00FA324E"/>
    <w:rsid w:val="00FA3336"/>
    <w:rsid w:val="00FA344C"/>
    <w:rsid w:val="00FA4C78"/>
    <w:rsid w:val="00FA4F7F"/>
    <w:rsid w:val="00FA5470"/>
    <w:rsid w:val="00FA585F"/>
    <w:rsid w:val="00FA5C45"/>
    <w:rsid w:val="00FA652C"/>
    <w:rsid w:val="00FA6ABB"/>
    <w:rsid w:val="00FA7127"/>
    <w:rsid w:val="00FA7330"/>
    <w:rsid w:val="00FA7517"/>
    <w:rsid w:val="00FB0181"/>
    <w:rsid w:val="00FB0C82"/>
    <w:rsid w:val="00FB1371"/>
    <w:rsid w:val="00FB1633"/>
    <w:rsid w:val="00FB177B"/>
    <w:rsid w:val="00FB18AA"/>
    <w:rsid w:val="00FB19D0"/>
    <w:rsid w:val="00FB24EC"/>
    <w:rsid w:val="00FB2E4B"/>
    <w:rsid w:val="00FB2FF1"/>
    <w:rsid w:val="00FB30B4"/>
    <w:rsid w:val="00FB38EF"/>
    <w:rsid w:val="00FB39BC"/>
    <w:rsid w:val="00FB3AF1"/>
    <w:rsid w:val="00FB4562"/>
    <w:rsid w:val="00FB4742"/>
    <w:rsid w:val="00FB4869"/>
    <w:rsid w:val="00FB60B4"/>
    <w:rsid w:val="00FB61F0"/>
    <w:rsid w:val="00FB73DC"/>
    <w:rsid w:val="00FB799F"/>
    <w:rsid w:val="00FB7C75"/>
    <w:rsid w:val="00FC0811"/>
    <w:rsid w:val="00FC1F51"/>
    <w:rsid w:val="00FC3267"/>
    <w:rsid w:val="00FC36CB"/>
    <w:rsid w:val="00FC36FC"/>
    <w:rsid w:val="00FC3DE5"/>
    <w:rsid w:val="00FC514D"/>
    <w:rsid w:val="00FC548C"/>
    <w:rsid w:val="00FC54F7"/>
    <w:rsid w:val="00FC56E7"/>
    <w:rsid w:val="00FC5C1B"/>
    <w:rsid w:val="00FC77C7"/>
    <w:rsid w:val="00FD0148"/>
    <w:rsid w:val="00FD0720"/>
    <w:rsid w:val="00FD0C35"/>
    <w:rsid w:val="00FD0F1F"/>
    <w:rsid w:val="00FD121B"/>
    <w:rsid w:val="00FD1D02"/>
    <w:rsid w:val="00FD2084"/>
    <w:rsid w:val="00FD2142"/>
    <w:rsid w:val="00FD24E3"/>
    <w:rsid w:val="00FD2A1D"/>
    <w:rsid w:val="00FD3189"/>
    <w:rsid w:val="00FD3482"/>
    <w:rsid w:val="00FD3544"/>
    <w:rsid w:val="00FD367E"/>
    <w:rsid w:val="00FD38CC"/>
    <w:rsid w:val="00FD391B"/>
    <w:rsid w:val="00FD39F9"/>
    <w:rsid w:val="00FD4253"/>
    <w:rsid w:val="00FD4C28"/>
    <w:rsid w:val="00FD4EBF"/>
    <w:rsid w:val="00FD4FB8"/>
    <w:rsid w:val="00FD563D"/>
    <w:rsid w:val="00FD5B78"/>
    <w:rsid w:val="00FD5ED3"/>
    <w:rsid w:val="00FD6D81"/>
    <w:rsid w:val="00FD7458"/>
    <w:rsid w:val="00FD75F3"/>
    <w:rsid w:val="00FD7F64"/>
    <w:rsid w:val="00FE0558"/>
    <w:rsid w:val="00FE06E3"/>
    <w:rsid w:val="00FE0969"/>
    <w:rsid w:val="00FE0AAD"/>
    <w:rsid w:val="00FE1578"/>
    <w:rsid w:val="00FE17F9"/>
    <w:rsid w:val="00FE20A0"/>
    <w:rsid w:val="00FE2120"/>
    <w:rsid w:val="00FE26AD"/>
    <w:rsid w:val="00FE31FF"/>
    <w:rsid w:val="00FE4302"/>
    <w:rsid w:val="00FE4370"/>
    <w:rsid w:val="00FE45D8"/>
    <w:rsid w:val="00FE486A"/>
    <w:rsid w:val="00FE4E49"/>
    <w:rsid w:val="00FE56A2"/>
    <w:rsid w:val="00FE59DC"/>
    <w:rsid w:val="00FE5A77"/>
    <w:rsid w:val="00FE5F3F"/>
    <w:rsid w:val="00FE5F4C"/>
    <w:rsid w:val="00FE6632"/>
    <w:rsid w:val="00FE69FB"/>
    <w:rsid w:val="00FE6C5C"/>
    <w:rsid w:val="00FE7337"/>
    <w:rsid w:val="00FF070C"/>
    <w:rsid w:val="00FF0F15"/>
    <w:rsid w:val="00FF10AE"/>
    <w:rsid w:val="00FF175A"/>
    <w:rsid w:val="00FF1A26"/>
    <w:rsid w:val="00FF1EDF"/>
    <w:rsid w:val="00FF326B"/>
    <w:rsid w:val="00FF3F05"/>
    <w:rsid w:val="00FF446E"/>
    <w:rsid w:val="00FF45AA"/>
    <w:rsid w:val="00FF4839"/>
    <w:rsid w:val="00FF4C64"/>
    <w:rsid w:val="00FF5297"/>
    <w:rsid w:val="00FF5421"/>
    <w:rsid w:val="00FF63C2"/>
    <w:rsid w:val="00FF6602"/>
    <w:rsid w:val="00FF66F9"/>
    <w:rsid w:val="00FF681C"/>
    <w:rsid w:val="00FF7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colormru v:ext="edit" colors="#002a6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page number" w:uiPriority="99" w:qFormat="1"/>
    <w:lsdException w:name="endnote reference" w:uiPriority="99"/>
    <w:lsdException w:name="endnote text" w:uiPriority="99"/>
    <w:lsdException w:name="List Bullet" w:uiPriority="99"/>
    <w:lsdException w:name="List Number" w:semiHidden="0" w:uiPriority="99" w:unhideWhenUsed="0"/>
    <w:lsdException w:name="List 4" w:semiHidden="0" w:unhideWhenUsed="0"/>
    <w:lsdException w:name="List 5" w:semiHidden="0" w:unhideWhenUsed="0"/>
    <w:lsdException w:name="List Bullet 3" w:uiPriority="99"/>
    <w:lsdException w:name="List Number 2" w:uiPriority="99"/>
    <w:lsdException w:name="Title" w:semiHidden="0" w:uiPriority="99" w:unhideWhenUsed="0" w:qFormat="1"/>
    <w:lsdException w:name="Body Tex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99" w:unhideWhenUsed="0" w:qFormat="1"/>
    <w:lsdException w:name="Emphasis" w:semiHidden="0" w:uiPriority="99" w:unhideWhenUsed="0" w:qFormat="1"/>
    <w:lsdException w:name="Normal (Web)" w:uiPriority="99"/>
    <w:lsdException w:name="annotation subject" w:uiPriority="99"/>
    <w:lsdException w:name="No List" w:uiPriority="99"/>
    <w:lsdException w:name="Outline List 2" w:uiPriority="99"/>
    <w:lsdException w:name="Table Simple 1" w:uiPriority="99"/>
    <w:lsdException w:name="Balloon Text" w:uiPriority="99"/>
    <w:lsdException w:name="Table Grid" w:semiHidden="0" w:uiPriority="9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qFormat="1"/>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1"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1"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1" w:unhideWhenUsed="0"/>
    <w:lsdException w:name="Medium Shading 2 Accent 2" w:semiHidden="0" w:uiPriority="64" w:unhideWhenUsed="0"/>
    <w:lsdException w:name="Medium List 1 Accent 2" w:semiHidden="0" w:uiPriority="99" w:unhideWhenUsed="0"/>
    <w:lsdException w:name="Medium List 2 Accent 2" w:semiHidden="0" w:uiPriority="66" w:unhideWhenUsed="0"/>
    <w:lsdException w:name="Medium Grid 1 Accent 2" w:semiHidden="0" w:uiPriority="34" w:unhideWhenUsed="0" w:qFormat="1"/>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99" w:unhideWhenUsed="0"/>
    <w:lsdException w:name="Colorful Grid Accent 2" w:semiHidden="0" w:uiPriority="99" w:unhideWhenUsed="0"/>
    <w:lsdException w:name="Light Shading Accent 3" w:semiHidden="0" w:uiPriority="60" w:unhideWhenUsed="0"/>
    <w:lsdException w:name="Light List Accent 3" w:semiHidden="0" w:uiPriority="61" w:unhideWhenUsed="0"/>
    <w:lsdException w:name="Light Grid Accent 3" w:semiHidden="0" w:uiPriority="34" w:unhideWhenUsed="0" w:qFormat="1"/>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235E42"/>
    <w:pPr>
      <w:spacing w:after="120"/>
    </w:pPr>
  </w:style>
  <w:style w:type="paragraph" w:styleId="Heading1">
    <w:name w:val="heading 1"/>
    <w:basedOn w:val="Normal"/>
    <w:next w:val="Normal"/>
    <w:link w:val="Heading1Char"/>
    <w:uiPriority w:val="99"/>
    <w:qFormat/>
    <w:rsid w:val="00396227"/>
    <w:pPr>
      <w:keepNext/>
      <w:numPr>
        <w:numId w:val="7"/>
      </w:numPr>
      <w:outlineLvl w:val="0"/>
    </w:pPr>
    <w:rPr>
      <w:rFonts w:asciiTheme="minorHAnsi" w:hAnsiTheme="minorHAnsi" w:cstheme="minorHAnsi"/>
      <w:bCs/>
      <w:color w:val="003880"/>
      <w:kern w:val="32"/>
      <w:sz w:val="32"/>
      <w:szCs w:val="72"/>
    </w:rPr>
  </w:style>
  <w:style w:type="paragraph" w:styleId="Heading2">
    <w:name w:val="heading 2"/>
    <w:basedOn w:val="Normal"/>
    <w:next w:val="Normal"/>
    <w:link w:val="Heading2Char"/>
    <w:uiPriority w:val="99"/>
    <w:qFormat/>
    <w:rsid w:val="00DE0C5D"/>
    <w:pPr>
      <w:keepNext/>
      <w:numPr>
        <w:ilvl w:val="1"/>
        <w:numId w:val="7"/>
      </w:numPr>
      <w:outlineLvl w:val="1"/>
    </w:pPr>
    <w:rPr>
      <w:bCs/>
      <w:iCs/>
      <w:color w:val="003880"/>
      <w:sz w:val="24"/>
      <w:szCs w:val="48"/>
    </w:rPr>
  </w:style>
  <w:style w:type="paragraph" w:styleId="Heading3">
    <w:name w:val="heading 3"/>
    <w:basedOn w:val="Normal"/>
    <w:next w:val="Normal"/>
    <w:link w:val="Heading3Char"/>
    <w:autoRedefine/>
    <w:uiPriority w:val="99"/>
    <w:qFormat/>
    <w:rsid w:val="00DB55DD"/>
    <w:pPr>
      <w:keepNext/>
      <w:spacing w:before="360" w:line="276" w:lineRule="auto"/>
      <w:outlineLvl w:val="2"/>
    </w:pPr>
    <w:rPr>
      <w:rFonts w:asciiTheme="minorHAnsi" w:hAnsiTheme="minorHAnsi" w:cstheme="minorHAnsi"/>
      <w:b/>
      <w:bCs/>
      <w:i/>
      <w:iCs/>
      <w:color w:val="003880"/>
      <w:sz w:val="24"/>
      <w:szCs w:val="28"/>
    </w:rPr>
  </w:style>
  <w:style w:type="paragraph" w:styleId="Heading4">
    <w:name w:val="heading 4"/>
    <w:basedOn w:val="Normal"/>
    <w:next w:val="Normal"/>
    <w:link w:val="Heading4Char"/>
    <w:uiPriority w:val="99"/>
    <w:qFormat/>
    <w:rsid w:val="00643C39"/>
    <w:pPr>
      <w:keepNext/>
      <w:numPr>
        <w:ilvl w:val="3"/>
        <w:numId w:val="7"/>
      </w:numPr>
      <w:spacing w:before="240" w:after="60"/>
      <w:outlineLvl w:val="3"/>
    </w:pPr>
    <w:rPr>
      <w:b/>
      <w:bCs/>
      <w:sz w:val="24"/>
      <w:szCs w:val="28"/>
    </w:rPr>
  </w:style>
  <w:style w:type="paragraph" w:styleId="Heading5">
    <w:name w:val="heading 5"/>
    <w:basedOn w:val="Normal"/>
    <w:next w:val="Normal"/>
    <w:link w:val="Heading5Char"/>
    <w:uiPriority w:val="99"/>
    <w:qFormat/>
    <w:rsid w:val="00643C39"/>
    <w:pPr>
      <w:numPr>
        <w:ilvl w:val="4"/>
        <w:numId w:val="3"/>
      </w:numPr>
      <w:spacing w:before="240" w:after="60"/>
      <w:outlineLvl w:val="4"/>
    </w:pPr>
    <w:rPr>
      <w:b/>
      <w:bCs/>
      <w:i/>
      <w:iCs/>
      <w:sz w:val="26"/>
      <w:szCs w:val="26"/>
    </w:rPr>
  </w:style>
  <w:style w:type="paragraph" w:styleId="Heading6">
    <w:name w:val="heading 6"/>
    <w:basedOn w:val="Normal"/>
    <w:next w:val="Normal"/>
    <w:link w:val="Heading6Char"/>
    <w:uiPriority w:val="99"/>
    <w:qFormat/>
    <w:rsid w:val="00643C39"/>
    <w:pPr>
      <w:numPr>
        <w:ilvl w:val="5"/>
        <w:numId w:val="3"/>
      </w:numPr>
      <w:spacing w:before="240" w:after="60"/>
      <w:outlineLvl w:val="5"/>
    </w:pPr>
    <w:rPr>
      <w:b/>
      <w:bCs/>
    </w:rPr>
  </w:style>
  <w:style w:type="paragraph" w:styleId="Heading7">
    <w:name w:val="heading 7"/>
    <w:basedOn w:val="Normal"/>
    <w:next w:val="Normal"/>
    <w:link w:val="Heading7Char"/>
    <w:uiPriority w:val="99"/>
    <w:qFormat/>
    <w:rsid w:val="00643C39"/>
    <w:pPr>
      <w:numPr>
        <w:ilvl w:val="6"/>
        <w:numId w:val="3"/>
      </w:numPr>
      <w:spacing w:before="240" w:after="60"/>
      <w:outlineLvl w:val="6"/>
    </w:pPr>
  </w:style>
  <w:style w:type="paragraph" w:styleId="Heading8">
    <w:name w:val="heading 8"/>
    <w:basedOn w:val="Normal"/>
    <w:next w:val="Normal"/>
    <w:link w:val="Heading8Char"/>
    <w:uiPriority w:val="99"/>
    <w:qFormat/>
    <w:rsid w:val="00643C39"/>
    <w:pPr>
      <w:numPr>
        <w:ilvl w:val="7"/>
        <w:numId w:val="3"/>
      </w:numPr>
      <w:spacing w:before="240" w:after="60"/>
      <w:outlineLvl w:val="7"/>
    </w:pPr>
    <w:rPr>
      <w:i/>
      <w:iCs/>
    </w:rPr>
  </w:style>
  <w:style w:type="paragraph" w:styleId="Heading9">
    <w:name w:val="heading 9"/>
    <w:basedOn w:val="Normal"/>
    <w:next w:val="Normal"/>
    <w:link w:val="Heading9Char"/>
    <w:uiPriority w:val="99"/>
    <w:qFormat/>
    <w:rsid w:val="00643C39"/>
    <w:pPr>
      <w:numPr>
        <w:ilvl w:val="8"/>
        <w:numId w:val="3"/>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396227"/>
    <w:rPr>
      <w:rFonts w:asciiTheme="minorHAnsi" w:hAnsiTheme="minorHAnsi" w:cstheme="minorHAnsi"/>
      <w:bCs/>
      <w:color w:val="003880"/>
      <w:kern w:val="32"/>
      <w:sz w:val="32"/>
      <w:szCs w:val="72"/>
    </w:rPr>
  </w:style>
  <w:style w:type="character" w:customStyle="1" w:styleId="Heading2Char">
    <w:name w:val="Heading 2 Char"/>
    <w:link w:val="Heading2"/>
    <w:uiPriority w:val="99"/>
    <w:rsid w:val="00DE0C5D"/>
    <w:rPr>
      <w:bCs/>
      <w:iCs/>
      <w:color w:val="003880"/>
      <w:sz w:val="24"/>
      <w:szCs w:val="48"/>
    </w:rPr>
  </w:style>
  <w:style w:type="character" w:customStyle="1" w:styleId="Heading3Char">
    <w:name w:val="Heading 3 Char"/>
    <w:link w:val="Heading3"/>
    <w:uiPriority w:val="99"/>
    <w:rsid w:val="00DB55DD"/>
    <w:rPr>
      <w:rFonts w:asciiTheme="minorHAnsi" w:hAnsiTheme="minorHAnsi" w:cstheme="minorHAnsi"/>
      <w:b/>
      <w:bCs/>
      <w:i/>
      <w:iCs/>
      <w:color w:val="003880"/>
      <w:sz w:val="24"/>
      <w:szCs w:val="28"/>
    </w:rPr>
  </w:style>
  <w:style w:type="paragraph" w:styleId="Footer">
    <w:name w:val="footer"/>
    <w:basedOn w:val="Normal"/>
    <w:link w:val="FooterChar"/>
    <w:uiPriority w:val="99"/>
    <w:rsid w:val="005F5956"/>
    <w:pPr>
      <w:tabs>
        <w:tab w:val="center" w:pos="4320"/>
        <w:tab w:val="right" w:pos="8640"/>
      </w:tabs>
    </w:pPr>
    <w:rPr>
      <w:b/>
      <w:caps/>
      <w:sz w:val="16"/>
      <w:szCs w:val="16"/>
    </w:rPr>
  </w:style>
  <w:style w:type="character" w:customStyle="1" w:styleId="FooterChar">
    <w:name w:val="Footer Char"/>
    <w:link w:val="Footer"/>
    <w:uiPriority w:val="99"/>
    <w:rsid w:val="00623899"/>
    <w:rPr>
      <w:rFonts w:ascii="Gill Sans MT" w:hAnsi="Gill Sans MT"/>
      <w:b/>
      <w:caps/>
      <w:sz w:val="16"/>
      <w:szCs w:val="16"/>
    </w:rPr>
  </w:style>
  <w:style w:type="character" w:styleId="FootnoteReference">
    <w:name w:val="footnote reference"/>
    <w:aliases w:val=" BVI fnr,BVI fnr,ftref,referencia nota al pie,footnote ref,16 Point,Superscript 6 Point,fr,(NECG) Footnote Reference"/>
    <w:uiPriority w:val="99"/>
    <w:rsid w:val="00890B09"/>
    <w:rPr>
      <w:rFonts w:ascii="Times New Roman" w:hAnsi="Times New Roman"/>
      <w:sz w:val="22"/>
      <w:szCs w:val="22"/>
      <w:vertAlign w:val="superscript"/>
    </w:rPr>
  </w:style>
  <w:style w:type="paragraph" w:styleId="Header">
    <w:name w:val="header"/>
    <w:basedOn w:val="Normal"/>
    <w:link w:val="HeaderChar"/>
    <w:uiPriority w:val="99"/>
    <w:rsid w:val="006A672B"/>
    <w:pPr>
      <w:tabs>
        <w:tab w:val="center" w:pos="4320"/>
        <w:tab w:val="right" w:pos="8640"/>
      </w:tabs>
    </w:pPr>
    <w:rPr>
      <w:caps/>
      <w:sz w:val="16"/>
      <w:szCs w:val="16"/>
    </w:rPr>
  </w:style>
  <w:style w:type="character" w:customStyle="1" w:styleId="HeaderChar">
    <w:name w:val="Header Char"/>
    <w:link w:val="Header"/>
    <w:uiPriority w:val="99"/>
    <w:rsid w:val="006A672B"/>
    <w:rPr>
      <w:rFonts w:ascii="Gill Sans MT" w:hAnsi="Gill Sans MT"/>
      <w:caps/>
      <w:sz w:val="16"/>
      <w:szCs w:val="16"/>
    </w:rPr>
  </w:style>
  <w:style w:type="paragraph" w:styleId="ListNumber">
    <w:name w:val="List Number"/>
    <w:basedOn w:val="Normal"/>
    <w:link w:val="ListNumberChar"/>
    <w:uiPriority w:val="99"/>
    <w:rsid w:val="00890B09"/>
    <w:pPr>
      <w:tabs>
        <w:tab w:val="num" w:pos="360"/>
      </w:tabs>
    </w:pPr>
  </w:style>
  <w:style w:type="paragraph" w:styleId="List">
    <w:name w:val="List"/>
    <w:basedOn w:val="Normal"/>
    <w:rsid w:val="00890B09"/>
    <w:pPr>
      <w:ind w:left="360" w:hanging="360"/>
    </w:pPr>
  </w:style>
  <w:style w:type="character" w:styleId="PageNumber">
    <w:name w:val="page number"/>
    <w:uiPriority w:val="99"/>
    <w:qFormat/>
    <w:rsid w:val="00D14AFA"/>
    <w:rPr>
      <w:rFonts w:ascii="Calibri" w:hAnsi="Calibri" w:cs="Calibri"/>
      <w:color w:val="595959" w:themeColor="text1" w:themeTint="A6"/>
      <w:sz w:val="24"/>
    </w:rPr>
  </w:style>
  <w:style w:type="paragraph" w:styleId="TableofFigures">
    <w:name w:val="table of figures"/>
    <w:basedOn w:val="Normal"/>
    <w:next w:val="Normal"/>
    <w:uiPriority w:val="99"/>
    <w:rsid w:val="00803B3F"/>
    <w:pPr>
      <w:ind w:left="440" w:hanging="440"/>
    </w:pPr>
  </w:style>
  <w:style w:type="paragraph" w:customStyle="1" w:styleId="2ParagraphHeadline">
    <w:name w:val="2 Paragraph Headline"/>
    <w:basedOn w:val="Normal"/>
    <w:link w:val="2ParagraphHeadlineChar"/>
    <w:qFormat/>
    <w:rsid w:val="005C475A"/>
    <w:rPr>
      <w:rFonts w:eastAsiaTheme="minorHAnsi"/>
      <w:b/>
      <w:bCs/>
      <w:color w:val="68BAD6"/>
      <w:szCs w:val="14"/>
    </w:rPr>
  </w:style>
  <w:style w:type="character" w:styleId="Hyperlink">
    <w:name w:val="Hyperlink"/>
    <w:uiPriority w:val="99"/>
    <w:rsid w:val="00890B09"/>
    <w:rPr>
      <w:rFonts w:ascii="Gill Sans MT" w:hAnsi="Gill Sans MT"/>
      <w:color w:val="auto"/>
      <w:sz w:val="22"/>
      <w:u w:val="single"/>
    </w:rPr>
  </w:style>
  <w:style w:type="paragraph" w:styleId="ListBullet">
    <w:name w:val="List Bullet"/>
    <w:basedOn w:val="Normal"/>
    <w:uiPriority w:val="99"/>
    <w:rsid w:val="00D234C8"/>
    <w:pPr>
      <w:numPr>
        <w:numId w:val="1"/>
      </w:numPr>
    </w:pPr>
  </w:style>
  <w:style w:type="paragraph" w:styleId="Caption">
    <w:name w:val="caption"/>
    <w:aliases w:val="Figure"/>
    <w:basedOn w:val="Normal"/>
    <w:next w:val="Normal"/>
    <w:link w:val="CaptionChar"/>
    <w:autoRedefine/>
    <w:uiPriority w:val="99"/>
    <w:qFormat/>
    <w:rsid w:val="009A2DC1"/>
    <w:pPr>
      <w:keepNext/>
      <w:numPr>
        <w:numId w:val="44"/>
      </w:numPr>
      <w:tabs>
        <w:tab w:val="left" w:pos="993"/>
      </w:tabs>
      <w:spacing w:line="276" w:lineRule="auto"/>
      <w:jc w:val="center"/>
    </w:pPr>
    <w:rPr>
      <w:rFonts w:asciiTheme="minorHAnsi" w:hAnsiTheme="minorHAnsi" w:cstheme="minorHAnsi"/>
      <w:b/>
      <w:lang w:val="en-GB"/>
    </w:rPr>
  </w:style>
  <w:style w:type="character" w:customStyle="1" w:styleId="2ParagraphHeadlineChar">
    <w:name w:val="2 Paragraph Headline Char"/>
    <w:basedOn w:val="DefaultParagraphFont"/>
    <w:link w:val="2ParagraphHeadline"/>
    <w:rsid w:val="005C475A"/>
    <w:rPr>
      <w:rFonts w:eastAsiaTheme="minorHAnsi"/>
      <w:b/>
      <w:bCs/>
      <w:color w:val="68BAD6"/>
      <w:szCs w:val="14"/>
    </w:rPr>
  </w:style>
  <w:style w:type="paragraph" w:customStyle="1" w:styleId="MediumGrid21">
    <w:name w:val="Medium Grid 21"/>
    <w:link w:val="MediumGrid2Char"/>
    <w:uiPriority w:val="1"/>
    <w:qFormat/>
    <w:rsid w:val="0027184C"/>
    <w:rPr>
      <w:rFonts w:ascii="Gill Sans MT" w:hAnsi="Gill Sans MT"/>
      <w:szCs w:val="24"/>
    </w:rPr>
  </w:style>
  <w:style w:type="character" w:customStyle="1" w:styleId="MediumGrid2Char">
    <w:name w:val="Medium Grid 2 Char"/>
    <w:link w:val="MediumGrid21"/>
    <w:uiPriority w:val="1"/>
    <w:rsid w:val="00A04901"/>
    <w:rPr>
      <w:rFonts w:ascii="Gill Sans MT" w:hAnsi="Gill Sans MT"/>
      <w:sz w:val="22"/>
      <w:szCs w:val="24"/>
      <w:lang w:val="en-US" w:eastAsia="en-US" w:bidi="ar-SA"/>
    </w:rPr>
  </w:style>
  <w:style w:type="paragraph" w:styleId="TOCHeading">
    <w:name w:val="TOC Heading"/>
    <w:basedOn w:val="Heading1"/>
    <w:next w:val="Normal"/>
    <w:uiPriority w:val="39"/>
    <w:unhideWhenUsed/>
    <w:qFormat/>
    <w:rsid w:val="00F816BB"/>
    <w:pPr>
      <w:keepLines/>
      <w:spacing w:before="480" w:line="276" w:lineRule="auto"/>
      <w:ind w:left="0" w:firstLine="0"/>
      <w:outlineLvl w:val="9"/>
    </w:pPr>
    <w:rPr>
      <w:rFonts w:asciiTheme="majorHAnsi" w:eastAsiaTheme="majorEastAsia" w:hAnsiTheme="majorHAnsi" w:cstheme="majorBidi"/>
      <w:b/>
      <w:color w:val="365F91" w:themeColor="accent1" w:themeShade="BF"/>
      <w:kern w:val="0"/>
      <w:sz w:val="28"/>
      <w:szCs w:val="28"/>
      <w:lang w:eastAsia="ja-JP"/>
    </w:rPr>
  </w:style>
  <w:style w:type="paragraph" w:styleId="FootnoteText">
    <w:name w:val="footnote text"/>
    <w:aliases w:val="FOOTNOTES,fn,single space,footnote text,Footnote Text Char Char,Footnote Text Char Char Char Char,Footnote Text Char Char Char Char Char Char Char Char,Footnote Text Char Char Char Char Char Char Char"/>
    <w:basedOn w:val="Normal"/>
    <w:link w:val="FootnoteTextChar"/>
    <w:uiPriority w:val="99"/>
    <w:rsid w:val="005D7550"/>
    <w:rPr>
      <w:sz w:val="20"/>
    </w:rPr>
  </w:style>
  <w:style w:type="paragraph" w:styleId="TOC1">
    <w:name w:val="toc 1"/>
    <w:basedOn w:val="Normal"/>
    <w:next w:val="Normal"/>
    <w:autoRedefine/>
    <w:uiPriority w:val="39"/>
    <w:qFormat/>
    <w:rsid w:val="006F6337"/>
    <w:pPr>
      <w:tabs>
        <w:tab w:val="left" w:pos="720"/>
        <w:tab w:val="right" w:pos="9000"/>
      </w:tabs>
      <w:spacing w:before="240" w:after="240"/>
      <w:ind w:left="720" w:hanging="720"/>
    </w:pPr>
    <w:rPr>
      <w:rFonts w:asciiTheme="majorHAnsi" w:hAnsiTheme="majorHAnsi" w:cstheme="minorHAnsi"/>
      <w:b/>
      <w:bCs/>
      <w:caps/>
      <w:noProof/>
      <w:color w:val="003880"/>
      <w:sz w:val="20"/>
      <w:szCs w:val="24"/>
    </w:rPr>
  </w:style>
  <w:style w:type="paragraph" w:styleId="TOC2">
    <w:name w:val="toc 2"/>
    <w:basedOn w:val="Normal"/>
    <w:next w:val="Normal"/>
    <w:autoRedefine/>
    <w:uiPriority w:val="39"/>
    <w:qFormat/>
    <w:rsid w:val="00BA3B26"/>
    <w:pPr>
      <w:tabs>
        <w:tab w:val="left" w:pos="720"/>
        <w:tab w:val="right" w:pos="9000"/>
      </w:tabs>
      <w:spacing w:before="40" w:after="40"/>
    </w:pPr>
    <w:rPr>
      <w:rFonts w:asciiTheme="minorHAnsi" w:hAnsiTheme="minorHAnsi" w:cstheme="minorHAnsi"/>
      <w:b/>
      <w:bCs/>
      <w:sz w:val="20"/>
    </w:rPr>
  </w:style>
  <w:style w:type="paragraph" w:styleId="TOC3">
    <w:name w:val="toc 3"/>
    <w:basedOn w:val="Normal"/>
    <w:next w:val="Normal"/>
    <w:autoRedefine/>
    <w:uiPriority w:val="39"/>
    <w:qFormat/>
    <w:rsid w:val="00C820A7"/>
    <w:pPr>
      <w:tabs>
        <w:tab w:val="left" w:pos="720"/>
        <w:tab w:val="right" w:pos="9000"/>
      </w:tabs>
    </w:pPr>
    <w:rPr>
      <w:rFonts w:asciiTheme="minorHAnsi" w:hAnsiTheme="minorHAnsi" w:cstheme="minorHAnsi"/>
      <w:sz w:val="20"/>
    </w:rPr>
  </w:style>
  <w:style w:type="paragraph" w:styleId="TOC4">
    <w:name w:val="toc 4"/>
    <w:basedOn w:val="Normal"/>
    <w:next w:val="Normal"/>
    <w:autoRedefine/>
    <w:uiPriority w:val="99"/>
    <w:rsid w:val="00C86DEB"/>
    <w:pPr>
      <w:ind w:left="440"/>
    </w:pPr>
    <w:rPr>
      <w:rFonts w:asciiTheme="minorHAnsi" w:hAnsiTheme="minorHAnsi" w:cstheme="minorHAnsi"/>
      <w:sz w:val="20"/>
    </w:rPr>
  </w:style>
  <w:style w:type="paragraph" w:styleId="TOC5">
    <w:name w:val="toc 5"/>
    <w:basedOn w:val="Normal"/>
    <w:next w:val="Normal"/>
    <w:autoRedefine/>
    <w:uiPriority w:val="99"/>
    <w:rsid w:val="00C86DEB"/>
    <w:pPr>
      <w:ind w:left="660"/>
    </w:pPr>
    <w:rPr>
      <w:rFonts w:asciiTheme="minorHAnsi" w:hAnsiTheme="minorHAnsi" w:cstheme="minorHAnsi"/>
      <w:sz w:val="20"/>
    </w:rPr>
  </w:style>
  <w:style w:type="paragraph" w:styleId="TOC6">
    <w:name w:val="toc 6"/>
    <w:basedOn w:val="Normal"/>
    <w:next w:val="Normal"/>
    <w:autoRedefine/>
    <w:uiPriority w:val="99"/>
    <w:rsid w:val="00C86DEB"/>
    <w:pPr>
      <w:ind w:left="880"/>
    </w:pPr>
    <w:rPr>
      <w:rFonts w:asciiTheme="minorHAnsi" w:hAnsiTheme="minorHAnsi" w:cstheme="minorHAnsi"/>
      <w:sz w:val="20"/>
    </w:rPr>
  </w:style>
  <w:style w:type="paragraph" w:styleId="TOC7">
    <w:name w:val="toc 7"/>
    <w:basedOn w:val="Normal"/>
    <w:next w:val="Normal"/>
    <w:autoRedefine/>
    <w:uiPriority w:val="99"/>
    <w:rsid w:val="00C86DEB"/>
    <w:pPr>
      <w:ind w:left="1100"/>
    </w:pPr>
    <w:rPr>
      <w:rFonts w:asciiTheme="minorHAnsi" w:hAnsiTheme="minorHAnsi" w:cstheme="minorHAnsi"/>
      <w:sz w:val="20"/>
    </w:rPr>
  </w:style>
  <w:style w:type="paragraph" w:styleId="TOC8">
    <w:name w:val="toc 8"/>
    <w:basedOn w:val="Normal"/>
    <w:next w:val="Normal"/>
    <w:autoRedefine/>
    <w:uiPriority w:val="99"/>
    <w:rsid w:val="00C86DEB"/>
    <w:pPr>
      <w:ind w:left="1320"/>
    </w:pPr>
    <w:rPr>
      <w:rFonts w:asciiTheme="minorHAnsi" w:hAnsiTheme="minorHAnsi" w:cstheme="minorHAnsi"/>
      <w:sz w:val="20"/>
    </w:rPr>
  </w:style>
  <w:style w:type="paragraph" w:styleId="TOC9">
    <w:name w:val="toc 9"/>
    <w:basedOn w:val="Normal"/>
    <w:next w:val="Normal"/>
    <w:autoRedefine/>
    <w:uiPriority w:val="99"/>
    <w:rsid w:val="00C86DEB"/>
    <w:pPr>
      <w:ind w:left="1540"/>
    </w:pPr>
    <w:rPr>
      <w:rFonts w:asciiTheme="minorHAnsi" w:hAnsiTheme="minorHAnsi" w:cstheme="minorHAnsi"/>
      <w:sz w:val="20"/>
    </w:rPr>
  </w:style>
  <w:style w:type="paragraph" w:styleId="Title">
    <w:name w:val="Title"/>
    <w:basedOn w:val="Normal"/>
    <w:link w:val="TitleChar"/>
    <w:uiPriority w:val="99"/>
    <w:qFormat/>
    <w:rsid w:val="00643C39"/>
    <w:pPr>
      <w:spacing w:before="240" w:after="60"/>
      <w:ind w:left="1267"/>
      <w:outlineLvl w:val="0"/>
    </w:pPr>
    <w:rPr>
      <w:rFonts w:cs="Arial"/>
      <w:bCs/>
      <w:caps/>
      <w:kern w:val="28"/>
      <w:sz w:val="80"/>
      <w:szCs w:val="80"/>
    </w:rPr>
  </w:style>
  <w:style w:type="paragraph" w:customStyle="1" w:styleId="Disclaimer">
    <w:name w:val="Disclaimer"/>
    <w:basedOn w:val="Normal"/>
    <w:rsid w:val="00300CA5"/>
    <w:pPr>
      <w:spacing w:after="160" w:line="280" w:lineRule="exact"/>
      <w:ind w:left="1080" w:right="1080"/>
    </w:pPr>
    <w:rPr>
      <w:rFonts w:ascii="Arial" w:hAnsi="Arial" w:cs="Arial"/>
      <w:color w:val="FFFFFF"/>
    </w:rPr>
  </w:style>
  <w:style w:type="paragraph" w:customStyle="1" w:styleId="Disclaimer--MONTHYEAR">
    <w:name w:val="Disclaimer--MONTH YEAR"/>
    <w:basedOn w:val="Disclaimer"/>
    <w:rsid w:val="00300CA5"/>
    <w:pPr>
      <w:spacing w:after="240"/>
    </w:pPr>
    <w:rPr>
      <w:rFonts w:ascii="Arial Bold" w:hAnsi="Arial Bold"/>
      <w:b/>
      <w:caps/>
    </w:rPr>
  </w:style>
  <w:style w:type="paragraph" w:styleId="Subtitle">
    <w:name w:val="Subtitle"/>
    <w:basedOn w:val="Normal"/>
    <w:link w:val="SubtitleChar"/>
    <w:autoRedefine/>
    <w:uiPriority w:val="99"/>
    <w:qFormat/>
    <w:rsid w:val="00643C39"/>
    <w:pPr>
      <w:spacing w:after="60"/>
      <w:ind w:left="1267"/>
      <w:outlineLvl w:val="1"/>
    </w:pPr>
    <w:rPr>
      <w:rFonts w:cs="Arial"/>
      <w:caps/>
      <w:sz w:val="32"/>
      <w:szCs w:val="32"/>
    </w:rPr>
  </w:style>
  <w:style w:type="table" w:styleId="TableGrid">
    <w:name w:val="Table Grid"/>
    <w:basedOn w:val="TableNormal"/>
    <w:uiPriority w:val="99"/>
    <w:rsid w:val="0077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dul">
    <w:name w:val="Judul"/>
    <w:basedOn w:val="Normal"/>
    <w:link w:val="JudulChar"/>
    <w:rsid w:val="00E30A5B"/>
    <w:pPr>
      <w:spacing w:before="240"/>
    </w:pPr>
    <w:rPr>
      <w:b/>
    </w:rPr>
  </w:style>
  <w:style w:type="character" w:customStyle="1" w:styleId="JudulChar">
    <w:name w:val="Judul Char"/>
    <w:link w:val="Judul"/>
    <w:rsid w:val="00E30A5B"/>
    <w:rPr>
      <w:rFonts w:ascii="Gill Sans MT" w:hAnsi="Gill Sans MT"/>
      <w:b/>
      <w:sz w:val="22"/>
      <w:szCs w:val="22"/>
      <w:lang w:val="en-US" w:eastAsia="en-US" w:bidi="ar-SA"/>
    </w:rPr>
  </w:style>
  <w:style w:type="paragraph" w:customStyle="1" w:styleId="ColorfulList-Accent11">
    <w:name w:val="Colorful List - Accent 11"/>
    <w:basedOn w:val="Normal"/>
    <w:uiPriority w:val="34"/>
    <w:qFormat/>
    <w:rsid w:val="00643C39"/>
    <w:pPr>
      <w:ind w:left="720"/>
      <w:contextualSpacing/>
    </w:pPr>
    <w:rPr>
      <w:rFonts w:eastAsia="Calibri"/>
    </w:rPr>
  </w:style>
  <w:style w:type="paragraph" w:customStyle="1" w:styleId="FigureTitle">
    <w:name w:val="Figure Title"/>
    <w:basedOn w:val="Normal"/>
    <w:next w:val="Normal"/>
    <w:rsid w:val="00B96BED"/>
    <w:pPr>
      <w:spacing w:before="160"/>
    </w:pPr>
    <w:rPr>
      <w:rFonts w:ascii="HelveticaNeueLT Std" w:hAnsi="HelveticaNeueLT Std"/>
      <w:b/>
      <w:caps/>
      <w:color w:val="6C4713"/>
      <w:sz w:val="18"/>
      <w:szCs w:val="18"/>
    </w:rPr>
  </w:style>
  <w:style w:type="paragraph" w:customStyle="1" w:styleId="TableText">
    <w:name w:val="Table Text"/>
    <w:aliases w:val="tt,table text,table titles,Table Titles,table title,tx,t,TableText"/>
    <w:basedOn w:val="Normal"/>
    <w:link w:val="TableTextChar"/>
    <w:uiPriority w:val="99"/>
    <w:rsid w:val="00623899"/>
    <w:rPr>
      <w:rFonts w:ascii="HelveticaNeueLT Std" w:eastAsia="MinioMM_485 SB 585 NO 11 OP" w:hAnsi="HelveticaNeueLT Std"/>
      <w:color w:val="6C4713"/>
      <w:sz w:val="18"/>
      <w:szCs w:val="18"/>
    </w:rPr>
  </w:style>
  <w:style w:type="character" w:customStyle="1" w:styleId="TableTextChar">
    <w:name w:val="Table Text Char"/>
    <w:aliases w:val="tt Char,table text Char,table titles Char,Table Titles Char,table title Char,tx Char,t Char,TableText Char"/>
    <w:link w:val="TableText"/>
    <w:uiPriority w:val="99"/>
    <w:rsid w:val="00623899"/>
    <w:rPr>
      <w:rFonts w:ascii="HelveticaNeueLT Std" w:eastAsia="MinioMM_485 SB 585 NO 11 OP" w:hAnsi="HelveticaNeueLT Std"/>
      <w:color w:val="6C4713"/>
      <w:sz w:val="18"/>
      <w:szCs w:val="18"/>
    </w:rPr>
  </w:style>
  <w:style w:type="paragraph" w:customStyle="1" w:styleId="Bullet1">
    <w:name w:val="Bullet 1"/>
    <w:basedOn w:val="Normal"/>
    <w:rsid w:val="00623899"/>
    <w:pPr>
      <w:numPr>
        <w:numId w:val="2"/>
      </w:numPr>
    </w:pPr>
    <w:rPr>
      <w:rFonts w:ascii="Times New Roman" w:eastAsia="MinioMM_485 SB 585 NO 11 OP" w:hAnsi="Times New Roman"/>
      <w:sz w:val="24"/>
    </w:rPr>
  </w:style>
  <w:style w:type="paragraph" w:customStyle="1" w:styleId="Bullet1-Last">
    <w:name w:val="Bullet 1 - Last"/>
    <w:basedOn w:val="Bullet1"/>
    <w:rsid w:val="00643C39"/>
    <w:pPr>
      <w:numPr>
        <w:numId w:val="0"/>
      </w:numPr>
    </w:pPr>
  </w:style>
  <w:style w:type="paragraph" w:customStyle="1" w:styleId="TableTitle">
    <w:name w:val="Table Title"/>
    <w:basedOn w:val="Normal"/>
    <w:rsid w:val="00623899"/>
    <w:pPr>
      <w:spacing w:before="160"/>
    </w:pPr>
    <w:rPr>
      <w:rFonts w:ascii="HelveticaNeueLT Std" w:hAnsi="HelveticaNeueLT Std"/>
      <w:b/>
      <w:caps/>
      <w:color w:val="6C4713"/>
      <w:sz w:val="18"/>
      <w:szCs w:val="18"/>
    </w:rPr>
  </w:style>
  <w:style w:type="character" w:styleId="CommentReference">
    <w:name w:val="annotation reference"/>
    <w:uiPriority w:val="99"/>
    <w:unhideWhenUsed/>
    <w:rsid w:val="00623899"/>
    <w:rPr>
      <w:sz w:val="16"/>
      <w:szCs w:val="16"/>
    </w:rPr>
  </w:style>
  <w:style w:type="paragraph" w:styleId="CommentText">
    <w:name w:val="annotation text"/>
    <w:basedOn w:val="Normal"/>
    <w:link w:val="CommentTextChar"/>
    <w:uiPriority w:val="99"/>
    <w:unhideWhenUsed/>
    <w:rsid w:val="00623899"/>
    <w:rPr>
      <w:sz w:val="20"/>
    </w:rPr>
  </w:style>
  <w:style w:type="character" w:customStyle="1" w:styleId="CommentTextChar">
    <w:name w:val="Comment Text Char"/>
    <w:link w:val="CommentText"/>
    <w:uiPriority w:val="99"/>
    <w:rsid w:val="00623899"/>
    <w:rPr>
      <w:rFonts w:ascii="Gill Sans MT" w:hAnsi="Gill Sans MT"/>
    </w:rPr>
  </w:style>
  <w:style w:type="paragraph" w:styleId="BalloonText">
    <w:name w:val="Balloon Text"/>
    <w:basedOn w:val="Normal"/>
    <w:link w:val="BalloonTextChar"/>
    <w:uiPriority w:val="99"/>
    <w:unhideWhenUsed/>
    <w:rsid w:val="00623899"/>
    <w:rPr>
      <w:rFonts w:ascii="Tahoma" w:hAnsi="Tahoma" w:cs="Tahoma"/>
      <w:sz w:val="16"/>
      <w:szCs w:val="16"/>
    </w:rPr>
  </w:style>
  <w:style w:type="character" w:customStyle="1" w:styleId="BalloonTextChar">
    <w:name w:val="Balloon Text Char"/>
    <w:link w:val="BalloonText"/>
    <w:uiPriority w:val="99"/>
    <w:rsid w:val="00623899"/>
    <w:rPr>
      <w:rFonts w:ascii="Tahoma" w:hAnsi="Tahoma" w:cs="Tahoma"/>
      <w:sz w:val="16"/>
      <w:szCs w:val="16"/>
    </w:rPr>
  </w:style>
  <w:style w:type="paragraph" w:styleId="PlainText">
    <w:name w:val="Plain Text"/>
    <w:basedOn w:val="Normal"/>
    <w:link w:val="PlainTextChar"/>
    <w:rsid w:val="00BC3A57"/>
    <w:rPr>
      <w:rFonts w:ascii="Times New Roman" w:hAnsi="Times New Roman"/>
      <w:sz w:val="20"/>
    </w:rPr>
  </w:style>
  <w:style w:type="character" w:customStyle="1" w:styleId="PlainTextChar">
    <w:name w:val="Plain Text Char"/>
    <w:basedOn w:val="DefaultParagraphFont"/>
    <w:link w:val="PlainText"/>
    <w:rsid w:val="00BC3A57"/>
  </w:style>
  <w:style w:type="paragraph" w:styleId="BodyTextIndent">
    <w:name w:val="Body Text Indent"/>
    <w:basedOn w:val="Normal"/>
    <w:link w:val="BodyTextIndentChar"/>
    <w:rsid w:val="00A165E9"/>
    <w:pPr>
      <w:ind w:left="1440"/>
    </w:pPr>
    <w:rPr>
      <w:rFonts w:ascii="Gill Sans" w:hAnsi="Gill Sans"/>
      <w:sz w:val="24"/>
    </w:rPr>
  </w:style>
  <w:style w:type="character" w:customStyle="1" w:styleId="BodyTextIndentChar">
    <w:name w:val="Body Text Indent Char"/>
    <w:link w:val="BodyTextIndent"/>
    <w:rsid w:val="00A165E9"/>
    <w:rPr>
      <w:rFonts w:ascii="Gill Sans" w:hAnsi="Gill Sans"/>
      <w:sz w:val="24"/>
      <w:szCs w:val="24"/>
    </w:rPr>
  </w:style>
  <w:style w:type="character" w:customStyle="1" w:styleId="hps">
    <w:name w:val="hps"/>
    <w:basedOn w:val="DefaultParagraphFont"/>
    <w:rsid w:val="00A165E9"/>
  </w:style>
  <w:style w:type="character" w:customStyle="1" w:styleId="shorttext">
    <w:name w:val="short_text"/>
    <w:basedOn w:val="DefaultParagraphFont"/>
    <w:rsid w:val="00A165E9"/>
  </w:style>
  <w:style w:type="paragraph" w:styleId="DocumentMap">
    <w:name w:val="Document Map"/>
    <w:basedOn w:val="Normal"/>
    <w:link w:val="DocumentMapChar"/>
    <w:rsid w:val="00872520"/>
    <w:rPr>
      <w:rFonts w:ascii="Tahoma" w:hAnsi="Tahoma" w:cs="Tahoma"/>
      <w:sz w:val="16"/>
      <w:szCs w:val="16"/>
    </w:rPr>
  </w:style>
  <w:style w:type="character" w:customStyle="1" w:styleId="DocumentMapChar">
    <w:name w:val="Document Map Char"/>
    <w:link w:val="DocumentMap"/>
    <w:rsid w:val="00872520"/>
    <w:rPr>
      <w:rFonts w:ascii="Tahoma" w:hAnsi="Tahoma" w:cs="Tahoma"/>
      <w:sz w:val="16"/>
      <w:szCs w:val="16"/>
    </w:rPr>
  </w:style>
  <w:style w:type="paragraph" w:customStyle="1" w:styleId="Default">
    <w:name w:val="Default"/>
    <w:rsid w:val="00544C24"/>
    <w:pPr>
      <w:autoSpaceDE w:val="0"/>
      <w:autoSpaceDN w:val="0"/>
      <w:adjustRightInd w:val="0"/>
    </w:pPr>
    <w:rPr>
      <w:rFonts w:eastAsia="Calibri"/>
      <w:color w:val="000000"/>
      <w:sz w:val="24"/>
      <w:szCs w:val="24"/>
    </w:rPr>
  </w:style>
  <w:style w:type="paragraph" w:styleId="BodyText">
    <w:name w:val="Body Text"/>
    <w:basedOn w:val="Normal"/>
    <w:link w:val="BodyTextChar"/>
    <w:uiPriority w:val="99"/>
    <w:rsid w:val="00B8605F"/>
    <w:rPr>
      <w:lang w:val="en-AU"/>
    </w:rPr>
  </w:style>
  <w:style w:type="character" w:customStyle="1" w:styleId="BodyTextChar">
    <w:name w:val="Body Text Char"/>
    <w:link w:val="BodyText"/>
    <w:uiPriority w:val="99"/>
    <w:rsid w:val="00B8605F"/>
    <w:rPr>
      <w:lang w:val="en-AU"/>
    </w:rPr>
  </w:style>
  <w:style w:type="paragraph" w:customStyle="1" w:styleId="PhotoCredit">
    <w:name w:val="Photo Credit"/>
    <w:basedOn w:val="MediumGrid21"/>
    <w:link w:val="PhotoCreditChar"/>
    <w:qFormat/>
    <w:rsid w:val="007018F4"/>
    <w:pPr>
      <w:spacing w:before="40" w:after="120"/>
      <w:ind w:right="43"/>
      <w:jc w:val="right"/>
    </w:pPr>
    <w:rPr>
      <w:sz w:val="16"/>
      <w:szCs w:val="16"/>
    </w:rPr>
  </w:style>
  <w:style w:type="character" w:customStyle="1" w:styleId="PhotoCreditChar">
    <w:name w:val="Photo Credit Char"/>
    <w:link w:val="PhotoCredit"/>
    <w:rsid w:val="007018F4"/>
    <w:rPr>
      <w:rFonts w:ascii="Gill Sans MT" w:hAnsi="Gill Sans MT"/>
      <w:sz w:val="16"/>
      <w:szCs w:val="16"/>
      <w:lang w:val="en-US" w:eastAsia="en-US" w:bidi="ar-SA"/>
    </w:rPr>
  </w:style>
  <w:style w:type="character" w:styleId="FollowedHyperlink">
    <w:name w:val="FollowedHyperlink"/>
    <w:uiPriority w:val="99"/>
    <w:rsid w:val="00263712"/>
    <w:rPr>
      <w:color w:val="800080"/>
      <w:u w:val="single"/>
    </w:rPr>
  </w:style>
  <w:style w:type="paragraph" w:styleId="CommentSubject">
    <w:name w:val="annotation subject"/>
    <w:basedOn w:val="CommentText"/>
    <w:next w:val="CommentText"/>
    <w:link w:val="CommentSubjectChar"/>
    <w:uiPriority w:val="99"/>
    <w:rsid w:val="000B7B10"/>
    <w:rPr>
      <w:b/>
      <w:bCs/>
    </w:rPr>
  </w:style>
  <w:style w:type="character" w:customStyle="1" w:styleId="CommentSubjectChar">
    <w:name w:val="Comment Subject Char"/>
    <w:link w:val="CommentSubject"/>
    <w:uiPriority w:val="99"/>
    <w:rsid w:val="000B7B10"/>
    <w:rPr>
      <w:rFonts w:ascii="Gill Sans MT" w:hAnsi="Gill Sans MT"/>
      <w:b/>
      <w:bCs/>
    </w:rPr>
  </w:style>
  <w:style w:type="paragraph" w:customStyle="1" w:styleId="ColorfulShading-Accent11">
    <w:name w:val="Colorful Shading - Accent 11"/>
    <w:hidden/>
    <w:uiPriority w:val="99"/>
    <w:semiHidden/>
    <w:rsid w:val="00854F96"/>
    <w:rPr>
      <w:rFonts w:ascii="Gill Sans MT" w:hAnsi="Gill Sans MT"/>
      <w:szCs w:val="24"/>
    </w:rPr>
  </w:style>
  <w:style w:type="character" w:customStyle="1" w:styleId="longtext">
    <w:name w:val="long_text"/>
    <w:rsid w:val="006C0D80"/>
  </w:style>
  <w:style w:type="paragraph" w:customStyle="1" w:styleId="ColorfulList-Accent12">
    <w:name w:val="Colorful List - Accent 12"/>
    <w:aliases w:val="First Level Outline,Colorful List - Accent 121"/>
    <w:basedOn w:val="Normal"/>
    <w:link w:val="ColorfulList-Accent1Char1"/>
    <w:uiPriority w:val="34"/>
    <w:qFormat/>
    <w:rsid w:val="00B422A2"/>
    <w:pPr>
      <w:spacing w:after="200" w:line="276" w:lineRule="auto"/>
      <w:ind w:left="720"/>
      <w:contextualSpacing/>
    </w:pPr>
    <w:rPr>
      <w:rFonts w:eastAsia="Calibri"/>
    </w:rPr>
  </w:style>
  <w:style w:type="character" w:customStyle="1" w:styleId="ColorfulList-Accent1Char1">
    <w:name w:val="Colorful List - Accent 1 Char1"/>
    <w:aliases w:val="First Level Outline Char"/>
    <w:link w:val="ColorfulList-Accent12"/>
    <w:uiPriority w:val="34"/>
    <w:locked/>
    <w:rsid w:val="00B47235"/>
    <w:rPr>
      <w:rFonts w:ascii="Calibri" w:eastAsia="Calibri" w:hAnsi="Calibri"/>
      <w:sz w:val="22"/>
      <w:szCs w:val="22"/>
    </w:rPr>
  </w:style>
  <w:style w:type="paragraph" w:customStyle="1" w:styleId="NoSpacing1">
    <w:name w:val="No Spacing1"/>
    <w:link w:val="NoSpacingChar"/>
    <w:uiPriority w:val="1"/>
    <w:qFormat/>
    <w:rsid w:val="00526ECC"/>
    <w:rPr>
      <w:rFonts w:ascii="Gill Sans MT" w:hAnsi="Gill Sans MT"/>
      <w:szCs w:val="24"/>
    </w:rPr>
  </w:style>
  <w:style w:type="character" w:customStyle="1" w:styleId="NoSpacingChar">
    <w:name w:val="No Spacing Char"/>
    <w:link w:val="NoSpacing1"/>
    <w:uiPriority w:val="99"/>
    <w:rsid w:val="00526ECC"/>
    <w:rPr>
      <w:rFonts w:ascii="Gill Sans MT" w:hAnsi="Gill Sans MT"/>
      <w:szCs w:val="24"/>
    </w:rPr>
  </w:style>
  <w:style w:type="character" w:styleId="Emphasis">
    <w:name w:val="Emphasis"/>
    <w:uiPriority w:val="99"/>
    <w:qFormat/>
    <w:rsid w:val="005B5083"/>
    <w:rPr>
      <w:i/>
      <w:iCs/>
    </w:rPr>
  </w:style>
  <w:style w:type="character" w:customStyle="1" w:styleId="st">
    <w:name w:val="st"/>
    <w:rsid w:val="0029188D"/>
  </w:style>
  <w:style w:type="character" w:styleId="Strong">
    <w:name w:val="Strong"/>
    <w:uiPriority w:val="99"/>
    <w:qFormat/>
    <w:rsid w:val="00D6735E"/>
    <w:rPr>
      <w:b/>
      <w:bCs/>
    </w:rPr>
  </w:style>
  <w:style w:type="paragraph" w:customStyle="1" w:styleId="xl66">
    <w:name w:val="xl66"/>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rPr>
  </w:style>
  <w:style w:type="paragraph" w:customStyle="1" w:styleId="xl67">
    <w:name w:val="xl67"/>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68">
    <w:name w:val="xl68"/>
    <w:basedOn w:val="Normal"/>
    <w:rsid w:val="008516CD"/>
    <w:pPr>
      <w:pBdr>
        <w:top w:val="single" w:sz="4" w:space="0" w:color="auto"/>
        <w:left w:val="single" w:sz="4" w:space="0" w:color="auto"/>
        <w:bottom w:val="single" w:sz="4" w:space="0" w:color="auto"/>
      </w:pBdr>
      <w:shd w:val="clear" w:color="000000" w:fill="A6A6A6"/>
      <w:spacing w:before="100" w:beforeAutospacing="1" w:after="100" w:afterAutospacing="1"/>
      <w:textAlignment w:val="center"/>
    </w:pPr>
    <w:rPr>
      <w:b/>
      <w:bCs/>
      <w:sz w:val="20"/>
    </w:rPr>
  </w:style>
  <w:style w:type="paragraph" w:customStyle="1" w:styleId="xl69">
    <w:name w:val="xl69"/>
    <w:basedOn w:val="Normal"/>
    <w:rsid w:val="008516CD"/>
    <w:pPr>
      <w:pBdr>
        <w:top w:val="single" w:sz="4" w:space="0" w:color="auto"/>
        <w:bottom w:val="single" w:sz="4" w:space="0" w:color="auto"/>
      </w:pBdr>
      <w:shd w:val="clear" w:color="000000" w:fill="A6A6A6"/>
      <w:spacing w:before="100" w:beforeAutospacing="1" w:after="100" w:afterAutospacing="1"/>
      <w:textAlignment w:val="center"/>
    </w:pPr>
    <w:rPr>
      <w:b/>
      <w:bCs/>
      <w:sz w:val="20"/>
    </w:rPr>
  </w:style>
  <w:style w:type="paragraph" w:customStyle="1" w:styleId="xl70">
    <w:name w:val="xl70"/>
    <w:basedOn w:val="Normal"/>
    <w:rsid w:val="008516CD"/>
    <w:pPr>
      <w:pBdr>
        <w:top w:val="single" w:sz="4" w:space="0" w:color="auto"/>
        <w:bottom w:val="single" w:sz="4" w:space="0" w:color="auto"/>
      </w:pBdr>
      <w:shd w:val="clear" w:color="000000" w:fill="A6A6A6"/>
      <w:spacing w:before="100" w:beforeAutospacing="1" w:after="100" w:afterAutospacing="1"/>
      <w:textAlignment w:val="center"/>
    </w:pPr>
    <w:rPr>
      <w:sz w:val="20"/>
    </w:rPr>
  </w:style>
  <w:style w:type="paragraph" w:customStyle="1" w:styleId="xl71">
    <w:name w:val="xl71"/>
    <w:basedOn w:val="Normal"/>
    <w:rsid w:val="008516C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rPr>
  </w:style>
  <w:style w:type="paragraph" w:customStyle="1" w:styleId="xl72">
    <w:name w:val="xl72"/>
    <w:basedOn w:val="Normal"/>
    <w:rsid w:val="008516C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rPr>
  </w:style>
  <w:style w:type="paragraph" w:customStyle="1" w:styleId="xl73">
    <w:name w:val="xl73"/>
    <w:basedOn w:val="Normal"/>
    <w:rsid w:val="008516CD"/>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b/>
      <w:bCs/>
      <w:sz w:val="20"/>
    </w:rPr>
  </w:style>
  <w:style w:type="paragraph" w:customStyle="1" w:styleId="xl74">
    <w:name w:val="xl74"/>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5">
    <w:name w:val="xl75"/>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6">
    <w:name w:val="xl76"/>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7">
    <w:name w:val="xl77"/>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8">
    <w:name w:val="xl78"/>
    <w:basedOn w:val="Normal"/>
    <w:rsid w:val="008516CD"/>
    <w:pPr>
      <w:spacing w:before="100" w:beforeAutospacing="1" w:after="100" w:afterAutospacing="1"/>
    </w:pPr>
    <w:rPr>
      <w:sz w:val="20"/>
    </w:rPr>
  </w:style>
  <w:style w:type="paragraph" w:customStyle="1" w:styleId="xl79">
    <w:name w:val="xl79"/>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80">
    <w:name w:val="xl80"/>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1">
    <w:name w:val="xl81"/>
    <w:basedOn w:val="Normal"/>
    <w:rsid w:val="008516CD"/>
    <w:pPr>
      <w:spacing w:before="100" w:beforeAutospacing="1" w:after="100" w:afterAutospacing="1"/>
    </w:pPr>
    <w:rPr>
      <w:sz w:val="24"/>
    </w:rPr>
  </w:style>
  <w:style w:type="paragraph" w:customStyle="1" w:styleId="xl82">
    <w:name w:val="xl82"/>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3">
    <w:name w:val="xl83"/>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4">
    <w:name w:val="xl84"/>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5">
    <w:name w:val="xl85"/>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6">
    <w:name w:val="xl86"/>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sz w:val="20"/>
    </w:rPr>
  </w:style>
  <w:style w:type="paragraph" w:customStyle="1" w:styleId="xl87">
    <w:name w:val="xl87"/>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88">
    <w:name w:val="xl88"/>
    <w:basedOn w:val="Normal"/>
    <w:rsid w:val="008516C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89">
    <w:name w:val="xl89"/>
    <w:basedOn w:val="Normal"/>
    <w:rsid w:val="008516CD"/>
    <w:pPr>
      <w:pBdr>
        <w:top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0">
    <w:name w:val="xl90"/>
    <w:basedOn w:val="Normal"/>
    <w:rsid w:val="008516C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1">
    <w:name w:val="xl91"/>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3">
    <w:name w:val="xl93"/>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4">
    <w:name w:val="xl94"/>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5">
    <w:name w:val="xl95"/>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6">
    <w:name w:val="xl96"/>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7">
    <w:name w:val="xl97"/>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8">
    <w:name w:val="xl98"/>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9">
    <w:name w:val="xl99"/>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00">
    <w:name w:val="xl100"/>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01">
    <w:name w:val="xl101"/>
    <w:basedOn w:val="Normal"/>
    <w:rsid w:val="008516CD"/>
    <w:pPr>
      <w:pBdr>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02">
    <w:name w:val="xl102"/>
    <w:basedOn w:val="Normal"/>
    <w:rsid w:val="008516CD"/>
    <w:pPr>
      <w:pBdr>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03">
    <w:name w:val="xl103"/>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04">
    <w:name w:val="xl104"/>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sz w:val="20"/>
    </w:rPr>
  </w:style>
  <w:style w:type="paragraph" w:styleId="NormalWeb">
    <w:name w:val="Normal (Web)"/>
    <w:basedOn w:val="Normal"/>
    <w:uiPriority w:val="99"/>
    <w:unhideWhenUsed/>
    <w:rsid w:val="00AB5526"/>
    <w:pPr>
      <w:spacing w:before="100" w:beforeAutospacing="1" w:after="100" w:afterAutospacing="1"/>
    </w:pPr>
    <w:rPr>
      <w:rFonts w:ascii="Times New Roman" w:hAnsi="Times New Roman"/>
      <w:sz w:val="24"/>
    </w:rPr>
  </w:style>
  <w:style w:type="paragraph" w:customStyle="1" w:styleId="MediumGrid27">
    <w:name w:val="Medium Grid 27"/>
    <w:uiPriority w:val="1"/>
    <w:qFormat/>
    <w:rsid w:val="00606CEF"/>
    <w:rPr>
      <w:rFonts w:ascii="Gill Sans MT" w:hAnsi="Gill Sans MT"/>
      <w:szCs w:val="24"/>
    </w:rPr>
  </w:style>
  <w:style w:type="paragraph" w:customStyle="1" w:styleId="Pa0">
    <w:name w:val="Pa0"/>
    <w:basedOn w:val="Normal"/>
    <w:next w:val="Normal"/>
    <w:uiPriority w:val="99"/>
    <w:rsid w:val="00606CEF"/>
    <w:pPr>
      <w:autoSpaceDE w:val="0"/>
      <w:autoSpaceDN w:val="0"/>
      <w:adjustRightInd w:val="0"/>
      <w:spacing w:line="201" w:lineRule="atLeast"/>
    </w:pPr>
    <w:rPr>
      <w:rFonts w:ascii="Cardo" w:hAnsi="Cardo"/>
      <w:sz w:val="24"/>
    </w:rPr>
  </w:style>
  <w:style w:type="paragraph" w:customStyle="1" w:styleId="msoaccenttext5">
    <w:name w:val="msoaccenttext5"/>
    <w:rsid w:val="00307299"/>
    <w:pPr>
      <w:spacing w:line="271" w:lineRule="auto"/>
    </w:pPr>
    <w:rPr>
      <w:rFonts w:ascii="Agency FB" w:hAnsi="Agency FB"/>
      <w:b/>
      <w:bCs/>
      <w:color w:val="336666"/>
      <w:kern w:val="28"/>
      <w:sz w:val="18"/>
      <w:szCs w:val="18"/>
    </w:rPr>
  </w:style>
  <w:style w:type="table" w:styleId="MediumShading1-Accent1">
    <w:name w:val="Medium Shading 1 Accent 1"/>
    <w:basedOn w:val="TableNormal"/>
    <w:uiPriority w:val="1"/>
    <w:rsid w:val="00FA2435"/>
    <w:rPr>
      <w:rFonts w:ascii="Gill Sans MT" w:eastAsia="Calibri" w:hAnsi="Gill Sans MT"/>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ColorfulList-Accent1Char">
    <w:name w:val="Colorful List - Accent 1 Char"/>
    <w:link w:val="MediumGrid1-Accent2"/>
    <w:uiPriority w:val="34"/>
    <w:locked/>
    <w:rsid w:val="00C93AA4"/>
    <w:rPr>
      <w:rFonts w:ascii="Calibri" w:eastAsia="Calibri" w:hAnsi="Calibri"/>
      <w:sz w:val="22"/>
      <w:szCs w:val="22"/>
    </w:rPr>
  </w:style>
  <w:style w:type="table" w:styleId="MediumGrid1-Accent2">
    <w:name w:val="Medium Grid 1 Accent 2"/>
    <w:basedOn w:val="TableNormal"/>
    <w:link w:val="ColorfulList-Accent1Char"/>
    <w:uiPriority w:val="34"/>
    <w:qFormat/>
    <w:rsid w:val="00C93AA4"/>
    <w:rPr>
      <w:rFonts w:eastAsia="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2-Accent1">
    <w:name w:val="Medium Grid 2 Accent 1"/>
    <w:basedOn w:val="TableNormal"/>
    <w:uiPriority w:val="1"/>
    <w:rsid w:val="00C93AA4"/>
    <w:rPr>
      <w:rFonts w:ascii="Gill Sans MT" w:eastAsia="Calibri" w:hAnsi="Gill Sans MT"/>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MediumGrid22">
    <w:name w:val="Medium Grid 22"/>
    <w:uiPriority w:val="1"/>
    <w:qFormat/>
    <w:rsid w:val="004D74D4"/>
    <w:rPr>
      <w:rFonts w:ascii="Gill Sans MT" w:hAnsi="Gill Sans MT"/>
      <w:szCs w:val="24"/>
    </w:rPr>
  </w:style>
  <w:style w:type="paragraph" w:customStyle="1" w:styleId="ColorfulShading-Accent13">
    <w:name w:val="Colorful Shading - Accent 13"/>
    <w:hidden/>
    <w:uiPriority w:val="99"/>
    <w:semiHidden/>
    <w:rsid w:val="00B65FD9"/>
    <w:rPr>
      <w:rFonts w:eastAsia="Calibri"/>
    </w:rPr>
  </w:style>
  <w:style w:type="paragraph" w:styleId="NoSpacing">
    <w:name w:val="No Spacing"/>
    <w:uiPriority w:val="99"/>
    <w:qFormat/>
    <w:rsid w:val="007E1B55"/>
    <w:rPr>
      <w:rFonts w:eastAsia="Calibri"/>
    </w:rPr>
  </w:style>
  <w:style w:type="paragraph" w:styleId="ListParagraph">
    <w:name w:val="List Paragraph"/>
    <w:basedOn w:val="Normal"/>
    <w:link w:val="ListParagraphChar"/>
    <w:uiPriority w:val="34"/>
    <w:qFormat/>
    <w:rsid w:val="0084149E"/>
    <w:pPr>
      <w:spacing w:after="200" w:line="276" w:lineRule="auto"/>
      <w:ind w:left="720"/>
      <w:contextualSpacing/>
    </w:pPr>
    <w:rPr>
      <w:rFonts w:eastAsia="Calibri"/>
    </w:rPr>
  </w:style>
  <w:style w:type="paragraph" w:customStyle="1" w:styleId="MediumGrid23">
    <w:name w:val="Medium Grid 23"/>
    <w:uiPriority w:val="1"/>
    <w:qFormat/>
    <w:rsid w:val="00D868B2"/>
    <w:rPr>
      <w:rFonts w:ascii="Gill Sans MT" w:hAnsi="Gill Sans MT"/>
      <w:szCs w:val="24"/>
    </w:rPr>
  </w:style>
  <w:style w:type="paragraph" w:customStyle="1" w:styleId="ColorfulShading-Accent12">
    <w:name w:val="Colorful Shading - Accent 12"/>
    <w:hidden/>
    <w:uiPriority w:val="99"/>
    <w:semiHidden/>
    <w:rsid w:val="00260757"/>
    <w:rPr>
      <w:rFonts w:eastAsia="Calibri"/>
    </w:rPr>
  </w:style>
  <w:style w:type="paragraph" w:customStyle="1" w:styleId="MediumGrid24">
    <w:name w:val="Medium Grid 24"/>
    <w:uiPriority w:val="1"/>
    <w:qFormat/>
    <w:rsid w:val="00260757"/>
    <w:rPr>
      <w:rFonts w:ascii="Gill Sans MT" w:hAnsi="Gill Sans MT"/>
      <w:szCs w:val="24"/>
    </w:rPr>
  </w:style>
  <w:style w:type="paragraph" w:customStyle="1" w:styleId="MediumGrid25">
    <w:name w:val="Medium Grid 25"/>
    <w:uiPriority w:val="1"/>
    <w:qFormat/>
    <w:rsid w:val="00260757"/>
    <w:rPr>
      <w:rFonts w:ascii="Gill Sans MT" w:hAnsi="Gill Sans MT"/>
      <w:szCs w:val="24"/>
    </w:rPr>
  </w:style>
  <w:style w:type="paragraph" w:customStyle="1" w:styleId="MediumGrid26">
    <w:name w:val="Medium Grid 26"/>
    <w:uiPriority w:val="1"/>
    <w:qFormat/>
    <w:rsid w:val="00260757"/>
    <w:rPr>
      <w:rFonts w:ascii="Gill Sans MT" w:hAnsi="Gill Sans MT"/>
      <w:szCs w:val="24"/>
    </w:rPr>
  </w:style>
  <w:style w:type="character" w:customStyle="1" w:styleId="ListParagraphChar">
    <w:name w:val="List Paragraph Char"/>
    <w:link w:val="ListParagraph"/>
    <w:uiPriority w:val="34"/>
    <w:locked/>
    <w:rsid w:val="009757E5"/>
    <w:rPr>
      <w:rFonts w:ascii="Calibri" w:eastAsia="Calibri" w:hAnsi="Calibri"/>
      <w:sz w:val="22"/>
      <w:szCs w:val="22"/>
    </w:rPr>
  </w:style>
  <w:style w:type="character" w:customStyle="1" w:styleId="ColorfulList-Accent1Char2">
    <w:name w:val="Colorful List - Accent 1 Char2"/>
    <w:link w:val="ColorfulList-Accent1"/>
    <w:uiPriority w:val="34"/>
    <w:locked/>
    <w:rsid w:val="00E27965"/>
    <w:rPr>
      <w:rFonts w:ascii="Calibri" w:eastAsia="Calibri" w:hAnsi="Calibri"/>
      <w:sz w:val="22"/>
      <w:szCs w:val="22"/>
    </w:rPr>
  </w:style>
  <w:style w:type="table" w:styleId="ColorfulList-Accent1">
    <w:name w:val="Colorful List Accent 1"/>
    <w:basedOn w:val="TableNormal"/>
    <w:link w:val="ColorfulList-Accent1Char2"/>
    <w:uiPriority w:val="34"/>
    <w:qFormat/>
    <w:rsid w:val="00E27965"/>
    <w:rPr>
      <w:rFonts w:eastAsia="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ghtGrid-Accent3">
    <w:name w:val="Light Grid Accent 3"/>
    <w:basedOn w:val="TableNormal"/>
    <w:uiPriority w:val="34"/>
    <w:qFormat/>
    <w:rsid w:val="00846FAC"/>
    <w:rPr>
      <w:rFonts w:eastAsia="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Shading1-Accent2">
    <w:name w:val="Medium Shading 1 Accent 2"/>
    <w:basedOn w:val="TableNormal"/>
    <w:uiPriority w:val="1"/>
    <w:rsid w:val="00846FAC"/>
    <w:rPr>
      <w:rFonts w:ascii="Gill Sans MT" w:eastAsia="Calibri" w:hAnsi="Gill Sans MT"/>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styleId="Revision">
    <w:name w:val="Revision"/>
    <w:hidden/>
    <w:uiPriority w:val="99"/>
    <w:semiHidden/>
    <w:rsid w:val="00846FAC"/>
    <w:rPr>
      <w:rFonts w:ascii="Gill Sans MT" w:hAnsi="Gill Sans MT"/>
      <w:szCs w:val="24"/>
    </w:rPr>
  </w:style>
  <w:style w:type="character" w:customStyle="1" w:styleId="TitleChar">
    <w:name w:val="Title Char"/>
    <w:link w:val="Title"/>
    <w:uiPriority w:val="99"/>
    <w:rsid w:val="00007205"/>
    <w:rPr>
      <w:rFonts w:ascii="Gill Sans MT" w:hAnsi="Gill Sans MT" w:cs="Arial"/>
      <w:bCs/>
      <w:caps/>
      <w:kern w:val="28"/>
      <w:sz w:val="80"/>
      <w:szCs w:val="80"/>
    </w:rPr>
  </w:style>
  <w:style w:type="character" w:customStyle="1" w:styleId="SubtitleChar">
    <w:name w:val="Subtitle Char"/>
    <w:link w:val="Subtitle"/>
    <w:uiPriority w:val="99"/>
    <w:rsid w:val="00007205"/>
    <w:rPr>
      <w:rFonts w:ascii="Gill Sans MT" w:hAnsi="Gill Sans MT" w:cs="Arial"/>
      <w:caps/>
      <w:sz w:val="32"/>
      <w:szCs w:val="32"/>
    </w:rPr>
  </w:style>
  <w:style w:type="character" w:styleId="PlaceholderText">
    <w:name w:val="Placeholder Text"/>
    <w:basedOn w:val="DefaultParagraphFont"/>
    <w:uiPriority w:val="99"/>
    <w:semiHidden/>
    <w:rsid w:val="00384EFF"/>
    <w:rPr>
      <w:color w:val="808080"/>
    </w:rPr>
  </w:style>
  <w:style w:type="paragraph" w:customStyle="1" w:styleId="1CHAPTER">
    <w:name w:val="1 CHAPTER"/>
    <w:basedOn w:val="Heading2"/>
    <w:link w:val="1CHAPTERChar"/>
    <w:qFormat/>
    <w:rsid w:val="00540058"/>
    <w:pPr>
      <w:spacing w:after="1320"/>
    </w:pPr>
    <w:rPr>
      <w:noProof/>
      <w:color w:val="68BAD6"/>
      <w:sz w:val="32"/>
    </w:rPr>
  </w:style>
  <w:style w:type="character" w:customStyle="1" w:styleId="1CHAPTERChar">
    <w:name w:val="1 CHAPTER Char"/>
    <w:basedOn w:val="Heading2Char"/>
    <w:link w:val="1CHAPTER"/>
    <w:rsid w:val="00540058"/>
    <w:rPr>
      <w:bCs/>
      <w:iCs/>
      <w:noProof/>
      <w:color w:val="68BAD6"/>
      <w:sz w:val="32"/>
      <w:szCs w:val="48"/>
    </w:rPr>
  </w:style>
  <w:style w:type="paragraph" w:customStyle="1" w:styleId="TableHeader0">
    <w:name w:val="Table Header"/>
    <w:basedOn w:val="BodyText"/>
    <w:next w:val="Normal"/>
    <w:rsid w:val="0056614F"/>
    <w:pPr>
      <w:spacing w:before="60" w:after="60"/>
    </w:pPr>
    <w:rPr>
      <w:rFonts w:ascii="Arial Black" w:eastAsiaTheme="minorHAnsi" w:hAnsi="Arial Black" w:cs="Arial"/>
      <w:bCs/>
      <w:noProof/>
      <w:sz w:val="18"/>
    </w:rPr>
  </w:style>
  <w:style w:type="paragraph" w:customStyle="1" w:styleId="TableRow">
    <w:name w:val="Table Row"/>
    <w:basedOn w:val="BodyText"/>
    <w:link w:val="TableRowChar"/>
    <w:rsid w:val="0056614F"/>
    <w:pPr>
      <w:spacing w:before="40" w:after="40"/>
    </w:pPr>
    <w:rPr>
      <w:rFonts w:eastAsiaTheme="minorHAnsi" w:cs="Arial"/>
      <w:bCs/>
      <w:noProof/>
      <w:sz w:val="20"/>
    </w:rPr>
  </w:style>
  <w:style w:type="character" w:customStyle="1" w:styleId="TableRowChar">
    <w:name w:val="Table Row Char"/>
    <w:link w:val="TableRow"/>
    <w:rsid w:val="0056614F"/>
    <w:rPr>
      <w:rFonts w:eastAsiaTheme="minorHAnsi" w:cs="Arial"/>
      <w:bCs/>
      <w:noProof/>
      <w:sz w:val="20"/>
    </w:rPr>
  </w:style>
  <w:style w:type="paragraph" w:customStyle="1" w:styleId="QAText">
    <w:name w:val="QA Text"/>
    <w:basedOn w:val="Normal"/>
    <w:rsid w:val="00B8605F"/>
    <w:pPr>
      <w:spacing w:before="200" w:after="160"/>
    </w:pPr>
    <w:rPr>
      <w:rFonts w:eastAsiaTheme="minorHAnsi" w:cs="Arial"/>
      <w:lang w:val="en-AU"/>
    </w:rPr>
  </w:style>
  <w:style w:type="paragraph" w:customStyle="1" w:styleId="QAAddress">
    <w:name w:val="QA Address"/>
    <w:basedOn w:val="Normal"/>
    <w:next w:val="Normal"/>
    <w:rsid w:val="00B8605F"/>
    <w:pPr>
      <w:contextualSpacing/>
    </w:pPr>
    <w:rPr>
      <w:rFonts w:eastAsiaTheme="minorHAnsi" w:cs="Arial"/>
      <w:lang w:val="en-AU"/>
    </w:rPr>
  </w:style>
  <w:style w:type="character" w:customStyle="1" w:styleId="Bold">
    <w:name w:val="Bold"/>
    <w:basedOn w:val="DefaultParagraphFont"/>
    <w:rsid w:val="00B8605F"/>
    <w:rPr>
      <w:b/>
    </w:rPr>
  </w:style>
  <w:style w:type="paragraph" w:customStyle="1" w:styleId="HeadingAP1">
    <w:name w:val="Heading AP 1"/>
    <w:basedOn w:val="Normal"/>
    <w:next w:val="BodyText"/>
    <w:rsid w:val="002548CF"/>
    <w:pPr>
      <w:keepNext/>
      <w:numPr>
        <w:numId w:val="4"/>
      </w:numPr>
      <w:spacing w:after="360"/>
    </w:pPr>
    <w:rPr>
      <w:rFonts w:ascii="Arial Bold" w:eastAsiaTheme="minorHAnsi" w:hAnsi="Arial Bold" w:cs="Arial"/>
      <w:b/>
      <w:color w:val="0C479D"/>
      <w:sz w:val="28"/>
      <w:lang w:val="en-AU"/>
    </w:rPr>
  </w:style>
  <w:style w:type="paragraph" w:customStyle="1" w:styleId="HeadingAP2">
    <w:name w:val="Heading AP 2"/>
    <w:basedOn w:val="Normal"/>
    <w:next w:val="BodyText"/>
    <w:rsid w:val="002548CF"/>
    <w:pPr>
      <w:keepNext/>
      <w:numPr>
        <w:ilvl w:val="1"/>
        <w:numId w:val="4"/>
      </w:numPr>
      <w:spacing w:before="240" w:after="60"/>
    </w:pPr>
    <w:rPr>
      <w:rFonts w:eastAsiaTheme="minorHAnsi"/>
      <w:b/>
      <w:bCs/>
      <w:iCs/>
      <w:color w:val="0C479D"/>
      <w:kern w:val="28"/>
      <w:sz w:val="26"/>
      <w:szCs w:val="28"/>
      <w:lang w:val="en-AU" w:eastAsia="en-AU"/>
    </w:rPr>
  </w:style>
  <w:style w:type="paragraph" w:customStyle="1" w:styleId="HeadingAP3">
    <w:name w:val="Heading AP 3"/>
    <w:basedOn w:val="Normal"/>
    <w:next w:val="BodyText"/>
    <w:rsid w:val="002548CF"/>
    <w:pPr>
      <w:keepNext/>
      <w:numPr>
        <w:ilvl w:val="2"/>
        <w:numId w:val="4"/>
      </w:numPr>
      <w:spacing w:before="360" w:after="60"/>
    </w:pPr>
    <w:rPr>
      <w:rFonts w:ascii="Arial Bold" w:eastAsiaTheme="minorHAnsi" w:hAnsi="Arial Bold"/>
      <w:color w:val="666666"/>
      <w:sz w:val="24"/>
      <w:lang w:val="en-AU" w:eastAsia="en-AU"/>
    </w:rPr>
  </w:style>
  <w:style w:type="paragraph" w:customStyle="1" w:styleId="HeadingAP4">
    <w:name w:val="Heading AP 4"/>
    <w:basedOn w:val="Normal"/>
    <w:next w:val="BodyText"/>
    <w:rsid w:val="002548CF"/>
    <w:pPr>
      <w:keepNext/>
      <w:numPr>
        <w:ilvl w:val="3"/>
        <w:numId w:val="4"/>
      </w:numPr>
      <w:spacing w:before="360" w:after="60"/>
    </w:pPr>
    <w:rPr>
      <w:rFonts w:eastAsiaTheme="minorHAnsi"/>
      <w:b/>
      <w:i/>
      <w:color w:val="666666"/>
      <w:lang w:val="en-AU" w:eastAsia="en-AU"/>
    </w:rPr>
  </w:style>
  <w:style w:type="table" w:customStyle="1" w:styleId="TableGrid1">
    <w:name w:val="Table Grid1"/>
    <w:basedOn w:val="TableNormal"/>
    <w:next w:val="TableGrid"/>
    <w:uiPriority w:val="59"/>
    <w:locked/>
    <w:rsid w:val="00F866E3"/>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locked/>
    <w:rsid w:val="006F3F18"/>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locked/>
    <w:rsid w:val="00864133"/>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locked/>
    <w:rsid w:val="00864133"/>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GRM">
    <w:name w:val="Sub-Heading GRM"/>
    <w:basedOn w:val="Normal"/>
    <w:next w:val="Normal"/>
    <w:link w:val="Sub-HeadingGRMChar"/>
    <w:rsid w:val="004B0D96"/>
    <w:pPr>
      <w:keepNext/>
      <w:tabs>
        <w:tab w:val="left" w:pos="900"/>
      </w:tabs>
      <w:spacing w:before="40" w:after="240" w:line="276" w:lineRule="auto"/>
      <w:outlineLvl w:val="1"/>
    </w:pPr>
    <w:rPr>
      <w:rFonts w:eastAsia="Calibri" w:cs="Arial"/>
      <w:b/>
      <w:bCs/>
      <w:iCs/>
      <w:sz w:val="32"/>
      <w:szCs w:val="32"/>
      <w:lang w:val="en-AU" w:eastAsia="en-AU"/>
    </w:rPr>
  </w:style>
  <w:style w:type="character" w:customStyle="1" w:styleId="Sub-HeadingGRMChar">
    <w:name w:val="Sub-Heading GRM Char"/>
    <w:link w:val="Sub-HeadingGRM"/>
    <w:rsid w:val="004B0D96"/>
    <w:rPr>
      <w:rFonts w:eastAsia="Calibri" w:cs="Arial"/>
      <w:b/>
      <w:bCs/>
      <w:iCs/>
      <w:sz w:val="32"/>
      <w:szCs w:val="32"/>
      <w:lang w:val="en-AU" w:eastAsia="en-AU"/>
    </w:rPr>
  </w:style>
  <w:style w:type="table" w:customStyle="1" w:styleId="TableGrid9">
    <w:name w:val="Table Grid9"/>
    <w:basedOn w:val="TableNormal"/>
    <w:next w:val="TableGrid"/>
    <w:uiPriority w:val="59"/>
    <w:locked/>
    <w:rsid w:val="004C120D"/>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locked/>
    <w:rsid w:val="004E355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locked/>
    <w:rsid w:val="009A3031"/>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locked/>
    <w:rsid w:val="006D1A14"/>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locked/>
    <w:rsid w:val="00790E9A"/>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locked/>
    <w:rsid w:val="00790E9A"/>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rsid w:val="001A1BAD"/>
    <w:rPr>
      <w:sz w:val="20"/>
    </w:rPr>
  </w:style>
  <w:style w:type="character" w:customStyle="1" w:styleId="EndnoteTextChar">
    <w:name w:val="Endnote Text Char"/>
    <w:basedOn w:val="DefaultParagraphFont"/>
    <w:link w:val="EndnoteText"/>
    <w:uiPriority w:val="99"/>
    <w:rsid w:val="001A1BAD"/>
    <w:rPr>
      <w:sz w:val="20"/>
    </w:rPr>
  </w:style>
  <w:style w:type="character" w:styleId="EndnoteReference">
    <w:name w:val="endnote reference"/>
    <w:basedOn w:val="DefaultParagraphFont"/>
    <w:uiPriority w:val="99"/>
    <w:rsid w:val="001A1BAD"/>
    <w:rPr>
      <w:vertAlign w:val="superscript"/>
    </w:rPr>
  </w:style>
  <w:style w:type="character" w:styleId="IntenseEmphasis">
    <w:name w:val="Intense Emphasis"/>
    <w:basedOn w:val="DefaultParagraphFont"/>
    <w:uiPriority w:val="99"/>
    <w:qFormat/>
    <w:rsid w:val="00DD0D4F"/>
    <w:rPr>
      <w:b/>
      <w:bCs/>
      <w:i/>
      <w:iCs/>
      <w:color w:val="4F81BD" w:themeColor="accent1"/>
    </w:rPr>
  </w:style>
  <w:style w:type="character" w:customStyle="1" w:styleId="FootnoteTextChar">
    <w:name w:val="Footnote Text Char"/>
    <w:aliases w:val="FOOTNOTES Char,fn Char,single space Char,footnote text Char,Footnote Text Char Char Char,Footnote Text Char Char Char Char Char,Footnote Text Char Char Char Char Char Char Char Char Char"/>
    <w:basedOn w:val="DefaultParagraphFont"/>
    <w:link w:val="FootnoteText"/>
    <w:uiPriority w:val="99"/>
    <w:rsid w:val="002366FA"/>
    <w:rPr>
      <w:sz w:val="20"/>
    </w:rPr>
  </w:style>
  <w:style w:type="paragraph" w:customStyle="1" w:styleId="Non-TOCsubheading">
    <w:name w:val="Non-TOC subheading"/>
    <w:basedOn w:val="BodyText"/>
    <w:link w:val="Non-TOCsubheadingChar"/>
    <w:rsid w:val="00AC0B1B"/>
    <w:pPr>
      <w:spacing w:line="320" w:lineRule="atLeast"/>
    </w:pPr>
    <w:rPr>
      <w:rFonts w:ascii="Arial" w:eastAsia="Calibri" w:hAnsi="Arial" w:cs="Times New Roman"/>
      <w:b/>
      <w:color w:val="4F6228" w:themeColor="accent3" w:themeShade="80"/>
      <w:sz w:val="20"/>
    </w:rPr>
  </w:style>
  <w:style w:type="character" w:customStyle="1" w:styleId="Non-TOCsubheadingChar">
    <w:name w:val="Non-TOC subheading Char"/>
    <w:basedOn w:val="BodyTextChar"/>
    <w:link w:val="Non-TOCsubheading"/>
    <w:rsid w:val="00AC0B1B"/>
    <w:rPr>
      <w:rFonts w:ascii="Arial" w:eastAsia="Calibri" w:hAnsi="Arial" w:cs="Times New Roman"/>
      <w:b/>
      <w:color w:val="4F6228" w:themeColor="accent3" w:themeShade="80"/>
      <w:sz w:val="20"/>
      <w:szCs w:val="22"/>
      <w:lang w:val="en-AU"/>
    </w:rPr>
  </w:style>
  <w:style w:type="paragraph" w:customStyle="1" w:styleId="Bulletswithsinglespacingfont11">
    <w:name w:val="Bullets with single spacing font 11"/>
    <w:basedOn w:val="Normal"/>
    <w:link w:val="Bulletswithsinglespacingfont11Char"/>
    <w:qFormat/>
    <w:rsid w:val="00470A54"/>
    <w:pPr>
      <w:numPr>
        <w:numId w:val="5"/>
      </w:numPr>
      <w:spacing w:before="120"/>
      <w:ind w:left="720"/>
    </w:pPr>
    <w:rPr>
      <w:rFonts w:cs="Arial"/>
      <w:bCs/>
      <w:lang w:val="en-AU" w:eastAsia="en-AU"/>
    </w:rPr>
  </w:style>
  <w:style w:type="character" w:customStyle="1" w:styleId="Bulletswithsinglespacingfont11Char">
    <w:name w:val="Bullets with single spacing font 11 Char"/>
    <w:link w:val="Bulletswithsinglespacingfont11"/>
    <w:locked/>
    <w:rsid w:val="00470A54"/>
    <w:rPr>
      <w:rFonts w:cs="Arial"/>
      <w:bCs/>
      <w:lang w:val="en-AU" w:eastAsia="en-AU"/>
    </w:rPr>
  </w:style>
  <w:style w:type="paragraph" w:customStyle="1" w:styleId="FrontPageHeading2">
    <w:name w:val="Front Page Heading 2"/>
    <w:basedOn w:val="Normal"/>
    <w:uiPriority w:val="99"/>
    <w:rsid w:val="00B31112"/>
    <w:pPr>
      <w:tabs>
        <w:tab w:val="left" w:pos="900"/>
        <w:tab w:val="left" w:pos="7560"/>
      </w:tabs>
      <w:spacing w:before="120"/>
      <w:jc w:val="center"/>
      <w:outlineLvl w:val="0"/>
    </w:pPr>
    <w:rPr>
      <w:rFonts w:ascii="Arial Bold" w:hAnsi="Arial Bold" w:cs="Arial"/>
      <w:b/>
      <w:bCs/>
      <w:color w:val="000000"/>
      <w:kern w:val="28"/>
      <w:sz w:val="36"/>
      <w:szCs w:val="36"/>
    </w:rPr>
  </w:style>
  <w:style w:type="paragraph" w:customStyle="1" w:styleId="CONLevel1">
    <w:name w:val=".CON  Level   1."/>
    <w:basedOn w:val="Normal"/>
    <w:next w:val="Normal"/>
    <w:uiPriority w:val="99"/>
    <w:rsid w:val="00B31112"/>
    <w:pPr>
      <w:keepNext/>
      <w:numPr>
        <w:numId w:val="10"/>
      </w:numPr>
      <w:spacing w:before="240"/>
      <w:outlineLvl w:val="1"/>
    </w:pPr>
    <w:rPr>
      <w:rFonts w:ascii="Times New Roman" w:hAnsi="Times New Roman" w:cs="Times New Roman"/>
      <w:b/>
      <w:smallCaps/>
      <w:sz w:val="24"/>
      <w:szCs w:val="24"/>
      <w:lang w:val="en-AU"/>
    </w:rPr>
  </w:style>
  <w:style w:type="paragraph" w:customStyle="1" w:styleId="CONLevel11Char">
    <w:name w:val=".CON  Level   1.1 Char"/>
    <w:basedOn w:val="Normal"/>
    <w:next w:val="Normal"/>
    <w:link w:val="CONLevel11CharChar"/>
    <w:uiPriority w:val="99"/>
    <w:rsid w:val="00B31112"/>
    <w:pPr>
      <w:numPr>
        <w:ilvl w:val="1"/>
        <w:numId w:val="10"/>
      </w:numPr>
      <w:spacing w:before="240"/>
      <w:outlineLvl w:val="2"/>
    </w:pPr>
    <w:rPr>
      <w:rFonts w:ascii="Times New Roman" w:hAnsi="Times New Roman" w:cs="Times New Roman"/>
      <w:sz w:val="24"/>
      <w:lang w:val="en-AU"/>
    </w:rPr>
  </w:style>
  <w:style w:type="paragraph" w:customStyle="1" w:styleId="CONLevelaChar">
    <w:name w:val=".CON  Level  (a) Char"/>
    <w:basedOn w:val="Normal"/>
    <w:next w:val="Normal"/>
    <w:link w:val="CONLevelaCharChar"/>
    <w:uiPriority w:val="99"/>
    <w:rsid w:val="00B31112"/>
    <w:pPr>
      <w:numPr>
        <w:ilvl w:val="2"/>
        <w:numId w:val="10"/>
      </w:numPr>
      <w:spacing w:before="240"/>
      <w:outlineLvl w:val="3"/>
    </w:pPr>
    <w:rPr>
      <w:rFonts w:ascii="Times New Roman" w:hAnsi="Times New Roman" w:cs="Times New Roman"/>
      <w:sz w:val="24"/>
      <w:lang w:val="en-AU"/>
    </w:rPr>
  </w:style>
  <w:style w:type="paragraph" w:customStyle="1" w:styleId="CONLeveli">
    <w:name w:val=".CON  Level  (i)"/>
    <w:basedOn w:val="Normal"/>
    <w:next w:val="Normal"/>
    <w:uiPriority w:val="99"/>
    <w:rsid w:val="00B31112"/>
    <w:pPr>
      <w:numPr>
        <w:ilvl w:val="3"/>
        <w:numId w:val="10"/>
      </w:numPr>
      <w:spacing w:before="240"/>
      <w:outlineLvl w:val="4"/>
    </w:pPr>
    <w:rPr>
      <w:rFonts w:ascii="Times New Roman" w:hAnsi="Times New Roman" w:cs="Times New Roman"/>
      <w:sz w:val="24"/>
      <w:lang w:val="en-AU"/>
    </w:rPr>
  </w:style>
  <w:style w:type="paragraph" w:customStyle="1" w:styleId="CONLevelA">
    <w:name w:val=".CON  Level (A)"/>
    <w:basedOn w:val="Normal"/>
    <w:next w:val="Normal"/>
    <w:uiPriority w:val="99"/>
    <w:rsid w:val="00B31112"/>
    <w:pPr>
      <w:numPr>
        <w:ilvl w:val="4"/>
        <w:numId w:val="10"/>
      </w:numPr>
      <w:spacing w:before="240"/>
      <w:outlineLvl w:val="5"/>
    </w:pPr>
    <w:rPr>
      <w:rFonts w:ascii="Times New Roman" w:hAnsi="Times New Roman" w:cs="Times New Roman"/>
      <w:sz w:val="24"/>
      <w:lang w:val="en-AU"/>
    </w:rPr>
  </w:style>
  <w:style w:type="paragraph" w:customStyle="1" w:styleId="CONLevelI0">
    <w:name w:val=".CON  Level (I)"/>
    <w:basedOn w:val="Normal"/>
    <w:next w:val="Normal"/>
    <w:uiPriority w:val="99"/>
    <w:rsid w:val="00B31112"/>
    <w:pPr>
      <w:numPr>
        <w:ilvl w:val="5"/>
        <w:numId w:val="10"/>
      </w:numPr>
      <w:spacing w:before="240"/>
      <w:outlineLvl w:val="6"/>
    </w:pPr>
    <w:rPr>
      <w:rFonts w:ascii="Times New Roman" w:hAnsi="Times New Roman" w:cs="Times New Roman"/>
      <w:sz w:val="24"/>
      <w:lang w:val="en-AU"/>
    </w:rPr>
  </w:style>
  <w:style w:type="table" w:customStyle="1" w:styleId="LightList-Accent11">
    <w:name w:val="Light List - Accent 11"/>
    <w:basedOn w:val="TableNormal"/>
    <w:uiPriority w:val="61"/>
    <w:rsid w:val="00B31112"/>
    <w:rPr>
      <w:rFonts w:cs="Times New Roman"/>
      <w:sz w:val="20"/>
      <w:szCs w:val="20"/>
      <w:lang w:val="en-AU"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SubtleReference">
    <w:name w:val="Subtle Reference"/>
    <w:basedOn w:val="DefaultParagraphFont"/>
    <w:uiPriority w:val="99"/>
    <w:qFormat/>
    <w:rsid w:val="00D21284"/>
    <w:rPr>
      <w:rFonts w:cs="Times New Roman"/>
      <w:b/>
    </w:rPr>
  </w:style>
  <w:style w:type="paragraph" w:customStyle="1" w:styleId="CaptionF">
    <w:name w:val="Caption F"/>
    <w:basedOn w:val="Normal"/>
    <w:next w:val="BodyText"/>
    <w:autoRedefine/>
    <w:uiPriority w:val="99"/>
    <w:rsid w:val="004C5CDB"/>
    <w:pPr>
      <w:numPr>
        <w:numId w:val="18"/>
      </w:numPr>
      <w:tabs>
        <w:tab w:val="clear" w:pos="360"/>
        <w:tab w:val="left" w:pos="500"/>
        <w:tab w:val="num" w:pos="720"/>
        <w:tab w:val="num" w:pos="786"/>
        <w:tab w:val="left" w:pos="1200"/>
      </w:tabs>
      <w:ind w:left="720" w:hanging="720"/>
    </w:pPr>
    <w:rPr>
      <w:rFonts w:ascii="Cambria" w:hAnsi="Cambria" w:cs="Times New Roman"/>
      <w:i/>
      <w:sz w:val="20"/>
      <w:szCs w:val="20"/>
    </w:rPr>
  </w:style>
  <w:style w:type="paragraph" w:customStyle="1" w:styleId="StyleHeading2Centered">
    <w:name w:val="Style Heading 2 + Centered"/>
    <w:basedOn w:val="Normal"/>
    <w:uiPriority w:val="99"/>
    <w:rsid w:val="004C5CDB"/>
    <w:pPr>
      <w:numPr>
        <w:ilvl w:val="1"/>
        <w:numId w:val="18"/>
      </w:numPr>
      <w:jc w:val="both"/>
    </w:pPr>
    <w:rPr>
      <w:rFonts w:ascii="Arial" w:hAnsi="Arial" w:cs="Times New Roman"/>
    </w:rPr>
  </w:style>
  <w:style w:type="character" w:customStyle="1" w:styleId="Heading4Char">
    <w:name w:val="Heading 4 Char"/>
    <w:basedOn w:val="DefaultParagraphFont"/>
    <w:link w:val="Heading4"/>
    <w:uiPriority w:val="99"/>
    <w:locked/>
    <w:rsid w:val="006A4E0A"/>
    <w:rPr>
      <w:b/>
      <w:bCs/>
      <w:sz w:val="24"/>
      <w:szCs w:val="28"/>
    </w:rPr>
  </w:style>
  <w:style w:type="character" w:customStyle="1" w:styleId="Heading5Char">
    <w:name w:val="Heading 5 Char"/>
    <w:basedOn w:val="DefaultParagraphFont"/>
    <w:link w:val="Heading5"/>
    <w:uiPriority w:val="99"/>
    <w:locked/>
    <w:rsid w:val="006A4E0A"/>
    <w:rPr>
      <w:b/>
      <w:bCs/>
      <w:i/>
      <w:iCs/>
      <w:sz w:val="26"/>
      <w:szCs w:val="26"/>
    </w:rPr>
  </w:style>
  <w:style w:type="character" w:customStyle="1" w:styleId="Heading6Char">
    <w:name w:val="Heading 6 Char"/>
    <w:basedOn w:val="DefaultParagraphFont"/>
    <w:link w:val="Heading6"/>
    <w:uiPriority w:val="99"/>
    <w:locked/>
    <w:rsid w:val="006A4E0A"/>
    <w:rPr>
      <w:b/>
      <w:bCs/>
    </w:rPr>
  </w:style>
  <w:style w:type="character" w:customStyle="1" w:styleId="Heading7Char">
    <w:name w:val="Heading 7 Char"/>
    <w:basedOn w:val="DefaultParagraphFont"/>
    <w:link w:val="Heading7"/>
    <w:uiPriority w:val="99"/>
    <w:locked/>
    <w:rsid w:val="006A4E0A"/>
  </w:style>
  <w:style w:type="character" w:customStyle="1" w:styleId="Heading8Char">
    <w:name w:val="Heading 8 Char"/>
    <w:basedOn w:val="DefaultParagraphFont"/>
    <w:link w:val="Heading8"/>
    <w:uiPriority w:val="99"/>
    <w:locked/>
    <w:rsid w:val="006A4E0A"/>
    <w:rPr>
      <w:i/>
      <w:iCs/>
    </w:rPr>
  </w:style>
  <w:style w:type="character" w:customStyle="1" w:styleId="Heading9Char">
    <w:name w:val="Heading 9 Char"/>
    <w:basedOn w:val="DefaultParagraphFont"/>
    <w:link w:val="Heading9"/>
    <w:uiPriority w:val="99"/>
    <w:locked/>
    <w:rsid w:val="006A4E0A"/>
    <w:rPr>
      <w:rFonts w:ascii="Arial" w:hAnsi="Arial" w:cs="Arial"/>
    </w:rPr>
  </w:style>
  <w:style w:type="paragraph" w:styleId="Quote">
    <w:name w:val="Quote"/>
    <w:basedOn w:val="Normal"/>
    <w:next w:val="Normal"/>
    <w:link w:val="QuoteChar"/>
    <w:uiPriority w:val="99"/>
    <w:qFormat/>
    <w:rsid w:val="006A4E0A"/>
    <w:pPr>
      <w:spacing w:after="200" w:line="276" w:lineRule="auto"/>
      <w:jc w:val="both"/>
    </w:pPr>
    <w:rPr>
      <w:rFonts w:cs="Times New Roman"/>
      <w:i/>
      <w:szCs w:val="20"/>
    </w:rPr>
  </w:style>
  <w:style w:type="character" w:customStyle="1" w:styleId="QuoteChar">
    <w:name w:val="Quote Char"/>
    <w:basedOn w:val="DefaultParagraphFont"/>
    <w:link w:val="Quote"/>
    <w:uiPriority w:val="99"/>
    <w:rsid w:val="006A4E0A"/>
    <w:rPr>
      <w:rFonts w:cs="Times New Roman"/>
      <w:i/>
      <w:szCs w:val="20"/>
    </w:rPr>
  </w:style>
  <w:style w:type="paragraph" w:styleId="IntenseQuote">
    <w:name w:val="Intense Quote"/>
    <w:basedOn w:val="Normal"/>
    <w:next w:val="Normal"/>
    <w:link w:val="IntenseQuoteChar"/>
    <w:uiPriority w:val="99"/>
    <w:qFormat/>
    <w:rsid w:val="006A4E0A"/>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jc w:val="both"/>
    </w:pPr>
    <w:rPr>
      <w:rFonts w:cs="Times New Roman"/>
      <w:b/>
      <w:i/>
      <w:color w:val="FFFFFF"/>
      <w:szCs w:val="20"/>
    </w:rPr>
  </w:style>
  <w:style w:type="character" w:customStyle="1" w:styleId="IntenseQuoteChar">
    <w:name w:val="Intense Quote Char"/>
    <w:basedOn w:val="DefaultParagraphFont"/>
    <w:link w:val="IntenseQuote"/>
    <w:uiPriority w:val="99"/>
    <w:rsid w:val="006A4E0A"/>
    <w:rPr>
      <w:rFonts w:cs="Times New Roman"/>
      <w:b/>
      <w:i/>
      <w:color w:val="FFFFFF"/>
      <w:szCs w:val="20"/>
      <w:shd w:val="clear" w:color="auto" w:fill="C0504D"/>
    </w:rPr>
  </w:style>
  <w:style w:type="character" w:styleId="SubtleEmphasis">
    <w:name w:val="Subtle Emphasis"/>
    <w:basedOn w:val="DefaultParagraphFont"/>
    <w:uiPriority w:val="99"/>
    <w:qFormat/>
    <w:rsid w:val="006A4E0A"/>
    <w:rPr>
      <w:rFonts w:cs="Times New Roman"/>
      <w:i/>
    </w:rPr>
  </w:style>
  <w:style w:type="character" w:styleId="IntenseReference">
    <w:name w:val="Intense Reference"/>
    <w:basedOn w:val="DefaultParagraphFont"/>
    <w:uiPriority w:val="99"/>
    <w:qFormat/>
    <w:rsid w:val="006A4E0A"/>
    <w:rPr>
      <w:rFonts w:cs="Times New Roman"/>
      <w:b/>
      <w:smallCaps/>
      <w:spacing w:val="5"/>
      <w:sz w:val="22"/>
      <w:u w:val="single"/>
    </w:rPr>
  </w:style>
  <w:style w:type="character" w:styleId="BookTitle">
    <w:name w:val="Book Title"/>
    <w:basedOn w:val="DefaultParagraphFont"/>
    <w:uiPriority w:val="99"/>
    <w:qFormat/>
    <w:rsid w:val="006A4E0A"/>
    <w:rPr>
      <w:rFonts w:ascii="Cambria" w:hAnsi="Cambria" w:cs="Times New Roman"/>
      <w:i/>
      <w:sz w:val="20"/>
    </w:rPr>
  </w:style>
  <w:style w:type="table" w:styleId="ColorfulList-Accent2">
    <w:name w:val="Colorful List Accent 2"/>
    <w:basedOn w:val="TableNormal"/>
    <w:uiPriority w:val="99"/>
    <w:rsid w:val="006A4E0A"/>
    <w:rPr>
      <w:rFonts w:cs="Times New Roman"/>
      <w:color w:val="000000"/>
      <w:sz w:val="20"/>
      <w:szCs w:val="20"/>
      <w:lang w:val="en-AU" w:eastAsia="en-AU"/>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paragraph" w:customStyle="1" w:styleId="Listbullet0">
    <w:name w:val="List bullet'"/>
    <w:basedOn w:val="NoSpacing"/>
    <w:uiPriority w:val="99"/>
    <w:rsid w:val="006A4E0A"/>
    <w:pPr>
      <w:numPr>
        <w:numId w:val="19"/>
      </w:numPr>
      <w:jc w:val="both"/>
    </w:pPr>
    <w:rPr>
      <w:rFonts w:eastAsia="Times New Roman" w:cs="Times New Roman"/>
      <w:szCs w:val="20"/>
    </w:rPr>
  </w:style>
  <w:style w:type="table" w:styleId="TableSimple1">
    <w:name w:val="Table Simple 1"/>
    <w:basedOn w:val="TableNormal"/>
    <w:uiPriority w:val="99"/>
    <w:rsid w:val="006A4E0A"/>
    <w:rPr>
      <w:rFonts w:ascii="Arial Narrow" w:eastAsia="MS Mincho" w:hAnsi="Arial Narrow" w:cs="Times New Roman"/>
      <w:sz w:val="18"/>
      <w:szCs w:val="18"/>
      <w:lang w:val="en-AU" w:eastAsia="en-AU"/>
    </w:rPr>
    <w:tblPr>
      <w:tblBorders>
        <w:top w:val="single" w:sz="12" w:space="0" w:color="990000"/>
        <w:bottom w:val="single" w:sz="12" w:space="0" w:color="990000"/>
        <w:insideH w:val="single" w:sz="12" w:space="0" w:color="990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SectionNumber">
    <w:name w:val="Section Number"/>
    <w:basedOn w:val="Normal"/>
    <w:autoRedefine/>
    <w:uiPriority w:val="99"/>
    <w:rsid w:val="006A4E0A"/>
    <w:pPr>
      <w:numPr>
        <w:numId w:val="20"/>
      </w:numPr>
      <w:shd w:val="clear" w:color="auto" w:fill="800080"/>
      <w:jc w:val="both"/>
    </w:pPr>
    <w:rPr>
      <w:rFonts w:ascii="Verdana" w:hAnsi="Verdana" w:cs="Times New Roman"/>
    </w:rPr>
  </w:style>
  <w:style w:type="paragraph" w:customStyle="1" w:styleId="Bodytextnumbered">
    <w:name w:val="Body text numbered"/>
    <w:basedOn w:val="BodyText"/>
    <w:autoRedefine/>
    <w:uiPriority w:val="99"/>
    <w:rsid w:val="006A4E0A"/>
    <w:pPr>
      <w:numPr>
        <w:numId w:val="21"/>
      </w:numPr>
      <w:tabs>
        <w:tab w:val="clear" w:pos="720"/>
        <w:tab w:val="num" w:pos="500"/>
      </w:tabs>
      <w:ind w:left="500" w:hanging="500"/>
    </w:pPr>
    <w:rPr>
      <w:rFonts w:ascii="Arial" w:hAnsi="Arial" w:cs="Times New Roman"/>
      <w:sz w:val="21"/>
      <w:lang w:val="en-US"/>
    </w:rPr>
  </w:style>
  <w:style w:type="paragraph" w:customStyle="1" w:styleId="Tablefont">
    <w:name w:val="Table font"/>
    <w:basedOn w:val="Normal"/>
    <w:link w:val="TablefontChar"/>
    <w:autoRedefine/>
    <w:uiPriority w:val="99"/>
    <w:rsid w:val="006A4E0A"/>
    <w:rPr>
      <w:rFonts w:ascii="Arial Narrow" w:hAnsi="Arial Narrow" w:cs="Arial Narrow"/>
      <w:sz w:val="20"/>
      <w:szCs w:val="24"/>
    </w:rPr>
  </w:style>
  <w:style w:type="paragraph" w:customStyle="1" w:styleId="List1">
    <w:name w:val="List 1"/>
    <w:basedOn w:val="Normal"/>
    <w:uiPriority w:val="99"/>
    <w:rsid w:val="006A4E0A"/>
    <w:pPr>
      <w:numPr>
        <w:numId w:val="22"/>
      </w:numPr>
      <w:jc w:val="both"/>
    </w:pPr>
    <w:rPr>
      <w:rFonts w:ascii="Arial" w:hAnsi="Arial" w:cs="Times New Roman"/>
      <w:szCs w:val="24"/>
    </w:rPr>
  </w:style>
  <w:style w:type="character" w:customStyle="1" w:styleId="CONLevel11CharChar">
    <w:name w:val=".CON  Level   1.1 Char Char"/>
    <w:basedOn w:val="DefaultParagraphFont"/>
    <w:link w:val="CONLevel11Char"/>
    <w:uiPriority w:val="99"/>
    <w:locked/>
    <w:rsid w:val="006A4E0A"/>
    <w:rPr>
      <w:rFonts w:ascii="Times New Roman" w:hAnsi="Times New Roman" w:cs="Times New Roman"/>
      <w:sz w:val="24"/>
      <w:lang w:val="en-AU"/>
    </w:rPr>
  </w:style>
  <w:style w:type="character" w:customStyle="1" w:styleId="CONLevelaCharChar">
    <w:name w:val=".CON  Level  (a) Char Char"/>
    <w:basedOn w:val="DefaultParagraphFont"/>
    <w:link w:val="CONLevelaChar"/>
    <w:uiPriority w:val="99"/>
    <w:locked/>
    <w:rsid w:val="006A4E0A"/>
    <w:rPr>
      <w:rFonts w:ascii="Times New Roman" w:hAnsi="Times New Roman" w:cs="Times New Roman"/>
      <w:sz w:val="24"/>
      <w:lang w:val="en-AU"/>
    </w:rPr>
  </w:style>
  <w:style w:type="paragraph" w:customStyle="1" w:styleId="CaptionT">
    <w:name w:val="Caption T"/>
    <w:basedOn w:val="BodyText"/>
    <w:link w:val="CaptionTChar"/>
    <w:autoRedefine/>
    <w:uiPriority w:val="99"/>
    <w:rsid w:val="006A4E0A"/>
    <w:pPr>
      <w:numPr>
        <w:numId w:val="26"/>
      </w:numPr>
      <w:tabs>
        <w:tab w:val="num" w:pos="0"/>
        <w:tab w:val="left" w:pos="500"/>
        <w:tab w:val="left" w:pos="1200"/>
      </w:tabs>
      <w:ind w:left="0" w:firstLine="0"/>
    </w:pPr>
    <w:rPr>
      <w:rFonts w:ascii="Cambria" w:hAnsi="Cambria" w:cs="Times New Roman"/>
      <w:i/>
      <w:sz w:val="18"/>
      <w:szCs w:val="18"/>
    </w:rPr>
  </w:style>
  <w:style w:type="paragraph" w:customStyle="1" w:styleId="KPI">
    <w:name w:val="KPI"/>
    <w:basedOn w:val="Heading3"/>
    <w:next w:val="BodyText"/>
    <w:link w:val="KPIChar"/>
    <w:autoRedefine/>
    <w:uiPriority w:val="99"/>
    <w:rsid w:val="006A4E0A"/>
    <w:pPr>
      <w:tabs>
        <w:tab w:val="num" w:pos="200"/>
      </w:tabs>
      <w:spacing w:before="240" w:after="60"/>
      <w:ind w:left="632" w:hanging="432"/>
      <w:jc w:val="both"/>
    </w:pPr>
    <w:rPr>
      <w:rFonts w:ascii="Arial" w:hAnsi="Arial" w:cs="Arial"/>
      <w:b w:val="0"/>
      <w:szCs w:val="26"/>
    </w:rPr>
  </w:style>
  <w:style w:type="paragraph" w:customStyle="1" w:styleId="CaptionA">
    <w:name w:val="Caption A"/>
    <w:basedOn w:val="BodyText"/>
    <w:next w:val="BodyText"/>
    <w:autoRedefine/>
    <w:uiPriority w:val="99"/>
    <w:rsid w:val="006A4E0A"/>
    <w:pPr>
      <w:numPr>
        <w:numId w:val="23"/>
      </w:numPr>
      <w:tabs>
        <w:tab w:val="left" w:pos="500"/>
      </w:tabs>
    </w:pPr>
    <w:rPr>
      <w:rFonts w:ascii="Arial" w:hAnsi="Arial" w:cs="Times New Roman"/>
      <w:sz w:val="21"/>
      <w:lang w:val="en-US"/>
    </w:rPr>
  </w:style>
  <w:style w:type="paragraph" w:customStyle="1" w:styleId="SPI">
    <w:name w:val="SPI"/>
    <w:basedOn w:val="BodyText"/>
    <w:next w:val="BodyText"/>
    <w:autoRedefine/>
    <w:uiPriority w:val="99"/>
    <w:rsid w:val="006A4E0A"/>
    <w:pPr>
      <w:numPr>
        <w:numId w:val="25"/>
      </w:numPr>
      <w:tabs>
        <w:tab w:val="left" w:pos="0"/>
        <w:tab w:val="left" w:pos="500"/>
        <w:tab w:val="left" w:pos="1000"/>
      </w:tabs>
      <w:ind w:hanging="1301"/>
    </w:pPr>
    <w:rPr>
      <w:rFonts w:ascii="Arial" w:hAnsi="Arial" w:cs="Times New Roman"/>
      <w:b/>
      <w:sz w:val="21"/>
      <w:lang w:val="en-US"/>
    </w:rPr>
  </w:style>
  <w:style w:type="character" w:customStyle="1" w:styleId="TablefontChar">
    <w:name w:val="Table font Char"/>
    <w:basedOn w:val="DefaultParagraphFont"/>
    <w:link w:val="Tablefont"/>
    <w:uiPriority w:val="99"/>
    <w:locked/>
    <w:rsid w:val="006A4E0A"/>
    <w:rPr>
      <w:rFonts w:ascii="Arial Narrow" w:hAnsi="Arial Narrow" w:cs="Arial Narrow"/>
      <w:sz w:val="20"/>
      <w:szCs w:val="24"/>
    </w:rPr>
  </w:style>
  <w:style w:type="character" w:customStyle="1" w:styleId="CaptionTChar">
    <w:name w:val="Caption T Char"/>
    <w:basedOn w:val="BodyTextChar"/>
    <w:link w:val="CaptionT"/>
    <w:uiPriority w:val="99"/>
    <w:locked/>
    <w:rsid w:val="006A4E0A"/>
    <w:rPr>
      <w:rFonts w:ascii="Cambria" w:hAnsi="Cambria" w:cs="Times New Roman"/>
      <w:i/>
      <w:sz w:val="18"/>
      <w:szCs w:val="18"/>
      <w:lang w:val="en-AU"/>
    </w:rPr>
  </w:style>
  <w:style w:type="character" w:customStyle="1" w:styleId="KPIChar">
    <w:name w:val="KPI Char"/>
    <w:basedOn w:val="Heading3Char"/>
    <w:link w:val="KPI"/>
    <w:uiPriority w:val="99"/>
    <w:locked/>
    <w:rsid w:val="006A4E0A"/>
    <w:rPr>
      <w:rFonts w:ascii="Arial" w:hAnsi="Arial" w:cs="Arial"/>
      <w:b w:val="0"/>
      <w:bCs/>
      <w:i/>
      <w:iCs/>
      <w:color w:val="003880"/>
      <w:sz w:val="24"/>
      <w:szCs w:val="26"/>
    </w:rPr>
  </w:style>
  <w:style w:type="paragraph" w:customStyle="1" w:styleId="Title1">
    <w:name w:val="Title 1"/>
    <w:basedOn w:val="Heading1"/>
    <w:link w:val="Title1Char"/>
    <w:autoRedefine/>
    <w:uiPriority w:val="99"/>
    <w:rsid w:val="006A4E0A"/>
    <w:pPr>
      <w:numPr>
        <w:numId w:val="0"/>
      </w:numPr>
      <w:spacing w:before="240"/>
      <w:jc w:val="center"/>
    </w:pPr>
    <w:rPr>
      <w:rFonts w:ascii="Garamond" w:hAnsi="Garamond" w:cs="Arial"/>
      <w:b/>
      <w:color w:val="000080"/>
      <w:szCs w:val="32"/>
    </w:rPr>
  </w:style>
  <w:style w:type="paragraph" w:customStyle="1" w:styleId="Title2">
    <w:name w:val="Title 2"/>
    <w:basedOn w:val="Title1"/>
    <w:link w:val="Title2Char"/>
    <w:autoRedefine/>
    <w:uiPriority w:val="99"/>
    <w:rsid w:val="006A4E0A"/>
    <w:rPr>
      <w:sz w:val="72"/>
    </w:rPr>
  </w:style>
  <w:style w:type="character" w:customStyle="1" w:styleId="Title1Char">
    <w:name w:val="Title 1 Char"/>
    <w:basedOn w:val="Heading1Char"/>
    <w:link w:val="Title1"/>
    <w:uiPriority w:val="99"/>
    <w:locked/>
    <w:rsid w:val="006A4E0A"/>
    <w:rPr>
      <w:rFonts w:ascii="Garamond" w:hAnsi="Garamond" w:cs="Arial"/>
      <w:b/>
      <w:bCs/>
      <w:color w:val="000080"/>
      <w:kern w:val="32"/>
      <w:sz w:val="32"/>
      <w:szCs w:val="32"/>
    </w:rPr>
  </w:style>
  <w:style w:type="character" w:customStyle="1" w:styleId="Title2Char">
    <w:name w:val="Title 2 Char"/>
    <w:basedOn w:val="Title1Char"/>
    <w:link w:val="Title2"/>
    <w:uiPriority w:val="99"/>
    <w:locked/>
    <w:rsid w:val="006A4E0A"/>
    <w:rPr>
      <w:rFonts w:ascii="Garamond" w:hAnsi="Garamond" w:cs="Arial"/>
      <w:b/>
      <w:bCs/>
      <w:color w:val="000080"/>
      <w:kern w:val="32"/>
      <w:sz w:val="72"/>
      <w:szCs w:val="32"/>
    </w:rPr>
  </w:style>
  <w:style w:type="paragraph" w:customStyle="1" w:styleId="StyleSPI">
    <w:name w:val="Style SPI"/>
    <w:basedOn w:val="SPI"/>
    <w:autoRedefine/>
    <w:uiPriority w:val="99"/>
    <w:rsid w:val="006A4E0A"/>
    <w:pPr>
      <w:numPr>
        <w:numId w:val="24"/>
      </w:numPr>
    </w:pPr>
    <w:rPr>
      <w:bCs/>
      <w:szCs w:val="20"/>
    </w:rPr>
  </w:style>
  <w:style w:type="paragraph" w:customStyle="1" w:styleId="Tableheader">
    <w:name w:val="Table header"/>
    <w:basedOn w:val="BodyText"/>
    <w:autoRedefine/>
    <w:uiPriority w:val="99"/>
    <w:rsid w:val="006A4E0A"/>
    <w:pPr>
      <w:numPr>
        <w:numId w:val="28"/>
      </w:numPr>
      <w:ind w:right="-60" w:hanging="781"/>
      <w:jc w:val="both"/>
    </w:pPr>
    <w:rPr>
      <w:rFonts w:ascii="Garamond" w:hAnsi="Garamond" w:cs="Times New Roman"/>
      <w:b/>
      <w:sz w:val="18"/>
      <w:szCs w:val="18"/>
      <w:lang w:val="en-US"/>
    </w:rPr>
  </w:style>
  <w:style w:type="paragraph" w:customStyle="1" w:styleId="Figureheader">
    <w:name w:val="Figure header"/>
    <w:basedOn w:val="Tableheader"/>
    <w:next w:val="BodyText"/>
    <w:autoRedefine/>
    <w:uiPriority w:val="99"/>
    <w:rsid w:val="006A4E0A"/>
    <w:pPr>
      <w:numPr>
        <w:numId w:val="27"/>
      </w:numPr>
      <w:spacing w:after="240"/>
      <w:ind w:right="-562"/>
      <w:jc w:val="center"/>
    </w:pPr>
    <w:rPr>
      <w:sz w:val="20"/>
      <w:szCs w:val="20"/>
    </w:rPr>
  </w:style>
  <w:style w:type="table" w:styleId="ColorfulGrid-Accent2">
    <w:name w:val="Colorful Grid Accent 2"/>
    <w:basedOn w:val="TableNormal"/>
    <w:uiPriority w:val="99"/>
    <w:rsid w:val="006A4E0A"/>
    <w:rPr>
      <w:rFonts w:cs="Times New Roman"/>
      <w:color w:val="000000"/>
      <w:sz w:val="20"/>
      <w:szCs w:val="20"/>
      <w:lang w:val="en-AU" w:eastAsia="en-AU"/>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List1-Accent2">
    <w:name w:val="Medium List 1 Accent 2"/>
    <w:basedOn w:val="TableNormal"/>
    <w:uiPriority w:val="99"/>
    <w:rsid w:val="006A4E0A"/>
    <w:rPr>
      <w:rFonts w:cs="Times New Roman"/>
      <w:color w:val="000000"/>
      <w:sz w:val="20"/>
      <w:szCs w:val="20"/>
      <w:lang w:val="en-AU" w:eastAsia="en-AU"/>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character" w:customStyle="1" w:styleId="CharChar15">
    <w:name w:val="Char Char15"/>
    <w:basedOn w:val="DefaultParagraphFont"/>
    <w:uiPriority w:val="99"/>
    <w:rsid w:val="006A4E0A"/>
    <w:rPr>
      <w:rFonts w:ascii="Cambria" w:hAnsi="Cambria" w:cs="Times New Roman"/>
      <w:b/>
      <w:color w:val="C0504D"/>
      <w:spacing w:val="5"/>
      <w:sz w:val="28"/>
      <w:szCs w:val="28"/>
      <w:lang w:val="en-US" w:eastAsia="en-US"/>
    </w:rPr>
  </w:style>
  <w:style w:type="character" w:customStyle="1" w:styleId="CharChar14">
    <w:name w:val="Char Char14"/>
    <w:basedOn w:val="DefaultParagraphFont"/>
    <w:uiPriority w:val="99"/>
    <w:rsid w:val="006A4E0A"/>
    <w:rPr>
      <w:rFonts w:ascii="Cambria" w:hAnsi="Cambria" w:cs="Times New Roman"/>
      <w:b/>
      <w:i/>
      <w:color w:val="C0504D"/>
      <w:spacing w:val="5"/>
      <w:sz w:val="24"/>
      <w:szCs w:val="24"/>
      <w:lang w:val="en-US" w:eastAsia="en-US"/>
    </w:rPr>
  </w:style>
  <w:style w:type="character" w:customStyle="1" w:styleId="CharChar3">
    <w:name w:val="Char Char3"/>
    <w:basedOn w:val="DefaultParagraphFont"/>
    <w:uiPriority w:val="99"/>
    <w:rsid w:val="006A4E0A"/>
    <w:rPr>
      <w:rFonts w:ascii="Arial" w:hAnsi="Arial" w:cs="Times New Roman"/>
      <w:sz w:val="24"/>
      <w:szCs w:val="24"/>
      <w:lang w:val="en-US" w:eastAsia="en-US" w:bidi="ar-SA"/>
    </w:rPr>
  </w:style>
  <w:style w:type="paragraph" w:customStyle="1" w:styleId="Paraheading">
    <w:name w:val="Para heading"/>
    <w:basedOn w:val="ListNumber"/>
    <w:link w:val="ParaheadingChar"/>
    <w:uiPriority w:val="99"/>
    <w:rsid w:val="006A4E0A"/>
    <w:pPr>
      <w:tabs>
        <w:tab w:val="clear" w:pos="360"/>
      </w:tabs>
      <w:spacing w:after="200" w:line="276" w:lineRule="auto"/>
      <w:jc w:val="both"/>
    </w:pPr>
    <w:rPr>
      <w:b/>
      <w:lang w:val="en-AU"/>
    </w:rPr>
  </w:style>
  <w:style w:type="character" w:customStyle="1" w:styleId="ListNumberChar">
    <w:name w:val="List Number Char"/>
    <w:basedOn w:val="DefaultParagraphFont"/>
    <w:link w:val="ListNumber"/>
    <w:uiPriority w:val="99"/>
    <w:locked/>
    <w:rsid w:val="006A4E0A"/>
  </w:style>
  <w:style w:type="character" w:customStyle="1" w:styleId="ParaheadingChar">
    <w:name w:val="Para heading Char"/>
    <w:basedOn w:val="ListNumberChar"/>
    <w:link w:val="Paraheading"/>
    <w:uiPriority w:val="99"/>
    <w:locked/>
    <w:rsid w:val="006A4E0A"/>
    <w:rPr>
      <w:b/>
      <w:lang w:val="en-AU"/>
    </w:rPr>
  </w:style>
  <w:style w:type="paragraph" w:styleId="ListNumber2">
    <w:name w:val="List Number 2"/>
    <w:basedOn w:val="Normal"/>
    <w:uiPriority w:val="99"/>
    <w:rsid w:val="006A4E0A"/>
    <w:pPr>
      <w:numPr>
        <w:numId w:val="29"/>
      </w:numPr>
      <w:spacing w:after="200" w:line="276" w:lineRule="auto"/>
      <w:jc w:val="both"/>
    </w:pPr>
    <w:rPr>
      <w:rFonts w:cs="Times New Roman"/>
      <w:szCs w:val="20"/>
    </w:rPr>
  </w:style>
  <w:style w:type="numbering" w:styleId="111111">
    <w:name w:val="Outline List 2"/>
    <w:basedOn w:val="NoList"/>
    <w:uiPriority w:val="99"/>
    <w:unhideWhenUsed/>
    <w:rsid w:val="006A4E0A"/>
    <w:pPr>
      <w:numPr>
        <w:numId w:val="21"/>
      </w:numPr>
    </w:pPr>
  </w:style>
  <w:style w:type="character" w:customStyle="1" w:styleId="apple-style-span">
    <w:name w:val="apple-style-span"/>
    <w:basedOn w:val="DefaultParagraphFont"/>
    <w:rsid w:val="006A4E0A"/>
  </w:style>
  <w:style w:type="table" w:styleId="MediumGrid3-Accent1">
    <w:name w:val="Medium Grid 3 Accent 1"/>
    <w:basedOn w:val="TableNormal"/>
    <w:uiPriority w:val="69"/>
    <w:rsid w:val="006A4E0A"/>
    <w:rPr>
      <w:rFonts w:cs="Times New Roman"/>
      <w:sz w:val="20"/>
      <w:szCs w:val="20"/>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1">
    <w:name w:val="Medium Shading 1 - Accent 11"/>
    <w:basedOn w:val="TableNormal"/>
    <w:uiPriority w:val="63"/>
    <w:rsid w:val="006A4E0A"/>
    <w:rPr>
      <w:rFonts w:cs="Times New Roman"/>
      <w:sz w:val="20"/>
      <w:szCs w:val="20"/>
      <w:lang w:val="en-AU"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xl63">
    <w:name w:val="xl63"/>
    <w:basedOn w:val="Normal"/>
    <w:rsid w:val="006A4E0A"/>
    <w:pPr>
      <w:spacing w:before="100" w:beforeAutospacing="1" w:after="100" w:afterAutospacing="1"/>
    </w:pPr>
    <w:rPr>
      <w:rFonts w:ascii="Times New Roman" w:hAnsi="Times New Roman" w:cs="Times New Roman"/>
      <w:sz w:val="20"/>
      <w:szCs w:val="20"/>
      <w:lang w:val="en-AU" w:eastAsia="en-AU"/>
    </w:rPr>
  </w:style>
  <w:style w:type="paragraph" w:customStyle="1" w:styleId="xl64">
    <w:name w:val="xl64"/>
    <w:basedOn w:val="Normal"/>
    <w:rsid w:val="006A4E0A"/>
    <w:pPr>
      <w:spacing w:before="100" w:beforeAutospacing="1" w:after="100" w:afterAutospacing="1"/>
    </w:pPr>
    <w:rPr>
      <w:rFonts w:ascii="Times New Roman" w:hAnsi="Times New Roman" w:cs="Times New Roman"/>
      <w:sz w:val="20"/>
      <w:szCs w:val="20"/>
      <w:lang w:val="en-AU" w:eastAsia="en-AU"/>
    </w:rPr>
  </w:style>
  <w:style w:type="paragraph" w:customStyle="1" w:styleId="xl65">
    <w:name w:val="xl65"/>
    <w:basedOn w:val="Normal"/>
    <w:rsid w:val="006A4E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s="Times New Roman"/>
      <w:sz w:val="18"/>
      <w:szCs w:val="18"/>
      <w:lang w:val="en-AU" w:eastAsia="en-AU"/>
    </w:rPr>
  </w:style>
  <w:style w:type="table" w:customStyle="1" w:styleId="MediumShading2-Accent11">
    <w:name w:val="Medium Shading 2 - Accent 11"/>
    <w:basedOn w:val="TableNormal"/>
    <w:uiPriority w:val="64"/>
    <w:rsid w:val="006A4E0A"/>
    <w:rPr>
      <w:rFonts w:cs="Times New Roman"/>
      <w:sz w:val="20"/>
      <w:szCs w:val="20"/>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6A4E0A"/>
    <w:rPr>
      <w:rFonts w:cs="Times New Roman"/>
      <w:sz w:val="20"/>
      <w:szCs w:val="20"/>
      <w:lang w:val="en-AU"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ListBullet3">
    <w:name w:val="List Bullet 3"/>
    <w:basedOn w:val="Normal"/>
    <w:uiPriority w:val="99"/>
    <w:unhideWhenUsed/>
    <w:rsid w:val="006A4E0A"/>
    <w:pPr>
      <w:numPr>
        <w:numId w:val="31"/>
      </w:numPr>
      <w:spacing w:after="200" w:line="276" w:lineRule="auto"/>
      <w:contextualSpacing/>
      <w:jc w:val="both"/>
    </w:pPr>
    <w:rPr>
      <w:rFonts w:cs="Times New Roman"/>
      <w:szCs w:val="20"/>
    </w:rPr>
  </w:style>
  <w:style w:type="paragraph" w:customStyle="1" w:styleId="Table">
    <w:name w:val="Table"/>
    <w:basedOn w:val="Caption"/>
    <w:link w:val="TableChar"/>
    <w:autoRedefine/>
    <w:qFormat/>
    <w:rsid w:val="005566A6"/>
    <w:pPr>
      <w:numPr>
        <w:numId w:val="47"/>
      </w:numPr>
    </w:pPr>
  </w:style>
  <w:style w:type="character" w:customStyle="1" w:styleId="CaptionChar">
    <w:name w:val="Caption Char"/>
    <w:aliases w:val="Figure Char"/>
    <w:basedOn w:val="DefaultParagraphFont"/>
    <w:link w:val="Caption"/>
    <w:uiPriority w:val="99"/>
    <w:rsid w:val="005566A6"/>
    <w:rPr>
      <w:rFonts w:asciiTheme="minorHAnsi" w:hAnsiTheme="minorHAnsi" w:cstheme="minorHAnsi"/>
      <w:b/>
      <w:lang w:val="en-GB"/>
    </w:rPr>
  </w:style>
  <w:style w:type="character" w:customStyle="1" w:styleId="TableChar">
    <w:name w:val="Table Char"/>
    <w:basedOn w:val="CaptionChar"/>
    <w:link w:val="Table"/>
    <w:rsid w:val="005566A6"/>
    <w:rPr>
      <w:rFonts w:asciiTheme="minorHAnsi" w:hAnsiTheme="minorHAnsi" w:cstheme="minorHAnsi"/>
      <w:b/>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page number" w:uiPriority="99" w:qFormat="1"/>
    <w:lsdException w:name="endnote reference" w:uiPriority="99"/>
    <w:lsdException w:name="endnote text" w:uiPriority="99"/>
    <w:lsdException w:name="List Bullet" w:uiPriority="99"/>
    <w:lsdException w:name="List Number" w:semiHidden="0" w:uiPriority="99" w:unhideWhenUsed="0"/>
    <w:lsdException w:name="List 4" w:semiHidden="0" w:unhideWhenUsed="0"/>
    <w:lsdException w:name="List 5" w:semiHidden="0" w:unhideWhenUsed="0"/>
    <w:lsdException w:name="List Bullet 3" w:uiPriority="99"/>
    <w:lsdException w:name="List Number 2" w:uiPriority="99"/>
    <w:lsdException w:name="Title" w:semiHidden="0" w:uiPriority="99" w:unhideWhenUsed="0" w:qFormat="1"/>
    <w:lsdException w:name="Body Tex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99" w:unhideWhenUsed="0" w:qFormat="1"/>
    <w:lsdException w:name="Emphasis" w:semiHidden="0" w:uiPriority="99" w:unhideWhenUsed="0" w:qFormat="1"/>
    <w:lsdException w:name="Normal (Web)" w:uiPriority="99"/>
    <w:lsdException w:name="annotation subject" w:uiPriority="99"/>
    <w:lsdException w:name="No List" w:uiPriority="99"/>
    <w:lsdException w:name="Outline List 2" w:uiPriority="99"/>
    <w:lsdException w:name="Table Simple 1" w:uiPriority="99"/>
    <w:lsdException w:name="Balloon Text" w:uiPriority="99"/>
    <w:lsdException w:name="Table Grid" w:semiHidden="0" w:uiPriority="9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qFormat="1"/>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1"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1"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1" w:unhideWhenUsed="0"/>
    <w:lsdException w:name="Medium Shading 2 Accent 2" w:semiHidden="0" w:uiPriority="64" w:unhideWhenUsed="0"/>
    <w:lsdException w:name="Medium List 1 Accent 2" w:semiHidden="0" w:uiPriority="99" w:unhideWhenUsed="0"/>
    <w:lsdException w:name="Medium List 2 Accent 2" w:semiHidden="0" w:uiPriority="66" w:unhideWhenUsed="0"/>
    <w:lsdException w:name="Medium Grid 1 Accent 2" w:semiHidden="0" w:uiPriority="34" w:unhideWhenUsed="0" w:qFormat="1"/>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99" w:unhideWhenUsed="0"/>
    <w:lsdException w:name="Colorful Grid Accent 2" w:semiHidden="0" w:uiPriority="99" w:unhideWhenUsed="0"/>
    <w:lsdException w:name="Light Shading Accent 3" w:semiHidden="0" w:uiPriority="60" w:unhideWhenUsed="0"/>
    <w:lsdException w:name="Light List Accent 3" w:semiHidden="0" w:uiPriority="61" w:unhideWhenUsed="0"/>
    <w:lsdException w:name="Light Grid Accent 3" w:semiHidden="0" w:uiPriority="34" w:unhideWhenUsed="0" w:qFormat="1"/>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235E42"/>
    <w:pPr>
      <w:spacing w:after="120"/>
    </w:pPr>
  </w:style>
  <w:style w:type="paragraph" w:styleId="Heading1">
    <w:name w:val="heading 1"/>
    <w:basedOn w:val="Normal"/>
    <w:next w:val="Normal"/>
    <w:link w:val="Heading1Char"/>
    <w:uiPriority w:val="99"/>
    <w:qFormat/>
    <w:rsid w:val="00396227"/>
    <w:pPr>
      <w:keepNext/>
      <w:numPr>
        <w:numId w:val="7"/>
      </w:numPr>
      <w:outlineLvl w:val="0"/>
    </w:pPr>
    <w:rPr>
      <w:rFonts w:asciiTheme="minorHAnsi" w:hAnsiTheme="minorHAnsi" w:cstheme="minorHAnsi"/>
      <w:bCs/>
      <w:color w:val="003880"/>
      <w:kern w:val="32"/>
      <w:sz w:val="32"/>
      <w:szCs w:val="72"/>
    </w:rPr>
  </w:style>
  <w:style w:type="paragraph" w:styleId="Heading2">
    <w:name w:val="heading 2"/>
    <w:basedOn w:val="Normal"/>
    <w:next w:val="Normal"/>
    <w:link w:val="Heading2Char"/>
    <w:uiPriority w:val="99"/>
    <w:qFormat/>
    <w:rsid w:val="00DE0C5D"/>
    <w:pPr>
      <w:keepNext/>
      <w:numPr>
        <w:ilvl w:val="1"/>
        <w:numId w:val="7"/>
      </w:numPr>
      <w:outlineLvl w:val="1"/>
    </w:pPr>
    <w:rPr>
      <w:bCs/>
      <w:iCs/>
      <w:color w:val="003880"/>
      <w:sz w:val="24"/>
      <w:szCs w:val="48"/>
    </w:rPr>
  </w:style>
  <w:style w:type="paragraph" w:styleId="Heading3">
    <w:name w:val="heading 3"/>
    <w:basedOn w:val="Normal"/>
    <w:next w:val="Normal"/>
    <w:link w:val="Heading3Char"/>
    <w:autoRedefine/>
    <w:uiPriority w:val="99"/>
    <w:qFormat/>
    <w:rsid w:val="00DB55DD"/>
    <w:pPr>
      <w:keepNext/>
      <w:spacing w:before="360" w:line="276" w:lineRule="auto"/>
      <w:outlineLvl w:val="2"/>
    </w:pPr>
    <w:rPr>
      <w:rFonts w:asciiTheme="minorHAnsi" w:hAnsiTheme="minorHAnsi" w:cstheme="minorHAnsi"/>
      <w:b/>
      <w:bCs/>
      <w:i/>
      <w:iCs/>
      <w:color w:val="003880"/>
      <w:sz w:val="24"/>
      <w:szCs w:val="28"/>
    </w:rPr>
  </w:style>
  <w:style w:type="paragraph" w:styleId="Heading4">
    <w:name w:val="heading 4"/>
    <w:basedOn w:val="Normal"/>
    <w:next w:val="Normal"/>
    <w:link w:val="Heading4Char"/>
    <w:uiPriority w:val="99"/>
    <w:qFormat/>
    <w:rsid w:val="00643C39"/>
    <w:pPr>
      <w:keepNext/>
      <w:numPr>
        <w:ilvl w:val="3"/>
        <w:numId w:val="7"/>
      </w:numPr>
      <w:spacing w:before="240" w:after="60"/>
      <w:outlineLvl w:val="3"/>
    </w:pPr>
    <w:rPr>
      <w:b/>
      <w:bCs/>
      <w:sz w:val="24"/>
      <w:szCs w:val="28"/>
    </w:rPr>
  </w:style>
  <w:style w:type="paragraph" w:styleId="Heading5">
    <w:name w:val="heading 5"/>
    <w:basedOn w:val="Normal"/>
    <w:next w:val="Normal"/>
    <w:link w:val="Heading5Char"/>
    <w:uiPriority w:val="99"/>
    <w:qFormat/>
    <w:rsid w:val="00643C39"/>
    <w:pPr>
      <w:numPr>
        <w:ilvl w:val="4"/>
        <w:numId w:val="3"/>
      </w:numPr>
      <w:spacing w:before="240" w:after="60"/>
      <w:outlineLvl w:val="4"/>
    </w:pPr>
    <w:rPr>
      <w:b/>
      <w:bCs/>
      <w:i/>
      <w:iCs/>
      <w:sz w:val="26"/>
      <w:szCs w:val="26"/>
    </w:rPr>
  </w:style>
  <w:style w:type="paragraph" w:styleId="Heading6">
    <w:name w:val="heading 6"/>
    <w:basedOn w:val="Normal"/>
    <w:next w:val="Normal"/>
    <w:link w:val="Heading6Char"/>
    <w:uiPriority w:val="99"/>
    <w:qFormat/>
    <w:rsid w:val="00643C39"/>
    <w:pPr>
      <w:numPr>
        <w:ilvl w:val="5"/>
        <w:numId w:val="3"/>
      </w:numPr>
      <w:spacing w:before="240" w:after="60"/>
      <w:outlineLvl w:val="5"/>
    </w:pPr>
    <w:rPr>
      <w:b/>
      <w:bCs/>
    </w:rPr>
  </w:style>
  <w:style w:type="paragraph" w:styleId="Heading7">
    <w:name w:val="heading 7"/>
    <w:basedOn w:val="Normal"/>
    <w:next w:val="Normal"/>
    <w:link w:val="Heading7Char"/>
    <w:uiPriority w:val="99"/>
    <w:qFormat/>
    <w:rsid w:val="00643C39"/>
    <w:pPr>
      <w:numPr>
        <w:ilvl w:val="6"/>
        <w:numId w:val="3"/>
      </w:numPr>
      <w:spacing w:before="240" w:after="60"/>
      <w:outlineLvl w:val="6"/>
    </w:pPr>
  </w:style>
  <w:style w:type="paragraph" w:styleId="Heading8">
    <w:name w:val="heading 8"/>
    <w:basedOn w:val="Normal"/>
    <w:next w:val="Normal"/>
    <w:link w:val="Heading8Char"/>
    <w:uiPriority w:val="99"/>
    <w:qFormat/>
    <w:rsid w:val="00643C39"/>
    <w:pPr>
      <w:numPr>
        <w:ilvl w:val="7"/>
        <w:numId w:val="3"/>
      </w:numPr>
      <w:spacing w:before="240" w:after="60"/>
      <w:outlineLvl w:val="7"/>
    </w:pPr>
    <w:rPr>
      <w:i/>
      <w:iCs/>
    </w:rPr>
  </w:style>
  <w:style w:type="paragraph" w:styleId="Heading9">
    <w:name w:val="heading 9"/>
    <w:basedOn w:val="Normal"/>
    <w:next w:val="Normal"/>
    <w:link w:val="Heading9Char"/>
    <w:uiPriority w:val="99"/>
    <w:qFormat/>
    <w:rsid w:val="00643C39"/>
    <w:pPr>
      <w:numPr>
        <w:ilvl w:val="8"/>
        <w:numId w:val="3"/>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396227"/>
    <w:rPr>
      <w:rFonts w:asciiTheme="minorHAnsi" w:hAnsiTheme="minorHAnsi" w:cstheme="minorHAnsi"/>
      <w:bCs/>
      <w:color w:val="003880"/>
      <w:kern w:val="32"/>
      <w:sz w:val="32"/>
      <w:szCs w:val="72"/>
    </w:rPr>
  </w:style>
  <w:style w:type="character" w:customStyle="1" w:styleId="Heading2Char">
    <w:name w:val="Heading 2 Char"/>
    <w:link w:val="Heading2"/>
    <w:uiPriority w:val="99"/>
    <w:rsid w:val="00DE0C5D"/>
    <w:rPr>
      <w:bCs/>
      <w:iCs/>
      <w:color w:val="003880"/>
      <w:sz w:val="24"/>
      <w:szCs w:val="48"/>
    </w:rPr>
  </w:style>
  <w:style w:type="character" w:customStyle="1" w:styleId="Heading3Char">
    <w:name w:val="Heading 3 Char"/>
    <w:link w:val="Heading3"/>
    <w:uiPriority w:val="99"/>
    <w:rsid w:val="00DB55DD"/>
    <w:rPr>
      <w:rFonts w:asciiTheme="minorHAnsi" w:hAnsiTheme="minorHAnsi" w:cstheme="minorHAnsi"/>
      <w:b/>
      <w:bCs/>
      <w:i/>
      <w:iCs/>
      <w:color w:val="003880"/>
      <w:sz w:val="24"/>
      <w:szCs w:val="28"/>
    </w:rPr>
  </w:style>
  <w:style w:type="paragraph" w:styleId="Footer">
    <w:name w:val="footer"/>
    <w:basedOn w:val="Normal"/>
    <w:link w:val="FooterChar"/>
    <w:uiPriority w:val="99"/>
    <w:rsid w:val="005F5956"/>
    <w:pPr>
      <w:tabs>
        <w:tab w:val="center" w:pos="4320"/>
        <w:tab w:val="right" w:pos="8640"/>
      </w:tabs>
    </w:pPr>
    <w:rPr>
      <w:b/>
      <w:caps/>
      <w:sz w:val="16"/>
      <w:szCs w:val="16"/>
    </w:rPr>
  </w:style>
  <w:style w:type="character" w:customStyle="1" w:styleId="FooterChar">
    <w:name w:val="Footer Char"/>
    <w:link w:val="Footer"/>
    <w:uiPriority w:val="99"/>
    <w:rsid w:val="00623899"/>
    <w:rPr>
      <w:rFonts w:ascii="Gill Sans MT" w:hAnsi="Gill Sans MT"/>
      <w:b/>
      <w:caps/>
      <w:sz w:val="16"/>
      <w:szCs w:val="16"/>
    </w:rPr>
  </w:style>
  <w:style w:type="character" w:styleId="FootnoteReference">
    <w:name w:val="footnote reference"/>
    <w:aliases w:val=" BVI fnr,BVI fnr,ftref,referencia nota al pie,footnote ref,16 Point,Superscript 6 Point,fr,(NECG) Footnote Reference"/>
    <w:uiPriority w:val="99"/>
    <w:rsid w:val="00890B09"/>
    <w:rPr>
      <w:rFonts w:ascii="Times New Roman" w:hAnsi="Times New Roman"/>
      <w:sz w:val="22"/>
      <w:szCs w:val="22"/>
      <w:vertAlign w:val="superscript"/>
    </w:rPr>
  </w:style>
  <w:style w:type="paragraph" w:styleId="Header">
    <w:name w:val="header"/>
    <w:basedOn w:val="Normal"/>
    <w:link w:val="HeaderChar"/>
    <w:uiPriority w:val="99"/>
    <w:rsid w:val="006A672B"/>
    <w:pPr>
      <w:tabs>
        <w:tab w:val="center" w:pos="4320"/>
        <w:tab w:val="right" w:pos="8640"/>
      </w:tabs>
    </w:pPr>
    <w:rPr>
      <w:caps/>
      <w:sz w:val="16"/>
      <w:szCs w:val="16"/>
    </w:rPr>
  </w:style>
  <w:style w:type="character" w:customStyle="1" w:styleId="HeaderChar">
    <w:name w:val="Header Char"/>
    <w:link w:val="Header"/>
    <w:uiPriority w:val="99"/>
    <w:rsid w:val="006A672B"/>
    <w:rPr>
      <w:rFonts w:ascii="Gill Sans MT" w:hAnsi="Gill Sans MT"/>
      <w:caps/>
      <w:sz w:val="16"/>
      <w:szCs w:val="16"/>
    </w:rPr>
  </w:style>
  <w:style w:type="paragraph" w:styleId="ListNumber">
    <w:name w:val="List Number"/>
    <w:basedOn w:val="Normal"/>
    <w:link w:val="ListNumberChar"/>
    <w:uiPriority w:val="99"/>
    <w:rsid w:val="00890B09"/>
    <w:pPr>
      <w:tabs>
        <w:tab w:val="num" w:pos="360"/>
      </w:tabs>
    </w:pPr>
  </w:style>
  <w:style w:type="paragraph" w:styleId="List">
    <w:name w:val="List"/>
    <w:basedOn w:val="Normal"/>
    <w:rsid w:val="00890B09"/>
    <w:pPr>
      <w:ind w:left="360" w:hanging="360"/>
    </w:pPr>
  </w:style>
  <w:style w:type="character" w:styleId="PageNumber">
    <w:name w:val="page number"/>
    <w:uiPriority w:val="99"/>
    <w:qFormat/>
    <w:rsid w:val="00D14AFA"/>
    <w:rPr>
      <w:rFonts w:ascii="Calibri" w:hAnsi="Calibri" w:cs="Calibri"/>
      <w:color w:val="595959" w:themeColor="text1" w:themeTint="A6"/>
      <w:sz w:val="24"/>
    </w:rPr>
  </w:style>
  <w:style w:type="paragraph" w:styleId="TableofFigures">
    <w:name w:val="table of figures"/>
    <w:basedOn w:val="Normal"/>
    <w:next w:val="Normal"/>
    <w:uiPriority w:val="99"/>
    <w:rsid w:val="00803B3F"/>
    <w:pPr>
      <w:ind w:left="440" w:hanging="440"/>
    </w:pPr>
  </w:style>
  <w:style w:type="paragraph" w:customStyle="1" w:styleId="2ParagraphHeadline">
    <w:name w:val="2 Paragraph Headline"/>
    <w:basedOn w:val="Normal"/>
    <w:link w:val="2ParagraphHeadlineChar"/>
    <w:qFormat/>
    <w:rsid w:val="005C475A"/>
    <w:rPr>
      <w:rFonts w:eastAsiaTheme="minorHAnsi"/>
      <w:b/>
      <w:bCs/>
      <w:color w:val="68BAD6"/>
      <w:szCs w:val="14"/>
    </w:rPr>
  </w:style>
  <w:style w:type="character" w:styleId="Hyperlink">
    <w:name w:val="Hyperlink"/>
    <w:uiPriority w:val="99"/>
    <w:rsid w:val="00890B09"/>
    <w:rPr>
      <w:rFonts w:ascii="Gill Sans MT" w:hAnsi="Gill Sans MT"/>
      <w:color w:val="auto"/>
      <w:sz w:val="22"/>
      <w:u w:val="single"/>
    </w:rPr>
  </w:style>
  <w:style w:type="paragraph" w:styleId="ListBullet">
    <w:name w:val="List Bullet"/>
    <w:basedOn w:val="Normal"/>
    <w:uiPriority w:val="99"/>
    <w:rsid w:val="00D234C8"/>
    <w:pPr>
      <w:numPr>
        <w:numId w:val="1"/>
      </w:numPr>
    </w:pPr>
  </w:style>
  <w:style w:type="paragraph" w:styleId="Caption">
    <w:name w:val="caption"/>
    <w:aliases w:val="Figure"/>
    <w:basedOn w:val="Normal"/>
    <w:next w:val="Normal"/>
    <w:link w:val="CaptionChar"/>
    <w:autoRedefine/>
    <w:uiPriority w:val="99"/>
    <w:qFormat/>
    <w:rsid w:val="009A2DC1"/>
    <w:pPr>
      <w:keepNext/>
      <w:numPr>
        <w:numId w:val="44"/>
      </w:numPr>
      <w:tabs>
        <w:tab w:val="left" w:pos="993"/>
      </w:tabs>
      <w:spacing w:line="276" w:lineRule="auto"/>
      <w:jc w:val="center"/>
    </w:pPr>
    <w:rPr>
      <w:rFonts w:asciiTheme="minorHAnsi" w:hAnsiTheme="minorHAnsi" w:cstheme="minorHAnsi"/>
      <w:b/>
      <w:lang w:val="en-GB"/>
    </w:rPr>
  </w:style>
  <w:style w:type="character" w:customStyle="1" w:styleId="2ParagraphHeadlineChar">
    <w:name w:val="2 Paragraph Headline Char"/>
    <w:basedOn w:val="DefaultParagraphFont"/>
    <w:link w:val="2ParagraphHeadline"/>
    <w:rsid w:val="005C475A"/>
    <w:rPr>
      <w:rFonts w:eastAsiaTheme="minorHAnsi"/>
      <w:b/>
      <w:bCs/>
      <w:color w:val="68BAD6"/>
      <w:szCs w:val="14"/>
    </w:rPr>
  </w:style>
  <w:style w:type="paragraph" w:customStyle="1" w:styleId="MediumGrid21">
    <w:name w:val="Medium Grid 21"/>
    <w:link w:val="MediumGrid2Char"/>
    <w:uiPriority w:val="1"/>
    <w:qFormat/>
    <w:rsid w:val="0027184C"/>
    <w:rPr>
      <w:rFonts w:ascii="Gill Sans MT" w:hAnsi="Gill Sans MT"/>
      <w:szCs w:val="24"/>
    </w:rPr>
  </w:style>
  <w:style w:type="character" w:customStyle="1" w:styleId="MediumGrid2Char">
    <w:name w:val="Medium Grid 2 Char"/>
    <w:link w:val="MediumGrid21"/>
    <w:uiPriority w:val="1"/>
    <w:rsid w:val="00A04901"/>
    <w:rPr>
      <w:rFonts w:ascii="Gill Sans MT" w:hAnsi="Gill Sans MT"/>
      <w:sz w:val="22"/>
      <w:szCs w:val="24"/>
      <w:lang w:val="en-US" w:eastAsia="en-US" w:bidi="ar-SA"/>
    </w:rPr>
  </w:style>
  <w:style w:type="paragraph" w:styleId="TOCHeading">
    <w:name w:val="TOC Heading"/>
    <w:basedOn w:val="Heading1"/>
    <w:next w:val="Normal"/>
    <w:uiPriority w:val="39"/>
    <w:unhideWhenUsed/>
    <w:qFormat/>
    <w:rsid w:val="00F816BB"/>
    <w:pPr>
      <w:keepLines/>
      <w:spacing w:before="480" w:line="276" w:lineRule="auto"/>
      <w:ind w:left="0" w:firstLine="0"/>
      <w:outlineLvl w:val="9"/>
    </w:pPr>
    <w:rPr>
      <w:rFonts w:asciiTheme="majorHAnsi" w:eastAsiaTheme="majorEastAsia" w:hAnsiTheme="majorHAnsi" w:cstheme="majorBidi"/>
      <w:b/>
      <w:color w:val="365F91" w:themeColor="accent1" w:themeShade="BF"/>
      <w:kern w:val="0"/>
      <w:sz w:val="28"/>
      <w:szCs w:val="28"/>
      <w:lang w:eastAsia="ja-JP"/>
    </w:rPr>
  </w:style>
  <w:style w:type="paragraph" w:styleId="FootnoteText">
    <w:name w:val="footnote text"/>
    <w:aliases w:val="FOOTNOTES,fn,single space,footnote text,Footnote Text Char Char,Footnote Text Char Char Char Char,Footnote Text Char Char Char Char Char Char Char Char,Footnote Text Char Char Char Char Char Char Char"/>
    <w:basedOn w:val="Normal"/>
    <w:link w:val="FootnoteTextChar"/>
    <w:uiPriority w:val="99"/>
    <w:rsid w:val="005D7550"/>
    <w:rPr>
      <w:sz w:val="20"/>
    </w:rPr>
  </w:style>
  <w:style w:type="paragraph" w:styleId="TOC1">
    <w:name w:val="toc 1"/>
    <w:basedOn w:val="Normal"/>
    <w:next w:val="Normal"/>
    <w:autoRedefine/>
    <w:uiPriority w:val="39"/>
    <w:qFormat/>
    <w:rsid w:val="006F6337"/>
    <w:pPr>
      <w:tabs>
        <w:tab w:val="left" w:pos="720"/>
        <w:tab w:val="right" w:pos="9000"/>
      </w:tabs>
      <w:spacing w:before="240" w:after="240"/>
      <w:ind w:left="720" w:hanging="720"/>
    </w:pPr>
    <w:rPr>
      <w:rFonts w:asciiTheme="majorHAnsi" w:hAnsiTheme="majorHAnsi" w:cstheme="minorHAnsi"/>
      <w:b/>
      <w:bCs/>
      <w:caps/>
      <w:noProof/>
      <w:color w:val="003880"/>
      <w:sz w:val="20"/>
      <w:szCs w:val="24"/>
    </w:rPr>
  </w:style>
  <w:style w:type="paragraph" w:styleId="TOC2">
    <w:name w:val="toc 2"/>
    <w:basedOn w:val="Normal"/>
    <w:next w:val="Normal"/>
    <w:autoRedefine/>
    <w:uiPriority w:val="39"/>
    <w:qFormat/>
    <w:rsid w:val="00BA3B26"/>
    <w:pPr>
      <w:tabs>
        <w:tab w:val="left" w:pos="720"/>
        <w:tab w:val="right" w:pos="9000"/>
      </w:tabs>
      <w:spacing w:before="40" w:after="40"/>
    </w:pPr>
    <w:rPr>
      <w:rFonts w:asciiTheme="minorHAnsi" w:hAnsiTheme="minorHAnsi" w:cstheme="minorHAnsi"/>
      <w:b/>
      <w:bCs/>
      <w:sz w:val="20"/>
    </w:rPr>
  </w:style>
  <w:style w:type="paragraph" w:styleId="TOC3">
    <w:name w:val="toc 3"/>
    <w:basedOn w:val="Normal"/>
    <w:next w:val="Normal"/>
    <w:autoRedefine/>
    <w:uiPriority w:val="39"/>
    <w:qFormat/>
    <w:rsid w:val="00C820A7"/>
    <w:pPr>
      <w:tabs>
        <w:tab w:val="left" w:pos="720"/>
        <w:tab w:val="right" w:pos="9000"/>
      </w:tabs>
    </w:pPr>
    <w:rPr>
      <w:rFonts w:asciiTheme="minorHAnsi" w:hAnsiTheme="minorHAnsi" w:cstheme="minorHAnsi"/>
      <w:sz w:val="20"/>
    </w:rPr>
  </w:style>
  <w:style w:type="paragraph" w:styleId="TOC4">
    <w:name w:val="toc 4"/>
    <w:basedOn w:val="Normal"/>
    <w:next w:val="Normal"/>
    <w:autoRedefine/>
    <w:uiPriority w:val="99"/>
    <w:rsid w:val="00C86DEB"/>
    <w:pPr>
      <w:ind w:left="440"/>
    </w:pPr>
    <w:rPr>
      <w:rFonts w:asciiTheme="minorHAnsi" w:hAnsiTheme="minorHAnsi" w:cstheme="minorHAnsi"/>
      <w:sz w:val="20"/>
    </w:rPr>
  </w:style>
  <w:style w:type="paragraph" w:styleId="TOC5">
    <w:name w:val="toc 5"/>
    <w:basedOn w:val="Normal"/>
    <w:next w:val="Normal"/>
    <w:autoRedefine/>
    <w:uiPriority w:val="99"/>
    <w:rsid w:val="00C86DEB"/>
    <w:pPr>
      <w:ind w:left="660"/>
    </w:pPr>
    <w:rPr>
      <w:rFonts w:asciiTheme="minorHAnsi" w:hAnsiTheme="minorHAnsi" w:cstheme="minorHAnsi"/>
      <w:sz w:val="20"/>
    </w:rPr>
  </w:style>
  <w:style w:type="paragraph" w:styleId="TOC6">
    <w:name w:val="toc 6"/>
    <w:basedOn w:val="Normal"/>
    <w:next w:val="Normal"/>
    <w:autoRedefine/>
    <w:uiPriority w:val="99"/>
    <w:rsid w:val="00C86DEB"/>
    <w:pPr>
      <w:ind w:left="880"/>
    </w:pPr>
    <w:rPr>
      <w:rFonts w:asciiTheme="minorHAnsi" w:hAnsiTheme="minorHAnsi" w:cstheme="minorHAnsi"/>
      <w:sz w:val="20"/>
    </w:rPr>
  </w:style>
  <w:style w:type="paragraph" w:styleId="TOC7">
    <w:name w:val="toc 7"/>
    <w:basedOn w:val="Normal"/>
    <w:next w:val="Normal"/>
    <w:autoRedefine/>
    <w:uiPriority w:val="99"/>
    <w:rsid w:val="00C86DEB"/>
    <w:pPr>
      <w:ind w:left="1100"/>
    </w:pPr>
    <w:rPr>
      <w:rFonts w:asciiTheme="minorHAnsi" w:hAnsiTheme="minorHAnsi" w:cstheme="minorHAnsi"/>
      <w:sz w:val="20"/>
    </w:rPr>
  </w:style>
  <w:style w:type="paragraph" w:styleId="TOC8">
    <w:name w:val="toc 8"/>
    <w:basedOn w:val="Normal"/>
    <w:next w:val="Normal"/>
    <w:autoRedefine/>
    <w:uiPriority w:val="99"/>
    <w:rsid w:val="00C86DEB"/>
    <w:pPr>
      <w:ind w:left="1320"/>
    </w:pPr>
    <w:rPr>
      <w:rFonts w:asciiTheme="minorHAnsi" w:hAnsiTheme="minorHAnsi" w:cstheme="minorHAnsi"/>
      <w:sz w:val="20"/>
    </w:rPr>
  </w:style>
  <w:style w:type="paragraph" w:styleId="TOC9">
    <w:name w:val="toc 9"/>
    <w:basedOn w:val="Normal"/>
    <w:next w:val="Normal"/>
    <w:autoRedefine/>
    <w:uiPriority w:val="99"/>
    <w:rsid w:val="00C86DEB"/>
    <w:pPr>
      <w:ind w:left="1540"/>
    </w:pPr>
    <w:rPr>
      <w:rFonts w:asciiTheme="minorHAnsi" w:hAnsiTheme="minorHAnsi" w:cstheme="minorHAnsi"/>
      <w:sz w:val="20"/>
    </w:rPr>
  </w:style>
  <w:style w:type="paragraph" w:styleId="Title">
    <w:name w:val="Title"/>
    <w:basedOn w:val="Normal"/>
    <w:link w:val="TitleChar"/>
    <w:uiPriority w:val="99"/>
    <w:qFormat/>
    <w:rsid w:val="00643C39"/>
    <w:pPr>
      <w:spacing w:before="240" w:after="60"/>
      <w:ind w:left="1267"/>
      <w:outlineLvl w:val="0"/>
    </w:pPr>
    <w:rPr>
      <w:rFonts w:cs="Arial"/>
      <w:bCs/>
      <w:caps/>
      <w:kern w:val="28"/>
      <w:sz w:val="80"/>
      <w:szCs w:val="80"/>
    </w:rPr>
  </w:style>
  <w:style w:type="paragraph" w:customStyle="1" w:styleId="Disclaimer">
    <w:name w:val="Disclaimer"/>
    <w:basedOn w:val="Normal"/>
    <w:rsid w:val="00300CA5"/>
    <w:pPr>
      <w:spacing w:after="160" w:line="280" w:lineRule="exact"/>
      <w:ind w:left="1080" w:right="1080"/>
    </w:pPr>
    <w:rPr>
      <w:rFonts w:ascii="Arial" w:hAnsi="Arial" w:cs="Arial"/>
      <w:color w:val="FFFFFF"/>
    </w:rPr>
  </w:style>
  <w:style w:type="paragraph" w:customStyle="1" w:styleId="Disclaimer--MONTHYEAR">
    <w:name w:val="Disclaimer--MONTH YEAR"/>
    <w:basedOn w:val="Disclaimer"/>
    <w:rsid w:val="00300CA5"/>
    <w:pPr>
      <w:spacing w:after="240"/>
    </w:pPr>
    <w:rPr>
      <w:rFonts w:ascii="Arial Bold" w:hAnsi="Arial Bold"/>
      <w:b/>
      <w:caps/>
    </w:rPr>
  </w:style>
  <w:style w:type="paragraph" w:styleId="Subtitle">
    <w:name w:val="Subtitle"/>
    <w:basedOn w:val="Normal"/>
    <w:link w:val="SubtitleChar"/>
    <w:autoRedefine/>
    <w:uiPriority w:val="99"/>
    <w:qFormat/>
    <w:rsid w:val="00643C39"/>
    <w:pPr>
      <w:spacing w:after="60"/>
      <w:ind w:left="1267"/>
      <w:outlineLvl w:val="1"/>
    </w:pPr>
    <w:rPr>
      <w:rFonts w:cs="Arial"/>
      <w:caps/>
      <w:sz w:val="32"/>
      <w:szCs w:val="32"/>
    </w:rPr>
  </w:style>
  <w:style w:type="table" w:styleId="TableGrid">
    <w:name w:val="Table Grid"/>
    <w:basedOn w:val="TableNormal"/>
    <w:uiPriority w:val="99"/>
    <w:rsid w:val="0077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dul">
    <w:name w:val="Judul"/>
    <w:basedOn w:val="Normal"/>
    <w:link w:val="JudulChar"/>
    <w:rsid w:val="00E30A5B"/>
    <w:pPr>
      <w:spacing w:before="240"/>
    </w:pPr>
    <w:rPr>
      <w:b/>
    </w:rPr>
  </w:style>
  <w:style w:type="character" w:customStyle="1" w:styleId="JudulChar">
    <w:name w:val="Judul Char"/>
    <w:link w:val="Judul"/>
    <w:rsid w:val="00E30A5B"/>
    <w:rPr>
      <w:rFonts w:ascii="Gill Sans MT" w:hAnsi="Gill Sans MT"/>
      <w:b/>
      <w:sz w:val="22"/>
      <w:szCs w:val="22"/>
      <w:lang w:val="en-US" w:eastAsia="en-US" w:bidi="ar-SA"/>
    </w:rPr>
  </w:style>
  <w:style w:type="paragraph" w:customStyle="1" w:styleId="ColorfulList-Accent11">
    <w:name w:val="Colorful List - Accent 11"/>
    <w:basedOn w:val="Normal"/>
    <w:uiPriority w:val="34"/>
    <w:qFormat/>
    <w:rsid w:val="00643C39"/>
    <w:pPr>
      <w:ind w:left="720"/>
      <w:contextualSpacing/>
    </w:pPr>
    <w:rPr>
      <w:rFonts w:eastAsia="Calibri"/>
    </w:rPr>
  </w:style>
  <w:style w:type="paragraph" w:customStyle="1" w:styleId="FigureTitle">
    <w:name w:val="Figure Title"/>
    <w:basedOn w:val="Normal"/>
    <w:next w:val="Normal"/>
    <w:rsid w:val="00B96BED"/>
    <w:pPr>
      <w:spacing w:before="160"/>
    </w:pPr>
    <w:rPr>
      <w:rFonts w:ascii="HelveticaNeueLT Std" w:hAnsi="HelveticaNeueLT Std"/>
      <w:b/>
      <w:caps/>
      <w:color w:val="6C4713"/>
      <w:sz w:val="18"/>
      <w:szCs w:val="18"/>
    </w:rPr>
  </w:style>
  <w:style w:type="paragraph" w:customStyle="1" w:styleId="TableText">
    <w:name w:val="Table Text"/>
    <w:aliases w:val="tt,table text,table titles,Table Titles,table title,tx,t,TableText"/>
    <w:basedOn w:val="Normal"/>
    <w:link w:val="TableTextChar"/>
    <w:uiPriority w:val="99"/>
    <w:rsid w:val="00623899"/>
    <w:rPr>
      <w:rFonts w:ascii="HelveticaNeueLT Std" w:eastAsia="MinioMM_485 SB 585 NO 11 OP" w:hAnsi="HelveticaNeueLT Std"/>
      <w:color w:val="6C4713"/>
      <w:sz w:val="18"/>
      <w:szCs w:val="18"/>
    </w:rPr>
  </w:style>
  <w:style w:type="character" w:customStyle="1" w:styleId="TableTextChar">
    <w:name w:val="Table Text Char"/>
    <w:aliases w:val="tt Char,table text Char,table titles Char,Table Titles Char,table title Char,tx Char,t Char,TableText Char"/>
    <w:link w:val="TableText"/>
    <w:uiPriority w:val="99"/>
    <w:rsid w:val="00623899"/>
    <w:rPr>
      <w:rFonts w:ascii="HelveticaNeueLT Std" w:eastAsia="MinioMM_485 SB 585 NO 11 OP" w:hAnsi="HelveticaNeueLT Std"/>
      <w:color w:val="6C4713"/>
      <w:sz w:val="18"/>
      <w:szCs w:val="18"/>
    </w:rPr>
  </w:style>
  <w:style w:type="paragraph" w:customStyle="1" w:styleId="Bullet1">
    <w:name w:val="Bullet 1"/>
    <w:basedOn w:val="Normal"/>
    <w:rsid w:val="00623899"/>
    <w:pPr>
      <w:numPr>
        <w:numId w:val="2"/>
      </w:numPr>
    </w:pPr>
    <w:rPr>
      <w:rFonts w:ascii="Times New Roman" w:eastAsia="MinioMM_485 SB 585 NO 11 OP" w:hAnsi="Times New Roman"/>
      <w:sz w:val="24"/>
    </w:rPr>
  </w:style>
  <w:style w:type="paragraph" w:customStyle="1" w:styleId="Bullet1-Last">
    <w:name w:val="Bullet 1 - Last"/>
    <w:basedOn w:val="Bullet1"/>
    <w:rsid w:val="00643C39"/>
    <w:pPr>
      <w:numPr>
        <w:numId w:val="0"/>
      </w:numPr>
    </w:pPr>
  </w:style>
  <w:style w:type="paragraph" w:customStyle="1" w:styleId="TableTitle">
    <w:name w:val="Table Title"/>
    <w:basedOn w:val="Normal"/>
    <w:rsid w:val="00623899"/>
    <w:pPr>
      <w:spacing w:before="160"/>
    </w:pPr>
    <w:rPr>
      <w:rFonts w:ascii="HelveticaNeueLT Std" w:hAnsi="HelveticaNeueLT Std"/>
      <w:b/>
      <w:caps/>
      <w:color w:val="6C4713"/>
      <w:sz w:val="18"/>
      <w:szCs w:val="18"/>
    </w:rPr>
  </w:style>
  <w:style w:type="character" w:styleId="CommentReference">
    <w:name w:val="annotation reference"/>
    <w:uiPriority w:val="99"/>
    <w:unhideWhenUsed/>
    <w:rsid w:val="00623899"/>
    <w:rPr>
      <w:sz w:val="16"/>
      <w:szCs w:val="16"/>
    </w:rPr>
  </w:style>
  <w:style w:type="paragraph" w:styleId="CommentText">
    <w:name w:val="annotation text"/>
    <w:basedOn w:val="Normal"/>
    <w:link w:val="CommentTextChar"/>
    <w:uiPriority w:val="99"/>
    <w:unhideWhenUsed/>
    <w:rsid w:val="00623899"/>
    <w:rPr>
      <w:sz w:val="20"/>
    </w:rPr>
  </w:style>
  <w:style w:type="character" w:customStyle="1" w:styleId="CommentTextChar">
    <w:name w:val="Comment Text Char"/>
    <w:link w:val="CommentText"/>
    <w:uiPriority w:val="99"/>
    <w:rsid w:val="00623899"/>
    <w:rPr>
      <w:rFonts w:ascii="Gill Sans MT" w:hAnsi="Gill Sans MT"/>
    </w:rPr>
  </w:style>
  <w:style w:type="paragraph" w:styleId="BalloonText">
    <w:name w:val="Balloon Text"/>
    <w:basedOn w:val="Normal"/>
    <w:link w:val="BalloonTextChar"/>
    <w:uiPriority w:val="99"/>
    <w:unhideWhenUsed/>
    <w:rsid w:val="00623899"/>
    <w:rPr>
      <w:rFonts w:ascii="Tahoma" w:hAnsi="Tahoma" w:cs="Tahoma"/>
      <w:sz w:val="16"/>
      <w:szCs w:val="16"/>
    </w:rPr>
  </w:style>
  <w:style w:type="character" w:customStyle="1" w:styleId="BalloonTextChar">
    <w:name w:val="Balloon Text Char"/>
    <w:link w:val="BalloonText"/>
    <w:uiPriority w:val="99"/>
    <w:rsid w:val="00623899"/>
    <w:rPr>
      <w:rFonts w:ascii="Tahoma" w:hAnsi="Tahoma" w:cs="Tahoma"/>
      <w:sz w:val="16"/>
      <w:szCs w:val="16"/>
    </w:rPr>
  </w:style>
  <w:style w:type="paragraph" w:styleId="PlainText">
    <w:name w:val="Plain Text"/>
    <w:basedOn w:val="Normal"/>
    <w:link w:val="PlainTextChar"/>
    <w:rsid w:val="00BC3A57"/>
    <w:rPr>
      <w:rFonts w:ascii="Times New Roman" w:hAnsi="Times New Roman"/>
      <w:sz w:val="20"/>
    </w:rPr>
  </w:style>
  <w:style w:type="character" w:customStyle="1" w:styleId="PlainTextChar">
    <w:name w:val="Plain Text Char"/>
    <w:basedOn w:val="DefaultParagraphFont"/>
    <w:link w:val="PlainText"/>
    <w:rsid w:val="00BC3A57"/>
  </w:style>
  <w:style w:type="paragraph" w:styleId="BodyTextIndent">
    <w:name w:val="Body Text Indent"/>
    <w:basedOn w:val="Normal"/>
    <w:link w:val="BodyTextIndentChar"/>
    <w:rsid w:val="00A165E9"/>
    <w:pPr>
      <w:ind w:left="1440"/>
    </w:pPr>
    <w:rPr>
      <w:rFonts w:ascii="Gill Sans" w:hAnsi="Gill Sans"/>
      <w:sz w:val="24"/>
    </w:rPr>
  </w:style>
  <w:style w:type="character" w:customStyle="1" w:styleId="BodyTextIndentChar">
    <w:name w:val="Body Text Indent Char"/>
    <w:link w:val="BodyTextIndent"/>
    <w:rsid w:val="00A165E9"/>
    <w:rPr>
      <w:rFonts w:ascii="Gill Sans" w:hAnsi="Gill Sans"/>
      <w:sz w:val="24"/>
      <w:szCs w:val="24"/>
    </w:rPr>
  </w:style>
  <w:style w:type="character" w:customStyle="1" w:styleId="hps">
    <w:name w:val="hps"/>
    <w:basedOn w:val="DefaultParagraphFont"/>
    <w:rsid w:val="00A165E9"/>
  </w:style>
  <w:style w:type="character" w:customStyle="1" w:styleId="shorttext">
    <w:name w:val="short_text"/>
    <w:basedOn w:val="DefaultParagraphFont"/>
    <w:rsid w:val="00A165E9"/>
  </w:style>
  <w:style w:type="paragraph" w:styleId="DocumentMap">
    <w:name w:val="Document Map"/>
    <w:basedOn w:val="Normal"/>
    <w:link w:val="DocumentMapChar"/>
    <w:rsid w:val="00872520"/>
    <w:rPr>
      <w:rFonts w:ascii="Tahoma" w:hAnsi="Tahoma" w:cs="Tahoma"/>
      <w:sz w:val="16"/>
      <w:szCs w:val="16"/>
    </w:rPr>
  </w:style>
  <w:style w:type="character" w:customStyle="1" w:styleId="DocumentMapChar">
    <w:name w:val="Document Map Char"/>
    <w:link w:val="DocumentMap"/>
    <w:rsid w:val="00872520"/>
    <w:rPr>
      <w:rFonts w:ascii="Tahoma" w:hAnsi="Tahoma" w:cs="Tahoma"/>
      <w:sz w:val="16"/>
      <w:szCs w:val="16"/>
    </w:rPr>
  </w:style>
  <w:style w:type="paragraph" w:customStyle="1" w:styleId="Default">
    <w:name w:val="Default"/>
    <w:rsid w:val="00544C24"/>
    <w:pPr>
      <w:autoSpaceDE w:val="0"/>
      <w:autoSpaceDN w:val="0"/>
      <w:adjustRightInd w:val="0"/>
    </w:pPr>
    <w:rPr>
      <w:rFonts w:eastAsia="Calibri"/>
      <w:color w:val="000000"/>
      <w:sz w:val="24"/>
      <w:szCs w:val="24"/>
    </w:rPr>
  </w:style>
  <w:style w:type="paragraph" w:styleId="BodyText">
    <w:name w:val="Body Text"/>
    <w:basedOn w:val="Normal"/>
    <w:link w:val="BodyTextChar"/>
    <w:uiPriority w:val="99"/>
    <w:rsid w:val="00B8605F"/>
    <w:rPr>
      <w:lang w:val="en-AU"/>
    </w:rPr>
  </w:style>
  <w:style w:type="character" w:customStyle="1" w:styleId="BodyTextChar">
    <w:name w:val="Body Text Char"/>
    <w:link w:val="BodyText"/>
    <w:uiPriority w:val="99"/>
    <w:rsid w:val="00B8605F"/>
    <w:rPr>
      <w:lang w:val="en-AU"/>
    </w:rPr>
  </w:style>
  <w:style w:type="paragraph" w:customStyle="1" w:styleId="PhotoCredit">
    <w:name w:val="Photo Credit"/>
    <w:basedOn w:val="MediumGrid21"/>
    <w:link w:val="PhotoCreditChar"/>
    <w:qFormat/>
    <w:rsid w:val="007018F4"/>
    <w:pPr>
      <w:spacing w:before="40" w:after="120"/>
      <w:ind w:right="43"/>
      <w:jc w:val="right"/>
    </w:pPr>
    <w:rPr>
      <w:sz w:val="16"/>
      <w:szCs w:val="16"/>
    </w:rPr>
  </w:style>
  <w:style w:type="character" w:customStyle="1" w:styleId="PhotoCreditChar">
    <w:name w:val="Photo Credit Char"/>
    <w:link w:val="PhotoCredit"/>
    <w:rsid w:val="007018F4"/>
    <w:rPr>
      <w:rFonts w:ascii="Gill Sans MT" w:hAnsi="Gill Sans MT"/>
      <w:sz w:val="16"/>
      <w:szCs w:val="16"/>
      <w:lang w:val="en-US" w:eastAsia="en-US" w:bidi="ar-SA"/>
    </w:rPr>
  </w:style>
  <w:style w:type="character" w:styleId="FollowedHyperlink">
    <w:name w:val="FollowedHyperlink"/>
    <w:uiPriority w:val="99"/>
    <w:rsid w:val="00263712"/>
    <w:rPr>
      <w:color w:val="800080"/>
      <w:u w:val="single"/>
    </w:rPr>
  </w:style>
  <w:style w:type="paragraph" w:styleId="CommentSubject">
    <w:name w:val="annotation subject"/>
    <w:basedOn w:val="CommentText"/>
    <w:next w:val="CommentText"/>
    <w:link w:val="CommentSubjectChar"/>
    <w:uiPriority w:val="99"/>
    <w:rsid w:val="000B7B10"/>
    <w:rPr>
      <w:b/>
      <w:bCs/>
    </w:rPr>
  </w:style>
  <w:style w:type="character" w:customStyle="1" w:styleId="CommentSubjectChar">
    <w:name w:val="Comment Subject Char"/>
    <w:link w:val="CommentSubject"/>
    <w:uiPriority w:val="99"/>
    <w:rsid w:val="000B7B10"/>
    <w:rPr>
      <w:rFonts w:ascii="Gill Sans MT" w:hAnsi="Gill Sans MT"/>
      <w:b/>
      <w:bCs/>
    </w:rPr>
  </w:style>
  <w:style w:type="paragraph" w:customStyle="1" w:styleId="ColorfulShading-Accent11">
    <w:name w:val="Colorful Shading - Accent 11"/>
    <w:hidden/>
    <w:uiPriority w:val="99"/>
    <w:semiHidden/>
    <w:rsid w:val="00854F96"/>
    <w:rPr>
      <w:rFonts w:ascii="Gill Sans MT" w:hAnsi="Gill Sans MT"/>
      <w:szCs w:val="24"/>
    </w:rPr>
  </w:style>
  <w:style w:type="character" w:customStyle="1" w:styleId="longtext">
    <w:name w:val="long_text"/>
    <w:rsid w:val="006C0D80"/>
  </w:style>
  <w:style w:type="paragraph" w:customStyle="1" w:styleId="ColorfulList-Accent12">
    <w:name w:val="Colorful List - Accent 12"/>
    <w:aliases w:val="First Level Outline,Colorful List - Accent 121"/>
    <w:basedOn w:val="Normal"/>
    <w:link w:val="ColorfulList-Accent1Char1"/>
    <w:uiPriority w:val="34"/>
    <w:qFormat/>
    <w:rsid w:val="00B422A2"/>
    <w:pPr>
      <w:spacing w:after="200" w:line="276" w:lineRule="auto"/>
      <w:ind w:left="720"/>
      <w:contextualSpacing/>
    </w:pPr>
    <w:rPr>
      <w:rFonts w:eastAsia="Calibri"/>
    </w:rPr>
  </w:style>
  <w:style w:type="character" w:customStyle="1" w:styleId="ColorfulList-Accent1Char1">
    <w:name w:val="Colorful List - Accent 1 Char1"/>
    <w:aliases w:val="First Level Outline Char"/>
    <w:link w:val="ColorfulList-Accent12"/>
    <w:uiPriority w:val="34"/>
    <w:locked/>
    <w:rsid w:val="00B47235"/>
    <w:rPr>
      <w:rFonts w:ascii="Calibri" w:eastAsia="Calibri" w:hAnsi="Calibri"/>
      <w:sz w:val="22"/>
      <w:szCs w:val="22"/>
    </w:rPr>
  </w:style>
  <w:style w:type="paragraph" w:customStyle="1" w:styleId="NoSpacing1">
    <w:name w:val="No Spacing1"/>
    <w:link w:val="NoSpacingChar"/>
    <w:uiPriority w:val="1"/>
    <w:qFormat/>
    <w:rsid w:val="00526ECC"/>
    <w:rPr>
      <w:rFonts w:ascii="Gill Sans MT" w:hAnsi="Gill Sans MT"/>
      <w:szCs w:val="24"/>
    </w:rPr>
  </w:style>
  <w:style w:type="character" w:customStyle="1" w:styleId="NoSpacingChar">
    <w:name w:val="No Spacing Char"/>
    <w:link w:val="NoSpacing1"/>
    <w:uiPriority w:val="99"/>
    <w:rsid w:val="00526ECC"/>
    <w:rPr>
      <w:rFonts w:ascii="Gill Sans MT" w:hAnsi="Gill Sans MT"/>
      <w:szCs w:val="24"/>
    </w:rPr>
  </w:style>
  <w:style w:type="character" w:styleId="Emphasis">
    <w:name w:val="Emphasis"/>
    <w:uiPriority w:val="99"/>
    <w:qFormat/>
    <w:rsid w:val="005B5083"/>
    <w:rPr>
      <w:i/>
      <w:iCs/>
    </w:rPr>
  </w:style>
  <w:style w:type="character" w:customStyle="1" w:styleId="st">
    <w:name w:val="st"/>
    <w:rsid w:val="0029188D"/>
  </w:style>
  <w:style w:type="character" w:styleId="Strong">
    <w:name w:val="Strong"/>
    <w:uiPriority w:val="99"/>
    <w:qFormat/>
    <w:rsid w:val="00D6735E"/>
    <w:rPr>
      <w:b/>
      <w:bCs/>
    </w:rPr>
  </w:style>
  <w:style w:type="paragraph" w:customStyle="1" w:styleId="xl66">
    <w:name w:val="xl66"/>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rPr>
  </w:style>
  <w:style w:type="paragraph" w:customStyle="1" w:styleId="xl67">
    <w:name w:val="xl67"/>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68">
    <w:name w:val="xl68"/>
    <w:basedOn w:val="Normal"/>
    <w:rsid w:val="008516CD"/>
    <w:pPr>
      <w:pBdr>
        <w:top w:val="single" w:sz="4" w:space="0" w:color="auto"/>
        <w:left w:val="single" w:sz="4" w:space="0" w:color="auto"/>
        <w:bottom w:val="single" w:sz="4" w:space="0" w:color="auto"/>
      </w:pBdr>
      <w:shd w:val="clear" w:color="000000" w:fill="A6A6A6"/>
      <w:spacing w:before="100" w:beforeAutospacing="1" w:after="100" w:afterAutospacing="1"/>
      <w:textAlignment w:val="center"/>
    </w:pPr>
    <w:rPr>
      <w:b/>
      <w:bCs/>
      <w:sz w:val="20"/>
    </w:rPr>
  </w:style>
  <w:style w:type="paragraph" w:customStyle="1" w:styleId="xl69">
    <w:name w:val="xl69"/>
    <w:basedOn w:val="Normal"/>
    <w:rsid w:val="008516CD"/>
    <w:pPr>
      <w:pBdr>
        <w:top w:val="single" w:sz="4" w:space="0" w:color="auto"/>
        <w:bottom w:val="single" w:sz="4" w:space="0" w:color="auto"/>
      </w:pBdr>
      <w:shd w:val="clear" w:color="000000" w:fill="A6A6A6"/>
      <w:spacing w:before="100" w:beforeAutospacing="1" w:after="100" w:afterAutospacing="1"/>
      <w:textAlignment w:val="center"/>
    </w:pPr>
    <w:rPr>
      <w:b/>
      <w:bCs/>
      <w:sz w:val="20"/>
    </w:rPr>
  </w:style>
  <w:style w:type="paragraph" w:customStyle="1" w:styleId="xl70">
    <w:name w:val="xl70"/>
    <w:basedOn w:val="Normal"/>
    <w:rsid w:val="008516CD"/>
    <w:pPr>
      <w:pBdr>
        <w:top w:val="single" w:sz="4" w:space="0" w:color="auto"/>
        <w:bottom w:val="single" w:sz="4" w:space="0" w:color="auto"/>
      </w:pBdr>
      <w:shd w:val="clear" w:color="000000" w:fill="A6A6A6"/>
      <w:spacing w:before="100" w:beforeAutospacing="1" w:after="100" w:afterAutospacing="1"/>
      <w:textAlignment w:val="center"/>
    </w:pPr>
    <w:rPr>
      <w:sz w:val="20"/>
    </w:rPr>
  </w:style>
  <w:style w:type="paragraph" w:customStyle="1" w:styleId="xl71">
    <w:name w:val="xl71"/>
    <w:basedOn w:val="Normal"/>
    <w:rsid w:val="008516C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rPr>
  </w:style>
  <w:style w:type="paragraph" w:customStyle="1" w:styleId="xl72">
    <w:name w:val="xl72"/>
    <w:basedOn w:val="Normal"/>
    <w:rsid w:val="008516C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rPr>
  </w:style>
  <w:style w:type="paragraph" w:customStyle="1" w:styleId="xl73">
    <w:name w:val="xl73"/>
    <w:basedOn w:val="Normal"/>
    <w:rsid w:val="008516CD"/>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b/>
      <w:bCs/>
      <w:sz w:val="20"/>
    </w:rPr>
  </w:style>
  <w:style w:type="paragraph" w:customStyle="1" w:styleId="xl74">
    <w:name w:val="xl74"/>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5">
    <w:name w:val="xl75"/>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6">
    <w:name w:val="xl76"/>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7">
    <w:name w:val="xl77"/>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8">
    <w:name w:val="xl78"/>
    <w:basedOn w:val="Normal"/>
    <w:rsid w:val="008516CD"/>
    <w:pPr>
      <w:spacing w:before="100" w:beforeAutospacing="1" w:after="100" w:afterAutospacing="1"/>
    </w:pPr>
    <w:rPr>
      <w:sz w:val="20"/>
    </w:rPr>
  </w:style>
  <w:style w:type="paragraph" w:customStyle="1" w:styleId="xl79">
    <w:name w:val="xl79"/>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80">
    <w:name w:val="xl80"/>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1">
    <w:name w:val="xl81"/>
    <w:basedOn w:val="Normal"/>
    <w:rsid w:val="008516CD"/>
    <w:pPr>
      <w:spacing w:before="100" w:beforeAutospacing="1" w:after="100" w:afterAutospacing="1"/>
    </w:pPr>
    <w:rPr>
      <w:sz w:val="24"/>
    </w:rPr>
  </w:style>
  <w:style w:type="paragraph" w:customStyle="1" w:styleId="xl82">
    <w:name w:val="xl82"/>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3">
    <w:name w:val="xl83"/>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4">
    <w:name w:val="xl84"/>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5">
    <w:name w:val="xl85"/>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6">
    <w:name w:val="xl86"/>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sz w:val="20"/>
    </w:rPr>
  </w:style>
  <w:style w:type="paragraph" w:customStyle="1" w:styleId="xl87">
    <w:name w:val="xl87"/>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88">
    <w:name w:val="xl88"/>
    <w:basedOn w:val="Normal"/>
    <w:rsid w:val="008516C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89">
    <w:name w:val="xl89"/>
    <w:basedOn w:val="Normal"/>
    <w:rsid w:val="008516CD"/>
    <w:pPr>
      <w:pBdr>
        <w:top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0">
    <w:name w:val="xl90"/>
    <w:basedOn w:val="Normal"/>
    <w:rsid w:val="008516C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1">
    <w:name w:val="xl91"/>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3">
    <w:name w:val="xl93"/>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4">
    <w:name w:val="xl94"/>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5">
    <w:name w:val="xl95"/>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6">
    <w:name w:val="xl96"/>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7">
    <w:name w:val="xl97"/>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8">
    <w:name w:val="xl98"/>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9">
    <w:name w:val="xl99"/>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00">
    <w:name w:val="xl100"/>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01">
    <w:name w:val="xl101"/>
    <w:basedOn w:val="Normal"/>
    <w:rsid w:val="008516CD"/>
    <w:pPr>
      <w:pBdr>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02">
    <w:name w:val="xl102"/>
    <w:basedOn w:val="Normal"/>
    <w:rsid w:val="008516CD"/>
    <w:pPr>
      <w:pBdr>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03">
    <w:name w:val="xl103"/>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04">
    <w:name w:val="xl104"/>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sz w:val="20"/>
    </w:rPr>
  </w:style>
  <w:style w:type="paragraph" w:styleId="NormalWeb">
    <w:name w:val="Normal (Web)"/>
    <w:basedOn w:val="Normal"/>
    <w:uiPriority w:val="99"/>
    <w:unhideWhenUsed/>
    <w:rsid w:val="00AB5526"/>
    <w:pPr>
      <w:spacing w:before="100" w:beforeAutospacing="1" w:after="100" w:afterAutospacing="1"/>
    </w:pPr>
    <w:rPr>
      <w:rFonts w:ascii="Times New Roman" w:hAnsi="Times New Roman"/>
      <w:sz w:val="24"/>
    </w:rPr>
  </w:style>
  <w:style w:type="paragraph" w:customStyle="1" w:styleId="MediumGrid27">
    <w:name w:val="Medium Grid 27"/>
    <w:uiPriority w:val="1"/>
    <w:qFormat/>
    <w:rsid w:val="00606CEF"/>
    <w:rPr>
      <w:rFonts w:ascii="Gill Sans MT" w:hAnsi="Gill Sans MT"/>
      <w:szCs w:val="24"/>
    </w:rPr>
  </w:style>
  <w:style w:type="paragraph" w:customStyle="1" w:styleId="Pa0">
    <w:name w:val="Pa0"/>
    <w:basedOn w:val="Normal"/>
    <w:next w:val="Normal"/>
    <w:uiPriority w:val="99"/>
    <w:rsid w:val="00606CEF"/>
    <w:pPr>
      <w:autoSpaceDE w:val="0"/>
      <w:autoSpaceDN w:val="0"/>
      <w:adjustRightInd w:val="0"/>
      <w:spacing w:line="201" w:lineRule="atLeast"/>
    </w:pPr>
    <w:rPr>
      <w:rFonts w:ascii="Cardo" w:hAnsi="Cardo"/>
      <w:sz w:val="24"/>
    </w:rPr>
  </w:style>
  <w:style w:type="paragraph" w:customStyle="1" w:styleId="msoaccenttext5">
    <w:name w:val="msoaccenttext5"/>
    <w:rsid w:val="00307299"/>
    <w:pPr>
      <w:spacing w:line="271" w:lineRule="auto"/>
    </w:pPr>
    <w:rPr>
      <w:rFonts w:ascii="Agency FB" w:hAnsi="Agency FB"/>
      <w:b/>
      <w:bCs/>
      <w:color w:val="336666"/>
      <w:kern w:val="28"/>
      <w:sz w:val="18"/>
      <w:szCs w:val="18"/>
    </w:rPr>
  </w:style>
  <w:style w:type="table" w:styleId="MediumShading1-Accent1">
    <w:name w:val="Medium Shading 1 Accent 1"/>
    <w:basedOn w:val="TableNormal"/>
    <w:uiPriority w:val="1"/>
    <w:rsid w:val="00FA2435"/>
    <w:rPr>
      <w:rFonts w:ascii="Gill Sans MT" w:eastAsia="Calibri" w:hAnsi="Gill Sans MT"/>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ColorfulList-Accent1Char">
    <w:name w:val="Colorful List - Accent 1 Char"/>
    <w:link w:val="MediumGrid1-Accent2"/>
    <w:uiPriority w:val="34"/>
    <w:locked/>
    <w:rsid w:val="00C93AA4"/>
    <w:rPr>
      <w:rFonts w:ascii="Calibri" w:eastAsia="Calibri" w:hAnsi="Calibri"/>
      <w:sz w:val="22"/>
      <w:szCs w:val="22"/>
    </w:rPr>
  </w:style>
  <w:style w:type="table" w:styleId="MediumGrid1-Accent2">
    <w:name w:val="Medium Grid 1 Accent 2"/>
    <w:basedOn w:val="TableNormal"/>
    <w:link w:val="ColorfulList-Accent1Char"/>
    <w:uiPriority w:val="34"/>
    <w:qFormat/>
    <w:rsid w:val="00C93AA4"/>
    <w:rPr>
      <w:rFonts w:eastAsia="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2-Accent1">
    <w:name w:val="Medium Grid 2 Accent 1"/>
    <w:basedOn w:val="TableNormal"/>
    <w:uiPriority w:val="1"/>
    <w:rsid w:val="00C93AA4"/>
    <w:rPr>
      <w:rFonts w:ascii="Gill Sans MT" w:eastAsia="Calibri" w:hAnsi="Gill Sans MT"/>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MediumGrid22">
    <w:name w:val="Medium Grid 22"/>
    <w:uiPriority w:val="1"/>
    <w:qFormat/>
    <w:rsid w:val="004D74D4"/>
    <w:rPr>
      <w:rFonts w:ascii="Gill Sans MT" w:hAnsi="Gill Sans MT"/>
      <w:szCs w:val="24"/>
    </w:rPr>
  </w:style>
  <w:style w:type="paragraph" w:customStyle="1" w:styleId="ColorfulShading-Accent13">
    <w:name w:val="Colorful Shading - Accent 13"/>
    <w:hidden/>
    <w:uiPriority w:val="99"/>
    <w:semiHidden/>
    <w:rsid w:val="00B65FD9"/>
    <w:rPr>
      <w:rFonts w:eastAsia="Calibri"/>
    </w:rPr>
  </w:style>
  <w:style w:type="paragraph" w:styleId="NoSpacing">
    <w:name w:val="No Spacing"/>
    <w:uiPriority w:val="99"/>
    <w:qFormat/>
    <w:rsid w:val="007E1B55"/>
    <w:rPr>
      <w:rFonts w:eastAsia="Calibri"/>
    </w:rPr>
  </w:style>
  <w:style w:type="paragraph" w:styleId="ListParagraph">
    <w:name w:val="List Paragraph"/>
    <w:basedOn w:val="Normal"/>
    <w:link w:val="ListParagraphChar"/>
    <w:uiPriority w:val="34"/>
    <w:qFormat/>
    <w:rsid w:val="0084149E"/>
    <w:pPr>
      <w:spacing w:after="200" w:line="276" w:lineRule="auto"/>
      <w:ind w:left="720"/>
      <w:contextualSpacing/>
    </w:pPr>
    <w:rPr>
      <w:rFonts w:eastAsia="Calibri"/>
    </w:rPr>
  </w:style>
  <w:style w:type="paragraph" w:customStyle="1" w:styleId="MediumGrid23">
    <w:name w:val="Medium Grid 23"/>
    <w:uiPriority w:val="1"/>
    <w:qFormat/>
    <w:rsid w:val="00D868B2"/>
    <w:rPr>
      <w:rFonts w:ascii="Gill Sans MT" w:hAnsi="Gill Sans MT"/>
      <w:szCs w:val="24"/>
    </w:rPr>
  </w:style>
  <w:style w:type="paragraph" w:customStyle="1" w:styleId="ColorfulShading-Accent12">
    <w:name w:val="Colorful Shading - Accent 12"/>
    <w:hidden/>
    <w:uiPriority w:val="99"/>
    <w:semiHidden/>
    <w:rsid w:val="00260757"/>
    <w:rPr>
      <w:rFonts w:eastAsia="Calibri"/>
    </w:rPr>
  </w:style>
  <w:style w:type="paragraph" w:customStyle="1" w:styleId="MediumGrid24">
    <w:name w:val="Medium Grid 24"/>
    <w:uiPriority w:val="1"/>
    <w:qFormat/>
    <w:rsid w:val="00260757"/>
    <w:rPr>
      <w:rFonts w:ascii="Gill Sans MT" w:hAnsi="Gill Sans MT"/>
      <w:szCs w:val="24"/>
    </w:rPr>
  </w:style>
  <w:style w:type="paragraph" w:customStyle="1" w:styleId="MediumGrid25">
    <w:name w:val="Medium Grid 25"/>
    <w:uiPriority w:val="1"/>
    <w:qFormat/>
    <w:rsid w:val="00260757"/>
    <w:rPr>
      <w:rFonts w:ascii="Gill Sans MT" w:hAnsi="Gill Sans MT"/>
      <w:szCs w:val="24"/>
    </w:rPr>
  </w:style>
  <w:style w:type="paragraph" w:customStyle="1" w:styleId="MediumGrid26">
    <w:name w:val="Medium Grid 26"/>
    <w:uiPriority w:val="1"/>
    <w:qFormat/>
    <w:rsid w:val="00260757"/>
    <w:rPr>
      <w:rFonts w:ascii="Gill Sans MT" w:hAnsi="Gill Sans MT"/>
      <w:szCs w:val="24"/>
    </w:rPr>
  </w:style>
  <w:style w:type="character" w:customStyle="1" w:styleId="ListParagraphChar">
    <w:name w:val="List Paragraph Char"/>
    <w:link w:val="ListParagraph"/>
    <w:uiPriority w:val="34"/>
    <w:locked/>
    <w:rsid w:val="009757E5"/>
    <w:rPr>
      <w:rFonts w:ascii="Calibri" w:eastAsia="Calibri" w:hAnsi="Calibri"/>
      <w:sz w:val="22"/>
      <w:szCs w:val="22"/>
    </w:rPr>
  </w:style>
  <w:style w:type="character" w:customStyle="1" w:styleId="ColorfulList-Accent1Char2">
    <w:name w:val="Colorful List - Accent 1 Char2"/>
    <w:link w:val="ColorfulList-Accent1"/>
    <w:uiPriority w:val="34"/>
    <w:locked/>
    <w:rsid w:val="00E27965"/>
    <w:rPr>
      <w:rFonts w:ascii="Calibri" w:eastAsia="Calibri" w:hAnsi="Calibri"/>
      <w:sz w:val="22"/>
      <w:szCs w:val="22"/>
    </w:rPr>
  </w:style>
  <w:style w:type="table" w:styleId="ColorfulList-Accent1">
    <w:name w:val="Colorful List Accent 1"/>
    <w:basedOn w:val="TableNormal"/>
    <w:link w:val="ColorfulList-Accent1Char2"/>
    <w:uiPriority w:val="34"/>
    <w:qFormat/>
    <w:rsid w:val="00E27965"/>
    <w:rPr>
      <w:rFonts w:eastAsia="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ghtGrid-Accent3">
    <w:name w:val="Light Grid Accent 3"/>
    <w:basedOn w:val="TableNormal"/>
    <w:uiPriority w:val="34"/>
    <w:qFormat/>
    <w:rsid w:val="00846FAC"/>
    <w:rPr>
      <w:rFonts w:eastAsia="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Shading1-Accent2">
    <w:name w:val="Medium Shading 1 Accent 2"/>
    <w:basedOn w:val="TableNormal"/>
    <w:uiPriority w:val="1"/>
    <w:rsid w:val="00846FAC"/>
    <w:rPr>
      <w:rFonts w:ascii="Gill Sans MT" w:eastAsia="Calibri" w:hAnsi="Gill Sans MT"/>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styleId="Revision">
    <w:name w:val="Revision"/>
    <w:hidden/>
    <w:uiPriority w:val="99"/>
    <w:semiHidden/>
    <w:rsid w:val="00846FAC"/>
    <w:rPr>
      <w:rFonts w:ascii="Gill Sans MT" w:hAnsi="Gill Sans MT"/>
      <w:szCs w:val="24"/>
    </w:rPr>
  </w:style>
  <w:style w:type="character" w:customStyle="1" w:styleId="TitleChar">
    <w:name w:val="Title Char"/>
    <w:link w:val="Title"/>
    <w:uiPriority w:val="99"/>
    <w:rsid w:val="00007205"/>
    <w:rPr>
      <w:rFonts w:ascii="Gill Sans MT" w:hAnsi="Gill Sans MT" w:cs="Arial"/>
      <w:bCs/>
      <w:caps/>
      <w:kern w:val="28"/>
      <w:sz w:val="80"/>
      <w:szCs w:val="80"/>
    </w:rPr>
  </w:style>
  <w:style w:type="character" w:customStyle="1" w:styleId="SubtitleChar">
    <w:name w:val="Subtitle Char"/>
    <w:link w:val="Subtitle"/>
    <w:uiPriority w:val="99"/>
    <w:rsid w:val="00007205"/>
    <w:rPr>
      <w:rFonts w:ascii="Gill Sans MT" w:hAnsi="Gill Sans MT" w:cs="Arial"/>
      <w:caps/>
      <w:sz w:val="32"/>
      <w:szCs w:val="32"/>
    </w:rPr>
  </w:style>
  <w:style w:type="character" w:styleId="PlaceholderText">
    <w:name w:val="Placeholder Text"/>
    <w:basedOn w:val="DefaultParagraphFont"/>
    <w:uiPriority w:val="99"/>
    <w:semiHidden/>
    <w:rsid w:val="00384EFF"/>
    <w:rPr>
      <w:color w:val="808080"/>
    </w:rPr>
  </w:style>
  <w:style w:type="paragraph" w:customStyle="1" w:styleId="1CHAPTER">
    <w:name w:val="1 CHAPTER"/>
    <w:basedOn w:val="Heading2"/>
    <w:link w:val="1CHAPTERChar"/>
    <w:qFormat/>
    <w:rsid w:val="00540058"/>
    <w:pPr>
      <w:spacing w:after="1320"/>
    </w:pPr>
    <w:rPr>
      <w:noProof/>
      <w:color w:val="68BAD6"/>
      <w:sz w:val="32"/>
    </w:rPr>
  </w:style>
  <w:style w:type="character" w:customStyle="1" w:styleId="1CHAPTERChar">
    <w:name w:val="1 CHAPTER Char"/>
    <w:basedOn w:val="Heading2Char"/>
    <w:link w:val="1CHAPTER"/>
    <w:rsid w:val="00540058"/>
    <w:rPr>
      <w:bCs/>
      <w:iCs/>
      <w:noProof/>
      <w:color w:val="68BAD6"/>
      <w:sz w:val="32"/>
      <w:szCs w:val="48"/>
    </w:rPr>
  </w:style>
  <w:style w:type="paragraph" w:customStyle="1" w:styleId="TableHeader0">
    <w:name w:val="Table Header"/>
    <w:basedOn w:val="BodyText"/>
    <w:next w:val="Normal"/>
    <w:rsid w:val="0056614F"/>
    <w:pPr>
      <w:spacing w:before="60" w:after="60"/>
    </w:pPr>
    <w:rPr>
      <w:rFonts w:ascii="Arial Black" w:eastAsiaTheme="minorHAnsi" w:hAnsi="Arial Black" w:cs="Arial"/>
      <w:bCs/>
      <w:noProof/>
      <w:sz w:val="18"/>
    </w:rPr>
  </w:style>
  <w:style w:type="paragraph" w:customStyle="1" w:styleId="TableRow">
    <w:name w:val="Table Row"/>
    <w:basedOn w:val="BodyText"/>
    <w:link w:val="TableRowChar"/>
    <w:rsid w:val="0056614F"/>
    <w:pPr>
      <w:spacing w:before="40" w:after="40"/>
    </w:pPr>
    <w:rPr>
      <w:rFonts w:eastAsiaTheme="minorHAnsi" w:cs="Arial"/>
      <w:bCs/>
      <w:noProof/>
      <w:sz w:val="20"/>
    </w:rPr>
  </w:style>
  <w:style w:type="character" w:customStyle="1" w:styleId="TableRowChar">
    <w:name w:val="Table Row Char"/>
    <w:link w:val="TableRow"/>
    <w:rsid w:val="0056614F"/>
    <w:rPr>
      <w:rFonts w:eastAsiaTheme="minorHAnsi" w:cs="Arial"/>
      <w:bCs/>
      <w:noProof/>
      <w:sz w:val="20"/>
    </w:rPr>
  </w:style>
  <w:style w:type="paragraph" w:customStyle="1" w:styleId="QAText">
    <w:name w:val="QA Text"/>
    <w:basedOn w:val="Normal"/>
    <w:rsid w:val="00B8605F"/>
    <w:pPr>
      <w:spacing w:before="200" w:after="160"/>
    </w:pPr>
    <w:rPr>
      <w:rFonts w:eastAsiaTheme="minorHAnsi" w:cs="Arial"/>
      <w:lang w:val="en-AU"/>
    </w:rPr>
  </w:style>
  <w:style w:type="paragraph" w:customStyle="1" w:styleId="QAAddress">
    <w:name w:val="QA Address"/>
    <w:basedOn w:val="Normal"/>
    <w:next w:val="Normal"/>
    <w:rsid w:val="00B8605F"/>
    <w:pPr>
      <w:contextualSpacing/>
    </w:pPr>
    <w:rPr>
      <w:rFonts w:eastAsiaTheme="minorHAnsi" w:cs="Arial"/>
      <w:lang w:val="en-AU"/>
    </w:rPr>
  </w:style>
  <w:style w:type="character" w:customStyle="1" w:styleId="Bold">
    <w:name w:val="Bold"/>
    <w:basedOn w:val="DefaultParagraphFont"/>
    <w:rsid w:val="00B8605F"/>
    <w:rPr>
      <w:b/>
    </w:rPr>
  </w:style>
  <w:style w:type="paragraph" w:customStyle="1" w:styleId="HeadingAP1">
    <w:name w:val="Heading AP 1"/>
    <w:basedOn w:val="Normal"/>
    <w:next w:val="BodyText"/>
    <w:rsid w:val="002548CF"/>
    <w:pPr>
      <w:keepNext/>
      <w:numPr>
        <w:numId w:val="4"/>
      </w:numPr>
      <w:spacing w:after="360"/>
    </w:pPr>
    <w:rPr>
      <w:rFonts w:ascii="Arial Bold" w:eastAsiaTheme="minorHAnsi" w:hAnsi="Arial Bold" w:cs="Arial"/>
      <w:b/>
      <w:color w:val="0C479D"/>
      <w:sz w:val="28"/>
      <w:lang w:val="en-AU"/>
    </w:rPr>
  </w:style>
  <w:style w:type="paragraph" w:customStyle="1" w:styleId="HeadingAP2">
    <w:name w:val="Heading AP 2"/>
    <w:basedOn w:val="Normal"/>
    <w:next w:val="BodyText"/>
    <w:rsid w:val="002548CF"/>
    <w:pPr>
      <w:keepNext/>
      <w:numPr>
        <w:ilvl w:val="1"/>
        <w:numId w:val="4"/>
      </w:numPr>
      <w:spacing w:before="240" w:after="60"/>
    </w:pPr>
    <w:rPr>
      <w:rFonts w:eastAsiaTheme="minorHAnsi"/>
      <w:b/>
      <w:bCs/>
      <w:iCs/>
      <w:color w:val="0C479D"/>
      <w:kern w:val="28"/>
      <w:sz w:val="26"/>
      <w:szCs w:val="28"/>
      <w:lang w:val="en-AU" w:eastAsia="en-AU"/>
    </w:rPr>
  </w:style>
  <w:style w:type="paragraph" w:customStyle="1" w:styleId="HeadingAP3">
    <w:name w:val="Heading AP 3"/>
    <w:basedOn w:val="Normal"/>
    <w:next w:val="BodyText"/>
    <w:rsid w:val="002548CF"/>
    <w:pPr>
      <w:keepNext/>
      <w:numPr>
        <w:ilvl w:val="2"/>
        <w:numId w:val="4"/>
      </w:numPr>
      <w:spacing w:before="360" w:after="60"/>
    </w:pPr>
    <w:rPr>
      <w:rFonts w:ascii="Arial Bold" w:eastAsiaTheme="minorHAnsi" w:hAnsi="Arial Bold"/>
      <w:color w:val="666666"/>
      <w:sz w:val="24"/>
      <w:lang w:val="en-AU" w:eastAsia="en-AU"/>
    </w:rPr>
  </w:style>
  <w:style w:type="paragraph" w:customStyle="1" w:styleId="HeadingAP4">
    <w:name w:val="Heading AP 4"/>
    <w:basedOn w:val="Normal"/>
    <w:next w:val="BodyText"/>
    <w:rsid w:val="002548CF"/>
    <w:pPr>
      <w:keepNext/>
      <w:numPr>
        <w:ilvl w:val="3"/>
        <w:numId w:val="4"/>
      </w:numPr>
      <w:spacing w:before="360" w:after="60"/>
    </w:pPr>
    <w:rPr>
      <w:rFonts w:eastAsiaTheme="minorHAnsi"/>
      <w:b/>
      <w:i/>
      <w:color w:val="666666"/>
      <w:lang w:val="en-AU" w:eastAsia="en-AU"/>
    </w:rPr>
  </w:style>
  <w:style w:type="table" w:customStyle="1" w:styleId="TableGrid1">
    <w:name w:val="Table Grid1"/>
    <w:basedOn w:val="TableNormal"/>
    <w:next w:val="TableGrid"/>
    <w:uiPriority w:val="59"/>
    <w:locked/>
    <w:rsid w:val="00F866E3"/>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locked/>
    <w:rsid w:val="006F3F18"/>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locked/>
    <w:rsid w:val="00864133"/>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locked/>
    <w:rsid w:val="00864133"/>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GRM">
    <w:name w:val="Sub-Heading GRM"/>
    <w:basedOn w:val="Normal"/>
    <w:next w:val="Normal"/>
    <w:link w:val="Sub-HeadingGRMChar"/>
    <w:rsid w:val="004B0D96"/>
    <w:pPr>
      <w:keepNext/>
      <w:tabs>
        <w:tab w:val="left" w:pos="900"/>
      </w:tabs>
      <w:spacing w:before="40" w:after="240" w:line="276" w:lineRule="auto"/>
      <w:outlineLvl w:val="1"/>
    </w:pPr>
    <w:rPr>
      <w:rFonts w:eastAsia="Calibri" w:cs="Arial"/>
      <w:b/>
      <w:bCs/>
      <w:iCs/>
      <w:sz w:val="32"/>
      <w:szCs w:val="32"/>
      <w:lang w:val="en-AU" w:eastAsia="en-AU"/>
    </w:rPr>
  </w:style>
  <w:style w:type="character" w:customStyle="1" w:styleId="Sub-HeadingGRMChar">
    <w:name w:val="Sub-Heading GRM Char"/>
    <w:link w:val="Sub-HeadingGRM"/>
    <w:rsid w:val="004B0D96"/>
    <w:rPr>
      <w:rFonts w:eastAsia="Calibri" w:cs="Arial"/>
      <w:b/>
      <w:bCs/>
      <w:iCs/>
      <w:sz w:val="32"/>
      <w:szCs w:val="32"/>
      <w:lang w:val="en-AU" w:eastAsia="en-AU"/>
    </w:rPr>
  </w:style>
  <w:style w:type="table" w:customStyle="1" w:styleId="TableGrid9">
    <w:name w:val="Table Grid9"/>
    <w:basedOn w:val="TableNormal"/>
    <w:next w:val="TableGrid"/>
    <w:uiPriority w:val="59"/>
    <w:locked/>
    <w:rsid w:val="004C120D"/>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locked/>
    <w:rsid w:val="004E355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locked/>
    <w:rsid w:val="009A3031"/>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locked/>
    <w:rsid w:val="006D1A14"/>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locked/>
    <w:rsid w:val="00790E9A"/>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locked/>
    <w:rsid w:val="00790E9A"/>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rsid w:val="001A1BAD"/>
    <w:rPr>
      <w:sz w:val="20"/>
    </w:rPr>
  </w:style>
  <w:style w:type="character" w:customStyle="1" w:styleId="EndnoteTextChar">
    <w:name w:val="Endnote Text Char"/>
    <w:basedOn w:val="DefaultParagraphFont"/>
    <w:link w:val="EndnoteText"/>
    <w:uiPriority w:val="99"/>
    <w:rsid w:val="001A1BAD"/>
    <w:rPr>
      <w:sz w:val="20"/>
    </w:rPr>
  </w:style>
  <w:style w:type="character" w:styleId="EndnoteReference">
    <w:name w:val="endnote reference"/>
    <w:basedOn w:val="DefaultParagraphFont"/>
    <w:uiPriority w:val="99"/>
    <w:rsid w:val="001A1BAD"/>
    <w:rPr>
      <w:vertAlign w:val="superscript"/>
    </w:rPr>
  </w:style>
  <w:style w:type="character" w:styleId="IntenseEmphasis">
    <w:name w:val="Intense Emphasis"/>
    <w:basedOn w:val="DefaultParagraphFont"/>
    <w:uiPriority w:val="99"/>
    <w:qFormat/>
    <w:rsid w:val="00DD0D4F"/>
    <w:rPr>
      <w:b/>
      <w:bCs/>
      <w:i/>
      <w:iCs/>
      <w:color w:val="4F81BD" w:themeColor="accent1"/>
    </w:rPr>
  </w:style>
  <w:style w:type="character" w:customStyle="1" w:styleId="FootnoteTextChar">
    <w:name w:val="Footnote Text Char"/>
    <w:aliases w:val="FOOTNOTES Char,fn Char,single space Char,footnote text Char,Footnote Text Char Char Char,Footnote Text Char Char Char Char Char,Footnote Text Char Char Char Char Char Char Char Char Char"/>
    <w:basedOn w:val="DefaultParagraphFont"/>
    <w:link w:val="FootnoteText"/>
    <w:uiPriority w:val="99"/>
    <w:rsid w:val="002366FA"/>
    <w:rPr>
      <w:sz w:val="20"/>
    </w:rPr>
  </w:style>
  <w:style w:type="paragraph" w:customStyle="1" w:styleId="Non-TOCsubheading">
    <w:name w:val="Non-TOC subheading"/>
    <w:basedOn w:val="BodyText"/>
    <w:link w:val="Non-TOCsubheadingChar"/>
    <w:rsid w:val="00AC0B1B"/>
    <w:pPr>
      <w:spacing w:line="320" w:lineRule="atLeast"/>
    </w:pPr>
    <w:rPr>
      <w:rFonts w:ascii="Arial" w:eastAsia="Calibri" w:hAnsi="Arial" w:cs="Times New Roman"/>
      <w:b/>
      <w:color w:val="4F6228" w:themeColor="accent3" w:themeShade="80"/>
      <w:sz w:val="20"/>
    </w:rPr>
  </w:style>
  <w:style w:type="character" w:customStyle="1" w:styleId="Non-TOCsubheadingChar">
    <w:name w:val="Non-TOC subheading Char"/>
    <w:basedOn w:val="BodyTextChar"/>
    <w:link w:val="Non-TOCsubheading"/>
    <w:rsid w:val="00AC0B1B"/>
    <w:rPr>
      <w:rFonts w:ascii="Arial" w:eastAsia="Calibri" w:hAnsi="Arial" w:cs="Times New Roman"/>
      <w:b/>
      <w:color w:val="4F6228" w:themeColor="accent3" w:themeShade="80"/>
      <w:sz w:val="20"/>
      <w:szCs w:val="22"/>
      <w:lang w:val="en-AU"/>
    </w:rPr>
  </w:style>
  <w:style w:type="paragraph" w:customStyle="1" w:styleId="Bulletswithsinglespacingfont11">
    <w:name w:val="Bullets with single spacing font 11"/>
    <w:basedOn w:val="Normal"/>
    <w:link w:val="Bulletswithsinglespacingfont11Char"/>
    <w:qFormat/>
    <w:rsid w:val="00470A54"/>
    <w:pPr>
      <w:numPr>
        <w:numId w:val="5"/>
      </w:numPr>
      <w:spacing w:before="120"/>
      <w:ind w:left="720"/>
    </w:pPr>
    <w:rPr>
      <w:rFonts w:cs="Arial"/>
      <w:bCs/>
      <w:lang w:val="en-AU" w:eastAsia="en-AU"/>
    </w:rPr>
  </w:style>
  <w:style w:type="character" w:customStyle="1" w:styleId="Bulletswithsinglespacingfont11Char">
    <w:name w:val="Bullets with single spacing font 11 Char"/>
    <w:link w:val="Bulletswithsinglespacingfont11"/>
    <w:locked/>
    <w:rsid w:val="00470A54"/>
    <w:rPr>
      <w:rFonts w:cs="Arial"/>
      <w:bCs/>
      <w:lang w:val="en-AU" w:eastAsia="en-AU"/>
    </w:rPr>
  </w:style>
  <w:style w:type="paragraph" w:customStyle="1" w:styleId="FrontPageHeading2">
    <w:name w:val="Front Page Heading 2"/>
    <w:basedOn w:val="Normal"/>
    <w:uiPriority w:val="99"/>
    <w:rsid w:val="00B31112"/>
    <w:pPr>
      <w:tabs>
        <w:tab w:val="left" w:pos="900"/>
        <w:tab w:val="left" w:pos="7560"/>
      </w:tabs>
      <w:spacing w:before="120"/>
      <w:jc w:val="center"/>
      <w:outlineLvl w:val="0"/>
    </w:pPr>
    <w:rPr>
      <w:rFonts w:ascii="Arial Bold" w:hAnsi="Arial Bold" w:cs="Arial"/>
      <w:b/>
      <w:bCs/>
      <w:color w:val="000000"/>
      <w:kern w:val="28"/>
      <w:sz w:val="36"/>
      <w:szCs w:val="36"/>
    </w:rPr>
  </w:style>
  <w:style w:type="paragraph" w:customStyle="1" w:styleId="CONLevel1">
    <w:name w:val=".CON  Level   1."/>
    <w:basedOn w:val="Normal"/>
    <w:next w:val="Normal"/>
    <w:uiPriority w:val="99"/>
    <w:rsid w:val="00B31112"/>
    <w:pPr>
      <w:keepNext/>
      <w:numPr>
        <w:numId w:val="10"/>
      </w:numPr>
      <w:spacing w:before="240"/>
      <w:outlineLvl w:val="1"/>
    </w:pPr>
    <w:rPr>
      <w:rFonts w:ascii="Times New Roman" w:hAnsi="Times New Roman" w:cs="Times New Roman"/>
      <w:b/>
      <w:smallCaps/>
      <w:sz w:val="24"/>
      <w:szCs w:val="24"/>
      <w:lang w:val="en-AU"/>
    </w:rPr>
  </w:style>
  <w:style w:type="paragraph" w:customStyle="1" w:styleId="CONLevel11Char">
    <w:name w:val=".CON  Level   1.1 Char"/>
    <w:basedOn w:val="Normal"/>
    <w:next w:val="Normal"/>
    <w:link w:val="CONLevel11CharChar"/>
    <w:uiPriority w:val="99"/>
    <w:rsid w:val="00B31112"/>
    <w:pPr>
      <w:numPr>
        <w:ilvl w:val="1"/>
        <w:numId w:val="10"/>
      </w:numPr>
      <w:spacing w:before="240"/>
      <w:outlineLvl w:val="2"/>
    </w:pPr>
    <w:rPr>
      <w:rFonts w:ascii="Times New Roman" w:hAnsi="Times New Roman" w:cs="Times New Roman"/>
      <w:sz w:val="24"/>
      <w:lang w:val="en-AU"/>
    </w:rPr>
  </w:style>
  <w:style w:type="paragraph" w:customStyle="1" w:styleId="CONLevelaChar">
    <w:name w:val=".CON  Level  (a) Char"/>
    <w:basedOn w:val="Normal"/>
    <w:next w:val="Normal"/>
    <w:link w:val="CONLevelaCharChar"/>
    <w:uiPriority w:val="99"/>
    <w:rsid w:val="00B31112"/>
    <w:pPr>
      <w:numPr>
        <w:ilvl w:val="2"/>
        <w:numId w:val="10"/>
      </w:numPr>
      <w:spacing w:before="240"/>
      <w:outlineLvl w:val="3"/>
    </w:pPr>
    <w:rPr>
      <w:rFonts w:ascii="Times New Roman" w:hAnsi="Times New Roman" w:cs="Times New Roman"/>
      <w:sz w:val="24"/>
      <w:lang w:val="en-AU"/>
    </w:rPr>
  </w:style>
  <w:style w:type="paragraph" w:customStyle="1" w:styleId="CONLeveli">
    <w:name w:val=".CON  Level  (i)"/>
    <w:basedOn w:val="Normal"/>
    <w:next w:val="Normal"/>
    <w:uiPriority w:val="99"/>
    <w:rsid w:val="00B31112"/>
    <w:pPr>
      <w:numPr>
        <w:ilvl w:val="3"/>
        <w:numId w:val="10"/>
      </w:numPr>
      <w:spacing w:before="240"/>
      <w:outlineLvl w:val="4"/>
    </w:pPr>
    <w:rPr>
      <w:rFonts w:ascii="Times New Roman" w:hAnsi="Times New Roman" w:cs="Times New Roman"/>
      <w:sz w:val="24"/>
      <w:lang w:val="en-AU"/>
    </w:rPr>
  </w:style>
  <w:style w:type="paragraph" w:customStyle="1" w:styleId="CONLevelA">
    <w:name w:val=".CON  Level (A)"/>
    <w:basedOn w:val="Normal"/>
    <w:next w:val="Normal"/>
    <w:uiPriority w:val="99"/>
    <w:rsid w:val="00B31112"/>
    <w:pPr>
      <w:numPr>
        <w:ilvl w:val="4"/>
        <w:numId w:val="10"/>
      </w:numPr>
      <w:spacing w:before="240"/>
      <w:outlineLvl w:val="5"/>
    </w:pPr>
    <w:rPr>
      <w:rFonts w:ascii="Times New Roman" w:hAnsi="Times New Roman" w:cs="Times New Roman"/>
      <w:sz w:val="24"/>
      <w:lang w:val="en-AU"/>
    </w:rPr>
  </w:style>
  <w:style w:type="paragraph" w:customStyle="1" w:styleId="CONLevelI0">
    <w:name w:val=".CON  Level (I)"/>
    <w:basedOn w:val="Normal"/>
    <w:next w:val="Normal"/>
    <w:uiPriority w:val="99"/>
    <w:rsid w:val="00B31112"/>
    <w:pPr>
      <w:numPr>
        <w:ilvl w:val="5"/>
        <w:numId w:val="10"/>
      </w:numPr>
      <w:spacing w:before="240"/>
      <w:outlineLvl w:val="6"/>
    </w:pPr>
    <w:rPr>
      <w:rFonts w:ascii="Times New Roman" w:hAnsi="Times New Roman" w:cs="Times New Roman"/>
      <w:sz w:val="24"/>
      <w:lang w:val="en-AU"/>
    </w:rPr>
  </w:style>
  <w:style w:type="table" w:customStyle="1" w:styleId="LightList-Accent11">
    <w:name w:val="Light List - Accent 11"/>
    <w:basedOn w:val="TableNormal"/>
    <w:uiPriority w:val="61"/>
    <w:rsid w:val="00B31112"/>
    <w:rPr>
      <w:rFonts w:cs="Times New Roman"/>
      <w:sz w:val="20"/>
      <w:szCs w:val="20"/>
      <w:lang w:val="en-AU"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SubtleReference">
    <w:name w:val="Subtle Reference"/>
    <w:basedOn w:val="DefaultParagraphFont"/>
    <w:uiPriority w:val="99"/>
    <w:qFormat/>
    <w:rsid w:val="00D21284"/>
    <w:rPr>
      <w:rFonts w:cs="Times New Roman"/>
      <w:b/>
    </w:rPr>
  </w:style>
  <w:style w:type="paragraph" w:customStyle="1" w:styleId="CaptionF">
    <w:name w:val="Caption F"/>
    <w:basedOn w:val="Normal"/>
    <w:next w:val="BodyText"/>
    <w:autoRedefine/>
    <w:uiPriority w:val="99"/>
    <w:rsid w:val="004C5CDB"/>
    <w:pPr>
      <w:numPr>
        <w:numId w:val="18"/>
      </w:numPr>
      <w:tabs>
        <w:tab w:val="clear" w:pos="360"/>
        <w:tab w:val="left" w:pos="500"/>
        <w:tab w:val="num" w:pos="720"/>
        <w:tab w:val="num" w:pos="786"/>
        <w:tab w:val="left" w:pos="1200"/>
      </w:tabs>
      <w:ind w:left="720" w:hanging="720"/>
    </w:pPr>
    <w:rPr>
      <w:rFonts w:ascii="Cambria" w:hAnsi="Cambria" w:cs="Times New Roman"/>
      <w:i/>
      <w:sz w:val="20"/>
      <w:szCs w:val="20"/>
    </w:rPr>
  </w:style>
  <w:style w:type="paragraph" w:customStyle="1" w:styleId="StyleHeading2Centered">
    <w:name w:val="Style Heading 2 + Centered"/>
    <w:basedOn w:val="Normal"/>
    <w:uiPriority w:val="99"/>
    <w:rsid w:val="004C5CDB"/>
    <w:pPr>
      <w:numPr>
        <w:ilvl w:val="1"/>
        <w:numId w:val="18"/>
      </w:numPr>
      <w:jc w:val="both"/>
    </w:pPr>
    <w:rPr>
      <w:rFonts w:ascii="Arial" w:hAnsi="Arial" w:cs="Times New Roman"/>
    </w:rPr>
  </w:style>
  <w:style w:type="character" w:customStyle="1" w:styleId="Heading4Char">
    <w:name w:val="Heading 4 Char"/>
    <w:basedOn w:val="DefaultParagraphFont"/>
    <w:link w:val="Heading4"/>
    <w:uiPriority w:val="99"/>
    <w:locked/>
    <w:rsid w:val="006A4E0A"/>
    <w:rPr>
      <w:b/>
      <w:bCs/>
      <w:sz w:val="24"/>
      <w:szCs w:val="28"/>
    </w:rPr>
  </w:style>
  <w:style w:type="character" w:customStyle="1" w:styleId="Heading5Char">
    <w:name w:val="Heading 5 Char"/>
    <w:basedOn w:val="DefaultParagraphFont"/>
    <w:link w:val="Heading5"/>
    <w:uiPriority w:val="99"/>
    <w:locked/>
    <w:rsid w:val="006A4E0A"/>
    <w:rPr>
      <w:b/>
      <w:bCs/>
      <w:i/>
      <w:iCs/>
      <w:sz w:val="26"/>
      <w:szCs w:val="26"/>
    </w:rPr>
  </w:style>
  <w:style w:type="character" w:customStyle="1" w:styleId="Heading6Char">
    <w:name w:val="Heading 6 Char"/>
    <w:basedOn w:val="DefaultParagraphFont"/>
    <w:link w:val="Heading6"/>
    <w:uiPriority w:val="99"/>
    <w:locked/>
    <w:rsid w:val="006A4E0A"/>
    <w:rPr>
      <w:b/>
      <w:bCs/>
    </w:rPr>
  </w:style>
  <w:style w:type="character" w:customStyle="1" w:styleId="Heading7Char">
    <w:name w:val="Heading 7 Char"/>
    <w:basedOn w:val="DefaultParagraphFont"/>
    <w:link w:val="Heading7"/>
    <w:uiPriority w:val="99"/>
    <w:locked/>
    <w:rsid w:val="006A4E0A"/>
  </w:style>
  <w:style w:type="character" w:customStyle="1" w:styleId="Heading8Char">
    <w:name w:val="Heading 8 Char"/>
    <w:basedOn w:val="DefaultParagraphFont"/>
    <w:link w:val="Heading8"/>
    <w:uiPriority w:val="99"/>
    <w:locked/>
    <w:rsid w:val="006A4E0A"/>
    <w:rPr>
      <w:i/>
      <w:iCs/>
    </w:rPr>
  </w:style>
  <w:style w:type="character" w:customStyle="1" w:styleId="Heading9Char">
    <w:name w:val="Heading 9 Char"/>
    <w:basedOn w:val="DefaultParagraphFont"/>
    <w:link w:val="Heading9"/>
    <w:uiPriority w:val="99"/>
    <w:locked/>
    <w:rsid w:val="006A4E0A"/>
    <w:rPr>
      <w:rFonts w:ascii="Arial" w:hAnsi="Arial" w:cs="Arial"/>
    </w:rPr>
  </w:style>
  <w:style w:type="paragraph" w:styleId="Quote">
    <w:name w:val="Quote"/>
    <w:basedOn w:val="Normal"/>
    <w:next w:val="Normal"/>
    <w:link w:val="QuoteChar"/>
    <w:uiPriority w:val="99"/>
    <w:qFormat/>
    <w:rsid w:val="006A4E0A"/>
    <w:pPr>
      <w:spacing w:after="200" w:line="276" w:lineRule="auto"/>
      <w:jc w:val="both"/>
    </w:pPr>
    <w:rPr>
      <w:rFonts w:cs="Times New Roman"/>
      <w:i/>
      <w:szCs w:val="20"/>
    </w:rPr>
  </w:style>
  <w:style w:type="character" w:customStyle="1" w:styleId="QuoteChar">
    <w:name w:val="Quote Char"/>
    <w:basedOn w:val="DefaultParagraphFont"/>
    <w:link w:val="Quote"/>
    <w:uiPriority w:val="99"/>
    <w:rsid w:val="006A4E0A"/>
    <w:rPr>
      <w:rFonts w:cs="Times New Roman"/>
      <w:i/>
      <w:szCs w:val="20"/>
    </w:rPr>
  </w:style>
  <w:style w:type="paragraph" w:styleId="IntenseQuote">
    <w:name w:val="Intense Quote"/>
    <w:basedOn w:val="Normal"/>
    <w:next w:val="Normal"/>
    <w:link w:val="IntenseQuoteChar"/>
    <w:uiPriority w:val="99"/>
    <w:qFormat/>
    <w:rsid w:val="006A4E0A"/>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jc w:val="both"/>
    </w:pPr>
    <w:rPr>
      <w:rFonts w:cs="Times New Roman"/>
      <w:b/>
      <w:i/>
      <w:color w:val="FFFFFF"/>
      <w:szCs w:val="20"/>
    </w:rPr>
  </w:style>
  <w:style w:type="character" w:customStyle="1" w:styleId="IntenseQuoteChar">
    <w:name w:val="Intense Quote Char"/>
    <w:basedOn w:val="DefaultParagraphFont"/>
    <w:link w:val="IntenseQuote"/>
    <w:uiPriority w:val="99"/>
    <w:rsid w:val="006A4E0A"/>
    <w:rPr>
      <w:rFonts w:cs="Times New Roman"/>
      <w:b/>
      <w:i/>
      <w:color w:val="FFFFFF"/>
      <w:szCs w:val="20"/>
      <w:shd w:val="clear" w:color="auto" w:fill="C0504D"/>
    </w:rPr>
  </w:style>
  <w:style w:type="character" w:styleId="SubtleEmphasis">
    <w:name w:val="Subtle Emphasis"/>
    <w:basedOn w:val="DefaultParagraphFont"/>
    <w:uiPriority w:val="99"/>
    <w:qFormat/>
    <w:rsid w:val="006A4E0A"/>
    <w:rPr>
      <w:rFonts w:cs="Times New Roman"/>
      <w:i/>
    </w:rPr>
  </w:style>
  <w:style w:type="character" w:styleId="IntenseReference">
    <w:name w:val="Intense Reference"/>
    <w:basedOn w:val="DefaultParagraphFont"/>
    <w:uiPriority w:val="99"/>
    <w:qFormat/>
    <w:rsid w:val="006A4E0A"/>
    <w:rPr>
      <w:rFonts w:cs="Times New Roman"/>
      <w:b/>
      <w:smallCaps/>
      <w:spacing w:val="5"/>
      <w:sz w:val="22"/>
      <w:u w:val="single"/>
    </w:rPr>
  </w:style>
  <w:style w:type="character" w:styleId="BookTitle">
    <w:name w:val="Book Title"/>
    <w:basedOn w:val="DefaultParagraphFont"/>
    <w:uiPriority w:val="99"/>
    <w:qFormat/>
    <w:rsid w:val="006A4E0A"/>
    <w:rPr>
      <w:rFonts w:ascii="Cambria" w:hAnsi="Cambria" w:cs="Times New Roman"/>
      <w:i/>
      <w:sz w:val="20"/>
    </w:rPr>
  </w:style>
  <w:style w:type="table" w:styleId="ColorfulList-Accent2">
    <w:name w:val="Colorful List Accent 2"/>
    <w:basedOn w:val="TableNormal"/>
    <w:uiPriority w:val="99"/>
    <w:rsid w:val="006A4E0A"/>
    <w:rPr>
      <w:rFonts w:cs="Times New Roman"/>
      <w:color w:val="000000"/>
      <w:sz w:val="20"/>
      <w:szCs w:val="20"/>
      <w:lang w:val="en-AU" w:eastAsia="en-AU"/>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paragraph" w:customStyle="1" w:styleId="Listbullet0">
    <w:name w:val="List bullet'"/>
    <w:basedOn w:val="NoSpacing"/>
    <w:uiPriority w:val="99"/>
    <w:rsid w:val="006A4E0A"/>
    <w:pPr>
      <w:numPr>
        <w:numId w:val="19"/>
      </w:numPr>
      <w:jc w:val="both"/>
    </w:pPr>
    <w:rPr>
      <w:rFonts w:eastAsia="Times New Roman" w:cs="Times New Roman"/>
      <w:szCs w:val="20"/>
    </w:rPr>
  </w:style>
  <w:style w:type="table" w:styleId="TableSimple1">
    <w:name w:val="Table Simple 1"/>
    <w:basedOn w:val="TableNormal"/>
    <w:uiPriority w:val="99"/>
    <w:rsid w:val="006A4E0A"/>
    <w:rPr>
      <w:rFonts w:ascii="Arial Narrow" w:eastAsia="MS Mincho" w:hAnsi="Arial Narrow" w:cs="Times New Roman"/>
      <w:sz w:val="18"/>
      <w:szCs w:val="18"/>
      <w:lang w:val="en-AU" w:eastAsia="en-AU"/>
    </w:rPr>
    <w:tblPr>
      <w:tblBorders>
        <w:top w:val="single" w:sz="12" w:space="0" w:color="990000"/>
        <w:bottom w:val="single" w:sz="12" w:space="0" w:color="990000"/>
        <w:insideH w:val="single" w:sz="12" w:space="0" w:color="990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SectionNumber">
    <w:name w:val="Section Number"/>
    <w:basedOn w:val="Normal"/>
    <w:autoRedefine/>
    <w:uiPriority w:val="99"/>
    <w:rsid w:val="006A4E0A"/>
    <w:pPr>
      <w:numPr>
        <w:numId w:val="20"/>
      </w:numPr>
      <w:shd w:val="clear" w:color="auto" w:fill="800080"/>
      <w:jc w:val="both"/>
    </w:pPr>
    <w:rPr>
      <w:rFonts w:ascii="Verdana" w:hAnsi="Verdana" w:cs="Times New Roman"/>
    </w:rPr>
  </w:style>
  <w:style w:type="paragraph" w:customStyle="1" w:styleId="Bodytextnumbered">
    <w:name w:val="Body text numbered"/>
    <w:basedOn w:val="BodyText"/>
    <w:autoRedefine/>
    <w:uiPriority w:val="99"/>
    <w:rsid w:val="006A4E0A"/>
    <w:pPr>
      <w:numPr>
        <w:numId w:val="21"/>
      </w:numPr>
      <w:tabs>
        <w:tab w:val="clear" w:pos="720"/>
        <w:tab w:val="num" w:pos="500"/>
      </w:tabs>
      <w:ind w:left="500" w:hanging="500"/>
    </w:pPr>
    <w:rPr>
      <w:rFonts w:ascii="Arial" w:hAnsi="Arial" w:cs="Times New Roman"/>
      <w:sz w:val="21"/>
      <w:lang w:val="en-US"/>
    </w:rPr>
  </w:style>
  <w:style w:type="paragraph" w:customStyle="1" w:styleId="Tablefont">
    <w:name w:val="Table font"/>
    <w:basedOn w:val="Normal"/>
    <w:link w:val="TablefontChar"/>
    <w:autoRedefine/>
    <w:uiPriority w:val="99"/>
    <w:rsid w:val="006A4E0A"/>
    <w:rPr>
      <w:rFonts w:ascii="Arial Narrow" w:hAnsi="Arial Narrow" w:cs="Arial Narrow"/>
      <w:sz w:val="20"/>
      <w:szCs w:val="24"/>
    </w:rPr>
  </w:style>
  <w:style w:type="paragraph" w:customStyle="1" w:styleId="List1">
    <w:name w:val="List 1"/>
    <w:basedOn w:val="Normal"/>
    <w:uiPriority w:val="99"/>
    <w:rsid w:val="006A4E0A"/>
    <w:pPr>
      <w:numPr>
        <w:numId w:val="22"/>
      </w:numPr>
      <w:jc w:val="both"/>
    </w:pPr>
    <w:rPr>
      <w:rFonts w:ascii="Arial" w:hAnsi="Arial" w:cs="Times New Roman"/>
      <w:szCs w:val="24"/>
    </w:rPr>
  </w:style>
  <w:style w:type="character" w:customStyle="1" w:styleId="CONLevel11CharChar">
    <w:name w:val=".CON  Level   1.1 Char Char"/>
    <w:basedOn w:val="DefaultParagraphFont"/>
    <w:link w:val="CONLevel11Char"/>
    <w:uiPriority w:val="99"/>
    <w:locked/>
    <w:rsid w:val="006A4E0A"/>
    <w:rPr>
      <w:rFonts w:ascii="Times New Roman" w:hAnsi="Times New Roman" w:cs="Times New Roman"/>
      <w:sz w:val="24"/>
      <w:lang w:val="en-AU"/>
    </w:rPr>
  </w:style>
  <w:style w:type="character" w:customStyle="1" w:styleId="CONLevelaCharChar">
    <w:name w:val=".CON  Level  (a) Char Char"/>
    <w:basedOn w:val="DefaultParagraphFont"/>
    <w:link w:val="CONLevelaChar"/>
    <w:uiPriority w:val="99"/>
    <w:locked/>
    <w:rsid w:val="006A4E0A"/>
    <w:rPr>
      <w:rFonts w:ascii="Times New Roman" w:hAnsi="Times New Roman" w:cs="Times New Roman"/>
      <w:sz w:val="24"/>
      <w:lang w:val="en-AU"/>
    </w:rPr>
  </w:style>
  <w:style w:type="paragraph" w:customStyle="1" w:styleId="CaptionT">
    <w:name w:val="Caption T"/>
    <w:basedOn w:val="BodyText"/>
    <w:link w:val="CaptionTChar"/>
    <w:autoRedefine/>
    <w:uiPriority w:val="99"/>
    <w:rsid w:val="006A4E0A"/>
    <w:pPr>
      <w:numPr>
        <w:numId w:val="26"/>
      </w:numPr>
      <w:tabs>
        <w:tab w:val="num" w:pos="0"/>
        <w:tab w:val="left" w:pos="500"/>
        <w:tab w:val="left" w:pos="1200"/>
      </w:tabs>
      <w:ind w:left="0" w:firstLine="0"/>
    </w:pPr>
    <w:rPr>
      <w:rFonts w:ascii="Cambria" w:hAnsi="Cambria" w:cs="Times New Roman"/>
      <w:i/>
      <w:sz w:val="18"/>
      <w:szCs w:val="18"/>
    </w:rPr>
  </w:style>
  <w:style w:type="paragraph" w:customStyle="1" w:styleId="KPI">
    <w:name w:val="KPI"/>
    <w:basedOn w:val="Heading3"/>
    <w:next w:val="BodyText"/>
    <w:link w:val="KPIChar"/>
    <w:autoRedefine/>
    <w:uiPriority w:val="99"/>
    <w:rsid w:val="006A4E0A"/>
    <w:pPr>
      <w:tabs>
        <w:tab w:val="num" w:pos="200"/>
      </w:tabs>
      <w:spacing w:before="240" w:after="60"/>
      <w:ind w:left="632" w:hanging="432"/>
      <w:jc w:val="both"/>
    </w:pPr>
    <w:rPr>
      <w:rFonts w:ascii="Arial" w:hAnsi="Arial" w:cs="Arial"/>
      <w:b w:val="0"/>
      <w:szCs w:val="26"/>
    </w:rPr>
  </w:style>
  <w:style w:type="paragraph" w:customStyle="1" w:styleId="CaptionA">
    <w:name w:val="Caption A"/>
    <w:basedOn w:val="BodyText"/>
    <w:next w:val="BodyText"/>
    <w:autoRedefine/>
    <w:uiPriority w:val="99"/>
    <w:rsid w:val="006A4E0A"/>
    <w:pPr>
      <w:numPr>
        <w:numId w:val="23"/>
      </w:numPr>
      <w:tabs>
        <w:tab w:val="left" w:pos="500"/>
      </w:tabs>
    </w:pPr>
    <w:rPr>
      <w:rFonts w:ascii="Arial" w:hAnsi="Arial" w:cs="Times New Roman"/>
      <w:sz w:val="21"/>
      <w:lang w:val="en-US"/>
    </w:rPr>
  </w:style>
  <w:style w:type="paragraph" w:customStyle="1" w:styleId="SPI">
    <w:name w:val="SPI"/>
    <w:basedOn w:val="BodyText"/>
    <w:next w:val="BodyText"/>
    <w:autoRedefine/>
    <w:uiPriority w:val="99"/>
    <w:rsid w:val="006A4E0A"/>
    <w:pPr>
      <w:numPr>
        <w:numId w:val="25"/>
      </w:numPr>
      <w:tabs>
        <w:tab w:val="left" w:pos="0"/>
        <w:tab w:val="left" w:pos="500"/>
        <w:tab w:val="left" w:pos="1000"/>
      </w:tabs>
      <w:ind w:hanging="1301"/>
    </w:pPr>
    <w:rPr>
      <w:rFonts w:ascii="Arial" w:hAnsi="Arial" w:cs="Times New Roman"/>
      <w:b/>
      <w:sz w:val="21"/>
      <w:lang w:val="en-US"/>
    </w:rPr>
  </w:style>
  <w:style w:type="character" w:customStyle="1" w:styleId="TablefontChar">
    <w:name w:val="Table font Char"/>
    <w:basedOn w:val="DefaultParagraphFont"/>
    <w:link w:val="Tablefont"/>
    <w:uiPriority w:val="99"/>
    <w:locked/>
    <w:rsid w:val="006A4E0A"/>
    <w:rPr>
      <w:rFonts w:ascii="Arial Narrow" w:hAnsi="Arial Narrow" w:cs="Arial Narrow"/>
      <w:sz w:val="20"/>
      <w:szCs w:val="24"/>
    </w:rPr>
  </w:style>
  <w:style w:type="character" w:customStyle="1" w:styleId="CaptionTChar">
    <w:name w:val="Caption T Char"/>
    <w:basedOn w:val="BodyTextChar"/>
    <w:link w:val="CaptionT"/>
    <w:uiPriority w:val="99"/>
    <w:locked/>
    <w:rsid w:val="006A4E0A"/>
    <w:rPr>
      <w:rFonts w:ascii="Cambria" w:hAnsi="Cambria" w:cs="Times New Roman"/>
      <w:i/>
      <w:sz w:val="18"/>
      <w:szCs w:val="18"/>
      <w:lang w:val="en-AU"/>
    </w:rPr>
  </w:style>
  <w:style w:type="character" w:customStyle="1" w:styleId="KPIChar">
    <w:name w:val="KPI Char"/>
    <w:basedOn w:val="Heading3Char"/>
    <w:link w:val="KPI"/>
    <w:uiPriority w:val="99"/>
    <w:locked/>
    <w:rsid w:val="006A4E0A"/>
    <w:rPr>
      <w:rFonts w:ascii="Arial" w:hAnsi="Arial" w:cs="Arial"/>
      <w:b w:val="0"/>
      <w:bCs/>
      <w:i/>
      <w:iCs/>
      <w:color w:val="003880"/>
      <w:sz w:val="24"/>
      <w:szCs w:val="26"/>
    </w:rPr>
  </w:style>
  <w:style w:type="paragraph" w:customStyle="1" w:styleId="Title1">
    <w:name w:val="Title 1"/>
    <w:basedOn w:val="Heading1"/>
    <w:link w:val="Title1Char"/>
    <w:autoRedefine/>
    <w:uiPriority w:val="99"/>
    <w:rsid w:val="006A4E0A"/>
    <w:pPr>
      <w:numPr>
        <w:numId w:val="0"/>
      </w:numPr>
      <w:spacing w:before="240"/>
      <w:jc w:val="center"/>
    </w:pPr>
    <w:rPr>
      <w:rFonts w:ascii="Garamond" w:hAnsi="Garamond" w:cs="Arial"/>
      <w:b/>
      <w:color w:val="000080"/>
      <w:szCs w:val="32"/>
    </w:rPr>
  </w:style>
  <w:style w:type="paragraph" w:customStyle="1" w:styleId="Title2">
    <w:name w:val="Title 2"/>
    <w:basedOn w:val="Title1"/>
    <w:link w:val="Title2Char"/>
    <w:autoRedefine/>
    <w:uiPriority w:val="99"/>
    <w:rsid w:val="006A4E0A"/>
    <w:rPr>
      <w:sz w:val="72"/>
    </w:rPr>
  </w:style>
  <w:style w:type="character" w:customStyle="1" w:styleId="Title1Char">
    <w:name w:val="Title 1 Char"/>
    <w:basedOn w:val="Heading1Char"/>
    <w:link w:val="Title1"/>
    <w:uiPriority w:val="99"/>
    <w:locked/>
    <w:rsid w:val="006A4E0A"/>
    <w:rPr>
      <w:rFonts w:ascii="Garamond" w:hAnsi="Garamond" w:cs="Arial"/>
      <w:b/>
      <w:bCs/>
      <w:color w:val="000080"/>
      <w:kern w:val="32"/>
      <w:sz w:val="32"/>
      <w:szCs w:val="32"/>
    </w:rPr>
  </w:style>
  <w:style w:type="character" w:customStyle="1" w:styleId="Title2Char">
    <w:name w:val="Title 2 Char"/>
    <w:basedOn w:val="Title1Char"/>
    <w:link w:val="Title2"/>
    <w:uiPriority w:val="99"/>
    <w:locked/>
    <w:rsid w:val="006A4E0A"/>
    <w:rPr>
      <w:rFonts w:ascii="Garamond" w:hAnsi="Garamond" w:cs="Arial"/>
      <w:b/>
      <w:bCs/>
      <w:color w:val="000080"/>
      <w:kern w:val="32"/>
      <w:sz w:val="72"/>
      <w:szCs w:val="32"/>
    </w:rPr>
  </w:style>
  <w:style w:type="paragraph" w:customStyle="1" w:styleId="StyleSPI">
    <w:name w:val="Style SPI"/>
    <w:basedOn w:val="SPI"/>
    <w:autoRedefine/>
    <w:uiPriority w:val="99"/>
    <w:rsid w:val="006A4E0A"/>
    <w:pPr>
      <w:numPr>
        <w:numId w:val="24"/>
      </w:numPr>
    </w:pPr>
    <w:rPr>
      <w:bCs/>
      <w:szCs w:val="20"/>
    </w:rPr>
  </w:style>
  <w:style w:type="paragraph" w:customStyle="1" w:styleId="Tableheader">
    <w:name w:val="Table header"/>
    <w:basedOn w:val="BodyText"/>
    <w:autoRedefine/>
    <w:uiPriority w:val="99"/>
    <w:rsid w:val="006A4E0A"/>
    <w:pPr>
      <w:numPr>
        <w:numId w:val="28"/>
      </w:numPr>
      <w:ind w:right="-60" w:hanging="781"/>
      <w:jc w:val="both"/>
    </w:pPr>
    <w:rPr>
      <w:rFonts w:ascii="Garamond" w:hAnsi="Garamond" w:cs="Times New Roman"/>
      <w:b/>
      <w:sz w:val="18"/>
      <w:szCs w:val="18"/>
      <w:lang w:val="en-US"/>
    </w:rPr>
  </w:style>
  <w:style w:type="paragraph" w:customStyle="1" w:styleId="Figureheader">
    <w:name w:val="Figure header"/>
    <w:basedOn w:val="Tableheader"/>
    <w:next w:val="BodyText"/>
    <w:autoRedefine/>
    <w:uiPriority w:val="99"/>
    <w:rsid w:val="006A4E0A"/>
    <w:pPr>
      <w:numPr>
        <w:numId w:val="27"/>
      </w:numPr>
      <w:spacing w:after="240"/>
      <w:ind w:right="-562"/>
      <w:jc w:val="center"/>
    </w:pPr>
    <w:rPr>
      <w:sz w:val="20"/>
      <w:szCs w:val="20"/>
    </w:rPr>
  </w:style>
  <w:style w:type="table" w:styleId="ColorfulGrid-Accent2">
    <w:name w:val="Colorful Grid Accent 2"/>
    <w:basedOn w:val="TableNormal"/>
    <w:uiPriority w:val="99"/>
    <w:rsid w:val="006A4E0A"/>
    <w:rPr>
      <w:rFonts w:cs="Times New Roman"/>
      <w:color w:val="000000"/>
      <w:sz w:val="20"/>
      <w:szCs w:val="20"/>
      <w:lang w:val="en-AU" w:eastAsia="en-AU"/>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List1-Accent2">
    <w:name w:val="Medium List 1 Accent 2"/>
    <w:basedOn w:val="TableNormal"/>
    <w:uiPriority w:val="99"/>
    <w:rsid w:val="006A4E0A"/>
    <w:rPr>
      <w:rFonts w:cs="Times New Roman"/>
      <w:color w:val="000000"/>
      <w:sz w:val="20"/>
      <w:szCs w:val="20"/>
      <w:lang w:val="en-AU" w:eastAsia="en-AU"/>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character" w:customStyle="1" w:styleId="CharChar15">
    <w:name w:val="Char Char15"/>
    <w:basedOn w:val="DefaultParagraphFont"/>
    <w:uiPriority w:val="99"/>
    <w:rsid w:val="006A4E0A"/>
    <w:rPr>
      <w:rFonts w:ascii="Cambria" w:hAnsi="Cambria" w:cs="Times New Roman"/>
      <w:b/>
      <w:color w:val="C0504D"/>
      <w:spacing w:val="5"/>
      <w:sz w:val="28"/>
      <w:szCs w:val="28"/>
      <w:lang w:val="en-US" w:eastAsia="en-US"/>
    </w:rPr>
  </w:style>
  <w:style w:type="character" w:customStyle="1" w:styleId="CharChar14">
    <w:name w:val="Char Char14"/>
    <w:basedOn w:val="DefaultParagraphFont"/>
    <w:uiPriority w:val="99"/>
    <w:rsid w:val="006A4E0A"/>
    <w:rPr>
      <w:rFonts w:ascii="Cambria" w:hAnsi="Cambria" w:cs="Times New Roman"/>
      <w:b/>
      <w:i/>
      <w:color w:val="C0504D"/>
      <w:spacing w:val="5"/>
      <w:sz w:val="24"/>
      <w:szCs w:val="24"/>
      <w:lang w:val="en-US" w:eastAsia="en-US"/>
    </w:rPr>
  </w:style>
  <w:style w:type="character" w:customStyle="1" w:styleId="CharChar3">
    <w:name w:val="Char Char3"/>
    <w:basedOn w:val="DefaultParagraphFont"/>
    <w:uiPriority w:val="99"/>
    <w:rsid w:val="006A4E0A"/>
    <w:rPr>
      <w:rFonts w:ascii="Arial" w:hAnsi="Arial" w:cs="Times New Roman"/>
      <w:sz w:val="24"/>
      <w:szCs w:val="24"/>
      <w:lang w:val="en-US" w:eastAsia="en-US" w:bidi="ar-SA"/>
    </w:rPr>
  </w:style>
  <w:style w:type="paragraph" w:customStyle="1" w:styleId="Paraheading">
    <w:name w:val="Para heading"/>
    <w:basedOn w:val="ListNumber"/>
    <w:link w:val="ParaheadingChar"/>
    <w:uiPriority w:val="99"/>
    <w:rsid w:val="006A4E0A"/>
    <w:pPr>
      <w:tabs>
        <w:tab w:val="clear" w:pos="360"/>
      </w:tabs>
      <w:spacing w:after="200" w:line="276" w:lineRule="auto"/>
      <w:jc w:val="both"/>
    </w:pPr>
    <w:rPr>
      <w:b/>
      <w:lang w:val="en-AU"/>
    </w:rPr>
  </w:style>
  <w:style w:type="character" w:customStyle="1" w:styleId="ListNumberChar">
    <w:name w:val="List Number Char"/>
    <w:basedOn w:val="DefaultParagraphFont"/>
    <w:link w:val="ListNumber"/>
    <w:uiPriority w:val="99"/>
    <w:locked/>
    <w:rsid w:val="006A4E0A"/>
  </w:style>
  <w:style w:type="character" w:customStyle="1" w:styleId="ParaheadingChar">
    <w:name w:val="Para heading Char"/>
    <w:basedOn w:val="ListNumberChar"/>
    <w:link w:val="Paraheading"/>
    <w:uiPriority w:val="99"/>
    <w:locked/>
    <w:rsid w:val="006A4E0A"/>
    <w:rPr>
      <w:b/>
      <w:lang w:val="en-AU"/>
    </w:rPr>
  </w:style>
  <w:style w:type="paragraph" w:styleId="ListNumber2">
    <w:name w:val="List Number 2"/>
    <w:basedOn w:val="Normal"/>
    <w:uiPriority w:val="99"/>
    <w:rsid w:val="006A4E0A"/>
    <w:pPr>
      <w:numPr>
        <w:numId w:val="29"/>
      </w:numPr>
      <w:spacing w:after="200" w:line="276" w:lineRule="auto"/>
      <w:jc w:val="both"/>
    </w:pPr>
    <w:rPr>
      <w:rFonts w:cs="Times New Roman"/>
      <w:szCs w:val="20"/>
    </w:rPr>
  </w:style>
  <w:style w:type="numbering" w:styleId="111111">
    <w:name w:val="Outline List 2"/>
    <w:basedOn w:val="NoList"/>
    <w:uiPriority w:val="99"/>
    <w:unhideWhenUsed/>
    <w:rsid w:val="006A4E0A"/>
    <w:pPr>
      <w:numPr>
        <w:numId w:val="21"/>
      </w:numPr>
    </w:pPr>
  </w:style>
  <w:style w:type="character" w:customStyle="1" w:styleId="apple-style-span">
    <w:name w:val="apple-style-span"/>
    <w:basedOn w:val="DefaultParagraphFont"/>
    <w:rsid w:val="006A4E0A"/>
  </w:style>
  <w:style w:type="table" w:styleId="MediumGrid3-Accent1">
    <w:name w:val="Medium Grid 3 Accent 1"/>
    <w:basedOn w:val="TableNormal"/>
    <w:uiPriority w:val="69"/>
    <w:rsid w:val="006A4E0A"/>
    <w:rPr>
      <w:rFonts w:cs="Times New Roman"/>
      <w:sz w:val="20"/>
      <w:szCs w:val="20"/>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1">
    <w:name w:val="Medium Shading 1 - Accent 11"/>
    <w:basedOn w:val="TableNormal"/>
    <w:uiPriority w:val="63"/>
    <w:rsid w:val="006A4E0A"/>
    <w:rPr>
      <w:rFonts w:cs="Times New Roman"/>
      <w:sz w:val="20"/>
      <w:szCs w:val="20"/>
      <w:lang w:val="en-AU"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xl63">
    <w:name w:val="xl63"/>
    <w:basedOn w:val="Normal"/>
    <w:rsid w:val="006A4E0A"/>
    <w:pPr>
      <w:spacing w:before="100" w:beforeAutospacing="1" w:after="100" w:afterAutospacing="1"/>
    </w:pPr>
    <w:rPr>
      <w:rFonts w:ascii="Times New Roman" w:hAnsi="Times New Roman" w:cs="Times New Roman"/>
      <w:sz w:val="20"/>
      <w:szCs w:val="20"/>
      <w:lang w:val="en-AU" w:eastAsia="en-AU"/>
    </w:rPr>
  </w:style>
  <w:style w:type="paragraph" w:customStyle="1" w:styleId="xl64">
    <w:name w:val="xl64"/>
    <w:basedOn w:val="Normal"/>
    <w:rsid w:val="006A4E0A"/>
    <w:pPr>
      <w:spacing w:before="100" w:beforeAutospacing="1" w:after="100" w:afterAutospacing="1"/>
    </w:pPr>
    <w:rPr>
      <w:rFonts w:ascii="Times New Roman" w:hAnsi="Times New Roman" w:cs="Times New Roman"/>
      <w:sz w:val="20"/>
      <w:szCs w:val="20"/>
      <w:lang w:val="en-AU" w:eastAsia="en-AU"/>
    </w:rPr>
  </w:style>
  <w:style w:type="paragraph" w:customStyle="1" w:styleId="xl65">
    <w:name w:val="xl65"/>
    <w:basedOn w:val="Normal"/>
    <w:rsid w:val="006A4E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s="Times New Roman"/>
      <w:sz w:val="18"/>
      <w:szCs w:val="18"/>
      <w:lang w:val="en-AU" w:eastAsia="en-AU"/>
    </w:rPr>
  </w:style>
  <w:style w:type="table" w:customStyle="1" w:styleId="MediumShading2-Accent11">
    <w:name w:val="Medium Shading 2 - Accent 11"/>
    <w:basedOn w:val="TableNormal"/>
    <w:uiPriority w:val="64"/>
    <w:rsid w:val="006A4E0A"/>
    <w:rPr>
      <w:rFonts w:cs="Times New Roman"/>
      <w:sz w:val="20"/>
      <w:szCs w:val="20"/>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6A4E0A"/>
    <w:rPr>
      <w:rFonts w:cs="Times New Roman"/>
      <w:sz w:val="20"/>
      <w:szCs w:val="20"/>
      <w:lang w:val="en-AU"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ListBullet3">
    <w:name w:val="List Bullet 3"/>
    <w:basedOn w:val="Normal"/>
    <w:uiPriority w:val="99"/>
    <w:unhideWhenUsed/>
    <w:rsid w:val="006A4E0A"/>
    <w:pPr>
      <w:numPr>
        <w:numId w:val="31"/>
      </w:numPr>
      <w:spacing w:after="200" w:line="276" w:lineRule="auto"/>
      <w:contextualSpacing/>
      <w:jc w:val="both"/>
    </w:pPr>
    <w:rPr>
      <w:rFonts w:cs="Times New Roman"/>
      <w:szCs w:val="20"/>
    </w:rPr>
  </w:style>
  <w:style w:type="paragraph" w:customStyle="1" w:styleId="Table">
    <w:name w:val="Table"/>
    <w:basedOn w:val="Caption"/>
    <w:link w:val="TableChar"/>
    <w:autoRedefine/>
    <w:qFormat/>
    <w:rsid w:val="005566A6"/>
    <w:pPr>
      <w:numPr>
        <w:numId w:val="47"/>
      </w:numPr>
    </w:pPr>
  </w:style>
  <w:style w:type="character" w:customStyle="1" w:styleId="CaptionChar">
    <w:name w:val="Caption Char"/>
    <w:aliases w:val="Figure Char"/>
    <w:basedOn w:val="DefaultParagraphFont"/>
    <w:link w:val="Caption"/>
    <w:uiPriority w:val="99"/>
    <w:rsid w:val="005566A6"/>
    <w:rPr>
      <w:rFonts w:asciiTheme="minorHAnsi" w:hAnsiTheme="minorHAnsi" w:cstheme="minorHAnsi"/>
      <w:b/>
      <w:lang w:val="en-GB"/>
    </w:rPr>
  </w:style>
  <w:style w:type="character" w:customStyle="1" w:styleId="TableChar">
    <w:name w:val="Table Char"/>
    <w:basedOn w:val="CaptionChar"/>
    <w:link w:val="Table"/>
    <w:rsid w:val="005566A6"/>
    <w:rPr>
      <w:rFonts w:asciiTheme="minorHAnsi" w:hAnsiTheme="minorHAnsi" w:cstheme="minorHAnsi"/>
      <w:b/>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569468">
      <w:bodyDiv w:val="1"/>
      <w:marLeft w:val="0"/>
      <w:marRight w:val="0"/>
      <w:marTop w:val="0"/>
      <w:marBottom w:val="0"/>
      <w:divBdr>
        <w:top w:val="none" w:sz="0" w:space="0" w:color="auto"/>
        <w:left w:val="none" w:sz="0" w:space="0" w:color="auto"/>
        <w:bottom w:val="none" w:sz="0" w:space="0" w:color="auto"/>
        <w:right w:val="none" w:sz="0" w:space="0" w:color="auto"/>
      </w:divBdr>
    </w:div>
    <w:div w:id="101994056">
      <w:bodyDiv w:val="1"/>
      <w:marLeft w:val="0"/>
      <w:marRight w:val="0"/>
      <w:marTop w:val="0"/>
      <w:marBottom w:val="0"/>
      <w:divBdr>
        <w:top w:val="none" w:sz="0" w:space="0" w:color="auto"/>
        <w:left w:val="none" w:sz="0" w:space="0" w:color="auto"/>
        <w:bottom w:val="none" w:sz="0" w:space="0" w:color="auto"/>
        <w:right w:val="none" w:sz="0" w:space="0" w:color="auto"/>
      </w:divBdr>
    </w:div>
    <w:div w:id="127600158">
      <w:bodyDiv w:val="1"/>
      <w:marLeft w:val="0"/>
      <w:marRight w:val="0"/>
      <w:marTop w:val="0"/>
      <w:marBottom w:val="0"/>
      <w:divBdr>
        <w:top w:val="none" w:sz="0" w:space="0" w:color="auto"/>
        <w:left w:val="none" w:sz="0" w:space="0" w:color="auto"/>
        <w:bottom w:val="none" w:sz="0" w:space="0" w:color="auto"/>
        <w:right w:val="none" w:sz="0" w:space="0" w:color="auto"/>
      </w:divBdr>
    </w:div>
    <w:div w:id="202330612">
      <w:bodyDiv w:val="1"/>
      <w:marLeft w:val="0"/>
      <w:marRight w:val="0"/>
      <w:marTop w:val="0"/>
      <w:marBottom w:val="0"/>
      <w:divBdr>
        <w:top w:val="none" w:sz="0" w:space="0" w:color="auto"/>
        <w:left w:val="none" w:sz="0" w:space="0" w:color="auto"/>
        <w:bottom w:val="none" w:sz="0" w:space="0" w:color="auto"/>
        <w:right w:val="none" w:sz="0" w:space="0" w:color="auto"/>
      </w:divBdr>
    </w:div>
    <w:div w:id="212159533">
      <w:bodyDiv w:val="1"/>
      <w:marLeft w:val="0"/>
      <w:marRight w:val="0"/>
      <w:marTop w:val="0"/>
      <w:marBottom w:val="0"/>
      <w:divBdr>
        <w:top w:val="none" w:sz="0" w:space="0" w:color="auto"/>
        <w:left w:val="none" w:sz="0" w:space="0" w:color="auto"/>
        <w:bottom w:val="none" w:sz="0" w:space="0" w:color="auto"/>
        <w:right w:val="none" w:sz="0" w:space="0" w:color="auto"/>
      </w:divBdr>
    </w:div>
    <w:div w:id="273559163">
      <w:bodyDiv w:val="1"/>
      <w:marLeft w:val="0"/>
      <w:marRight w:val="0"/>
      <w:marTop w:val="0"/>
      <w:marBottom w:val="0"/>
      <w:divBdr>
        <w:top w:val="none" w:sz="0" w:space="0" w:color="auto"/>
        <w:left w:val="none" w:sz="0" w:space="0" w:color="auto"/>
        <w:bottom w:val="none" w:sz="0" w:space="0" w:color="auto"/>
        <w:right w:val="none" w:sz="0" w:space="0" w:color="auto"/>
      </w:divBdr>
    </w:div>
    <w:div w:id="419641846">
      <w:bodyDiv w:val="1"/>
      <w:marLeft w:val="0"/>
      <w:marRight w:val="0"/>
      <w:marTop w:val="0"/>
      <w:marBottom w:val="0"/>
      <w:divBdr>
        <w:top w:val="none" w:sz="0" w:space="0" w:color="auto"/>
        <w:left w:val="none" w:sz="0" w:space="0" w:color="auto"/>
        <w:bottom w:val="none" w:sz="0" w:space="0" w:color="auto"/>
        <w:right w:val="none" w:sz="0" w:space="0" w:color="auto"/>
      </w:divBdr>
    </w:div>
    <w:div w:id="480193744">
      <w:bodyDiv w:val="1"/>
      <w:marLeft w:val="0"/>
      <w:marRight w:val="0"/>
      <w:marTop w:val="0"/>
      <w:marBottom w:val="0"/>
      <w:divBdr>
        <w:top w:val="none" w:sz="0" w:space="0" w:color="auto"/>
        <w:left w:val="none" w:sz="0" w:space="0" w:color="auto"/>
        <w:bottom w:val="none" w:sz="0" w:space="0" w:color="auto"/>
        <w:right w:val="none" w:sz="0" w:space="0" w:color="auto"/>
      </w:divBdr>
    </w:div>
    <w:div w:id="530652521">
      <w:bodyDiv w:val="1"/>
      <w:marLeft w:val="0"/>
      <w:marRight w:val="0"/>
      <w:marTop w:val="0"/>
      <w:marBottom w:val="0"/>
      <w:divBdr>
        <w:top w:val="none" w:sz="0" w:space="0" w:color="auto"/>
        <w:left w:val="none" w:sz="0" w:space="0" w:color="auto"/>
        <w:bottom w:val="none" w:sz="0" w:space="0" w:color="auto"/>
        <w:right w:val="none" w:sz="0" w:space="0" w:color="auto"/>
      </w:divBdr>
    </w:div>
    <w:div w:id="596863638">
      <w:bodyDiv w:val="1"/>
      <w:marLeft w:val="0"/>
      <w:marRight w:val="0"/>
      <w:marTop w:val="0"/>
      <w:marBottom w:val="0"/>
      <w:divBdr>
        <w:top w:val="none" w:sz="0" w:space="0" w:color="auto"/>
        <w:left w:val="none" w:sz="0" w:space="0" w:color="auto"/>
        <w:bottom w:val="none" w:sz="0" w:space="0" w:color="auto"/>
        <w:right w:val="none" w:sz="0" w:space="0" w:color="auto"/>
      </w:divBdr>
    </w:div>
    <w:div w:id="677659047">
      <w:bodyDiv w:val="1"/>
      <w:marLeft w:val="0"/>
      <w:marRight w:val="0"/>
      <w:marTop w:val="0"/>
      <w:marBottom w:val="0"/>
      <w:divBdr>
        <w:top w:val="none" w:sz="0" w:space="0" w:color="auto"/>
        <w:left w:val="none" w:sz="0" w:space="0" w:color="auto"/>
        <w:bottom w:val="none" w:sz="0" w:space="0" w:color="auto"/>
        <w:right w:val="none" w:sz="0" w:space="0" w:color="auto"/>
      </w:divBdr>
    </w:div>
    <w:div w:id="711151268">
      <w:bodyDiv w:val="1"/>
      <w:marLeft w:val="0"/>
      <w:marRight w:val="0"/>
      <w:marTop w:val="0"/>
      <w:marBottom w:val="0"/>
      <w:divBdr>
        <w:top w:val="none" w:sz="0" w:space="0" w:color="auto"/>
        <w:left w:val="none" w:sz="0" w:space="0" w:color="auto"/>
        <w:bottom w:val="none" w:sz="0" w:space="0" w:color="auto"/>
        <w:right w:val="none" w:sz="0" w:space="0" w:color="auto"/>
      </w:divBdr>
    </w:div>
    <w:div w:id="770661877">
      <w:bodyDiv w:val="1"/>
      <w:marLeft w:val="0"/>
      <w:marRight w:val="0"/>
      <w:marTop w:val="0"/>
      <w:marBottom w:val="0"/>
      <w:divBdr>
        <w:top w:val="none" w:sz="0" w:space="0" w:color="auto"/>
        <w:left w:val="none" w:sz="0" w:space="0" w:color="auto"/>
        <w:bottom w:val="none" w:sz="0" w:space="0" w:color="auto"/>
        <w:right w:val="none" w:sz="0" w:space="0" w:color="auto"/>
      </w:divBdr>
    </w:div>
    <w:div w:id="933325376">
      <w:bodyDiv w:val="1"/>
      <w:marLeft w:val="0"/>
      <w:marRight w:val="0"/>
      <w:marTop w:val="0"/>
      <w:marBottom w:val="0"/>
      <w:divBdr>
        <w:top w:val="none" w:sz="0" w:space="0" w:color="auto"/>
        <w:left w:val="none" w:sz="0" w:space="0" w:color="auto"/>
        <w:bottom w:val="none" w:sz="0" w:space="0" w:color="auto"/>
        <w:right w:val="none" w:sz="0" w:space="0" w:color="auto"/>
      </w:divBdr>
    </w:div>
    <w:div w:id="966007931">
      <w:bodyDiv w:val="1"/>
      <w:marLeft w:val="0"/>
      <w:marRight w:val="0"/>
      <w:marTop w:val="0"/>
      <w:marBottom w:val="0"/>
      <w:divBdr>
        <w:top w:val="none" w:sz="0" w:space="0" w:color="auto"/>
        <w:left w:val="none" w:sz="0" w:space="0" w:color="auto"/>
        <w:bottom w:val="none" w:sz="0" w:space="0" w:color="auto"/>
        <w:right w:val="none" w:sz="0" w:space="0" w:color="auto"/>
      </w:divBdr>
    </w:div>
    <w:div w:id="974290774">
      <w:bodyDiv w:val="1"/>
      <w:marLeft w:val="0"/>
      <w:marRight w:val="0"/>
      <w:marTop w:val="0"/>
      <w:marBottom w:val="0"/>
      <w:divBdr>
        <w:top w:val="none" w:sz="0" w:space="0" w:color="auto"/>
        <w:left w:val="none" w:sz="0" w:space="0" w:color="auto"/>
        <w:bottom w:val="none" w:sz="0" w:space="0" w:color="auto"/>
        <w:right w:val="none" w:sz="0" w:space="0" w:color="auto"/>
      </w:divBdr>
    </w:div>
    <w:div w:id="976186509">
      <w:bodyDiv w:val="1"/>
      <w:marLeft w:val="0"/>
      <w:marRight w:val="0"/>
      <w:marTop w:val="0"/>
      <w:marBottom w:val="0"/>
      <w:divBdr>
        <w:top w:val="none" w:sz="0" w:space="0" w:color="auto"/>
        <w:left w:val="none" w:sz="0" w:space="0" w:color="auto"/>
        <w:bottom w:val="none" w:sz="0" w:space="0" w:color="auto"/>
        <w:right w:val="none" w:sz="0" w:space="0" w:color="auto"/>
      </w:divBdr>
    </w:div>
    <w:div w:id="1021205843">
      <w:bodyDiv w:val="1"/>
      <w:marLeft w:val="0"/>
      <w:marRight w:val="0"/>
      <w:marTop w:val="0"/>
      <w:marBottom w:val="0"/>
      <w:divBdr>
        <w:top w:val="none" w:sz="0" w:space="0" w:color="auto"/>
        <w:left w:val="none" w:sz="0" w:space="0" w:color="auto"/>
        <w:bottom w:val="none" w:sz="0" w:space="0" w:color="auto"/>
        <w:right w:val="none" w:sz="0" w:space="0" w:color="auto"/>
      </w:divBdr>
    </w:div>
    <w:div w:id="1082022695">
      <w:bodyDiv w:val="1"/>
      <w:marLeft w:val="0"/>
      <w:marRight w:val="0"/>
      <w:marTop w:val="0"/>
      <w:marBottom w:val="0"/>
      <w:divBdr>
        <w:top w:val="none" w:sz="0" w:space="0" w:color="auto"/>
        <w:left w:val="none" w:sz="0" w:space="0" w:color="auto"/>
        <w:bottom w:val="none" w:sz="0" w:space="0" w:color="auto"/>
        <w:right w:val="none" w:sz="0" w:space="0" w:color="auto"/>
      </w:divBdr>
      <w:divsChild>
        <w:div w:id="1396321892">
          <w:marLeft w:val="0"/>
          <w:marRight w:val="0"/>
          <w:marTop w:val="0"/>
          <w:marBottom w:val="0"/>
          <w:divBdr>
            <w:top w:val="none" w:sz="0" w:space="0" w:color="auto"/>
            <w:left w:val="none" w:sz="0" w:space="0" w:color="auto"/>
            <w:bottom w:val="none" w:sz="0" w:space="0" w:color="auto"/>
            <w:right w:val="none" w:sz="0" w:space="0" w:color="auto"/>
          </w:divBdr>
        </w:div>
      </w:divsChild>
    </w:div>
    <w:div w:id="1104881385">
      <w:bodyDiv w:val="1"/>
      <w:marLeft w:val="0"/>
      <w:marRight w:val="0"/>
      <w:marTop w:val="0"/>
      <w:marBottom w:val="0"/>
      <w:divBdr>
        <w:top w:val="none" w:sz="0" w:space="0" w:color="auto"/>
        <w:left w:val="none" w:sz="0" w:space="0" w:color="auto"/>
        <w:bottom w:val="none" w:sz="0" w:space="0" w:color="auto"/>
        <w:right w:val="none" w:sz="0" w:space="0" w:color="auto"/>
      </w:divBdr>
      <w:divsChild>
        <w:div w:id="771323012">
          <w:marLeft w:val="1166"/>
          <w:marRight w:val="0"/>
          <w:marTop w:val="82"/>
          <w:marBottom w:val="0"/>
          <w:divBdr>
            <w:top w:val="none" w:sz="0" w:space="0" w:color="auto"/>
            <w:left w:val="none" w:sz="0" w:space="0" w:color="auto"/>
            <w:bottom w:val="none" w:sz="0" w:space="0" w:color="auto"/>
            <w:right w:val="none" w:sz="0" w:space="0" w:color="auto"/>
          </w:divBdr>
        </w:div>
        <w:div w:id="1238857709">
          <w:marLeft w:val="547"/>
          <w:marRight w:val="0"/>
          <w:marTop w:val="96"/>
          <w:marBottom w:val="0"/>
          <w:divBdr>
            <w:top w:val="none" w:sz="0" w:space="0" w:color="auto"/>
            <w:left w:val="none" w:sz="0" w:space="0" w:color="auto"/>
            <w:bottom w:val="none" w:sz="0" w:space="0" w:color="auto"/>
            <w:right w:val="none" w:sz="0" w:space="0" w:color="auto"/>
          </w:divBdr>
        </w:div>
        <w:div w:id="1319455080">
          <w:marLeft w:val="1166"/>
          <w:marRight w:val="0"/>
          <w:marTop w:val="82"/>
          <w:marBottom w:val="0"/>
          <w:divBdr>
            <w:top w:val="none" w:sz="0" w:space="0" w:color="auto"/>
            <w:left w:val="none" w:sz="0" w:space="0" w:color="auto"/>
            <w:bottom w:val="none" w:sz="0" w:space="0" w:color="auto"/>
            <w:right w:val="none" w:sz="0" w:space="0" w:color="auto"/>
          </w:divBdr>
        </w:div>
        <w:div w:id="1865361936">
          <w:marLeft w:val="1166"/>
          <w:marRight w:val="0"/>
          <w:marTop w:val="82"/>
          <w:marBottom w:val="0"/>
          <w:divBdr>
            <w:top w:val="none" w:sz="0" w:space="0" w:color="auto"/>
            <w:left w:val="none" w:sz="0" w:space="0" w:color="auto"/>
            <w:bottom w:val="none" w:sz="0" w:space="0" w:color="auto"/>
            <w:right w:val="none" w:sz="0" w:space="0" w:color="auto"/>
          </w:divBdr>
        </w:div>
        <w:div w:id="1942563266">
          <w:marLeft w:val="547"/>
          <w:marRight w:val="0"/>
          <w:marTop w:val="96"/>
          <w:marBottom w:val="0"/>
          <w:divBdr>
            <w:top w:val="none" w:sz="0" w:space="0" w:color="auto"/>
            <w:left w:val="none" w:sz="0" w:space="0" w:color="auto"/>
            <w:bottom w:val="none" w:sz="0" w:space="0" w:color="auto"/>
            <w:right w:val="none" w:sz="0" w:space="0" w:color="auto"/>
          </w:divBdr>
        </w:div>
      </w:divsChild>
    </w:div>
    <w:div w:id="1122383149">
      <w:bodyDiv w:val="1"/>
      <w:marLeft w:val="0"/>
      <w:marRight w:val="0"/>
      <w:marTop w:val="0"/>
      <w:marBottom w:val="0"/>
      <w:divBdr>
        <w:top w:val="none" w:sz="0" w:space="0" w:color="auto"/>
        <w:left w:val="none" w:sz="0" w:space="0" w:color="auto"/>
        <w:bottom w:val="none" w:sz="0" w:space="0" w:color="auto"/>
        <w:right w:val="none" w:sz="0" w:space="0" w:color="auto"/>
      </w:divBdr>
    </w:div>
    <w:div w:id="1144930899">
      <w:bodyDiv w:val="1"/>
      <w:marLeft w:val="0"/>
      <w:marRight w:val="0"/>
      <w:marTop w:val="0"/>
      <w:marBottom w:val="0"/>
      <w:divBdr>
        <w:top w:val="none" w:sz="0" w:space="0" w:color="auto"/>
        <w:left w:val="none" w:sz="0" w:space="0" w:color="auto"/>
        <w:bottom w:val="none" w:sz="0" w:space="0" w:color="auto"/>
        <w:right w:val="none" w:sz="0" w:space="0" w:color="auto"/>
      </w:divBdr>
    </w:div>
    <w:div w:id="1171532411">
      <w:bodyDiv w:val="1"/>
      <w:marLeft w:val="0"/>
      <w:marRight w:val="0"/>
      <w:marTop w:val="0"/>
      <w:marBottom w:val="0"/>
      <w:divBdr>
        <w:top w:val="none" w:sz="0" w:space="0" w:color="auto"/>
        <w:left w:val="none" w:sz="0" w:space="0" w:color="auto"/>
        <w:bottom w:val="none" w:sz="0" w:space="0" w:color="auto"/>
        <w:right w:val="none" w:sz="0" w:space="0" w:color="auto"/>
      </w:divBdr>
    </w:div>
    <w:div w:id="1178697452">
      <w:bodyDiv w:val="1"/>
      <w:marLeft w:val="0"/>
      <w:marRight w:val="0"/>
      <w:marTop w:val="0"/>
      <w:marBottom w:val="0"/>
      <w:divBdr>
        <w:top w:val="none" w:sz="0" w:space="0" w:color="auto"/>
        <w:left w:val="none" w:sz="0" w:space="0" w:color="auto"/>
        <w:bottom w:val="none" w:sz="0" w:space="0" w:color="auto"/>
        <w:right w:val="none" w:sz="0" w:space="0" w:color="auto"/>
      </w:divBdr>
    </w:div>
    <w:div w:id="1243031815">
      <w:bodyDiv w:val="1"/>
      <w:marLeft w:val="0"/>
      <w:marRight w:val="0"/>
      <w:marTop w:val="0"/>
      <w:marBottom w:val="0"/>
      <w:divBdr>
        <w:top w:val="none" w:sz="0" w:space="0" w:color="auto"/>
        <w:left w:val="none" w:sz="0" w:space="0" w:color="auto"/>
        <w:bottom w:val="none" w:sz="0" w:space="0" w:color="auto"/>
        <w:right w:val="none" w:sz="0" w:space="0" w:color="auto"/>
      </w:divBdr>
      <w:divsChild>
        <w:div w:id="248387332">
          <w:marLeft w:val="547"/>
          <w:marRight w:val="0"/>
          <w:marTop w:val="91"/>
          <w:marBottom w:val="0"/>
          <w:divBdr>
            <w:top w:val="none" w:sz="0" w:space="0" w:color="auto"/>
            <w:left w:val="none" w:sz="0" w:space="0" w:color="auto"/>
            <w:bottom w:val="none" w:sz="0" w:space="0" w:color="auto"/>
            <w:right w:val="none" w:sz="0" w:space="0" w:color="auto"/>
          </w:divBdr>
        </w:div>
        <w:div w:id="1494377238">
          <w:marLeft w:val="547"/>
          <w:marRight w:val="0"/>
          <w:marTop w:val="91"/>
          <w:marBottom w:val="0"/>
          <w:divBdr>
            <w:top w:val="none" w:sz="0" w:space="0" w:color="auto"/>
            <w:left w:val="none" w:sz="0" w:space="0" w:color="auto"/>
            <w:bottom w:val="none" w:sz="0" w:space="0" w:color="auto"/>
            <w:right w:val="none" w:sz="0" w:space="0" w:color="auto"/>
          </w:divBdr>
        </w:div>
        <w:div w:id="1549295372">
          <w:marLeft w:val="547"/>
          <w:marRight w:val="0"/>
          <w:marTop w:val="91"/>
          <w:marBottom w:val="0"/>
          <w:divBdr>
            <w:top w:val="none" w:sz="0" w:space="0" w:color="auto"/>
            <w:left w:val="none" w:sz="0" w:space="0" w:color="auto"/>
            <w:bottom w:val="none" w:sz="0" w:space="0" w:color="auto"/>
            <w:right w:val="none" w:sz="0" w:space="0" w:color="auto"/>
          </w:divBdr>
        </w:div>
        <w:div w:id="1694576635">
          <w:marLeft w:val="547"/>
          <w:marRight w:val="0"/>
          <w:marTop w:val="91"/>
          <w:marBottom w:val="0"/>
          <w:divBdr>
            <w:top w:val="none" w:sz="0" w:space="0" w:color="auto"/>
            <w:left w:val="none" w:sz="0" w:space="0" w:color="auto"/>
            <w:bottom w:val="none" w:sz="0" w:space="0" w:color="auto"/>
            <w:right w:val="none" w:sz="0" w:space="0" w:color="auto"/>
          </w:divBdr>
        </w:div>
      </w:divsChild>
    </w:div>
    <w:div w:id="1277564496">
      <w:bodyDiv w:val="1"/>
      <w:marLeft w:val="0"/>
      <w:marRight w:val="0"/>
      <w:marTop w:val="0"/>
      <w:marBottom w:val="0"/>
      <w:divBdr>
        <w:top w:val="none" w:sz="0" w:space="0" w:color="auto"/>
        <w:left w:val="none" w:sz="0" w:space="0" w:color="auto"/>
        <w:bottom w:val="none" w:sz="0" w:space="0" w:color="auto"/>
        <w:right w:val="none" w:sz="0" w:space="0" w:color="auto"/>
      </w:divBdr>
    </w:div>
    <w:div w:id="1284848377">
      <w:bodyDiv w:val="1"/>
      <w:marLeft w:val="0"/>
      <w:marRight w:val="0"/>
      <w:marTop w:val="0"/>
      <w:marBottom w:val="0"/>
      <w:divBdr>
        <w:top w:val="none" w:sz="0" w:space="0" w:color="auto"/>
        <w:left w:val="none" w:sz="0" w:space="0" w:color="auto"/>
        <w:bottom w:val="none" w:sz="0" w:space="0" w:color="auto"/>
        <w:right w:val="none" w:sz="0" w:space="0" w:color="auto"/>
      </w:divBdr>
    </w:div>
    <w:div w:id="1298339851">
      <w:bodyDiv w:val="1"/>
      <w:marLeft w:val="0"/>
      <w:marRight w:val="0"/>
      <w:marTop w:val="0"/>
      <w:marBottom w:val="0"/>
      <w:divBdr>
        <w:top w:val="none" w:sz="0" w:space="0" w:color="auto"/>
        <w:left w:val="none" w:sz="0" w:space="0" w:color="auto"/>
        <w:bottom w:val="none" w:sz="0" w:space="0" w:color="auto"/>
        <w:right w:val="none" w:sz="0" w:space="0" w:color="auto"/>
      </w:divBdr>
    </w:div>
    <w:div w:id="1330787993">
      <w:bodyDiv w:val="1"/>
      <w:marLeft w:val="0"/>
      <w:marRight w:val="0"/>
      <w:marTop w:val="0"/>
      <w:marBottom w:val="0"/>
      <w:divBdr>
        <w:top w:val="none" w:sz="0" w:space="0" w:color="auto"/>
        <w:left w:val="none" w:sz="0" w:space="0" w:color="auto"/>
        <w:bottom w:val="none" w:sz="0" w:space="0" w:color="auto"/>
        <w:right w:val="none" w:sz="0" w:space="0" w:color="auto"/>
      </w:divBdr>
      <w:divsChild>
        <w:div w:id="840507213">
          <w:marLeft w:val="1166"/>
          <w:marRight w:val="0"/>
          <w:marTop w:val="0"/>
          <w:marBottom w:val="0"/>
          <w:divBdr>
            <w:top w:val="none" w:sz="0" w:space="0" w:color="auto"/>
            <w:left w:val="none" w:sz="0" w:space="0" w:color="auto"/>
            <w:bottom w:val="none" w:sz="0" w:space="0" w:color="auto"/>
            <w:right w:val="none" w:sz="0" w:space="0" w:color="auto"/>
          </w:divBdr>
        </w:div>
        <w:div w:id="861866538">
          <w:marLeft w:val="547"/>
          <w:marRight w:val="0"/>
          <w:marTop w:val="0"/>
          <w:marBottom w:val="0"/>
          <w:divBdr>
            <w:top w:val="none" w:sz="0" w:space="0" w:color="auto"/>
            <w:left w:val="none" w:sz="0" w:space="0" w:color="auto"/>
            <w:bottom w:val="none" w:sz="0" w:space="0" w:color="auto"/>
            <w:right w:val="none" w:sz="0" w:space="0" w:color="auto"/>
          </w:divBdr>
        </w:div>
      </w:divsChild>
    </w:div>
    <w:div w:id="1342778815">
      <w:bodyDiv w:val="1"/>
      <w:marLeft w:val="0"/>
      <w:marRight w:val="0"/>
      <w:marTop w:val="0"/>
      <w:marBottom w:val="0"/>
      <w:divBdr>
        <w:top w:val="none" w:sz="0" w:space="0" w:color="auto"/>
        <w:left w:val="none" w:sz="0" w:space="0" w:color="auto"/>
        <w:bottom w:val="none" w:sz="0" w:space="0" w:color="auto"/>
        <w:right w:val="none" w:sz="0" w:space="0" w:color="auto"/>
      </w:divBdr>
    </w:div>
    <w:div w:id="1373001120">
      <w:bodyDiv w:val="1"/>
      <w:marLeft w:val="0"/>
      <w:marRight w:val="0"/>
      <w:marTop w:val="0"/>
      <w:marBottom w:val="0"/>
      <w:divBdr>
        <w:top w:val="none" w:sz="0" w:space="0" w:color="auto"/>
        <w:left w:val="none" w:sz="0" w:space="0" w:color="auto"/>
        <w:bottom w:val="none" w:sz="0" w:space="0" w:color="auto"/>
        <w:right w:val="none" w:sz="0" w:space="0" w:color="auto"/>
      </w:divBdr>
    </w:div>
    <w:div w:id="1386295351">
      <w:bodyDiv w:val="1"/>
      <w:marLeft w:val="0"/>
      <w:marRight w:val="0"/>
      <w:marTop w:val="0"/>
      <w:marBottom w:val="0"/>
      <w:divBdr>
        <w:top w:val="none" w:sz="0" w:space="0" w:color="auto"/>
        <w:left w:val="none" w:sz="0" w:space="0" w:color="auto"/>
        <w:bottom w:val="none" w:sz="0" w:space="0" w:color="auto"/>
        <w:right w:val="none" w:sz="0" w:space="0" w:color="auto"/>
      </w:divBdr>
    </w:div>
    <w:div w:id="1392583436">
      <w:bodyDiv w:val="1"/>
      <w:marLeft w:val="0"/>
      <w:marRight w:val="0"/>
      <w:marTop w:val="0"/>
      <w:marBottom w:val="0"/>
      <w:divBdr>
        <w:top w:val="none" w:sz="0" w:space="0" w:color="auto"/>
        <w:left w:val="none" w:sz="0" w:space="0" w:color="auto"/>
        <w:bottom w:val="none" w:sz="0" w:space="0" w:color="auto"/>
        <w:right w:val="none" w:sz="0" w:space="0" w:color="auto"/>
      </w:divBdr>
    </w:div>
    <w:div w:id="1393649599">
      <w:bodyDiv w:val="1"/>
      <w:marLeft w:val="0"/>
      <w:marRight w:val="0"/>
      <w:marTop w:val="0"/>
      <w:marBottom w:val="0"/>
      <w:divBdr>
        <w:top w:val="none" w:sz="0" w:space="0" w:color="auto"/>
        <w:left w:val="none" w:sz="0" w:space="0" w:color="auto"/>
        <w:bottom w:val="none" w:sz="0" w:space="0" w:color="auto"/>
        <w:right w:val="none" w:sz="0" w:space="0" w:color="auto"/>
      </w:divBdr>
    </w:div>
    <w:div w:id="1418358479">
      <w:bodyDiv w:val="1"/>
      <w:marLeft w:val="0"/>
      <w:marRight w:val="0"/>
      <w:marTop w:val="0"/>
      <w:marBottom w:val="0"/>
      <w:divBdr>
        <w:top w:val="none" w:sz="0" w:space="0" w:color="auto"/>
        <w:left w:val="none" w:sz="0" w:space="0" w:color="auto"/>
        <w:bottom w:val="none" w:sz="0" w:space="0" w:color="auto"/>
        <w:right w:val="none" w:sz="0" w:space="0" w:color="auto"/>
      </w:divBdr>
      <w:divsChild>
        <w:div w:id="908198694">
          <w:marLeft w:val="547"/>
          <w:marRight w:val="0"/>
          <w:marTop w:val="115"/>
          <w:marBottom w:val="0"/>
          <w:divBdr>
            <w:top w:val="none" w:sz="0" w:space="0" w:color="auto"/>
            <w:left w:val="none" w:sz="0" w:space="0" w:color="auto"/>
            <w:bottom w:val="none" w:sz="0" w:space="0" w:color="auto"/>
            <w:right w:val="none" w:sz="0" w:space="0" w:color="auto"/>
          </w:divBdr>
        </w:div>
      </w:divsChild>
    </w:div>
    <w:div w:id="1454446844">
      <w:bodyDiv w:val="1"/>
      <w:marLeft w:val="0"/>
      <w:marRight w:val="0"/>
      <w:marTop w:val="0"/>
      <w:marBottom w:val="0"/>
      <w:divBdr>
        <w:top w:val="none" w:sz="0" w:space="0" w:color="auto"/>
        <w:left w:val="none" w:sz="0" w:space="0" w:color="auto"/>
        <w:bottom w:val="none" w:sz="0" w:space="0" w:color="auto"/>
        <w:right w:val="none" w:sz="0" w:space="0" w:color="auto"/>
      </w:divBdr>
    </w:div>
    <w:div w:id="1458599035">
      <w:bodyDiv w:val="1"/>
      <w:marLeft w:val="0"/>
      <w:marRight w:val="0"/>
      <w:marTop w:val="0"/>
      <w:marBottom w:val="0"/>
      <w:divBdr>
        <w:top w:val="none" w:sz="0" w:space="0" w:color="auto"/>
        <w:left w:val="none" w:sz="0" w:space="0" w:color="auto"/>
        <w:bottom w:val="none" w:sz="0" w:space="0" w:color="auto"/>
        <w:right w:val="none" w:sz="0" w:space="0" w:color="auto"/>
      </w:divBdr>
    </w:div>
    <w:div w:id="1527519975">
      <w:bodyDiv w:val="1"/>
      <w:marLeft w:val="0"/>
      <w:marRight w:val="0"/>
      <w:marTop w:val="0"/>
      <w:marBottom w:val="0"/>
      <w:divBdr>
        <w:top w:val="none" w:sz="0" w:space="0" w:color="auto"/>
        <w:left w:val="none" w:sz="0" w:space="0" w:color="auto"/>
        <w:bottom w:val="none" w:sz="0" w:space="0" w:color="auto"/>
        <w:right w:val="none" w:sz="0" w:space="0" w:color="auto"/>
      </w:divBdr>
    </w:div>
    <w:div w:id="1543128717">
      <w:bodyDiv w:val="1"/>
      <w:marLeft w:val="0"/>
      <w:marRight w:val="0"/>
      <w:marTop w:val="0"/>
      <w:marBottom w:val="0"/>
      <w:divBdr>
        <w:top w:val="none" w:sz="0" w:space="0" w:color="auto"/>
        <w:left w:val="none" w:sz="0" w:space="0" w:color="auto"/>
        <w:bottom w:val="none" w:sz="0" w:space="0" w:color="auto"/>
        <w:right w:val="none" w:sz="0" w:space="0" w:color="auto"/>
      </w:divBdr>
    </w:div>
    <w:div w:id="1597205688">
      <w:bodyDiv w:val="1"/>
      <w:marLeft w:val="0"/>
      <w:marRight w:val="0"/>
      <w:marTop w:val="0"/>
      <w:marBottom w:val="0"/>
      <w:divBdr>
        <w:top w:val="none" w:sz="0" w:space="0" w:color="auto"/>
        <w:left w:val="none" w:sz="0" w:space="0" w:color="auto"/>
        <w:bottom w:val="none" w:sz="0" w:space="0" w:color="auto"/>
        <w:right w:val="none" w:sz="0" w:space="0" w:color="auto"/>
      </w:divBdr>
    </w:div>
    <w:div w:id="1670407756">
      <w:bodyDiv w:val="1"/>
      <w:marLeft w:val="0"/>
      <w:marRight w:val="0"/>
      <w:marTop w:val="0"/>
      <w:marBottom w:val="0"/>
      <w:divBdr>
        <w:top w:val="none" w:sz="0" w:space="0" w:color="auto"/>
        <w:left w:val="none" w:sz="0" w:space="0" w:color="auto"/>
        <w:bottom w:val="none" w:sz="0" w:space="0" w:color="auto"/>
        <w:right w:val="none" w:sz="0" w:space="0" w:color="auto"/>
      </w:divBdr>
    </w:div>
    <w:div w:id="1687294333">
      <w:bodyDiv w:val="1"/>
      <w:marLeft w:val="0"/>
      <w:marRight w:val="0"/>
      <w:marTop w:val="0"/>
      <w:marBottom w:val="0"/>
      <w:divBdr>
        <w:top w:val="none" w:sz="0" w:space="0" w:color="auto"/>
        <w:left w:val="none" w:sz="0" w:space="0" w:color="auto"/>
        <w:bottom w:val="none" w:sz="0" w:space="0" w:color="auto"/>
        <w:right w:val="none" w:sz="0" w:space="0" w:color="auto"/>
      </w:divBdr>
    </w:div>
    <w:div w:id="1747847121">
      <w:bodyDiv w:val="1"/>
      <w:marLeft w:val="0"/>
      <w:marRight w:val="0"/>
      <w:marTop w:val="0"/>
      <w:marBottom w:val="0"/>
      <w:divBdr>
        <w:top w:val="none" w:sz="0" w:space="0" w:color="auto"/>
        <w:left w:val="none" w:sz="0" w:space="0" w:color="auto"/>
        <w:bottom w:val="none" w:sz="0" w:space="0" w:color="auto"/>
        <w:right w:val="none" w:sz="0" w:space="0" w:color="auto"/>
      </w:divBdr>
    </w:div>
    <w:div w:id="1800609491">
      <w:bodyDiv w:val="1"/>
      <w:marLeft w:val="0"/>
      <w:marRight w:val="0"/>
      <w:marTop w:val="0"/>
      <w:marBottom w:val="0"/>
      <w:divBdr>
        <w:top w:val="none" w:sz="0" w:space="0" w:color="auto"/>
        <w:left w:val="none" w:sz="0" w:space="0" w:color="auto"/>
        <w:bottom w:val="none" w:sz="0" w:space="0" w:color="auto"/>
        <w:right w:val="none" w:sz="0" w:space="0" w:color="auto"/>
      </w:divBdr>
    </w:div>
    <w:div w:id="1842308884">
      <w:bodyDiv w:val="1"/>
      <w:marLeft w:val="0"/>
      <w:marRight w:val="0"/>
      <w:marTop w:val="0"/>
      <w:marBottom w:val="0"/>
      <w:divBdr>
        <w:top w:val="none" w:sz="0" w:space="0" w:color="auto"/>
        <w:left w:val="none" w:sz="0" w:space="0" w:color="auto"/>
        <w:bottom w:val="none" w:sz="0" w:space="0" w:color="auto"/>
        <w:right w:val="none" w:sz="0" w:space="0" w:color="auto"/>
      </w:divBdr>
    </w:div>
    <w:div w:id="1842357354">
      <w:bodyDiv w:val="1"/>
      <w:marLeft w:val="0"/>
      <w:marRight w:val="0"/>
      <w:marTop w:val="0"/>
      <w:marBottom w:val="0"/>
      <w:divBdr>
        <w:top w:val="none" w:sz="0" w:space="0" w:color="auto"/>
        <w:left w:val="none" w:sz="0" w:space="0" w:color="auto"/>
        <w:bottom w:val="none" w:sz="0" w:space="0" w:color="auto"/>
        <w:right w:val="none" w:sz="0" w:space="0" w:color="auto"/>
      </w:divBdr>
    </w:div>
    <w:div w:id="1848867773">
      <w:bodyDiv w:val="1"/>
      <w:marLeft w:val="0"/>
      <w:marRight w:val="0"/>
      <w:marTop w:val="0"/>
      <w:marBottom w:val="0"/>
      <w:divBdr>
        <w:top w:val="none" w:sz="0" w:space="0" w:color="auto"/>
        <w:left w:val="none" w:sz="0" w:space="0" w:color="auto"/>
        <w:bottom w:val="none" w:sz="0" w:space="0" w:color="auto"/>
        <w:right w:val="none" w:sz="0" w:space="0" w:color="auto"/>
      </w:divBdr>
    </w:div>
    <w:div w:id="1858738019">
      <w:bodyDiv w:val="1"/>
      <w:marLeft w:val="0"/>
      <w:marRight w:val="0"/>
      <w:marTop w:val="0"/>
      <w:marBottom w:val="0"/>
      <w:divBdr>
        <w:top w:val="none" w:sz="0" w:space="0" w:color="auto"/>
        <w:left w:val="none" w:sz="0" w:space="0" w:color="auto"/>
        <w:bottom w:val="none" w:sz="0" w:space="0" w:color="auto"/>
        <w:right w:val="none" w:sz="0" w:space="0" w:color="auto"/>
      </w:divBdr>
    </w:div>
    <w:div w:id="1934169440">
      <w:bodyDiv w:val="1"/>
      <w:marLeft w:val="0"/>
      <w:marRight w:val="0"/>
      <w:marTop w:val="0"/>
      <w:marBottom w:val="0"/>
      <w:divBdr>
        <w:top w:val="none" w:sz="0" w:space="0" w:color="auto"/>
        <w:left w:val="none" w:sz="0" w:space="0" w:color="auto"/>
        <w:bottom w:val="none" w:sz="0" w:space="0" w:color="auto"/>
        <w:right w:val="none" w:sz="0" w:space="0" w:color="auto"/>
      </w:divBdr>
    </w:div>
    <w:div w:id="1942906577">
      <w:bodyDiv w:val="1"/>
      <w:marLeft w:val="0"/>
      <w:marRight w:val="0"/>
      <w:marTop w:val="0"/>
      <w:marBottom w:val="0"/>
      <w:divBdr>
        <w:top w:val="none" w:sz="0" w:space="0" w:color="auto"/>
        <w:left w:val="none" w:sz="0" w:space="0" w:color="auto"/>
        <w:bottom w:val="none" w:sz="0" w:space="0" w:color="auto"/>
        <w:right w:val="none" w:sz="0" w:space="0" w:color="auto"/>
      </w:divBdr>
    </w:div>
    <w:div w:id="1978756348">
      <w:bodyDiv w:val="1"/>
      <w:marLeft w:val="0"/>
      <w:marRight w:val="0"/>
      <w:marTop w:val="0"/>
      <w:marBottom w:val="0"/>
      <w:divBdr>
        <w:top w:val="none" w:sz="0" w:space="0" w:color="auto"/>
        <w:left w:val="none" w:sz="0" w:space="0" w:color="auto"/>
        <w:bottom w:val="none" w:sz="0" w:space="0" w:color="auto"/>
        <w:right w:val="none" w:sz="0" w:space="0" w:color="auto"/>
      </w:divBdr>
      <w:divsChild>
        <w:div w:id="1760254185">
          <w:marLeft w:val="0"/>
          <w:marRight w:val="0"/>
          <w:marTop w:val="0"/>
          <w:marBottom w:val="0"/>
          <w:divBdr>
            <w:top w:val="none" w:sz="0" w:space="0" w:color="auto"/>
            <w:left w:val="none" w:sz="0" w:space="0" w:color="auto"/>
            <w:bottom w:val="none" w:sz="0" w:space="0" w:color="auto"/>
            <w:right w:val="none" w:sz="0" w:space="0" w:color="auto"/>
          </w:divBdr>
          <w:divsChild>
            <w:div w:id="2065173264">
              <w:marLeft w:val="0"/>
              <w:marRight w:val="0"/>
              <w:marTop w:val="0"/>
              <w:marBottom w:val="0"/>
              <w:divBdr>
                <w:top w:val="none" w:sz="0" w:space="0" w:color="auto"/>
                <w:left w:val="none" w:sz="0" w:space="0" w:color="auto"/>
                <w:bottom w:val="none" w:sz="0" w:space="0" w:color="auto"/>
                <w:right w:val="none" w:sz="0" w:space="0" w:color="auto"/>
              </w:divBdr>
              <w:divsChild>
                <w:div w:id="2026320122">
                  <w:marLeft w:val="0"/>
                  <w:marRight w:val="0"/>
                  <w:marTop w:val="0"/>
                  <w:marBottom w:val="0"/>
                  <w:divBdr>
                    <w:top w:val="none" w:sz="0" w:space="0" w:color="auto"/>
                    <w:left w:val="none" w:sz="0" w:space="0" w:color="auto"/>
                    <w:bottom w:val="none" w:sz="0" w:space="0" w:color="auto"/>
                    <w:right w:val="none" w:sz="0" w:space="0" w:color="auto"/>
                  </w:divBdr>
                  <w:divsChild>
                    <w:div w:id="1363095048">
                      <w:marLeft w:val="0"/>
                      <w:marRight w:val="0"/>
                      <w:marTop w:val="0"/>
                      <w:marBottom w:val="0"/>
                      <w:divBdr>
                        <w:top w:val="none" w:sz="0" w:space="0" w:color="auto"/>
                        <w:left w:val="none" w:sz="0" w:space="0" w:color="auto"/>
                        <w:bottom w:val="none" w:sz="0" w:space="0" w:color="auto"/>
                        <w:right w:val="none" w:sz="0" w:space="0" w:color="auto"/>
                      </w:divBdr>
                      <w:divsChild>
                        <w:div w:id="1667782254">
                          <w:marLeft w:val="0"/>
                          <w:marRight w:val="0"/>
                          <w:marTop w:val="0"/>
                          <w:marBottom w:val="0"/>
                          <w:divBdr>
                            <w:top w:val="none" w:sz="0" w:space="0" w:color="auto"/>
                            <w:left w:val="none" w:sz="0" w:space="0" w:color="auto"/>
                            <w:bottom w:val="none" w:sz="0" w:space="0" w:color="auto"/>
                            <w:right w:val="none" w:sz="0" w:space="0" w:color="auto"/>
                          </w:divBdr>
                          <w:divsChild>
                            <w:div w:id="7607316">
                              <w:marLeft w:val="0"/>
                              <w:marRight w:val="0"/>
                              <w:marTop w:val="0"/>
                              <w:marBottom w:val="0"/>
                              <w:divBdr>
                                <w:top w:val="none" w:sz="0" w:space="0" w:color="auto"/>
                                <w:left w:val="none" w:sz="0" w:space="0" w:color="auto"/>
                                <w:bottom w:val="none" w:sz="0" w:space="0" w:color="auto"/>
                                <w:right w:val="none" w:sz="0" w:space="0" w:color="auto"/>
                              </w:divBdr>
                              <w:divsChild>
                                <w:div w:id="293996338">
                                  <w:marLeft w:val="0"/>
                                  <w:marRight w:val="0"/>
                                  <w:marTop w:val="0"/>
                                  <w:marBottom w:val="0"/>
                                  <w:divBdr>
                                    <w:top w:val="none" w:sz="0" w:space="0" w:color="auto"/>
                                    <w:left w:val="none" w:sz="0" w:space="0" w:color="auto"/>
                                    <w:bottom w:val="none" w:sz="0" w:space="0" w:color="auto"/>
                                    <w:right w:val="none" w:sz="0" w:space="0" w:color="auto"/>
                                  </w:divBdr>
                                  <w:divsChild>
                                    <w:div w:id="212172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314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footer" Target="footer21.xml"/><Relationship Id="rId21" Type="http://schemas.openxmlformats.org/officeDocument/2006/relationships/footer" Target="footer4.xml"/><Relationship Id="rId42" Type="http://schemas.openxmlformats.org/officeDocument/2006/relationships/header" Target="header11.xml"/><Relationship Id="rId47" Type="http://schemas.openxmlformats.org/officeDocument/2006/relationships/image" Target="media/image14.emf"/><Relationship Id="rId63" Type="http://schemas.openxmlformats.org/officeDocument/2006/relationships/image" Target="media/image30.emf"/><Relationship Id="rId68" Type="http://schemas.openxmlformats.org/officeDocument/2006/relationships/image" Target="media/image35.emf"/><Relationship Id="rId84" Type="http://schemas.openxmlformats.org/officeDocument/2006/relationships/image" Target="media/image51.emf"/><Relationship Id="rId89" Type="http://schemas.openxmlformats.org/officeDocument/2006/relationships/image" Target="media/image56.emf"/><Relationship Id="rId112" Type="http://schemas.openxmlformats.org/officeDocument/2006/relationships/footer" Target="footer19.xml"/><Relationship Id="rId16" Type="http://schemas.openxmlformats.org/officeDocument/2006/relationships/footer" Target="footer1.xml"/><Relationship Id="rId107" Type="http://schemas.openxmlformats.org/officeDocument/2006/relationships/footer" Target="footer17.xml"/><Relationship Id="rId11" Type="http://schemas.openxmlformats.org/officeDocument/2006/relationships/image" Target="media/image3.emf"/><Relationship Id="rId32" Type="http://schemas.openxmlformats.org/officeDocument/2006/relationships/hyperlink" Target="http://dds.bps.go.id/eng/download_file/Booklet_indikatorkunci.pdf" TargetMode="External"/><Relationship Id="rId37" Type="http://schemas.openxmlformats.org/officeDocument/2006/relationships/image" Target="media/image8.gif"/><Relationship Id="rId53" Type="http://schemas.openxmlformats.org/officeDocument/2006/relationships/image" Target="media/image20.emf"/><Relationship Id="rId58" Type="http://schemas.openxmlformats.org/officeDocument/2006/relationships/image" Target="media/image25.emf"/><Relationship Id="rId74" Type="http://schemas.openxmlformats.org/officeDocument/2006/relationships/image" Target="media/image41.emf"/><Relationship Id="rId79" Type="http://schemas.openxmlformats.org/officeDocument/2006/relationships/image" Target="media/image46.gif"/><Relationship Id="rId102" Type="http://schemas.openxmlformats.org/officeDocument/2006/relationships/header" Target="header15.xml"/><Relationship Id="rId123" Type="http://schemas.openxmlformats.org/officeDocument/2006/relationships/customXml" Target="../customXml/item4.xml"/><Relationship Id="rId5" Type="http://schemas.openxmlformats.org/officeDocument/2006/relationships/settings" Target="settings.xml"/><Relationship Id="rId90" Type="http://schemas.openxmlformats.org/officeDocument/2006/relationships/image" Target="media/image57.emf"/><Relationship Id="rId95" Type="http://schemas.openxmlformats.org/officeDocument/2006/relationships/image" Target="media/image62.emf"/><Relationship Id="rId22" Type="http://schemas.openxmlformats.org/officeDocument/2006/relationships/header" Target="header5.xml"/><Relationship Id="rId27" Type="http://schemas.openxmlformats.org/officeDocument/2006/relationships/footer" Target="footer7.xml"/><Relationship Id="rId43" Type="http://schemas.openxmlformats.org/officeDocument/2006/relationships/footer" Target="footer11.xml"/><Relationship Id="rId48" Type="http://schemas.openxmlformats.org/officeDocument/2006/relationships/image" Target="media/image15.emf"/><Relationship Id="rId64" Type="http://schemas.openxmlformats.org/officeDocument/2006/relationships/image" Target="media/image31.emf"/><Relationship Id="rId69" Type="http://schemas.openxmlformats.org/officeDocument/2006/relationships/image" Target="media/image36.emf"/><Relationship Id="rId113" Type="http://schemas.openxmlformats.org/officeDocument/2006/relationships/header" Target="header20.xml"/><Relationship Id="rId118" Type="http://schemas.openxmlformats.org/officeDocument/2006/relationships/fontTable" Target="fontTable.xml"/><Relationship Id="rId80" Type="http://schemas.openxmlformats.org/officeDocument/2006/relationships/image" Target="media/image47.emf"/><Relationship Id="rId85" Type="http://schemas.openxmlformats.org/officeDocument/2006/relationships/image" Target="media/image52.emf"/><Relationship Id="rId12" Type="http://schemas.openxmlformats.org/officeDocument/2006/relationships/image" Target="media/image4.png"/><Relationship Id="rId17" Type="http://schemas.openxmlformats.org/officeDocument/2006/relationships/footer" Target="footer2.xml"/><Relationship Id="rId33" Type="http://schemas.openxmlformats.org/officeDocument/2006/relationships/hyperlink" Target="http://www.bps.go.id/eng/flip/flip11/index3.php" TargetMode="External"/><Relationship Id="rId38" Type="http://schemas.openxmlformats.org/officeDocument/2006/relationships/image" Target="media/image9.gif"/><Relationship Id="rId59" Type="http://schemas.openxmlformats.org/officeDocument/2006/relationships/image" Target="media/image26.emf"/><Relationship Id="rId103" Type="http://schemas.openxmlformats.org/officeDocument/2006/relationships/footer" Target="footer15.xml"/><Relationship Id="rId108" Type="http://schemas.openxmlformats.org/officeDocument/2006/relationships/header" Target="header18.xml"/><Relationship Id="rId54" Type="http://schemas.openxmlformats.org/officeDocument/2006/relationships/image" Target="media/image21.emf"/><Relationship Id="rId70" Type="http://schemas.openxmlformats.org/officeDocument/2006/relationships/image" Target="media/image37.emf"/><Relationship Id="rId75" Type="http://schemas.openxmlformats.org/officeDocument/2006/relationships/image" Target="media/image42.emf"/><Relationship Id="rId91" Type="http://schemas.openxmlformats.org/officeDocument/2006/relationships/image" Target="media/image58.emf"/><Relationship Id="rId96"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5.xml"/><Relationship Id="rId28" Type="http://schemas.openxmlformats.org/officeDocument/2006/relationships/header" Target="header8.xml"/><Relationship Id="rId49" Type="http://schemas.openxmlformats.org/officeDocument/2006/relationships/image" Target="media/image16.emf"/><Relationship Id="rId114" Type="http://schemas.openxmlformats.org/officeDocument/2006/relationships/footer" Target="footer20.xml"/><Relationship Id="rId119" Type="http://schemas.openxmlformats.org/officeDocument/2006/relationships/theme" Target="theme/theme1.xml"/><Relationship Id="rId44" Type="http://schemas.openxmlformats.org/officeDocument/2006/relationships/image" Target="media/image11.emf"/><Relationship Id="rId60" Type="http://schemas.openxmlformats.org/officeDocument/2006/relationships/image" Target="media/image27.emf"/><Relationship Id="rId65" Type="http://schemas.openxmlformats.org/officeDocument/2006/relationships/image" Target="media/image32.emf"/><Relationship Id="rId81" Type="http://schemas.openxmlformats.org/officeDocument/2006/relationships/image" Target="media/image48.emf"/><Relationship Id="rId86" Type="http://schemas.openxmlformats.org/officeDocument/2006/relationships/image" Target="media/image53.e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header" Target="header3.xml"/><Relationship Id="rId39" Type="http://schemas.openxmlformats.org/officeDocument/2006/relationships/image" Target="media/image10.gif"/><Relationship Id="rId109" Type="http://schemas.openxmlformats.org/officeDocument/2006/relationships/footer" Target="footer18.xml"/><Relationship Id="rId34" Type="http://schemas.openxmlformats.org/officeDocument/2006/relationships/hyperlink" Target="http://www.bps.go.id/eng/tab_sub/view.php?kat=2&amp;tabel=1&amp;daftar=1&amp;id_subyek=11&amp;notab=1" TargetMode="External"/><Relationship Id="rId50" Type="http://schemas.openxmlformats.org/officeDocument/2006/relationships/image" Target="media/image17.emf"/><Relationship Id="rId55" Type="http://schemas.openxmlformats.org/officeDocument/2006/relationships/image" Target="media/image22.emf"/><Relationship Id="rId76" Type="http://schemas.openxmlformats.org/officeDocument/2006/relationships/image" Target="media/image43.emf"/><Relationship Id="rId97" Type="http://schemas.openxmlformats.org/officeDocument/2006/relationships/footer" Target="footer12.xml"/><Relationship Id="rId104" Type="http://schemas.openxmlformats.org/officeDocument/2006/relationships/header" Target="header16.xml"/><Relationship Id="rId120"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image" Target="media/image38.emf"/><Relationship Id="rId92" Type="http://schemas.openxmlformats.org/officeDocument/2006/relationships/image" Target="media/image59.emf"/><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eader" Target="header6.xml"/><Relationship Id="rId40" Type="http://schemas.openxmlformats.org/officeDocument/2006/relationships/header" Target="header10.xml"/><Relationship Id="rId45" Type="http://schemas.openxmlformats.org/officeDocument/2006/relationships/image" Target="media/image12.emf"/><Relationship Id="rId66" Type="http://schemas.openxmlformats.org/officeDocument/2006/relationships/image" Target="media/image33.emf"/><Relationship Id="rId87" Type="http://schemas.openxmlformats.org/officeDocument/2006/relationships/image" Target="media/image54.emf"/><Relationship Id="rId110" Type="http://schemas.openxmlformats.org/officeDocument/2006/relationships/image" Target="media/image63.png"/><Relationship Id="rId115" Type="http://schemas.openxmlformats.org/officeDocument/2006/relationships/image" Target="media/image64.emf"/><Relationship Id="rId61" Type="http://schemas.openxmlformats.org/officeDocument/2006/relationships/image" Target="media/image28.emf"/><Relationship Id="rId82" Type="http://schemas.openxmlformats.org/officeDocument/2006/relationships/image" Target="media/image49.emf"/><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eader" Target="header9.xml"/><Relationship Id="rId35" Type="http://schemas.openxmlformats.org/officeDocument/2006/relationships/chart" Target="charts/chart1.xml"/><Relationship Id="rId56" Type="http://schemas.openxmlformats.org/officeDocument/2006/relationships/image" Target="media/image23.emf"/><Relationship Id="rId77" Type="http://schemas.openxmlformats.org/officeDocument/2006/relationships/image" Target="media/image44.emf"/><Relationship Id="rId100" Type="http://schemas.openxmlformats.org/officeDocument/2006/relationships/header" Target="header14.xml"/><Relationship Id="rId105" Type="http://schemas.openxmlformats.org/officeDocument/2006/relationships/footer" Target="footer16.xml"/><Relationship Id="rId8" Type="http://schemas.openxmlformats.org/officeDocument/2006/relationships/endnotes" Target="endnotes.xml"/><Relationship Id="rId51" Type="http://schemas.openxmlformats.org/officeDocument/2006/relationships/image" Target="media/image18.emf"/><Relationship Id="rId72" Type="http://schemas.openxmlformats.org/officeDocument/2006/relationships/image" Target="media/image39.emf"/><Relationship Id="rId93" Type="http://schemas.openxmlformats.org/officeDocument/2006/relationships/image" Target="media/image60.emf"/><Relationship Id="rId98" Type="http://schemas.openxmlformats.org/officeDocument/2006/relationships/header" Target="header13.xml"/><Relationship Id="rId121" Type="http://schemas.openxmlformats.org/officeDocument/2006/relationships/customXml" Target="../customXml/item2.xml"/><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image" Target="media/image13.emf"/><Relationship Id="rId67" Type="http://schemas.openxmlformats.org/officeDocument/2006/relationships/image" Target="media/image34.emf"/><Relationship Id="rId116" Type="http://schemas.openxmlformats.org/officeDocument/2006/relationships/header" Target="header21.xml"/><Relationship Id="rId20" Type="http://schemas.openxmlformats.org/officeDocument/2006/relationships/header" Target="header4.xml"/><Relationship Id="rId41" Type="http://schemas.openxmlformats.org/officeDocument/2006/relationships/footer" Target="footer10.xml"/><Relationship Id="rId62" Type="http://schemas.openxmlformats.org/officeDocument/2006/relationships/image" Target="media/image29.emf"/><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eader" Target="header19.xml"/><Relationship Id="rId15" Type="http://schemas.openxmlformats.org/officeDocument/2006/relationships/header" Target="header2.xml"/><Relationship Id="rId36" Type="http://schemas.openxmlformats.org/officeDocument/2006/relationships/image" Target="media/image7.emf"/><Relationship Id="rId57" Type="http://schemas.openxmlformats.org/officeDocument/2006/relationships/image" Target="media/image24.emf"/><Relationship Id="rId106" Type="http://schemas.openxmlformats.org/officeDocument/2006/relationships/header" Target="header17.xml"/><Relationship Id="rId10" Type="http://schemas.openxmlformats.org/officeDocument/2006/relationships/image" Target="media/image2.png"/><Relationship Id="rId31" Type="http://schemas.openxmlformats.org/officeDocument/2006/relationships/footer" Target="footer9.xml"/><Relationship Id="rId52" Type="http://schemas.openxmlformats.org/officeDocument/2006/relationships/image" Target="media/image19.emf"/><Relationship Id="rId73" Type="http://schemas.openxmlformats.org/officeDocument/2006/relationships/image" Target="media/image40.emf"/><Relationship Id="rId78" Type="http://schemas.openxmlformats.org/officeDocument/2006/relationships/image" Target="media/image45.emf"/><Relationship Id="rId94" Type="http://schemas.openxmlformats.org/officeDocument/2006/relationships/image" Target="media/image61.emf"/><Relationship Id="rId99" Type="http://schemas.openxmlformats.org/officeDocument/2006/relationships/footer" Target="footer13.xml"/><Relationship Id="rId101" Type="http://schemas.openxmlformats.org/officeDocument/2006/relationships/footer" Target="footer14.xml"/><Relationship Id="rId122" Type="http://schemas.openxmlformats.org/officeDocument/2006/relationships/customXml" Target="../customXml/item3.xml"/></Relationships>
</file>

<file path=word/_rels/footer7.xml.rels><?xml version="1.0" encoding="UTF-8" standalone="yes"?>
<Relationships xmlns="http://schemas.openxmlformats.org/package/2006/relationships"><Relationship Id="rId1" Type="http://schemas.openxmlformats.org/officeDocument/2006/relationships/image" Target="media/image6.jpeg"/></Relationships>
</file>

<file path=word/_rels/header10.xml.rels><?xml version="1.0" encoding="UTF-8" standalone="yes"?>
<Relationships xmlns="http://schemas.openxmlformats.org/package/2006/relationships"><Relationship Id="rId1" Type="http://schemas.openxmlformats.org/officeDocument/2006/relationships/image" Target="media/image5.emf"/></Relationships>
</file>

<file path=word/_rels/header1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6.jpeg"/></Relationships>
</file>

<file path=word/_rels/header12.xml.rels><?xml version="1.0" encoding="UTF-8" standalone="yes"?>
<Relationships xmlns="http://schemas.openxmlformats.org/package/2006/relationships"><Relationship Id="rId1" Type="http://schemas.openxmlformats.org/officeDocument/2006/relationships/image" Target="media/image5.emf"/></Relationships>
</file>

<file path=word/_rels/header13.xml.rels><?xml version="1.0" encoding="UTF-8" standalone="yes"?>
<Relationships xmlns="http://schemas.openxmlformats.org/package/2006/relationships"><Relationship Id="rId1" Type="http://schemas.openxmlformats.org/officeDocument/2006/relationships/image" Target="media/image5.emf"/></Relationships>
</file>

<file path=word/_rels/header14.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6.jpeg"/></Relationships>
</file>

<file path=word/_rels/header15.xml.rels><?xml version="1.0" encoding="UTF-8" standalone="yes"?>
<Relationships xmlns="http://schemas.openxmlformats.org/package/2006/relationships"><Relationship Id="rId1" Type="http://schemas.openxmlformats.org/officeDocument/2006/relationships/image" Target="media/image5.emf"/></Relationships>
</file>

<file path=word/_rels/header16.xml.rels><?xml version="1.0" encoding="UTF-8" standalone="yes"?>
<Relationships xmlns="http://schemas.openxmlformats.org/package/2006/relationships"><Relationship Id="rId1" Type="http://schemas.openxmlformats.org/officeDocument/2006/relationships/image" Target="media/image5.emf"/></Relationships>
</file>

<file path=word/_rels/header17.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6.jpeg"/></Relationships>
</file>

<file path=word/_rels/header18.xml.rels><?xml version="1.0" encoding="UTF-8" standalone="yes"?>
<Relationships xmlns="http://schemas.openxmlformats.org/package/2006/relationships"><Relationship Id="rId1" Type="http://schemas.openxmlformats.org/officeDocument/2006/relationships/image" Target="media/image5.emf"/></Relationships>
</file>

<file path=word/_rels/header19.xml.rels><?xml version="1.0" encoding="UTF-8" standalone="yes"?>
<Relationships xmlns="http://schemas.openxmlformats.org/package/2006/relationships"><Relationship Id="rId1" Type="http://schemas.openxmlformats.org/officeDocument/2006/relationships/image" Target="media/image5.emf"/></Relationships>
</file>

<file path=word/_rels/header20.xml.rels><?xml version="1.0" encoding="UTF-8" standalone="yes"?>
<Relationships xmlns="http://schemas.openxmlformats.org/package/2006/relationships"><Relationship Id="rId1" Type="http://schemas.openxmlformats.org/officeDocument/2006/relationships/image" Target="media/image5.emf"/></Relationships>
</file>

<file path=word/_rels/header21.xml.rels><?xml version="1.0" encoding="UTF-8" standalone="yes"?>
<Relationships xmlns="http://schemas.openxmlformats.org/package/2006/relationships"><Relationship Id="rId1" Type="http://schemas.openxmlformats.org/officeDocument/2006/relationships/image" Target="media/image5.emf"/></Relationships>
</file>

<file path=word/_rels/header4.xml.rels><?xml version="1.0" encoding="UTF-8" standalone="yes"?>
<Relationships xmlns="http://schemas.openxmlformats.org/package/2006/relationships"><Relationship Id="rId1" Type="http://schemas.openxmlformats.org/officeDocument/2006/relationships/image" Target="media/image5.emf"/></Relationships>
</file>

<file path=word/_rels/header5.xml.rels><?xml version="1.0" encoding="UTF-8" standalone="yes"?>
<Relationships xmlns="http://schemas.openxmlformats.org/package/2006/relationships"><Relationship Id="rId1" Type="http://schemas.openxmlformats.org/officeDocument/2006/relationships/image" Target="media/image5.emf"/></Relationships>
</file>

<file path=word/_rels/header6.xml.rels><?xml version="1.0" encoding="UTF-8" standalone="yes"?>
<Relationships xmlns="http://schemas.openxmlformats.org/package/2006/relationships"><Relationship Id="rId1" Type="http://schemas.openxmlformats.org/officeDocument/2006/relationships/image" Target="media/image5.emf"/></Relationships>
</file>

<file path=word/_rels/header7.xml.rels><?xml version="1.0" encoding="UTF-8" standalone="yes"?>
<Relationships xmlns="http://schemas.openxmlformats.org/package/2006/relationships"><Relationship Id="rId1" Type="http://schemas.openxmlformats.org/officeDocument/2006/relationships/image" Target="media/image5.emf"/></Relationships>
</file>

<file path=word/_rels/header8.xml.rels><?xml version="1.0" encoding="UTF-8" standalone="yes"?>
<Relationships xmlns="http://schemas.openxmlformats.org/package/2006/relationships"><Relationship Id="rId1" Type="http://schemas.openxmlformats.org/officeDocument/2006/relationships/image" Target="media/image5.emf"/></Relationships>
</file>

<file path=word/_rels/header9.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am\Active%20Files\CSAS\Financial%20Performance%20Report\FPR%202013\Data\National%20finance%20data%20analysis%2020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377020386180719"/>
          <c:y val="4.8542631358072109E-2"/>
          <c:w val="0.64589226503426889"/>
          <c:h val="0.69532210912660308"/>
        </c:manualLayout>
      </c:layout>
      <c:lineChart>
        <c:grouping val="standard"/>
        <c:varyColors val="0"/>
        <c:ser>
          <c:idx val="0"/>
          <c:order val="0"/>
          <c:tx>
            <c:strRef>
              <c:f>'Share of public expenditure'!$A$7</c:f>
              <c:strCache>
                <c:ptCount val="1"/>
                <c:pt idx="0">
                  <c:v>Education Exp. As % of National Public Exp.
(% Total National Exp.) </c:v>
                </c:pt>
              </c:strCache>
            </c:strRef>
          </c:tx>
          <c:spPr>
            <a:ln w="12700">
              <a:solidFill>
                <a:srgbClr val="000080"/>
              </a:solidFill>
              <a:prstDash val="solid"/>
            </a:ln>
          </c:spPr>
          <c:marker>
            <c:symbol val="diamond"/>
            <c:size val="5"/>
            <c:spPr>
              <a:solidFill>
                <a:srgbClr val="C00000"/>
              </a:solidFill>
              <a:ln>
                <a:solidFill>
                  <a:srgbClr val="000080"/>
                </a:solidFill>
                <a:prstDash val="solid"/>
              </a:ln>
            </c:spPr>
          </c:marker>
          <c:cat>
            <c:numRef>
              <c:f>'Share of public expenditure'!$B$2:$N$2</c:f>
              <c:numCache>
                <c:formatCode>General</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'Share of public expenditure'!$B$7:$N$7</c:f>
              <c:numCache>
                <c:formatCode>0.0%</c:formatCode>
                <c:ptCount val="13"/>
                <c:pt idx="0">
                  <c:v>0.11989795918367346</c:v>
                </c:pt>
                <c:pt idx="1">
                  <c:v>0.15780089153046062</c:v>
                </c:pt>
                <c:pt idx="2">
                  <c:v>0.15984213122841637</c:v>
                </c:pt>
                <c:pt idx="3">
                  <c:v>0.14170222322030093</c:v>
                </c:pt>
                <c:pt idx="4">
                  <c:v>0.13909786012276712</c:v>
                </c:pt>
                <c:pt idx="5">
                  <c:v>0.17592619081676439</c:v>
                </c:pt>
                <c:pt idx="6">
                  <c:v>0.18899521531100477</c:v>
                </c:pt>
                <c:pt idx="7">
                  <c:v>0.15563415866599292</c:v>
                </c:pt>
                <c:pt idx="8">
                  <c:v>0.1999903577282808</c:v>
                </c:pt>
                <c:pt idx="9">
                  <c:v>0.19996448232995914</c:v>
                </c:pt>
                <c:pt idx="10">
                  <c:v>0.2024126455906822</c:v>
                </c:pt>
                <c:pt idx="11">
                  <c:v>0.20204441311244273</c:v>
                </c:pt>
                <c:pt idx="12">
                  <c:v>0.20017825311942958</c:v>
                </c:pt>
              </c:numCache>
            </c:numRef>
          </c:val>
          <c:smooth val="0"/>
        </c:ser>
        <c:dLbls>
          <c:showLegendKey val="0"/>
          <c:showVal val="0"/>
          <c:showCatName val="0"/>
          <c:showSerName val="0"/>
          <c:showPercent val="0"/>
          <c:showBubbleSize val="0"/>
        </c:dLbls>
        <c:marker val="1"/>
        <c:smooth val="0"/>
        <c:axId val="151525632"/>
        <c:axId val="170602880"/>
      </c:lineChart>
      <c:catAx>
        <c:axId val="1515256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Narrow"/>
                <a:ea typeface="Arial Narrow"/>
                <a:cs typeface="Arial Narrow"/>
              </a:defRPr>
            </a:pPr>
            <a:endParaRPr lang="en-US"/>
          </a:p>
        </c:txPr>
        <c:crossAx val="170602880"/>
        <c:crosses val="autoZero"/>
        <c:auto val="1"/>
        <c:lblAlgn val="ctr"/>
        <c:lblOffset val="100"/>
        <c:tickMarkSkip val="1"/>
        <c:noMultiLvlLbl val="0"/>
      </c:catAx>
      <c:valAx>
        <c:axId val="170602880"/>
        <c:scaling>
          <c:orientation val="minMax"/>
        </c:scaling>
        <c:delete val="0"/>
        <c:axPos val="l"/>
        <c:majorGridlines/>
        <c:title>
          <c:tx>
            <c:rich>
              <a:bodyPr/>
              <a:lstStyle/>
              <a:p>
                <a:pPr>
                  <a:defRPr sz="1000" b="1" i="0" u="none" strike="noStrike" baseline="0">
                    <a:solidFill>
                      <a:srgbClr val="000000"/>
                    </a:solidFill>
                    <a:latin typeface="Arial Narrow"/>
                    <a:ea typeface="Arial Narrow"/>
                    <a:cs typeface="Arial Narrow"/>
                  </a:defRPr>
                </a:pPr>
                <a:r>
                  <a:rPr lang="en-AU" sz="1000"/>
                  <a:t>National Public Education Expenditure as % of </a:t>
                </a:r>
              </a:p>
              <a:p>
                <a:pPr>
                  <a:defRPr sz="1000" b="1" i="0" u="none" strike="noStrike" baseline="0">
                    <a:solidFill>
                      <a:srgbClr val="000000"/>
                    </a:solidFill>
                    <a:latin typeface="Arial Narrow"/>
                    <a:ea typeface="Arial Narrow"/>
                    <a:cs typeface="Arial Narrow"/>
                  </a:defRPr>
                </a:pPr>
                <a:r>
                  <a:rPr lang="en-AU" sz="1000"/>
                  <a:t>National Public Expenditure </a:t>
                </a:r>
              </a:p>
            </c:rich>
          </c:tx>
          <c:layout>
            <c:manualLayout>
              <c:xMode val="edge"/>
              <c:yMode val="edge"/>
              <c:x val="0.20796718851413867"/>
              <c:y val="3.9375962960382163E-2"/>
            </c:manualLayout>
          </c:layout>
          <c:overlay val="0"/>
          <c:spPr>
            <a:noFill/>
            <a:ln w="25400">
              <a:noFill/>
            </a:ln>
          </c:spPr>
        </c:title>
        <c:numFmt formatCode="0.0%" sourceLinked="1"/>
        <c:majorTickMark val="out"/>
        <c:minorTickMark val="none"/>
        <c:tickLblPos val="nextTo"/>
        <c:spPr>
          <a:ln w="9525">
            <a:noFill/>
          </a:ln>
        </c:spPr>
        <c:txPr>
          <a:bodyPr rot="0" vert="horz"/>
          <a:lstStyle/>
          <a:p>
            <a:pPr>
              <a:defRPr sz="875" b="0" i="0" u="none" strike="noStrike" baseline="0">
                <a:solidFill>
                  <a:srgbClr val="000000"/>
                </a:solidFill>
                <a:latin typeface="Arial Narrow"/>
                <a:ea typeface="Arial Narrow"/>
                <a:cs typeface="Arial Narrow"/>
              </a:defRPr>
            </a:pPr>
            <a:endParaRPr lang="en-US"/>
          </a:p>
        </c:txPr>
        <c:crossAx val="151525632"/>
        <c:crosses val="autoZero"/>
        <c:crossBetween val="between"/>
      </c:valAx>
      <c:dTable>
        <c:showHorzBorder val="1"/>
        <c:showVertBorder val="1"/>
        <c:showOutline val="1"/>
        <c:showKeys val="1"/>
        <c:spPr>
          <a:ln w="3175">
            <a:solidFill>
              <a:schemeClr val="tx1"/>
            </a:solidFill>
            <a:prstDash val="solid"/>
          </a:ln>
        </c:spPr>
        <c:txPr>
          <a:bodyPr/>
          <a:lstStyle/>
          <a:p>
            <a:pPr rtl="0">
              <a:defRPr sz="900" b="0" i="0" u="none" strike="noStrike" baseline="0">
                <a:solidFill>
                  <a:srgbClr val="000000"/>
                </a:solidFill>
                <a:latin typeface="Arial Narrow"/>
                <a:ea typeface="Arial Narrow"/>
                <a:cs typeface="Arial Narrow"/>
              </a:defRPr>
            </a:pPr>
            <a:endParaRPr lang="en-US"/>
          </a:p>
        </c:txPr>
      </c:dTable>
      <c:spPr>
        <a:solidFill>
          <a:srgbClr val="FFFFFF"/>
        </a:solidFill>
        <a:ln w="25400">
          <a:noFill/>
        </a:ln>
      </c:spPr>
    </c:plotArea>
    <c:plotVisOnly val="1"/>
    <c:dispBlanksAs val="gap"/>
    <c:showDLblsOverMax val="0"/>
  </c:chart>
  <c:spPr>
    <a:solidFill>
      <a:srgbClr val="FFFFFF"/>
    </a:solidFill>
    <a:ln w="9525">
      <a:solidFill>
        <a:schemeClr val="accent1"/>
      </a:solidFill>
    </a:ln>
  </c:spPr>
  <c:txPr>
    <a:bodyPr/>
    <a:lstStyle/>
    <a:p>
      <a:pPr>
        <a:defRPr sz="115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4F5CCA2-50C8-43A2-9DD0-F5483ABAFDB2}"/>
</file>

<file path=customXml/itemProps2.xml><?xml version="1.0" encoding="utf-8"?>
<ds:datastoreItem xmlns:ds="http://schemas.openxmlformats.org/officeDocument/2006/customXml" ds:itemID="{D35ED2DF-0075-4F9B-8C8C-33EC65A300DB}"/>
</file>

<file path=customXml/itemProps3.xml><?xml version="1.0" encoding="utf-8"?>
<ds:datastoreItem xmlns:ds="http://schemas.openxmlformats.org/officeDocument/2006/customXml" ds:itemID="{FCCF7FE8-9644-47E6-8677-CAF41529E50A}"/>
</file>

<file path=customXml/itemProps4.xml><?xml version="1.0" encoding="utf-8"?>
<ds:datastoreItem xmlns:ds="http://schemas.openxmlformats.org/officeDocument/2006/customXml" ds:itemID="{AA13D94A-EC1C-41A8-8AD4-87C97BCD79EA}"/>
</file>

<file path=docProps/app.xml><?xml version="1.0" encoding="utf-8"?>
<Properties xmlns="http://schemas.openxmlformats.org/officeDocument/2006/extended-properties" xmlns:vt="http://schemas.openxmlformats.org/officeDocument/2006/docPropsVTypes">
  <Template>3B69C693.dotm</Template>
  <TotalTime>0</TotalTime>
  <Pages>99</Pages>
  <Words>20432</Words>
  <Characters>118430</Characters>
  <Application>Microsoft Office Word</Application>
  <DocSecurity>0</DocSecurity>
  <Lines>986</Lines>
  <Paragraphs>277</Paragraphs>
  <ScaleCrop>false</ScaleCrop>
  <Company/>
  <LinksUpToDate>false</LinksUpToDate>
  <CharactersWithSpaces>138585</CharactersWithSpaces>
  <SharedDoc>false</SharedDoc>
  <HLinks>
    <vt:vector size="228" baseType="variant">
      <vt:variant>
        <vt:i4>1703996</vt:i4>
      </vt:variant>
      <vt:variant>
        <vt:i4>224</vt:i4>
      </vt:variant>
      <vt:variant>
        <vt:i4>0</vt:i4>
      </vt:variant>
      <vt:variant>
        <vt:i4>5</vt:i4>
      </vt:variant>
      <vt:variant>
        <vt:lpwstr/>
      </vt:variant>
      <vt:variant>
        <vt:lpwstr>_Toc353955940</vt:lpwstr>
      </vt:variant>
      <vt:variant>
        <vt:i4>1900604</vt:i4>
      </vt:variant>
      <vt:variant>
        <vt:i4>218</vt:i4>
      </vt:variant>
      <vt:variant>
        <vt:i4>0</vt:i4>
      </vt:variant>
      <vt:variant>
        <vt:i4>5</vt:i4>
      </vt:variant>
      <vt:variant>
        <vt:lpwstr/>
      </vt:variant>
      <vt:variant>
        <vt:lpwstr>_Toc353955939</vt:lpwstr>
      </vt:variant>
      <vt:variant>
        <vt:i4>1900604</vt:i4>
      </vt:variant>
      <vt:variant>
        <vt:i4>212</vt:i4>
      </vt:variant>
      <vt:variant>
        <vt:i4>0</vt:i4>
      </vt:variant>
      <vt:variant>
        <vt:i4>5</vt:i4>
      </vt:variant>
      <vt:variant>
        <vt:lpwstr/>
      </vt:variant>
      <vt:variant>
        <vt:lpwstr>_Toc353955938</vt:lpwstr>
      </vt:variant>
      <vt:variant>
        <vt:i4>1900604</vt:i4>
      </vt:variant>
      <vt:variant>
        <vt:i4>206</vt:i4>
      </vt:variant>
      <vt:variant>
        <vt:i4>0</vt:i4>
      </vt:variant>
      <vt:variant>
        <vt:i4>5</vt:i4>
      </vt:variant>
      <vt:variant>
        <vt:lpwstr/>
      </vt:variant>
      <vt:variant>
        <vt:lpwstr>_Toc353955937</vt:lpwstr>
      </vt:variant>
      <vt:variant>
        <vt:i4>1900604</vt:i4>
      </vt:variant>
      <vt:variant>
        <vt:i4>200</vt:i4>
      </vt:variant>
      <vt:variant>
        <vt:i4>0</vt:i4>
      </vt:variant>
      <vt:variant>
        <vt:i4>5</vt:i4>
      </vt:variant>
      <vt:variant>
        <vt:lpwstr/>
      </vt:variant>
      <vt:variant>
        <vt:lpwstr>_Toc353955936</vt:lpwstr>
      </vt:variant>
      <vt:variant>
        <vt:i4>1900604</vt:i4>
      </vt:variant>
      <vt:variant>
        <vt:i4>194</vt:i4>
      </vt:variant>
      <vt:variant>
        <vt:i4>0</vt:i4>
      </vt:variant>
      <vt:variant>
        <vt:i4>5</vt:i4>
      </vt:variant>
      <vt:variant>
        <vt:lpwstr/>
      </vt:variant>
      <vt:variant>
        <vt:lpwstr>_Toc353955935</vt:lpwstr>
      </vt:variant>
      <vt:variant>
        <vt:i4>1900604</vt:i4>
      </vt:variant>
      <vt:variant>
        <vt:i4>188</vt:i4>
      </vt:variant>
      <vt:variant>
        <vt:i4>0</vt:i4>
      </vt:variant>
      <vt:variant>
        <vt:i4>5</vt:i4>
      </vt:variant>
      <vt:variant>
        <vt:lpwstr/>
      </vt:variant>
      <vt:variant>
        <vt:lpwstr>_Toc353955934</vt:lpwstr>
      </vt:variant>
      <vt:variant>
        <vt:i4>1900604</vt:i4>
      </vt:variant>
      <vt:variant>
        <vt:i4>182</vt:i4>
      </vt:variant>
      <vt:variant>
        <vt:i4>0</vt:i4>
      </vt:variant>
      <vt:variant>
        <vt:i4>5</vt:i4>
      </vt:variant>
      <vt:variant>
        <vt:lpwstr/>
      </vt:variant>
      <vt:variant>
        <vt:lpwstr>_Toc353955933</vt:lpwstr>
      </vt:variant>
      <vt:variant>
        <vt:i4>1900604</vt:i4>
      </vt:variant>
      <vt:variant>
        <vt:i4>176</vt:i4>
      </vt:variant>
      <vt:variant>
        <vt:i4>0</vt:i4>
      </vt:variant>
      <vt:variant>
        <vt:i4>5</vt:i4>
      </vt:variant>
      <vt:variant>
        <vt:lpwstr/>
      </vt:variant>
      <vt:variant>
        <vt:lpwstr>_Toc353955932</vt:lpwstr>
      </vt:variant>
      <vt:variant>
        <vt:i4>1900604</vt:i4>
      </vt:variant>
      <vt:variant>
        <vt:i4>170</vt:i4>
      </vt:variant>
      <vt:variant>
        <vt:i4>0</vt:i4>
      </vt:variant>
      <vt:variant>
        <vt:i4>5</vt:i4>
      </vt:variant>
      <vt:variant>
        <vt:lpwstr/>
      </vt:variant>
      <vt:variant>
        <vt:lpwstr>_Toc353955931</vt:lpwstr>
      </vt:variant>
      <vt:variant>
        <vt:i4>1900604</vt:i4>
      </vt:variant>
      <vt:variant>
        <vt:i4>164</vt:i4>
      </vt:variant>
      <vt:variant>
        <vt:i4>0</vt:i4>
      </vt:variant>
      <vt:variant>
        <vt:i4>5</vt:i4>
      </vt:variant>
      <vt:variant>
        <vt:lpwstr/>
      </vt:variant>
      <vt:variant>
        <vt:lpwstr>_Toc353955930</vt:lpwstr>
      </vt:variant>
      <vt:variant>
        <vt:i4>1835068</vt:i4>
      </vt:variant>
      <vt:variant>
        <vt:i4>158</vt:i4>
      </vt:variant>
      <vt:variant>
        <vt:i4>0</vt:i4>
      </vt:variant>
      <vt:variant>
        <vt:i4>5</vt:i4>
      </vt:variant>
      <vt:variant>
        <vt:lpwstr/>
      </vt:variant>
      <vt:variant>
        <vt:lpwstr>_Toc353955929</vt:lpwstr>
      </vt:variant>
      <vt:variant>
        <vt:i4>1835068</vt:i4>
      </vt:variant>
      <vt:variant>
        <vt:i4>152</vt:i4>
      </vt:variant>
      <vt:variant>
        <vt:i4>0</vt:i4>
      </vt:variant>
      <vt:variant>
        <vt:i4>5</vt:i4>
      </vt:variant>
      <vt:variant>
        <vt:lpwstr/>
      </vt:variant>
      <vt:variant>
        <vt:lpwstr>_Toc353955928</vt:lpwstr>
      </vt:variant>
      <vt:variant>
        <vt:i4>1835068</vt:i4>
      </vt:variant>
      <vt:variant>
        <vt:i4>146</vt:i4>
      </vt:variant>
      <vt:variant>
        <vt:i4>0</vt:i4>
      </vt:variant>
      <vt:variant>
        <vt:i4>5</vt:i4>
      </vt:variant>
      <vt:variant>
        <vt:lpwstr/>
      </vt:variant>
      <vt:variant>
        <vt:lpwstr>_Toc353955927</vt:lpwstr>
      </vt:variant>
      <vt:variant>
        <vt:i4>1835068</vt:i4>
      </vt:variant>
      <vt:variant>
        <vt:i4>140</vt:i4>
      </vt:variant>
      <vt:variant>
        <vt:i4>0</vt:i4>
      </vt:variant>
      <vt:variant>
        <vt:i4>5</vt:i4>
      </vt:variant>
      <vt:variant>
        <vt:lpwstr/>
      </vt:variant>
      <vt:variant>
        <vt:lpwstr>_Toc353955926</vt:lpwstr>
      </vt:variant>
      <vt:variant>
        <vt:i4>1835068</vt:i4>
      </vt:variant>
      <vt:variant>
        <vt:i4>134</vt:i4>
      </vt:variant>
      <vt:variant>
        <vt:i4>0</vt:i4>
      </vt:variant>
      <vt:variant>
        <vt:i4>5</vt:i4>
      </vt:variant>
      <vt:variant>
        <vt:lpwstr/>
      </vt:variant>
      <vt:variant>
        <vt:lpwstr>_Toc353955925</vt:lpwstr>
      </vt:variant>
      <vt:variant>
        <vt:i4>1835068</vt:i4>
      </vt:variant>
      <vt:variant>
        <vt:i4>128</vt:i4>
      </vt:variant>
      <vt:variant>
        <vt:i4>0</vt:i4>
      </vt:variant>
      <vt:variant>
        <vt:i4>5</vt:i4>
      </vt:variant>
      <vt:variant>
        <vt:lpwstr/>
      </vt:variant>
      <vt:variant>
        <vt:lpwstr>_Toc353955924</vt:lpwstr>
      </vt:variant>
      <vt:variant>
        <vt:i4>1835068</vt:i4>
      </vt:variant>
      <vt:variant>
        <vt:i4>122</vt:i4>
      </vt:variant>
      <vt:variant>
        <vt:i4>0</vt:i4>
      </vt:variant>
      <vt:variant>
        <vt:i4>5</vt:i4>
      </vt:variant>
      <vt:variant>
        <vt:lpwstr/>
      </vt:variant>
      <vt:variant>
        <vt:lpwstr>_Toc353955923</vt:lpwstr>
      </vt:variant>
      <vt:variant>
        <vt:i4>1835068</vt:i4>
      </vt:variant>
      <vt:variant>
        <vt:i4>116</vt:i4>
      </vt:variant>
      <vt:variant>
        <vt:i4>0</vt:i4>
      </vt:variant>
      <vt:variant>
        <vt:i4>5</vt:i4>
      </vt:variant>
      <vt:variant>
        <vt:lpwstr/>
      </vt:variant>
      <vt:variant>
        <vt:lpwstr>_Toc353955922</vt:lpwstr>
      </vt:variant>
      <vt:variant>
        <vt:i4>1835068</vt:i4>
      </vt:variant>
      <vt:variant>
        <vt:i4>110</vt:i4>
      </vt:variant>
      <vt:variant>
        <vt:i4>0</vt:i4>
      </vt:variant>
      <vt:variant>
        <vt:i4>5</vt:i4>
      </vt:variant>
      <vt:variant>
        <vt:lpwstr/>
      </vt:variant>
      <vt:variant>
        <vt:lpwstr>_Toc353955921</vt:lpwstr>
      </vt:variant>
      <vt:variant>
        <vt:i4>1835068</vt:i4>
      </vt:variant>
      <vt:variant>
        <vt:i4>104</vt:i4>
      </vt:variant>
      <vt:variant>
        <vt:i4>0</vt:i4>
      </vt:variant>
      <vt:variant>
        <vt:i4>5</vt:i4>
      </vt:variant>
      <vt:variant>
        <vt:lpwstr/>
      </vt:variant>
      <vt:variant>
        <vt:lpwstr>_Toc353955920</vt:lpwstr>
      </vt:variant>
      <vt:variant>
        <vt:i4>2031676</vt:i4>
      </vt:variant>
      <vt:variant>
        <vt:i4>98</vt:i4>
      </vt:variant>
      <vt:variant>
        <vt:i4>0</vt:i4>
      </vt:variant>
      <vt:variant>
        <vt:i4>5</vt:i4>
      </vt:variant>
      <vt:variant>
        <vt:lpwstr/>
      </vt:variant>
      <vt:variant>
        <vt:lpwstr>_Toc353955919</vt:lpwstr>
      </vt:variant>
      <vt:variant>
        <vt:i4>2031676</vt:i4>
      </vt:variant>
      <vt:variant>
        <vt:i4>92</vt:i4>
      </vt:variant>
      <vt:variant>
        <vt:i4>0</vt:i4>
      </vt:variant>
      <vt:variant>
        <vt:i4>5</vt:i4>
      </vt:variant>
      <vt:variant>
        <vt:lpwstr/>
      </vt:variant>
      <vt:variant>
        <vt:lpwstr>_Toc353955918</vt:lpwstr>
      </vt:variant>
      <vt:variant>
        <vt:i4>2031676</vt:i4>
      </vt:variant>
      <vt:variant>
        <vt:i4>86</vt:i4>
      </vt:variant>
      <vt:variant>
        <vt:i4>0</vt:i4>
      </vt:variant>
      <vt:variant>
        <vt:i4>5</vt:i4>
      </vt:variant>
      <vt:variant>
        <vt:lpwstr/>
      </vt:variant>
      <vt:variant>
        <vt:lpwstr>_Toc353955917</vt:lpwstr>
      </vt:variant>
      <vt:variant>
        <vt:i4>2031676</vt:i4>
      </vt:variant>
      <vt:variant>
        <vt:i4>80</vt:i4>
      </vt:variant>
      <vt:variant>
        <vt:i4>0</vt:i4>
      </vt:variant>
      <vt:variant>
        <vt:i4>5</vt:i4>
      </vt:variant>
      <vt:variant>
        <vt:lpwstr/>
      </vt:variant>
      <vt:variant>
        <vt:lpwstr>_Toc353955916</vt:lpwstr>
      </vt:variant>
      <vt:variant>
        <vt:i4>2031676</vt:i4>
      </vt:variant>
      <vt:variant>
        <vt:i4>74</vt:i4>
      </vt:variant>
      <vt:variant>
        <vt:i4>0</vt:i4>
      </vt:variant>
      <vt:variant>
        <vt:i4>5</vt:i4>
      </vt:variant>
      <vt:variant>
        <vt:lpwstr/>
      </vt:variant>
      <vt:variant>
        <vt:lpwstr>_Toc353955915</vt:lpwstr>
      </vt:variant>
      <vt:variant>
        <vt:i4>2031676</vt:i4>
      </vt:variant>
      <vt:variant>
        <vt:i4>68</vt:i4>
      </vt:variant>
      <vt:variant>
        <vt:i4>0</vt:i4>
      </vt:variant>
      <vt:variant>
        <vt:i4>5</vt:i4>
      </vt:variant>
      <vt:variant>
        <vt:lpwstr/>
      </vt:variant>
      <vt:variant>
        <vt:lpwstr>_Toc353955914</vt:lpwstr>
      </vt:variant>
      <vt:variant>
        <vt:i4>2031676</vt:i4>
      </vt:variant>
      <vt:variant>
        <vt:i4>62</vt:i4>
      </vt:variant>
      <vt:variant>
        <vt:i4>0</vt:i4>
      </vt:variant>
      <vt:variant>
        <vt:i4>5</vt:i4>
      </vt:variant>
      <vt:variant>
        <vt:lpwstr/>
      </vt:variant>
      <vt:variant>
        <vt:lpwstr>_Toc353955913</vt:lpwstr>
      </vt:variant>
      <vt:variant>
        <vt:i4>2031676</vt:i4>
      </vt:variant>
      <vt:variant>
        <vt:i4>56</vt:i4>
      </vt:variant>
      <vt:variant>
        <vt:i4>0</vt:i4>
      </vt:variant>
      <vt:variant>
        <vt:i4>5</vt:i4>
      </vt:variant>
      <vt:variant>
        <vt:lpwstr/>
      </vt:variant>
      <vt:variant>
        <vt:lpwstr>_Toc353955912</vt:lpwstr>
      </vt:variant>
      <vt:variant>
        <vt:i4>2031676</vt:i4>
      </vt:variant>
      <vt:variant>
        <vt:i4>50</vt:i4>
      </vt:variant>
      <vt:variant>
        <vt:i4>0</vt:i4>
      </vt:variant>
      <vt:variant>
        <vt:i4>5</vt:i4>
      </vt:variant>
      <vt:variant>
        <vt:lpwstr/>
      </vt:variant>
      <vt:variant>
        <vt:lpwstr>_Toc353955911</vt:lpwstr>
      </vt:variant>
      <vt:variant>
        <vt:i4>2031676</vt:i4>
      </vt:variant>
      <vt:variant>
        <vt:i4>44</vt:i4>
      </vt:variant>
      <vt:variant>
        <vt:i4>0</vt:i4>
      </vt:variant>
      <vt:variant>
        <vt:i4>5</vt:i4>
      </vt:variant>
      <vt:variant>
        <vt:lpwstr/>
      </vt:variant>
      <vt:variant>
        <vt:lpwstr>_Toc353955910</vt:lpwstr>
      </vt:variant>
      <vt:variant>
        <vt:i4>1966140</vt:i4>
      </vt:variant>
      <vt:variant>
        <vt:i4>38</vt:i4>
      </vt:variant>
      <vt:variant>
        <vt:i4>0</vt:i4>
      </vt:variant>
      <vt:variant>
        <vt:i4>5</vt:i4>
      </vt:variant>
      <vt:variant>
        <vt:lpwstr/>
      </vt:variant>
      <vt:variant>
        <vt:lpwstr>_Toc353955909</vt:lpwstr>
      </vt:variant>
      <vt:variant>
        <vt:i4>1966140</vt:i4>
      </vt:variant>
      <vt:variant>
        <vt:i4>32</vt:i4>
      </vt:variant>
      <vt:variant>
        <vt:i4>0</vt:i4>
      </vt:variant>
      <vt:variant>
        <vt:i4>5</vt:i4>
      </vt:variant>
      <vt:variant>
        <vt:lpwstr/>
      </vt:variant>
      <vt:variant>
        <vt:lpwstr>_Toc353955908</vt:lpwstr>
      </vt:variant>
      <vt:variant>
        <vt:i4>1966140</vt:i4>
      </vt:variant>
      <vt:variant>
        <vt:i4>26</vt:i4>
      </vt:variant>
      <vt:variant>
        <vt:i4>0</vt:i4>
      </vt:variant>
      <vt:variant>
        <vt:i4>5</vt:i4>
      </vt:variant>
      <vt:variant>
        <vt:lpwstr/>
      </vt:variant>
      <vt:variant>
        <vt:lpwstr>_Toc353955907</vt:lpwstr>
      </vt:variant>
      <vt:variant>
        <vt:i4>1966140</vt:i4>
      </vt:variant>
      <vt:variant>
        <vt:i4>20</vt:i4>
      </vt:variant>
      <vt:variant>
        <vt:i4>0</vt:i4>
      </vt:variant>
      <vt:variant>
        <vt:i4>5</vt:i4>
      </vt:variant>
      <vt:variant>
        <vt:lpwstr/>
      </vt:variant>
      <vt:variant>
        <vt:lpwstr>_Toc353955906</vt:lpwstr>
      </vt:variant>
      <vt:variant>
        <vt:i4>1966140</vt:i4>
      </vt:variant>
      <vt:variant>
        <vt:i4>14</vt:i4>
      </vt:variant>
      <vt:variant>
        <vt:i4>0</vt:i4>
      </vt:variant>
      <vt:variant>
        <vt:i4>5</vt:i4>
      </vt:variant>
      <vt:variant>
        <vt:lpwstr/>
      </vt:variant>
      <vt:variant>
        <vt:lpwstr>_Toc353955905</vt:lpwstr>
      </vt:variant>
      <vt:variant>
        <vt:i4>1966140</vt:i4>
      </vt:variant>
      <vt:variant>
        <vt:i4>8</vt:i4>
      </vt:variant>
      <vt:variant>
        <vt:i4>0</vt:i4>
      </vt:variant>
      <vt:variant>
        <vt:i4>5</vt:i4>
      </vt:variant>
      <vt:variant>
        <vt:lpwstr/>
      </vt:variant>
      <vt:variant>
        <vt:lpwstr>_Toc353955904</vt:lpwstr>
      </vt:variant>
      <vt:variant>
        <vt:i4>1966140</vt:i4>
      </vt:variant>
      <vt:variant>
        <vt:i4>2</vt:i4>
      </vt:variant>
      <vt:variant>
        <vt:i4>0</vt:i4>
      </vt:variant>
      <vt:variant>
        <vt:i4>5</vt:i4>
      </vt:variant>
      <vt:variant>
        <vt:lpwstr/>
      </vt:variant>
      <vt:variant>
        <vt:lpwstr>_Toc353955903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2015-08-25T06:30:00Z</dcterms:created>
  <dcterms:modified xsi:type="dcterms:W3CDTF">2015-08-25T06:31:00Z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960200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