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24.xml" ContentType="application/vnd.openxmlformats-officedocument.wordprocessingml.header+xml"/>
  <Override PartName="/word/footer21.xml" ContentType="application/vnd.openxmlformats-officedocument.wordprocessingml.footer+xml"/>
  <Override PartName="/word/header25.xml" ContentType="application/vnd.openxmlformats-officedocument.wordprocessingml.header+xml"/>
  <Override PartName="/word/footer22.xml" ContentType="application/vnd.openxmlformats-officedocument.wordprocessingml.footer+xml"/>
  <Override PartName="/word/header26.xml" ContentType="application/vnd.openxmlformats-officedocument.wordprocessingml.header+xml"/>
  <Override PartName="/word/footer2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9.xml" ContentType="application/vnd.openxmlformats-officedocument.wordprocessingml.header+xml"/>
  <Override PartName="/word/footer26.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4.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32.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43.xml" ContentType="application/vnd.openxmlformats-officedocument.wordprocessingml.header+xml"/>
  <Override PartName="/word/footer35.xml" ContentType="application/vnd.openxmlformats-officedocument.wordprocessingml.footer+xml"/>
  <Override PartName="/word/header44.xml" ContentType="application/vnd.openxmlformats-officedocument.wordprocessingml.header+xml"/>
  <Override PartName="/word/footer36.xml" ContentType="application/vnd.openxmlformats-officedocument.wordprocessingml.footer+xml"/>
  <Override PartName="/word/header45.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43.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44.xml" ContentType="application/vnd.openxmlformats-officedocument.wordprocessingml.footer+xml"/>
  <Override PartName="/word/header53.xml" ContentType="application/vnd.openxmlformats-officedocument.wordprocessingml.header+xml"/>
  <Override PartName="/word/footer45.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46.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38C" w:rsidRDefault="0001438C" w:rsidP="007F7481">
      <w:pPr>
        <w:jc w:val="center"/>
      </w:pPr>
    </w:p>
    <w:p w:rsidR="0001438C" w:rsidRDefault="00833238" w:rsidP="007F7481">
      <w:pPr>
        <w:spacing w:line="24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udget 2015-16 logo" style="width:296.4pt;height:114.1pt">
            <v:imagedata r:id="rId14" o:title="Budget 2015-16_stacked"/>
          </v:shape>
        </w:pict>
      </w:r>
    </w:p>
    <w:p w:rsidR="0001438C" w:rsidRPr="00AD4967" w:rsidRDefault="0001438C" w:rsidP="007F7481">
      <w:pPr>
        <w:pStyle w:val="TPHeading2"/>
        <w:spacing w:before="840"/>
        <w:rPr>
          <w:rFonts w:ascii="Garamond" w:hAnsi="Garamond"/>
          <w:b/>
          <w:caps w:val="0"/>
          <w:sz w:val="36"/>
          <w:szCs w:val="36"/>
        </w:rPr>
      </w:pPr>
      <w:r w:rsidRPr="00AD4967">
        <w:rPr>
          <w:rFonts w:ascii="Garamond" w:hAnsi="Garamond"/>
          <w:b/>
          <w:caps w:val="0"/>
          <w:sz w:val="36"/>
          <w:szCs w:val="36"/>
        </w:rPr>
        <w:t xml:space="preserve">Portfolio Budget Statements </w:t>
      </w:r>
      <w:r w:rsidR="00475EAF" w:rsidRPr="00AD4967">
        <w:rPr>
          <w:rFonts w:ascii="Garamond" w:hAnsi="Garamond"/>
          <w:b/>
          <w:caps w:val="0"/>
          <w:sz w:val="36"/>
          <w:szCs w:val="36"/>
        </w:rPr>
        <w:t>201</w:t>
      </w:r>
      <w:r w:rsidR="00B73E0D" w:rsidRPr="00AD4967">
        <w:rPr>
          <w:rFonts w:ascii="Garamond" w:hAnsi="Garamond"/>
          <w:b/>
          <w:caps w:val="0"/>
          <w:sz w:val="36"/>
          <w:szCs w:val="36"/>
        </w:rPr>
        <w:t>5</w:t>
      </w:r>
      <w:r w:rsidR="0032738E" w:rsidRPr="00AD4967">
        <w:rPr>
          <w:rFonts w:ascii="Garamond" w:hAnsi="Garamond"/>
          <w:b/>
          <w:caps w:val="0"/>
          <w:sz w:val="36"/>
          <w:szCs w:val="36"/>
        </w:rPr>
        <w:noBreakHyphen/>
      </w:r>
      <w:r w:rsidR="00475EAF" w:rsidRPr="00AD4967">
        <w:rPr>
          <w:rFonts w:ascii="Garamond" w:hAnsi="Garamond"/>
          <w:b/>
          <w:caps w:val="0"/>
          <w:sz w:val="36"/>
          <w:szCs w:val="36"/>
        </w:rPr>
        <w:t>1</w:t>
      </w:r>
      <w:r w:rsidR="00B73E0D" w:rsidRPr="00AD4967">
        <w:rPr>
          <w:rFonts w:ascii="Garamond" w:hAnsi="Garamond"/>
          <w:b/>
          <w:caps w:val="0"/>
          <w:sz w:val="36"/>
          <w:szCs w:val="36"/>
        </w:rPr>
        <w:t>6</w:t>
      </w:r>
    </w:p>
    <w:p w:rsidR="0001438C" w:rsidRPr="00AD4967" w:rsidRDefault="0001438C" w:rsidP="0032738E">
      <w:pPr>
        <w:pStyle w:val="TPHeading2"/>
        <w:rPr>
          <w:rFonts w:ascii="Garamond" w:hAnsi="Garamond"/>
          <w:b/>
          <w:caps w:val="0"/>
          <w:sz w:val="36"/>
          <w:szCs w:val="36"/>
        </w:rPr>
      </w:pPr>
      <w:r w:rsidRPr="00AD4967">
        <w:rPr>
          <w:rFonts w:ascii="Garamond" w:hAnsi="Garamond"/>
          <w:b/>
          <w:caps w:val="0"/>
          <w:sz w:val="36"/>
          <w:szCs w:val="36"/>
        </w:rPr>
        <w:t xml:space="preserve">Budget </w:t>
      </w:r>
      <w:r w:rsidR="00A70398" w:rsidRPr="00AD4967">
        <w:rPr>
          <w:rFonts w:ascii="Garamond" w:hAnsi="Garamond"/>
          <w:b/>
          <w:caps w:val="0"/>
          <w:sz w:val="36"/>
          <w:szCs w:val="36"/>
        </w:rPr>
        <w:t xml:space="preserve">Related Paper </w:t>
      </w:r>
      <w:r w:rsidRPr="00AD4967">
        <w:rPr>
          <w:rFonts w:ascii="Garamond" w:hAnsi="Garamond"/>
          <w:b/>
          <w:caps w:val="0"/>
          <w:sz w:val="36"/>
          <w:szCs w:val="36"/>
        </w:rPr>
        <w:t>No. 1.</w:t>
      </w:r>
      <w:r w:rsidR="00587C5F">
        <w:rPr>
          <w:rFonts w:ascii="Garamond" w:hAnsi="Garamond"/>
          <w:b/>
          <w:caps w:val="0"/>
          <w:sz w:val="36"/>
          <w:szCs w:val="36"/>
        </w:rPr>
        <w:t>9</w:t>
      </w:r>
    </w:p>
    <w:p w:rsidR="0001438C" w:rsidRPr="00AD4967" w:rsidRDefault="00576995" w:rsidP="00AD4967">
      <w:pPr>
        <w:pStyle w:val="TPHeading2"/>
        <w:spacing w:before="240"/>
        <w:rPr>
          <w:rFonts w:ascii="Garamond" w:hAnsi="Garamond"/>
          <w:sz w:val="36"/>
          <w:szCs w:val="36"/>
        </w:rPr>
      </w:pPr>
      <w:r>
        <w:rPr>
          <w:rFonts w:ascii="Garamond" w:hAnsi="Garamond"/>
          <w:caps w:val="0"/>
          <w:sz w:val="36"/>
          <w:szCs w:val="36"/>
        </w:rPr>
        <w:t xml:space="preserve">Foreign Affairs and Trade </w:t>
      </w:r>
      <w:r w:rsidR="00B30944" w:rsidRPr="00AD4967">
        <w:rPr>
          <w:rFonts w:ascii="Garamond" w:hAnsi="Garamond"/>
          <w:caps w:val="0"/>
          <w:sz w:val="36"/>
          <w:szCs w:val="36"/>
        </w:rPr>
        <w:t>Portfolio</w:t>
      </w:r>
    </w:p>
    <w:p w:rsidR="0001438C" w:rsidRDefault="0001438C" w:rsidP="00AD4967">
      <w:pPr>
        <w:spacing w:before="2400"/>
        <w:jc w:val="center"/>
      </w:pPr>
    </w:p>
    <w:p w:rsidR="0001438C" w:rsidRPr="00B30944" w:rsidRDefault="00B30944" w:rsidP="00AD4967">
      <w:pPr>
        <w:pStyle w:val="TPHeading3"/>
        <w:spacing w:before="1320"/>
        <w:jc w:val="center"/>
        <w:rPr>
          <w:rFonts w:ascii="Garamond" w:hAnsi="Garamond"/>
          <w:szCs w:val="24"/>
        </w:rPr>
      </w:pPr>
      <w:r w:rsidRPr="00B30944">
        <w:rPr>
          <w:rFonts w:ascii="Garamond" w:hAnsi="Garamond"/>
          <w:caps w:val="0"/>
          <w:szCs w:val="24"/>
        </w:rPr>
        <w:t xml:space="preserve">Budget </w:t>
      </w:r>
      <w:r w:rsidR="00D70BF5" w:rsidRPr="00B30944">
        <w:rPr>
          <w:rFonts w:ascii="Garamond" w:hAnsi="Garamond"/>
          <w:caps w:val="0"/>
          <w:szCs w:val="24"/>
        </w:rPr>
        <w:t xml:space="preserve">Initiatives </w:t>
      </w:r>
      <w:r w:rsidR="00362AA7" w:rsidRPr="00B30944">
        <w:rPr>
          <w:rFonts w:ascii="Garamond" w:hAnsi="Garamond"/>
          <w:caps w:val="0"/>
          <w:szCs w:val="24"/>
        </w:rPr>
        <w:t xml:space="preserve">and </w:t>
      </w:r>
      <w:r w:rsidR="00D70BF5" w:rsidRPr="00B30944">
        <w:rPr>
          <w:rFonts w:ascii="Garamond" w:hAnsi="Garamond"/>
          <w:caps w:val="0"/>
          <w:szCs w:val="24"/>
        </w:rPr>
        <w:t xml:space="preserve">Explanations </w:t>
      </w:r>
      <w:r w:rsidR="00362AA7" w:rsidRPr="00B30944">
        <w:rPr>
          <w:rFonts w:ascii="Garamond" w:hAnsi="Garamond"/>
          <w:caps w:val="0"/>
          <w:szCs w:val="24"/>
        </w:rPr>
        <w:t>of</w:t>
      </w:r>
    </w:p>
    <w:p w:rsidR="0001438C" w:rsidRPr="00B30944" w:rsidRDefault="00D70BF5" w:rsidP="00B30944">
      <w:pPr>
        <w:pStyle w:val="TPHeading3"/>
        <w:jc w:val="center"/>
        <w:rPr>
          <w:rFonts w:ascii="Garamond" w:hAnsi="Garamond"/>
          <w:szCs w:val="24"/>
        </w:rPr>
      </w:pPr>
      <w:r w:rsidRPr="00B30944">
        <w:rPr>
          <w:rFonts w:ascii="Garamond" w:hAnsi="Garamond"/>
          <w:caps w:val="0"/>
          <w:szCs w:val="24"/>
        </w:rPr>
        <w:t xml:space="preserve">Appropriations Specified </w:t>
      </w:r>
      <w:r w:rsidR="00362AA7" w:rsidRPr="00B30944">
        <w:rPr>
          <w:rFonts w:ascii="Garamond" w:hAnsi="Garamond"/>
          <w:caps w:val="0"/>
          <w:szCs w:val="24"/>
        </w:rPr>
        <w:t xml:space="preserve">by </w:t>
      </w:r>
      <w:r w:rsidRPr="00B30944">
        <w:rPr>
          <w:rFonts w:ascii="Garamond" w:hAnsi="Garamond"/>
          <w:caps w:val="0"/>
          <w:szCs w:val="24"/>
        </w:rPr>
        <w:t>Outcomes</w:t>
      </w:r>
    </w:p>
    <w:p w:rsidR="0001438C" w:rsidRPr="00B30944" w:rsidRDefault="00362AA7" w:rsidP="00B30944">
      <w:pPr>
        <w:pStyle w:val="TPHeading3"/>
        <w:jc w:val="center"/>
        <w:rPr>
          <w:rFonts w:ascii="Garamond" w:hAnsi="Garamond"/>
          <w:sz w:val="22"/>
          <w:szCs w:val="22"/>
        </w:rPr>
      </w:pPr>
      <w:r w:rsidRPr="00B30944">
        <w:rPr>
          <w:rFonts w:ascii="Garamond" w:hAnsi="Garamond"/>
          <w:caps w:val="0"/>
          <w:szCs w:val="24"/>
        </w:rPr>
        <w:t xml:space="preserve">and </w:t>
      </w:r>
      <w:r w:rsidR="00D70BF5" w:rsidRPr="00B30944">
        <w:rPr>
          <w:rFonts w:ascii="Garamond" w:hAnsi="Garamond"/>
          <w:caps w:val="0"/>
          <w:szCs w:val="24"/>
        </w:rPr>
        <w:t xml:space="preserve">Programmes </w:t>
      </w:r>
      <w:r w:rsidRPr="00B30944">
        <w:rPr>
          <w:rFonts w:ascii="Garamond" w:hAnsi="Garamond"/>
          <w:caps w:val="0"/>
          <w:szCs w:val="24"/>
        </w:rPr>
        <w:t xml:space="preserve">by </w:t>
      </w:r>
      <w:r w:rsidR="00D70BF5">
        <w:rPr>
          <w:rFonts w:ascii="Garamond" w:hAnsi="Garamond"/>
          <w:caps w:val="0"/>
          <w:szCs w:val="24"/>
        </w:rPr>
        <w:t>Entity</w:t>
      </w:r>
    </w:p>
    <w:p w:rsidR="00D50C9B" w:rsidRDefault="00D50C9B" w:rsidP="00D50C9B">
      <w:pPr>
        <w:sectPr w:rsidR="00D50C9B" w:rsidSect="001923C8">
          <w:headerReference w:type="default" r:id="rId15"/>
          <w:footerReference w:type="even" r:id="rId16"/>
          <w:footerReference w:type="default" r:id="rId17"/>
          <w:pgSz w:w="11906" w:h="16838" w:code="9"/>
          <w:pgMar w:top="2466" w:right="2098" w:bottom="2466" w:left="2098" w:header="1899" w:footer="1899" w:gutter="0"/>
          <w:cols w:space="708"/>
          <w:vAlign w:val="center"/>
          <w:titlePg/>
          <w:docGrid w:linePitch="360"/>
        </w:sectPr>
      </w:pPr>
    </w:p>
    <w:p w:rsidR="00C42D37" w:rsidRPr="00982F10" w:rsidRDefault="0012022D" w:rsidP="00C42D37">
      <w:r w:rsidRPr="00982F10">
        <w:lastRenderedPageBreak/>
        <w:t>© Commonwealth of Australia</w:t>
      </w:r>
      <w:r w:rsidR="00340640">
        <w:t xml:space="preserve"> </w:t>
      </w:r>
      <w:r w:rsidR="00340640" w:rsidRPr="00340640">
        <w:t>2015</w:t>
      </w:r>
    </w:p>
    <w:p w:rsidR="006F3D4B" w:rsidRPr="006F3D4B" w:rsidRDefault="006F3D4B" w:rsidP="006F3D4B">
      <w:pPr>
        <w:jc w:val="left"/>
        <w:rPr>
          <w:color w:val="000000"/>
        </w:rPr>
      </w:pPr>
      <w:r>
        <w:t xml:space="preserve">Printed Version: </w:t>
      </w:r>
      <w:r w:rsidR="0012022D" w:rsidRPr="00982F10">
        <w:t xml:space="preserve">ISBN </w:t>
      </w:r>
      <w:r w:rsidR="00CB7063" w:rsidRPr="00604695">
        <w:rPr>
          <w:color w:val="000000"/>
        </w:rPr>
        <w:t>978-1-74322-223-2</w:t>
      </w:r>
      <w:r>
        <w:rPr>
          <w:color w:val="000000"/>
        </w:rPr>
        <w:br/>
        <w:t>PDF Version: ISBN 978-1-74322-224-9</w:t>
      </w:r>
    </w:p>
    <w:p w:rsidR="00C42D37" w:rsidRPr="00604695" w:rsidRDefault="0012022D" w:rsidP="00C42D37">
      <w:pPr>
        <w:tabs>
          <w:tab w:val="left" w:pos="1650"/>
        </w:tabs>
        <w:spacing w:before="100" w:beforeAutospacing="1" w:after="100" w:afterAutospacing="1"/>
        <w:rPr>
          <w:rStyle w:val="A5"/>
          <w:rFonts w:ascii="Calibri" w:hAnsi="Calibri"/>
          <w:sz w:val="24"/>
          <w:szCs w:val="24"/>
        </w:rPr>
      </w:pPr>
      <w:r w:rsidRPr="00604695">
        <w:rPr>
          <w:color w:val="000000"/>
        </w:rPr>
        <w:t>This publication is available for your use under a</w:t>
      </w:r>
      <w:r w:rsidRPr="00604695">
        <w:rPr>
          <w:rStyle w:val="A5"/>
          <w:rFonts w:ascii="Calibri" w:hAnsi="Calibri" w:cs="Calibri"/>
          <w:sz w:val="24"/>
          <w:szCs w:val="24"/>
        </w:rPr>
        <w:t xml:space="preserve"> </w:t>
      </w:r>
      <w:hyperlink r:id="rId18" w:history="1">
        <w:r w:rsidRPr="00604695">
          <w:rPr>
            <w:rStyle w:val="Hyperlink"/>
            <w:color w:val="000000"/>
          </w:rPr>
          <w:t>Creative Commons BY Attribution 3.0 Australia</w:t>
        </w:r>
      </w:hyperlink>
      <w:r w:rsidRPr="00604695">
        <w:rPr>
          <w:rStyle w:val="A5"/>
          <w:rFonts w:ascii="Calibri" w:hAnsi="Calibri" w:cs="Calibri"/>
          <w:sz w:val="24"/>
          <w:szCs w:val="24"/>
        </w:rPr>
        <w:t xml:space="preserve"> </w:t>
      </w:r>
      <w:r w:rsidRPr="00604695">
        <w:rPr>
          <w:color w:val="000000"/>
        </w:rPr>
        <w:t xml:space="preserve">licence, with the exception of the Commonwealth Coat of Arms, the </w:t>
      </w:r>
      <w:r w:rsidR="006A1A56" w:rsidRPr="00604695">
        <w:rPr>
          <w:color w:val="000000"/>
        </w:rPr>
        <w:t xml:space="preserve">Department of Foreign Affairs and Trade </w:t>
      </w:r>
      <w:r w:rsidRPr="00604695">
        <w:rPr>
          <w:color w:val="000000"/>
        </w:rPr>
        <w:t>logo, photographs, images, signatures and where otherwise stated. The full licence terms are available from</w:t>
      </w:r>
      <w:r w:rsidRPr="00604695">
        <w:rPr>
          <w:rStyle w:val="A5"/>
          <w:rFonts w:ascii="Calibri" w:hAnsi="Calibri" w:cs="Calibri"/>
          <w:sz w:val="24"/>
          <w:szCs w:val="24"/>
        </w:rPr>
        <w:t xml:space="preserve"> </w:t>
      </w:r>
      <w:hyperlink r:id="rId19" w:history="1">
        <w:r w:rsidRPr="00604695">
          <w:rPr>
            <w:rStyle w:val="Hyperlink"/>
            <w:color w:val="000000"/>
          </w:rPr>
          <w:t>http://creativecommons.org/licenses/by/3.0/au/legalcode</w:t>
        </w:r>
      </w:hyperlink>
      <w:r w:rsidR="00BF36A1" w:rsidRPr="00BF36A1">
        <w:rPr>
          <w:rStyle w:val="Hyperlink"/>
          <w:color w:val="000000"/>
          <w:u w:val="none"/>
        </w:rPr>
        <w:t>.</w:t>
      </w:r>
      <w:r w:rsidRPr="00604695">
        <w:rPr>
          <w:color w:val="000000"/>
          <w:sz w:val="24"/>
          <w:szCs w:val="24"/>
        </w:rPr>
        <w:t xml:space="preserve"> </w:t>
      </w:r>
    </w:p>
    <w:p w:rsidR="00C42D37" w:rsidRPr="00604695" w:rsidRDefault="00833238" w:rsidP="00C42D37">
      <w:pPr>
        <w:tabs>
          <w:tab w:val="left" w:pos="1650"/>
        </w:tabs>
        <w:spacing w:before="100" w:beforeAutospacing="1" w:after="100" w:afterAutospacing="1" w:line="240" w:lineRule="auto"/>
        <w:rPr>
          <w:rFonts w:cs="Calibri"/>
          <w:color w:val="000000"/>
        </w:rPr>
      </w:pPr>
      <w:r>
        <w:rPr>
          <w:rFonts w:cs="Calibri"/>
          <w:color w:val="000000"/>
        </w:rPr>
        <w:pict>
          <v:shape id="_x0000_i1027" type="#_x0000_t75" alt="Creative Commons logo" style="width:85.1pt;height:29pt">
            <v:imagedata r:id="rId20" o:title="cc"/>
          </v:shape>
        </w:pict>
      </w:r>
    </w:p>
    <w:p w:rsidR="00C42D37" w:rsidRPr="00604695" w:rsidRDefault="0012022D" w:rsidP="00C42D37">
      <w:pPr>
        <w:tabs>
          <w:tab w:val="left" w:pos="1650"/>
        </w:tabs>
        <w:spacing w:before="100" w:beforeAutospacing="1" w:after="100" w:afterAutospacing="1"/>
        <w:rPr>
          <w:color w:val="000000"/>
          <w:sz w:val="22"/>
          <w:szCs w:val="22"/>
        </w:rPr>
      </w:pPr>
      <w:r w:rsidRPr="00604695">
        <w:rPr>
          <w:color w:val="000000"/>
        </w:rPr>
        <w:t xml:space="preserve">Use of </w:t>
      </w:r>
      <w:r w:rsidR="006A1A56" w:rsidRPr="00604695">
        <w:rPr>
          <w:color w:val="000000"/>
        </w:rPr>
        <w:t xml:space="preserve">Foreign Affairs and Trade Portfolio </w:t>
      </w:r>
      <w:r w:rsidRPr="00604695">
        <w:rPr>
          <w:color w:val="000000"/>
        </w:rPr>
        <w:t>material under a</w:t>
      </w:r>
      <w:r w:rsidRPr="00604695">
        <w:rPr>
          <w:rFonts w:cs="Calibri"/>
          <w:color w:val="000000"/>
          <w:sz w:val="24"/>
          <w:szCs w:val="24"/>
        </w:rPr>
        <w:t xml:space="preserve"> </w:t>
      </w:r>
      <w:hyperlink r:id="rId21" w:history="1">
        <w:r w:rsidRPr="00604695">
          <w:rPr>
            <w:rStyle w:val="Hyperlink"/>
            <w:color w:val="000000"/>
          </w:rPr>
          <w:t>Creative Commons BY Attribution 3.0 Australia</w:t>
        </w:r>
      </w:hyperlink>
      <w:r w:rsidRPr="00BF36A1">
        <w:rPr>
          <w:rStyle w:val="Hyperlink"/>
          <w:color w:val="000000"/>
          <w:u w:val="none"/>
        </w:rPr>
        <w:t xml:space="preserve"> </w:t>
      </w:r>
      <w:r w:rsidRPr="00604695">
        <w:rPr>
          <w:color w:val="000000"/>
        </w:rPr>
        <w:t xml:space="preserve">licence requires you to attribute the work (but not in any way that suggests that the </w:t>
      </w:r>
      <w:r w:rsidR="00E72CD0" w:rsidRPr="00604695">
        <w:rPr>
          <w:color w:val="000000"/>
        </w:rPr>
        <w:t>Foreign Affairs and Trade Portfolio</w:t>
      </w:r>
      <w:r w:rsidRPr="00604695">
        <w:rPr>
          <w:color w:val="000000"/>
        </w:rPr>
        <w:t xml:space="preserve"> endorses you or your use of the work). </w:t>
      </w:r>
    </w:p>
    <w:p w:rsidR="00C42D37" w:rsidRPr="00604695" w:rsidRDefault="006A1A56" w:rsidP="00C42D37">
      <w:pPr>
        <w:rPr>
          <w:i/>
          <w:color w:val="000000"/>
        </w:rPr>
      </w:pPr>
      <w:r w:rsidRPr="00604695">
        <w:rPr>
          <w:i/>
          <w:color w:val="000000"/>
        </w:rPr>
        <w:t>Foreign Affairs and Trade Portfolio</w:t>
      </w:r>
      <w:r w:rsidR="0012022D" w:rsidRPr="00604695">
        <w:rPr>
          <w:i/>
          <w:color w:val="000000"/>
        </w:rPr>
        <w:t xml:space="preserve"> material used 'as supplied'</w:t>
      </w:r>
    </w:p>
    <w:p w:rsidR="00C42D37" w:rsidRPr="00604695" w:rsidRDefault="0012022D" w:rsidP="00C42D37">
      <w:pPr>
        <w:rPr>
          <w:color w:val="000000"/>
        </w:rPr>
      </w:pPr>
      <w:r w:rsidRPr="00604695">
        <w:rPr>
          <w:color w:val="000000"/>
        </w:rPr>
        <w:t xml:space="preserve">Provided you have not modified or transformed </w:t>
      </w:r>
      <w:r w:rsidR="006A1A56" w:rsidRPr="00604695">
        <w:rPr>
          <w:color w:val="000000"/>
        </w:rPr>
        <w:t>Foreign Affairs and Trade Portfolio</w:t>
      </w:r>
      <w:r w:rsidRPr="00604695">
        <w:rPr>
          <w:color w:val="000000"/>
        </w:rPr>
        <w:t xml:space="preserve"> material in any way including, for example, by changing the </w:t>
      </w:r>
      <w:r w:rsidR="006A1A56" w:rsidRPr="00604695">
        <w:rPr>
          <w:color w:val="000000"/>
        </w:rPr>
        <w:t>Foreign Affairs and Trade Portfolio</w:t>
      </w:r>
      <w:r w:rsidRPr="00604695">
        <w:rPr>
          <w:color w:val="000000"/>
        </w:rPr>
        <w:t xml:space="preserve"> text; calculating percentage changes; graphing or charting data; or deriving new statistics from published </w:t>
      </w:r>
      <w:r w:rsidR="006A1A56" w:rsidRPr="00604695">
        <w:rPr>
          <w:color w:val="000000"/>
        </w:rPr>
        <w:t>Foreign Affairs and Trade Portfolio</w:t>
      </w:r>
      <w:r w:rsidRPr="00604695">
        <w:rPr>
          <w:color w:val="000000"/>
        </w:rPr>
        <w:t xml:space="preserve"> statistics – then </w:t>
      </w:r>
      <w:r w:rsidR="006A1A56" w:rsidRPr="00604695">
        <w:rPr>
          <w:color w:val="000000"/>
        </w:rPr>
        <w:t>Foreign Affairs and Trade Portfolio</w:t>
      </w:r>
      <w:r w:rsidRPr="00604695">
        <w:rPr>
          <w:color w:val="000000"/>
        </w:rPr>
        <w:t xml:space="preserve"> prefers the following attribution: </w:t>
      </w:r>
    </w:p>
    <w:p w:rsidR="00C42D37" w:rsidRPr="00604695" w:rsidRDefault="0012022D" w:rsidP="00C42D37">
      <w:pPr>
        <w:ind w:firstLine="720"/>
        <w:rPr>
          <w:color w:val="000000"/>
        </w:rPr>
      </w:pPr>
      <w:r w:rsidRPr="00604695">
        <w:rPr>
          <w:i/>
          <w:color w:val="000000"/>
        </w:rPr>
        <w:t xml:space="preserve">Source: The </w:t>
      </w:r>
      <w:r w:rsidRPr="00604695">
        <w:rPr>
          <w:i/>
          <w:iCs/>
          <w:color w:val="000000"/>
        </w:rPr>
        <w:t>Australian Government </w:t>
      </w:r>
      <w:r w:rsidR="006A1A56" w:rsidRPr="00604695">
        <w:rPr>
          <w:i/>
          <w:color w:val="000000"/>
        </w:rPr>
        <w:t>Foreign Affairs and Trade Portfolio</w:t>
      </w:r>
    </w:p>
    <w:p w:rsidR="00C42D37" w:rsidRPr="00604695" w:rsidRDefault="0012022D" w:rsidP="00C42D37">
      <w:pPr>
        <w:rPr>
          <w:b/>
          <w:color w:val="000000"/>
        </w:rPr>
      </w:pPr>
      <w:r w:rsidRPr="00604695">
        <w:rPr>
          <w:b/>
          <w:color w:val="000000"/>
        </w:rPr>
        <w:t>Derivative material</w:t>
      </w:r>
    </w:p>
    <w:p w:rsidR="00C42D37" w:rsidRPr="00604695" w:rsidRDefault="0012022D" w:rsidP="00C42D37">
      <w:pPr>
        <w:rPr>
          <w:color w:val="000000"/>
        </w:rPr>
      </w:pPr>
      <w:r w:rsidRPr="00604695">
        <w:rPr>
          <w:color w:val="000000"/>
        </w:rPr>
        <w:t xml:space="preserve">If you have modified or transformed </w:t>
      </w:r>
      <w:r w:rsidR="006A1A56" w:rsidRPr="00604695">
        <w:rPr>
          <w:color w:val="000000"/>
        </w:rPr>
        <w:t>Foreign Affairs and Trade Portfolio</w:t>
      </w:r>
      <w:r w:rsidRPr="00604695">
        <w:rPr>
          <w:color w:val="000000"/>
        </w:rPr>
        <w:t xml:space="preserve"> material, or derived new material from those of the </w:t>
      </w:r>
      <w:r w:rsidR="006A1A56" w:rsidRPr="00604695">
        <w:rPr>
          <w:color w:val="000000"/>
        </w:rPr>
        <w:t>Foreign Affairs and Trade Portfolio</w:t>
      </w:r>
      <w:r w:rsidRPr="00604695">
        <w:rPr>
          <w:color w:val="000000"/>
        </w:rPr>
        <w:t xml:space="preserve"> in any way, then </w:t>
      </w:r>
      <w:r w:rsidR="00BF36A1">
        <w:rPr>
          <w:color w:val="000000"/>
        </w:rPr>
        <w:t xml:space="preserve">the </w:t>
      </w:r>
      <w:r w:rsidR="006A1A56" w:rsidRPr="00604695">
        <w:rPr>
          <w:color w:val="000000"/>
        </w:rPr>
        <w:t>Foreign Affairs and Trade Portfolio</w:t>
      </w:r>
      <w:r w:rsidRPr="00604695">
        <w:rPr>
          <w:color w:val="000000"/>
        </w:rPr>
        <w:t xml:space="preserve"> prefers the following attribution: </w:t>
      </w:r>
    </w:p>
    <w:p w:rsidR="00C42D37" w:rsidRPr="00982F10" w:rsidRDefault="0012022D" w:rsidP="00C42D37">
      <w:pPr>
        <w:ind w:firstLine="720"/>
        <w:rPr>
          <w:color w:val="FF0000"/>
        </w:rPr>
      </w:pPr>
      <w:r w:rsidRPr="00604695">
        <w:rPr>
          <w:i/>
          <w:color w:val="000000"/>
        </w:rPr>
        <w:t xml:space="preserve">Based on The Australian Government </w:t>
      </w:r>
      <w:r w:rsidR="006A1A56" w:rsidRPr="00604695">
        <w:rPr>
          <w:i/>
          <w:color w:val="000000"/>
        </w:rPr>
        <w:t>Foreign Affairs and Trade Portfolio</w:t>
      </w:r>
      <w:r w:rsidRPr="00982F10">
        <w:rPr>
          <w:i/>
        </w:rPr>
        <w:t xml:space="preserve"> data</w:t>
      </w:r>
      <w:r w:rsidRPr="00982F10">
        <w:t xml:space="preserve"> </w:t>
      </w:r>
    </w:p>
    <w:p w:rsidR="00C42D37" w:rsidRPr="00982F10" w:rsidRDefault="0012022D" w:rsidP="00C42D37">
      <w:pPr>
        <w:spacing w:after="40"/>
        <w:rPr>
          <w:b/>
        </w:rPr>
      </w:pPr>
      <w:r w:rsidRPr="00982F10">
        <w:rPr>
          <w:b/>
        </w:rPr>
        <w:t>Use of the Coat of Arms</w:t>
      </w:r>
    </w:p>
    <w:p w:rsidR="00C42D37" w:rsidRPr="00982F10" w:rsidRDefault="0012022D" w:rsidP="00C42D37">
      <w:r w:rsidRPr="00982F10">
        <w:t xml:space="preserve">The terms under which the Coat of Arms can be used are set out on the It’s an Honour website (see </w:t>
      </w:r>
      <w:hyperlink r:id="rId22" w:history="1">
        <w:r w:rsidRPr="00982F10">
          <w:rPr>
            <w:rStyle w:val="Hyperlink"/>
          </w:rPr>
          <w:t>www.itsanhonour.gov.au</w:t>
        </w:r>
      </w:hyperlink>
      <w:r w:rsidRPr="00982F10">
        <w:t>)</w:t>
      </w:r>
      <w:r w:rsidR="00401B17">
        <w:t>.</w:t>
      </w:r>
    </w:p>
    <w:p w:rsidR="00604695" w:rsidRDefault="00604695" w:rsidP="00D50C9B">
      <w:pPr>
        <w:sectPr w:rsidR="00604695" w:rsidSect="00C42D37">
          <w:headerReference w:type="first" r:id="rId23"/>
          <w:pgSz w:w="11906" w:h="16838" w:code="9"/>
          <w:pgMar w:top="2466" w:right="2098" w:bottom="2466" w:left="2098" w:header="1899" w:footer="1899" w:gutter="0"/>
          <w:cols w:space="708"/>
          <w:docGrid w:linePitch="360"/>
        </w:sectPr>
      </w:pPr>
    </w:p>
    <w:p w:rsidR="00E20628" w:rsidRDefault="00833238" w:rsidP="00021DA6">
      <w:pPr>
        <w:pStyle w:val="Crest"/>
      </w:pPr>
      <w:r>
        <w:rPr>
          <w:noProof/>
        </w:rPr>
        <w:lastRenderedPageBreak/>
        <w:pict>
          <v:shape id="_x0000_i1028" type="#_x0000_t75" alt="Australian Coat of Arms" style="width:71.05pt;height:52.35pt;visibility:visible">
            <v:imagedata r:id="rId24" o:title="crest_ministerial"/>
          </v:shape>
        </w:pict>
      </w:r>
    </w:p>
    <w:p w:rsidR="00021DA6" w:rsidRDefault="00587C5F" w:rsidP="00021DA6">
      <w:pPr>
        <w:pStyle w:val="TransmittalStyle1"/>
        <w:rPr>
          <w:rFonts w:ascii="Times New Roman" w:hAnsi="Times New Roman"/>
          <w:sz w:val="28"/>
          <w:szCs w:val="28"/>
        </w:rPr>
      </w:pPr>
      <w:r>
        <w:rPr>
          <w:rFonts w:ascii="Times New Roman" w:hAnsi="Times New Roman"/>
          <w:sz w:val="28"/>
          <w:szCs w:val="28"/>
        </w:rPr>
        <w:t>Minister for Foreign Affairs</w:t>
      </w:r>
    </w:p>
    <w:p w:rsidR="00587C5F" w:rsidRPr="004847B4" w:rsidRDefault="00587C5F" w:rsidP="00021DA6">
      <w:pPr>
        <w:pStyle w:val="TransmittalStyle1"/>
        <w:rPr>
          <w:rFonts w:ascii="Times New Roman" w:hAnsi="Times New Roman"/>
          <w:sz w:val="28"/>
          <w:szCs w:val="28"/>
        </w:rPr>
      </w:pPr>
      <w:r>
        <w:rPr>
          <w:rFonts w:ascii="Times New Roman" w:hAnsi="Times New Roman"/>
          <w:sz w:val="28"/>
          <w:szCs w:val="28"/>
        </w:rPr>
        <w:t>Minister for Trade and Investment</w:t>
      </w:r>
    </w:p>
    <w:p w:rsidR="00021DA6" w:rsidRPr="004847B4" w:rsidRDefault="00021DA6" w:rsidP="00021DA6">
      <w:pPr>
        <w:pStyle w:val="TransmittalStyle2"/>
        <w:rPr>
          <w:rFonts w:ascii="Times" w:hAnsi="Times" w:cs="Times"/>
        </w:rPr>
      </w:pPr>
      <w:r w:rsidRPr="004847B4">
        <w:rPr>
          <w:rFonts w:ascii="Times" w:hAnsi="Times" w:cs="Times"/>
        </w:rPr>
        <w:t>parliament House</w:t>
      </w:r>
    </w:p>
    <w:p w:rsidR="00021DA6" w:rsidRPr="004847B4" w:rsidRDefault="00021DA6" w:rsidP="00021DA6">
      <w:pPr>
        <w:pStyle w:val="TransmittalStyle2"/>
        <w:rPr>
          <w:rFonts w:ascii="Times" w:hAnsi="Times" w:cs="Times"/>
        </w:rPr>
      </w:pPr>
      <w:r w:rsidRPr="004847B4">
        <w:rPr>
          <w:rFonts w:ascii="Times" w:hAnsi="Times" w:cs="Times"/>
        </w:rPr>
        <w:t>canberra  2600</w:t>
      </w:r>
    </w:p>
    <w:p w:rsidR="00021DA6" w:rsidRDefault="00021DA6" w:rsidP="00021DA6">
      <w:pPr>
        <w:pStyle w:val="TransmittalAddressee"/>
      </w:pPr>
      <w:r>
        <w:t>President of the Senate</w:t>
      </w:r>
    </w:p>
    <w:p w:rsidR="00021DA6" w:rsidRDefault="00021DA6" w:rsidP="00021DA6">
      <w:pPr>
        <w:pStyle w:val="TransmittalAddressee"/>
      </w:pPr>
      <w:r>
        <w:t>Australian Senate</w:t>
      </w:r>
    </w:p>
    <w:p w:rsidR="00021DA6" w:rsidRDefault="00021DA6" w:rsidP="00021DA6">
      <w:pPr>
        <w:pStyle w:val="TransmittalAddressee"/>
      </w:pPr>
      <w:r>
        <w:t>Parliament House</w:t>
      </w:r>
    </w:p>
    <w:p w:rsidR="00021DA6" w:rsidRDefault="00021DA6" w:rsidP="00021DA6">
      <w:pPr>
        <w:pStyle w:val="TransmittalAddressee"/>
      </w:pPr>
      <w:r>
        <w:t>CANBERRA  ACT  2600</w:t>
      </w:r>
    </w:p>
    <w:p w:rsidR="00021DA6" w:rsidRDefault="00021DA6" w:rsidP="00021DA6">
      <w:pPr>
        <w:pStyle w:val="TransmittalAddressee"/>
      </w:pPr>
    </w:p>
    <w:p w:rsidR="00021DA6" w:rsidRDefault="00021DA6" w:rsidP="009C0C48">
      <w:pPr>
        <w:pStyle w:val="TransmittalAddressee"/>
      </w:pPr>
      <w:r>
        <w:t>Speaker</w:t>
      </w:r>
    </w:p>
    <w:p w:rsidR="00021DA6" w:rsidRDefault="00021DA6" w:rsidP="009C0C48">
      <w:pPr>
        <w:pStyle w:val="TransmittalAddressee"/>
      </w:pPr>
      <w:r>
        <w:t>House of Representatives</w:t>
      </w:r>
    </w:p>
    <w:p w:rsidR="00021DA6" w:rsidRDefault="00021DA6" w:rsidP="009C0C48">
      <w:pPr>
        <w:pStyle w:val="TransmittalAddressee"/>
      </w:pPr>
      <w:r>
        <w:t>Parliament House</w:t>
      </w:r>
    </w:p>
    <w:p w:rsidR="00021DA6" w:rsidRDefault="00021DA6" w:rsidP="009C0C48">
      <w:pPr>
        <w:pStyle w:val="TransmittalAddressee"/>
      </w:pPr>
      <w:r>
        <w:t>CANBERRA  ACT  2600</w:t>
      </w:r>
    </w:p>
    <w:p w:rsidR="009C0C48" w:rsidRDefault="009C0C48" w:rsidP="009C0C48"/>
    <w:p w:rsidR="00021DA6" w:rsidRDefault="00021DA6" w:rsidP="009C0C48">
      <w:pPr>
        <w:pStyle w:val="SingleParagraph"/>
      </w:pPr>
      <w:r>
        <w:t>Dear Mr President</w:t>
      </w:r>
    </w:p>
    <w:p w:rsidR="00021DA6" w:rsidRDefault="00021DA6" w:rsidP="009C0C48">
      <w:r>
        <w:t>Dear M</w:t>
      </w:r>
      <w:r w:rsidR="001815A5">
        <w:t>adam</w:t>
      </w:r>
      <w:r>
        <w:t xml:space="preserve"> Speaker</w:t>
      </w:r>
    </w:p>
    <w:p w:rsidR="009C0C48" w:rsidRDefault="000F37D1" w:rsidP="009C0C48">
      <w:r>
        <w:t>We</w:t>
      </w:r>
      <w:r w:rsidR="009C0C48">
        <w:t xml:space="preserve"> hereby submit Portfolio Budget Statements in support of the </w:t>
      </w:r>
      <w:r w:rsidR="00475EAF">
        <w:t>201</w:t>
      </w:r>
      <w:r w:rsidR="004847B4">
        <w:t>5</w:t>
      </w:r>
      <w:r w:rsidR="00475EAF">
        <w:t>-1</w:t>
      </w:r>
      <w:r w:rsidR="004847B4">
        <w:t>6</w:t>
      </w:r>
      <w:r w:rsidR="009C0C48">
        <w:t xml:space="preserve"> Budget for the </w:t>
      </w:r>
      <w:r w:rsidR="00587C5F" w:rsidRPr="00604695">
        <w:rPr>
          <w:rStyle w:val="ExampletextCharChar"/>
          <w:i w:val="0"/>
          <w:color w:val="000000"/>
        </w:rPr>
        <w:t>Foreign Affairs and Trade</w:t>
      </w:r>
      <w:r w:rsidR="00587C5F">
        <w:rPr>
          <w:rStyle w:val="ExampletextCharChar"/>
        </w:rPr>
        <w:t xml:space="preserve"> </w:t>
      </w:r>
      <w:r w:rsidR="00D961F2">
        <w:t>p</w:t>
      </w:r>
      <w:r w:rsidR="009C0C48">
        <w:t>ortfolio.</w:t>
      </w:r>
    </w:p>
    <w:p w:rsidR="009C0C48" w:rsidRDefault="009C0C48" w:rsidP="009C0C48">
      <w:r>
        <w:t>These statements have been developed, and are submitted to the Parliament, as a statement on the outcomes for the portfolio.</w:t>
      </w:r>
    </w:p>
    <w:p w:rsidR="009C0C48" w:rsidRDefault="000F37D1" w:rsidP="009C0C48">
      <w:r>
        <w:t>We</w:t>
      </w:r>
      <w:r w:rsidR="009C0C48">
        <w:t xml:space="preserve"> present these statements to provide accountability to the Parliament and, through it, the public.</w:t>
      </w:r>
    </w:p>
    <w:p w:rsidR="009C0C48" w:rsidRDefault="009C0C48" w:rsidP="009C0C48">
      <w:bookmarkStart w:id="0" w:name="_GoBack"/>
      <w:bookmarkEnd w:id="0"/>
      <w:r>
        <w:t>Yours sincerely</w:t>
      </w:r>
    </w:p>
    <w:p w:rsidR="00CA2F21" w:rsidRDefault="00CA2F21" w:rsidP="00CA2F21">
      <w:pPr>
        <w:spacing w:after="0" w:line="240" w:lineRule="auto"/>
      </w:pPr>
    </w:p>
    <w:p w:rsidR="00734E06" w:rsidRPr="00604695" w:rsidRDefault="00CF50FD" w:rsidP="00587C5F">
      <w:pPr>
        <w:pStyle w:val="Exampletext"/>
        <w:spacing w:before="720"/>
        <w:jc w:val="left"/>
        <w:rPr>
          <w:i w:val="0"/>
          <w:color w:val="000000"/>
        </w:rPr>
      </w:pPr>
      <w:r>
        <w:rPr>
          <w:i w:val="0"/>
          <w:color w:val="auto"/>
        </w:rPr>
        <w:br/>
      </w:r>
      <w:r>
        <w:rPr>
          <w:i w:val="0"/>
          <w:color w:val="auto"/>
        </w:rPr>
        <w:br/>
      </w:r>
      <w:r w:rsidR="00587C5F">
        <w:rPr>
          <w:i w:val="0"/>
          <w:color w:val="auto"/>
        </w:rPr>
        <w:t>The Hon Julie Bishop MP</w:t>
      </w:r>
      <w:r w:rsidR="00587C5F">
        <w:rPr>
          <w:i w:val="0"/>
          <w:color w:val="auto"/>
        </w:rPr>
        <w:tab/>
      </w:r>
      <w:r w:rsidR="00587C5F">
        <w:rPr>
          <w:i w:val="0"/>
          <w:color w:val="auto"/>
        </w:rPr>
        <w:tab/>
      </w:r>
      <w:r w:rsidR="00587C5F">
        <w:rPr>
          <w:i w:val="0"/>
          <w:color w:val="auto"/>
        </w:rPr>
        <w:tab/>
      </w:r>
      <w:r w:rsidR="00587C5F">
        <w:rPr>
          <w:i w:val="0"/>
          <w:color w:val="auto"/>
        </w:rPr>
        <w:tab/>
      </w:r>
      <w:r w:rsidR="00587C5F">
        <w:rPr>
          <w:i w:val="0"/>
          <w:color w:val="auto"/>
        </w:rPr>
        <w:tab/>
        <w:t>The Hon Andrew Robb AO MP</w:t>
      </w:r>
      <w:r w:rsidR="00587C5F">
        <w:rPr>
          <w:i w:val="0"/>
          <w:color w:val="auto"/>
        </w:rPr>
        <w:br/>
      </w:r>
      <w:r w:rsidR="00856C69" w:rsidRPr="00604695">
        <w:rPr>
          <w:i w:val="0"/>
          <w:color w:val="000000"/>
        </w:rPr>
        <w:t>Minister</w:t>
      </w:r>
      <w:r w:rsidR="00587C5F" w:rsidRPr="00604695">
        <w:rPr>
          <w:i w:val="0"/>
          <w:color w:val="000000"/>
        </w:rPr>
        <w:t xml:space="preserve"> for Foreign Affairs</w:t>
      </w:r>
      <w:r w:rsidR="00587C5F" w:rsidRPr="00604695">
        <w:rPr>
          <w:i w:val="0"/>
          <w:color w:val="000000"/>
        </w:rPr>
        <w:tab/>
      </w:r>
      <w:r w:rsidR="00587C5F" w:rsidRPr="00604695">
        <w:rPr>
          <w:i w:val="0"/>
          <w:color w:val="000000"/>
        </w:rPr>
        <w:tab/>
      </w:r>
      <w:r w:rsidR="00587C5F" w:rsidRPr="00604695">
        <w:rPr>
          <w:i w:val="0"/>
          <w:color w:val="000000"/>
        </w:rPr>
        <w:tab/>
      </w:r>
      <w:r w:rsidR="00587C5F" w:rsidRPr="00604695">
        <w:rPr>
          <w:i w:val="0"/>
          <w:color w:val="000000"/>
        </w:rPr>
        <w:tab/>
        <w:t>Minister for Trade and Investment</w:t>
      </w:r>
    </w:p>
    <w:p w:rsidR="009C0C48" w:rsidRDefault="009C0C48" w:rsidP="009C0C48">
      <w:pPr>
        <w:sectPr w:rsidR="009C0C48" w:rsidSect="00662809">
          <w:footerReference w:type="first" r:id="rId25"/>
          <w:pgSz w:w="11906" w:h="16838" w:code="9"/>
          <w:pgMar w:top="2466" w:right="2098" w:bottom="2466" w:left="2098" w:header="1899" w:footer="1899" w:gutter="0"/>
          <w:pgNumType w:fmt="lowerRoman"/>
          <w:cols w:space="708"/>
          <w:titlePg/>
          <w:docGrid w:linePitch="360"/>
        </w:sectPr>
      </w:pPr>
    </w:p>
    <w:p w:rsidR="009C0C48" w:rsidRDefault="009C0C48" w:rsidP="009C0C48">
      <w:pPr>
        <w:pStyle w:val="Heading4"/>
      </w:pPr>
      <w:r>
        <w:lastRenderedPageBreak/>
        <w:t>Abbreviations and conventions</w:t>
      </w:r>
    </w:p>
    <w:p w:rsidR="009C0C48" w:rsidRDefault="009C0C48" w:rsidP="009C0C48">
      <w:r>
        <w:t>The following notation may be used:</w:t>
      </w:r>
    </w:p>
    <w:p w:rsidR="009C0C48" w:rsidRDefault="009C0C48" w:rsidP="009C0C48">
      <w:pPr>
        <w:pStyle w:val="SingleParagraph"/>
        <w:tabs>
          <w:tab w:val="left" w:pos="2268"/>
        </w:tabs>
        <w:ind w:left="567"/>
      </w:pPr>
      <w:r>
        <w:t>NEC/nec</w:t>
      </w:r>
      <w:r>
        <w:tab/>
        <w:t>not elsewhere classified</w:t>
      </w:r>
    </w:p>
    <w:p w:rsidR="009C0C48" w:rsidRDefault="00F403D6" w:rsidP="009C0C48">
      <w:pPr>
        <w:pStyle w:val="SingleParagraph"/>
        <w:tabs>
          <w:tab w:val="left" w:pos="2268"/>
        </w:tabs>
        <w:ind w:left="567"/>
      </w:pPr>
      <w:r>
        <w:t>-</w:t>
      </w:r>
      <w:r w:rsidR="009C0C48">
        <w:tab/>
        <w:t>nil</w:t>
      </w:r>
    </w:p>
    <w:p w:rsidR="009C0C48" w:rsidRDefault="009C0C48" w:rsidP="009C0C48">
      <w:pPr>
        <w:pStyle w:val="SingleParagraph"/>
        <w:tabs>
          <w:tab w:val="left" w:pos="2268"/>
        </w:tabs>
        <w:ind w:left="567"/>
      </w:pPr>
      <w:r>
        <w:t>..</w:t>
      </w:r>
      <w:r>
        <w:tab/>
        <w:t>not zero, but rounded to zero</w:t>
      </w:r>
    </w:p>
    <w:p w:rsidR="009C0C48" w:rsidRDefault="009C0C48" w:rsidP="009C0C48">
      <w:pPr>
        <w:pStyle w:val="SingleParagraph"/>
        <w:tabs>
          <w:tab w:val="left" w:pos="2268"/>
        </w:tabs>
        <w:ind w:left="567"/>
      </w:pPr>
      <w:r>
        <w:t>na</w:t>
      </w:r>
      <w:r>
        <w:tab/>
        <w:t>not applicable (unless otherwise specified)</w:t>
      </w:r>
    </w:p>
    <w:p w:rsidR="009C0C48" w:rsidRDefault="009C0C48" w:rsidP="009C0C48">
      <w:pPr>
        <w:pStyle w:val="SingleParagraph"/>
        <w:tabs>
          <w:tab w:val="left" w:pos="2268"/>
        </w:tabs>
        <w:ind w:left="567"/>
      </w:pPr>
      <w:r>
        <w:t>nfp</w:t>
      </w:r>
      <w:r>
        <w:tab/>
        <w:t>not for publication</w:t>
      </w:r>
    </w:p>
    <w:p w:rsidR="009C0C48" w:rsidRDefault="009C0C48" w:rsidP="009C0C48">
      <w:pPr>
        <w:pStyle w:val="SingleParagraph"/>
        <w:tabs>
          <w:tab w:val="left" w:pos="2268"/>
        </w:tabs>
        <w:ind w:left="567"/>
      </w:pPr>
      <w:r>
        <w:t>$m</w:t>
      </w:r>
      <w:r>
        <w:tab/>
        <w:t>$ million</w:t>
      </w:r>
    </w:p>
    <w:p w:rsidR="009C0C48" w:rsidRDefault="009C0C48" w:rsidP="009C0C48">
      <w:pPr>
        <w:tabs>
          <w:tab w:val="left" w:pos="2268"/>
        </w:tabs>
        <w:ind w:left="567"/>
      </w:pPr>
      <w:r>
        <w:t>$b</w:t>
      </w:r>
      <w:r>
        <w:tab/>
        <w:t>$ billion</w:t>
      </w:r>
    </w:p>
    <w:p w:rsidR="009C0C48" w:rsidRDefault="009C0C48" w:rsidP="009C0C48">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rsidR="009C0C48" w:rsidRDefault="009C0C48" w:rsidP="009C0C48">
      <w:pPr>
        <w:pStyle w:val="Heading4"/>
      </w:pPr>
      <w:r>
        <w:t>Enquiries</w:t>
      </w:r>
    </w:p>
    <w:p w:rsidR="009C0C48" w:rsidRDefault="009C0C48" w:rsidP="009C0C48">
      <w:r>
        <w:t xml:space="preserve">Should you have any enquiries regarding this publication please contact </w:t>
      </w:r>
      <w:r w:rsidR="00286A55">
        <w:br/>
      </w:r>
      <w:r w:rsidR="00286A55" w:rsidRPr="00604695">
        <w:rPr>
          <w:color w:val="000000"/>
        </w:rPr>
        <w:t>Mr Paul Wood</w:t>
      </w:r>
      <w:r w:rsidRPr="00604695">
        <w:rPr>
          <w:color w:val="000000"/>
        </w:rPr>
        <w:t xml:space="preserve">, </w:t>
      </w:r>
      <w:r w:rsidR="00EE0ACF" w:rsidRPr="00604695">
        <w:rPr>
          <w:color w:val="000000"/>
        </w:rPr>
        <w:t>Chief Financ</w:t>
      </w:r>
      <w:r w:rsidR="00F403D6" w:rsidRPr="00604695">
        <w:rPr>
          <w:color w:val="000000"/>
        </w:rPr>
        <w:t>e</w:t>
      </w:r>
      <w:r w:rsidR="00EE0ACF" w:rsidRPr="00604695">
        <w:rPr>
          <w:color w:val="000000"/>
        </w:rPr>
        <w:t xml:space="preserve"> Officer</w:t>
      </w:r>
      <w:r w:rsidRPr="00604695">
        <w:rPr>
          <w:color w:val="000000"/>
        </w:rPr>
        <w:t xml:space="preserve">, Department of </w:t>
      </w:r>
      <w:r w:rsidR="00286A55" w:rsidRPr="00604695">
        <w:rPr>
          <w:color w:val="000000"/>
        </w:rPr>
        <w:t>Foreign Affairs and Trade</w:t>
      </w:r>
      <w:r w:rsidRPr="00604695">
        <w:rPr>
          <w:color w:val="000000"/>
        </w:rPr>
        <w:t xml:space="preserve"> </w:t>
      </w:r>
      <w:r w:rsidR="00286A55" w:rsidRPr="00604695">
        <w:rPr>
          <w:color w:val="000000"/>
        </w:rPr>
        <w:br/>
      </w:r>
      <w:r w:rsidRPr="00604695">
        <w:rPr>
          <w:color w:val="000000"/>
        </w:rPr>
        <w:t xml:space="preserve">on (02) </w:t>
      </w:r>
      <w:r w:rsidR="00286A55" w:rsidRPr="00604695">
        <w:rPr>
          <w:color w:val="000000"/>
        </w:rPr>
        <w:t>6261 1111</w:t>
      </w:r>
      <w:r w:rsidRPr="00604695">
        <w:rPr>
          <w:color w:val="000000"/>
        </w:rPr>
        <w:t>.</w:t>
      </w:r>
    </w:p>
    <w:p w:rsidR="008D7DFC" w:rsidRDefault="009C0C48" w:rsidP="009C0C48">
      <w:r>
        <w:t>A copy of this document can be located on the Australian Government Budget website at</w:t>
      </w:r>
      <w:r w:rsidR="00D30CBA">
        <w:t xml:space="preserve">: </w:t>
      </w:r>
      <w:r w:rsidR="00AA27AA" w:rsidRPr="00AA27AA">
        <w:t>www.budget.gov.au</w:t>
      </w:r>
      <w:r>
        <w:t>.</w:t>
      </w:r>
    </w:p>
    <w:p w:rsidR="00D55763" w:rsidRDefault="00D55763" w:rsidP="009C0C48">
      <w:pPr>
        <w:sectPr w:rsidR="00D55763" w:rsidSect="004342F8">
          <w:headerReference w:type="even" r:id="rId26"/>
          <w:headerReference w:type="default" r:id="rId27"/>
          <w:headerReference w:type="first" r:id="rId28"/>
          <w:footerReference w:type="first" r:id="rId29"/>
          <w:pgSz w:w="11906" w:h="16838" w:code="9"/>
          <w:pgMar w:top="2466" w:right="2098" w:bottom="2466" w:left="2098" w:header="1899" w:footer="1899" w:gutter="0"/>
          <w:pgNumType w:fmt="lowerRoman"/>
          <w:cols w:space="708"/>
          <w:titlePg/>
          <w:docGrid w:linePitch="360"/>
        </w:sectPr>
      </w:pPr>
    </w:p>
    <w:p w:rsidR="008D7DFC" w:rsidRDefault="008D7DFC" w:rsidP="008D7DFC">
      <w:pPr>
        <w:pStyle w:val="PartHeading"/>
      </w:pPr>
    </w:p>
    <w:p w:rsidR="008D7DFC" w:rsidRDefault="00CA2F21" w:rsidP="00CA2F21">
      <w:pPr>
        <w:pStyle w:val="PartHeading"/>
        <w:spacing w:before="2080"/>
      </w:pPr>
      <w:r>
        <w:t>User g</w:t>
      </w:r>
      <w:r w:rsidR="008D7DFC">
        <w:t>uide</w:t>
      </w:r>
    </w:p>
    <w:p w:rsidR="008D7DFC" w:rsidRDefault="00300013" w:rsidP="008D7DFC">
      <w:pPr>
        <w:pStyle w:val="PartHeading"/>
      </w:pPr>
      <w:r>
        <w:t>t</w:t>
      </w:r>
      <w:r w:rsidR="008D7DFC">
        <w:t>o the</w:t>
      </w:r>
    </w:p>
    <w:p w:rsidR="008D7DFC" w:rsidRDefault="008D7DFC" w:rsidP="008D7DFC">
      <w:pPr>
        <w:pStyle w:val="PartHeading"/>
      </w:pPr>
      <w:r>
        <w:t>Portfolio Budget Statements</w:t>
      </w:r>
    </w:p>
    <w:p w:rsidR="008D7DFC" w:rsidRDefault="008D7DFC" w:rsidP="009C0C48">
      <w:pPr>
        <w:sectPr w:rsidR="008D7DFC" w:rsidSect="004342F8">
          <w:footerReference w:type="first" r:id="rId30"/>
          <w:pgSz w:w="11906" w:h="16838" w:code="9"/>
          <w:pgMar w:top="2466" w:right="2098" w:bottom="2466" w:left="2098" w:header="1899" w:footer="1899" w:gutter="0"/>
          <w:pgNumType w:fmt="lowerRoman"/>
          <w:cols w:space="708"/>
          <w:titlePg/>
          <w:docGrid w:linePitch="360"/>
        </w:sectPr>
      </w:pPr>
    </w:p>
    <w:p w:rsidR="008D7DFC" w:rsidRDefault="008D7DFC" w:rsidP="008D7DFC">
      <w:pPr>
        <w:pStyle w:val="Heading1"/>
        <w:rPr>
          <w:kern w:val="0"/>
          <w:lang w:val="en-US"/>
        </w:rPr>
      </w:pPr>
      <w:bookmarkStart w:id="1" w:name="_Toc112211948"/>
      <w:bookmarkStart w:id="2" w:name="_Toc112212042"/>
      <w:bookmarkStart w:id="3" w:name="_Toc112137860"/>
      <w:bookmarkStart w:id="4" w:name="_Toc112224367"/>
      <w:bookmarkStart w:id="5" w:name="_Toc112225828"/>
      <w:r>
        <w:rPr>
          <w:kern w:val="0"/>
          <w:lang w:val="en-US"/>
        </w:rPr>
        <w:lastRenderedPageBreak/>
        <w:t xml:space="preserve">User </w:t>
      </w:r>
      <w:r w:rsidR="00CA2F21">
        <w:rPr>
          <w:kern w:val="0"/>
          <w:lang w:val="en-US"/>
        </w:rPr>
        <w:t>g</w:t>
      </w:r>
      <w:r>
        <w:rPr>
          <w:kern w:val="0"/>
          <w:lang w:val="en-US"/>
        </w:rPr>
        <w:t>uide</w:t>
      </w:r>
      <w:bookmarkEnd w:id="1"/>
      <w:bookmarkEnd w:id="2"/>
      <w:bookmarkEnd w:id="3"/>
      <w:bookmarkEnd w:id="4"/>
      <w:bookmarkEnd w:id="5"/>
    </w:p>
    <w:p w:rsidR="008D7DFC" w:rsidRDefault="00A409BC" w:rsidP="008D7DFC">
      <w:r>
        <w:t xml:space="preserve">The purpose of the </w:t>
      </w:r>
      <w:r w:rsidR="00475EAF">
        <w:t>201</w:t>
      </w:r>
      <w:r w:rsidR="00700CE3">
        <w:t>5</w:t>
      </w:r>
      <w:r w:rsidR="00475EAF">
        <w:t>-1</w:t>
      </w:r>
      <w:r w:rsidR="00700CE3">
        <w:t>6</w:t>
      </w:r>
      <w:r w:rsidR="008D7DFC">
        <w:t xml:space="preserve"> Portfolio Budget Statements (PB Statements) is to inform Senators and Members of Parliament of the proposed allocation of resources to </w:t>
      </w:r>
      <w:r w:rsidR="008F53F5">
        <w:t xml:space="preserve">government </w:t>
      </w:r>
      <w:r w:rsidR="008D7DFC">
        <w:t xml:space="preserve">outcomes by </w:t>
      </w:r>
      <w:r w:rsidR="007E6BBD">
        <w:t xml:space="preserve">entities </w:t>
      </w:r>
      <w:r w:rsidR="008D7DFC">
        <w:t xml:space="preserve">within the portfolio. </w:t>
      </w:r>
      <w:r w:rsidR="007E6BBD">
        <w:t xml:space="preserve">Entities </w:t>
      </w:r>
      <w:r w:rsidR="008D7DFC">
        <w:t>receive resources from the annual appropriations acts, special appropriations (including standing appropriations and special accounts), and revenue from other sources.</w:t>
      </w:r>
    </w:p>
    <w:p w:rsidR="008D7DFC" w:rsidRDefault="008D7DFC" w:rsidP="008D7DFC">
      <w:r>
        <w:t xml:space="preserve">A key role of the PB Statements is to facilitate the understanding of proposed annual appropriations in </w:t>
      </w:r>
      <w:r w:rsidRPr="00D81071">
        <w:rPr>
          <w:i/>
        </w:rPr>
        <w:t>Appropriati</w:t>
      </w:r>
      <w:r w:rsidR="00C11F05" w:rsidRPr="00D81071">
        <w:rPr>
          <w:i/>
        </w:rPr>
        <w:t xml:space="preserve">on Bills </w:t>
      </w:r>
      <w:r w:rsidR="005F4739" w:rsidRPr="00D81071">
        <w:rPr>
          <w:i/>
        </w:rPr>
        <w:t>(</w:t>
      </w:r>
      <w:r w:rsidR="00C11F05" w:rsidRPr="00D81071">
        <w:rPr>
          <w:i/>
        </w:rPr>
        <w:t>No. 1 and No. 2</w:t>
      </w:r>
      <w:r w:rsidR="005F4739" w:rsidRPr="00D81071">
        <w:rPr>
          <w:i/>
        </w:rPr>
        <w:t>)</w:t>
      </w:r>
      <w:r w:rsidR="00C11F05" w:rsidRPr="00D81071">
        <w:rPr>
          <w:i/>
        </w:rPr>
        <w:t xml:space="preserve"> </w:t>
      </w:r>
      <w:r w:rsidR="00475EAF" w:rsidRPr="00D81071">
        <w:rPr>
          <w:i/>
        </w:rPr>
        <w:t>201</w:t>
      </w:r>
      <w:r w:rsidR="00700CE3" w:rsidRPr="00D81071">
        <w:rPr>
          <w:i/>
        </w:rPr>
        <w:t>5</w:t>
      </w:r>
      <w:r w:rsidR="00475EAF" w:rsidRPr="00D81071">
        <w:rPr>
          <w:i/>
        </w:rPr>
        <w:t>-1</w:t>
      </w:r>
      <w:r w:rsidR="00700CE3" w:rsidRPr="00D81071">
        <w:rPr>
          <w:i/>
        </w:rPr>
        <w:t>6</w:t>
      </w:r>
      <w:r>
        <w:t xml:space="preserve"> (or </w:t>
      </w:r>
      <w:r w:rsidRPr="00D81071">
        <w:rPr>
          <w:i/>
        </w:rPr>
        <w:t xml:space="preserve">Appropriation </w:t>
      </w:r>
      <w:r w:rsidR="00F67A6B" w:rsidRPr="00D81071">
        <w:rPr>
          <w:i/>
        </w:rPr>
        <w:t>(</w:t>
      </w:r>
      <w:r w:rsidRPr="00D81071">
        <w:rPr>
          <w:i/>
        </w:rPr>
        <w:t>Parliamentary Departments</w:t>
      </w:r>
      <w:r w:rsidR="00F67A6B" w:rsidRPr="00D81071">
        <w:rPr>
          <w:i/>
        </w:rPr>
        <w:t>)</w:t>
      </w:r>
      <w:r w:rsidRPr="00D81071">
        <w:rPr>
          <w:i/>
        </w:rPr>
        <w:t xml:space="preserve"> </w:t>
      </w:r>
      <w:r w:rsidR="00F67A6B" w:rsidRPr="00D81071">
        <w:rPr>
          <w:i/>
        </w:rPr>
        <w:t>Bill (</w:t>
      </w:r>
      <w:r w:rsidRPr="00D81071">
        <w:rPr>
          <w:i/>
        </w:rPr>
        <w:t>No. 1</w:t>
      </w:r>
      <w:r w:rsidR="00F67A6B" w:rsidRPr="00D81071">
        <w:rPr>
          <w:i/>
        </w:rPr>
        <w:t>)</w:t>
      </w:r>
      <w:r w:rsidRPr="00D81071">
        <w:rPr>
          <w:i/>
        </w:rPr>
        <w:t xml:space="preserve"> </w:t>
      </w:r>
      <w:r w:rsidR="00475EAF" w:rsidRPr="00D81071">
        <w:rPr>
          <w:i/>
        </w:rPr>
        <w:t>201</w:t>
      </w:r>
      <w:r w:rsidR="00700CE3" w:rsidRPr="00D81071">
        <w:rPr>
          <w:i/>
        </w:rPr>
        <w:t>5</w:t>
      </w:r>
      <w:r w:rsidR="00475EAF" w:rsidRPr="00D81071">
        <w:rPr>
          <w:i/>
        </w:rPr>
        <w:t>-1</w:t>
      </w:r>
      <w:r w:rsidR="00700CE3" w:rsidRPr="00D81071">
        <w:rPr>
          <w:i/>
        </w:rPr>
        <w:t>6</w:t>
      </w:r>
      <w:r>
        <w:t xml:space="preserve"> for the parliamentary departments). In this sense the PB Statements are Budget related papers and are declared by the Appropriation Acts to be ‘relevant documents’ to the interpretation of the Acts according to section 15AB of the </w:t>
      </w:r>
      <w:r>
        <w:rPr>
          <w:i/>
        </w:rPr>
        <w:t>Acts Interpretation Act 1901</w:t>
      </w:r>
      <w:r>
        <w:t>.</w:t>
      </w:r>
    </w:p>
    <w:p w:rsidR="008D7DFC" w:rsidRDefault="008D7DFC" w:rsidP="008D7DFC">
      <w:r>
        <w:t>The PB Statements provide information, explanation and justification to enable Parliament to understand the purpose of each outcome proposed in the Bills.</w:t>
      </w:r>
    </w:p>
    <w:p w:rsidR="008D7DFC" w:rsidRDefault="008D7DFC" w:rsidP="008D7DFC">
      <w:pPr>
        <w:spacing w:after="0"/>
      </w:pPr>
      <w:r>
        <w:t xml:space="preserve">As required under section 12 of the </w:t>
      </w:r>
      <w:r>
        <w:rPr>
          <w:i/>
        </w:rPr>
        <w:t>Charter of Budget Honesty Act 1998</w:t>
      </w:r>
      <w:r>
        <w:t>, non</w:t>
      </w:r>
      <w:r w:rsidR="00C8049D">
        <w:noBreakHyphen/>
      </w:r>
      <w:r>
        <w:t>general government sector entities are not consolidated into the Commonwealth general government sector fiscal estimates and accordingly, these entities are not reported in the PB Statements.</w:t>
      </w:r>
    </w:p>
    <w:p w:rsidR="00AA27AA" w:rsidRDefault="0085161D" w:rsidP="00825D4F">
      <w:pPr>
        <w:pStyle w:val="ContentsHeading"/>
      </w:pPr>
      <w:r>
        <w:br w:type="page"/>
      </w:r>
      <w:r w:rsidR="00AA27AA">
        <w:lastRenderedPageBreak/>
        <w:t>Contents</w:t>
      </w:r>
    </w:p>
    <w:p w:rsidR="00CA4819" w:rsidRDefault="00CA4819">
      <w:pPr>
        <w:pStyle w:val="TOC1"/>
        <w:rPr>
          <w:rFonts w:ascii="Times New Roman" w:hAnsi="Times New Roman"/>
          <w:b w:val="0"/>
          <w:noProof/>
          <w:sz w:val="24"/>
          <w:szCs w:val="24"/>
        </w:rPr>
      </w:pPr>
      <w:r>
        <w:rPr>
          <w:noProof/>
        </w:rPr>
        <w:t>Portfo</w:t>
      </w:r>
      <w:r w:rsidR="00CA2F21">
        <w:rPr>
          <w:noProof/>
        </w:rPr>
        <w:t>lio o</w:t>
      </w:r>
      <w:r>
        <w:rPr>
          <w:noProof/>
        </w:rPr>
        <w:t>verview</w:t>
      </w:r>
      <w:r>
        <w:rPr>
          <w:noProof/>
        </w:rPr>
        <w:tab/>
      </w:r>
      <w:r w:rsidR="00DD6368">
        <w:rPr>
          <w:noProof/>
        </w:rPr>
        <w:t>1</w:t>
      </w:r>
    </w:p>
    <w:p w:rsidR="00CA4819" w:rsidRDefault="002420FB">
      <w:pPr>
        <w:pStyle w:val="TOC2"/>
        <w:rPr>
          <w:rFonts w:ascii="Times New Roman" w:hAnsi="Times New Roman"/>
          <w:noProof/>
          <w:sz w:val="24"/>
          <w:szCs w:val="24"/>
        </w:rPr>
      </w:pPr>
      <w:r>
        <w:rPr>
          <w:noProof/>
        </w:rPr>
        <w:t>Foreign Affairs and Trade</w:t>
      </w:r>
      <w:r w:rsidR="00CA4819">
        <w:rPr>
          <w:noProof/>
        </w:rPr>
        <w:t xml:space="preserve"> </w:t>
      </w:r>
      <w:r w:rsidR="00F33CBF">
        <w:rPr>
          <w:noProof/>
        </w:rPr>
        <w:t>p</w:t>
      </w:r>
      <w:r w:rsidR="00CA4819">
        <w:rPr>
          <w:noProof/>
        </w:rPr>
        <w:t xml:space="preserve">ortfolio </w:t>
      </w:r>
      <w:r w:rsidR="00F33CBF">
        <w:rPr>
          <w:noProof/>
        </w:rPr>
        <w:t>o</w:t>
      </w:r>
      <w:r w:rsidR="00CA4819">
        <w:rPr>
          <w:noProof/>
        </w:rPr>
        <w:t>verview</w:t>
      </w:r>
      <w:r w:rsidR="00CA4819">
        <w:rPr>
          <w:noProof/>
        </w:rPr>
        <w:tab/>
      </w:r>
      <w:r w:rsidR="00DD6368">
        <w:rPr>
          <w:noProof/>
        </w:rPr>
        <w:t>3</w:t>
      </w:r>
    </w:p>
    <w:p w:rsidR="00CA4819" w:rsidRDefault="007E6BBD">
      <w:pPr>
        <w:pStyle w:val="TOC1"/>
        <w:rPr>
          <w:rFonts w:ascii="Times New Roman" w:hAnsi="Times New Roman"/>
          <w:b w:val="0"/>
          <w:noProof/>
          <w:sz w:val="24"/>
          <w:szCs w:val="24"/>
        </w:rPr>
      </w:pPr>
      <w:r>
        <w:rPr>
          <w:noProof/>
        </w:rPr>
        <w:t xml:space="preserve">Entity </w:t>
      </w:r>
      <w:r w:rsidR="00CA2F21">
        <w:rPr>
          <w:noProof/>
        </w:rPr>
        <w:t>resources and planned performance</w:t>
      </w:r>
      <w:r w:rsidR="00CA4819">
        <w:rPr>
          <w:noProof/>
        </w:rPr>
        <w:tab/>
      </w:r>
      <w:r w:rsidR="00DD6368">
        <w:rPr>
          <w:noProof/>
        </w:rPr>
        <w:t>9</w:t>
      </w:r>
    </w:p>
    <w:p w:rsidR="00CA4819" w:rsidRDefault="00CA4819">
      <w:pPr>
        <w:pStyle w:val="TOC2"/>
        <w:rPr>
          <w:noProof/>
        </w:rPr>
      </w:pPr>
      <w:r>
        <w:rPr>
          <w:noProof/>
        </w:rPr>
        <w:t xml:space="preserve">Department of </w:t>
      </w:r>
      <w:r w:rsidR="002420FB">
        <w:rPr>
          <w:noProof/>
        </w:rPr>
        <w:t>Foreign Affairs and Trade (DFAT)</w:t>
      </w:r>
      <w:r>
        <w:rPr>
          <w:noProof/>
        </w:rPr>
        <w:tab/>
      </w:r>
      <w:r w:rsidR="00DD6368">
        <w:rPr>
          <w:noProof/>
        </w:rPr>
        <w:t>11</w:t>
      </w:r>
    </w:p>
    <w:p w:rsidR="00CA4819" w:rsidRDefault="002420FB" w:rsidP="00CA4819">
      <w:pPr>
        <w:pStyle w:val="TOC2"/>
        <w:rPr>
          <w:rFonts w:ascii="Times New Roman" w:hAnsi="Times New Roman"/>
          <w:noProof/>
          <w:sz w:val="24"/>
          <w:szCs w:val="24"/>
        </w:rPr>
      </w:pPr>
      <w:r>
        <w:rPr>
          <w:noProof/>
        </w:rPr>
        <w:t>Australian Trade Commission (Austrade)</w:t>
      </w:r>
      <w:r w:rsidR="00CA4819">
        <w:rPr>
          <w:noProof/>
        </w:rPr>
        <w:tab/>
      </w:r>
      <w:r w:rsidR="00DD6368">
        <w:rPr>
          <w:noProof/>
        </w:rPr>
        <w:t>7</w:t>
      </w:r>
      <w:r w:rsidR="00C32654">
        <w:rPr>
          <w:noProof/>
        </w:rPr>
        <w:t>9</w:t>
      </w:r>
    </w:p>
    <w:p w:rsidR="00CA4819" w:rsidRDefault="002420FB" w:rsidP="00CA4819">
      <w:pPr>
        <w:pStyle w:val="TOC2"/>
        <w:rPr>
          <w:noProof/>
        </w:rPr>
      </w:pPr>
      <w:r>
        <w:rPr>
          <w:noProof/>
        </w:rPr>
        <w:t>Australian Centre for International Agricultural Research (ACIAR)</w:t>
      </w:r>
      <w:r w:rsidR="00CA4819">
        <w:rPr>
          <w:noProof/>
        </w:rPr>
        <w:tab/>
      </w:r>
      <w:r w:rsidR="00C32654">
        <w:rPr>
          <w:noProof/>
        </w:rPr>
        <w:t>121</w:t>
      </w:r>
    </w:p>
    <w:p w:rsidR="002420FB" w:rsidRDefault="002420FB" w:rsidP="002420FB">
      <w:pPr>
        <w:pStyle w:val="TOC2"/>
        <w:rPr>
          <w:noProof/>
        </w:rPr>
      </w:pPr>
      <w:r>
        <w:rPr>
          <w:noProof/>
        </w:rPr>
        <w:t>Australian Secret Intelligence Service (ASIS)</w:t>
      </w:r>
      <w:r>
        <w:rPr>
          <w:noProof/>
        </w:rPr>
        <w:tab/>
      </w:r>
      <w:r w:rsidR="00DD6368">
        <w:rPr>
          <w:noProof/>
        </w:rPr>
        <w:t>14</w:t>
      </w:r>
      <w:r w:rsidR="00C32654">
        <w:rPr>
          <w:noProof/>
        </w:rPr>
        <w:t>7</w:t>
      </w:r>
    </w:p>
    <w:p w:rsidR="002420FB" w:rsidRDefault="002420FB" w:rsidP="002420FB">
      <w:pPr>
        <w:pStyle w:val="TOC2"/>
        <w:rPr>
          <w:noProof/>
        </w:rPr>
      </w:pPr>
      <w:r>
        <w:rPr>
          <w:noProof/>
        </w:rPr>
        <w:t>Tourism Australia</w:t>
      </w:r>
      <w:r>
        <w:rPr>
          <w:noProof/>
        </w:rPr>
        <w:tab/>
      </w:r>
      <w:r w:rsidR="00DD6368">
        <w:rPr>
          <w:noProof/>
        </w:rPr>
        <w:t>16</w:t>
      </w:r>
      <w:r w:rsidR="00C32654">
        <w:rPr>
          <w:noProof/>
        </w:rPr>
        <w:t>5</w:t>
      </w:r>
    </w:p>
    <w:p w:rsidR="00CA4819" w:rsidRDefault="00CA4819" w:rsidP="00CA4819">
      <w:pPr>
        <w:pStyle w:val="TOC1"/>
        <w:rPr>
          <w:rFonts w:ascii="Times New Roman" w:hAnsi="Times New Roman"/>
          <w:noProof/>
          <w:sz w:val="24"/>
          <w:szCs w:val="24"/>
        </w:rPr>
      </w:pPr>
      <w:r>
        <w:rPr>
          <w:noProof/>
        </w:rPr>
        <w:t>Glossary</w:t>
      </w:r>
      <w:r>
        <w:rPr>
          <w:noProof/>
        </w:rPr>
        <w:tab/>
      </w:r>
      <w:r w:rsidR="00C32654">
        <w:rPr>
          <w:noProof/>
        </w:rPr>
        <w:t>191</w:t>
      </w:r>
    </w:p>
    <w:p w:rsidR="00CA4819" w:rsidRPr="00CA4819" w:rsidRDefault="00CA4819" w:rsidP="00CA4819"/>
    <w:p w:rsidR="00AA27AA" w:rsidRDefault="00AA27AA" w:rsidP="00AA27AA">
      <w:pPr>
        <w:sectPr w:rsidR="00AA27AA" w:rsidSect="004342F8">
          <w:headerReference w:type="even" r:id="rId31"/>
          <w:headerReference w:type="default" r:id="rId32"/>
          <w:footerReference w:type="default" r:id="rId33"/>
          <w:headerReference w:type="first" r:id="rId34"/>
          <w:footerReference w:type="first" r:id="rId35"/>
          <w:pgSz w:w="11906" w:h="16838" w:code="9"/>
          <w:pgMar w:top="2466" w:right="2098" w:bottom="2466" w:left="2098" w:header="1899" w:footer="1899" w:gutter="0"/>
          <w:pgNumType w:fmt="lowerRoman"/>
          <w:cols w:space="708"/>
          <w:titlePg/>
          <w:docGrid w:linePitch="360"/>
        </w:sectPr>
      </w:pPr>
    </w:p>
    <w:p w:rsidR="00AA27AA" w:rsidRDefault="00AA27AA" w:rsidP="00D55763">
      <w:pPr>
        <w:pStyle w:val="Part"/>
      </w:pPr>
      <w:bookmarkStart w:id="6" w:name="_Toc190766147"/>
      <w:r>
        <w:lastRenderedPageBreak/>
        <w:t xml:space="preserve">Portfolio </w:t>
      </w:r>
      <w:bookmarkEnd w:id="6"/>
      <w:r w:rsidR="00605163">
        <w:t>o</w:t>
      </w:r>
      <w:r w:rsidR="00FF26B9">
        <w:t>verview</w:t>
      </w:r>
    </w:p>
    <w:p w:rsidR="00AA27AA" w:rsidRDefault="00AA27AA" w:rsidP="00AA27AA">
      <w:pPr>
        <w:sectPr w:rsidR="00AA27AA" w:rsidSect="001808A4">
          <w:headerReference w:type="even" r:id="rId36"/>
          <w:headerReference w:type="default" r:id="rId37"/>
          <w:headerReference w:type="first" r:id="rId38"/>
          <w:footerReference w:type="first" r:id="rId39"/>
          <w:type w:val="oddPage"/>
          <w:pgSz w:w="11906" w:h="16838" w:code="9"/>
          <w:pgMar w:top="2466" w:right="2098" w:bottom="2466" w:left="2098" w:header="1899" w:footer="1899" w:gutter="0"/>
          <w:pgNumType w:start="1"/>
          <w:cols w:space="708"/>
          <w:vAlign w:val="center"/>
          <w:titlePg/>
          <w:docGrid w:linePitch="360"/>
        </w:sectPr>
      </w:pPr>
    </w:p>
    <w:p w:rsidR="00D46A7B" w:rsidRDefault="00AF1492" w:rsidP="003D2984">
      <w:pPr>
        <w:pStyle w:val="Heading1"/>
      </w:pPr>
      <w:bookmarkStart w:id="7" w:name="_Toc190766148"/>
      <w:r>
        <w:lastRenderedPageBreak/>
        <w:t>Foreign Affairs and Trade</w:t>
      </w:r>
      <w:r w:rsidR="00605163">
        <w:t xml:space="preserve"> portfolio o</w:t>
      </w:r>
      <w:r w:rsidR="00D46A7B">
        <w:t>verview</w:t>
      </w:r>
      <w:bookmarkEnd w:id="7"/>
    </w:p>
    <w:p w:rsidR="00D46A7B" w:rsidRDefault="00783CDB" w:rsidP="00C8049D">
      <w:pPr>
        <w:pStyle w:val="Heading2"/>
      </w:pPr>
      <w:bookmarkStart w:id="8" w:name="_Toc190682306"/>
      <w:r>
        <w:t>Minister</w:t>
      </w:r>
      <w:r w:rsidR="00DF1ADC">
        <w:t>s</w:t>
      </w:r>
      <w:r w:rsidR="00D46A7B">
        <w:t xml:space="preserve"> and </w:t>
      </w:r>
      <w:r w:rsidR="00605163">
        <w:t>p</w:t>
      </w:r>
      <w:r w:rsidR="00D46A7B">
        <w:t xml:space="preserve">ortfolio </w:t>
      </w:r>
      <w:r w:rsidR="00605163">
        <w:t>r</w:t>
      </w:r>
      <w:r w:rsidR="00D46A7B">
        <w:t>esponsibilities</w:t>
      </w:r>
      <w:bookmarkEnd w:id="8"/>
    </w:p>
    <w:p w:rsidR="00C0006A" w:rsidRDefault="00C0006A" w:rsidP="00C0006A">
      <w:pPr>
        <w:pStyle w:val="Default"/>
        <w:spacing w:after="240" w:line="280" w:lineRule="exact"/>
        <w:jc w:val="both"/>
        <w:rPr>
          <w:rFonts w:ascii="Book Antiqua" w:hAnsi="Book Antiqua" w:cs="Book Antiqua"/>
          <w:color w:val="auto"/>
          <w:sz w:val="20"/>
          <w:szCs w:val="20"/>
        </w:rPr>
      </w:pPr>
      <w:r w:rsidRPr="00C50672">
        <w:rPr>
          <w:rFonts w:ascii="Book Antiqua" w:hAnsi="Book Antiqua" w:cs="Book Antiqua"/>
          <w:color w:val="auto"/>
          <w:sz w:val="20"/>
          <w:szCs w:val="20"/>
        </w:rPr>
        <w:t xml:space="preserve">The portfolio ministers are the Minister for Foreign Affairs, the Hon Julie Bishop MP, and the Minister for Trade and Investment, the Hon Andrew Robb AO MP. </w:t>
      </w:r>
      <w:r w:rsidR="001C713A">
        <w:rPr>
          <w:rFonts w:ascii="Book Antiqua" w:hAnsi="Book Antiqua" w:cs="Book Antiqua"/>
          <w:color w:val="auto"/>
          <w:sz w:val="20"/>
          <w:szCs w:val="20"/>
        </w:rPr>
        <w:t>They are</w:t>
      </w:r>
      <w:r w:rsidRPr="007C1BA4">
        <w:rPr>
          <w:rFonts w:ascii="Book Antiqua" w:hAnsi="Book Antiqua" w:cs="Book Antiqua"/>
          <w:color w:val="auto"/>
          <w:sz w:val="20"/>
          <w:szCs w:val="20"/>
        </w:rPr>
        <w:t xml:space="preserve"> supported by the Parliamentary Secretary to the Minister for Foreign Affairs and the Minister for Trade and Inve</w:t>
      </w:r>
      <w:r>
        <w:rPr>
          <w:rFonts w:ascii="Book Antiqua" w:hAnsi="Book Antiqua" w:cs="Book Antiqua"/>
          <w:color w:val="auto"/>
          <w:sz w:val="20"/>
          <w:szCs w:val="20"/>
        </w:rPr>
        <w:t>stment, the Hon Steven Ciobo MP.</w:t>
      </w:r>
    </w:p>
    <w:p w:rsidR="00C0006A" w:rsidRPr="00C50672" w:rsidRDefault="00C0006A" w:rsidP="00C0006A">
      <w:pPr>
        <w:pStyle w:val="Default"/>
        <w:spacing w:after="240" w:line="280" w:lineRule="exact"/>
        <w:jc w:val="both"/>
        <w:rPr>
          <w:rFonts w:ascii="Book Antiqua" w:hAnsi="Book Antiqua" w:cs="Book Antiqua"/>
          <w:color w:val="auto"/>
          <w:sz w:val="20"/>
          <w:szCs w:val="20"/>
        </w:rPr>
      </w:pPr>
      <w:r w:rsidRPr="00C50672">
        <w:rPr>
          <w:rFonts w:ascii="Book Antiqua" w:hAnsi="Book Antiqua" w:cs="Book Antiqua"/>
          <w:color w:val="auto"/>
          <w:sz w:val="20"/>
          <w:szCs w:val="20"/>
        </w:rPr>
        <w:t>The portfolio consists of the Department of Foreign Affairs and Trade (DFAT), the Australian Trade Commission (Austrade)</w:t>
      </w:r>
      <w:r>
        <w:rPr>
          <w:rFonts w:ascii="Book Antiqua" w:hAnsi="Book Antiqua" w:cs="Book Antiqua"/>
          <w:color w:val="auto"/>
          <w:sz w:val="20"/>
          <w:szCs w:val="20"/>
        </w:rPr>
        <w:t xml:space="preserve">, </w:t>
      </w:r>
      <w:r w:rsidRPr="00C50672">
        <w:rPr>
          <w:rFonts w:ascii="Book Antiqua" w:hAnsi="Book Antiqua" w:cs="Book Antiqua"/>
          <w:color w:val="auto"/>
          <w:sz w:val="20"/>
          <w:szCs w:val="20"/>
        </w:rPr>
        <w:t>Tourism Australia</w:t>
      </w:r>
      <w:r>
        <w:rPr>
          <w:rFonts w:ascii="Book Antiqua" w:hAnsi="Book Antiqua" w:cs="Book Antiqua"/>
          <w:color w:val="auto"/>
          <w:sz w:val="20"/>
          <w:szCs w:val="20"/>
        </w:rPr>
        <w:t xml:space="preserve">, </w:t>
      </w:r>
      <w:r w:rsidRPr="00C50672">
        <w:rPr>
          <w:rFonts w:ascii="Book Antiqua" w:hAnsi="Book Antiqua" w:cs="Book Antiqua"/>
          <w:color w:val="auto"/>
          <w:sz w:val="20"/>
          <w:szCs w:val="20"/>
        </w:rPr>
        <w:t>the Export Finance and Insurance Corporation (EFIC)</w:t>
      </w:r>
      <w:r>
        <w:rPr>
          <w:rFonts w:ascii="Book Antiqua" w:hAnsi="Book Antiqua" w:cs="Book Antiqua"/>
          <w:color w:val="auto"/>
          <w:sz w:val="20"/>
          <w:szCs w:val="20"/>
        </w:rPr>
        <w:t>,</w:t>
      </w:r>
      <w:r w:rsidRPr="00C50672">
        <w:rPr>
          <w:rFonts w:ascii="Book Antiqua" w:hAnsi="Book Antiqua" w:cs="Book Antiqua"/>
          <w:color w:val="auto"/>
          <w:sz w:val="20"/>
          <w:szCs w:val="20"/>
        </w:rPr>
        <w:t xml:space="preserve"> the Australian Centre for International Agricultural Research (ACIAR)</w:t>
      </w:r>
      <w:r>
        <w:rPr>
          <w:rFonts w:ascii="Book Antiqua" w:hAnsi="Book Antiqua" w:cs="Book Antiqua"/>
          <w:color w:val="auto"/>
          <w:sz w:val="20"/>
          <w:szCs w:val="20"/>
        </w:rPr>
        <w:t xml:space="preserve"> and</w:t>
      </w:r>
      <w:r w:rsidRPr="00C50672">
        <w:rPr>
          <w:rFonts w:ascii="Book Antiqua" w:hAnsi="Book Antiqua" w:cs="Book Antiqua"/>
          <w:color w:val="auto"/>
          <w:sz w:val="20"/>
          <w:szCs w:val="20"/>
        </w:rPr>
        <w:t xml:space="preserve"> the Australian Secret Intelligence Service (ASIS)</w:t>
      </w:r>
      <w:r>
        <w:rPr>
          <w:rFonts w:ascii="Book Antiqua" w:hAnsi="Book Antiqua" w:cs="Book Antiqua"/>
          <w:color w:val="auto"/>
          <w:sz w:val="20"/>
          <w:szCs w:val="20"/>
        </w:rPr>
        <w:t>.</w:t>
      </w:r>
      <w:r w:rsidRPr="00C50672">
        <w:rPr>
          <w:rFonts w:ascii="Book Antiqua" w:hAnsi="Book Antiqua" w:cs="Book Antiqua"/>
          <w:color w:val="auto"/>
          <w:sz w:val="20"/>
          <w:szCs w:val="20"/>
        </w:rPr>
        <w:t xml:space="preserve"> </w:t>
      </w:r>
    </w:p>
    <w:p w:rsidR="00C0006A" w:rsidRDefault="00C0006A" w:rsidP="00C0006A">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t xml:space="preserve">DFAT’s purpose is to help make Australia stronger, safer and more prosperous by promoting and protecting our interests internationally and contributing to global stability and economic growth, particularly in the Indo-Pacific region. </w:t>
      </w:r>
    </w:p>
    <w:p w:rsidR="001C713A" w:rsidRDefault="001C713A" w:rsidP="00C0006A">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t xml:space="preserve">The department leads the Government’s efforts to shape the regional and international environment and strengthen global cooperation in ways that advance Australia’s interests. It advances Australia’s security interests internationally and works to open up new markets and create conditions for increased trade and investment to strengthen Australia’s economy and create jobs. Strengthening Australia’s key regional partnerships is a priority for the department. </w:t>
      </w:r>
    </w:p>
    <w:p w:rsidR="00C0006A" w:rsidRDefault="00C0006A" w:rsidP="00C0006A">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t xml:space="preserve">The Government’s economic diplomacy agenda – led by DFAT with support from Austrade, Tourism Australia, EFIC and ACIAR – </w:t>
      </w:r>
      <w:r w:rsidR="007273A7">
        <w:rPr>
          <w:rFonts w:ascii="Book Antiqua" w:hAnsi="Book Antiqua" w:cs="Book Antiqua"/>
          <w:color w:val="auto"/>
          <w:sz w:val="20"/>
          <w:szCs w:val="20"/>
        </w:rPr>
        <w:t>is</w:t>
      </w:r>
      <w:r>
        <w:rPr>
          <w:rFonts w:ascii="Book Antiqua" w:hAnsi="Book Antiqua" w:cs="Book Antiqua"/>
          <w:color w:val="auto"/>
          <w:sz w:val="20"/>
          <w:szCs w:val="20"/>
        </w:rPr>
        <w:t xml:space="preserve"> key to advancing Australia’s prosperity.  </w:t>
      </w:r>
      <w:r w:rsidR="007273A7">
        <w:rPr>
          <w:rFonts w:ascii="Book Antiqua" w:hAnsi="Book Antiqua" w:cs="Book Antiqua"/>
          <w:color w:val="auto"/>
          <w:sz w:val="20"/>
          <w:szCs w:val="20"/>
        </w:rPr>
        <w:t xml:space="preserve">DFAT will support the implementation </w:t>
      </w:r>
      <w:r w:rsidRPr="00B04A3D">
        <w:rPr>
          <w:rFonts w:ascii="Book Antiqua" w:hAnsi="Book Antiqua" w:cs="Book Antiqua"/>
          <w:color w:val="auto"/>
          <w:sz w:val="20"/>
          <w:szCs w:val="20"/>
        </w:rPr>
        <w:t>of</w:t>
      </w:r>
      <w:r w:rsidR="007273A7">
        <w:rPr>
          <w:rFonts w:ascii="Book Antiqua" w:hAnsi="Book Antiqua" w:cs="Book Antiqua"/>
          <w:color w:val="auto"/>
          <w:sz w:val="20"/>
          <w:szCs w:val="20"/>
        </w:rPr>
        <w:t xml:space="preserve"> the new</w:t>
      </w:r>
      <w:r w:rsidRPr="00B04A3D">
        <w:rPr>
          <w:rFonts w:ascii="Book Antiqua" w:hAnsi="Book Antiqua" w:cs="Book Antiqua"/>
          <w:color w:val="auto"/>
          <w:sz w:val="20"/>
          <w:szCs w:val="20"/>
        </w:rPr>
        <w:t xml:space="preserve"> free trade agreements with</w:t>
      </w:r>
      <w:r w:rsidR="007273A7">
        <w:rPr>
          <w:rFonts w:ascii="Book Antiqua" w:hAnsi="Book Antiqua" w:cs="Book Antiqua"/>
          <w:color w:val="auto"/>
          <w:sz w:val="20"/>
          <w:szCs w:val="20"/>
        </w:rPr>
        <w:t xml:space="preserve"> </w:t>
      </w:r>
      <w:r w:rsidR="00C54E04">
        <w:rPr>
          <w:rFonts w:ascii="Book Antiqua" w:hAnsi="Book Antiqua" w:cs="Book Antiqua"/>
          <w:color w:val="auto"/>
          <w:sz w:val="20"/>
          <w:szCs w:val="20"/>
        </w:rPr>
        <w:t xml:space="preserve">the Republic of </w:t>
      </w:r>
      <w:r w:rsidR="007273A7">
        <w:rPr>
          <w:rFonts w:ascii="Book Antiqua" w:hAnsi="Book Antiqua" w:cs="Book Antiqua"/>
          <w:color w:val="auto"/>
          <w:sz w:val="20"/>
          <w:szCs w:val="20"/>
        </w:rPr>
        <w:t>Korea,</w:t>
      </w:r>
      <w:r w:rsidRPr="00B04A3D">
        <w:rPr>
          <w:rFonts w:ascii="Book Antiqua" w:hAnsi="Book Antiqua" w:cs="Book Antiqua"/>
          <w:color w:val="auto"/>
          <w:sz w:val="20"/>
          <w:szCs w:val="20"/>
        </w:rPr>
        <w:t xml:space="preserve"> Japan </w:t>
      </w:r>
      <w:r w:rsidR="007273A7">
        <w:rPr>
          <w:rFonts w:ascii="Book Antiqua" w:hAnsi="Book Antiqua" w:cs="Book Antiqua"/>
          <w:color w:val="auto"/>
          <w:sz w:val="20"/>
          <w:szCs w:val="20"/>
        </w:rPr>
        <w:t xml:space="preserve">and </w:t>
      </w:r>
      <w:r w:rsidRPr="00B04A3D">
        <w:rPr>
          <w:rFonts w:ascii="Book Antiqua" w:hAnsi="Book Antiqua" w:cs="Book Antiqua"/>
          <w:color w:val="auto"/>
          <w:sz w:val="20"/>
          <w:szCs w:val="20"/>
        </w:rPr>
        <w:t>China</w:t>
      </w:r>
      <w:r w:rsidR="007273A7">
        <w:rPr>
          <w:rFonts w:ascii="Book Antiqua" w:hAnsi="Book Antiqua" w:cs="Book Antiqua"/>
          <w:color w:val="auto"/>
          <w:sz w:val="20"/>
          <w:szCs w:val="20"/>
        </w:rPr>
        <w:t xml:space="preserve"> and other</w:t>
      </w:r>
      <w:r w:rsidRPr="00B04A3D">
        <w:rPr>
          <w:rFonts w:ascii="Book Antiqua" w:hAnsi="Book Antiqua" w:cs="Book Antiqua"/>
          <w:color w:val="auto"/>
          <w:sz w:val="20"/>
          <w:szCs w:val="20"/>
        </w:rPr>
        <w:t xml:space="preserve"> existing agreements</w:t>
      </w:r>
      <w:r w:rsidR="007273A7">
        <w:rPr>
          <w:rFonts w:ascii="Book Antiqua" w:hAnsi="Book Antiqua" w:cs="Book Antiqua"/>
          <w:color w:val="auto"/>
          <w:sz w:val="20"/>
          <w:szCs w:val="20"/>
        </w:rPr>
        <w:t>. The department will negotiate</w:t>
      </w:r>
      <w:r w:rsidRPr="00B04A3D">
        <w:rPr>
          <w:rFonts w:ascii="Book Antiqua" w:hAnsi="Book Antiqua" w:cs="Book Antiqua"/>
          <w:color w:val="auto"/>
          <w:sz w:val="20"/>
          <w:szCs w:val="20"/>
        </w:rPr>
        <w:t xml:space="preserve"> other priority bilatera</w:t>
      </w:r>
      <w:r>
        <w:rPr>
          <w:rFonts w:ascii="Book Antiqua" w:hAnsi="Book Antiqua" w:cs="Book Antiqua"/>
          <w:color w:val="auto"/>
          <w:sz w:val="20"/>
          <w:szCs w:val="20"/>
        </w:rPr>
        <w:t>l and regional trade agreements</w:t>
      </w:r>
      <w:r w:rsidR="007273A7">
        <w:rPr>
          <w:rFonts w:ascii="Book Antiqua" w:hAnsi="Book Antiqua" w:cs="Book Antiqua"/>
          <w:color w:val="auto"/>
          <w:sz w:val="20"/>
          <w:szCs w:val="20"/>
        </w:rPr>
        <w:t>, and</w:t>
      </w:r>
      <w:r w:rsidRPr="00B04A3D">
        <w:rPr>
          <w:rFonts w:ascii="Book Antiqua" w:hAnsi="Book Antiqua" w:cs="Book Antiqua"/>
          <w:color w:val="auto"/>
          <w:sz w:val="20"/>
          <w:szCs w:val="20"/>
        </w:rPr>
        <w:t xml:space="preserve"> step up efforts </w:t>
      </w:r>
      <w:r w:rsidR="007273A7">
        <w:rPr>
          <w:rFonts w:ascii="Book Antiqua" w:hAnsi="Book Antiqua" w:cs="Book Antiqua"/>
          <w:color w:val="auto"/>
          <w:sz w:val="20"/>
          <w:szCs w:val="20"/>
        </w:rPr>
        <w:t>to make progress in</w:t>
      </w:r>
      <w:r w:rsidRPr="00B04A3D">
        <w:rPr>
          <w:rFonts w:ascii="Book Antiqua" w:hAnsi="Book Antiqua" w:cs="Book Antiqua"/>
          <w:color w:val="auto"/>
          <w:sz w:val="20"/>
          <w:szCs w:val="20"/>
        </w:rPr>
        <w:t xml:space="preserve"> plurilateral and </w:t>
      </w:r>
      <w:r>
        <w:rPr>
          <w:rFonts w:ascii="Book Antiqua" w:hAnsi="Book Antiqua" w:cs="Book Antiqua"/>
          <w:color w:val="auto"/>
          <w:sz w:val="20"/>
          <w:szCs w:val="20"/>
        </w:rPr>
        <w:t>multilateral trade negotiations</w:t>
      </w:r>
      <w:r w:rsidRPr="00B04A3D">
        <w:rPr>
          <w:rFonts w:ascii="Book Antiqua" w:hAnsi="Book Antiqua" w:cs="Book Antiqua"/>
          <w:color w:val="auto"/>
          <w:sz w:val="20"/>
          <w:szCs w:val="20"/>
        </w:rPr>
        <w:t>.</w:t>
      </w:r>
      <w:r>
        <w:rPr>
          <w:rFonts w:ascii="Book Antiqua" w:hAnsi="Book Antiqua" w:cs="Book Antiqua"/>
          <w:color w:val="auto"/>
          <w:sz w:val="20"/>
          <w:szCs w:val="20"/>
        </w:rPr>
        <w:t xml:space="preserve"> </w:t>
      </w:r>
    </w:p>
    <w:p w:rsidR="00C0006A" w:rsidRDefault="00C0006A" w:rsidP="00C0006A">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t xml:space="preserve">As an open trading economy, Australia’s economic </w:t>
      </w:r>
      <w:r w:rsidR="008D285A">
        <w:rPr>
          <w:rFonts w:ascii="Book Antiqua" w:hAnsi="Book Antiqua" w:cs="Book Antiqua"/>
          <w:color w:val="auto"/>
          <w:sz w:val="20"/>
          <w:szCs w:val="20"/>
        </w:rPr>
        <w:t>success</w:t>
      </w:r>
      <w:r>
        <w:rPr>
          <w:rFonts w:ascii="Book Antiqua" w:hAnsi="Book Antiqua" w:cs="Book Antiqua"/>
          <w:color w:val="auto"/>
          <w:sz w:val="20"/>
          <w:szCs w:val="20"/>
        </w:rPr>
        <w:t xml:space="preserve"> is closely tied to the transparency and ope</w:t>
      </w:r>
      <w:r w:rsidR="009A04F7">
        <w:rPr>
          <w:rFonts w:ascii="Book Antiqua" w:hAnsi="Book Antiqua" w:cs="Book Antiqua"/>
          <w:color w:val="auto"/>
          <w:sz w:val="20"/>
          <w:szCs w:val="20"/>
        </w:rPr>
        <w:t>nness of international markets.</w:t>
      </w:r>
      <w:r>
        <w:rPr>
          <w:rFonts w:ascii="Book Antiqua" w:hAnsi="Book Antiqua" w:cs="Book Antiqua"/>
          <w:color w:val="auto"/>
          <w:sz w:val="20"/>
          <w:szCs w:val="20"/>
        </w:rPr>
        <w:t xml:space="preserve"> </w:t>
      </w:r>
      <w:r w:rsidR="008D285A">
        <w:rPr>
          <w:rFonts w:ascii="Book Antiqua" w:hAnsi="Book Antiqua" w:cs="Book Antiqua"/>
          <w:color w:val="auto"/>
          <w:sz w:val="20"/>
          <w:szCs w:val="20"/>
        </w:rPr>
        <w:t>DFAT</w:t>
      </w:r>
      <w:r>
        <w:rPr>
          <w:rFonts w:ascii="Book Antiqua" w:hAnsi="Book Antiqua" w:cs="Book Antiqua"/>
          <w:color w:val="auto"/>
          <w:sz w:val="20"/>
          <w:szCs w:val="20"/>
        </w:rPr>
        <w:t>, working with Austrade, will focus on expanding access to markets for Australian exporters and lowering the cost of doing business into Australia. DFAT will also encourage two-way flows of investment that are in the national interest and help to ensure trade and investment reform is tied to the broader domestic economic policy agenda.</w:t>
      </w:r>
    </w:p>
    <w:p w:rsidR="00C0006A" w:rsidRDefault="008D285A" w:rsidP="00C0006A">
      <w:pPr>
        <w:pStyle w:val="Default"/>
        <w:spacing w:after="240" w:line="280" w:lineRule="exact"/>
        <w:jc w:val="both"/>
        <w:rPr>
          <w:rFonts w:ascii="Book Antiqua" w:hAnsi="Book Antiqua" w:cs="Book Antiqua"/>
          <w:color w:val="auto"/>
          <w:sz w:val="20"/>
          <w:szCs w:val="20"/>
          <w:lang w:val="en"/>
        </w:rPr>
      </w:pPr>
      <w:r>
        <w:rPr>
          <w:rFonts w:ascii="Book Antiqua" w:hAnsi="Book Antiqua" w:cs="Book Antiqua"/>
          <w:color w:val="auto"/>
          <w:sz w:val="20"/>
          <w:szCs w:val="20"/>
        </w:rPr>
        <w:t xml:space="preserve">Australia’s </w:t>
      </w:r>
      <w:r w:rsidR="00C0006A">
        <w:rPr>
          <w:rFonts w:ascii="Book Antiqua" w:hAnsi="Book Antiqua" w:cs="Book Antiqua"/>
          <w:color w:val="auto"/>
          <w:sz w:val="20"/>
          <w:szCs w:val="20"/>
        </w:rPr>
        <w:t>aid program will acknowledge the different development trajectories across the region</w:t>
      </w:r>
      <w:r>
        <w:rPr>
          <w:rFonts w:ascii="Book Antiqua" w:hAnsi="Book Antiqua" w:cs="Book Antiqua"/>
          <w:color w:val="auto"/>
          <w:sz w:val="20"/>
          <w:szCs w:val="20"/>
        </w:rPr>
        <w:t>. It will maintain a</w:t>
      </w:r>
      <w:r w:rsidR="00C0006A">
        <w:rPr>
          <w:rFonts w:ascii="Book Antiqua" w:hAnsi="Book Antiqua" w:cs="Book Antiqua"/>
          <w:color w:val="auto"/>
          <w:sz w:val="20"/>
          <w:szCs w:val="20"/>
        </w:rPr>
        <w:t xml:space="preserve"> strong commitment to development in the Pacific and </w:t>
      </w:r>
      <w:r>
        <w:rPr>
          <w:rFonts w:ascii="Book Antiqua" w:hAnsi="Book Antiqua" w:cs="Book Antiqua"/>
          <w:color w:val="auto"/>
          <w:sz w:val="20"/>
          <w:szCs w:val="20"/>
        </w:rPr>
        <w:t xml:space="preserve">focus on </w:t>
      </w:r>
      <w:r w:rsidR="00C0006A">
        <w:rPr>
          <w:rFonts w:ascii="Book Antiqua" w:hAnsi="Book Antiqua" w:cs="Book Antiqua"/>
          <w:color w:val="auto"/>
          <w:sz w:val="20"/>
          <w:szCs w:val="20"/>
        </w:rPr>
        <w:t xml:space="preserve">building economic partnerships in growing Asia. </w:t>
      </w:r>
      <w:r>
        <w:rPr>
          <w:rFonts w:ascii="Book Antiqua" w:hAnsi="Book Antiqua" w:cs="Book Antiqua"/>
          <w:color w:val="auto"/>
          <w:sz w:val="20"/>
          <w:szCs w:val="20"/>
        </w:rPr>
        <w:t xml:space="preserve">DFAT will strengthen </w:t>
      </w:r>
      <w:r>
        <w:rPr>
          <w:rFonts w:ascii="Book Antiqua" w:hAnsi="Book Antiqua" w:cs="Book Antiqua"/>
          <w:color w:val="auto"/>
          <w:sz w:val="20"/>
          <w:szCs w:val="20"/>
        </w:rPr>
        <w:lastRenderedPageBreak/>
        <w:t>t</w:t>
      </w:r>
      <w:r w:rsidR="00C0006A">
        <w:rPr>
          <w:rFonts w:ascii="Book Antiqua" w:hAnsi="Book Antiqua" w:cs="Book Antiqua"/>
          <w:color w:val="auto"/>
          <w:sz w:val="20"/>
          <w:szCs w:val="20"/>
        </w:rPr>
        <w:t>he aid program</w:t>
      </w:r>
      <w:r>
        <w:rPr>
          <w:rFonts w:ascii="Book Antiqua" w:hAnsi="Book Antiqua" w:cs="Book Antiqua"/>
          <w:color w:val="auto"/>
          <w:sz w:val="20"/>
          <w:szCs w:val="20"/>
        </w:rPr>
        <w:t>’s</w:t>
      </w:r>
      <w:r w:rsidR="00C0006A">
        <w:rPr>
          <w:rFonts w:ascii="Book Antiqua" w:hAnsi="Book Antiqua" w:cs="Book Antiqua"/>
          <w:color w:val="auto"/>
          <w:sz w:val="20"/>
          <w:szCs w:val="20"/>
        </w:rPr>
        <w:t xml:space="preserve"> engagement with the private sector and </w:t>
      </w:r>
      <w:r>
        <w:rPr>
          <w:rFonts w:ascii="Book Antiqua" w:hAnsi="Book Antiqua" w:cs="Book Antiqua"/>
          <w:color w:val="auto"/>
          <w:sz w:val="20"/>
          <w:szCs w:val="20"/>
        </w:rPr>
        <w:t>its promotion of</w:t>
      </w:r>
      <w:r w:rsidR="00C0006A">
        <w:rPr>
          <w:rFonts w:ascii="Book Antiqua" w:hAnsi="Book Antiqua" w:cs="Book Antiqua"/>
          <w:color w:val="auto"/>
          <w:sz w:val="20"/>
          <w:szCs w:val="20"/>
        </w:rPr>
        <w:t xml:space="preserve"> the empowerment of women and girls. </w:t>
      </w:r>
      <w:r>
        <w:rPr>
          <w:rFonts w:ascii="Book Antiqua" w:hAnsi="Book Antiqua" w:cs="Book Antiqua"/>
          <w:color w:val="auto"/>
          <w:sz w:val="20"/>
          <w:szCs w:val="20"/>
        </w:rPr>
        <w:t xml:space="preserve">The </w:t>
      </w:r>
      <w:r w:rsidR="00C0006A">
        <w:rPr>
          <w:rFonts w:ascii="Book Antiqua" w:hAnsi="Book Antiqua" w:cs="Book Antiqua"/>
          <w:i/>
          <w:color w:val="auto"/>
          <w:sz w:val="20"/>
          <w:szCs w:val="20"/>
        </w:rPr>
        <w:t>innovationXchange</w:t>
      </w:r>
      <w:r w:rsidR="006F3D4B">
        <w:rPr>
          <w:rFonts w:ascii="Book Antiqua" w:hAnsi="Book Antiqua" w:cs="Book Antiqua"/>
          <w:color w:val="auto"/>
          <w:sz w:val="20"/>
          <w:szCs w:val="20"/>
        </w:rPr>
        <w:t xml:space="preserve">, based </w:t>
      </w:r>
      <w:r w:rsidR="00783CDB">
        <w:rPr>
          <w:rFonts w:ascii="Book Antiqua" w:hAnsi="Book Antiqua" w:cs="Book Antiqua"/>
          <w:color w:val="auto"/>
          <w:sz w:val="20"/>
          <w:szCs w:val="20"/>
        </w:rPr>
        <w:t>in DFAT,</w:t>
      </w:r>
      <w:r w:rsidR="00C0006A">
        <w:rPr>
          <w:rFonts w:ascii="Book Antiqua" w:hAnsi="Book Antiqua" w:cs="Book Antiqua"/>
          <w:color w:val="auto"/>
          <w:sz w:val="20"/>
          <w:szCs w:val="20"/>
        </w:rPr>
        <w:t xml:space="preserve"> will aim to significantly increase innovation in the </w:t>
      </w:r>
      <w:r>
        <w:rPr>
          <w:rFonts w:ascii="Book Antiqua" w:hAnsi="Book Antiqua" w:cs="Book Antiqua"/>
          <w:color w:val="auto"/>
          <w:sz w:val="20"/>
          <w:szCs w:val="20"/>
        </w:rPr>
        <w:t xml:space="preserve">delivery of </w:t>
      </w:r>
      <w:r w:rsidR="00C0006A">
        <w:rPr>
          <w:rFonts w:ascii="Book Antiqua" w:hAnsi="Book Antiqua" w:cs="Book Antiqua"/>
          <w:color w:val="auto"/>
          <w:sz w:val="20"/>
          <w:szCs w:val="20"/>
        </w:rPr>
        <w:t xml:space="preserve">the aid program, to be more cost-effective, have greater impact, and to leverage additional development finance in the region. </w:t>
      </w:r>
    </w:p>
    <w:p w:rsidR="00C0006A" w:rsidRPr="002D609B" w:rsidRDefault="000935A4" w:rsidP="00C0006A">
      <w:pPr>
        <w:pStyle w:val="Default"/>
        <w:spacing w:after="240" w:line="280" w:lineRule="exact"/>
        <w:jc w:val="both"/>
        <w:rPr>
          <w:lang w:val="en"/>
        </w:rPr>
      </w:pPr>
      <w:r>
        <w:rPr>
          <w:rFonts w:ascii="Book Antiqua" w:hAnsi="Book Antiqua" w:cs="Book Antiqua"/>
          <w:color w:val="auto"/>
          <w:sz w:val="20"/>
          <w:szCs w:val="20"/>
        </w:rPr>
        <w:t>B</w:t>
      </w:r>
      <w:r w:rsidRPr="00D1640B">
        <w:rPr>
          <w:rFonts w:ascii="Book Antiqua" w:hAnsi="Book Antiqua" w:cs="Book Antiqua"/>
          <w:color w:val="auto"/>
          <w:sz w:val="20"/>
          <w:szCs w:val="20"/>
        </w:rPr>
        <w:t xml:space="preserve">y </w:t>
      </w:r>
      <w:r w:rsidR="00C0006A" w:rsidRPr="00D1640B">
        <w:rPr>
          <w:rFonts w:ascii="Book Antiqua" w:hAnsi="Book Antiqua" w:cs="Book Antiqua"/>
          <w:color w:val="auto"/>
          <w:sz w:val="20"/>
          <w:szCs w:val="20"/>
        </w:rPr>
        <w:t>supporting Australian undergraduates to study and undertake internships in the region</w:t>
      </w:r>
      <w:r>
        <w:rPr>
          <w:rFonts w:ascii="Book Antiqua" w:hAnsi="Book Antiqua" w:cs="Book Antiqua"/>
          <w:color w:val="auto"/>
          <w:sz w:val="20"/>
          <w:szCs w:val="20"/>
        </w:rPr>
        <w:t>, the New Colombo Plan will continue to increase knowledge of the Indo-Pacific in Australia and strengthen people to people links</w:t>
      </w:r>
      <w:r w:rsidR="00C0006A" w:rsidRPr="00D1640B">
        <w:rPr>
          <w:rFonts w:ascii="Book Antiqua" w:hAnsi="Book Antiqua" w:cs="Book Antiqua"/>
          <w:color w:val="auto"/>
          <w:sz w:val="20"/>
          <w:szCs w:val="20"/>
        </w:rPr>
        <w:t>.</w:t>
      </w:r>
      <w:r w:rsidR="00C0006A">
        <w:rPr>
          <w:rFonts w:ascii="Book Antiqua" w:hAnsi="Book Antiqua" w:cs="Book Antiqua"/>
          <w:color w:val="auto"/>
          <w:sz w:val="20"/>
          <w:szCs w:val="20"/>
        </w:rPr>
        <w:t xml:space="preserve"> In 2015-16, the program will expand, offering more opportunities for young Australian students.</w:t>
      </w:r>
    </w:p>
    <w:p w:rsidR="00692BCB" w:rsidRDefault="00C0006A" w:rsidP="00C0006A">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t xml:space="preserve">With more Australians travelling overseas than ever before, DFAT will continue to provide high quality consular services, responsive travel advice and a secure </w:t>
      </w:r>
      <w:r w:rsidR="000935A4">
        <w:rPr>
          <w:rFonts w:ascii="Book Antiqua" w:hAnsi="Book Antiqua" w:cs="Book Antiqua"/>
          <w:color w:val="auto"/>
          <w:sz w:val="20"/>
          <w:szCs w:val="20"/>
        </w:rPr>
        <w:t xml:space="preserve">and efficient </w:t>
      </w:r>
      <w:r>
        <w:rPr>
          <w:rFonts w:ascii="Book Antiqua" w:hAnsi="Book Antiqua" w:cs="Book Antiqua"/>
          <w:color w:val="auto"/>
          <w:sz w:val="20"/>
          <w:szCs w:val="20"/>
        </w:rPr>
        <w:t xml:space="preserve">passport </w:t>
      </w:r>
      <w:r w:rsidR="000935A4">
        <w:rPr>
          <w:rFonts w:ascii="Book Antiqua" w:hAnsi="Book Antiqua" w:cs="Book Antiqua"/>
          <w:color w:val="auto"/>
          <w:sz w:val="20"/>
          <w:szCs w:val="20"/>
        </w:rPr>
        <w:t>service</w:t>
      </w:r>
      <w:r>
        <w:rPr>
          <w:rFonts w:ascii="Book Antiqua" w:hAnsi="Book Antiqua" w:cs="Book Antiqua"/>
          <w:color w:val="auto"/>
          <w:sz w:val="20"/>
          <w:szCs w:val="20"/>
        </w:rPr>
        <w:t xml:space="preserve">. The department will implement a new Consular Strategy, </w:t>
      </w:r>
      <w:r w:rsidRPr="008824C9">
        <w:rPr>
          <w:rFonts w:ascii="Book Antiqua" w:hAnsi="Book Antiqua" w:cs="Book Antiqua"/>
          <w:color w:val="auto"/>
          <w:sz w:val="20"/>
          <w:szCs w:val="20"/>
        </w:rPr>
        <w:t xml:space="preserve">which will change consular policy and practices to respond to current demands while maintaining </w:t>
      </w:r>
      <w:r>
        <w:rPr>
          <w:rFonts w:ascii="Book Antiqua" w:hAnsi="Book Antiqua" w:cs="Book Antiqua"/>
          <w:color w:val="auto"/>
          <w:sz w:val="20"/>
          <w:szCs w:val="20"/>
        </w:rPr>
        <w:t xml:space="preserve">Australia’s consular service at the forefront of world’s best practice. </w:t>
      </w:r>
      <w:r w:rsidR="00692BCB">
        <w:rPr>
          <w:rFonts w:ascii="Book Antiqua" w:hAnsi="Book Antiqua" w:cs="Book Antiqua"/>
          <w:color w:val="auto"/>
          <w:sz w:val="20"/>
          <w:szCs w:val="20"/>
        </w:rPr>
        <w:t>Austrade will also deliver consular and passport services in specific location</w:t>
      </w:r>
      <w:r w:rsidR="00C95CB6">
        <w:rPr>
          <w:rFonts w:ascii="Book Antiqua" w:hAnsi="Book Antiqua" w:cs="Book Antiqua"/>
          <w:color w:val="auto"/>
          <w:sz w:val="20"/>
          <w:szCs w:val="20"/>
        </w:rPr>
        <w:t>s</w:t>
      </w:r>
      <w:r w:rsidR="00692BCB">
        <w:rPr>
          <w:rFonts w:ascii="Book Antiqua" w:hAnsi="Book Antiqua" w:cs="Book Antiqua"/>
          <w:color w:val="auto"/>
          <w:sz w:val="20"/>
          <w:szCs w:val="20"/>
        </w:rPr>
        <w:t xml:space="preserve"> overseas.</w:t>
      </w:r>
    </w:p>
    <w:p w:rsidR="00C0006A" w:rsidRPr="00C50672" w:rsidRDefault="00C0006A" w:rsidP="00C0006A">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t>The effectiveness and security of Australia’s network of overseas diplomatic missions will remain a high priority</w:t>
      </w:r>
      <w:r w:rsidR="00692BCB">
        <w:rPr>
          <w:rFonts w:ascii="Book Antiqua" w:hAnsi="Book Antiqua" w:cs="Book Antiqua"/>
          <w:color w:val="auto"/>
          <w:sz w:val="20"/>
          <w:szCs w:val="20"/>
        </w:rPr>
        <w:t>.</w:t>
      </w:r>
      <w:r>
        <w:rPr>
          <w:rFonts w:ascii="Book Antiqua" w:hAnsi="Book Antiqua" w:cs="Book Antiqua"/>
          <w:color w:val="auto"/>
          <w:sz w:val="20"/>
          <w:szCs w:val="20"/>
        </w:rPr>
        <w:t xml:space="preserve"> </w:t>
      </w:r>
      <w:r w:rsidR="00692BCB">
        <w:rPr>
          <w:rFonts w:ascii="Book Antiqua" w:hAnsi="Book Antiqua" w:cs="Book Antiqua"/>
          <w:color w:val="auto"/>
          <w:sz w:val="20"/>
          <w:szCs w:val="20"/>
        </w:rPr>
        <w:t>The</w:t>
      </w:r>
      <w:r>
        <w:rPr>
          <w:rFonts w:ascii="Book Antiqua" w:hAnsi="Book Antiqua" w:cs="Book Antiqua"/>
          <w:color w:val="auto"/>
          <w:sz w:val="20"/>
          <w:szCs w:val="20"/>
        </w:rPr>
        <w:t xml:space="preserve"> department will continue to maintain and protect Australia’s secure government communications system. DFAT will provide</w:t>
      </w:r>
      <w:r w:rsidRPr="00931C5D">
        <w:rPr>
          <w:rFonts w:ascii="Book Antiqua" w:hAnsi="Book Antiqua" w:cs="Book Antiqua"/>
          <w:color w:val="auto"/>
          <w:sz w:val="20"/>
          <w:szCs w:val="20"/>
        </w:rPr>
        <w:t xml:space="preserve"> high-quality protocol services to diplom</w:t>
      </w:r>
      <w:r>
        <w:rPr>
          <w:rFonts w:ascii="Book Antiqua" w:hAnsi="Book Antiqua" w:cs="Book Antiqua"/>
          <w:color w:val="auto"/>
          <w:sz w:val="20"/>
          <w:szCs w:val="20"/>
        </w:rPr>
        <w:t xml:space="preserve">atic and consular </w:t>
      </w:r>
      <w:r w:rsidRPr="00931C5D">
        <w:rPr>
          <w:rFonts w:ascii="Book Antiqua" w:hAnsi="Book Antiqua" w:cs="Book Antiqua"/>
          <w:color w:val="auto"/>
          <w:sz w:val="20"/>
          <w:szCs w:val="20"/>
        </w:rPr>
        <w:t>m</w:t>
      </w:r>
      <w:r>
        <w:rPr>
          <w:rFonts w:ascii="Book Antiqua" w:hAnsi="Book Antiqua" w:cs="Book Antiqua"/>
          <w:color w:val="auto"/>
          <w:sz w:val="20"/>
          <w:szCs w:val="20"/>
        </w:rPr>
        <w:t xml:space="preserve">issions </w:t>
      </w:r>
      <w:r w:rsidR="0048263D">
        <w:rPr>
          <w:rFonts w:ascii="Book Antiqua" w:hAnsi="Book Antiqua" w:cs="Book Antiqua"/>
          <w:color w:val="auto"/>
          <w:sz w:val="20"/>
          <w:szCs w:val="20"/>
        </w:rPr>
        <w:t xml:space="preserve">and </w:t>
      </w:r>
      <w:r w:rsidRPr="00931C5D">
        <w:rPr>
          <w:rFonts w:ascii="Book Antiqua" w:hAnsi="Book Antiqua" w:cs="Book Antiqua"/>
          <w:color w:val="auto"/>
          <w:sz w:val="20"/>
          <w:szCs w:val="20"/>
        </w:rPr>
        <w:t xml:space="preserve">international organisations </w:t>
      </w:r>
      <w:r w:rsidR="0048263D">
        <w:rPr>
          <w:rFonts w:ascii="Book Antiqua" w:hAnsi="Book Antiqua" w:cs="Book Antiqua"/>
          <w:color w:val="auto"/>
          <w:sz w:val="20"/>
          <w:szCs w:val="20"/>
        </w:rPr>
        <w:t>accredited to Australia</w:t>
      </w:r>
      <w:r w:rsidRPr="00931C5D">
        <w:rPr>
          <w:rFonts w:ascii="Book Antiqua" w:hAnsi="Book Antiqua" w:cs="Book Antiqua"/>
          <w:color w:val="auto"/>
          <w:sz w:val="20"/>
          <w:szCs w:val="20"/>
        </w:rPr>
        <w:t>.</w:t>
      </w:r>
    </w:p>
    <w:p w:rsidR="00A804F7" w:rsidRDefault="00A804F7" w:rsidP="00A804F7">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t xml:space="preserve">Austrade will contribute to Australia’s economic prosperity by promoting Australia’s international trade, investment and education interests, and providing advice to Government on tourism policy. Austrade has a particular focus on growth and emerging markets, including those in Asia that offer commercial potential, and provide opportunities aligned with Australia’s comparative advantage. Within these markets there is a clear role for Austrade, as a government agency, to support Australian businesses and education institutions. Austrade will also promote the opportunities created by the three recently-concluded </w:t>
      </w:r>
      <w:r w:rsidR="00BF36A1">
        <w:rPr>
          <w:rFonts w:ascii="Book Antiqua" w:hAnsi="Book Antiqua" w:cs="Book Antiqua"/>
          <w:color w:val="auto"/>
          <w:sz w:val="20"/>
          <w:szCs w:val="20"/>
        </w:rPr>
        <w:t>f</w:t>
      </w:r>
      <w:r>
        <w:rPr>
          <w:rFonts w:ascii="Book Antiqua" w:hAnsi="Book Antiqua" w:cs="Book Antiqua"/>
          <w:color w:val="auto"/>
          <w:sz w:val="20"/>
          <w:szCs w:val="20"/>
        </w:rPr>
        <w:t xml:space="preserve">ree </w:t>
      </w:r>
      <w:r w:rsidR="00BF36A1">
        <w:rPr>
          <w:rFonts w:ascii="Book Antiqua" w:hAnsi="Book Antiqua" w:cs="Book Antiqua"/>
          <w:color w:val="auto"/>
          <w:sz w:val="20"/>
          <w:szCs w:val="20"/>
        </w:rPr>
        <w:t>t</w:t>
      </w:r>
      <w:r>
        <w:rPr>
          <w:rFonts w:ascii="Book Antiqua" w:hAnsi="Book Antiqua" w:cs="Book Antiqua"/>
          <w:color w:val="auto"/>
          <w:sz w:val="20"/>
          <w:szCs w:val="20"/>
        </w:rPr>
        <w:t xml:space="preserve">rade </w:t>
      </w:r>
      <w:r w:rsidR="00BF36A1">
        <w:rPr>
          <w:rFonts w:ascii="Book Antiqua" w:hAnsi="Book Antiqua" w:cs="Book Antiqua"/>
          <w:color w:val="auto"/>
          <w:sz w:val="20"/>
          <w:szCs w:val="20"/>
        </w:rPr>
        <w:t>a</w:t>
      </w:r>
      <w:r>
        <w:rPr>
          <w:rFonts w:ascii="Book Antiqua" w:hAnsi="Book Antiqua" w:cs="Book Antiqua"/>
          <w:color w:val="auto"/>
          <w:sz w:val="20"/>
          <w:szCs w:val="20"/>
        </w:rPr>
        <w:t xml:space="preserve">greements with </w:t>
      </w:r>
      <w:r w:rsidR="002F518C">
        <w:rPr>
          <w:rFonts w:ascii="Book Antiqua" w:hAnsi="Book Antiqua" w:cs="Book Antiqua"/>
          <w:color w:val="auto"/>
          <w:sz w:val="20"/>
          <w:szCs w:val="20"/>
        </w:rPr>
        <w:t xml:space="preserve">the Republic of </w:t>
      </w:r>
      <w:r>
        <w:rPr>
          <w:rFonts w:ascii="Book Antiqua" w:hAnsi="Book Antiqua" w:cs="Book Antiqua"/>
          <w:color w:val="auto"/>
          <w:sz w:val="20"/>
          <w:szCs w:val="20"/>
        </w:rPr>
        <w:t xml:space="preserve">Korea, Japan and China. </w:t>
      </w:r>
    </w:p>
    <w:p w:rsidR="00A804F7" w:rsidRDefault="00A804F7" w:rsidP="00A804F7">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t xml:space="preserve">Austrade will partner with state and territory governments and other Commonwealth Government agencies to attract productive foreign direct investment in priority sectors from established and other emerging markets. Austrade will also promote Australia as a preferred education destination and provider of education services, and continue to administer several grant programs. </w:t>
      </w:r>
    </w:p>
    <w:p w:rsidR="00C0006A" w:rsidRPr="004C09A3" w:rsidRDefault="00A804F7" w:rsidP="00783CDB">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t xml:space="preserve">Austrade will also implement the Government’s tourism policy, </w:t>
      </w:r>
      <w:r w:rsidRPr="001076E7">
        <w:rPr>
          <w:rFonts w:ascii="Book Antiqua" w:hAnsi="Book Antiqua" w:cs="Book Antiqua"/>
          <w:i/>
          <w:color w:val="auto"/>
          <w:sz w:val="20"/>
          <w:szCs w:val="20"/>
        </w:rPr>
        <w:t>Tourism 2020</w:t>
      </w:r>
      <w:r>
        <w:rPr>
          <w:rFonts w:ascii="Book Antiqua" w:hAnsi="Book Antiqua" w:cs="Book Antiqua"/>
          <w:color w:val="auto"/>
          <w:sz w:val="20"/>
          <w:szCs w:val="20"/>
        </w:rPr>
        <w:t xml:space="preserve">, working on tourism policy, projects, programs and research to strengthen Australia's tourism industry, and grow Australia's tourism market share. The international tourism </w:t>
      </w:r>
      <w:r>
        <w:rPr>
          <w:rFonts w:ascii="Book Antiqua" w:hAnsi="Book Antiqua" w:cs="Book Antiqua"/>
          <w:color w:val="auto"/>
          <w:sz w:val="20"/>
          <w:szCs w:val="20"/>
        </w:rPr>
        <w:lastRenderedPageBreak/>
        <w:t>engagement function, including bilateral tourism relations with other governments and internati</w:t>
      </w:r>
      <w:r w:rsidR="00783CDB">
        <w:rPr>
          <w:rFonts w:ascii="Book Antiqua" w:hAnsi="Book Antiqua" w:cs="Book Antiqua"/>
          <w:color w:val="auto"/>
          <w:sz w:val="20"/>
          <w:szCs w:val="20"/>
        </w:rPr>
        <w:t>onal bodies, is led by DFAT.</w:t>
      </w:r>
    </w:p>
    <w:p w:rsidR="00C0006A" w:rsidRPr="00805D50" w:rsidRDefault="00C0006A" w:rsidP="00C0006A">
      <w:pPr>
        <w:pStyle w:val="Default"/>
        <w:spacing w:after="240" w:line="280" w:lineRule="exact"/>
        <w:jc w:val="both"/>
        <w:rPr>
          <w:rFonts w:ascii="Book Antiqua" w:hAnsi="Book Antiqua" w:cs="Book Antiqua"/>
          <w:color w:val="auto"/>
          <w:sz w:val="20"/>
          <w:szCs w:val="20"/>
        </w:rPr>
      </w:pPr>
      <w:r w:rsidRPr="00805D50">
        <w:rPr>
          <w:rFonts w:ascii="Book Antiqua" w:hAnsi="Book Antiqua" w:cs="Book Antiqua"/>
          <w:color w:val="auto"/>
          <w:sz w:val="20"/>
          <w:szCs w:val="20"/>
        </w:rPr>
        <w:t xml:space="preserve">Tourism Australia is responsible for promoting Australia as a compelling tourism destination for international leisure and business events visitors. Tourism Australia undertakes marketing that targets consumers in key international markets, working in partnership with </w:t>
      </w:r>
      <w:r w:rsidR="00783CDB">
        <w:rPr>
          <w:rFonts w:ascii="Book Antiqua" w:hAnsi="Book Antiqua" w:cs="Book Antiqua"/>
          <w:color w:val="auto"/>
          <w:sz w:val="20"/>
          <w:szCs w:val="20"/>
        </w:rPr>
        <w:t>s</w:t>
      </w:r>
      <w:r w:rsidR="0048263D" w:rsidRPr="00805D50">
        <w:rPr>
          <w:rFonts w:ascii="Book Antiqua" w:hAnsi="Book Antiqua" w:cs="Book Antiqua"/>
          <w:color w:val="auto"/>
          <w:sz w:val="20"/>
          <w:szCs w:val="20"/>
        </w:rPr>
        <w:t xml:space="preserve">tate </w:t>
      </w:r>
      <w:r w:rsidRPr="00805D50">
        <w:rPr>
          <w:rFonts w:ascii="Book Antiqua" w:hAnsi="Book Antiqua" w:cs="Book Antiqua"/>
          <w:color w:val="auto"/>
          <w:sz w:val="20"/>
          <w:szCs w:val="20"/>
        </w:rPr>
        <w:t xml:space="preserve">and </w:t>
      </w:r>
      <w:r w:rsidR="00783CDB">
        <w:rPr>
          <w:rFonts w:ascii="Book Antiqua" w:hAnsi="Book Antiqua" w:cs="Book Antiqua"/>
          <w:color w:val="auto"/>
          <w:sz w:val="20"/>
          <w:szCs w:val="20"/>
        </w:rPr>
        <w:t>t</w:t>
      </w:r>
      <w:r w:rsidR="0048263D" w:rsidRPr="00805D50">
        <w:rPr>
          <w:rFonts w:ascii="Book Antiqua" w:hAnsi="Book Antiqua" w:cs="Book Antiqua"/>
          <w:color w:val="auto"/>
          <w:sz w:val="20"/>
          <w:szCs w:val="20"/>
        </w:rPr>
        <w:t xml:space="preserve">erritory </w:t>
      </w:r>
      <w:r w:rsidRPr="00805D50">
        <w:rPr>
          <w:rFonts w:ascii="Book Antiqua" w:hAnsi="Book Antiqua" w:cs="Book Antiqua"/>
          <w:color w:val="auto"/>
          <w:sz w:val="20"/>
          <w:szCs w:val="20"/>
        </w:rPr>
        <w:t xml:space="preserve">tourism organisations, industry and </w:t>
      </w:r>
      <w:r w:rsidR="00317ED9">
        <w:rPr>
          <w:rFonts w:ascii="Book Antiqua" w:hAnsi="Book Antiqua" w:cs="Book Antiqua"/>
          <w:color w:val="auto"/>
          <w:sz w:val="20"/>
          <w:szCs w:val="20"/>
        </w:rPr>
        <w:t>commercial</w:t>
      </w:r>
      <w:r w:rsidR="0048263D" w:rsidRPr="00805D50">
        <w:rPr>
          <w:rFonts w:ascii="Book Antiqua" w:hAnsi="Book Antiqua" w:cs="Book Antiqua"/>
          <w:color w:val="auto"/>
          <w:sz w:val="20"/>
          <w:szCs w:val="20"/>
        </w:rPr>
        <w:t xml:space="preserve"> </w:t>
      </w:r>
      <w:r w:rsidRPr="00805D50">
        <w:rPr>
          <w:rFonts w:ascii="Book Antiqua" w:hAnsi="Book Antiqua" w:cs="Book Antiqua"/>
          <w:color w:val="auto"/>
          <w:sz w:val="20"/>
          <w:szCs w:val="20"/>
        </w:rPr>
        <w:t>partners to increase the economic benefits of tourism to Australia by building demand and increasing visitation and visitor spending.</w:t>
      </w:r>
    </w:p>
    <w:p w:rsidR="00C0006A" w:rsidRPr="004C09A3" w:rsidRDefault="00C0006A" w:rsidP="00C0006A">
      <w:pPr>
        <w:pStyle w:val="Default"/>
        <w:spacing w:after="240" w:line="280" w:lineRule="exact"/>
        <w:jc w:val="both"/>
        <w:rPr>
          <w:rFonts w:ascii="Book Antiqua" w:hAnsi="Book Antiqua" w:cs="Book Antiqua"/>
          <w:color w:val="auto"/>
          <w:sz w:val="20"/>
          <w:szCs w:val="20"/>
        </w:rPr>
      </w:pPr>
      <w:r w:rsidRPr="004C09A3">
        <w:rPr>
          <w:rFonts w:ascii="Book Antiqua" w:hAnsi="Book Antiqua" w:cs="Book Antiqua"/>
          <w:color w:val="auto"/>
          <w:sz w:val="20"/>
          <w:szCs w:val="20"/>
        </w:rPr>
        <w:t>DFAT will continue to strengthen bilateral tourism relationships with major source countries and increase participation in key multilateral tourism forums.</w:t>
      </w:r>
    </w:p>
    <w:p w:rsidR="00621F80" w:rsidRPr="00621F80" w:rsidRDefault="00621F80" w:rsidP="00621F80">
      <w:pPr>
        <w:pStyle w:val="Default"/>
        <w:spacing w:after="240" w:line="280" w:lineRule="exact"/>
        <w:jc w:val="both"/>
        <w:rPr>
          <w:rFonts w:ascii="Book Antiqua" w:hAnsi="Book Antiqua" w:cs="Book Antiqua"/>
          <w:color w:val="auto"/>
          <w:sz w:val="20"/>
          <w:szCs w:val="20"/>
        </w:rPr>
      </w:pPr>
      <w:r w:rsidRPr="00621F80">
        <w:rPr>
          <w:rFonts w:ascii="Book Antiqua" w:hAnsi="Book Antiqua" w:cs="Book Antiqua"/>
          <w:color w:val="auto"/>
          <w:sz w:val="20"/>
          <w:szCs w:val="20"/>
        </w:rPr>
        <w:t>ACIAR works in Australia’s national interest by contributing to economic growth and poverty reduction in the Indo-Pacific</w:t>
      </w:r>
      <w:r w:rsidR="00C95CB6">
        <w:rPr>
          <w:rFonts w:ascii="Book Antiqua" w:hAnsi="Book Antiqua" w:cs="Book Antiqua"/>
          <w:color w:val="auto"/>
          <w:sz w:val="20"/>
          <w:szCs w:val="20"/>
        </w:rPr>
        <w:t xml:space="preserve"> region</w:t>
      </w:r>
      <w:r w:rsidRPr="00621F80">
        <w:rPr>
          <w:rFonts w:ascii="Book Antiqua" w:hAnsi="Book Antiqua" w:cs="Book Antiqua"/>
          <w:color w:val="auto"/>
          <w:sz w:val="20"/>
          <w:szCs w:val="20"/>
        </w:rPr>
        <w:t>. ACIAR will continue to improve the productivity and profitability of agricultural systems, through international agricultural research partnerships. In 2015-16, ACIAR’s research partnerships will have a stronger focus on developing market opportunities for smallholder farmers. Projects will tackle gender inequality in their design, delivery and impact. ACIAR will maintain its core mandate of producing excellent research, and will work through others to achieve up-scaling and broader developm</w:t>
      </w:r>
      <w:r w:rsidR="00A6122B">
        <w:rPr>
          <w:rFonts w:ascii="Book Antiqua" w:hAnsi="Book Antiqua" w:cs="Book Antiqua"/>
          <w:color w:val="auto"/>
          <w:sz w:val="20"/>
          <w:szCs w:val="20"/>
        </w:rPr>
        <w:t>ent outcomes. The strong emphasis</w:t>
      </w:r>
      <w:r w:rsidRPr="00621F80">
        <w:rPr>
          <w:rFonts w:ascii="Book Antiqua" w:hAnsi="Book Antiqua" w:cs="Book Antiqua"/>
          <w:color w:val="auto"/>
          <w:sz w:val="20"/>
          <w:szCs w:val="20"/>
        </w:rPr>
        <w:t xml:space="preserve"> on impact, and on capacity building, will remain. ACIAR will also continue to administer and manage Australia’s investment in multilateral innovation through the CGIAR</w:t>
      </w:r>
      <w:r w:rsidR="009E7DF3">
        <w:rPr>
          <w:rFonts w:ascii="Book Antiqua" w:hAnsi="Book Antiqua" w:cs="Book Antiqua"/>
          <w:color w:val="auto"/>
          <w:sz w:val="20"/>
          <w:szCs w:val="20"/>
        </w:rPr>
        <w:t xml:space="preserve"> </w:t>
      </w:r>
      <w:r w:rsidR="009E7DF3" w:rsidRPr="009E7DF3">
        <w:rPr>
          <w:rFonts w:ascii="Book Antiqua" w:hAnsi="Book Antiqua" w:cs="Book Antiqua"/>
          <w:color w:val="auto"/>
          <w:sz w:val="20"/>
          <w:szCs w:val="20"/>
        </w:rPr>
        <w:t>(formerly ‘the Consultative Group on International Agricultural Research’)</w:t>
      </w:r>
      <w:r w:rsidRPr="00621F80">
        <w:rPr>
          <w:rFonts w:ascii="Book Antiqua" w:hAnsi="Book Antiqua" w:cs="Book Antiqua"/>
          <w:color w:val="auto"/>
          <w:sz w:val="20"/>
          <w:szCs w:val="20"/>
        </w:rPr>
        <w:t xml:space="preserve">.  </w:t>
      </w:r>
    </w:p>
    <w:p w:rsidR="00C0006A" w:rsidRPr="002D609B" w:rsidRDefault="00C0006A" w:rsidP="00C0006A">
      <w:pPr>
        <w:pStyle w:val="Default"/>
        <w:spacing w:after="240" w:line="280" w:lineRule="exact"/>
        <w:jc w:val="both"/>
        <w:rPr>
          <w:rFonts w:ascii="Book Antiqua" w:hAnsi="Book Antiqua" w:cs="Book Antiqua"/>
          <w:color w:val="auto"/>
          <w:sz w:val="20"/>
          <w:szCs w:val="20"/>
        </w:rPr>
      </w:pPr>
      <w:r w:rsidRPr="002D609B">
        <w:rPr>
          <w:rFonts w:ascii="Book Antiqua" w:hAnsi="Book Antiqua" w:cs="Book Antiqua"/>
          <w:color w:val="auto"/>
          <w:sz w:val="20"/>
          <w:szCs w:val="20"/>
        </w:rPr>
        <w:t xml:space="preserve">Through ASIS, the portfolio will continue to enhance government understanding of the overseas environment affecting Australia’s vital interests and take appropriate action, consistent with applicable legislation, to protect identified interests. </w:t>
      </w:r>
    </w:p>
    <w:p w:rsidR="0044171F" w:rsidRPr="00A804F7" w:rsidRDefault="00C0006A" w:rsidP="00A804F7">
      <w:pPr>
        <w:pStyle w:val="Default"/>
        <w:spacing w:after="240" w:line="280" w:lineRule="exact"/>
        <w:jc w:val="both"/>
        <w:rPr>
          <w:rFonts w:ascii="Book Antiqua" w:hAnsi="Book Antiqua" w:cs="Book Antiqua"/>
          <w:color w:val="auto"/>
          <w:sz w:val="20"/>
          <w:szCs w:val="20"/>
        </w:rPr>
      </w:pPr>
      <w:r w:rsidRPr="00A804F7">
        <w:rPr>
          <w:rFonts w:ascii="Book Antiqua" w:hAnsi="Book Antiqua" w:cs="Book Antiqua"/>
          <w:color w:val="auto"/>
          <w:sz w:val="20"/>
          <w:szCs w:val="20"/>
        </w:rPr>
        <w:t>EFIC helps Australian exporters and companies investing in projects overseas to gain access to finance and insurance services. EFIC provides financial facilities for exporters, including loans, guarantees, medium-term credit insurance, bonds and political risk insurance, with a focus on small and medium enterprises (SMEs) and those seeking to do business in new and emerging markets. EFIC will continue to work closely with DFAT and Austrade in the delivery of these services. It will also manage the National Interest Account on behalf of the Commonwealth.</w:t>
      </w:r>
    </w:p>
    <w:p w:rsidR="001B03CC" w:rsidRDefault="00A1133E" w:rsidP="00DF75A2">
      <w:pPr>
        <w:pStyle w:val="FigureHeading"/>
        <w:jc w:val="left"/>
      </w:pPr>
      <w:r>
        <w:br w:type="page"/>
      </w:r>
      <w:r>
        <w:lastRenderedPageBreak/>
        <w:t xml:space="preserve">Figure 1: </w:t>
      </w:r>
      <w:r w:rsidR="004F5437">
        <w:t>Foreign Affairs and Trade</w:t>
      </w:r>
      <w:r w:rsidR="00F20B6E">
        <w:t xml:space="preserve"> </w:t>
      </w:r>
      <w:r w:rsidR="004F5437">
        <w:t>P</w:t>
      </w:r>
      <w:r>
        <w:t xml:space="preserve">ortfolio </w:t>
      </w:r>
      <w:r w:rsidR="004F5437">
        <w:t>S</w:t>
      </w:r>
      <w:r w:rsidR="00605163">
        <w:t xml:space="preserve">tructure and </w:t>
      </w:r>
      <w:r w:rsidR="004F5437">
        <w:t>O</w:t>
      </w:r>
      <w:r w:rsidR="00605163">
        <w:t>utcomes</w:t>
      </w:r>
    </w:p>
    <w:p w:rsidR="00F20B6E" w:rsidRPr="005C4BEE" w:rsidRDefault="00833238" w:rsidP="00505A77">
      <w:pPr>
        <w:pStyle w:val="Heading3"/>
        <w:rPr>
          <w:sz w:val="30"/>
        </w:rPr>
      </w:pPr>
      <w:r>
        <w:rPr>
          <w:sz w:val="30"/>
        </w:rPr>
        <w:pict w14:anchorId="5E4D13E0">
          <v:shape id="_x0000_i1029" type="#_x0000_t75" style="width:383.4pt;height:474.1pt;mso-left-percent:-10001;mso-top-percent:-10001;mso-position-horizontal:absolute;mso-position-horizontal-relative:char;mso-position-vertical:absolute;mso-position-vertical-relative:line;mso-left-percent:-10001;mso-top-percent:-10001">
            <v:imagedata r:id="rId40" o:title=""/>
          </v:shape>
        </w:pict>
      </w:r>
      <w:r w:rsidR="00DF75A2">
        <w:rPr>
          <w:sz w:val="30"/>
        </w:rPr>
        <w:br w:type="page"/>
      </w:r>
      <w:r w:rsidR="002C75B0" w:rsidRPr="005C4BEE">
        <w:rPr>
          <w:sz w:val="30"/>
        </w:rPr>
        <w:lastRenderedPageBreak/>
        <w:t>Portfolio resources</w:t>
      </w:r>
    </w:p>
    <w:p w:rsidR="002C75B0" w:rsidRDefault="002C75B0" w:rsidP="002C75B0">
      <w:r>
        <w:t xml:space="preserve">Table 1 shows the total </w:t>
      </w:r>
      <w:r w:rsidR="008400A8">
        <w:t xml:space="preserve">new </w:t>
      </w:r>
      <w:r>
        <w:t>resources provided to the portfolio in the</w:t>
      </w:r>
      <w:r w:rsidR="00821789">
        <w:t xml:space="preserve"> </w:t>
      </w:r>
      <w:r w:rsidR="00475EAF">
        <w:t>201</w:t>
      </w:r>
      <w:r w:rsidR="00D2316C">
        <w:t>5</w:t>
      </w:r>
      <w:r w:rsidR="00475EAF">
        <w:t>-1</w:t>
      </w:r>
      <w:r w:rsidR="00D2316C">
        <w:t>6</w:t>
      </w:r>
      <w:r>
        <w:t xml:space="preserve"> </w:t>
      </w:r>
      <w:r w:rsidR="00F33CBF">
        <w:t>B</w:t>
      </w:r>
      <w:r w:rsidR="008400A8">
        <w:t xml:space="preserve">udget year by </w:t>
      </w:r>
      <w:r w:rsidR="00D2316C">
        <w:t>entity</w:t>
      </w:r>
      <w:r w:rsidR="008400A8">
        <w:t>.</w:t>
      </w:r>
    </w:p>
    <w:p w:rsidR="00734E06" w:rsidRPr="005C4BEE" w:rsidRDefault="00F20B6E" w:rsidP="00F20B6E">
      <w:pPr>
        <w:pStyle w:val="TableHeading"/>
        <w:rPr>
          <w:sz w:val="20"/>
        </w:rPr>
      </w:pPr>
      <w:r w:rsidRPr="005C4BEE">
        <w:rPr>
          <w:sz w:val="20"/>
        </w:rPr>
        <w:t xml:space="preserve">Table 1: </w:t>
      </w:r>
      <w:r w:rsidR="00605163">
        <w:rPr>
          <w:sz w:val="20"/>
        </w:rPr>
        <w:t>Portfolio r</w:t>
      </w:r>
      <w:r w:rsidR="002C75B0" w:rsidRPr="005C4BEE">
        <w:rPr>
          <w:sz w:val="20"/>
        </w:rPr>
        <w:t>esources</w:t>
      </w:r>
      <w:r w:rsidR="00CA3214" w:rsidRPr="005C4BEE">
        <w:rPr>
          <w:sz w:val="20"/>
        </w:rPr>
        <w:t xml:space="preserve"> </w:t>
      </w:r>
      <w:r w:rsidR="00475EAF">
        <w:rPr>
          <w:sz w:val="20"/>
        </w:rPr>
        <w:t>201</w:t>
      </w:r>
      <w:r w:rsidR="00D2316C">
        <w:rPr>
          <w:sz w:val="20"/>
        </w:rPr>
        <w:t>5</w:t>
      </w:r>
      <w:r w:rsidR="00475EAF">
        <w:rPr>
          <w:sz w:val="20"/>
        </w:rPr>
        <w:t>-1</w:t>
      </w:r>
      <w:r w:rsidR="00D2316C">
        <w:rPr>
          <w:sz w:val="20"/>
        </w:rPr>
        <w:t>6</w:t>
      </w:r>
    </w:p>
    <w:p w:rsidR="00A15E63" w:rsidRDefault="00833238" w:rsidP="00825D4F">
      <w:pPr>
        <w:pStyle w:val="TableGraphic"/>
      </w:pPr>
      <w:r>
        <w:pict>
          <v:shape id="_x0000_i1030" type="#_x0000_t75" style="width:385.25pt;height:356.25pt">
            <v:imagedata r:id="rId41" o:title=""/>
          </v:shape>
        </w:pict>
      </w:r>
    </w:p>
    <w:p w:rsidR="00A15E63" w:rsidRDefault="00A15E63" w:rsidP="00451501">
      <w:pPr>
        <w:pStyle w:val="NoSpacing"/>
      </w:pPr>
    </w:p>
    <w:p w:rsidR="00A15E63" w:rsidRPr="00683579" w:rsidRDefault="00A15E63" w:rsidP="00F20B6E">
      <w:pPr>
        <w:sectPr w:rsidR="00A15E63" w:rsidRPr="00683579" w:rsidSect="00235D67">
          <w:headerReference w:type="even" r:id="rId42"/>
          <w:headerReference w:type="default" r:id="rId43"/>
          <w:footerReference w:type="even" r:id="rId44"/>
          <w:footerReference w:type="default" r:id="rId45"/>
          <w:headerReference w:type="first" r:id="rId46"/>
          <w:footerReference w:type="first" r:id="rId47"/>
          <w:type w:val="oddPage"/>
          <w:pgSz w:w="11906" w:h="16838" w:code="9"/>
          <w:pgMar w:top="2466" w:right="2098" w:bottom="2466" w:left="2098" w:header="1899" w:footer="1899" w:gutter="0"/>
          <w:pgNumType w:start="2"/>
          <w:cols w:space="708"/>
          <w:titlePg/>
          <w:docGrid w:linePitch="360"/>
        </w:sectPr>
      </w:pPr>
    </w:p>
    <w:p w:rsidR="00F20B6E" w:rsidRDefault="007E6BBD" w:rsidP="00AB76EC">
      <w:pPr>
        <w:pStyle w:val="Part"/>
      </w:pPr>
      <w:bookmarkStart w:id="9" w:name="_Toc190766149"/>
      <w:r>
        <w:lastRenderedPageBreak/>
        <w:t xml:space="preserve">Entity </w:t>
      </w:r>
      <w:r w:rsidR="00605163">
        <w:t>resources and</w:t>
      </w:r>
      <w:r w:rsidR="00605163">
        <w:br/>
        <w:t>planned performance</w:t>
      </w:r>
      <w:bookmarkEnd w:id="9"/>
    </w:p>
    <w:p w:rsidR="00AB76EC" w:rsidRDefault="00AB76EC" w:rsidP="00AB76EC">
      <w:pPr>
        <w:pStyle w:val="TOC1"/>
      </w:pPr>
      <w:r>
        <w:t xml:space="preserve">Department of </w:t>
      </w:r>
      <w:r w:rsidR="00091DB0">
        <w:t>Foreign Affairs and Trade (DFAT</w:t>
      </w:r>
      <w:r w:rsidR="00743E15">
        <w:t>)</w:t>
      </w:r>
      <w:r>
        <w:tab/>
      </w:r>
      <w:r w:rsidR="00DD6368">
        <w:t>11</w:t>
      </w:r>
    </w:p>
    <w:p w:rsidR="00AB76EC" w:rsidRDefault="00091DB0" w:rsidP="00AB76EC">
      <w:pPr>
        <w:pStyle w:val="TOC1"/>
      </w:pPr>
      <w:r>
        <w:t>Australian Trade Commission (Austrade)</w:t>
      </w:r>
      <w:r w:rsidR="00AB76EC">
        <w:tab/>
      </w:r>
      <w:r w:rsidR="00DD6368">
        <w:t>7</w:t>
      </w:r>
      <w:r w:rsidR="00C32654">
        <w:t>9</w:t>
      </w:r>
    </w:p>
    <w:p w:rsidR="00AB76EC" w:rsidRDefault="00091DB0" w:rsidP="00AB76EC">
      <w:pPr>
        <w:pStyle w:val="TOC1"/>
      </w:pPr>
      <w:r>
        <w:t>Australian Centre for International Agricultural Research (ACIAR)</w:t>
      </w:r>
      <w:r w:rsidR="00AB76EC">
        <w:tab/>
      </w:r>
      <w:r w:rsidR="00C32654">
        <w:t>121</w:t>
      </w:r>
    </w:p>
    <w:p w:rsidR="00AB76EC" w:rsidRDefault="00091DB0" w:rsidP="00AB76EC">
      <w:pPr>
        <w:pStyle w:val="TOC1"/>
      </w:pPr>
      <w:r>
        <w:t>Australian Secret Intelligence Service (ASIS)</w:t>
      </w:r>
      <w:r w:rsidR="00AB76EC">
        <w:tab/>
      </w:r>
      <w:r w:rsidR="00DD6368">
        <w:t>14</w:t>
      </w:r>
      <w:r w:rsidR="00C32654">
        <w:t>7</w:t>
      </w:r>
    </w:p>
    <w:p w:rsidR="00AB76EC" w:rsidRDefault="00091DB0" w:rsidP="00AB76EC">
      <w:pPr>
        <w:pStyle w:val="TOC1"/>
      </w:pPr>
      <w:r>
        <w:t>Tourism Australia</w:t>
      </w:r>
      <w:r w:rsidR="00AB76EC">
        <w:tab/>
      </w:r>
      <w:r w:rsidR="00DD6368">
        <w:t>16</w:t>
      </w:r>
      <w:r w:rsidR="00C32654">
        <w:t>5</w:t>
      </w:r>
    </w:p>
    <w:p w:rsidR="00AB76EC" w:rsidRDefault="00AB76EC" w:rsidP="00AB76EC"/>
    <w:p w:rsidR="00257FF4" w:rsidRDefault="00257FF4" w:rsidP="00AB76EC">
      <w:pPr>
        <w:sectPr w:rsidR="00257FF4" w:rsidSect="00AA27AA">
          <w:footerReference w:type="first" r:id="rId48"/>
          <w:type w:val="oddPage"/>
          <w:pgSz w:w="11906" w:h="16838" w:code="9"/>
          <w:pgMar w:top="2466" w:right="2098" w:bottom="2466" w:left="2098" w:header="1899" w:footer="1899" w:gutter="0"/>
          <w:cols w:space="708"/>
          <w:titlePg/>
          <w:docGrid w:linePitch="360"/>
        </w:sectPr>
      </w:pPr>
    </w:p>
    <w:p w:rsidR="00257FF4" w:rsidRDefault="00257FF4" w:rsidP="00257FF4">
      <w:pPr>
        <w:pStyle w:val="Department"/>
      </w:pPr>
    </w:p>
    <w:p w:rsidR="00257FF4" w:rsidRDefault="00257FF4" w:rsidP="00B676B8">
      <w:pPr>
        <w:pStyle w:val="Department"/>
        <w:spacing w:before="1320"/>
      </w:pPr>
      <w:r>
        <w:t xml:space="preserve">Department of </w:t>
      </w:r>
      <w:r w:rsidR="00565F93">
        <w:t>Foreign Affairs and Trade (DFAT)</w:t>
      </w:r>
    </w:p>
    <w:p w:rsidR="00257FF4" w:rsidRDefault="007E6BBD" w:rsidP="00B676B8">
      <w:pPr>
        <w:pStyle w:val="DepartmentSubtitle"/>
        <w:spacing w:before="2080"/>
      </w:pPr>
      <w:r>
        <w:t xml:space="preserve">Entity </w:t>
      </w:r>
      <w:r w:rsidR="00605163">
        <w:t>resources and planned performance</w:t>
      </w:r>
    </w:p>
    <w:p w:rsidR="00257FF4" w:rsidRDefault="00257FF4" w:rsidP="00257FF4">
      <w:pPr>
        <w:sectPr w:rsidR="00257FF4" w:rsidSect="00AA27AA">
          <w:footerReference w:type="first" r:id="rId49"/>
          <w:type w:val="oddPage"/>
          <w:pgSz w:w="11906" w:h="16838" w:code="9"/>
          <w:pgMar w:top="2466" w:right="2098" w:bottom="2466" w:left="2098" w:header="1899" w:footer="1899" w:gutter="0"/>
          <w:cols w:space="708"/>
          <w:titlePg/>
          <w:docGrid w:linePitch="360"/>
        </w:sectPr>
      </w:pPr>
    </w:p>
    <w:p w:rsidR="00257FF4" w:rsidRDefault="00257FF4" w:rsidP="00C8049D">
      <w:pPr>
        <w:pStyle w:val="ContentsHeading"/>
      </w:pPr>
      <w:bookmarkStart w:id="10" w:name="_Toc190766150"/>
      <w:r>
        <w:lastRenderedPageBreak/>
        <w:t xml:space="preserve">Department of </w:t>
      </w:r>
      <w:bookmarkEnd w:id="10"/>
      <w:r w:rsidR="00565F93">
        <w:t>Foreign Affairs and Trade</w:t>
      </w:r>
      <w:r w:rsidR="00565F93">
        <w:br/>
        <w:t>(DFAT)</w:t>
      </w:r>
    </w:p>
    <w:p w:rsidR="00DF6B26" w:rsidRDefault="00DF6B26">
      <w:pPr>
        <w:pStyle w:val="TOC3"/>
        <w:rPr>
          <w:rFonts w:ascii="Times New Roman" w:hAnsi="Times New Roman"/>
          <w:b w:val="0"/>
          <w:noProof/>
          <w:sz w:val="24"/>
          <w:szCs w:val="24"/>
        </w:rPr>
      </w:pPr>
      <w:r>
        <w:rPr>
          <w:noProof/>
        </w:rPr>
        <w:t xml:space="preserve">Section 1: </w:t>
      </w:r>
      <w:r w:rsidR="007E6BBD">
        <w:rPr>
          <w:noProof/>
        </w:rPr>
        <w:t xml:space="preserve">Entity </w:t>
      </w:r>
      <w:r w:rsidR="00605163">
        <w:rPr>
          <w:noProof/>
        </w:rPr>
        <w:t>o</w:t>
      </w:r>
      <w:r>
        <w:rPr>
          <w:noProof/>
        </w:rPr>
        <w:t xml:space="preserve">verview and </w:t>
      </w:r>
      <w:r w:rsidR="00605163">
        <w:rPr>
          <w:noProof/>
        </w:rPr>
        <w:t>r</w:t>
      </w:r>
      <w:r>
        <w:rPr>
          <w:noProof/>
        </w:rPr>
        <w:t>esources</w:t>
      </w:r>
      <w:r>
        <w:rPr>
          <w:noProof/>
        </w:rPr>
        <w:tab/>
      </w:r>
      <w:r w:rsidR="00285FA9">
        <w:rPr>
          <w:noProof/>
        </w:rPr>
        <w:t>15</w:t>
      </w:r>
    </w:p>
    <w:p w:rsidR="00DF6B26" w:rsidRDefault="00DF6B26">
      <w:pPr>
        <w:pStyle w:val="TOC4"/>
        <w:tabs>
          <w:tab w:val="left" w:pos="800"/>
        </w:tabs>
        <w:rPr>
          <w:rFonts w:ascii="Times New Roman" w:hAnsi="Times New Roman"/>
          <w:noProof/>
          <w:sz w:val="24"/>
          <w:szCs w:val="24"/>
        </w:rPr>
      </w:pPr>
      <w:r>
        <w:rPr>
          <w:noProof/>
        </w:rPr>
        <w:t>1.1</w:t>
      </w:r>
      <w:r>
        <w:rPr>
          <w:rFonts w:ascii="Times New Roman" w:hAnsi="Times New Roman"/>
          <w:noProof/>
          <w:sz w:val="24"/>
          <w:szCs w:val="24"/>
        </w:rPr>
        <w:tab/>
      </w:r>
      <w:r>
        <w:rPr>
          <w:noProof/>
        </w:rPr>
        <w:t xml:space="preserve">Strategic </w:t>
      </w:r>
      <w:r w:rsidR="00605163">
        <w:rPr>
          <w:noProof/>
        </w:rPr>
        <w:t>direction statement</w:t>
      </w:r>
      <w:r>
        <w:rPr>
          <w:noProof/>
        </w:rPr>
        <w:tab/>
      </w:r>
      <w:r w:rsidR="00285FA9">
        <w:rPr>
          <w:noProof/>
        </w:rPr>
        <w:t>15</w:t>
      </w:r>
    </w:p>
    <w:p w:rsidR="00DF6B26" w:rsidRDefault="00DF6B26">
      <w:pPr>
        <w:pStyle w:val="TOC4"/>
        <w:tabs>
          <w:tab w:val="left" w:pos="800"/>
        </w:tabs>
        <w:rPr>
          <w:rFonts w:ascii="Times New Roman" w:hAnsi="Times New Roman"/>
          <w:noProof/>
          <w:sz w:val="24"/>
          <w:szCs w:val="24"/>
        </w:rPr>
      </w:pPr>
      <w:r>
        <w:rPr>
          <w:noProof/>
        </w:rPr>
        <w:t>1.2</w:t>
      </w:r>
      <w:r>
        <w:rPr>
          <w:rFonts w:ascii="Times New Roman" w:hAnsi="Times New Roman"/>
          <w:noProof/>
          <w:sz w:val="24"/>
          <w:szCs w:val="24"/>
        </w:rPr>
        <w:tab/>
      </w:r>
      <w:r w:rsidR="007E6BBD">
        <w:rPr>
          <w:noProof/>
        </w:rPr>
        <w:t xml:space="preserve">Entity </w:t>
      </w:r>
      <w:r w:rsidR="00605163">
        <w:rPr>
          <w:noProof/>
        </w:rPr>
        <w:t>resource statement</w:t>
      </w:r>
      <w:r>
        <w:rPr>
          <w:noProof/>
        </w:rPr>
        <w:tab/>
      </w:r>
      <w:r w:rsidR="00285FA9">
        <w:rPr>
          <w:noProof/>
        </w:rPr>
        <w:t>21</w:t>
      </w:r>
    </w:p>
    <w:p w:rsidR="00DF6B26" w:rsidRDefault="00DF6B26">
      <w:pPr>
        <w:pStyle w:val="TOC4"/>
        <w:tabs>
          <w:tab w:val="left" w:pos="800"/>
        </w:tabs>
        <w:rPr>
          <w:noProof/>
        </w:rPr>
      </w:pPr>
      <w:r>
        <w:rPr>
          <w:noProof/>
        </w:rPr>
        <w:t>1.3</w:t>
      </w:r>
      <w:r>
        <w:rPr>
          <w:rFonts w:ascii="Times New Roman" w:hAnsi="Times New Roman"/>
          <w:noProof/>
          <w:sz w:val="24"/>
          <w:szCs w:val="24"/>
        </w:rPr>
        <w:tab/>
      </w:r>
      <w:r>
        <w:rPr>
          <w:noProof/>
        </w:rPr>
        <w:t xml:space="preserve">Budget </w:t>
      </w:r>
      <w:r w:rsidR="00605163">
        <w:rPr>
          <w:noProof/>
        </w:rPr>
        <w:t>m</w:t>
      </w:r>
      <w:r>
        <w:rPr>
          <w:noProof/>
        </w:rPr>
        <w:t>easures</w:t>
      </w:r>
      <w:r>
        <w:rPr>
          <w:noProof/>
        </w:rPr>
        <w:tab/>
      </w:r>
      <w:r w:rsidR="00285FA9">
        <w:rPr>
          <w:noProof/>
        </w:rPr>
        <w:t>24</w:t>
      </w:r>
    </w:p>
    <w:p w:rsidR="00DF6B26" w:rsidRDefault="00DF6B26">
      <w:pPr>
        <w:pStyle w:val="TOC3"/>
        <w:rPr>
          <w:rFonts w:ascii="Times New Roman" w:hAnsi="Times New Roman"/>
          <w:b w:val="0"/>
          <w:noProof/>
          <w:sz w:val="24"/>
          <w:szCs w:val="24"/>
        </w:rPr>
      </w:pPr>
      <w:r>
        <w:rPr>
          <w:noProof/>
        </w:rPr>
        <w:t xml:space="preserve">Section 2: Outcomes and </w:t>
      </w:r>
      <w:r w:rsidR="00605163">
        <w:rPr>
          <w:noProof/>
        </w:rPr>
        <w:t>planned performance</w:t>
      </w:r>
      <w:r>
        <w:rPr>
          <w:noProof/>
        </w:rPr>
        <w:tab/>
      </w:r>
      <w:r w:rsidR="00285FA9">
        <w:rPr>
          <w:noProof/>
        </w:rPr>
        <w:t>27</w:t>
      </w:r>
    </w:p>
    <w:p w:rsidR="00DF6B26" w:rsidRDefault="00DF6B26">
      <w:pPr>
        <w:pStyle w:val="TOC4"/>
        <w:tabs>
          <w:tab w:val="left" w:pos="800"/>
        </w:tabs>
        <w:rPr>
          <w:rFonts w:ascii="Times New Roman" w:hAnsi="Times New Roman"/>
          <w:noProof/>
          <w:sz w:val="24"/>
          <w:szCs w:val="24"/>
        </w:rPr>
      </w:pPr>
      <w:r>
        <w:rPr>
          <w:noProof/>
        </w:rPr>
        <w:t>2.1</w:t>
      </w:r>
      <w:r>
        <w:rPr>
          <w:rFonts w:ascii="Times New Roman" w:hAnsi="Times New Roman"/>
          <w:noProof/>
          <w:sz w:val="24"/>
          <w:szCs w:val="24"/>
        </w:rPr>
        <w:tab/>
      </w:r>
      <w:r>
        <w:rPr>
          <w:noProof/>
        </w:rPr>
        <w:t xml:space="preserve">Outcomes and </w:t>
      </w:r>
      <w:r w:rsidR="00605163">
        <w:rPr>
          <w:noProof/>
        </w:rPr>
        <w:t>performance information</w:t>
      </w:r>
      <w:r>
        <w:rPr>
          <w:noProof/>
        </w:rPr>
        <w:tab/>
      </w:r>
      <w:r w:rsidR="00285FA9">
        <w:rPr>
          <w:noProof/>
        </w:rPr>
        <w:t>27</w:t>
      </w:r>
    </w:p>
    <w:p w:rsidR="00DF6B26" w:rsidRDefault="00DF6B26">
      <w:pPr>
        <w:pStyle w:val="TOC3"/>
        <w:rPr>
          <w:rFonts w:ascii="Times New Roman" w:hAnsi="Times New Roman"/>
          <w:b w:val="0"/>
          <w:noProof/>
          <w:sz w:val="24"/>
          <w:szCs w:val="24"/>
        </w:rPr>
      </w:pPr>
      <w:r>
        <w:rPr>
          <w:noProof/>
        </w:rPr>
        <w:t xml:space="preserve">Section 3: Explanatory </w:t>
      </w:r>
      <w:r w:rsidR="00605163">
        <w:rPr>
          <w:noProof/>
        </w:rPr>
        <w:t>tables and budgeted financial statements</w:t>
      </w:r>
      <w:r>
        <w:rPr>
          <w:noProof/>
        </w:rPr>
        <w:tab/>
      </w:r>
      <w:r w:rsidR="00285FA9">
        <w:rPr>
          <w:noProof/>
        </w:rPr>
        <w:t>5</w:t>
      </w:r>
      <w:r w:rsidR="00C21ED3">
        <w:rPr>
          <w:noProof/>
        </w:rPr>
        <w:t>8</w:t>
      </w:r>
    </w:p>
    <w:p w:rsidR="00DF6B26" w:rsidRDefault="00DF6B26">
      <w:pPr>
        <w:pStyle w:val="TOC4"/>
        <w:tabs>
          <w:tab w:val="left" w:pos="800"/>
        </w:tabs>
        <w:rPr>
          <w:noProof/>
        </w:rPr>
      </w:pPr>
      <w:r>
        <w:rPr>
          <w:noProof/>
        </w:rPr>
        <w:t>3.1</w:t>
      </w:r>
      <w:r>
        <w:rPr>
          <w:rFonts w:ascii="Times New Roman" w:hAnsi="Times New Roman"/>
          <w:noProof/>
          <w:sz w:val="24"/>
          <w:szCs w:val="24"/>
        </w:rPr>
        <w:tab/>
      </w:r>
      <w:r>
        <w:rPr>
          <w:noProof/>
        </w:rPr>
        <w:t xml:space="preserve">Explanatory </w:t>
      </w:r>
      <w:r w:rsidR="00605163">
        <w:rPr>
          <w:noProof/>
        </w:rPr>
        <w:t>t</w:t>
      </w:r>
      <w:r>
        <w:rPr>
          <w:noProof/>
        </w:rPr>
        <w:t>ables</w:t>
      </w:r>
      <w:r>
        <w:rPr>
          <w:noProof/>
        </w:rPr>
        <w:tab/>
      </w:r>
      <w:r w:rsidR="00285FA9">
        <w:rPr>
          <w:noProof/>
        </w:rPr>
        <w:t>5</w:t>
      </w:r>
      <w:r w:rsidR="00C21ED3">
        <w:rPr>
          <w:noProof/>
        </w:rPr>
        <w:t>8</w:t>
      </w:r>
    </w:p>
    <w:p w:rsidR="00557A85" w:rsidRDefault="00557A85" w:rsidP="00557A85">
      <w:pPr>
        <w:pStyle w:val="TOC4"/>
        <w:tabs>
          <w:tab w:val="left" w:pos="800"/>
        </w:tabs>
        <w:rPr>
          <w:noProof/>
        </w:rPr>
      </w:pPr>
      <w:r>
        <w:rPr>
          <w:noProof/>
        </w:rPr>
        <w:t>3.2</w:t>
      </w:r>
      <w:r>
        <w:rPr>
          <w:rFonts w:ascii="Times New Roman" w:hAnsi="Times New Roman"/>
          <w:noProof/>
          <w:sz w:val="24"/>
          <w:szCs w:val="24"/>
        </w:rPr>
        <w:tab/>
      </w:r>
      <w:r>
        <w:rPr>
          <w:noProof/>
        </w:rPr>
        <w:t xml:space="preserve">Budgeted </w:t>
      </w:r>
      <w:r w:rsidR="00605163">
        <w:rPr>
          <w:noProof/>
        </w:rPr>
        <w:t>financial statements</w:t>
      </w:r>
      <w:r>
        <w:rPr>
          <w:noProof/>
        </w:rPr>
        <w:tab/>
      </w:r>
      <w:r w:rsidR="00285FA9">
        <w:rPr>
          <w:noProof/>
        </w:rPr>
        <w:t>6</w:t>
      </w:r>
      <w:r w:rsidR="00C21ED3">
        <w:rPr>
          <w:noProof/>
        </w:rPr>
        <w:t>1</w:t>
      </w:r>
    </w:p>
    <w:p w:rsidR="008B5AFD" w:rsidRPr="008B5AFD" w:rsidRDefault="008B5AFD" w:rsidP="008B5AFD"/>
    <w:p w:rsidR="00257FF4" w:rsidRDefault="00257FF4" w:rsidP="00257FF4">
      <w:pPr>
        <w:sectPr w:rsidR="00257FF4" w:rsidSect="00AA27AA">
          <w:footerReference w:type="first" r:id="rId50"/>
          <w:type w:val="oddPage"/>
          <w:pgSz w:w="11906" w:h="16838" w:code="9"/>
          <w:pgMar w:top="2466" w:right="2098" w:bottom="2466" w:left="2098" w:header="1899" w:footer="1899" w:gutter="0"/>
          <w:cols w:space="708"/>
          <w:titlePg/>
          <w:docGrid w:linePitch="360"/>
        </w:sectPr>
      </w:pPr>
    </w:p>
    <w:p w:rsidR="00257FF4" w:rsidRDefault="00257FF4" w:rsidP="003D2984">
      <w:pPr>
        <w:pStyle w:val="Heading1"/>
      </w:pPr>
      <w:r>
        <w:lastRenderedPageBreak/>
        <w:t xml:space="preserve">Department of </w:t>
      </w:r>
      <w:r w:rsidR="00565F93">
        <w:t>Foreign Affairs and Trade (DFAT)</w:t>
      </w:r>
    </w:p>
    <w:p w:rsidR="00257FF4" w:rsidRDefault="00257FF4" w:rsidP="00257FF4">
      <w:pPr>
        <w:pStyle w:val="Heading2"/>
      </w:pPr>
      <w:bookmarkStart w:id="11" w:name="_Toc190682308"/>
      <w:bookmarkStart w:id="12" w:name="_Toc190682526"/>
      <w:r>
        <w:t xml:space="preserve">Section 1: </w:t>
      </w:r>
      <w:r w:rsidR="007E6BBD">
        <w:t xml:space="preserve">Entity </w:t>
      </w:r>
      <w:r w:rsidR="00605163">
        <w:t>overview and resources</w:t>
      </w:r>
      <w:bookmarkEnd w:id="11"/>
      <w:bookmarkEnd w:id="12"/>
    </w:p>
    <w:p w:rsidR="00257FF4" w:rsidRDefault="00257FF4" w:rsidP="00257FF4">
      <w:pPr>
        <w:pStyle w:val="Heading3"/>
      </w:pPr>
      <w:bookmarkStart w:id="13" w:name="_Toc190682309"/>
      <w:bookmarkStart w:id="14" w:name="_Toc190682527"/>
      <w:r>
        <w:t>1.1</w:t>
      </w:r>
      <w:r>
        <w:tab/>
        <w:t xml:space="preserve">Strategic </w:t>
      </w:r>
      <w:r w:rsidR="00D81071">
        <w:t>direction</w:t>
      </w:r>
      <w:bookmarkEnd w:id="13"/>
      <w:bookmarkEnd w:id="14"/>
      <w:r w:rsidR="00D81071">
        <w:t xml:space="preserve"> </w:t>
      </w:r>
      <w:r w:rsidR="00605163">
        <w:t>statement</w:t>
      </w:r>
    </w:p>
    <w:p w:rsidR="00C0006A" w:rsidRDefault="00C0006A" w:rsidP="00C0006A">
      <w:pPr>
        <w:pStyle w:val="Default"/>
        <w:spacing w:after="240" w:line="280" w:lineRule="exact"/>
        <w:jc w:val="both"/>
        <w:rPr>
          <w:rFonts w:ascii="Book Antiqua" w:hAnsi="Book Antiqua" w:cs="Book Antiqua"/>
          <w:color w:val="auto"/>
          <w:sz w:val="20"/>
          <w:szCs w:val="20"/>
        </w:rPr>
      </w:pPr>
      <w:bookmarkStart w:id="15" w:name="_Toc190682310"/>
      <w:bookmarkStart w:id="16" w:name="_Toc190682528"/>
      <w:r>
        <w:rPr>
          <w:rFonts w:ascii="Book Antiqua" w:hAnsi="Book Antiqua" w:cs="Book Antiqua"/>
          <w:color w:val="auto"/>
          <w:sz w:val="20"/>
          <w:szCs w:val="20"/>
        </w:rPr>
        <w:t xml:space="preserve">The Department of Foreign Affairs and Trade (DFAT) supports Ministers in the delivery of Australia’s foreign, trade and investment, development and international security policy priorities. In 2015-16, the department will work to make Australia stronger, safer and more prosperous by promoting and protecting our interests internationally and contributing to global stability and economic growth, particularly in the Indo-Pacific region. </w:t>
      </w:r>
    </w:p>
    <w:p w:rsidR="007D65BF" w:rsidRDefault="00C0006A" w:rsidP="00C0006A">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t xml:space="preserve">Australia has global interests, </w:t>
      </w:r>
      <w:r w:rsidR="007D65BF">
        <w:rPr>
          <w:rFonts w:ascii="Book Antiqua" w:hAnsi="Book Antiqua" w:cs="Book Antiqua"/>
          <w:color w:val="auto"/>
          <w:sz w:val="20"/>
          <w:szCs w:val="20"/>
        </w:rPr>
        <w:t>with a strong</w:t>
      </w:r>
      <w:r>
        <w:rPr>
          <w:rFonts w:ascii="Book Antiqua" w:hAnsi="Book Antiqua" w:cs="Book Antiqua"/>
          <w:color w:val="auto"/>
          <w:sz w:val="20"/>
          <w:szCs w:val="20"/>
        </w:rPr>
        <w:t xml:space="preserve"> focus on the Indo-Pacific region. Strengthening Australia’s key regional partnerships will be a priority for the department.</w:t>
      </w:r>
      <w:r w:rsidRPr="00C0006A">
        <w:rPr>
          <w:rFonts w:ascii="Book Antiqua" w:hAnsi="Book Antiqua" w:cs="Book Antiqua"/>
          <w:color w:val="auto"/>
          <w:sz w:val="20"/>
          <w:szCs w:val="20"/>
        </w:rPr>
        <w:t xml:space="preserve"> </w:t>
      </w:r>
      <w:r w:rsidRPr="00D63637">
        <w:rPr>
          <w:rFonts w:ascii="Book Antiqua" w:hAnsi="Book Antiqua" w:cs="Book Antiqua"/>
          <w:color w:val="auto"/>
          <w:sz w:val="20"/>
          <w:szCs w:val="20"/>
        </w:rPr>
        <w:t xml:space="preserve">The engagement of the United States in the Indo-Pacific provides major security and economic benefits to the region, and to Australia.  Through Australia’s alliance with the United States, and extensive economic ties, the department will work to strengthen </w:t>
      </w:r>
      <w:r w:rsidR="007D65BF">
        <w:rPr>
          <w:rFonts w:ascii="Book Antiqua" w:hAnsi="Book Antiqua" w:cs="Book Antiqua"/>
          <w:color w:val="auto"/>
          <w:sz w:val="20"/>
          <w:szCs w:val="20"/>
        </w:rPr>
        <w:t>the</w:t>
      </w:r>
      <w:r w:rsidR="007D65BF" w:rsidRPr="00D63637">
        <w:rPr>
          <w:rFonts w:ascii="Book Antiqua" w:hAnsi="Book Antiqua" w:cs="Book Antiqua"/>
          <w:color w:val="auto"/>
          <w:sz w:val="20"/>
          <w:szCs w:val="20"/>
        </w:rPr>
        <w:t xml:space="preserve"> </w:t>
      </w:r>
      <w:r w:rsidRPr="00D63637">
        <w:rPr>
          <w:rFonts w:ascii="Book Antiqua" w:hAnsi="Book Antiqua" w:cs="Book Antiqua"/>
          <w:color w:val="auto"/>
          <w:sz w:val="20"/>
          <w:szCs w:val="20"/>
        </w:rPr>
        <w:t xml:space="preserve">relationship and support the US contribution to regional and global security and prosperity.   </w:t>
      </w:r>
    </w:p>
    <w:p w:rsidR="00C0006A" w:rsidRDefault="00C0006A" w:rsidP="00C0006A">
      <w:pPr>
        <w:pStyle w:val="Default"/>
        <w:spacing w:after="240" w:line="280" w:lineRule="exact"/>
        <w:jc w:val="both"/>
        <w:rPr>
          <w:rFonts w:ascii="Book Antiqua" w:hAnsi="Book Antiqua" w:cs="Book Antiqua"/>
          <w:color w:val="auto"/>
          <w:sz w:val="20"/>
          <w:szCs w:val="20"/>
        </w:rPr>
      </w:pPr>
      <w:r w:rsidRPr="00D63637">
        <w:rPr>
          <w:rFonts w:ascii="Book Antiqua" w:hAnsi="Book Antiqua" w:cs="Book Antiqua"/>
          <w:color w:val="auto"/>
          <w:sz w:val="20"/>
          <w:szCs w:val="20"/>
        </w:rPr>
        <w:t xml:space="preserve">The </w:t>
      </w:r>
      <w:r w:rsidR="007D65BF">
        <w:rPr>
          <w:rFonts w:ascii="Book Antiqua" w:hAnsi="Book Antiqua" w:cs="Book Antiqua"/>
          <w:color w:val="auto"/>
          <w:sz w:val="20"/>
          <w:szCs w:val="20"/>
        </w:rPr>
        <w:t>d</w:t>
      </w:r>
      <w:r w:rsidR="007D65BF" w:rsidRPr="00D63637">
        <w:rPr>
          <w:rFonts w:ascii="Book Antiqua" w:hAnsi="Book Antiqua" w:cs="Book Antiqua"/>
          <w:color w:val="auto"/>
          <w:sz w:val="20"/>
          <w:szCs w:val="20"/>
        </w:rPr>
        <w:t xml:space="preserve">epartment </w:t>
      </w:r>
      <w:r w:rsidRPr="00D63637">
        <w:rPr>
          <w:rFonts w:ascii="Book Antiqua" w:hAnsi="Book Antiqua" w:cs="Book Antiqua"/>
          <w:color w:val="auto"/>
          <w:sz w:val="20"/>
          <w:szCs w:val="20"/>
        </w:rPr>
        <w:t xml:space="preserve">will work to </w:t>
      </w:r>
      <w:r w:rsidR="007D65BF">
        <w:rPr>
          <w:rFonts w:ascii="Book Antiqua" w:hAnsi="Book Antiqua" w:cs="Book Antiqua"/>
          <w:color w:val="auto"/>
          <w:sz w:val="20"/>
          <w:szCs w:val="20"/>
        </w:rPr>
        <w:t>strengthen</w:t>
      </w:r>
      <w:r w:rsidR="007D65BF" w:rsidRPr="00D63637">
        <w:rPr>
          <w:rFonts w:ascii="Book Antiqua" w:hAnsi="Book Antiqua" w:cs="Book Antiqua"/>
          <w:color w:val="auto"/>
          <w:sz w:val="20"/>
          <w:szCs w:val="20"/>
        </w:rPr>
        <w:t xml:space="preserve"> </w:t>
      </w:r>
      <w:r w:rsidRPr="00D63637">
        <w:rPr>
          <w:rFonts w:ascii="Book Antiqua" w:hAnsi="Book Antiqua" w:cs="Book Antiqua"/>
          <w:color w:val="auto"/>
          <w:sz w:val="20"/>
          <w:szCs w:val="20"/>
        </w:rPr>
        <w:t xml:space="preserve">Australia’s partnerships with Japan, China and the Republic of Korea, building on shared strategic perspectives and implementing the </w:t>
      </w:r>
      <w:r w:rsidR="007D65BF">
        <w:rPr>
          <w:rFonts w:ascii="Book Antiqua" w:hAnsi="Book Antiqua" w:cs="Book Antiqua"/>
          <w:color w:val="auto"/>
          <w:sz w:val="20"/>
          <w:szCs w:val="20"/>
        </w:rPr>
        <w:t>new</w:t>
      </w:r>
      <w:r w:rsidRPr="00D63637">
        <w:rPr>
          <w:rFonts w:ascii="Book Antiqua" w:hAnsi="Book Antiqua" w:cs="Book Antiqua"/>
          <w:color w:val="auto"/>
          <w:sz w:val="20"/>
          <w:szCs w:val="20"/>
        </w:rPr>
        <w:t xml:space="preserve"> free trade agreements</w:t>
      </w:r>
      <w:r>
        <w:rPr>
          <w:rFonts w:ascii="Book Antiqua" w:hAnsi="Book Antiqua" w:cs="Book Antiqua"/>
          <w:color w:val="auto"/>
          <w:sz w:val="20"/>
          <w:szCs w:val="20"/>
        </w:rPr>
        <w:t xml:space="preserve">. </w:t>
      </w:r>
      <w:r w:rsidRPr="00750022">
        <w:rPr>
          <w:rFonts w:ascii="Book Antiqua" w:hAnsi="Book Antiqua" w:cs="Book Antiqua"/>
          <w:color w:val="auto"/>
          <w:sz w:val="20"/>
          <w:szCs w:val="20"/>
        </w:rPr>
        <w:t xml:space="preserve">The department </w:t>
      </w:r>
      <w:r>
        <w:rPr>
          <w:rFonts w:ascii="Book Antiqua" w:hAnsi="Book Antiqua" w:cs="Book Antiqua"/>
          <w:color w:val="auto"/>
          <w:sz w:val="20"/>
          <w:szCs w:val="20"/>
        </w:rPr>
        <w:t xml:space="preserve">has worked </w:t>
      </w:r>
      <w:r w:rsidRPr="00750022">
        <w:rPr>
          <w:rFonts w:ascii="Book Antiqua" w:hAnsi="Book Antiqua" w:cs="Book Antiqua"/>
          <w:color w:val="auto"/>
          <w:sz w:val="20"/>
          <w:szCs w:val="20"/>
        </w:rPr>
        <w:t>with Indonesia</w:t>
      </w:r>
      <w:r>
        <w:rPr>
          <w:rFonts w:ascii="Book Antiqua" w:hAnsi="Book Antiqua" w:cs="Book Antiqua"/>
          <w:color w:val="auto"/>
          <w:sz w:val="20"/>
          <w:szCs w:val="20"/>
        </w:rPr>
        <w:t>n agencies</w:t>
      </w:r>
      <w:r w:rsidRPr="00750022">
        <w:rPr>
          <w:rFonts w:ascii="Book Antiqua" w:hAnsi="Book Antiqua" w:cs="Book Antiqua"/>
          <w:color w:val="auto"/>
          <w:sz w:val="20"/>
          <w:szCs w:val="20"/>
        </w:rPr>
        <w:t xml:space="preserve"> across a </w:t>
      </w:r>
      <w:r>
        <w:rPr>
          <w:rFonts w:ascii="Book Antiqua" w:hAnsi="Book Antiqua" w:cs="Book Antiqua"/>
          <w:color w:val="auto"/>
          <w:sz w:val="20"/>
          <w:szCs w:val="20"/>
        </w:rPr>
        <w:t>range of issues, including on regional security</w:t>
      </w:r>
      <w:r w:rsidRPr="00750022">
        <w:rPr>
          <w:rFonts w:ascii="Book Antiqua" w:hAnsi="Book Antiqua" w:cs="Book Antiqua"/>
          <w:color w:val="auto"/>
          <w:sz w:val="20"/>
          <w:szCs w:val="20"/>
        </w:rPr>
        <w:t>, trade and inves</w:t>
      </w:r>
      <w:r>
        <w:rPr>
          <w:rFonts w:ascii="Book Antiqua" w:hAnsi="Book Antiqua" w:cs="Book Antiqua"/>
          <w:color w:val="auto"/>
          <w:sz w:val="20"/>
          <w:szCs w:val="20"/>
        </w:rPr>
        <w:t>tment, economic growth and development challenges</w:t>
      </w:r>
      <w:r w:rsidRPr="00750022">
        <w:rPr>
          <w:rFonts w:ascii="Book Antiqua" w:hAnsi="Book Antiqua" w:cs="Book Antiqua"/>
          <w:color w:val="auto"/>
          <w:sz w:val="20"/>
          <w:szCs w:val="20"/>
        </w:rPr>
        <w:t>.</w:t>
      </w:r>
      <w:r>
        <w:rPr>
          <w:rFonts w:ascii="Book Antiqua" w:hAnsi="Book Antiqua" w:cs="Book Antiqua"/>
          <w:color w:val="auto"/>
          <w:sz w:val="20"/>
          <w:szCs w:val="20"/>
        </w:rPr>
        <w:t xml:space="preserve"> </w:t>
      </w:r>
      <w:r w:rsidR="007D65BF">
        <w:rPr>
          <w:rFonts w:ascii="Book Antiqua" w:hAnsi="Book Antiqua" w:cs="Book Antiqua"/>
          <w:color w:val="auto"/>
          <w:sz w:val="20"/>
          <w:szCs w:val="20"/>
        </w:rPr>
        <w:t>Following</w:t>
      </w:r>
      <w:r w:rsidRPr="009A052D">
        <w:rPr>
          <w:rFonts w:ascii="Book Antiqua" w:hAnsi="Book Antiqua" w:cs="Book Antiqua"/>
          <w:color w:val="auto"/>
          <w:sz w:val="20"/>
          <w:szCs w:val="20"/>
        </w:rPr>
        <w:t xml:space="preserve"> the successful reciprocal Prime Ministerial visits in 2014, the department will continue to enhance Australia’s strategic and economic relationship with India, in</w:t>
      </w:r>
      <w:r w:rsidR="00931980">
        <w:rPr>
          <w:rFonts w:ascii="Book Antiqua" w:hAnsi="Book Antiqua" w:cs="Book Antiqua"/>
          <w:color w:val="auto"/>
          <w:sz w:val="20"/>
          <w:szCs w:val="20"/>
        </w:rPr>
        <w:t xml:space="preserve">cluding by working to conclude </w:t>
      </w:r>
      <w:r w:rsidRPr="009A052D">
        <w:rPr>
          <w:rFonts w:ascii="Book Antiqua" w:hAnsi="Book Antiqua" w:cs="Book Antiqua"/>
          <w:color w:val="auto"/>
          <w:sz w:val="20"/>
          <w:szCs w:val="20"/>
        </w:rPr>
        <w:t>the Comprehensive E</w:t>
      </w:r>
      <w:r>
        <w:rPr>
          <w:rFonts w:ascii="Book Antiqua" w:hAnsi="Book Antiqua" w:cs="Book Antiqua"/>
          <w:color w:val="auto"/>
          <w:sz w:val="20"/>
          <w:szCs w:val="20"/>
        </w:rPr>
        <w:t>conomic Cooperation Agreement</w:t>
      </w:r>
      <w:r w:rsidR="007D65BF">
        <w:rPr>
          <w:rFonts w:ascii="Book Antiqua" w:hAnsi="Book Antiqua" w:cs="Book Antiqua"/>
          <w:color w:val="auto"/>
          <w:sz w:val="20"/>
          <w:szCs w:val="20"/>
        </w:rPr>
        <w:t xml:space="preserve"> (CECA)</w:t>
      </w:r>
      <w:r>
        <w:rPr>
          <w:rFonts w:ascii="Book Antiqua" w:hAnsi="Book Antiqua" w:cs="Book Antiqua"/>
          <w:color w:val="auto"/>
          <w:sz w:val="20"/>
          <w:szCs w:val="20"/>
        </w:rPr>
        <w:t>.</w:t>
      </w:r>
      <w:r w:rsidRPr="009A052D">
        <w:rPr>
          <w:rFonts w:ascii="Book Antiqua" w:hAnsi="Book Antiqua" w:cs="Book Antiqua"/>
          <w:color w:val="auto"/>
          <w:sz w:val="20"/>
          <w:szCs w:val="20"/>
        </w:rPr>
        <w:t xml:space="preserve"> </w:t>
      </w:r>
    </w:p>
    <w:p w:rsidR="007D65BF" w:rsidRDefault="00C0006A" w:rsidP="00C0006A">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t>It is in Australia’s interest to have secure</w:t>
      </w:r>
      <w:r w:rsidR="007D65BF">
        <w:rPr>
          <w:rFonts w:ascii="Book Antiqua" w:hAnsi="Book Antiqua" w:cs="Book Antiqua"/>
          <w:color w:val="auto"/>
          <w:sz w:val="20"/>
          <w:szCs w:val="20"/>
        </w:rPr>
        <w:t>, stable</w:t>
      </w:r>
      <w:r>
        <w:rPr>
          <w:rFonts w:ascii="Book Antiqua" w:hAnsi="Book Antiqua" w:cs="Book Antiqua"/>
          <w:color w:val="auto"/>
          <w:sz w:val="20"/>
          <w:szCs w:val="20"/>
        </w:rPr>
        <w:t xml:space="preserve"> and prosperous neighbours, including in the Pacific. </w:t>
      </w:r>
      <w:r w:rsidRPr="009A052D">
        <w:rPr>
          <w:rFonts w:ascii="Book Antiqua" w:hAnsi="Book Antiqua" w:cs="Book Antiqua"/>
          <w:color w:val="auto"/>
          <w:sz w:val="20"/>
          <w:szCs w:val="20"/>
        </w:rPr>
        <w:t xml:space="preserve">The department will drive Australia’s comprehensive engagement with Papua New Guinea (PNG) to strengthen the bilateral strategic, economic and business partnership. </w:t>
      </w:r>
      <w:r w:rsidR="007D65BF">
        <w:rPr>
          <w:rFonts w:ascii="Book Antiqua" w:hAnsi="Book Antiqua" w:cs="Book Antiqua"/>
          <w:color w:val="auto"/>
          <w:sz w:val="20"/>
          <w:szCs w:val="20"/>
        </w:rPr>
        <w:t xml:space="preserve">The Pacific Leadership and Governance Precinct initiative to strengthen PNG public sector leadership will be a priority. </w:t>
      </w:r>
      <w:r w:rsidRPr="009A052D">
        <w:rPr>
          <w:rFonts w:ascii="Book Antiqua" w:hAnsi="Book Antiqua" w:cs="Book Antiqua"/>
          <w:color w:val="auto"/>
          <w:sz w:val="20"/>
          <w:szCs w:val="20"/>
        </w:rPr>
        <w:t xml:space="preserve">Australia will promote continued peace and development in PNG’s Bougainville.  </w:t>
      </w:r>
    </w:p>
    <w:p w:rsidR="007D65BF" w:rsidRDefault="007D65BF" w:rsidP="00C0006A">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t xml:space="preserve">Australia will continue to normalise bilateral relations with Fiji and strengthen relations with other Pacific island countries. As the drawdown of the Regional Assistance Mission to Solomon Islands (RAMSI) continues out to mid-2017, the </w:t>
      </w:r>
      <w:r>
        <w:rPr>
          <w:rFonts w:ascii="Book Antiqua" w:hAnsi="Book Antiqua" w:cs="Book Antiqua"/>
          <w:color w:val="auto"/>
          <w:sz w:val="20"/>
          <w:szCs w:val="20"/>
        </w:rPr>
        <w:lastRenderedPageBreak/>
        <w:t xml:space="preserve">department will work to enhance Australia’s engagement with </w:t>
      </w:r>
      <w:r w:rsidR="002F518C">
        <w:rPr>
          <w:rFonts w:ascii="Book Antiqua" w:hAnsi="Book Antiqua" w:cs="Book Antiqua"/>
          <w:color w:val="auto"/>
          <w:sz w:val="20"/>
          <w:szCs w:val="20"/>
        </w:rPr>
        <w:t xml:space="preserve">the </w:t>
      </w:r>
      <w:r>
        <w:rPr>
          <w:rFonts w:ascii="Book Antiqua" w:hAnsi="Book Antiqua" w:cs="Book Antiqua"/>
          <w:color w:val="auto"/>
          <w:sz w:val="20"/>
          <w:szCs w:val="20"/>
        </w:rPr>
        <w:t>Solomon Islands. Further deepening of Australia’s close relationship with New Zealand and our cooperation in the Pacific will be a priority.</w:t>
      </w:r>
    </w:p>
    <w:p w:rsidR="00C0006A" w:rsidRDefault="007D65BF" w:rsidP="00C0006A">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t>Australia will continue to strengthen partnerships bilaterally with the nations of Southeast Asia and regionally through the Association of Southeast Asian Nations (ASEAN</w:t>
      </w:r>
      <w:r w:rsidR="00D10146">
        <w:rPr>
          <w:rFonts w:ascii="Book Antiqua" w:hAnsi="Book Antiqua" w:cs="Book Antiqua"/>
          <w:color w:val="auto"/>
          <w:sz w:val="20"/>
          <w:szCs w:val="20"/>
        </w:rPr>
        <w:t>)</w:t>
      </w:r>
      <w:r>
        <w:rPr>
          <w:rFonts w:ascii="Book Antiqua" w:hAnsi="Book Antiqua" w:cs="Book Antiqua"/>
          <w:color w:val="auto"/>
          <w:sz w:val="20"/>
          <w:szCs w:val="20"/>
        </w:rPr>
        <w:t xml:space="preserve">. </w:t>
      </w:r>
      <w:r w:rsidR="00C52142">
        <w:rPr>
          <w:rFonts w:ascii="Book Antiqua" w:hAnsi="Book Antiqua" w:cs="Book Antiqua"/>
          <w:color w:val="auto"/>
          <w:sz w:val="20"/>
          <w:szCs w:val="20"/>
        </w:rPr>
        <w:t xml:space="preserve">The department will leverage new economic partnerships in the region through the aid program, including with Indonesia, </w:t>
      </w:r>
      <w:r w:rsidR="00CE487E">
        <w:rPr>
          <w:rFonts w:ascii="Book Antiqua" w:hAnsi="Book Antiqua" w:cs="Book Antiqua"/>
          <w:color w:val="auto"/>
          <w:sz w:val="20"/>
          <w:szCs w:val="20"/>
        </w:rPr>
        <w:t xml:space="preserve">the </w:t>
      </w:r>
      <w:r w:rsidR="00C52142">
        <w:rPr>
          <w:rFonts w:ascii="Book Antiqua" w:hAnsi="Book Antiqua" w:cs="Book Antiqua"/>
          <w:color w:val="auto"/>
          <w:sz w:val="20"/>
          <w:szCs w:val="20"/>
        </w:rPr>
        <w:t xml:space="preserve">Philippines and Vietnam. </w:t>
      </w:r>
      <w:r>
        <w:rPr>
          <w:rFonts w:ascii="Book Antiqua" w:hAnsi="Book Antiqua" w:cs="Book Antiqua"/>
          <w:color w:val="auto"/>
          <w:sz w:val="20"/>
          <w:szCs w:val="20"/>
        </w:rPr>
        <w:t>DFAT will continue efforts to strengthen the East Asia Summit (EAS) and build support for increased regional cooperation on maritime issues and countering violent extremism. The department will work closely with the Philippines, the 2015 Asia-Pacific Economic Cooperation (APEC) host, and Peru, the 2016 host, to support APEC in promoting economic growth and prosperity in the region.</w:t>
      </w:r>
    </w:p>
    <w:p w:rsidR="00C0006A" w:rsidRDefault="00C0006A" w:rsidP="00C0006A">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t xml:space="preserve">The New Colombo Plan is deepening Australia’s relationships in the </w:t>
      </w:r>
      <w:r w:rsidR="007D65BF">
        <w:rPr>
          <w:rFonts w:ascii="Book Antiqua" w:hAnsi="Book Antiqua" w:cs="Book Antiqua"/>
          <w:color w:val="auto"/>
          <w:sz w:val="20"/>
          <w:szCs w:val="20"/>
        </w:rPr>
        <w:t xml:space="preserve">Indo-Pacific </w:t>
      </w:r>
      <w:r>
        <w:rPr>
          <w:rFonts w:ascii="Book Antiqua" w:hAnsi="Book Antiqua" w:cs="Book Antiqua"/>
          <w:color w:val="auto"/>
          <w:sz w:val="20"/>
          <w:szCs w:val="20"/>
        </w:rPr>
        <w:t>by offering undergraduate students opportunities for scholarships and grants for study and internships/mentorships in the region. Operating in 38 locations, more than 4</w:t>
      </w:r>
      <w:r w:rsidR="00C54E04">
        <w:rPr>
          <w:rFonts w:ascii="Book Antiqua" w:hAnsi="Book Antiqua" w:cs="Book Antiqua"/>
          <w:color w:val="auto"/>
          <w:sz w:val="20"/>
          <w:szCs w:val="20"/>
        </w:rPr>
        <w:t>,</w:t>
      </w:r>
      <w:r>
        <w:rPr>
          <w:rFonts w:ascii="Book Antiqua" w:hAnsi="Book Antiqua" w:cs="Book Antiqua"/>
          <w:color w:val="auto"/>
          <w:sz w:val="20"/>
          <w:szCs w:val="20"/>
        </w:rPr>
        <w:t xml:space="preserve">800 grants will be offered in 2016 as the program expands to </w:t>
      </w:r>
      <w:r w:rsidR="007D65BF">
        <w:rPr>
          <w:rFonts w:ascii="Book Antiqua" w:hAnsi="Book Antiqua" w:cs="Book Antiqua"/>
          <w:color w:val="auto"/>
          <w:sz w:val="20"/>
          <w:szCs w:val="20"/>
        </w:rPr>
        <w:t xml:space="preserve">enable </w:t>
      </w:r>
      <w:r>
        <w:rPr>
          <w:rFonts w:ascii="Book Antiqua" w:hAnsi="Book Antiqua" w:cs="Book Antiqua"/>
          <w:color w:val="auto"/>
          <w:sz w:val="20"/>
          <w:szCs w:val="20"/>
        </w:rPr>
        <w:t>more students to live, study and work in the Indo-Pacific.</w:t>
      </w:r>
      <w:r w:rsidRPr="00C50672">
        <w:rPr>
          <w:rFonts w:ascii="Book Antiqua" w:hAnsi="Book Antiqua" w:cs="Book Antiqua"/>
          <w:color w:val="auto"/>
          <w:sz w:val="20"/>
          <w:szCs w:val="20"/>
        </w:rPr>
        <w:t xml:space="preserve"> </w:t>
      </w:r>
    </w:p>
    <w:p w:rsidR="00C0006A" w:rsidRPr="00C50672" w:rsidRDefault="00C0006A" w:rsidP="00C0006A">
      <w:pPr>
        <w:pStyle w:val="Default"/>
        <w:spacing w:after="240" w:line="280" w:lineRule="exact"/>
        <w:jc w:val="both"/>
        <w:rPr>
          <w:rFonts w:ascii="Book Antiqua" w:hAnsi="Book Antiqua" w:cs="Book Antiqua"/>
          <w:color w:val="auto"/>
          <w:sz w:val="20"/>
          <w:szCs w:val="20"/>
        </w:rPr>
      </w:pPr>
      <w:r w:rsidRPr="00234958">
        <w:rPr>
          <w:rFonts w:ascii="Book Antiqua" w:hAnsi="Book Antiqua" w:cs="Book Antiqua"/>
          <w:color w:val="auto"/>
          <w:sz w:val="20"/>
          <w:szCs w:val="20"/>
        </w:rPr>
        <w:t xml:space="preserve">The department will </w:t>
      </w:r>
      <w:r>
        <w:rPr>
          <w:rFonts w:ascii="Book Antiqua" w:hAnsi="Book Antiqua" w:cs="Book Antiqua"/>
          <w:color w:val="auto"/>
          <w:sz w:val="20"/>
          <w:szCs w:val="20"/>
        </w:rPr>
        <w:t xml:space="preserve">continue to support </w:t>
      </w:r>
      <w:r w:rsidRPr="00234958">
        <w:rPr>
          <w:rFonts w:ascii="Book Antiqua" w:hAnsi="Book Antiqua" w:cs="Book Antiqua"/>
          <w:color w:val="auto"/>
          <w:sz w:val="20"/>
          <w:szCs w:val="20"/>
        </w:rPr>
        <w:t>whole-of-government efforts to prevent people</w:t>
      </w:r>
      <w:r w:rsidRPr="00234958">
        <w:rPr>
          <w:rFonts w:ascii="Book Antiqua" w:hAnsi="Book Antiqua" w:cs="Book Antiqua"/>
          <w:color w:val="auto"/>
          <w:sz w:val="20"/>
          <w:szCs w:val="20"/>
        </w:rPr>
        <w:noBreakHyphen/>
        <w:t>smuggling</w:t>
      </w:r>
      <w:r>
        <w:rPr>
          <w:rFonts w:ascii="Book Antiqua" w:hAnsi="Book Antiqua" w:cs="Book Antiqua"/>
          <w:color w:val="auto"/>
          <w:sz w:val="20"/>
          <w:szCs w:val="20"/>
        </w:rPr>
        <w:t xml:space="preserve">, and </w:t>
      </w:r>
      <w:r w:rsidRPr="00C50672">
        <w:rPr>
          <w:rFonts w:ascii="Book Antiqua" w:hAnsi="Book Antiqua" w:cs="Book Antiqua"/>
          <w:color w:val="auto"/>
          <w:sz w:val="20"/>
          <w:szCs w:val="20"/>
        </w:rPr>
        <w:t xml:space="preserve">engage with key countries on </w:t>
      </w:r>
      <w:r>
        <w:rPr>
          <w:rFonts w:ascii="Book Antiqua" w:hAnsi="Book Antiqua" w:cs="Book Antiqua"/>
          <w:color w:val="auto"/>
          <w:sz w:val="20"/>
          <w:szCs w:val="20"/>
        </w:rPr>
        <w:t xml:space="preserve">related returns and resettlement </w:t>
      </w:r>
      <w:r w:rsidRPr="00C50672">
        <w:rPr>
          <w:rFonts w:ascii="Book Antiqua" w:hAnsi="Book Antiqua" w:cs="Book Antiqua"/>
          <w:color w:val="auto"/>
          <w:sz w:val="20"/>
          <w:szCs w:val="20"/>
        </w:rPr>
        <w:t>initiatives in support of Operation Sovereign Borders.</w:t>
      </w:r>
    </w:p>
    <w:p w:rsidR="00C0006A" w:rsidRDefault="00C0006A" w:rsidP="00C0006A">
      <w:pPr>
        <w:pStyle w:val="Default"/>
        <w:spacing w:after="240" w:line="280" w:lineRule="exact"/>
        <w:jc w:val="both"/>
        <w:rPr>
          <w:rFonts w:ascii="Book Antiqua" w:hAnsi="Book Antiqua" w:cs="Book Antiqua"/>
          <w:color w:val="auto"/>
          <w:sz w:val="20"/>
          <w:szCs w:val="20"/>
        </w:rPr>
      </w:pPr>
      <w:r w:rsidRPr="00C50672">
        <w:rPr>
          <w:rFonts w:ascii="Book Antiqua" w:hAnsi="Book Antiqua" w:cs="Book Antiqua"/>
          <w:color w:val="auto"/>
          <w:sz w:val="20"/>
          <w:szCs w:val="20"/>
        </w:rPr>
        <w:t xml:space="preserve">The department will support cooperation in the Indian Ocean region through the Indian Ocean Rim Association (IORA), which Australia </w:t>
      </w:r>
      <w:r w:rsidR="00E978B0">
        <w:rPr>
          <w:rFonts w:ascii="Book Antiqua" w:hAnsi="Book Antiqua" w:cs="Book Antiqua"/>
          <w:color w:val="auto"/>
          <w:sz w:val="20"/>
          <w:szCs w:val="20"/>
        </w:rPr>
        <w:t>chairs</w:t>
      </w:r>
      <w:r w:rsidRPr="00C50672">
        <w:rPr>
          <w:rFonts w:ascii="Book Antiqua" w:hAnsi="Book Antiqua" w:cs="Book Antiqua"/>
          <w:color w:val="auto"/>
          <w:sz w:val="20"/>
          <w:szCs w:val="20"/>
        </w:rPr>
        <w:t xml:space="preserve"> until</w:t>
      </w:r>
      <w:r>
        <w:rPr>
          <w:rFonts w:ascii="Book Antiqua" w:hAnsi="Book Antiqua" w:cs="Book Antiqua"/>
          <w:color w:val="auto"/>
          <w:sz w:val="20"/>
          <w:szCs w:val="20"/>
        </w:rPr>
        <w:t xml:space="preserve"> October</w:t>
      </w:r>
      <w:r w:rsidRPr="00C50672">
        <w:rPr>
          <w:rFonts w:ascii="Book Antiqua" w:hAnsi="Book Antiqua" w:cs="Book Antiqua"/>
          <w:color w:val="auto"/>
          <w:sz w:val="20"/>
          <w:szCs w:val="20"/>
        </w:rPr>
        <w:t xml:space="preserve"> 2015. </w:t>
      </w:r>
      <w:r w:rsidRPr="00730E9D">
        <w:rPr>
          <w:rFonts w:ascii="Book Antiqua" w:hAnsi="Book Antiqua" w:cs="Book Antiqua"/>
          <w:color w:val="auto"/>
          <w:sz w:val="20"/>
          <w:szCs w:val="20"/>
        </w:rPr>
        <w:t>As part of the MIKTA grouping (Mexico, Indonesia, Korea, Turkey and Australia)</w:t>
      </w:r>
      <w:r w:rsidR="00E978B0">
        <w:rPr>
          <w:rFonts w:ascii="Book Antiqua" w:hAnsi="Book Antiqua" w:cs="Book Antiqua"/>
          <w:color w:val="auto"/>
          <w:sz w:val="20"/>
          <w:szCs w:val="20"/>
        </w:rPr>
        <w:t>,</w:t>
      </w:r>
      <w:r w:rsidRPr="00730E9D">
        <w:rPr>
          <w:rFonts w:ascii="Book Antiqua" w:hAnsi="Book Antiqua" w:cs="Book Antiqua"/>
          <w:color w:val="auto"/>
          <w:sz w:val="20"/>
          <w:szCs w:val="20"/>
        </w:rPr>
        <w:t xml:space="preserve"> Australia will discuss global issues of common interest, and strategies to enhance </w:t>
      </w:r>
      <w:r>
        <w:rPr>
          <w:rFonts w:ascii="Book Antiqua" w:hAnsi="Book Antiqua" w:cs="Book Antiqua"/>
          <w:color w:val="auto"/>
          <w:sz w:val="20"/>
          <w:szCs w:val="20"/>
        </w:rPr>
        <w:t xml:space="preserve">bilateral and plurilateral ties. </w:t>
      </w:r>
    </w:p>
    <w:p w:rsidR="00EB3BE5" w:rsidRDefault="00E978B0" w:rsidP="00C0006A">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t>The department will work to strengthen Australia’s political and economic relations with Europe, includ</w:t>
      </w:r>
      <w:r w:rsidR="00A54D7E">
        <w:rPr>
          <w:rFonts w:ascii="Book Antiqua" w:hAnsi="Book Antiqua" w:cs="Book Antiqua"/>
          <w:color w:val="auto"/>
          <w:sz w:val="20"/>
          <w:szCs w:val="20"/>
        </w:rPr>
        <w:t>ing</w:t>
      </w:r>
      <w:r>
        <w:rPr>
          <w:rFonts w:ascii="Book Antiqua" w:hAnsi="Book Antiqua" w:cs="Book Antiqua"/>
          <w:color w:val="auto"/>
          <w:sz w:val="20"/>
          <w:szCs w:val="20"/>
        </w:rPr>
        <w:t xml:space="preserve"> by sustaining momentum in Australia-UK Ministerial (AUKMIN) meetings and the strategic partnerships with France and Germany.</w:t>
      </w:r>
      <w:r w:rsidR="00EB3BE5">
        <w:rPr>
          <w:rFonts w:ascii="Book Antiqua" w:hAnsi="Book Antiqua" w:cs="Book Antiqua"/>
          <w:color w:val="auto"/>
          <w:sz w:val="20"/>
          <w:szCs w:val="20"/>
        </w:rPr>
        <w:t xml:space="preserve">  Following the conclusion of negotiations for a Framework Agreement with the European Union, the department will further enhance relations, including exploration of a possible </w:t>
      </w:r>
      <w:r w:rsidR="00C54E04">
        <w:rPr>
          <w:rFonts w:ascii="Book Antiqua" w:hAnsi="Book Antiqua" w:cs="Book Antiqua"/>
          <w:color w:val="auto"/>
          <w:sz w:val="20"/>
          <w:szCs w:val="20"/>
        </w:rPr>
        <w:t>f</w:t>
      </w:r>
      <w:r w:rsidR="00EB3BE5">
        <w:rPr>
          <w:rFonts w:ascii="Book Antiqua" w:hAnsi="Book Antiqua" w:cs="Book Antiqua"/>
          <w:color w:val="auto"/>
          <w:sz w:val="20"/>
          <w:szCs w:val="20"/>
        </w:rPr>
        <w:t xml:space="preserve">ree </w:t>
      </w:r>
      <w:r w:rsidR="00C54E04">
        <w:rPr>
          <w:rFonts w:ascii="Book Antiqua" w:hAnsi="Book Antiqua" w:cs="Book Antiqua"/>
          <w:color w:val="auto"/>
          <w:sz w:val="20"/>
          <w:szCs w:val="20"/>
        </w:rPr>
        <w:t>t</w:t>
      </w:r>
      <w:r w:rsidR="00EB3BE5">
        <w:rPr>
          <w:rFonts w:ascii="Book Antiqua" w:hAnsi="Book Antiqua" w:cs="Book Antiqua"/>
          <w:color w:val="auto"/>
          <w:sz w:val="20"/>
          <w:szCs w:val="20"/>
        </w:rPr>
        <w:t xml:space="preserve">rade </w:t>
      </w:r>
      <w:r w:rsidR="00C54E04">
        <w:rPr>
          <w:rFonts w:ascii="Book Antiqua" w:hAnsi="Book Antiqua" w:cs="Book Antiqua"/>
          <w:color w:val="auto"/>
          <w:sz w:val="20"/>
          <w:szCs w:val="20"/>
        </w:rPr>
        <w:t>a</w:t>
      </w:r>
      <w:r w:rsidR="00EB3BE5">
        <w:rPr>
          <w:rFonts w:ascii="Book Antiqua" w:hAnsi="Book Antiqua" w:cs="Book Antiqua"/>
          <w:color w:val="auto"/>
          <w:sz w:val="20"/>
          <w:szCs w:val="20"/>
        </w:rPr>
        <w:t>greement</w:t>
      </w:r>
      <w:r w:rsidR="006F0184">
        <w:rPr>
          <w:rFonts w:ascii="Book Antiqua" w:hAnsi="Book Antiqua" w:cs="Book Antiqua"/>
          <w:color w:val="auto"/>
          <w:sz w:val="20"/>
          <w:szCs w:val="20"/>
        </w:rPr>
        <w:t xml:space="preserve"> (FTA)</w:t>
      </w:r>
      <w:r w:rsidR="00EB3BE5">
        <w:rPr>
          <w:rFonts w:ascii="Book Antiqua" w:hAnsi="Book Antiqua" w:cs="Book Antiqua"/>
          <w:color w:val="auto"/>
          <w:sz w:val="20"/>
          <w:szCs w:val="20"/>
        </w:rPr>
        <w:t>.  The department will facilitate continued cooperation with Ukraine, including on the international investigations on the downing of Malaysia Airlines Flight MH17.</w:t>
      </w:r>
    </w:p>
    <w:p w:rsidR="00EB3BE5" w:rsidRDefault="00EB3BE5" w:rsidP="00C0006A">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t>The department will also continue to drive Australia’s growing economic, strategic and security interests in South Asia, the Americas, the Middle East and Africa, including by identifying further opportunities for trade and investment.</w:t>
      </w:r>
    </w:p>
    <w:p w:rsidR="00EB3BE5" w:rsidRDefault="00EB3BE5" w:rsidP="00C0006A">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lastRenderedPageBreak/>
        <w:t xml:space="preserve">Through the measure </w:t>
      </w:r>
      <w:r w:rsidR="00C248D7">
        <w:rPr>
          <w:rFonts w:ascii="Book Antiqua" w:hAnsi="Book Antiqua" w:cs="Book Antiqua"/>
          <w:i/>
          <w:color w:val="auto"/>
          <w:sz w:val="20"/>
          <w:szCs w:val="20"/>
        </w:rPr>
        <w:t>Australia’s embassy in Baghdad</w:t>
      </w:r>
      <w:r>
        <w:rPr>
          <w:rFonts w:ascii="Book Antiqua" w:hAnsi="Book Antiqua" w:cs="Book Antiqua"/>
          <w:i/>
          <w:color w:val="auto"/>
          <w:sz w:val="20"/>
          <w:szCs w:val="20"/>
        </w:rPr>
        <w:t xml:space="preserve"> – continuation, </w:t>
      </w:r>
      <w:r>
        <w:rPr>
          <w:rFonts w:ascii="Book Antiqua" w:hAnsi="Book Antiqua" w:cs="Book Antiqua"/>
          <w:color w:val="auto"/>
          <w:sz w:val="20"/>
          <w:szCs w:val="20"/>
        </w:rPr>
        <w:t>the department will maintain Australia’s diplomatic presence in Iraq to pursue bilateral engagement and support Australia’s participation in the international coalition to assist Iraq to combat the terroris</w:t>
      </w:r>
      <w:r w:rsidR="00931980">
        <w:rPr>
          <w:rFonts w:ascii="Book Antiqua" w:hAnsi="Book Antiqua" w:cs="Book Antiqua"/>
          <w:color w:val="auto"/>
          <w:sz w:val="20"/>
          <w:szCs w:val="20"/>
        </w:rPr>
        <w:t>t</w:t>
      </w:r>
      <w:r>
        <w:rPr>
          <w:rFonts w:ascii="Book Antiqua" w:hAnsi="Book Antiqua" w:cs="Book Antiqua"/>
          <w:color w:val="auto"/>
          <w:sz w:val="20"/>
          <w:szCs w:val="20"/>
        </w:rPr>
        <w:t xml:space="preserve"> group, Daesh.  The department will also support Australian Government efforts to stop Australians </w:t>
      </w:r>
      <w:r w:rsidR="00322705">
        <w:rPr>
          <w:rFonts w:ascii="Book Antiqua" w:hAnsi="Book Antiqua" w:cs="Book Antiqua"/>
          <w:color w:val="auto"/>
          <w:sz w:val="20"/>
          <w:szCs w:val="20"/>
        </w:rPr>
        <w:t>joining terrorist networks and travelling overseas to become foreign fighters.</w:t>
      </w:r>
    </w:p>
    <w:p w:rsidR="00322705" w:rsidRDefault="00322705" w:rsidP="00C0006A">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t>Through the measure A</w:t>
      </w:r>
      <w:r>
        <w:rPr>
          <w:rFonts w:ascii="Book Antiqua" w:hAnsi="Book Antiqua" w:cs="Book Antiqua"/>
          <w:i/>
          <w:color w:val="auto"/>
          <w:sz w:val="20"/>
          <w:szCs w:val="20"/>
        </w:rPr>
        <w:t xml:space="preserve">ustralia’s diplomatic engagement in Afghanistan – continuation, </w:t>
      </w:r>
      <w:r>
        <w:rPr>
          <w:rFonts w:ascii="Book Antiqua" w:hAnsi="Book Antiqua" w:cs="Book Antiqua"/>
          <w:color w:val="auto"/>
          <w:sz w:val="20"/>
          <w:szCs w:val="20"/>
        </w:rPr>
        <w:t>the department will support Australia’s continuing engagement with Afghanistan, including as part of the NATO-led ‘Resolute Support’ mission.</w:t>
      </w:r>
    </w:p>
    <w:p w:rsidR="00322705" w:rsidRDefault="00322705" w:rsidP="00C0006A">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t>Australia depends on open and transparent international markets for jobs and economic growth.  DFAT is leading the economic diplomacy agenda which is drive</w:t>
      </w:r>
      <w:r w:rsidR="00D10146">
        <w:rPr>
          <w:rFonts w:ascii="Book Antiqua" w:hAnsi="Book Antiqua" w:cs="Book Antiqua"/>
          <w:color w:val="auto"/>
          <w:sz w:val="20"/>
          <w:szCs w:val="20"/>
        </w:rPr>
        <w:t>n</w:t>
      </w:r>
      <w:r>
        <w:rPr>
          <w:rFonts w:ascii="Book Antiqua" w:hAnsi="Book Antiqua" w:cs="Book Antiqua"/>
          <w:color w:val="auto"/>
          <w:sz w:val="20"/>
          <w:szCs w:val="20"/>
        </w:rPr>
        <w:t xml:space="preserve"> by the core objectives of trade, growth, investment and business.  It applies across the department’s work, drawing together foreign, trade, investment, tourism and development policies and leveraging our international networks and diplomatic assets.</w:t>
      </w:r>
    </w:p>
    <w:p w:rsidR="00322705" w:rsidRDefault="00CC37EF" w:rsidP="00C0006A">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t xml:space="preserve">The department will continue to support the implementation of recently concluded </w:t>
      </w:r>
      <w:r w:rsidR="006F0184">
        <w:rPr>
          <w:rFonts w:ascii="Book Antiqua" w:hAnsi="Book Antiqua" w:cs="Book Antiqua"/>
          <w:color w:val="auto"/>
          <w:sz w:val="20"/>
          <w:szCs w:val="20"/>
        </w:rPr>
        <w:t>FTAs</w:t>
      </w:r>
      <w:r>
        <w:rPr>
          <w:rFonts w:ascii="Book Antiqua" w:hAnsi="Book Antiqua" w:cs="Book Antiqua"/>
          <w:color w:val="auto"/>
          <w:sz w:val="20"/>
          <w:szCs w:val="20"/>
        </w:rPr>
        <w:t xml:space="preserve"> with the Republic of Korea, Japan and China. </w:t>
      </w:r>
      <w:r w:rsidR="00322705">
        <w:rPr>
          <w:rFonts w:ascii="Book Antiqua" w:hAnsi="Book Antiqua" w:cs="Book Antiqua"/>
          <w:color w:val="auto"/>
          <w:sz w:val="20"/>
          <w:szCs w:val="20"/>
        </w:rPr>
        <w:t xml:space="preserve">Through the measure </w:t>
      </w:r>
      <w:r w:rsidR="00322705">
        <w:rPr>
          <w:rFonts w:ascii="Book Antiqua" w:hAnsi="Book Antiqua" w:cs="Book Antiqua"/>
          <w:i/>
          <w:color w:val="auto"/>
          <w:sz w:val="20"/>
          <w:szCs w:val="20"/>
        </w:rPr>
        <w:t>Free Trade Agreement Promotion</w:t>
      </w:r>
      <w:r w:rsidR="00322705">
        <w:rPr>
          <w:rFonts w:ascii="Book Antiqua" w:hAnsi="Book Antiqua" w:cs="Book Antiqua"/>
          <w:color w:val="auto"/>
          <w:sz w:val="20"/>
          <w:szCs w:val="20"/>
        </w:rPr>
        <w:t>, the department and Austrade will communicate the practical commercial opportunities and other benefits of these FTAs to Australian businesses.  The department will continue to leverage the benefits of existing FTAs with countries in South-East Asia, New Zealand, the United States and Chile.</w:t>
      </w:r>
    </w:p>
    <w:p w:rsidR="00322705" w:rsidRDefault="00322705" w:rsidP="00C0006A">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t xml:space="preserve">The department will work towards the timely conclusion of the CECA with India, and to progress </w:t>
      </w:r>
      <w:r w:rsidR="00AE0719">
        <w:rPr>
          <w:rFonts w:ascii="Book Antiqua" w:hAnsi="Book Antiqua" w:cs="Book Antiqua"/>
          <w:color w:val="auto"/>
          <w:sz w:val="20"/>
          <w:szCs w:val="20"/>
        </w:rPr>
        <w:t>closer economic relations</w:t>
      </w:r>
      <w:r>
        <w:rPr>
          <w:rFonts w:ascii="Book Antiqua" w:hAnsi="Book Antiqua" w:cs="Book Antiqua"/>
          <w:color w:val="auto"/>
          <w:sz w:val="20"/>
          <w:szCs w:val="20"/>
        </w:rPr>
        <w:t xml:space="preserve"> with Indonesia.  It will also work to conclude the Trans Pacific Partnership (involving twelve Pacific-rim members), and to progress negotiations with the Gulf Cooperation Council, the Regional Comprehensive Economic Partnership (involving ASEAN, China, India, Japan, </w:t>
      </w:r>
      <w:r w:rsidR="00CE487E">
        <w:rPr>
          <w:rFonts w:ascii="Book Antiqua" w:hAnsi="Book Antiqua" w:cs="Book Antiqua"/>
          <w:color w:val="auto"/>
          <w:sz w:val="20"/>
          <w:szCs w:val="20"/>
        </w:rPr>
        <w:t xml:space="preserve">the Republic of </w:t>
      </w:r>
      <w:r>
        <w:rPr>
          <w:rFonts w:ascii="Book Antiqua" w:hAnsi="Book Antiqua" w:cs="Book Antiqua"/>
          <w:color w:val="auto"/>
          <w:sz w:val="20"/>
          <w:szCs w:val="20"/>
        </w:rPr>
        <w:t>Korea and New Zealand), and the Pacific island countries and New Zealand through the Pacific Agreement on Closer Economic Relations – PACER Plus.  The department will also explore opportunities for new FTAs.</w:t>
      </w:r>
    </w:p>
    <w:p w:rsidR="00CC37EF" w:rsidRDefault="00322705" w:rsidP="00C0006A">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t>Australia is committed to the pursuit of global trade reform.  The department will work to progress negotiations in the Doha Round, including through participation at the Tenth World Trade Organisation (WTO) Ministerial Conference (MC10) in December 2015.  DFAT will support a stronger, more competitive Australian agriculture and agribusiness sector by pushing for agricultural trade reform in the WTO, including through the Cairns Group and seek to unlock new opportunities for exports of manufactures, services, and mineral and energy products.</w:t>
      </w:r>
      <w:r w:rsidR="00D10146">
        <w:rPr>
          <w:rFonts w:ascii="Book Antiqua" w:hAnsi="Book Antiqua" w:cs="Book Antiqua"/>
          <w:color w:val="auto"/>
          <w:sz w:val="20"/>
          <w:szCs w:val="20"/>
        </w:rPr>
        <w:t xml:space="preserve"> </w:t>
      </w:r>
      <w:r w:rsidR="00CC37EF">
        <w:rPr>
          <w:rFonts w:ascii="Book Antiqua" w:hAnsi="Book Antiqua" w:cs="Book Antiqua"/>
          <w:color w:val="auto"/>
          <w:sz w:val="20"/>
          <w:szCs w:val="20"/>
        </w:rPr>
        <w:t xml:space="preserve">Australia will also provide leadership in major plurilateral negotiations, including the Trade in Services Agreement that Australia co-chairs, which will further liberalise global services trade and the Environmental Goods Agreement, which Australia also chairs. </w:t>
      </w:r>
    </w:p>
    <w:p w:rsidR="00C0006A" w:rsidRPr="002008BE" w:rsidRDefault="00322705" w:rsidP="00C0006A">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lastRenderedPageBreak/>
        <w:t xml:space="preserve">DFAT will continue to implement the </w:t>
      </w:r>
      <w:r w:rsidR="00D10146">
        <w:rPr>
          <w:rFonts w:ascii="Book Antiqua" w:hAnsi="Book Antiqua" w:cs="Book Antiqua"/>
          <w:color w:val="auto"/>
          <w:sz w:val="20"/>
          <w:szCs w:val="20"/>
        </w:rPr>
        <w:t>G</w:t>
      </w:r>
      <w:r w:rsidR="00C0006A" w:rsidRPr="002008BE">
        <w:rPr>
          <w:rFonts w:ascii="Book Antiqua" w:hAnsi="Book Antiqua" w:cs="Book Antiqua"/>
          <w:color w:val="auto"/>
          <w:sz w:val="20"/>
          <w:szCs w:val="20"/>
        </w:rPr>
        <w:t xml:space="preserve">overnment’s development policy </w:t>
      </w:r>
      <w:r w:rsidR="00C0006A" w:rsidRPr="00D10146">
        <w:rPr>
          <w:rFonts w:ascii="Book Antiqua" w:hAnsi="Book Antiqua" w:cs="Book Antiqua"/>
          <w:i/>
          <w:color w:val="auto"/>
          <w:sz w:val="20"/>
          <w:szCs w:val="20"/>
        </w:rPr>
        <w:t>Australian aid: promoting prosperity, reducing poverty, enhancing stability</w:t>
      </w:r>
      <w:r w:rsidR="005F5296">
        <w:rPr>
          <w:rFonts w:ascii="Book Antiqua" w:hAnsi="Book Antiqua" w:cs="Book Antiqua"/>
          <w:color w:val="auto"/>
          <w:sz w:val="20"/>
          <w:szCs w:val="20"/>
        </w:rPr>
        <w:t xml:space="preserve">.  The aid program’s </w:t>
      </w:r>
      <w:r w:rsidR="00C0006A" w:rsidRPr="002008BE">
        <w:rPr>
          <w:rFonts w:ascii="Book Antiqua" w:hAnsi="Book Antiqua" w:cs="Book Antiqua"/>
          <w:color w:val="auto"/>
          <w:sz w:val="20"/>
          <w:szCs w:val="20"/>
        </w:rPr>
        <w:t xml:space="preserve">purpose is to promote Australia’s national interests by contributing to sustainable economic growth and poverty reduction. </w:t>
      </w:r>
      <w:r w:rsidR="005F5296">
        <w:rPr>
          <w:rFonts w:ascii="Book Antiqua" w:hAnsi="Book Antiqua" w:cs="Book Antiqua"/>
          <w:color w:val="auto"/>
          <w:sz w:val="20"/>
          <w:szCs w:val="20"/>
        </w:rPr>
        <w:t xml:space="preserve">The program is focused on </w:t>
      </w:r>
      <w:r w:rsidR="00C0006A" w:rsidRPr="002008BE">
        <w:rPr>
          <w:rFonts w:ascii="Book Antiqua" w:hAnsi="Book Antiqua" w:cs="Book Antiqua"/>
          <w:color w:val="auto"/>
          <w:sz w:val="20"/>
          <w:szCs w:val="20"/>
        </w:rPr>
        <w:t>supporting private sector development and strengthening human development.</w:t>
      </w:r>
    </w:p>
    <w:p w:rsidR="005F5296" w:rsidRDefault="005F5296" w:rsidP="00C0006A">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t xml:space="preserve">The department will work to make Australian aid </w:t>
      </w:r>
      <w:r w:rsidR="00C0006A" w:rsidRPr="002008BE">
        <w:rPr>
          <w:rFonts w:ascii="Book Antiqua" w:hAnsi="Book Antiqua" w:cs="Book Antiqua"/>
          <w:color w:val="auto"/>
          <w:sz w:val="20"/>
          <w:szCs w:val="20"/>
        </w:rPr>
        <w:t xml:space="preserve">more innovative and catalytic, </w:t>
      </w:r>
      <w:r>
        <w:rPr>
          <w:rFonts w:ascii="Book Antiqua" w:hAnsi="Book Antiqua" w:cs="Book Antiqua"/>
          <w:color w:val="auto"/>
          <w:sz w:val="20"/>
          <w:szCs w:val="20"/>
        </w:rPr>
        <w:t xml:space="preserve">by </w:t>
      </w:r>
      <w:r w:rsidR="00C0006A" w:rsidRPr="002008BE">
        <w:rPr>
          <w:rFonts w:ascii="Book Antiqua" w:hAnsi="Book Antiqua" w:cs="Book Antiqua"/>
          <w:color w:val="auto"/>
          <w:sz w:val="20"/>
          <w:szCs w:val="20"/>
        </w:rPr>
        <w:t xml:space="preserve">leveraging other drivers for development such as private sector investment and domestic finance. </w:t>
      </w:r>
      <w:r>
        <w:rPr>
          <w:rFonts w:ascii="Book Antiqua" w:hAnsi="Book Antiqua" w:cs="Book Antiqua"/>
          <w:color w:val="auto"/>
          <w:sz w:val="20"/>
          <w:szCs w:val="20"/>
        </w:rPr>
        <w:t xml:space="preserve">A new development hub, the </w:t>
      </w:r>
      <w:r w:rsidR="00D10146">
        <w:rPr>
          <w:rFonts w:ascii="Book Antiqua" w:hAnsi="Book Antiqua" w:cs="Book Antiqua"/>
          <w:i/>
          <w:color w:val="auto"/>
          <w:sz w:val="20"/>
          <w:szCs w:val="20"/>
        </w:rPr>
        <w:t>innovation</w:t>
      </w:r>
      <w:r>
        <w:rPr>
          <w:rFonts w:ascii="Book Antiqua" w:hAnsi="Book Antiqua" w:cs="Book Antiqua"/>
          <w:i/>
          <w:color w:val="auto"/>
          <w:sz w:val="20"/>
          <w:szCs w:val="20"/>
        </w:rPr>
        <w:t xml:space="preserve">Xchange, </w:t>
      </w:r>
      <w:r>
        <w:rPr>
          <w:rFonts w:ascii="Book Antiqua" w:hAnsi="Book Antiqua" w:cs="Book Antiqua"/>
          <w:color w:val="auto"/>
          <w:sz w:val="20"/>
          <w:szCs w:val="20"/>
        </w:rPr>
        <w:t>based in DFAT, is engaging creative thinkers from inside and outside the public sector, from Australia and overseas, to look at new ways to deliver aid.</w:t>
      </w:r>
    </w:p>
    <w:p w:rsidR="00C0006A" w:rsidRPr="002008BE" w:rsidRDefault="005F5296" w:rsidP="00C0006A">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t>Australia will continue to support its developing country partners, but will adopt an approach that acknowledges the different development trajectories of the Pacific and growing Asia.  Australia will maintain a leadership role through our aid program to the Pacific and respond to the needs identified in each country.  In most of Asia, where economic growth and poverty reduction have continued apace, Australian aid will be targeted primarily toward leveraging domestic capacity and resources.</w:t>
      </w:r>
    </w:p>
    <w:p w:rsidR="00C0006A" w:rsidRPr="002008BE" w:rsidRDefault="006F3D4B" w:rsidP="00C0006A">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t>Gender equality and women</w:t>
      </w:r>
      <w:r w:rsidR="00C0006A" w:rsidRPr="002008BE">
        <w:rPr>
          <w:rFonts w:ascii="Book Antiqua" w:hAnsi="Book Antiqua" w:cs="Book Antiqua"/>
          <w:color w:val="auto"/>
          <w:sz w:val="20"/>
          <w:szCs w:val="20"/>
        </w:rPr>
        <w:t xml:space="preserve"> and girls' empowerment will be addressed across the aid program. Expenditure on a</w:t>
      </w:r>
      <w:r w:rsidR="00C0006A">
        <w:rPr>
          <w:rFonts w:ascii="Book Antiqua" w:hAnsi="Book Antiqua" w:cs="Book Antiqua"/>
          <w:color w:val="auto"/>
          <w:sz w:val="20"/>
          <w:szCs w:val="20"/>
        </w:rPr>
        <w:t>id</w:t>
      </w:r>
      <w:r w:rsidR="00C0006A" w:rsidRPr="002008BE">
        <w:rPr>
          <w:rFonts w:ascii="Book Antiqua" w:hAnsi="Book Antiqua" w:cs="Book Antiqua"/>
          <w:color w:val="auto"/>
          <w:sz w:val="20"/>
          <w:szCs w:val="20"/>
        </w:rPr>
        <w:t xml:space="preserve"> for trade will be increased to 20 per cent of official development assistance (ODA) by 2020 and will include investments in economic infrastructure, agriculture, fisheries and other productive capacity. </w:t>
      </w:r>
    </w:p>
    <w:p w:rsidR="00C0006A" w:rsidRDefault="00C0006A" w:rsidP="00C0006A">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t>The department will continue to support countries that have been affected by natural disasters, including Vanuatu in the wake of Cyclone Pam</w:t>
      </w:r>
      <w:r w:rsidR="00334C0C">
        <w:rPr>
          <w:rFonts w:ascii="Book Antiqua" w:hAnsi="Book Antiqua" w:cs="Book Antiqua"/>
          <w:color w:val="auto"/>
          <w:sz w:val="20"/>
          <w:szCs w:val="20"/>
        </w:rPr>
        <w:t xml:space="preserve"> and Nepal after the earthquake</w:t>
      </w:r>
      <w:r>
        <w:rPr>
          <w:rFonts w:ascii="Book Antiqua" w:hAnsi="Book Antiqua" w:cs="Book Antiqua"/>
          <w:color w:val="auto"/>
          <w:sz w:val="20"/>
          <w:szCs w:val="20"/>
        </w:rPr>
        <w:t>. We will also work to reduce risks from, prepare for and respond to crises, particularly within the Indo-Pacific region.</w:t>
      </w:r>
    </w:p>
    <w:p w:rsidR="00C0006A" w:rsidRDefault="00334C0C" w:rsidP="00334C0C">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t xml:space="preserve">The department will apply the new aid program performance framework, </w:t>
      </w:r>
      <w:r>
        <w:rPr>
          <w:rFonts w:ascii="Book Antiqua" w:hAnsi="Book Antiqua" w:cs="Book Antiqua"/>
          <w:i/>
          <w:color w:val="auto"/>
          <w:sz w:val="20"/>
          <w:szCs w:val="20"/>
        </w:rPr>
        <w:t xml:space="preserve">Making Performance Count, </w:t>
      </w:r>
      <w:r>
        <w:rPr>
          <w:rFonts w:ascii="Book Antiqua" w:hAnsi="Book Antiqua" w:cs="Book Antiqua"/>
          <w:color w:val="auto"/>
          <w:sz w:val="20"/>
          <w:szCs w:val="20"/>
        </w:rPr>
        <w:t>to strengthen the link between funding and performance at all levels of the program and ensure a stronger focus on results and value</w:t>
      </w:r>
      <w:r w:rsidR="00D10146">
        <w:rPr>
          <w:rFonts w:ascii="Book Antiqua" w:hAnsi="Book Antiqua" w:cs="Book Antiqua"/>
          <w:color w:val="auto"/>
          <w:sz w:val="20"/>
          <w:szCs w:val="20"/>
        </w:rPr>
        <w:t xml:space="preserve"> for money</w:t>
      </w:r>
      <w:r>
        <w:rPr>
          <w:rFonts w:ascii="Book Antiqua" w:hAnsi="Book Antiqua" w:cs="Book Antiqua"/>
          <w:color w:val="auto"/>
          <w:sz w:val="20"/>
          <w:szCs w:val="20"/>
        </w:rPr>
        <w:t>.</w:t>
      </w:r>
      <w:r w:rsidR="00C0006A" w:rsidRPr="00B80FB0">
        <w:rPr>
          <w:rFonts w:ascii="Book Antiqua" w:hAnsi="Book Antiqua" w:cs="Book Antiqua"/>
          <w:color w:val="auto"/>
          <w:sz w:val="20"/>
          <w:szCs w:val="20"/>
        </w:rPr>
        <w:t xml:space="preserve"> </w:t>
      </w:r>
    </w:p>
    <w:p w:rsidR="00C0006A" w:rsidRDefault="00C0006A" w:rsidP="00C0006A">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t xml:space="preserve">Australia has finished its term on the United Nations Security Council but </w:t>
      </w:r>
      <w:r w:rsidR="00334C0C">
        <w:rPr>
          <w:rFonts w:ascii="Book Antiqua" w:hAnsi="Book Antiqua" w:cs="Book Antiqua"/>
          <w:color w:val="auto"/>
          <w:sz w:val="20"/>
          <w:szCs w:val="20"/>
        </w:rPr>
        <w:t xml:space="preserve">the department </w:t>
      </w:r>
      <w:r>
        <w:rPr>
          <w:rFonts w:ascii="Book Antiqua" w:hAnsi="Book Antiqua" w:cs="Book Antiqua"/>
          <w:color w:val="auto"/>
          <w:sz w:val="20"/>
          <w:szCs w:val="20"/>
        </w:rPr>
        <w:t>will remain actively involved in the United Nations system to pursue Australia’s interests</w:t>
      </w:r>
      <w:r w:rsidR="00334C0C">
        <w:rPr>
          <w:rFonts w:ascii="Book Antiqua" w:hAnsi="Book Antiqua" w:cs="Book Antiqua"/>
          <w:color w:val="auto"/>
          <w:sz w:val="20"/>
          <w:szCs w:val="20"/>
        </w:rPr>
        <w:t xml:space="preserve">. </w:t>
      </w:r>
      <w:r w:rsidR="00D10146">
        <w:rPr>
          <w:rFonts w:ascii="Book Antiqua" w:hAnsi="Book Antiqua" w:cs="Book Antiqua"/>
          <w:color w:val="auto"/>
          <w:sz w:val="20"/>
          <w:szCs w:val="20"/>
        </w:rPr>
        <w:t>DFAT</w:t>
      </w:r>
      <w:r w:rsidR="00334C0C">
        <w:rPr>
          <w:rFonts w:ascii="Book Antiqua" w:hAnsi="Book Antiqua" w:cs="Book Antiqua"/>
          <w:color w:val="auto"/>
          <w:sz w:val="20"/>
          <w:szCs w:val="20"/>
        </w:rPr>
        <w:t xml:space="preserve"> will work for Australia’s election to the Human Rights Council for </w:t>
      </w:r>
      <w:r w:rsidR="00D10146">
        <w:rPr>
          <w:rFonts w:ascii="Book Antiqua" w:hAnsi="Book Antiqua" w:cs="Book Antiqua"/>
          <w:color w:val="auto"/>
          <w:sz w:val="20"/>
          <w:szCs w:val="20"/>
        </w:rPr>
        <w:t xml:space="preserve">the </w:t>
      </w:r>
      <w:r>
        <w:rPr>
          <w:rFonts w:ascii="Book Antiqua" w:hAnsi="Book Antiqua" w:cs="Book Antiqua"/>
          <w:color w:val="auto"/>
          <w:sz w:val="20"/>
          <w:szCs w:val="20"/>
        </w:rPr>
        <w:t xml:space="preserve">2018-20 term. </w:t>
      </w:r>
      <w:r w:rsidR="00334C0C">
        <w:rPr>
          <w:rFonts w:ascii="Book Antiqua" w:hAnsi="Book Antiqua" w:cs="Book Antiqua"/>
          <w:color w:val="auto"/>
          <w:sz w:val="20"/>
          <w:szCs w:val="20"/>
        </w:rPr>
        <w:t>As well as promoting Australia’s interests in advancing g</w:t>
      </w:r>
      <w:r w:rsidRPr="00D7070B">
        <w:rPr>
          <w:rFonts w:ascii="Book Antiqua" w:hAnsi="Book Antiqua" w:cs="Book Antiqua"/>
          <w:color w:val="auto"/>
          <w:sz w:val="20"/>
          <w:szCs w:val="20"/>
        </w:rPr>
        <w:t xml:space="preserve">lobal environmental </w:t>
      </w:r>
      <w:r>
        <w:rPr>
          <w:rFonts w:ascii="Book Antiqua" w:hAnsi="Book Antiqua" w:cs="Book Antiqua"/>
          <w:color w:val="auto"/>
          <w:sz w:val="20"/>
          <w:szCs w:val="20"/>
        </w:rPr>
        <w:t>sustainability in multilateral forums</w:t>
      </w:r>
      <w:r w:rsidR="00334C0C">
        <w:rPr>
          <w:rFonts w:ascii="Book Antiqua" w:hAnsi="Book Antiqua" w:cs="Book Antiqua"/>
          <w:color w:val="auto"/>
          <w:sz w:val="20"/>
          <w:szCs w:val="20"/>
        </w:rPr>
        <w:t>, the d</w:t>
      </w:r>
      <w:r>
        <w:rPr>
          <w:rFonts w:ascii="Book Antiqua" w:hAnsi="Book Antiqua" w:cs="Book Antiqua"/>
          <w:color w:val="auto"/>
          <w:sz w:val="20"/>
          <w:szCs w:val="20"/>
        </w:rPr>
        <w:t xml:space="preserve">epartment will work to maintain Australia’s </w:t>
      </w:r>
      <w:r w:rsidRPr="00D7070B">
        <w:rPr>
          <w:rFonts w:ascii="Book Antiqua" w:hAnsi="Book Antiqua" w:cs="Book Antiqua"/>
          <w:color w:val="auto"/>
          <w:sz w:val="20"/>
          <w:szCs w:val="20"/>
        </w:rPr>
        <w:t>economic competitiveness</w:t>
      </w:r>
      <w:r>
        <w:rPr>
          <w:rFonts w:ascii="Book Antiqua" w:hAnsi="Book Antiqua" w:cs="Book Antiqua"/>
          <w:color w:val="auto"/>
          <w:sz w:val="20"/>
          <w:szCs w:val="20"/>
        </w:rPr>
        <w:t xml:space="preserve"> and seek broad-based international action and agreement</w:t>
      </w:r>
      <w:r w:rsidRPr="00D7070B">
        <w:rPr>
          <w:rFonts w:ascii="Book Antiqua" w:hAnsi="Book Antiqua" w:cs="Book Antiqua"/>
          <w:color w:val="auto"/>
          <w:sz w:val="20"/>
          <w:szCs w:val="20"/>
        </w:rPr>
        <w:t xml:space="preserve"> in the UN climate negotiations, other international climate forums, and through bilateral climate change engagement with major economies.</w:t>
      </w:r>
      <w:r>
        <w:rPr>
          <w:rFonts w:ascii="Book Antiqua" w:hAnsi="Book Antiqua" w:cs="Book Antiqua"/>
          <w:color w:val="auto"/>
          <w:sz w:val="20"/>
          <w:szCs w:val="20"/>
        </w:rPr>
        <w:t xml:space="preserve"> </w:t>
      </w:r>
    </w:p>
    <w:p w:rsidR="00C0006A" w:rsidRDefault="00C0006A" w:rsidP="00C0006A">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lastRenderedPageBreak/>
        <w:t>Australia will</w:t>
      </w:r>
      <w:r w:rsidRPr="00C84733">
        <w:rPr>
          <w:rFonts w:ascii="Book Antiqua" w:hAnsi="Book Antiqua" w:cs="Book Antiqua"/>
          <w:color w:val="auto"/>
          <w:sz w:val="20"/>
          <w:szCs w:val="20"/>
        </w:rPr>
        <w:t xml:space="preserve"> </w:t>
      </w:r>
      <w:r>
        <w:rPr>
          <w:rFonts w:ascii="Book Antiqua" w:hAnsi="Book Antiqua" w:cs="Book Antiqua"/>
          <w:color w:val="auto"/>
          <w:sz w:val="20"/>
          <w:szCs w:val="20"/>
        </w:rPr>
        <w:t>work within the Group of Twenty (G20) to deliver substantial actions agreed during its 2014 presidency including</w:t>
      </w:r>
      <w:r w:rsidR="00C54E04">
        <w:rPr>
          <w:rFonts w:ascii="Book Antiqua" w:hAnsi="Book Antiqua" w:cs="Book Antiqua"/>
          <w:color w:val="auto"/>
          <w:sz w:val="20"/>
          <w:szCs w:val="20"/>
        </w:rPr>
        <w:t>,</w:t>
      </w:r>
      <w:r>
        <w:rPr>
          <w:rFonts w:ascii="Book Antiqua" w:hAnsi="Book Antiqua" w:cs="Book Antiqua"/>
          <w:color w:val="auto"/>
          <w:sz w:val="20"/>
          <w:szCs w:val="20"/>
        </w:rPr>
        <w:t xml:space="preserve"> lifting global growth and job opportunities and making the global economy more resilient. </w:t>
      </w:r>
      <w:r w:rsidRPr="00501D2E">
        <w:rPr>
          <w:rFonts w:ascii="Book Antiqua" w:hAnsi="Book Antiqua" w:cs="Book Antiqua"/>
          <w:color w:val="auto"/>
          <w:sz w:val="20"/>
          <w:szCs w:val="20"/>
        </w:rPr>
        <w:t xml:space="preserve">Australia </w:t>
      </w:r>
      <w:r>
        <w:rPr>
          <w:rFonts w:ascii="Book Antiqua" w:hAnsi="Book Antiqua" w:cs="Book Antiqua"/>
          <w:color w:val="auto"/>
          <w:sz w:val="20"/>
          <w:szCs w:val="20"/>
        </w:rPr>
        <w:t>will remain</w:t>
      </w:r>
      <w:r w:rsidRPr="00501D2E">
        <w:rPr>
          <w:rFonts w:ascii="Book Antiqua" w:hAnsi="Book Antiqua" w:cs="Book Antiqua"/>
          <w:color w:val="auto"/>
          <w:sz w:val="20"/>
          <w:szCs w:val="20"/>
        </w:rPr>
        <w:t xml:space="preserve"> in the G20 troika of immediate past, present and future hosts, alongside Turkey and China (2016 host) until 1 December 2015.</w:t>
      </w:r>
      <w:r>
        <w:rPr>
          <w:rFonts w:ascii="Book Antiqua" w:hAnsi="Book Antiqua" w:cs="Book Antiqua"/>
          <w:color w:val="auto"/>
          <w:sz w:val="20"/>
          <w:szCs w:val="20"/>
        </w:rPr>
        <w:t xml:space="preserve"> </w:t>
      </w:r>
    </w:p>
    <w:p w:rsidR="00C0006A" w:rsidRPr="00C50672" w:rsidRDefault="00C0006A" w:rsidP="00C0006A">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t>The department will continue to work to</w:t>
      </w:r>
      <w:r w:rsidR="00C13BE5">
        <w:rPr>
          <w:rFonts w:ascii="Book Antiqua" w:hAnsi="Book Antiqua" w:cs="Book Antiqua"/>
          <w:color w:val="auto"/>
          <w:sz w:val="20"/>
          <w:szCs w:val="20"/>
        </w:rPr>
        <w:t xml:space="preserve"> counter </w:t>
      </w:r>
      <w:r>
        <w:rPr>
          <w:rFonts w:ascii="Book Antiqua" w:hAnsi="Book Antiqua" w:cs="Book Antiqua"/>
          <w:color w:val="auto"/>
          <w:sz w:val="20"/>
          <w:szCs w:val="20"/>
        </w:rPr>
        <w:t>the proliferation of nuclear weapons</w:t>
      </w:r>
      <w:r w:rsidR="00C13BE5">
        <w:rPr>
          <w:rFonts w:ascii="Book Antiqua" w:hAnsi="Book Antiqua" w:cs="Book Antiqua"/>
          <w:color w:val="auto"/>
          <w:sz w:val="20"/>
          <w:szCs w:val="20"/>
        </w:rPr>
        <w:t xml:space="preserve">, </w:t>
      </w:r>
      <w:r>
        <w:rPr>
          <w:rFonts w:ascii="Book Antiqua" w:hAnsi="Book Antiqua" w:cs="Book Antiqua"/>
          <w:color w:val="auto"/>
          <w:sz w:val="20"/>
          <w:szCs w:val="20"/>
        </w:rPr>
        <w:t>constrain the illicit arms trade</w:t>
      </w:r>
      <w:r w:rsidR="00C13BE5">
        <w:rPr>
          <w:rFonts w:ascii="Book Antiqua" w:hAnsi="Book Antiqua" w:cs="Book Antiqua"/>
          <w:color w:val="auto"/>
          <w:sz w:val="20"/>
          <w:szCs w:val="20"/>
        </w:rPr>
        <w:t>, and counter terrorism</w:t>
      </w:r>
      <w:r>
        <w:rPr>
          <w:rFonts w:ascii="Book Antiqua" w:hAnsi="Book Antiqua" w:cs="Book Antiqua"/>
          <w:color w:val="auto"/>
          <w:sz w:val="20"/>
          <w:szCs w:val="20"/>
        </w:rPr>
        <w:t xml:space="preserve">. </w:t>
      </w:r>
      <w:r w:rsidR="00C13BE5">
        <w:rPr>
          <w:rFonts w:ascii="Book Antiqua" w:hAnsi="Book Antiqua" w:cs="Book Antiqua"/>
          <w:color w:val="auto"/>
          <w:sz w:val="20"/>
          <w:szCs w:val="20"/>
        </w:rPr>
        <w:t xml:space="preserve">It will pursue </w:t>
      </w:r>
      <w:r w:rsidRPr="00C50672">
        <w:rPr>
          <w:rFonts w:ascii="Book Antiqua" w:hAnsi="Book Antiqua" w:cs="Book Antiqua"/>
          <w:color w:val="auto"/>
          <w:sz w:val="20"/>
          <w:szCs w:val="20"/>
        </w:rPr>
        <w:t>non-proliferation and disarmament objectives related to Iran and the Democratic People's Republic of Korea</w:t>
      </w:r>
      <w:r>
        <w:rPr>
          <w:rFonts w:ascii="Book Antiqua" w:hAnsi="Book Antiqua" w:cs="Book Antiqua"/>
          <w:color w:val="auto"/>
          <w:sz w:val="20"/>
          <w:szCs w:val="20"/>
        </w:rPr>
        <w:t>.</w:t>
      </w:r>
      <w:r w:rsidRPr="00C50672">
        <w:rPr>
          <w:rFonts w:ascii="Book Antiqua" w:hAnsi="Book Antiqua" w:cs="Book Antiqua"/>
          <w:color w:val="auto"/>
          <w:sz w:val="20"/>
          <w:szCs w:val="20"/>
        </w:rPr>
        <w:t xml:space="preserve"> The department will </w:t>
      </w:r>
      <w:r>
        <w:rPr>
          <w:rFonts w:ascii="Book Antiqua" w:hAnsi="Book Antiqua" w:cs="Book Antiqua"/>
          <w:color w:val="auto"/>
          <w:sz w:val="20"/>
          <w:szCs w:val="20"/>
        </w:rPr>
        <w:t xml:space="preserve">expand our network of bilateral cyber policy dialogues to include India as well as China, Japan and </w:t>
      </w:r>
      <w:r w:rsidR="006F0184">
        <w:rPr>
          <w:rFonts w:ascii="Book Antiqua" w:hAnsi="Book Antiqua" w:cs="Book Antiqua"/>
          <w:color w:val="auto"/>
          <w:sz w:val="20"/>
          <w:szCs w:val="20"/>
        </w:rPr>
        <w:t xml:space="preserve">the </w:t>
      </w:r>
      <w:r>
        <w:rPr>
          <w:rFonts w:ascii="Book Antiqua" w:hAnsi="Book Antiqua" w:cs="Book Antiqua"/>
          <w:color w:val="auto"/>
          <w:sz w:val="20"/>
          <w:szCs w:val="20"/>
        </w:rPr>
        <w:t xml:space="preserve">Republic of Korea, contribute to the </w:t>
      </w:r>
      <w:r w:rsidR="00C13BE5">
        <w:rPr>
          <w:rFonts w:ascii="Book Antiqua" w:hAnsi="Book Antiqua" w:cs="Book Antiqua"/>
          <w:color w:val="auto"/>
          <w:sz w:val="20"/>
          <w:szCs w:val="20"/>
        </w:rPr>
        <w:t xml:space="preserve">Government’s </w:t>
      </w:r>
      <w:r>
        <w:rPr>
          <w:rFonts w:ascii="Book Antiqua" w:hAnsi="Book Antiqua" w:cs="Book Antiqua"/>
          <w:color w:val="auto"/>
          <w:sz w:val="20"/>
          <w:szCs w:val="20"/>
        </w:rPr>
        <w:t xml:space="preserve">review of cyber security, and </w:t>
      </w:r>
      <w:r w:rsidRPr="00C50672">
        <w:rPr>
          <w:rFonts w:ascii="Book Antiqua" w:hAnsi="Book Antiqua" w:cs="Book Antiqua"/>
          <w:color w:val="auto"/>
          <w:sz w:val="20"/>
          <w:szCs w:val="20"/>
        </w:rPr>
        <w:t xml:space="preserve">support work to elaborate how international law applies to state </w:t>
      </w:r>
      <w:r>
        <w:rPr>
          <w:rFonts w:ascii="Book Antiqua" w:hAnsi="Book Antiqua" w:cs="Book Antiqua"/>
          <w:color w:val="auto"/>
          <w:sz w:val="20"/>
          <w:szCs w:val="20"/>
        </w:rPr>
        <w:t>behaviour</w:t>
      </w:r>
      <w:r w:rsidRPr="00C50672">
        <w:rPr>
          <w:rFonts w:ascii="Book Antiqua" w:hAnsi="Book Antiqua" w:cs="Book Antiqua"/>
          <w:color w:val="auto"/>
          <w:sz w:val="20"/>
          <w:szCs w:val="20"/>
        </w:rPr>
        <w:t xml:space="preserve"> </w:t>
      </w:r>
      <w:r>
        <w:rPr>
          <w:rFonts w:ascii="Book Antiqua" w:hAnsi="Book Antiqua" w:cs="Book Antiqua"/>
          <w:color w:val="auto"/>
          <w:sz w:val="20"/>
          <w:szCs w:val="20"/>
        </w:rPr>
        <w:t>in</w:t>
      </w:r>
      <w:r w:rsidRPr="00C50672">
        <w:rPr>
          <w:rFonts w:ascii="Book Antiqua" w:hAnsi="Book Antiqua" w:cs="Book Antiqua"/>
          <w:color w:val="auto"/>
          <w:sz w:val="20"/>
          <w:szCs w:val="20"/>
        </w:rPr>
        <w:t xml:space="preserve"> cyberspace</w:t>
      </w:r>
      <w:r>
        <w:rPr>
          <w:rFonts w:ascii="Book Antiqua" w:hAnsi="Book Antiqua" w:cs="Book Antiqua"/>
          <w:color w:val="auto"/>
          <w:sz w:val="20"/>
          <w:szCs w:val="20"/>
        </w:rPr>
        <w:t>.</w:t>
      </w:r>
      <w:r w:rsidRPr="00C50672">
        <w:rPr>
          <w:rFonts w:ascii="Book Antiqua" w:hAnsi="Book Antiqua" w:cs="Book Antiqua"/>
          <w:color w:val="auto"/>
          <w:sz w:val="20"/>
          <w:szCs w:val="20"/>
        </w:rPr>
        <w:t xml:space="preserve"> </w:t>
      </w:r>
      <w:r>
        <w:rPr>
          <w:rFonts w:ascii="Book Antiqua" w:hAnsi="Book Antiqua" w:cs="Book Antiqua"/>
          <w:color w:val="auto"/>
          <w:sz w:val="20"/>
          <w:szCs w:val="20"/>
        </w:rPr>
        <w:t xml:space="preserve">The department </w:t>
      </w:r>
      <w:r w:rsidRPr="00C50672">
        <w:rPr>
          <w:rFonts w:ascii="Book Antiqua" w:hAnsi="Book Antiqua" w:cs="Book Antiqua"/>
          <w:color w:val="auto"/>
          <w:sz w:val="20"/>
          <w:szCs w:val="20"/>
        </w:rPr>
        <w:t xml:space="preserve">will also contribute to </w:t>
      </w:r>
      <w:r>
        <w:rPr>
          <w:rFonts w:ascii="Book Antiqua" w:hAnsi="Book Antiqua" w:cs="Book Antiqua"/>
          <w:color w:val="auto"/>
          <w:sz w:val="20"/>
          <w:szCs w:val="20"/>
        </w:rPr>
        <w:t xml:space="preserve">EU-initiated </w:t>
      </w:r>
      <w:r w:rsidRPr="00C50672">
        <w:rPr>
          <w:rFonts w:ascii="Book Antiqua" w:hAnsi="Book Antiqua" w:cs="Book Antiqua"/>
          <w:color w:val="auto"/>
          <w:sz w:val="20"/>
          <w:szCs w:val="20"/>
        </w:rPr>
        <w:t xml:space="preserve">efforts to finalise and promote adherence to the proposed International Code of Conduct for Outer Space Activities. </w:t>
      </w:r>
    </w:p>
    <w:p w:rsidR="00172DE5" w:rsidRDefault="00C0006A" w:rsidP="00C0006A">
      <w:pPr>
        <w:pStyle w:val="Default"/>
        <w:spacing w:after="240" w:line="280" w:lineRule="exact"/>
        <w:jc w:val="both"/>
        <w:rPr>
          <w:rFonts w:ascii="Book Antiqua" w:hAnsi="Book Antiqua" w:cs="Book Antiqua"/>
          <w:color w:val="auto"/>
          <w:sz w:val="20"/>
          <w:szCs w:val="20"/>
        </w:rPr>
      </w:pPr>
      <w:r w:rsidRPr="009F5E1D">
        <w:rPr>
          <w:rFonts w:ascii="Book Antiqua" w:hAnsi="Book Antiqua" w:cs="Book Antiqua"/>
          <w:color w:val="auto"/>
          <w:sz w:val="20"/>
          <w:szCs w:val="20"/>
        </w:rPr>
        <w:t>Through public diplomacy</w:t>
      </w:r>
      <w:r w:rsidR="00C13BE5">
        <w:rPr>
          <w:rFonts w:ascii="Book Antiqua" w:hAnsi="Book Antiqua" w:cs="Book Antiqua"/>
          <w:color w:val="auto"/>
          <w:sz w:val="20"/>
          <w:szCs w:val="20"/>
        </w:rPr>
        <w:t>,</w:t>
      </w:r>
      <w:r w:rsidRPr="009F5E1D">
        <w:rPr>
          <w:rFonts w:ascii="Book Antiqua" w:hAnsi="Book Antiqua" w:cs="Book Antiqua"/>
          <w:color w:val="auto"/>
          <w:sz w:val="20"/>
          <w:szCs w:val="20"/>
        </w:rPr>
        <w:t xml:space="preserve"> the department will advance initiatives </w:t>
      </w:r>
      <w:r w:rsidR="006F3D4B">
        <w:rPr>
          <w:rFonts w:ascii="Book Antiqua" w:hAnsi="Book Antiqua" w:cs="Book Antiqua"/>
          <w:color w:val="auto"/>
          <w:sz w:val="20"/>
          <w:szCs w:val="20"/>
        </w:rPr>
        <w:t>that</w:t>
      </w:r>
      <w:r w:rsidRPr="009F5E1D">
        <w:rPr>
          <w:rFonts w:ascii="Book Antiqua" w:hAnsi="Book Antiqua" w:cs="Book Antiqua"/>
          <w:color w:val="auto"/>
          <w:sz w:val="20"/>
          <w:szCs w:val="20"/>
        </w:rPr>
        <w:t xml:space="preserve"> promote Australia’s economic, artistic and cultural, sporting, scientific and education assets </w:t>
      </w:r>
      <w:r w:rsidR="00C13BE5">
        <w:rPr>
          <w:rFonts w:ascii="Book Antiqua" w:hAnsi="Book Antiqua" w:cs="Book Antiqua"/>
          <w:color w:val="auto"/>
          <w:sz w:val="20"/>
          <w:szCs w:val="20"/>
        </w:rPr>
        <w:t xml:space="preserve">and </w:t>
      </w:r>
      <w:r w:rsidRPr="009F5E1D">
        <w:rPr>
          <w:rFonts w:ascii="Book Antiqua" w:hAnsi="Book Antiqua" w:cs="Book Antiqua"/>
          <w:color w:val="auto"/>
          <w:sz w:val="20"/>
          <w:szCs w:val="20"/>
        </w:rPr>
        <w:t>underline Australia’s credentials as a destination for business, investment, tourism and study, and emphasise Australia’s engagement with the Indo-Pacific region.</w:t>
      </w:r>
      <w:r w:rsidRPr="00083FF9">
        <w:rPr>
          <w:rFonts w:ascii="Book Antiqua" w:hAnsi="Book Antiqua" w:cs="Book Antiqua"/>
          <w:color w:val="auto"/>
          <w:sz w:val="20"/>
          <w:szCs w:val="20"/>
        </w:rPr>
        <w:t xml:space="preserve"> </w:t>
      </w:r>
      <w:r w:rsidRPr="009F5E1D">
        <w:rPr>
          <w:rFonts w:ascii="Book Antiqua" w:hAnsi="Book Antiqua" w:cs="Book Antiqua"/>
          <w:color w:val="auto"/>
          <w:sz w:val="20"/>
          <w:szCs w:val="20"/>
        </w:rPr>
        <w:t xml:space="preserve">A new sports diplomacy strategy will capitalise on Australia’s sporting assets and expertise to promote Australia’s diplomatic, development and economic interests. </w:t>
      </w:r>
    </w:p>
    <w:p w:rsidR="00C0006A" w:rsidRDefault="00C0006A" w:rsidP="00C0006A">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t xml:space="preserve">The delivery of high quality consular services is one of the department’s foreign policy priorities. A new three-year Consular Strategy will drive improved effectiveness in the delivery of consular services and enhanced public messaging. </w:t>
      </w:r>
      <w:r w:rsidRPr="00085478">
        <w:rPr>
          <w:rFonts w:ascii="Book Antiqua" w:hAnsi="Book Antiqua" w:cs="Book Antiqua"/>
          <w:color w:val="auto"/>
          <w:sz w:val="20"/>
          <w:szCs w:val="20"/>
        </w:rPr>
        <w:t>The department will also promote safe travel messages through accurate and timely travel</w:t>
      </w:r>
      <w:r>
        <w:rPr>
          <w:rFonts w:ascii="Book Antiqua" w:hAnsi="Book Antiqua" w:cs="Book Antiqua"/>
          <w:color w:val="auto"/>
          <w:sz w:val="20"/>
          <w:szCs w:val="20"/>
        </w:rPr>
        <w:t xml:space="preserve"> advice, including through the </w:t>
      </w:r>
      <w:r w:rsidRPr="00C0006A">
        <w:rPr>
          <w:rFonts w:ascii="Book Antiqua" w:hAnsi="Book Antiqua" w:cs="Book Antiqua"/>
          <w:color w:val="auto"/>
          <w:sz w:val="20"/>
          <w:szCs w:val="20"/>
        </w:rPr>
        <w:t>Smartraveller</w:t>
      </w:r>
      <w:r>
        <w:rPr>
          <w:rFonts w:ascii="Book Antiqua" w:hAnsi="Book Antiqua" w:cs="Book Antiqua"/>
          <w:color w:val="auto"/>
          <w:sz w:val="20"/>
          <w:szCs w:val="20"/>
        </w:rPr>
        <w:t xml:space="preserve"> campaign. </w:t>
      </w:r>
      <w:r w:rsidRPr="00C50672">
        <w:rPr>
          <w:rFonts w:ascii="Book Antiqua" w:hAnsi="Book Antiqua" w:cs="Book Antiqua"/>
          <w:color w:val="auto"/>
          <w:sz w:val="20"/>
          <w:szCs w:val="20"/>
        </w:rPr>
        <w:t>The department will sustain its development and testing of strong contingency plans across its network of overseas posts.</w:t>
      </w:r>
    </w:p>
    <w:p w:rsidR="00C0006A" w:rsidRDefault="00C0006A" w:rsidP="00C0006A">
      <w:pPr>
        <w:pStyle w:val="Default"/>
        <w:spacing w:after="240" w:line="280" w:lineRule="exact"/>
        <w:jc w:val="both"/>
        <w:rPr>
          <w:rFonts w:ascii="Book Antiqua" w:hAnsi="Book Antiqua" w:cs="Book Antiqua"/>
          <w:color w:val="auto"/>
          <w:sz w:val="20"/>
          <w:szCs w:val="20"/>
        </w:rPr>
      </w:pPr>
      <w:r w:rsidRPr="00C50672">
        <w:rPr>
          <w:rFonts w:ascii="Book Antiqua" w:hAnsi="Book Antiqua" w:cs="Book Antiqua"/>
          <w:color w:val="auto"/>
          <w:sz w:val="20"/>
          <w:szCs w:val="20"/>
        </w:rPr>
        <w:t xml:space="preserve">The department will </w:t>
      </w:r>
      <w:r>
        <w:rPr>
          <w:rFonts w:ascii="Book Antiqua" w:hAnsi="Book Antiqua" w:cs="Book Antiqua"/>
          <w:color w:val="auto"/>
          <w:sz w:val="20"/>
          <w:szCs w:val="20"/>
        </w:rPr>
        <w:t xml:space="preserve">continue to </w:t>
      </w:r>
      <w:r w:rsidRPr="00C50672">
        <w:rPr>
          <w:rFonts w:ascii="Book Antiqua" w:hAnsi="Book Antiqua" w:cs="Book Antiqua"/>
          <w:color w:val="auto"/>
          <w:sz w:val="20"/>
          <w:szCs w:val="20"/>
        </w:rPr>
        <w:t>deliver an efficient passport service for Australian citizens</w:t>
      </w:r>
      <w:r>
        <w:rPr>
          <w:rFonts w:ascii="Book Antiqua" w:hAnsi="Book Antiqua" w:cs="Book Antiqua"/>
          <w:color w:val="auto"/>
          <w:sz w:val="20"/>
          <w:szCs w:val="20"/>
        </w:rPr>
        <w:t>. The new ‘P-series’ passport, introduced in 2014, includes enhanced security measures</w:t>
      </w:r>
      <w:r w:rsidR="00C13BE5">
        <w:rPr>
          <w:rFonts w:ascii="Book Antiqua" w:hAnsi="Book Antiqua" w:cs="Book Antiqua"/>
          <w:color w:val="auto"/>
          <w:sz w:val="20"/>
          <w:szCs w:val="20"/>
        </w:rPr>
        <w:t>.  T</w:t>
      </w:r>
      <w:r>
        <w:rPr>
          <w:rFonts w:ascii="Book Antiqua" w:hAnsi="Book Antiqua" w:cs="Book Antiqua"/>
          <w:color w:val="auto"/>
          <w:sz w:val="20"/>
          <w:szCs w:val="20"/>
        </w:rPr>
        <w:t>he department is also working to develop a new Australian travel document issuance system which will deliver increased processing capability, improved client services and enhanced fraud and investigation controls.</w:t>
      </w:r>
    </w:p>
    <w:p w:rsidR="00C0006A" w:rsidRPr="00F34F20" w:rsidRDefault="00C0006A" w:rsidP="00C0006A">
      <w:pPr>
        <w:pStyle w:val="Default"/>
        <w:spacing w:after="240" w:line="280" w:lineRule="exact"/>
        <w:jc w:val="both"/>
        <w:rPr>
          <w:rFonts w:ascii="Book Antiqua" w:hAnsi="Book Antiqua" w:cs="Book Antiqua"/>
          <w:color w:val="auto"/>
          <w:sz w:val="20"/>
          <w:szCs w:val="20"/>
        </w:rPr>
      </w:pPr>
      <w:r>
        <w:rPr>
          <w:rFonts w:ascii="Book Antiqua" w:hAnsi="Book Antiqua" w:cs="Book Antiqua"/>
          <w:color w:val="auto"/>
          <w:sz w:val="20"/>
          <w:szCs w:val="20"/>
        </w:rPr>
        <w:t xml:space="preserve">Australia’s diplomatic footprint </w:t>
      </w:r>
      <w:r w:rsidR="00C13BE5">
        <w:rPr>
          <w:rFonts w:ascii="Book Antiqua" w:hAnsi="Book Antiqua" w:cs="Book Antiqua"/>
          <w:color w:val="auto"/>
          <w:sz w:val="20"/>
          <w:szCs w:val="20"/>
        </w:rPr>
        <w:t xml:space="preserve">will expand through the measure </w:t>
      </w:r>
      <w:r w:rsidR="00C248D7">
        <w:rPr>
          <w:rFonts w:ascii="Book Antiqua" w:hAnsi="Book Antiqua" w:cs="Book Antiqua"/>
          <w:i/>
          <w:color w:val="auto"/>
          <w:sz w:val="20"/>
          <w:szCs w:val="20"/>
        </w:rPr>
        <w:t>Expanding Australia’s Diplomatic Footprint</w:t>
      </w:r>
      <w:r w:rsidR="0068269C">
        <w:rPr>
          <w:rFonts w:ascii="Book Antiqua" w:hAnsi="Book Antiqua" w:cs="Book Antiqua"/>
          <w:color w:val="auto"/>
          <w:sz w:val="20"/>
          <w:szCs w:val="20"/>
        </w:rPr>
        <w:t xml:space="preserve">. The </w:t>
      </w:r>
      <w:r w:rsidR="00C13BE5">
        <w:rPr>
          <w:rFonts w:ascii="Book Antiqua" w:hAnsi="Book Antiqua" w:cs="Book Antiqua"/>
          <w:color w:val="auto"/>
          <w:sz w:val="20"/>
          <w:szCs w:val="20"/>
        </w:rPr>
        <w:t>department will establish f</w:t>
      </w:r>
      <w:r w:rsidR="00684346">
        <w:rPr>
          <w:rFonts w:ascii="Book Antiqua" w:hAnsi="Book Antiqua" w:cs="Book Antiqua"/>
          <w:color w:val="auto"/>
          <w:sz w:val="20"/>
          <w:szCs w:val="20"/>
        </w:rPr>
        <w:t>ive</w:t>
      </w:r>
      <w:r w:rsidR="00C13BE5">
        <w:rPr>
          <w:rFonts w:ascii="Book Antiqua" w:hAnsi="Book Antiqua" w:cs="Book Antiqua"/>
          <w:color w:val="auto"/>
          <w:sz w:val="20"/>
          <w:szCs w:val="20"/>
        </w:rPr>
        <w:t xml:space="preserve"> new posts in </w:t>
      </w:r>
      <w:r>
        <w:rPr>
          <w:rFonts w:ascii="Book Antiqua" w:hAnsi="Book Antiqua" w:cs="Book Antiqua"/>
          <w:color w:val="auto"/>
          <w:sz w:val="20"/>
          <w:szCs w:val="20"/>
        </w:rPr>
        <w:t xml:space="preserve">Makassar (Indonesia), Phuket (Thailand), </w:t>
      </w:r>
      <w:r w:rsidR="00684346" w:rsidRPr="00EC340B">
        <w:rPr>
          <w:rFonts w:ascii="Book Antiqua" w:hAnsi="Book Antiqua" w:cs="Book Antiqua"/>
          <w:color w:val="auto"/>
          <w:sz w:val="20"/>
          <w:szCs w:val="20"/>
        </w:rPr>
        <w:t>Buka</w:t>
      </w:r>
      <w:r w:rsidR="00684346">
        <w:rPr>
          <w:rFonts w:ascii="Book Antiqua" w:hAnsi="Book Antiqua" w:cs="Book Antiqua"/>
          <w:color w:val="auto"/>
          <w:sz w:val="20"/>
          <w:szCs w:val="20"/>
        </w:rPr>
        <w:t xml:space="preserve"> (Papua New Guinea), </w:t>
      </w:r>
      <w:r>
        <w:rPr>
          <w:rFonts w:ascii="Book Antiqua" w:hAnsi="Book Antiqua" w:cs="Book Antiqua"/>
          <w:color w:val="auto"/>
          <w:sz w:val="20"/>
          <w:szCs w:val="20"/>
        </w:rPr>
        <w:t>Doha (Qatar) and Ulaanbaatar (Mongolia). New posts in Makassar, Doha and Ulaanbaatar will advance trade and investment opportunities for Australia. A consulate in Phuket will help manage Australia’s significant consular load</w:t>
      </w:r>
      <w:r w:rsidR="00684346">
        <w:rPr>
          <w:rFonts w:ascii="Book Antiqua" w:hAnsi="Book Antiqua" w:cs="Book Antiqua"/>
          <w:color w:val="auto"/>
          <w:sz w:val="20"/>
          <w:szCs w:val="20"/>
        </w:rPr>
        <w:t xml:space="preserve"> while a new post in Buka will provide greater focus for Australia’s development assistance to Bougainville</w:t>
      </w:r>
      <w:r>
        <w:rPr>
          <w:rFonts w:ascii="Book Antiqua" w:hAnsi="Book Antiqua" w:cs="Book Antiqua"/>
          <w:color w:val="auto"/>
          <w:sz w:val="20"/>
          <w:szCs w:val="20"/>
        </w:rPr>
        <w:t>.</w:t>
      </w:r>
    </w:p>
    <w:p w:rsidR="00C0006A" w:rsidRPr="00275298" w:rsidRDefault="00C0006A" w:rsidP="00C0006A">
      <w:pPr>
        <w:pStyle w:val="Default"/>
        <w:spacing w:after="240" w:line="280" w:lineRule="exact"/>
        <w:jc w:val="both"/>
        <w:rPr>
          <w:rFonts w:ascii="Book Antiqua" w:hAnsi="Book Antiqua" w:cs="Book Antiqua"/>
          <w:color w:val="auto"/>
          <w:sz w:val="20"/>
          <w:szCs w:val="20"/>
        </w:rPr>
      </w:pPr>
      <w:r w:rsidRPr="00C0006A">
        <w:rPr>
          <w:rFonts w:ascii="Book Antiqua" w:hAnsi="Book Antiqua" w:cs="Book Antiqua"/>
          <w:color w:val="auto"/>
          <w:sz w:val="20"/>
          <w:szCs w:val="20"/>
        </w:rPr>
        <w:lastRenderedPageBreak/>
        <w:t xml:space="preserve">The security and safety of Australian Government personnel and their dependants overseas, together with the security of its missions, will remain a high priority </w:t>
      </w:r>
      <w:r w:rsidR="00562D89">
        <w:rPr>
          <w:rFonts w:ascii="Book Antiqua" w:hAnsi="Book Antiqua" w:cs="Book Antiqua"/>
          <w:color w:val="auto"/>
          <w:sz w:val="20"/>
          <w:szCs w:val="20"/>
        </w:rPr>
        <w:t>for the department in an</w:t>
      </w:r>
      <w:r w:rsidR="00D10146">
        <w:rPr>
          <w:rFonts w:ascii="Book Antiqua" w:hAnsi="Book Antiqua" w:cs="Book Antiqua"/>
          <w:color w:val="auto"/>
          <w:sz w:val="20"/>
          <w:szCs w:val="20"/>
        </w:rPr>
        <w:t xml:space="preserve"> </w:t>
      </w:r>
      <w:r w:rsidRPr="00C0006A">
        <w:rPr>
          <w:rFonts w:ascii="Book Antiqua" w:hAnsi="Book Antiqua" w:cs="Book Antiqua"/>
          <w:color w:val="auto"/>
          <w:sz w:val="20"/>
          <w:szCs w:val="20"/>
        </w:rPr>
        <w:t>increasingly unpredictable, and often worsening, international securi</w:t>
      </w:r>
      <w:r w:rsidR="00D10146">
        <w:rPr>
          <w:rFonts w:ascii="Book Antiqua" w:hAnsi="Book Antiqua" w:cs="Book Antiqua"/>
          <w:color w:val="auto"/>
          <w:sz w:val="20"/>
          <w:szCs w:val="20"/>
        </w:rPr>
        <w:t xml:space="preserve">ty environment. </w:t>
      </w:r>
      <w:r w:rsidRPr="00C0006A">
        <w:rPr>
          <w:rFonts w:ascii="Book Antiqua" w:hAnsi="Book Antiqua" w:cs="Book Antiqua"/>
          <w:color w:val="auto"/>
          <w:sz w:val="20"/>
          <w:szCs w:val="20"/>
        </w:rPr>
        <w:t>This will require the implementation and maintenance of comprehensive and effective strategic risk mitigation strategies and operational security measures.</w:t>
      </w:r>
    </w:p>
    <w:p w:rsidR="006F0184" w:rsidRDefault="00C0006A" w:rsidP="00172DE5">
      <w:pPr>
        <w:pStyle w:val="Default"/>
        <w:spacing w:after="240" w:line="280" w:lineRule="exact"/>
        <w:jc w:val="both"/>
        <w:rPr>
          <w:rFonts w:ascii="Book Antiqua" w:hAnsi="Book Antiqua" w:cs="Book Antiqua"/>
          <w:color w:val="auto"/>
          <w:sz w:val="20"/>
          <w:szCs w:val="20"/>
        </w:rPr>
      </w:pPr>
      <w:r w:rsidRPr="00C0006A">
        <w:rPr>
          <w:rFonts w:ascii="Book Antiqua" w:hAnsi="Book Antiqua" w:cs="Book Antiqua"/>
          <w:color w:val="auto"/>
          <w:sz w:val="20"/>
          <w:szCs w:val="20"/>
        </w:rPr>
        <w:t xml:space="preserve">The department will continue </w:t>
      </w:r>
      <w:r w:rsidR="00562D89">
        <w:rPr>
          <w:rFonts w:ascii="Book Antiqua" w:hAnsi="Book Antiqua" w:cs="Book Antiqua"/>
          <w:color w:val="auto"/>
          <w:sz w:val="20"/>
          <w:szCs w:val="20"/>
        </w:rPr>
        <w:t xml:space="preserve">its efforts to build </w:t>
      </w:r>
      <w:r w:rsidR="00172DE5">
        <w:rPr>
          <w:rFonts w:ascii="Book Antiqua" w:hAnsi="Book Antiqua" w:cs="Book Antiqua"/>
          <w:color w:val="auto"/>
          <w:sz w:val="20"/>
          <w:szCs w:val="20"/>
        </w:rPr>
        <w:t>a more resilient, flexible and cohesive organisation that can better deliver the Government’s</w:t>
      </w:r>
      <w:r w:rsidR="00562D89">
        <w:rPr>
          <w:rFonts w:ascii="Book Antiqua" w:hAnsi="Book Antiqua" w:cs="Book Antiqua"/>
          <w:color w:val="auto"/>
          <w:sz w:val="20"/>
          <w:szCs w:val="20"/>
        </w:rPr>
        <w:t xml:space="preserve"> agenda.  The department will implement its first workforce plan as a tool to improve its capabilities to meet Australia’s foreign, trade and economic, international security, development and consular challenges.  The department will continue to implement changes required by </w:t>
      </w:r>
      <w:r w:rsidRPr="00C0006A">
        <w:rPr>
          <w:rFonts w:ascii="Book Antiqua" w:hAnsi="Book Antiqua" w:cs="Book Antiqua"/>
          <w:color w:val="auto"/>
          <w:sz w:val="20"/>
          <w:szCs w:val="20"/>
        </w:rPr>
        <w:t xml:space="preserve">the Public Governance, Performance and Accountability (PGPA) Act, including enhancements to the Commonwealth performance framework. The department </w:t>
      </w:r>
      <w:r w:rsidR="00562D89">
        <w:rPr>
          <w:rFonts w:ascii="Book Antiqua" w:hAnsi="Book Antiqua" w:cs="Book Antiqua"/>
          <w:color w:val="auto"/>
          <w:sz w:val="20"/>
          <w:szCs w:val="20"/>
        </w:rPr>
        <w:t xml:space="preserve">will implement a new </w:t>
      </w:r>
      <w:r w:rsidRPr="00C0006A">
        <w:rPr>
          <w:rFonts w:ascii="Book Antiqua" w:hAnsi="Book Antiqua" w:cs="Book Antiqua"/>
          <w:color w:val="auto"/>
          <w:sz w:val="20"/>
          <w:szCs w:val="20"/>
        </w:rPr>
        <w:t xml:space="preserve">approach to risk management which will encourage </w:t>
      </w:r>
      <w:r w:rsidR="00562D89">
        <w:rPr>
          <w:rFonts w:ascii="Book Antiqua" w:hAnsi="Book Antiqua" w:cs="Book Antiqua"/>
          <w:color w:val="auto"/>
          <w:sz w:val="20"/>
          <w:szCs w:val="20"/>
        </w:rPr>
        <w:t xml:space="preserve">staff to </w:t>
      </w:r>
      <w:r w:rsidRPr="00C0006A">
        <w:rPr>
          <w:rFonts w:ascii="Book Antiqua" w:hAnsi="Book Antiqua" w:cs="Book Antiqua"/>
          <w:color w:val="auto"/>
          <w:sz w:val="20"/>
          <w:szCs w:val="20"/>
        </w:rPr>
        <w:t>engage with risk in a positive way to improve policy development and service delivery. The department will also continue to support the Government’s deregulation agenda through streamlining, where possible, its engagement with Australian individuals, business and the not-for-profit sector.</w:t>
      </w:r>
    </w:p>
    <w:p w:rsidR="00257FF4" w:rsidRPr="00172DE5" w:rsidRDefault="000B36D8" w:rsidP="003D2984">
      <w:pPr>
        <w:pStyle w:val="Heading3"/>
        <w:spacing w:before="0"/>
        <w:rPr>
          <w:rFonts w:ascii="Book Antiqua" w:hAnsi="Book Antiqua" w:cs="Book Antiqua"/>
          <w:sz w:val="20"/>
        </w:rPr>
      </w:pPr>
      <w:r w:rsidRPr="00C0006A">
        <w:rPr>
          <w:rFonts w:ascii="Book Antiqua" w:hAnsi="Book Antiqua" w:cs="Book Antiqua"/>
          <w:sz w:val="20"/>
        </w:rPr>
        <w:br w:type="page"/>
      </w:r>
      <w:r w:rsidR="00257FF4">
        <w:lastRenderedPageBreak/>
        <w:t>1.2</w:t>
      </w:r>
      <w:r w:rsidR="00257FF4">
        <w:tab/>
      </w:r>
      <w:r w:rsidR="007E6BBD">
        <w:t xml:space="preserve">Entity </w:t>
      </w:r>
      <w:r w:rsidR="00257FF4">
        <w:t>resource statement</w:t>
      </w:r>
      <w:bookmarkEnd w:id="15"/>
      <w:bookmarkEnd w:id="16"/>
    </w:p>
    <w:p w:rsidR="00257FF4" w:rsidRDefault="00257FF4" w:rsidP="00257FF4">
      <w:bookmarkStart w:id="17" w:name="OLE_LINK11"/>
      <w:bookmarkStart w:id="18" w:name="OLE_LINK12"/>
      <w:r>
        <w:t>Table 1.1 shows the total resources from all</w:t>
      </w:r>
      <w:r w:rsidR="00BB721D">
        <w:t xml:space="preserve"> sources</w:t>
      </w:r>
      <w:r w:rsidR="00E95DB8">
        <w:t xml:space="preserve">. </w:t>
      </w:r>
      <w:r>
        <w:t>The table summarises how resources will be applied by outcome and by administered and departmental classification.</w:t>
      </w:r>
    </w:p>
    <w:bookmarkEnd w:id="17"/>
    <w:bookmarkEnd w:id="18"/>
    <w:p w:rsidR="0042526D" w:rsidRPr="0023659E" w:rsidRDefault="006A5866" w:rsidP="0023659E">
      <w:pPr>
        <w:pStyle w:val="TableHeading"/>
        <w:rPr>
          <w:sz w:val="20"/>
        </w:rPr>
      </w:pPr>
      <w:r w:rsidRPr="005C4BEE">
        <w:rPr>
          <w:sz w:val="20"/>
        </w:rPr>
        <w:t xml:space="preserve">Table 1.1: </w:t>
      </w:r>
      <w:r w:rsidR="00596316">
        <w:rPr>
          <w:sz w:val="20"/>
        </w:rPr>
        <w:t xml:space="preserve">Department of Foreign Affairs and Trade </w:t>
      </w:r>
      <w:r w:rsidR="00123218" w:rsidRPr="005C4BEE">
        <w:rPr>
          <w:sz w:val="20"/>
        </w:rPr>
        <w:t xml:space="preserve">resource statement </w:t>
      </w:r>
      <w:r w:rsidR="00B10F95" w:rsidRPr="005C4BEE">
        <w:rPr>
          <w:sz w:val="20"/>
        </w:rPr>
        <w:t>— Budget</w:t>
      </w:r>
      <w:r w:rsidR="00CB4589">
        <w:rPr>
          <w:sz w:val="20"/>
        </w:rPr>
        <w:t xml:space="preserve"> e</w:t>
      </w:r>
      <w:r w:rsidR="00C11F05" w:rsidRPr="005C4BEE">
        <w:rPr>
          <w:sz w:val="20"/>
        </w:rPr>
        <w:t xml:space="preserve">stimates for </w:t>
      </w:r>
      <w:r w:rsidR="00475EAF">
        <w:rPr>
          <w:sz w:val="20"/>
        </w:rPr>
        <w:t>201</w:t>
      </w:r>
      <w:r w:rsidR="00426D71">
        <w:rPr>
          <w:sz w:val="20"/>
        </w:rPr>
        <w:t>5</w:t>
      </w:r>
      <w:r w:rsidR="00CB4589">
        <w:rPr>
          <w:sz w:val="20"/>
        </w:rPr>
        <w:noBreakHyphen/>
      </w:r>
      <w:r w:rsidR="00475EAF">
        <w:rPr>
          <w:sz w:val="20"/>
        </w:rPr>
        <w:t>1</w:t>
      </w:r>
      <w:r w:rsidR="00426D71">
        <w:rPr>
          <w:sz w:val="20"/>
        </w:rPr>
        <w:t>6</w:t>
      </w:r>
      <w:r w:rsidRPr="005C4BEE">
        <w:rPr>
          <w:sz w:val="20"/>
        </w:rPr>
        <w:t xml:space="preserve"> as at Budget May </w:t>
      </w:r>
      <w:r w:rsidR="00426D71">
        <w:rPr>
          <w:sz w:val="20"/>
        </w:rPr>
        <w:t>2015</w:t>
      </w:r>
    </w:p>
    <w:p w:rsidR="00863A17" w:rsidRDefault="00833238" w:rsidP="0042526D">
      <w:pPr>
        <w:pStyle w:val="TableHeading"/>
      </w:pPr>
      <w:r>
        <w:pict>
          <v:shape id="_x0000_i1031" type="#_x0000_t75" style="width:386.2pt;height:326.35pt">
            <v:imagedata r:id="rId51" o:title=""/>
          </v:shape>
        </w:pict>
      </w:r>
    </w:p>
    <w:p w:rsidR="00863A17" w:rsidRPr="00522B70" w:rsidRDefault="00863A17" w:rsidP="00863A17">
      <w:pPr>
        <w:pStyle w:val="TableGraphic"/>
        <w:rPr>
          <w:i/>
        </w:rPr>
      </w:pPr>
      <w:r w:rsidRPr="00522B70">
        <w:rPr>
          <w:i/>
        </w:rPr>
        <w:t xml:space="preserve">Table continued on the following page. </w:t>
      </w:r>
    </w:p>
    <w:p w:rsidR="006A5866" w:rsidRDefault="0042526D" w:rsidP="003D2984">
      <w:pPr>
        <w:pStyle w:val="TableHeading"/>
        <w:spacing w:before="0"/>
        <w:rPr>
          <w:sz w:val="20"/>
        </w:rPr>
      </w:pPr>
      <w:r>
        <w:br w:type="page"/>
      </w:r>
      <w:r w:rsidR="006A5866" w:rsidRPr="0042526D">
        <w:rPr>
          <w:sz w:val="20"/>
        </w:rPr>
        <w:lastRenderedPageBreak/>
        <w:t xml:space="preserve">Table 1.1: </w:t>
      </w:r>
      <w:r w:rsidR="00AD6757">
        <w:rPr>
          <w:sz w:val="20"/>
        </w:rPr>
        <w:t>Department of Foreign Affairs and Trade</w:t>
      </w:r>
      <w:r w:rsidR="006A5866" w:rsidRPr="0042526D">
        <w:rPr>
          <w:sz w:val="20"/>
        </w:rPr>
        <w:t xml:space="preserve"> </w:t>
      </w:r>
      <w:r w:rsidR="00CB4589" w:rsidRPr="0042526D">
        <w:rPr>
          <w:sz w:val="20"/>
        </w:rPr>
        <w:t xml:space="preserve">resource statement </w:t>
      </w:r>
      <w:r w:rsidR="00C20E76" w:rsidRPr="0042526D">
        <w:rPr>
          <w:sz w:val="20"/>
        </w:rPr>
        <w:t>—</w:t>
      </w:r>
      <w:r w:rsidR="00B10F95" w:rsidRPr="0042526D">
        <w:rPr>
          <w:sz w:val="20"/>
        </w:rPr>
        <w:t xml:space="preserve"> Budget</w:t>
      </w:r>
      <w:r w:rsidR="00CB4589">
        <w:rPr>
          <w:sz w:val="20"/>
        </w:rPr>
        <w:t xml:space="preserve"> e</w:t>
      </w:r>
      <w:r w:rsidR="00C11F05" w:rsidRPr="0042526D">
        <w:rPr>
          <w:sz w:val="20"/>
        </w:rPr>
        <w:t xml:space="preserve">stimates for </w:t>
      </w:r>
      <w:r w:rsidR="00475EAF" w:rsidRPr="0042526D">
        <w:rPr>
          <w:sz w:val="20"/>
        </w:rPr>
        <w:t>201</w:t>
      </w:r>
      <w:r w:rsidR="00D81071">
        <w:rPr>
          <w:sz w:val="20"/>
        </w:rPr>
        <w:t>5</w:t>
      </w:r>
      <w:r w:rsidR="00CB4589">
        <w:rPr>
          <w:sz w:val="20"/>
        </w:rPr>
        <w:noBreakHyphen/>
      </w:r>
      <w:r w:rsidR="00475EAF" w:rsidRPr="0042526D">
        <w:rPr>
          <w:sz w:val="20"/>
        </w:rPr>
        <w:t>1</w:t>
      </w:r>
      <w:r w:rsidR="00D81071">
        <w:rPr>
          <w:sz w:val="20"/>
        </w:rPr>
        <w:t>6</w:t>
      </w:r>
      <w:r w:rsidR="006A5866" w:rsidRPr="0042526D">
        <w:rPr>
          <w:sz w:val="20"/>
        </w:rPr>
        <w:t xml:space="preserve"> as at Budget May </w:t>
      </w:r>
      <w:r w:rsidR="00E55ABA" w:rsidRPr="0042526D">
        <w:rPr>
          <w:sz w:val="20"/>
        </w:rPr>
        <w:t>20</w:t>
      </w:r>
      <w:r w:rsidR="00C11F05" w:rsidRPr="0042526D">
        <w:rPr>
          <w:sz w:val="20"/>
        </w:rPr>
        <w:t>1</w:t>
      </w:r>
      <w:r w:rsidR="00D81071">
        <w:rPr>
          <w:sz w:val="20"/>
        </w:rPr>
        <w:t>5</w:t>
      </w:r>
      <w:r w:rsidR="00E55ABA" w:rsidRPr="0042526D">
        <w:rPr>
          <w:sz w:val="20"/>
        </w:rPr>
        <w:t xml:space="preserve"> </w:t>
      </w:r>
      <w:r w:rsidR="00A23BC2" w:rsidRPr="0042526D">
        <w:rPr>
          <w:sz w:val="20"/>
        </w:rPr>
        <w:t>(continued)</w:t>
      </w:r>
    </w:p>
    <w:p w:rsidR="0023659E" w:rsidRPr="0023659E" w:rsidRDefault="00833238" w:rsidP="0023659E">
      <w:pPr>
        <w:pStyle w:val="TableGraphic"/>
      </w:pPr>
      <w:r>
        <w:pict>
          <v:shape id="_x0000_i1032" type="#_x0000_t75" style="width:386.2pt;height:317.9pt">
            <v:imagedata r:id="rId52" o:title=""/>
          </v:shape>
        </w:pict>
      </w:r>
    </w:p>
    <w:p w:rsidR="0042526D" w:rsidRPr="005C7525" w:rsidRDefault="0042526D" w:rsidP="0042526D">
      <w:pPr>
        <w:pStyle w:val="ChartandTableFootnote"/>
        <w:numPr>
          <w:ilvl w:val="0"/>
          <w:numId w:val="8"/>
        </w:numPr>
        <w:ind w:left="284" w:hanging="284"/>
      </w:pPr>
      <w:r w:rsidRPr="005C7525">
        <w:rPr>
          <w:i/>
        </w:rPr>
        <w:t>Appropriation Bill (No. 1) 2015-16</w:t>
      </w:r>
      <w:r w:rsidRPr="005C7525">
        <w:t>.</w:t>
      </w:r>
    </w:p>
    <w:p w:rsidR="0042526D" w:rsidRPr="007C4CCE" w:rsidRDefault="0042526D" w:rsidP="0042526D">
      <w:pPr>
        <w:pStyle w:val="ChartandTableFootnote"/>
        <w:numPr>
          <w:ilvl w:val="0"/>
          <w:numId w:val="8"/>
        </w:numPr>
        <w:ind w:left="284" w:hanging="284"/>
      </w:pPr>
      <w:r w:rsidRPr="007C4CCE">
        <w:t xml:space="preserve">Estimated adjusted balance carried forward from previous year. </w:t>
      </w:r>
    </w:p>
    <w:p w:rsidR="0042526D" w:rsidRPr="008015A7" w:rsidRDefault="0042526D" w:rsidP="0042526D">
      <w:pPr>
        <w:pStyle w:val="ChartandTableFootnote"/>
        <w:numPr>
          <w:ilvl w:val="0"/>
          <w:numId w:val="8"/>
        </w:numPr>
        <w:ind w:left="284" w:hanging="284"/>
      </w:pPr>
      <w:r w:rsidRPr="008015A7">
        <w:t>Includes an amount of $</w:t>
      </w:r>
      <w:r w:rsidR="00596316">
        <w:t>52.171</w:t>
      </w:r>
      <w:r w:rsidRPr="008015A7">
        <w:t xml:space="preserve">m for the Departmental Capital Budget (refer to </w:t>
      </w:r>
      <w:r w:rsidR="00CE2B6C" w:rsidRPr="008015A7">
        <w:t xml:space="preserve">Table </w:t>
      </w:r>
      <w:r w:rsidRPr="008015A7">
        <w:t xml:space="preserve">3.2.5 for further details). For accounting purposes this amount has been designated as ‘contributions by owners’. </w:t>
      </w:r>
    </w:p>
    <w:p w:rsidR="0042526D" w:rsidRDefault="0042526D" w:rsidP="0042526D">
      <w:pPr>
        <w:pStyle w:val="ChartandTableFootnote"/>
        <w:numPr>
          <w:ilvl w:val="0"/>
          <w:numId w:val="8"/>
        </w:numPr>
        <w:ind w:left="284" w:hanging="284"/>
      </w:pPr>
      <w:r w:rsidRPr="00896FF4">
        <w:t xml:space="preserve">Estimated </w:t>
      </w:r>
      <w:r w:rsidR="009A04F7">
        <w:t>r</w:t>
      </w:r>
      <w:r w:rsidR="00CE2B6C" w:rsidRPr="00896FF4">
        <w:t xml:space="preserve">etained </w:t>
      </w:r>
      <w:r w:rsidRPr="00896FF4">
        <w:t xml:space="preserve">revenue </w:t>
      </w:r>
      <w:r>
        <w:t>receipts under section 74 of the PGPA Act</w:t>
      </w:r>
      <w:r w:rsidRPr="00896FF4">
        <w:t xml:space="preserve">. </w:t>
      </w:r>
    </w:p>
    <w:p w:rsidR="0042526D" w:rsidRDefault="0042526D" w:rsidP="0042526D">
      <w:pPr>
        <w:pStyle w:val="ChartandTableFootnote"/>
        <w:numPr>
          <w:ilvl w:val="0"/>
          <w:numId w:val="8"/>
        </w:numPr>
        <w:ind w:left="284" w:hanging="284"/>
      </w:pPr>
      <w:r w:rsidRPr="008015A7">
        <w:t>Includes an amount of $</w:t>
      </w:r>
      <w:r w:rsidR="00596316">
        <w:t>2.325</w:t>
      </w:r>
      <w:r w:rsidRPr="008015A7">
        <w:t xml:space="preserve">m for the </w:t>
      </w:r>
      <w:r>
        <w:t>Administered</w:t>
      </w:r>
      <w:r w:rsidRPr="008015A7">
        <w:t xml:space="preserve"> Capital Budget (refer to </w:t>
      </w:r>
      <w:r w:rsidR="00CE2B6C" w:rsidRPr="008015A7">
        <w:t xml:space="preserve">Table </w:t>
      </w:r>
      <w:r w:rsidRPr="008015A7">
        <w:t>3.2.</w:t>
      </w:r>
      <w:r>
        <w:t>10</w:t>
      </w:r>
      <w:r w:rsidRPr="008015A7">
        <w:t xml:space="preserve"> for further details). For accounting purposes this amount has been designated</w:t>
      </w:r>
      <w:r>
        <w:t xml:space="preserve"> as ‘contributions by owners’. </w:t>
      </w:r>
    </w:p>
    <w:p w:rsidR="0042526D" w:rsidRDefault="0042526D" w:rsidP="0042526D">
      <w:pPr>
        <w:pStyle w:val="ChartandTableFootnote"/>
        <w:numPr>
          <w:ilvl w:val="0"/>
          <w:numId w:val="8"/>
        </w:numPr>
        <w:ind w:left="284" w:hanging="284"/>
      </w:pPr>
      <w:r>
        <w:t xml:space="preserve">‘Corporate entities’ are corporate Commonwealth entities and Commonwealth companies as defined under the </w:t>
      </w:r>
      <w:r w:rsidRPr="00123218">
        <w:t>PGPA Act 2013</w:t>
      </w:r>
      <w:r>
        <w:t>.</w:t>
      </w:r>
    </w:p>
    <w:p w:rsidR="0042526D" w:rsidRPr="005C7525" w:rsidRDefault="0042526D" w:rsidP="0042526D">
      <w:pPr>
        <w:pStyle w:val="ChartandTableFootnote"/>
        <w:numPr>
          <w:ilvl w:val="0"/>
          <w:numId w:val="8"/>
        </w:numPr>
        <w:ind w:left="284" w:hanging="284"/>
      </w:pPr>
      <w:r w:rsidRPr="005C7525">
        <w:rPr>
          <w:i/>
        </w:rPr>
        <w:t>Appropriation Bill (No. 2) 2015-16</w:t>
      </w:r>
      <w:r w:rsidRPr="005C7525">
        <w:t xml:space="preserve">. </w:t>
      </w:r>
    </w:p>
    <w:p w:rsidR="0042526D" w:rsidRDefault="0042526D" w:rsidP="0042526D">
      <w:pPr>
        <w:pStyle w:val="ChartandTableFootnote"/>
        <w:numPr>
          <w:ilvl w:val="0"/>
          <w:numId w:val="8"/>
        </w:numPr>
        <w:ind w:left="284" w:hanging="284"/>
      </w:pPr>
      <w:r w:rsidRPr="00896FF4">
        <w:t xml:space="preserve">Repayments not provided </w:t>
      </w:r>
      <w:r>
        <w:t xml:space="preserve">for under other appropriations. </w:t>
      </w:r>
      <w:r w:rsidRPr="00896FF4">
        <w:t xml:space="preserve">Amounts received on or before 30 June 2014 were repaid under section 28 of the </w:t>
      </w:r>
      <w:r w:rsidRPr="00896FF4">
        <w:rPr>
          <w:i/>
        </w:rPr>
        <w:t>Financial Management and Accountability Act 1997</w:t>
      </w:r>
      <w:r w:rsidRPr="00896FF4">
        <w:t>.</w:t>
      </w:r>
    </w:p>
    <w:p w:rsidR="0042526D" w:rsidRDefault="0042526D" w:rsidP="0042526D">
      <w:pPr>
        <w:pStyle w:val="ChartandTableFootnote"/>
        <w:numPr>
          <w:ilvl w:val="0"/>
          <w:numId w:val="8"/>
        </w:numPr>
        <w:ind w:left="284" w:hanging="284"/>
      </w:pPr>
      <w:r>
        <w:t xml:space="preserve">Estimated opening balance for special accounts (less ‘Special Public Money’ held in accounts like </w:t>
      </w:r>
      <w:r>
        <w:rPr>
          <w:i/>
        </w:rPr>
        <w:t>Other Trust Monies</w:t>
      </w:r>
      <w:r>
        <w:t xml:space="preserve"> accounts (OTM), </w:t>
      </w:r>
      <w:r>
        <w:rPr>
          <w:i/>
        </w:rPr>
        <w:t>Services for other Government and Non-agency Bodies</w:t>
      </w:r>
      <w:r>
        <w:t xml:space="preserve"> accounts (SOG), or </w:t>
      </w:r>
      <w:r>
        <w:rPr>
          <w:i/>
        </w:rPr>
        <w:t>Services for Other Entities and Trust Moneys</w:t>
      </w:r>
      <w:r>
        <w:t xml:space="preserve"> accounts (SOETM)). For further information on special accounts, see Table 3.1.2.</w:t>
      </w:r>
    </w:p>
    <w:p w:rsidR="0042526D" w:rsidRPr="0042526D" w:rsidRDefault="0042526D" w:rsidP="00CB4589">
      <w:pPr>
        <w:pStyle w:val="ChartandTableFootnote"/>
        <w:keepNext w:val="0"/>
        <w:numPr>
          <w:ilvl w:val="0"/>
          <w:numId w:val="8"/>
        </w:numPr>
        <w:ind w:left="284" w:hanging="284"/>
      </w:pPr>
      <w:r>
        <w:t xml:space="preserve">Appropriation receipts from </w:t>
      </w:r>
      <w:r w:rsidR="00317ED9">
        <w:t>DFAT’s</w:t>
      </w:r>
      <w:r>
        <w:t xml:space="preserve"> annual and special appropriations for 201</w:t>
      </w:r>
      <w:r w:rsidR="00B926F4">
        <w:t>5</w:t>
      </w:r>
      <w:r>
        <w:t>-1</w:t>
      </w:r>
      <w:r w:rsidR="00B926F4">
        <w:t>6</w:t>
      </w:r>
      <w:r>
        <w:t xml:space="preserve"> included above.</w:t>
      </w:r>
    </w:p>
    <w:p w:rsidR="00CE2B6C" w:rsidRDefault="0042526D" w:rsidP="005C7525">
      <w:pPr>
        <w:pStyle w:val="ChartandTableFootnote"/>
        <w:keepNext w:val="0"/>
        <w:numPr>
          <w:ilvl w:val="0"/>
          <w:numId w:val="8"/>
        </w:numPr>
        <w:ind w:left="284" w:hanging="284"/>
      </w:pPr>
      <w:r>
        <w:t xml:space="preserve">Appropriation receipts from other entities credited to </w:t>
      </w:r>
      <w:r w:rsidR="00596316">
        <w:t>DFAT</w:t>
      </w:r>
      <w:r>
        <w:t>’s special accounts.</w:t>
      </w:r>
    </w:p>
    <w:p w:rsidR="0042526D" w:rsidRPr="00C8049D" w:rsidRDefault="0042526D" w:rsidP="003D2984">
      <w:pPr>
        <w:pStyle w:val="ChartandTableFootnote"/>
        <w:keepNext w:val="0"/>
        <w:ind w:left="0" w:firstLine="0"/>
      </w:pPr>
      <w:r w:rsidRPr="00C8049D">
        <w:t>Reader note: All figures are GST exclusive.</w:t>
      </w:r>
    </w:p>
    <w:p w:rsidR="00C7638D" w:rsidRPr="005C4BEE" w:rsidRDefault="00C7638D" w:rsidP="003D2984">
      <w:pPr>
        <w:pStyle w:val="TableHeading"/>
        <w:spacing w:before="0"/>
        <w:rPr>
          <w:sz w:val="20"/>
        </w:rPr>
      </w:pPr>
      <w:r w:rsidRPr="005C4BEE">
        <w:rPr>
          <w:sz w:val="20"/>
        </w:rPr>
        <w:lastRenderedPageBreak/>
        <w:t xml:space="preserve">Third party payments from and on behalf of other </w:t>
      </w:r>
      <w:r w:rsidR="00422F4B">
        <w:rPr>
          <w:sz w:val="20"/>
        </w:rPr>
        <w:t>entities</w:t>
      </w:r>
    </w:p>
    <w:p w:rsidR="00825D4F" w:rsidRDefault="00833238" w:rsidP="00E51F1C">
      <w:pPr>
        <w:pStyle w:val="TableGraphic"/>
      </w:pPr>
      <w:bookmarkStart w:id="19" w:name="_Toc190682311"/>
      <w:bookmarkStart w:id="20" w:name="_Toc190682529"/>
      <w:r>
        <w:pict>
          <v:shape id="_x0000_i1033" type="#_x0000_t75" style="width:386.2pt;height:70.15pt">
            <v:imagedata r:id="rId53" o:title=""/>
          </v:shape>
        </w:pict>
      </w:r>
    </w:p>
    <w:p w:rsidR="0008449F" w:rsidRDefault="00E06F9F" w:rsidP="003D2984">
      <w:pPr>
        <w:pStyle w:val="Heading3"/>
        <w:spacing w:before="0"/>
      </w:pPr>
      <w:r>
        <w:br w:type="page"/>
      </w:r>
      <w:r w:rsidR="0008449F">
        <w:lastRenderedPageBreak/>
        <w:t>1.3</w:t>
      </w:r>
      <w:r w:rsidR="0008449F">
        <w:tab/>
        <w:t>Budget measures</w:t>
      </w:r>
      <w:bookmarkEnd w:id="19"/>
      <w:bookmarkEnd w:id="20"/>
    </w:p>
    <w:p w:rsidR="00F20B6E" w:rsidRDefault="00DC32EC" w:rsidP="0008449F">
      <w:r w:rsidRPr="00DC32EC">
        <w:t xml:space="preserve">Budget measures </w:t>
      </w:r>
      <w:r w:rsidR="005C4BEE">
        <w:t xml:space="preserve">in Part 1 </w:t>
      </w:r>
      <w:r w:rsidRPr="00DC32EC">
        <w:t>relating to</w:t>
      </w:r>
      <w:r w:rsidR="001B03CC">
        <w:t xml:space="preserve"> </w:t>
      </w:r>
      <w:r w:rsidR="00C0006A">
        <w:t>the Department of Foreign Affairs and Trade</w:t>
      </w:r>
      <w:r w:rsidRPr="00DC32EC">
        <w:t xml:space="preserve"> a</w:t>
      </w:r>
      <w:r w:rsidR="00CB4589">
        <w:t>re detailed in Budget Paper No. </w:t>
      </w:r>
      <w:r w:rsidRPr="00DC32EC">
        <w:t>2</w:t>
      </w:r>
      <w:r w:rsidR="00C2641F">
        <w:t xml:space="preserve"> and are summarised </w:t>
      </w:r>
      <w:r w:rsidR="002C7703">
        <w:t>below</w:t>
      </w:r>
      <w:r w:rsidR="00C8049D">
        <w:t xml:space="preserve">. </w:t>
      </w:r>
    </w:p>
    <w:p w:rsidR="00AF3811" w:rsidRPr="005C7525" w:rsidRDefault="00AF3811" w:rsidP="002B779E">
      <w:pPr>
        <w:pStyle w:val="TableHeading"/>
        <w:rPr>
          <w:sz w:val="20"/>
        </w:rPr>
      </w:pPr>
      <w:r w:rsidRPr="005C7525">
        <w:rPr>
          <w:sz w:val="20"/>
        </w:rPr>
        <w:t xml:space="preserve">Table 1.2: </w:t>
      </w:r>
      <w:r w:rsidR="007E6BBD" w:rsidRPr="005C7525">
        <w:rPr>
          <w:sz w:val="20"/>
        </w:rPr>
        <w:t xml:space="preserve">Entity </w:t>
      </w:r>
      <w:r w:rsidR="006727FC" w:rsidRPr="005C7525">
        <w:rPr>
          <w:sz w:val="20"/>
        </w:rPr>
        <w:t>2015</w:t>
      </w:r>
      <w:r w:rsidR="00CB4589" w:rsidRPr="005C7525">
        <w:rPr>
          <w:sz w:val="20"/>
        </w:rPr>
        <w:noBreakHyphen/>
      </w:r>
      <w:r w:rsidR="006727FC" w:rsidRPr="005C7525">
        <w:rPr>
          <w:sz w:val="20"/>
        </w:rPr>
        <w:t>16</w:t>
      </w:r>
      <w:r w:rsidRPr="005C7525">
        <w:rPr>
          <w:sz w:val="20"/>
        </w:rPr>
        <w:t xml:space="preserve"> Budget measures</w:t>
      </w:r>
    </w:p>
    <w:p w:rsidR="00DC32EC" w:rsidRPr="005C4BEE" w:rsidRDefault="00AF3811" w:rsidP="008A6069">
      <w:pPr>
        <w:pStyle w:val="TableHeadingcontinued"/>
        <w:spacing w:after="120"/>
      </w:pPr>
      <w:r w:rsidRPr="005C4BEE">
        <w:t xml:space="preserve">Part 1: Measures announced since the </w:t>
      </w:r>
      <w:r w:rsidR="00CB4589">
        <w:t>2014</w:t>
      </w:r>
      <w:r w:rsidR="00CB4589">
        <w:noBreakHyphen/>
      </w:r>
      <w:r w:rsidR="006727FC">
        <w:t>15</w:t>
      </w:r>
      <w:r w:rsidRPr="005C4BEE">
        <w:t xml:space="preserve"> M</w:t>
      </w:r>
      <w:r w:rsidR="006727FC">
        <w:t>id-Year Economic and Fiscal Outlook (MYEFO)</w:t>
      </w:r>
    </w:p>
    <w:p w:rsidR="001549BE" w:rsidRDefault="00833238" w:rsidP="008A6069">
      <w:pPr>
        <w:pStyle w:val="TableGraphic"/>
        <w:jc w:val="left"/>
      </w:pPr>
      <w:r>
        <w:pict>
          <v:shape id="_x0000_i1034" type="#_x0000_t75" style="width:381.5pt;height:405.8pt">
            <v:imagedata r:id="rId54" o:title=""/>
          </v:shape>
        </w:pict>
      </w:r>
    </w:p>
    <w:p w:rsidR="005C7525" w:rsidRPr="00522B70" w:rsidRDefault="005C7525" w:rsidP="005C7525">
      <w:pPr>
        <w:pStyle w:val="TableGraphic"/>
        <w:rPr>
          <w:i/>
        </w:rPr>
      </w:pPr>
      <w:r w:rsidRPr="00522B70">
        <w:rPr>
          <w:i/>
        </w:rPr>
        <w:t xml:space="preserve">Table continued on the following page. </w:t>
      </w:r>
    </w:p>
    <w:p w:rsidR="008A6069" w:rsidRPr="005C4BEE" w:rsidRDefault="008A6069" w:rsidP="003D2984">
      <w:pPr>
        <w:pStyle w:val="TableHeadingcontinued"/>
        <w:spacing w:before="0" w:after="120"/>
      </w:pPr>
      <w:r>
        <w:br w:type="page"/>
      </w:r>
      <w:r w:rsidRPr="005C4BEE">
        <w:lastRenderedPageBreak/>
        <w:t xml:space="preserve">Part 1: Measures announced since the </w:t>
      </w:r>
      <w:r>
        <w:t>2014</w:t>
      </w:r>
      <w:r>
        <w:noBreakHyphen/>
        <w:t>15</w:t>
      </w:r>
      <w:r w:rsidRPr="005C4BEE">
        <w:t xml:space="preserve"> M</w:t>
      </w:r>
      <w:r>
        <w:t>id-Year Econom</w:t>
      </w:r>
      <w:r w:rsidR="002D7D62">
        <w:t>ic and Fiscal Outlook (MYEFO) (</w:t>
      </w:r>
      <w:r w:rsidR="007C0446">
        <w:t>c</w:t>
      </w:r>
      <w:r>
        <w:t>ontinued</w:t>
      </w:r>
      <w:r w:rsidR="002D7D62">
        <w:t>)</w:t>
      </w:r>
      <w:r>
        <w:t xml:space="preserve"> </w:t>
      </w:r>
    </w:p>
    <w:p w:rsidR="008A6069" w:rsidRDefault="00833238" w:rsidP="009C23DA">
      <w:pPr>
        <w:pStyle w:val="NoSpacing"/>
      </w:pPr>
      <w:r>
        <w:pict>
          <v:shape id="_x0000_i1035" type="#_x0000_t75" style="width:381.5pt;height:491.85pt">
            <v:imagedata r:id="rId55" o:title=""/>
          </v:shape>
        </w:pict>
      </w:r>
    </w:p>
    <w:p w:rsidR="00AD6757" w:rsidRDefault="005C7525" w:rsidP="003D2984">
      <w:pPr>
        <w:pStyle w:val="NoSpacing"/>
        <w:jc w:val="left"/>
      </w:pPr>
      <w:r w:rsidRPr="00522B70">
        <w:rPr>
          <w:i/>
        </w:rPr>
        <w:t>Table continued on the following page.</w:t>
      </w:r>
      <w:r w:rsidR="00AD6757">
        <w:br w:type="page"/>
      </w:r>
      <w:r w:rsidR="00AD6757" w:rsidRPr="00AD6757">
        <w:rPr>
          <w:rFonts w:ascii="Arial Bold" w:hAnsi="Arial Bold"/>
          <w:b/>
        </w:rPr>
        <w:lastRenderedPageBreak/>
        <w:t>Part 1: Measures announced since the 2014</w:t>
      </w:r>
      <w:r w:rsidR="00AD6757" w:rsidRPr="00AD6757">
        <w:rPr>
          <w:rFonts w:ascii="Arial Bold" w:hAnsi="Arial Bold"/>
          <w:b/>
        </w:rPr>
        <w:noBreakHyphen/>
        <w:t>15 Mid-Year Econom</w:t>
      </w:r>
      <w:r w:rsidR="002D7D62">
        <w:rPr>
          <w:rFonts w:ascii="Arial Bold" w:hAnsi="Arial Bold"/>
          <w:b/>
        </w:rPr>
        <w:t>ic and Fiscal Outlook (MYEFO) (</w:t>
      </w:r>
      <w:r w:rsidR="007C0446">
        <w:rPr>
          <w:rFonts w:ascii="Arial Bold" w:hAnsi="Arial Bold"/>
          <w:b/>
        </w:rPr>
        <w:t>c</w:t>
      </w:r>
      <w:r w:rsidR="00AD6757" w:rsidRPr="00AD6757">
        <w:rPr>
          <w:rFonts w:ascii="Arial Bold" w:hAnsi="Arial Bold"/>
          <w:b/>
        </w:rPr>
        <w:t>ontinued</w:t>
      </w:r>
      <w:r w:rsidR="002D7D62">
        <w:rPr>
          <w:rFonts w:ascii="Arial Bold" w:hAnsi="Arial Bold"/>
          <w:b/>
        </w:rPr>
        <w:t>)</w:t>
      </w:r>
      <w:r w:rsidR="00AD6757">
        <w:t xml:space="preserve"> </w:t>
      </w:r>
    </w:p>
    <w:p w:rsidR="00AD6757" w:rsidRDefault="00833238" w:rsidP="00412658">
      <w:pPr>
        <w:pStyle w:val="NoSpacing"/>
        <w:spacing w:before="120"/>
        <w:jc w:val="left"/>
      </w:pPr>
      <w:r>
        <w:pict>
          <v:shape id="_x0000_i1036" type="#_x0000_t75" style="width:381.5pt;height:146.8pt">
            <v:imagedata r:id="rId56" o:title=""/>
          </v:shape>
        </w:pict>
      </w:r>
    </w:p>
    <w:p w:rsidR="008E1CEE" w:rsidRDefault="008E1CEE" w:rsidP="00F37EE6">
      <w:pPr>
        <w:pStyle w:val="ChartandTableFootnote"/>
        <w:numPr>
          <w:ilvl w:val="0"/>
          <w:numId w:val="71"/>
        </w:numPr>
        <w:ind w:left="284" w:hanging="284"/>
      </w:pPr>
      <w:r w:rsidRPr="008E1CEE">
        <w:t>Measure includes payments to Overseas Property Office of $0.462m which does not impact on fiscal or underlying cash balance.</w:t>
      </w:r>
    </w:p>
    <w:p w:rsidR="005C7525" w:rsidRDefault="005C7525" w:rsidP="008E1CEE">
      <w:pPr>
        <w:pStyle w:val="ChartandTableFootnote"/>
        <w:rPr>
          <w:rFonts w:cs="Arial"/>
          <w:color w:val="000000"/>
          <w:szCs w:val="16"/>
        </w:rPr>
      </w:pPr>
      <w:r>
        <w:rPr>
          <w:rFonts w:cs="Arial"/>
          <w:color w:val="000000"/>
          <w:szCs w:val="16"/>
        </w:rPr>
        <w:t>nfp –</w:t>
      </w:r>
      <w:r w:rsidR="008E1CEE">
        <w:rPr>
          <w:rFonts w:cs="Arial"/>
          <w:color w:val="000000"/>
          <w:szCs w:val="16"/>
        </w:rPr>
        <w:t xml:space="preserve"> </w:t>
      </w:r>
      <w:r>
        <w:rPr>
          <w:rFonts w:cs="Arial"/>
          <w:color w:val="000000"/>
          <w:szCs w:val="16"/>
        </w:rPr>
        <w:t>not for publication.</w:t>
      </w:r>
    </w:p>
    <w:p w:rsidR="00412658" w:rsidRPr="005C7525" w:rsidRDefault="00412658" w:rsidP="005C7525">
      <w:pPr>
        <w:pStyle w:val="ChartandTableFootnote"/>
        <w:ind w:left="0" w:firstLine="0"/>
      </w:pPr>
      <w:r w:rsidRPr="005C7525">
        <w:rPr>
          <w:rFonts w:cs="Arial"/>
          <w:color w:val="000000"/>
          <w:szCs w:val="16"/>
        </w:rPr>
        <w:t>Prepared on a Government Finance Statistics (fiscal) basis</w:t>
      </w:r>
      <w:r w:rsidR="009D0E58">
        <w:rPr>
          <w:rFonts w:cs="Arial"/>
          <w:color w:val="000000"/>
          <w:szCs w:val="16"/>
        </w:rPr>
        <w:t>.</w:t>
      </w:r>
      <w:r w:rsidRPr="005C7525">
        <w:rPr>
          <w:rFonts w:cs="Arial"/>
          <w:color w:val="000000"/>
          <w:szCs w:val="16"/>
        </w:rPr>
        <w:t xml:space="preserve"> </w:t>
      </w:r>
    </w:p>
    <w:p w:rsidR="00412658" w:rsidRDefault="00412658" w:rsidP="00AD6757">
      <w:pPr>
        <w:pStyle w:val="NoSpacing"/>
        <w:spacing w:before="120" w:after="120"/>
        <w:ind w:left="45"/>
        <w:jc w:val="left"/>
        <w:rPr>
          <w:rFonts w:ascii="Arial" w:hAnsi="Arial" w:cs="Arial"/>
          <w:color w:val="000000"/>
          <w:sz w:val="16"/>
          <w:szCs w:val="16"/>
        </w:rPr>
      </w:pPr>
    </w:p>
    <w:p w:rsidR="008A6069" w:rsidRDefault="00AD6757" w:rsidP="00412658">
      <w:pPr>
        <w:pStyle w:val="NoSpacing"/>
        <w:spacing w:before="120" w:after="120"/>
        <w:ind w:left="45"/>
        <w:jc w:val="left"/>
      </w:pPr>
      <w:r w:rsidRPr="00AD6757">
        <w:t xml:space="preserve"> </w:t>
      </w:r>
    </w:p>
    <w:p w:rsidR="00BE7D58" w:rsidRPr="003A3A68" w:rsidRDefault="0049212C" w:rsidP="003A3A68">
      <w:pPr>
        <w:pStyle w:val="Heading2"/>
        <w:spacing w:before="0"/>
        <w:rPr>
          <w:b/>
          <w:sz w:val="28"/>
          <w:szCs w:val="28"/>
        </w:rPr>
      </w:pPr>
      <w:bookmarkStart w:id="21" w:name="_Toc190682312"/>
      <w:bookmarkStart w:id="22" w:name="_Toc190682530"/>
      <w:r>
        <w:br w:type="page"/>
      </w:r>
      <w:r w:rsidR="00BE7D58" w:rsidRPr="003A3A68">
        <w:lastRenderedPageBreak/>
        <w:t xml:space="preserve">Section 2: Outcomes and </w:t>
      </w:r>
      <w:r w:rsidR="00CD3382" w:rsidRPr="003A3A68">
        <w:t>p</w:t>
      </w:r>
      <w:r w:rsidR="0069466B" w:rsidRPr="003A3A68">
        <w:t>lanned</w:t>
      </w:r>
      <w:r w:rsidR="00BE7D58" w:rsidRPr="003A3A68">
        <w:t xml:space="preserve"> performance</w:t>
      </w:r>
    </w:p>
    <w:p w:rsidR="00BE7D58" w:rsidRDefault="00BE7D58" w:rsidP="00BB3AB5">
      <w:pPr>
        <w:pStyle w:val="Heading3"/>
      </w:pPr>
      <w:r>
        <w:t>2.1</w:t>
      </w:r>
      <w:r>
        <w:tab/>
        <w:t>Outcomes and performance information</w:t>
      </w:r>
    </w:p>
    <w:p w:rsidR="00C0006A" w:rsidRDefault="00C0006A" w:rsidP="00574C88">
      <w:pPr>
        <w:spacing w:line="280" w:lineRule="exact"/>
      </w:pPr>
      <w:r>
        <w:t xml:space="preserve">Government outcomes are the intended results, impacts or consequences of actions by the Government on the Australian community. </w:t>
      </w:r>
      <w:r w:rsidRPr="00E95DB8">
        <w:t xml:space="preserve">Commonwealth </w:t>
      </w:r>
      <w:r>
        <w:t>programmes</w:t>
      </w:r>
      <w:r w:rsidRPr="00E95DB8">
        <w:t xml:space="preserve"> are the primary vehicle by which </w:t>
      </w:r>
      <w:r>
        <w:t>g</w:t>
      </w:r>
      <w:r w:rsidRPr="00E95DB8">
        <w:t xml:space="preserve">overnment </w:t>
      </w:r>
      <w:r>
        <w:t xml:space="preserve">entities </w:t>
      </w:r>
      <w:r w:rsidRPr="00E95DB8">
        <w:t xml:space="preserve">achieve the intended results of their outcome statements. </w:t>
      </w:r>
      <w:r>
        <w:t xml:space="preserve">Entities </w:t>
      </w:r>
      <w:r w:rsidRPr="00E95DB8">
        <w:t xml:space="preserve">are required to identify the </w:t>
      </w:r>
      <w:r>
        <w:t>programmes which contribute to government outcomes over the Budget and forward years.</w:t>
      </w:r>
    </w:p>
    <w:p w:rsidR="00C0006A" w:rsidRDefault="00C0006A" w:rsidP="00C0006A">
      <w:pPr>
        <w:spacing w:line="280" w:lineRule="exact"/>
      </w:pPr>
      <w:r>
        <w:t xml:space="preserve">Each outcome is described below together with its related programmes, specifying the performance indicators and targets used to assess and monitor the performance of </w:t>
      </w:r>
      <w:r w:rsidRPr="004014D3">
        <w:t xml:space="preserve">Department of Foreign Affairs and Trade </w:t>
      </w:r>
      <w:r>
        <w:t xml:space="preserve">in achieving government outcomes.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DF75A2" w:rsidTr="006921FC">
        <w:tc>
          <w:tcPr>
            <w:tcW w:w="7713" w:type="dxa"/>
            <w:shd w:val="clear" w:color="auto" w:fill="E6E6E6"/>
          </w:tcPr>
          <w:p w:rsidR="00DF75A2" w:rsidRDefault="00C0006A" w:rsidP="006921FC">
            <w:pPr>
              <w:pStyle w:val="TableColumnHeadingLeft"/>
            </w:pPr>
            <w:r>
              <w:t>Outcome 1: The advancement of Australia’s international strategic, security and economic interests including through bilateral, regional and multilateral engagement on Australian Government foreign, trade and international development priorities</w:t>
            </w:r>
          </w:p>
        </w:tc>
      </w:tr>
    </w:tbl>
    <w:p w:rsidR="00DF75A2" w:rsidRDefault="00DF75A2" w:rsidP="00DF75A2">
      <w:pPr>
        <w:pStyle w:val="NoSpacing"/>
      </w:pPr>
    </w:p>
    <w:p w:rsidR="00DF75A2" w:rsidRDefault="00DF75A2" w:rsidP="00DF75A2">
      <w:pPr>
        <w:pStyle w:val="Heading4"/>
      </w:pPr>
      <w:r>
        <w:t>Outcome 1 strategy</w:t>
      </w:r>
    </w:p>
    <w:p w:rsidR="00C0006A" w:rsidRPr="00C50672" w:rsidRDefault="00C0006A" w:rsidP="00C0006A">
      <w:pPr>
        <w:pStyle w:val="Default"/>
        <w:spacing w:after="240" w:line="280" w:lineRule="exact"/>
        <w:jc w:val="both"/>
        <w:rPr>
          <w:rFonts w:ascii="Book Antiqua" w:hAnsi="Book Antiqua" w:cs="Book Antiqua"/>
          <w:color w:val="auto"/>
          <w:sz w:val="20"/>
          <w:szCs w:val="20"/>
        </w:rPr>
      </w:pPr>
      <w:r w:rsidRPr="00C50672">
        <w:rPr>
          <w:rFonts w:ascii="Book Antiqua" w:hAnsi="Book Antiqua" w:cs="Book Antiqua"/>
          <w:color w:val="auto"/>
          <w:sz w:val="20"/>
          <w:szCs w:val="20"/>
        </w:rPr>
        <w:t xml:space="preserve">The department will assist the Government to meet its </w:t>
      </w:r>
      <w:r>
        <w:rPr>
          <w:rFonts w:ascii="Book Antiqua" w:hAnsi="Book Antiqua" w:cs="Book Antiqua"/>
          <w:color w:val="auto"/>
          <w:sz w:val="20"/>
          <w:szCs w:val="20"/>
        </w:rPr>
        <w:t>foreign, trade and investment, development and international security policy priorities over 2015</w:t>
      </w:r>
      <w:r w:rsidRPr="00C50672">
        <w:rPr>
          <w:rFonts w:ascii="Book Antiqua" w:hAnsi="Book Antiqua" w:cs="Book Antiqua"/>
          <w:color w:val="auto"/>
          <w:sz w:val="20"/>
          <w:szCs w:val="20"/>
        </w:rPr>
        <w:t>-1</w:t>
      </w:r>
      <w:r>
        <w:rPr>
          <w:rFonts w:ascii="Book Antiqua" w:hAnsi="Book Antiqua" w:cs="Book Antiqua"/>
          <w:color w:val="auto"/>
          <w:sz w:val="20"/>
          <w:szCs w:val="20"/>
        </w:rPr>
        <w:t>6</w:t>
      </w:r>
      <w:r w:rsidRPr="00C50672">
        <w:rPr>
          <w:rFonts w:ascii="Book Antiqua" w:hAnsi="Book Antiqua" w:cs="Book Antiqua"/>
          <w:color w:val="auto"/>
          <w:sz w:val="20"/>
          <w:szCs w:val="20"/>
        </w:rPr>
        <w:t xml:space="preserve"> and forward years through: </w:t>
      </w:r>
    </w:p>
    <w:p w:rsidR="00C0006A" w:rsidRPr="00C50672" w:rsidRDefault="00C0006A" w:rsidP="00F37EE6">
      <w:pPr>
        <w:pStyle w:val="Default"/>
        <w:numPr>
          <w:ilvl w:val="0"/>
          <w:numId w:val="45"/>
        </w:numPr>
        <w:spacing w:after="240" w:line="280" w:lineRule="exact"/>
        <w:ind w:left="568" w:hanging="284"/>
        <w:jc w:val="both"/>
        <w:rPr>
          <w:rFonts w:ascii="Book Antiqua" w:hAnsi="Book Antiqua" w:cs="Book Antiqua"/>
          <w:color w:val="auto"/>
          <w:sz w:val="20"/>
          <w:szCs w:val="20"/>
        </w:rPr>
      </w:pPr>
      <w:r>
        <w:rPr>
          <w:rFonts w:ascii="Book Antiqua" w:hAnsi="Book Antiqua" w:cs="Book Antiqua"/>
          <w:color w:val="auto"/>
          <w:sz w:val="20"/>
          <w:szCs w:val="20"/>
        </w:rPr>
        <w:t>strengthening</w:t>
      </w:r>
      <w:r w:rsidRPr="00C50672">
        <w:rPr>
          <w:rFonts w:ascii="Book Antiqua" w:hAnsi="Book Antiqua" w:cs="Book Antiqua"/>
          <w:color w:val="auto"/>
          <w:sz w:val="20"/>
          <w:szCs w:val="20"/>
        </w:rPr>
        <w:t xml:space="preserve"> further Australia’s relations with key international partners and countries of growing significance to Australia’s national interests; </w:t>
      </w:r>
    </w:p>
    <w:p w:rsidR="00C0006A" w:rsidRPr="008E08D1" w:rsidRDefault="00C0006A" w:rsidP="00F37EE6">
      <w:pPr>
        <w:pStyle w:val="Default"/>
        <w:numPr>
          <w:ilvl w:val="0"/>
          <w:numId w:val="45"/>
        </w:numPr>
        <w:spacing w:after="240" w:line="280" w:lineRule="exact"/>
        <w:ind w:left="568" w:hanging="284"/>
        <w:jc w:val="both"/>
        <w:rPr>
          <w:rFonts w:ascii="Book Antiqua" w:hAnsi="Book Antiqua" w:cs="Book Antiqua"/>
          <w:color w:val="auto"/>
          <w:sz w:val="20"/>
          <w:szCs w:val="20"/>
        </w:rPr>
      </w:pPr>
      <w:r w:rsidRPr="008E08D1">
        <w:rPr>
          <w:rFonts w:ascii="Book Antiqua" w:hAnsi="Book Antiqua" w:cs="Book Antiqua"/>
          <w:color w:val="auto"/>
          <w:sz w:val="20"/>
          <w:szCs w:val="20"/>
        </w:rPr>
        <w:t xml:space="preserve">driving the economic diplomacy agenda through trade, growth, investment and business </w:t>
      </w:r>
      <w:r>
        <w:rPr>
          <w:rFonts w:ascii="Book Antiqua" w:hAnsi="Book Antiqua" w:cs="Book Antiqua"/>
          <w:color w:val="auto"/>
          <w:sz w:val="20"/>
          <w:szCs w:val="20"/>
        </w:rPr>
        <w:t>to encourage Australian prosperity and global prosperity;</w:t>
      </w:r>
    </w:p>
    <w:p w:rsidR="00C0006A" w:rsidRPr="00C50672" w:rsidRDefault="00C0006A" w:rsidP="00F37EE6">
      <w:pPr>
        <w:pStyle w:val="Default"/>
        <w:numPr>
          <w:ilvl w:val="0"/>
          <w:numId w:val="45"/>
        </w:numPr>
        <w:spacing w:after="240" w:line="280" w:lineRule="exact"/>
        <w:ind w:left="568" w:hanging="284"/>
        <w:jc w:val="both"/>
        <w:rPr>
          <w:rFonts w:ascii="Book Antiqua" w:hAnsi="Book Antiqua" w:cs="Book Antiqua"/>
          <w:color w:val="auto"/>
          <w:sz w:val="20"/>
          <w:szCs w:val="20"/>
        </w:rPr>
      </w:pPr>
      <w:r w:rsidRPr="00C50672">
        <w:rPr>
          <w:rFonts w:ascii="Book Antiqua" w:hAnsi="Book Antiqua" w:cs="Book Antiqua"/>
          <w:color w:val="auto"/>
          <w:sz w:val="20"/>
          <w:szCs w:val="20"/>
        </w:rPr>
        <w:t xml:space="preserve">contributing to national prosperity by maximising Australia’s trade opportunities and market access gains through multilateral, regional and bilateral means; </w:t>
      </w:r>
    </w:p>
    <w:p w:rsidR="00C0006A" w:rsidRPr="00C50672" w:rsidRDefault="00C0006A" w:rsidP="00F37EE6">
      <w:pPr>
        <w:pStyle w:val="Default"/>
        <w:numPr>
          <w:ilvl w:val="0"/>
          <w:numId w:val="45"/>
        </w:numPr>
        <w:spacing w:after="240" w:line="280" w:lineRule="exact"/>
        <w:ind w:left="568" w:hanging="284"/>
        <w:jc w:val="both"/>
        <w:rPr>
          <w:rFonts w:ascii="Book Antiqua" w:hAnsi="Book Antiqua" w:cs="Book Antiqua"/>
          <w:color w:val="auto"/>
          <w:sz w:val="20"/>
          <w:szCs w:val="20"/>
        </w:rPr>
      </w:pPr>
      <w:r>
        <w:rPr>
          <w:rFonts w:ascii="Book Antiqua" w:hAnsi="Book Antiqua" w:cs="Book Antiqua"/>
          <w:color w:val="auto"/>
          <w:sz w:val="20"/>
          <w:szCs w:val="20"/>
        </w:rPr>
        <w:t>assisting developing countries by contributing to sustainable economic growth and poverty reduction, particularly in the Indo-Pacific region, through support to private sector development and strengthening human development;</w:t>
      </w:r>
    </w:p>
    <w:p w:rsidR="00C0006A" w:rsidRPr="00C50672" w:rsidRDefault="00C0006A" w:rsidP="00F37EE6">
      <w:pPr>
        <w:pStyle w:val="Default"/>
        <w:numPr>
          <w:ilvl w:val="0"/>
          <w:numId w:val="45"/>
        </w:numPr>
        <w:spacing w:after="240" w:line="280" w:lineRule="exact"/>
        <w:ind w:left="568" w:hanging="284"/>
        <w:jc w:val="both"/>
        <w:rPr>
          <w:rFonts w:ascii="Book Antiqua" w:hAnsi="Book Antiqua" w:cs="Book Antiqua"/>
          <w:color w:val="auto"/>
          <w:sz w:val="20"/>
          <w:szCs w:val="20"/>
        </w:rPr>
      </w:pPr>
      <w:r w:rsidRPr="00C50672">
        <w:rPr>
          <w:rFonts w:ascii="Book Antiqua" w:hAnsi="Book Antiqua" w:cs="Book Antiqua"/>
          <w:color w:val="auto"/>
          <w:sz w:val="20"/>
          <w:szCs w:val="20"/>
        </w:rPr>
        <w:t>working multilaterally to address global challenges relating to peace and security, climate change, sustainable growth and human rights and to advance Australia’s interests through the United Nations, G20 and significant regional for</w:t>
      </w:r>
      <w:r w:rsidR="009A04F7">
        <w:rPr>
          <w:rFonts w:ascii="Book Antiqua" w:hAnsi="Book Antiqua" w:cs="Book Antiqua"/>
          <w:color w:val="auto"/>
          <w:sz w:val="20"/>
          <w:szCs w:val="20"/>
        </w:rPr>
        <w:t>a</w:t>
      </w:r>
      <w:r w:rsidRPr="00C50672">
        <w:rPr>
          <w:rFonts w:ascii="Book Antiqua" w:hAnsi="Book Antiqua" w:cs="Book Antiqua"/>
          <w:color w:val="auto"/>
          <w:sz w:val="20"/>
          <w:szCs w:val="20"/>
        </w:rPr>
        <w:t xml:space="preserve">; </w:t>
      </w:r>
    </w:p>
    <w:p w:rsidR="00C0006A" w:rsidRPr="00F960D6" w:rsidRDefault="00C0006A" w:rsidP="00F37EE6">
      <w:pPr>
        <w:pStyle w:val="Default"/>
        <w:numPr>
          <w:ilvl w:val="0"/>
          <w:numId w:val="45"/>
        </w:numPr>
        <w:spacing w:after="240" w:line="280" w:lineRule="exact"/>
        <w:ind w:left="568" w:hanging="284"/>
        <w:jc w:val="both"/>
        <w:rPr>
          <w:rFonts w:ascii="Book Antiqua" w:hAnsi="Book Antiqua" w:cs="Book Antiqua"/>
          <w:color w:val="auto"/>
          <w:sz w:val="20"/>
          <w:szCs w:val="20"/>
        </w:rPr>
      </w:pPr>
      <w:r w:rsidRPr="00C50672">
        <w:rPr>
          <w:rFonts w:ascii="Book Antiqua" w:hAnsi="Book Antiqua" w:cs="Book Antiqua"/>
          <w:color w:val="auto"/>
          <w:sz w:val="20"/>
          <w:szCs w:val="20"/>
        </w:rPr>
        <w:lastRenderedPageBreak/>
        <w:t>promoting and strengthening regional and global cooperation and governance in countering terrorism, people smuggling</w:t>
      </w:r>
      <w:r>
        <w:rPr>
          <w:rFonts w:ascii="Book Antiqua" w:hAnsi="Book Antiqua" w:cs="Book Antiqua"/>
          <w:color w:val="auto"/>
          <w:sz w:val="20"/>
          <w:szCs w:val="20"/>
        </w:rPr>
        <w:t>, human trafficking</w:t>
      </w:r>
      <w:r w:rsidRPr="00C50672">
        <w:rPr>
          <w:rFonts w:ascii="Book Antiqua" w:hAnsi="Book Antiqua" w:cs="Book Antiqua"/>
          <w:color w:val="auto"/>
          <w:sz w:val="20"/>
          <w:szCs w:val="20"/>
        </w:rPr>
        <w:t xml:space="preserve"> and nuclear proliferation; </w:t>
      </w:r>
      <w:r>
        <w:rPr>
          <w:rFonts w:ascii="Book Antiqua" w:hAnsi="Book Antiqua" w:cs="Book Antiqua"/>
          <w:color w:val="auto"/>
          <w:sz w:val="20"/>
          <w:szCs w:val="20"/>
        </w:rPr>
        <w:t>and</w:t>
      </w:r>
    </w:p>
    <w:p w:rsidR="00C0006A" w:rsidRPr="00275298" w:rsidRDefault="00C0006A" w:rsidP="00F37EE6">
      <w:pPr>
        <w:pStyle w:val="Default"/>
        <w:numPr>
          <w:ilvl w:val="0"/>
          <w:numId w:val="45"/>
        </w:numPr>
        <w:spacing w:after="240" w:line="280" w:lineRule="exact"/>
        <w:ind w:left="568" w:hanging="284"/>
        <w:jc w:val="both"/>
        <w:rPr>
          <w:rFonts w:ascii="Book Antiqua" w:hAnsi="Book Antiqua" w:cs="Book Antiqua"/>
          <w:color w:val="auto"/>
          <w:sz w:val="20"/>
          <w:szCs w:val="20"/>
        </w:rPr>
      </w:pPr>
      <w:r w:rsidRPr="00C50672">
        <w:rPr>
          <w:rFonts w:ascii="Book Antiqua" w:hAnsi="Book Antiqua" w:cs="Book Antiqua"/>
          <w:color w:val="auto"/>
          <w:sz w:val="20"/>
          <w:szCs w:val="20"/>
        </w:rPr>
        <w:t>developing and implementing programs and projects to enhance international awareness and understanding of Australia and Australian policies to advance our national interests</w:t>
      </w:r>
      <w:r>
        <w:rPr>
          <w:rFonts w:ascii="Book Antiqua" w:hAnsi="Book Antiqua" w:cs="Book Antiqua"/>
          <w:color w:val="auto"/>
          <w:sz w:val="20"/>
          <w:szCs w:val="20"/>
        </w:rPr>
        <w:t>.</w:t>
      </w:r>
    </w:p>
    <w:p w:rsidR="00DF75A2" w:rsidRDefault="00C0006A" w:rsidP="00C0006A">
      <w:pPr>
        <w:pStyle w:val="Default"/>
        <w:spacing w:after="240" w:line="280" w:lineRule="exact"/>
        <w:jc w:val="both"/>
        <w:rPr>
          <w:rFonts w:ascii="Book Antiqua" w:hAnsi="Book Antiqua" w:cs="Book Antiqua"/>
          <w:color w:val="auto"/>
          <w:sz w:val="20"/>
          <w:szCs w:val="20"/>
        </w:rPr>
      </w:pPr>
      <w:r w:rsidRPr="00C50672">
        <w:rPr>
          <w:rFonts w:ascii="Book Antiqua" w:hAnsi="Book Antiqua" w:cs="Book Antiqua"/>
          <w:color w:val="auto"/>
          <w:sz w:val="20"/>
          <w:szCs w:val="20"/>
        </w:rPr>
        <w:t>As the lead agency managing Australia’s external affairs, the department will also continue to provide leadership at Australia’s diplomatic missions overseas, manage and maintain Australia’s diplomatic network, including the provision of services to</w:t>
      </w:r>
      <w:r w:rsidRPr="00C50672">
        <w:rPr>
          <w:rFonts w:ascii="Book Antiqua" w:hAnsi="Book Antiqua"/>
          <w:color w:val="auto"/>
          <w:sz w:val="20"/>
          <w:szCs w:val="20"/>
        </w:rPr>
        <w:t xml:space="preserve"> </w:t>
      </w:r>
      <w:r w:rsidRPr="00C50672">
        <w:rPr>
          <w:rFonts w:ascii="Book Antiqua" w:hAnsi="Book Antiqua" w:cs="Book Antiqua"/>
          <w:color w:val="auto"/>
          <w:sz w:val="20"/>
          <w:szCs w:val="20"/>
        </w:rPr>
        <w:t>other agencies represented overseas, and deliver services to diplomatic and consular representatives in Australia.</w:t>
      </w:r>
      <w:r w:rsidR="00DF75A2" w:rsidRPr="00C50672">
        <w:rPr>
          <w:rFonts w:ascii="Book Antiqua" w:hAnsi="Book Antiqua" w:cs="Book Antiqua"/>
          <w:color w:val="auto"/>
          <w:sz w:val="20"/>
          <w:szCs w:val="20"/>
        </w:rPr>
        <w:t xml:space="preserve"> </w:t>
      </w:r>
    </w:p>
    <w:p w:rsidR="000670CD" w:rsidRDefault="000670CD" w:rsidP="00C0006A">
      <w:pPr>
        <w:pStyle w:val="Default"/>
        <w:spacing w:after="240" w:line="280" w:lineRule="exact"/>
        <w:jc w:val="both"/>
        <w:rPr>
          <w:rFonts w:ascii="Book Antiqua" w:hAnsi="Book Antiqua" w:cs="Book Antiqua"/>
          <w:color w:val="auto"/>
          <w:sz w:val="20"/>
          <w:szCs w:val="20"/>
        </w:rPr>
      </w:pPr>
    </w:p>
    <w:p w:rsidR="000670CD" w:rsidRDefault="000670CD" w:rsidP="00C0006A">
      <w:pPr>
        <w:pStyle w:val="Default"/>
        <w:spacing w:after="240" w:line="280" w:lineRule="exact"/>
        <w:jc w:val="both"/>
        <w:rPr>
          <w:rFonts w:ascii="Book Antiqua" w:hAnsi="Book Antiqua" w:cs="Book Antiqua"/>
          <w:color w:val="auto"/>
          <w:sz w:val="20"/>
          <w:szCs w:val="20"/>
        </w:rPr>
      </w:pPr>
    </w:p>
    <w:p w:rsidR="000670CD" w:rsidRDefault="000670CD" w:rsidP="00C0006A">
      <w:pPr>
        <w:pStyle w:val="Default"/>
        <w:spacing w:after="240" w:line="280" w:lineRule="exact"/>
        <w:jc w:val="both"/>
        <w:rPr>
          <w:rFonts w:ascii="Book Antiqua" w:hAnsi="Book Antiqua" w:cs="Book Antiqua"/>
          <w:color w:val="auto"/>
          <w:sz w:val="20"/>
          <w:szCs w:val="20"/>
        </w:rPr>
      </w:pPr>
    </w:p>
    <w:p w:rsidR="009F7F33" w:rsidRDefault="009F7F33" w:rsidP="00C0006A">
      <w:pPr>
        <w:pStyle w:val="Default"/>
        <w:spacing w:after="240" w:line="280" w:lineRule="exact"/>
        <w:jc w:val="both"/>
        <w:rPr>
          <w:rFonts w:ascii="Book Antiqua" w:hAnsi="Book Antiqua" w:cs="Book Antiqua"/>
          <w:color w:val="auto"/>
          <w:sz w:val="20"/>
          <w:szCs w:val="20"/>
        </w:rPr>
      </w:pPr>
    </w:p>
    <w:p w:rsidR="009F7F33" w:rsidRDefault="009F7F33" w:rsidP="00C0006A">
      <w:pPr>
        <w:pStyle w:val="Default"/>
        <w:spacing w:after="240" w:line="280" w:lineRule="exact"/>
        <w:jc w:val="both"/>
        <w:rPr>
          <w:rFonts w:ascii="Book Antiqua" w:hAnsi="Book Antiqua" w:cs="Book Antiqua"/>
          <w:color w:val="auto"/>
          <w:sz w:val="20"/>
          <w:szCs w:val="20"/>
        </w:rPr>
      </w:pPr>
    </w:p>
    <w:p w:rsidR="009F7F33" w:rsidRDefault="009F7F33" w:rsidP="00C0006A">
      <w:pPr>
        <w:pStyle w:val="Default"/>
        <w:spacing w:after="240" w:line="280" w:lineRule="exact"/>
        <w:jc w:val="both"/>
        <w:rPr>
          <w:rFonts w:ascii="Book Antiqua" w:hAnsi="Book Antiqua" w:cs="Book Antiqua"/>
          <w:color w:val="auto"/>
          <w:sz w:val="20"/>
          <w:szCs w:val="20"/>
        </w:rPr>
      </w:pPr>
    </w:p>
    <w:p w:rsidR="009F7F33" w:rsidRDefault="009F7F33" w:rsidP="00C0006A">
      <w:pPr>
        <w:pStyle w:val="Default"/>
        <w:spacing w:after="240" w:line="280" w:lineRule="exact"/>
        <w:jc w:val="both"/>
        <w:rPr>
          <w:rFonts w:ascii="Book Antiqua" w:hAnsi="Book Antiqua" w:cs="Book Antiqua"/>
          <w:color w:val="auto"/>
          <w:sz w:val="20"/>
          <w:szCs w:val="20"/>
        </w:rPr>
      </w:pPr>
    </w:p>
    <w:p w:rsidR="009F7F33" w:rsidRDefault="009F7F33" w:rsidP="00C0006A">
      <w:pPr>
        <w:pStyle w:val="Default"/>
        <w:spacing w:after="240" w:line="280" w:lineRule="exact"/>
        <w:jc w:val="both"/>
        <w:rPr>
          <w:rFonts w:ascii="Book Antiqua" w:hAnsi="Book Antiqua" w:cs="Book Antiqua"/>
          <w:color w:val="auto"/>
          <w:sz w:val="20"/>
          <w:szCs w:val="20"/>
        </w:rPr>
      </w:pPr>
    </w:p>
    <w:p w:rsidR="009F7F33" w:rsidRDefault="009F7F33" w:rsidP="00C0006A">
      <w:pPr>
        <w:pStyle w:val="Default"/>
        <w:spacing w:after="240" w:line="280" w:lineRule="exact"/>
        <w:jc w:val="both"/>
        <w:rPr>
          <w:rFonts w:ascii="Book Antiqua" w:hAnsi="Book Antiqua" w:cs="Book Antiqua"/>
          <w:color w:val="auto"/>
          <w:sz w:val="20"/>
          <w:szCs w:val="20"/>
        </w:rPr>
      </w:pPr>
    </w:p>
    <w:p w:rsidR="009F7F33" w:rsidRDefault="009F7F33" w:rsidP="00C0006A">
      <w:pPr>
        <w:pStyle w:val="Default"/>
        <w:spacing w:after="240" w:line="280" w:lineRule="exact"/>
        <w:jc w:val="both"/>
        <w:rPr>
          <w:rFonts w:ascii="Book Antiqua" w:hAnsi="Book Antiqua" w:cs="Book Antiqua"/>
          <w:color w:val="auto"/>
          <w:sz w:val="20"/>
          <w:szCs w:val="20"/>
        </w:rPr>
      </w:pPr>
    </w:p>
    <w:p w:rsidR="009F7F33" w:rsidRDefault="009F7F33" w:rsidP="00C0006A">
      <w:pPr>
        <w:pStyle w:val="Default"/>
        <w:spacing w:after="240" w:line="280" w:lineRule="exact"/>
        <w:jc w:val="both"/>
        <w:rPr>
          <w:rFonts w:ascii="Book Antiqua" w:hAnsi="Book Antiqua" w:cs="Book Antiqua"/>
          <w:color w:val="auto"/>
          <w:sz w:val="20"/>
          <w:szCs w:val="20"/>
        </w:rPr>
      </w:pPr>
    </w:p>
    <w:p w:rsidR="009F7F33" w:rsidRDefault="009F7F33" w:rsidP="00C0006A">
      <w:pPr>
        <w:pStyle w:val="Default"/>
        <w:spacing w:after="240" w:line="280" w:lineRule="exact"/>
        <w:jc w:val="both"/>
        <w:rPr>
          <w:rFonts w:ascii="Book Antiqua" w:hAnsi="Book Antiqua" w:cs="Book Antiqua"/>
          <w:color w:val="auto"/>
          <w:sz w:val="20"/>
          <w:szCs w:val="20"/>
        </w:rPr>
      </w:pPr>
    </w:p>
    <w:p w:rsidR="009F7F33" w:rsidRDefault="009F7F33" w:rsidP="00C0006A">
      <w:pPr>
        <w:pStyle w:val="Default"/>
        <w:spacing w:after="240" w:line="280" w:lineRule="exact"/>
        <w:jc w:val="both"/>
        <w:rPr>
          <w:rFonts w:ascii="Book Antiqua" w:hAnsi="Book Antiqua" w:cs="Book Antiqua"/>
          <w:color w:val="auto"/>
          <w:sz w:val="20"/>
          <w:szCs w:val="20"/>
        </w:rPr>
      </w:pPr>
    </w:p>
    <w:p w:rsidR="009F7F33" w:rsidRDefault="009F7F33" w:rsidP="00C0006A">
      <w:pPr>
        <w:pStyle w:val="Default"/>
        <w:spacing w:after="240" w:line="280" w:lineRule="exact"/>
        <w:jc w:val="both"/>
        <w:rPr>
          <w:rFonts w:ascii="Book Antiqua" w:hAnsi="Book Antiqua" w:cs="Book Antiqua"/>
          <w:color w:val="auto"/>
          <w:sz w:val="20"/>
          <w:szCs w:val="20"/>
        </w:rPr>
      </w:pPr>
    </w:p>
    <w:p w:rsidR="009F7F33" w:rsidRDefault="009F7F33" w:rsidP="00C0006A">
      <w:pPr>
        <w:pStyle w:val="Default"/>
        <w:spacing w:after="240" w:line="280" w:lineRule="exact"/>
        <w:jc w:val="both"/>
        <w:rPr>
          <w:rFonts w:ascii="Book Antiqua" w:hAnsi="Book Antiqua" w:cs="Book Antiqua"/>
          <w:color w:val="auto"/>
          <w:sz w:val="20"/>
          <w:szCs w:val="20"/>
        </w:rPr>
      </w:pPr>
    </w:p>
    <w:p w:rsidR="009F7F33" w:rsidRDefault="009F7F33" w:rsidP="00C0006A">
      <w:pPr>
        <w:pStyle w:val="Default"/>
        <w:spacing w:after="240" w:line="280" w:lineRule="exact"/>
        <w:jc w:val="both"/>
        <w:rPr>
          <w:rFonts w:ascii="Book Antiqua" w:hAnsi="Book Antiqua" w:cs="Book Antiqua"/>
          <w:color w:val="auto"/>
          <w:sz w:val="20"/>
          <w:szCs w:val="20"/>
        </w:rPr>
      </w:pPr>
    </w:p>
    <w:p w:rsidR="009F7F33" w:rsidRDefault="009F7F33" w:rsidP="00651DAF">
      <w:pPr>
        <w:pStyle w:val="Heading5"/>
      </w:pPr>
      <w:r>
        <w:lastRenderedPageBreak/>
        <w:t>Table 2: Changes to the outcome and programme structures since the last portfolio statement</w:t>
      </w:r>
    </w:p>
    <w:p w:rsidR="009F7F33" w:rsidRDefault="00833238" w:rsidP="00B82EEB">
      <w:pPr>
        <w:pStyle w:val="Heading5"/>
        <w:spacing w:after="0"/>
      </w:pPr>
      <w:r>
        <w:pict>
          <v:shape id="_x0000_i1037" type="#_x0000_t75" style="width:357.2pt;height:561.05pt">
            <v:imagedata r:id="rId57" o:title=""/>
          </v:shape>
        </w:pict>
      </w:r>
    </w:p>
    <w:p w:rsidR="009F7F33" w:rsidRDefault="009F7F33" w:rsidP="009C1896">
      <w:pPr>
        <w:pStyle w:val="Heading5"/>
        <w:spacing w:after="0"/>
      </w:pPr>
      <w:r>
        <w:lastRenderedPageBreak/>
        <w:t>Outcome expense statement</w:t>
      </w:r>
    </w:p>
    <w:p w:rsidR="0023659E" w:rsidRDefault="009F7F33" w:rsidP="0023659E">
      <w:r>
        <w:t xml:space="preserve">Table 2.1.1 provides an overview of the total expenses for </w:t>
      </w:r>
      <w:r w:rsidRPr="009F7F33">
        <w:rPr>
          <w:color w:val="000000"/>
        </w:rPr>
        <w:t>Outcome 1,</w:t>
      </w:r>
      <w:r>
        <w:rPr>
          <w:i/>
          <w:color w:val="FF0000"/>
        </w:rPr>
        <w:t xml:space="preserve"> </w:t>
      </w:r>
      <w:r>
        <w:t>by programme.</w:t>
      </w:r>
    </w:p>
    <w:p w:rsidR="0069090B" w:rsidRDefault="0069090B" w:rsidP="0023659E">
      <w:pPr>
        <w:pStyle w:val="Heading5"/>
      </w:pPr>
      <w:r>
        <w:t>Table 2.1</w:t>
      </w:r>
      <w:r w:rsidR="00FE6C5E">
        <w:t>.1</w:t>
      </w:r>
      <w:r>
        <w:t>: Budgeted expenses for Outcome 1</w:t>
      </w:r>
    </w:p>
    <w:p w:rsidR="005C7525" w:rsidRDefault="00833238" w:rsidP="00B82EEB">
      <w:pPr>
        <w:pStyle w:val="TableHeading"/>
        <w:spacing w:before="0"/>
      </w:pPr>
      <w:r>
        <w:pict>
          <v:shape id="_x0000_i1038" type="#_x0000_t75" style="width:385.25pt;height:456.3pt">
            <v:imagedata r:id="rId58" o:title=""/>
          </v:shape>
        </w:pict>
      </w:r>
    </w:p>
    <w:p w:rsidR="00BE7D58" w:rsidRPr="005C4BEE" w:rsidRDefault="005C7525" w:rsidP="00651DAF">
      <w:pPr>
        <w:pStyle w:val="TableHeading"/>
        <w:spacing w:before="0"/>
        <w:rPr>
          <w:sz w:val="20"/>
        </w:rPr>
      </w:pPr>
      <w:r w:rsidRPr="005C7525">
        <w:rPr>
          <w:rFonts w:ascii="Book Antiqua" w:hAnsi="Book Antiqua"/>
          <w:b w:val="0"/>
          <w:i/>
          <w:sz w:val="20"/>
        </w:rPr>
        <w:t>Table continued on the following page.</w:t>
      </w:r>
      <w:r w:rsidR="00345CCD">
        <w:br w:type="page"/>
      </w:r>
      <w:r w:rsidR="00C431A3" w:rsidRPr="005C4BEE">
        <w:rPr>
          <w:sz w:val="20"/>
        </w:rPr>
        <w:lastRenderedPageBreak/>
        <w:t>Table 2.1</w:t>
      </w:r>
      <w:r w:rsidR="00FE6C5E">
        <w:rPr>
          <w:sz w:val="20"/>
        </w:rPr>
        <w:t>.1</w:t>
      </w:r>
      <w:r w:rsidR="00C431A3" w:rsidRPr="005C4BEE">
        <w:rPr>
          <w:sz w:val="20"/>
        </w:rPr>
        <w:t xml:space="preserve">: Budgeted </w:t>
      </w:r>
      <w:r w:rsidR="001549BE" w:rsidRPr="005C4BEE">
        <w:rPr>
          <w:sz w:val="20"/>
        </w:rPr>
        <w:t xml:space="preserve">expenses for </w:t>
      </w:r>
      <w:r w:rsidR="00BE7D58" w:rsidRPr="005C4BEE">
        <w:rPr>
          <w:sz w:val="20"/>
        </w:rPr>
        <w:t>Outcome 1</w:t>
      </w:r>
      <w:r w:rsidR="0069090B">
        <w:rPr>
          <w:sz w:val="20"/>
        </w:rPr>
        <w:t xml:space="preserve"> (</w:t>
      </w:r>
      <w:r w:rsidR="002F7A59">
        <w:rPr>
          <w:sz w:val="20"/>
        </w:rPr>
        <w:t>c</w:t>
      </w:r>
      <w:r w:rsidR="0069090B">
        <w:rPr>
          <w:sz w:val="20"/>
        </w:rPr>
        <w:t>ontinued)</w:t>
      </w:r>
    </w:p>
    <w:p w:rsidR="00F35B8D" w:rsidRDefault="00833238" w:rsidP="00E51F1C">
      <w:pPr>
        <w:pStyle w:val="TableGraphic"/>
      </w:pPr>
      <w:r>
        <w:pict>
          <v:shape id="_x0000_i1039" type="#_x0000_t75" style="width:385.25pt;height:554.5pt">
            <v:imagedata r:id="rId59" o:title=""/>
          </v:shape>
        </w:pict>
      </w:r>
    </w:p>
    <w:p w:rsidR="002F7A59" w:rsidRDefault="002F7A59" w:rsidP="002F7A59">
      <w:r w:rsidRPr="002F7A59">
        <w:rPr>
          <w:i/>
        </w:rPr>
        <w:t>Table continued on the following page.</w:t>
      </w:r>
    </w:p>
    <w:p w:rsidR="0069090B" w:rsidRDefault="0069090B" w:rsidP="00651DAF">
      <w:pPr>
        <w:pStyle w:val="TableHeading"/>
        <w:spacing w:before="0"/>
        <w:rPr>
          <w:sz w:val="20"/>
        </w:rPr>
      </w:pPr>
      <w:r w:rsidRPr="005C4BEE">
        <w:rPr>
          <w:sz w:val="20"/>
        </w:rPr>
        <w:lastRenderedPageBreak/>
        <w:t>Table 2.1</w:t>
      </w:r>
      <w:r w:rsidR="00FE6C5E">
        <w:rPr>
          <w:sz w:val="20"/>
        </w:rPr>
        <w:t>.1</w:t>
      </w:r>
      <w:r w:rsidRPr="005C4BEE">
        <w:rPr>
          <w:sz w:val="20"/>
        </w:rPr>
        <w:t>: Budgeted expenses for Outcome 1</w:t>
      </w:r>
      <w:r>
        <w:rPr>
          <w:sz w:val="20"/>
        </w:rPr>
        <w:t xml:space="preserve"> (</w:t>
      </w:r>
      <w:r w:rsidR="002F7A59">
        <w:rPr>
          <w:sz w:val="20"/>
        </w:rPr>
        <w:t>c</w:t>
      </w:r>
      <w:r>
        <w:rPr>
          <w:sz w:val="20"/>
        </w:rPr>
        <w:t>ontinued)</w:t>
      </w:r>
    </w:p>
    <w:p w:rsidR="0069090B" w:rsidRPr="0069090B" w:rsidRDefault="00833238" w:rsidP="0069090B">
      <w:pPr>
        <w:pStyle w:val="TableGraphic"/>
      </w:pPr>
      <w:r>
        <w:pict>
          <v:shape id="_x0000_i1040" type="#_x0000_t75" style="width:385.25pt;height:265.55pt">
            <v:imagedata r:id="rId60" o:title=""/>
          </v:shape>
        </w:pict>
      </w:r>
    </w:p>
    <w:p w:rsidR="009C09B5" w:rsidRDefault="009C09B5" w:rsidP="009C09B5">
      <w:pPr>
        <w:pStyle w:val="Source"/>
        <w:numPr>
          <w:ilvl w:val="0"/>
          <w:numId w:val="75"/>
        </w:numPr>
        <w:ind w:left="284" w:hanging="284"/>
      </w:pPr>
      <w:r>
        <w:t>Includes payments for the Debt-to-Health Swap with the Government of Indonesia of $12.0 million in 2014-15 and $13.4 million in 2015-16.</w:t>
      </w:r>
    </w:p>
    <w:p w:rsidR="009C09B5" w:rsidRDefault="009C09B5" w:rsidP="009C09B5">
      <w:pPr>
        <w:pStyle w:val="Source"/>
        <w:numPr>
          <w:ilvl w:val="0"/>
          <w:numId w:val="75"/>
        </w:numPr>
        <w:ind w:left="284" w:hanging="284"/>
      </w:pPr>
      <w:r>
        <w:t>This reflects the amount of funding to be disbursed on a cash basis, not an expense basis.</w:t>
      </w:r>
    </w:p>
    <w:p w:rsidR="009C09B5" w:rsidRDefault="009C09B5" w:rsidP="009C09B5">
      <w:pPr>
        <w:pStyle w:val="Source"/>
        <w:numPr>
          <w:ilvl w:val="0"/>
          <w:numId w:val="75"/>
        </w:numPr>
        <w:ind w:left="284" w:hanging="284"/>
      </w:pPr>
      <w:r>
        <w:t>Departmental appropriation combines 'Ordinary annual services (Appropriation Bill No. 1)' and 'Revenue from independent sources (s 74)'.</w:t>
      </w:r>
    </w:p>
    <w:p w:rsidR="009C09B5" w:rsidRDefault="009C09B5" w:rsidP="009C09B5">
      <w:pPr>
        <w:pStyle w:val="Source"/>
        <w:numPr>
          <w:ilvl w:val="0"/>
          <w:numId w:val="75"/>
        </w:numPr>
        <w:ind w:left="284" w:hanging="284"/>
      </w:pPr>
      <w:r>
        <w:t>Expenses not requiring appropriation in the Budget year are made up of depreciation expenses, amortisation expenses, makegood expenses, audit fees.</w:t>
      </w:r>
    </w:p>
    <w:p w:rsidR="009C09B5" w:rsidRDefault="009C09B5" w:rsidP="009C09B5">
      <w:pPr>
        <w:pStyle w:val="Source"/>
        <w:numPr>
          <w:ilvl w:val="0"/>
          <w:numId w:val="75"/>
        </w:numPr>
        <w:ind w:left="284" w:hanging="284"/>
      </w:pPr>
      <w:r>
        <w:t xml:space="preserve">Expenses not requiring appropriation in the Budget year relates to the concessional investment discount for the discounting of the investment component for the International Development Association and Asian Development Fund. </w:t>
      </w:r>
    </w:p>
    <w:p w:rsidR="009C09B5" w:rsidRDefault="009C09B5" w:rsidP="009C09B5">
      <w:pPr>
        <w:pStyle w:val="Source"/>
        <w:numPr>
          <w:ilvl w:val="0"/>
          <w:numId w:val="75"/>
        </w:numPr>
        <w:ind w:left="284" w:hanging="284"/>
      </w:pPr>
      <w:r>
        <w:t>A new programme (Programme 1.2: Official Development Assistance) has been created effective from 01 July 2015 which combines the forward estimates of these programmes.</w:t>
      </w:r>
      <w:r w:rsidRPr="002329C3">
        <w:t xml:space="preserve"> </w:t>
      </w:r>
    </w:p>
    <w:p w:rsidR="00581D30" w:rsidRDefault="00581D30" w:rsidP="009C09B5">
      <w:pPr>
        <w:pStyle w:val="Source"/>
      </w:pPr>
      <w:r w:rsidRPr="002329C3">
        <w:t>Note: Departmental appropriation splits and totals are indicative estimates and may change in the course of the budget year as government priorities change.</w:t>
      </w:r>
    </w:p>
    <w:p w:rsidR="00FD5958" w:rsidRDefault="00FD5958" w:rsidP="00581D30">
      <w:pPr>
        <w:pStyle w:val="NoSpacing"/>
      </w:pPr>
    </w:p>
    <w:p w:rsidR="00BE7D58" w:rsidRDefault="000A24C4" w:rsidP="00651DAF">
      <w:pPr>
        <w:pStyle w:val="Heading4"/>
        <w:spacing w:before="0"/>
        <w:rPr>
          <w:rFonts w:ascii="Book Antiqua" w:hAnsi="Book Antiqua"/>
          <w:i/>
          <w:color w:val="FF0000"/>
        </w:rPr>
      </w:pPr>
      <w:r>
        <w:br w:type="page"/>
      </w:r>
      <w:r w:rsidR="00BE7D58">
        <w:lastRenderedPageBreak/>
        <w:t xml:space="preserve">Contributions to Outcome 1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713"/>
      </w:tblGrid>
      <w:tr w:rsidR="0037320C" w:rsidTr="006921FC">
        <w:tc>
          <w:tcPr>
            <w:tcW w:w="7713" w:type="dxa"/>
            <w:shd w:val="clear" w:color="auto" w:fill="E6E6E6"/>
          </w:tcPr>
          <w:p w:rsidR="0037320C" w:rsidRDefault="0037320C" w:rsidP="006921FC">
            <w:pPr>
              <w:pStyle w:val="TableColumnHeadingLeft"/>
            </w:pPr>
            <w:r>
              <w:t>Programme 1.1: Foreign Affairs and Trade Operations</w:t>
            </w:r>
          </w:p>
        </w:tc>
      </w:tr>
    </w:tbl>
    <w:p w:rsidR="0037320C" w:rsidRPr="00FD5958" w:rsidRDefault="0037320C" w:rsidP="0037320C">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37320C" w:rsidTr="006921FC">
        <w:tc>
          <w:tcPr>
            <w:tcW w:w="7711" w:type="dxa"/>
          </w:tcPr>
          <w:p w:rsidR="0037320C" w:rsidRDefault="0037320C" w:rsidP="006921FC">
            <w:pPr>
              <w:pStyle w:val="TableColumnHeadingLeft"/>
            </w:pPr>
            <w:r>
              <w:t>Programme objective</w:t>
            </w:r>
          </w:p>
          <w:p w:rsidR="00C0006A" w:rsidRPr="00C50672" w:rsidRDefault="00C0006A" w:rsidP="00F37EE6">
            <w:pPr>
              <w:pStyle w:val="Exampletextbullet"/>
              <w:numPr>
                <w:ilvl w:val="0"/>
                <w:numId w:val="46"/>
              </w:numPr>
              <w:spacing w:line="280" w:lineRule="exact"/>
              <w:rPr>
                <w:i w:val="0"/>
                <w:color w:val="auto"/>
              </w:rPr>
            </w:pPr>
            <w:r w:rsidRPr="00C50672">
              <w:rPr>
                <w:i w:val="0"/>
                <w:color w:val="auto"/>
              </w:rPr>
              <w:t xml:space="preserve">To protect and advance the national interest through engaging in effective advocacy in Australia and overseas that promotes Australia’s </w:t>
            </w:r>
            <w:r w:rsidRPr="00D81B76">
              <w:rPr>
                <w:i w:val="0"/>
                <w:color w:val="auto"/>
              </w:rPr>
              <w:t xml:space="preserve">foreign, trade and investment, </w:t>
            </w:r>
            <w:r>
              <w:rPr>
                <w:i w:val="0"/>
                <w:color w:val="auto"/>
              </w:rPr>
              <w:t xml:space="preserve">tourism, </w:t>
            </w:r>
            <w:r w:rsidRPr="00D81B76">
              <w:rPr>
                <w:i w:val="0"/>
                <w:color w:val="auto"/>
              </w:rPr>
              <w:t xml:space="preserve">development and international security </w:t>
            </w:r>
            <w:r w:rsidRPr="00C50672">
              <w:rPr>
                <w:i w:val="0"/>
                <w:color w:val="auto"/>
              </w:rPr>
              <w:t>interests.</w:t>
            </w:r>
          </w:p>
          <w:p w:rsidR="00C0006A" w:rsidRPr="00C50672" w:rsidRDefault="00C0006A" w:rsidP="00F37EE6">
            <w:pPr>
              <w:pStyle w:val="Exampletextbullet"/>
              <w:numPr>
                <w:ilvl w:val="0"/>
                <w:numId w:val="46"/>
              </w:numPr>
              <w:spacing w:line="280" w:lineRule="exact"/>
              <w:rPr>
                <w:i w:val="0"/>
                <w:color w:val="auto"/>
              </w:rPr>
            </w:pPr>
            <w:r w:rsidRPr="00C50672">
              <w:rPr>
                <w:i w:val="0"/>
                <w:color w:val="auto"/>
              </w:rPr>
              <w:t>To deliver accurate and timely policy advice to Ministers and other key clients that addresses the challenges of an evolving international environment.</w:t>
            </w:r>
          </w:p>
          <w:p w:rsidR="00C0006A" w:rsidRPr="00125A43" w:rsidRDefault="002F7A59" w:rsidP="00F37EE6">
            <w:pPr>
              <w:pStyle w:val="Exampletextbullet"/>
              <w:numPr>
                <w:ilvl w:val="0"/>
                <w:numId w:val="46"/>
              </w:numPr>
              <w:spacing w:line="280" w:lineRule="exact"/>
            </w:pPr>
            <w:r>
              <w:rPr>
                <w:i w:val="0"/>
                <w:color w:val="auto"/>
              </w:rPr>
              <w:t xml:space="preserve">To promote a whole of </w:t>
            </w:r>
            <w:r w:rsidR="00C0006A" w:rsidRPr="00C50672">
              <w:rPr>
                <w:i w:val="0"/>
                <w:color w:val="auto"/>
              </w:rPr>
              <w:t>government approach in pursuit of Australia’s interests abroad, including through leadership at overseas missions and coordination of the overseas diplomatic network.</w:t>
            </w:r>
          </w:p>
          <w:p w:rsidR="0037320C" w:rsidRPr="00D57849" w:rsidRDefault="00C0006A" w:rsidP="00F37EE6">
            <w:pPr>
              <w:pStyle w:val="Exampletextbullet"/>
              <w:numPr>
                <w:ilvl w:val="0"/>
                <w:numId w:val="46"/>
              </w:numPr>
              <w:spacing w:line="280" w:lineRule="exact"/>
            </w:pPr>
            <w:r w:rsidRPr="00C50672">
              <w:rPr>
                <w:i w:val="0"/>
                <w:color w:val="auto"/>
              </w:rPr>
              <w:t>To ensure the security and protect the dignity of the diplomatic and consular corps serving in Australia by delivering a quality service and upholding Australia’s obligations under the Vienna Conventions.</w:t>
            </w:r>
          </w:p>
        </w:tc>
      </w:tr>
    </w:tbl>
    <w:p w:rsidR="00651DAF" w:rsidRDefault="00651DAF" w:rsidP="00651DAF">
      <w:pPr>
        <w:pStyle w:val="SingleParagraph"/>
      </w:pPr>
    </w:p>
    <w:p w:rsidR="000A24C4" w:rsidRDefault="00651DAF" w:rsidP="007B737F">
      <w:pPr>
        <w:pStyle w:val="SingleParagraph"/>
        <w:spacing w:line="20" w:lineRule="exac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1"/>
      </w:tblGrid>
      <w:tr w:rsidR="00BE7D58" w:rsidRPr="008E4180" w:rsidTr="008E4180">
        <w:tc>
          <w:tcPr>
            <w:tcW w:w="7711" w:type="dxa"/>
          </w:tcPr>
          <w:p w:rsidR="00D57849" w:rsidRPr="00D57849" w:rsidRDefault="00E121DD" w:rsidP="009621BD">
            <w:pPr>
              <w:pStyle w:val="TableColumnHeadingLeft"/>
              <w:jc w:val="both"/>
            </w:pPr>
            <w:r>
              <w:t>Programme</w:t>
            </w:r>
            <w:r w:rsidR="00BE7D58">
              <w:t xml:space="preserve"> </w:t>
            </w:r>
            <w:r w:rsidR="00B2691D">
              <w:t>e</w:t>
            </w:r>
            <w:r w:rsidR="00BE7D58">
              <w:t>xpenses</w:t>
            </w:r>
            <w:r w:rsidR="00BE7D58" w:rsidRPr="00D57849">
              <w:t xml:space="preserve"> </w:t>
            </w:r>
          </w:p>
        </w:tc>
      </w:tr>
    </w:tbl>
    <w:p w:rsidR="00BE7D58" w:rsidRDefault="00BE7D58" w:rsidP="00581D30">
      <w:pPr>
        <w:pStyle w:val="NoSpacing"/>
      </w:pPr>
    </w:p>
    <w:p w:rsidR="0084601D" w:rsidRDefault="00833238" w:rsidP="00CE0472">
      <w:pPr>
        <w:pStyle w:val="TableGraphic"/>
      </w:pPr>
      <w:r>
        <w:pict>
          <v:shape id="_x0000_i1041" type="#_x0000_t75" style="width:385.25pt;height:330.1pt">
            <v:imagedata r:id="rId61" o:title=""/>
          </v:shape>
        </w:pict>
      </w:r>
    </w:p>
    <w:p w:rsidR="009621BD" w:rsidRDefault="009621BD" w:rsidP="00702FAB">
      <w:pPr>
        <w:pStyle w:val="ChartandTableFootnote"/>
        <w:numPr>
          <w:ilvl w:val="0"/>
          <w:numId w:val="10"/>
        </w:numPr>
        <w:ind w:left="284" w:hanging="284"/>
      </w:pPr>
      <w:r>
        <w:t xml:space="preserve">Includes </w:t>
      </w:r>
      <w:r w:rsidR="004438B1">
        <w:t xml:space="preserve">previous </w:t>
      </w:r>
      <w:r>
        <w:t>Programme 1.4: International Climate Change Engagement Programme published in Portfolio Additional Estimates Statements 2014-15.</w:t>
      </w:r>
    </w:p>
    <w:p w:rsidR="00A42F6D" w:rsidRPr="00D02EF1" w:rsidRDefault="00A42F6D" w:rsidP="00702FAB">
      <w:pPr>
        <w:pStyle w:val="ChartandTableFootnote"/>
        <w:numPr>
          <w:ilvl w:val="0"/>
          <w:numId w:val="10"/>
        </w:numPr>
        <w:ind w:left="284" w:hanging="284"/>
      </w:pPr>
      <w:r w:rsidRPr="006D62BE">
        <w:t>Expenses not requiring appropriat</w:t>
      </w:r>
      <w:r>
        <w:t>ion</w:t>
      </w:r>
      <w:r w:rsidR="00F926C8">
        <w:t xml:space="preserve"> in the Budget year</w:t>
      </w:r>
      <w:r w:rsidR="007D4D2A">
        <w:t xml:space="preserve"> are</w:t>
      </w:r>
      <w:r>
        <w:t xml:space="preserve"> made up of </w:t>
      </w:r>
      <w:r w:rsidR="00B2691D">
        <w:t>depreciation expenses</w:t>
      </w:r>
      <w:r w:rsidR="00B2691D" w:rsidRPr="006D62BE">
        <w:t>, amortisation</w:t>
      </w:r>
      <w:r w:rsidR="00B2691D">
        <w:t xml:space="preserve"> expenses,</w:t>
      </w:r>
      <w:r w:rsidR="00B2691D" w:rsidRPr="006D62BE">
        <w:t xml:space="preserve"> make</w:t>
      </w:r>
      <w:r w:rsidR="00B2691D">
        <w:t>-g</w:t>
      </w:r>
      <w:r w:rsidR="00B2691D" w:rsidRPr="006D62BE">
        <w:t>ood expense</w:t>
      </w:r>
      <w:r w:rsidR="00B2691D">
        <w:t xml:space="preserve">s, </w:t>
      </w:r>
      <w:r w:rsidR="009621BD">
        <w:t xml:space="preserve">and </w:t>
      </w:r>
      <w:r w:rsidR="00B2691D">
        <w:t>audit fees</w:t>
      </w:r>
      <w:r w:rsidR="009621BD">
        <w:t>.</w:t>
      </w:r>
    </w:p>
    <w:p w:rsidR="00074CE6" w:rsidRDefault="00074CE6" w:rsidP="00581D30">
      <w:pPr>
        <w:pStyle w:val="NoSpacing"/>
      </w:pPr>
    </w:p>
    <w:p w:rsidR="0037320C" w:rsidRDefault="00651DAF" w:rsidP="007F26E3">
      <w:pPr>
        <w:pStyle w:val="SingleParagraph"/>
      </w:pPr>
      <w:r>
        <w:br/>
      </w:r>
      <w:r>
        <w:br/>
      </w:r>
      <w:r>
        <w:br/>
      </w:r>
      <w:r>
        <w:br/>
      </w:r>
      <w:r>
        <w:br/>
      </w:r>
      <w:r>
        <w:br/>
      </w:r>
      <w:r>
        <w:br/>
      </w:r>
      <w:r>
        <w:br/>
      </w:r>
      <w:r>
        <w:br/>
      </w:r>
      <w:r>
        <w:br/>
      </w:r>
      <w:r>
        <w:br/>
      </w:r>
    </w:p>
    <w:p w:rsidR="007B737F" w:rsidRDefault="007B737F" w:rsidP="007F26E3">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37320C" w:rsidTr="006921FC">
        <w:tc>
          <w:tcPr>
            <w:tcW w:w="7711" w:type="dxa"/>
          </w:tcPr>
          <w:p w:rsidR="0037320C" w:rsidRDefault="0037320C" w:rsidP="006921FC">
            <w:pPr>
              <w:pStyle w:val="TableColumnHeadingLeft"/>
              <w:jc w:val="both"/>
            </w:pPr>
            <w:r>
              <w:lastRenderedPageBreak/>
              <w:t xml:space="preserve">Programme 1.1 deliverables </w:t>
            </w:r>
          </w:p>
          <w:p w:rsidR="00C0006A" w:rsidRPr="00C50672" w:rsidRDefault="00C0006A" w:rsidP="00F37EE6">
            <w:pPr>
              <w:pStyle w:val="Default"/>
              <w:numPr>
                <w:ilvl w:val="0"/>
                <w:numId w:val="25"/>
              </w:numPr>
              <w:spacing w:after="240"/>
              <w:jc w:val="both"/>
              <w:rPr>
                <w:rFonts w:ascii="Book Antiqua" w:hAnsi="Book Antiqua" w:cs="Book Antiqua"/>
                <w:color w:val="auto"/>
                <w:sz w:val="20"/>
                <w:szCs w:val="20"/>
              </w:rPr>
            </w:pPr>
            <w:r w:rsidRPr="00C50672">
              <w:rPr>
                <w:rFonts w:ascii="Book Antiqua" w:hAnsi="Book Antiqua" w:cs="Book Antiqua"/>
                <w:color w:val="auto"/>
                <w:sz w:val="20"/>
                <w:szCs w:val="20"/>
              </w:rPr>
              <w:t xml:space="preserve">Australia’s </w:t>
            </w:r>
            <w:r>
              <w:rPr>
                <w:rFonts w:ascii="Book Antiqua" w:hAnsi="Book Antiqua" w:cs="Book Antiqua"/>
                <w:color w:val="auto"/>
                <w:sz w:val="20"/>
                <w:szCs w:val="20"/>
              </w:rPr>
              <w:t xml:space="preserve">foreign, trade and investment, tourism, development, </w:t>
            </w:r>
            <w:r w:rsidR="002708B5">
              <w:rPr>
                <w:rFonts w:ascii="Book Antiqua" w:hAnsi="Book Antiqua" w:cs="Book Antiqua"/>
                <w:color w:val="auto"/>
                <w:sz w:val="20"/>
                <w:szCs w:val="20"/>
              </w:rPr>
              <w:t xml:space="preserve">and </w:t>
            </w:r>
            <w:r>
              <w:rPr>
                <w:rFonts w:ascii="Book Antiqua" w:hAnsi="Book Antiqua" w:cs="Book Antiqua"/>
                <w:color w:val="auto"/>
                <w:sz w:val="20"/>
                <w:szCs w:val="20"/>
              </w:rPr>
              <w:t xml:space="preserve">international security </w:t>
            </w:r>
            <w:r w:rsidRPr="00C50672">
              <w:rPr>
                <w:rFonts w:ascii="Book Antiqua" w:hAnsi="Book Antiqua" w:cs="Book Antiqua"/>
                <w:color w:val="auto"/>
                <w:sz w:val="20"/>
                <w:szCs w:val="20"/>
              </w:rPr>
              <w:t xml:space="preserve">policy interests and international standing are advanced through: </w:t>
            </w:r>
          </w:p>
          <w:p w:rsidR="00C0006A" w:rsidRPr="00D63637" w:rsidRDefault="00C0006A" w:rsidP="00F37EE6">
            <w:pPr>
              <w:pStyle w:val="ListParagraph"/>
              <w:numPr>
                <w:ilvl w:val="1"/>
                <w:numId w:val="47"/>
              </w:numPr>
              <w:rPr>
                <w:rFonts w:ascii="Book Antiqua" w:eastAsia="Times New Roman" w:hAnsi="Book Antiqua" w:cs="Book Antiqua"/>
                <w:sz w:val="20"/>
                <w:szCs w:val="20"/>
                <w:lang w:val="en-AU" w:eastAsia="en-AU"/>
              </w:rPr>
            </w:pPr>
            <w:r w:rsidRPr="00D63637">
              <w:rPr>
                <w:rFonts w:ascii="Book Antiqua" w:eastAsia="Times New Roman" w:hAnsi="Book Antiqua" w:cs="Book Antiqua"/>
                <w:sz w:val="20"/>
                <w:szCs w:val="20"/>
                <w:lang w:val="en-AU" w:eastAsia="en-AU"/>
              </w:rPr>
              <w:t xml:space="preserve">strengthened key international relationships, including a strong alliance and economic ties with the United States, </w:t>
            </w:r>
            <w:r>
              <w:rPr>
                <w:rFonts w:ascii="Book Antiqua" w:eastAsia="Times New Roman" w:hAnsi="Book Antiqua" w:cs="Book Antiqua"/>
                <w:sz w:val="20"/>
                <w:szCs w:val="20"/>
                <w:lang w:val="en-AU" w:eastAsia="en-AU"/>
              </w:rPr>
              <w:t xml:space="preserve">and </w:t>
            </w:r>
            <w:r w:rsidRPr="00D63637">
              <w:rPr>
                <w:rFonts w:ascii="Book Antiqua" w:eastAsia="Times New Roman" w:hAnsi="Book Antiqua" w:cs="Book Antiqua"/>
                <w:sz w:val="20"/>
                <w:szCs w:val="20"/>
                <w:lang w:val="en-AU" w:eastAsia="en-AU"/>
              </w:rPr>
              <w:t>high-level political and economic engagement with Japan, China, India,</w:t>
            </w:r>
            <w:r w:rsidR="006F0184">
              <w:rPr>
                <w:rFonts w:ascii="Book Antiqua" w:eastAsia="Times New Roman" w:hAnsi="Book Antiqua" w:cs="Book Antiqua"/>
                <w:sz w:val="20"/>
                <w:szCs w:val="20"/>
                <w:lang w:val="en-AU" w:eastAsia="en-AU"/>
              </w:rPr>
              <w:t xml:space="preserve"> the</w:t>
            </w:r>
            <w:r w:rsidRPr="00D63637">
              <w:rPr>
                <w:rFonts w:ascii="Book Antiqua" w:eastAsia="Times New Roman" w:hAnsi="Book Antiqua" w:cs="Book Antiqua"/>
                <w:sz w:val="20"/>
                <w:szCs w:val="20"/>
                <w:lang w:val="en-AU" w:eastAsia="en-AU"/>
              </w:rPr>
              <w:t xml:space="preserve"> Republic of Korea, Indonesia and other countries of South-East Asia;</w:t>
            </w:r>
          </w:p>
          <w:p w:rsidR="00C0006A" w:rsidRDefault="00C0006A" w:rsidP="00F37EE6">
            <w:pPr>
              <w:pStyle w:val="Default"/>
              <w:numPr>
                <w:ilvl w:val="1"/>
                <w:numId w:val="47"/>
              </w:numPr>
              <w:spacing w:after="240"/>
              <w:jc w:val="both"/>
              <w:rPr>
                <w:rFonts w:ascii="Book Antiqua" w:hAnsi="Book Antiqua" w:cs="Book Antiqua"/>
                <w:color w:val="auto"/>
                <w:sz w:val="20"/>
                <w:szCs w:val="20"/>
              </w:rPr>
            </w:pPr>
            <w:r>
              <w:rPr>
                <w:rFonts w:ascii="Book Antiqua" w:hAnsi="Book Antiqua" w:cs="Book Antiqua"/>
                <w:color w:val="auto"/>
                <w:sz w:val="20"/>
                <w:szCs w:val="20"/>
              </w:rPr>
              <w:t>enhanced</w:t>
            </w:r>
            <w:r w:rsidRPr="00C50672">
              <w:rPr>
                <w:rFonts w:ascii="Book Antiqua" w:hAnsi="Book Antiqua" w:cs="Book Antiqua"/>
                <w:color w:val="auto"/>
                <w:sz w:val="20"/>
                <w:szCs w:val="20"/>
              </w:rPr>
              <w:t xml:space="preserve"> engagement with Pacific island countries,</w:t>
            </w:r>
            <w:r>
              <w:rPr>
                <w:rFonts w:ascii="Book Antiqua" w:hAnsi="Book Antiqua" w:cs="Book Antiqua"/>
                <w:color w:val="auto"/>
                <w:sz w:val="20"/>
                <w:szCs w:val="20"/>
              </w:rPr>
              <w:t xml:space="preserve"> including deepening our partnership with Papua New Guinea, supporting</w:t>
            </w:r>
            <w:r w:rsidRPr="00C50672">
              <w:rPr>
                <w:rFonts w:ascii="Book Antiqua" w:hAnsi="Book Antiqua" w:cs="Book Antiqua"/>
                <w:color w:val="auto"/>
                <w:sz w:val="20"/>
                <w:szCs w:val="20"/>
              </w:rPr>
              <w:t xml:space="preserve"> </w:t>
            </w:r>
            <w:r>
              <w:rPr>
                <w:rFonts w:ascii="Book Antiqua" w:hAnsi="Book Antiqua" w:cs="Book Antiqua"/>
                <w:color w:val="auto"/>
                <w:sz w:val="20"/>
                <w:szCs w:val="20"/>
              </w:rPr>
              <w:t>normalisation of relations with Fiji and supporting capacity building in the Solomon Islands;</w:t>
            </w:r>
          </w:p>
          <w:p w:rsidR="00C0006A" w:rsidRDefault="00C0006A" w:rsidP="00F37EE6">
            <w:pPr>
              <w:pStyle w:val="Default"/>
              <w:numPr>
                <w:ilvl w:val="1"/>
                <w:numId w:val="47"/>
              </w:numPr>
              <w:spacing w:after="240"/>
              <w:jc w:val="both"/>
              <w:rPr>
                <w:rFonts w:ascii="Book Antiqua" w:hAnsi="Book Antiqua" w:cs="Book Antiqua"/>
                <w:color w:val="auto"/>
                <w:sz w:val="20"/>
                <w:szCs w:val="20"/>
              </w:rPr>
            </w:pPr>
            <w:r w:rsidRPr="00C50672">
              <w:rPr>
                <w:rFonts w:ascii="Book Antiqua" w:hAnsi="Book Antiqua" w:cs="Book Antiqua"/>
                <w:color w:val="auto"/>
                <w:sz w:val="20"/>
                <w:szCs w:val="20"/>
              </w:rPr>
              <w:t>a stronger partnership with the European Union and key European countries, and continued close ties with New Zealand, the United Kingdom and Canada;</w:t>
            </w:r>
          </w:p>
          <w:p w:rsidR="00C0006A" w:rsidRPr="00C50672" w:rsidRDefault="00C0006A" w:rsidP="00F37EE6">
            <w:pPr>
              <w:pStyle w:val="Default"/>
              <w:numPr>
                <w:ilvl w:val="1"/>
                <w:numId w:val="47"/>
              </w:numPr>
              <w:spacing w:after="240"/>
              <w:jc w:val="both"/>
              <w:rPr>
                <w:rFonts w:ascii="Book Antiqua" w:hAnsi="Book Antiqua" w:cs="Book Antiqua"/>
                <w:color w:val="auto"/>
                <w:sz w:val="20"/>
                <w:szCs w:val="20"/>
              </w:rPr>
            </w:pPr>
            <w:r>
              <w:rPr>
                <w:rFonts w:ascii="Book Antiqua" w:hAnsi="Book Antiqua" w:cs="Book Antiqua"/>
                <w:color w:val="auto"/>
                <w:sz w:val="20"/>
                <w:szCs w:val="20"/>
              </w:rPr>
              <w:t xml:space="preserve">sustained engagement with </w:t>
            </w:r>
            <w:r w:rsidRPr="00C50672">
              <w:rPr>
                <w:rFonts w:ascii="Book Antiqua" w:hAnsi="Book Antiqua" w:cs="Book Antiqua"/>
                <w:color w:val="auto"/>
                <w:sz w:val="20"/>
                <w:szCs w:val="20"/>
              </w:rPr>
              <w:t xml:space="preserve">South Asia, the Middle East, Africa, </w:t>
            </w:r>
            <w:r>
              <w:rPr>
                <w:rFonts w:ascii="Book Antiqua" w:hAnsi="Book Antiqua" w:cs="Book Antiqua"/>
                <w:color w:val="auto"/>
                <w:sz w:val="20"/>
                <w:szCs w:val="20"/>
              </w:rPr>
              <w:t>the Americas</w:t>
            </w:r>
            <w:r w:rsidRPr="00C50672">
              <w:rPr>
                <w:rFonts w:ascii="Book Antiqua" w:hAnsi="Book Antiqua" w:cs="Book Antiqua"/>
                <w:color w:val="auto"/>
                <w:sz w:val="20"/>
                <w:szCs w:val="20"/>
              </w:rPr>
              <w:t>, and Turkey to meet shared challenges and to promote global and regional stability, security and prosperity;</w:t>
            </w:r>
          </w:p>
          <w:p w:rsidR="00C0006A" w:rsidRPr="00C50672" w:rsidRDefault="00C0006A" w:rsidP="00F37EE6">
            <w:pPr>
              <w:pStyle w:val="Default"/>
              <w:numPr>
                <w:ilvl w:val="1"/>
                <w:numId w:val="47"/>
              </w:numPr>
              <w:spacing w:after="240"/>
              <w:jc w:val="both"/>
              <w:rPr>
                <w:rFonts w:ascii="Book Antiqua" w:hAnsi="Book Antiqua"/>
                <w:color w:val="auto"/>
                <w:sz w:val="20"/>
                <w:szCs w:val="20"/>
              </w:rPr>
            </w:pPr>
            <w:r w:rsidRPr="00C50672">
              <w:rPr>
                <w:rFonts w:ascii="Book Antiqua" w:hAnsi="Book Antiqua" w:cs="Book Antiqua"/>
                <w:color w:val="auto"/>
                <w:sz w:val="20"/>
                <w:szCs w:val="20"/>
              </w:rPr>
              <w:t xml:space="preserve">strong participation in the United Nations </w:t>
            </w:r>
            <w:r>
              <w:rPr>
                <w:rFonts w:ascii="Book Antiqua" w:hAnsi="Book Antiqua" w:cs="Book Antiqua"/>
                <w:color w:val="auto"/>
                <w:sz w:val="20"/>
                <w:szCs w:val="20"/>
              </w:rPr>
              <w:t>and other multilateral for</w:t>
            </w:r>
            <w:r w:rsidR="007D43E3">
              <w:rPr>
                <w:rFonts w:ascii="Book Antiqua" w:hAnsi="Book Antiqua" w:cs="Book Antiqua"/>
                <w:color w:val="auto"/>
                <w:sz w:val="20"/>
                <w:szCs w:val="20"/>
              </w:rPr>
              <w:t>a</w:t>
            </w:r>
            <w:r>
              <w:rPr>
                <w:rFonts w:ascii="Book Antiqua" w:hAnsi="Book Antiqua" w:cs="Book Antiqua"/>
                <w:color w:val="auto"/>
                <w:sz w:val="20"/>
                <w:szCs w:val="20"/>
              </w:rPr>
              <w:t xml:space="preserve">, </w:t>
            </w:r>
            <w:r w:rsidRPr="00C50672">
              <w:rPr>
                <w:rFonts w:ascii="Book Antiqua" w:hAnsi="Book Antiqua" w:cs="Book Antiqua"/>
                <w:color w:val="auto"/>
                <w:sz w:val="20"/>
                <w:szCs w:val="20"/>
              </w:rPr>
              <w:t>advocacy of human rights</w:t>
            </w:r>
            <w:r>
              <w:rPr>
                <w:rFonts w:ascii="Book Antiqua" w:hAnsi="Book Antiqua" w:cs="Book Antiqua"/>
                <w:color w:val="auto"/>
                <w:sz w:val="20"/>
                <w:szCs w:val="20"/>
              </w:rPr>
              <w:t>, gender equality</w:t>
            </w:r>
            <w:r w:rsidRPr="00C50672">
              <w:rPr>
                <w:rFonts w:ascii="Book Antiqua" w:hAnsi="Book Antiqua" w:cs="Book Antiqua"/>
                <w:color w:val="auto"/>
                <w:sz w:val="20"/>
                <w:szCs w:val="20"/>
              </w:rPr>
              <w:t xml:space="preserve"> and promotion of sustainable development and effective international action on climate change and other environmental outcomes; </w:t>
            </w:r>
          </w:p>
          <w:p w:rsidR="00C0006A" w:rsidRPr="00C50672" w:rsidRDefault="00C0006A" w:rsidP="00F37EE6">
            <w:pPr>
              <w:pStyle w:val="Default"/>
              <w:numPr>
                <w:ilvl w:val="1"/>
                <w:numId w:val="47"/>
              </w:numPr>
              <w:spacing w:after="240"/>
              <w:jc w:val="both"/>
              <w:rPr>
                <w:rFonts w:ascii="Book Antiqua" w:hAnsi="Book Antiqua"/>
                <w:color w:val="auto"/>
                <w:sz w:val="20"/>
                <w:szCs w:val="20"/>
              </w:rPr>
            </w:pPr>
            <w:r w:rsidRPr="00C50672">
              <w:rPr>
                <w:rFonts w:ascii="Book Antiqua" w:hAnsi="Book Antiqua" w:cs="Book Antiqua"/>
                <w:color w:val="auto"/>
                <w:sz w:val="20"/>
                <w:szCs w:val="20"/>
              </w:rPr>
              <w:t>contribution to enhanced regional architecture through the East Asia Summit (EAS), dialogue with the Association of Southeast Asian Nations (ASEAN)</w:t>
            </w:r>
            <w:r>
              <w:rPr>
                <w:rFonts w:ascii="Book Antiqua" w:hAnsi="Book Antiqua" w:cs="Book Antiqua"/>
                <w:color w:val="auto"/>
                <w:sz w:val="20"/>
                <w:szCs w:val="20"/>
              </w:rPr>
              <w:t xml:space="preserve">, </w:t>
            </w:r>
            <w:r w:rsidRPr="00C50672">
              <w:rPr>
                <w:rFonts w:ascii="Book Antiqua" w:hAnsi="Book Antiqua" w:cs="Book Antiqua"/>
                <w:color w:val="auto"/>
                <w:sz w:val="20"/>
                <w:szCs w:val="20"/>
              </w:rPr>
              <w:t xml:space="preserve">the Asia-Pacific Economic Cooperation (APEC) forum, the Indian Ocean Rim Association (IORA) </w:t>
            </w:r>
            <w:r>
              <w:rPr>
                <w:rFonts w:ascii="Book Antiqua" w:hAnsi="Book Antiqua" w:cs="Book Antiqua"/>
                <w:color w:val="auto"/>
                <w:sz w:val="20"/>
                <w:szCs w:val="20"/>
              </w:rPr>
              <w:t>and MIKTA (Mexico, Indonesia, Korea, Turkey and Australia);</w:t>
            </w:r>
          </w:p>
          <w:p w:rsidR="00C0006A" w:rsidRDefault="00C0006A" w:rsidP="00F37EE6">
            <w:pPr>
              <w:pStyle w:val="Default"/>
              <w:numPr>
                <w:ilvl w:val="1"/>
                <w:numId w:val="47"/>
              </w:numPr>
              <w:spacing w:after="240"/>
              <w:jc w:val="both"/>
              <w:rPr>
                <w:rFonts w:ascii="Book Antiqua" w:hAnsi="Book Antiqua" w:cs="Book Antiqua"/>
                <w:color w:val="auto"/>
                <w:sz w:val="20"/>
                <w:szCs w:val="20"/>
              </w:rPr>
            </w:pPr>
            <w:r w:rsidRPr="00C50672">
              <w:rPr>
                <w:rFonts w:ascii="Book Antiqua" w:hAnsi="Book Antiqua" w:cs="Book Antiqua"/>
                <w:color w:val="auto"/>
                <w:sz w:val="20"/>
                <w:szCs w:val="20"/>
              </w:rPr>
              <w:t>promotion of high-quality public diplomacy, international media and cultural visit programs which improve understanding of Australia and Australian Govern</w:t>
            </w:r>
            <w:r>
              <w:rPr>
                <w:rFonts w:ascii="Book Antiqua" w:hAnsi="Book Antiqua" w:cs="Book Antiqua"/>
                <w:color w:val="auto"/>
                <w:sz w:val="20"/>
                <w:szCs w:val="20"/>
              </w:rPr>
              <w:t>ment foreign and trade policies; and</w:t>
            </w:r>
          </w:p>
          <w:p w:rsidR="00C0006A" w:rsidRDefault="00C0006A" w:rsidP="00F37EE6">
            <w:pPr>
              <w:pStyle w:val="Default"/>
              <w:numPr>
                <w:ilvl w:val="1"/>
                <w:numId w:val="47"/>
              </w:numPr>
              <w:spacing w:after="240"/>
              <w:jc w:val="both"/>
              <w:rPr>
                <w:rFonts w:ascii="Book Antiqua" w:hAnsi="Book Antiqua" w:cs="Book Antiqua"/>
                <w:color w:val="auto"/>
                <w:sz w:val="20"/>
                <w:szCs w:val="20"/>
              </w:rPr>
            </w:pPr>
            <w:r>
              <w:rPr>
                <w:rFonts w:ascii="Book Antiqua" w:hAnsi="Book Antiqua" w:cs="Book Antiqua"/>
                <w:color w:val="auto"/>
                <w:sz w:val="20"/>
                <w:szCs w:val="20"/>
              </w:rPr>
              <w:t>measurable i</w:t>
            </w:r>
            <w:r w:rsidRPr="0009103C">
              <w:rPr>
                <w:rFonts w:ascii="Book Antiqua" w:hAnsi="Book Antiqua" w:cs="Book Antiqua"/>
                <w:color w:val="auto"/>
                <w:sz w:val="20"/>
                <w:szCs w:val="20"/>
              </w:rPr>
              <w:t xml:space="preserve">nfluence </w:t>
            </w:r>
            <w:r>
              <w:rPr>
                <w:rFonts w:ascii="Book Antiqua" w:hAnsi="Book Antiqua" w:cs="Book Antiqua"/>
                <w:color w:val="auto"/>
                <w:sz w:val="20"/>
                <w:szCs w:val="20"/>
              </w:rPr>
              <w:t xml:space="preserve">on </w:t>
            </w:r>
            <w:r w:rsidRPr="0009103C">
              <w:rPr>
                <w:rFonts w:ascii="Book Antiqua" w:hAnsi="Book Antiqua" w:cs="Book Antiqua"/>
                <w:color w:val="auto"/>
                <w:sz w:val="20"/>
                <w:szCs w:val="20"/>
              </w:rPr>
              <w:t>the agenda of key multilateral tourism for</w:t>
            </w:r>
            <w:r w:rsidR="007D43E3">
              <w:rPr>
                <w:rFonts w:ascii="Book Antiqua" w:hAnsi="Book Antiqua" w:cs="Book Antiqua"/>
                <w:color w:val="auto"/>
                <w:sz w:val="20"/>
                <w:szCs w:val="20"/>
              </w:rPr>
              <w:t>a</w:t>
            </w:r>
            <w:r w:rsidRPr="0009103C">
              <w:rPr>
                <w:rFonts w:ascii="Book Antiqua" w:hAnsi="Book Antiqua" w:cs="Book Antiqua"/>
                <w:color w:val="auto"/>
                <w:sz w:val="20"/>
                <w:szCs w:val="20"/>
              </w:rPr>
              <w:t xml:space="preserve"> to align with the Australian Government’s priorities under </w:t>
            </w:r>
            <w:r w:rsidRPr="006F0184">
              <w:rPr>
                <w:rFonts w:ascii="Book Antiqua" w:hAnsi="Book Antiqua" w:cs="Book Antiqua"/>
                <w:i/>
                <w:color w:val="auto"/>
                <w:sz w:val="20"/>
                <w:szCs w:val="20"/>
              </w:rPr>
              <w:t>Tourism 2020</w:t>
            </w:r>
            <w:r w:rsidRPr="0009103C">
              <w:rPr>
                <w:rFonts w:ascii="Book Antiqua" w:hAnsi="Book Antiqua" w:cs="Book Antiqua"/>
                <w:color w:val="auto"/>
                <w:sz w:val="20"/>
                <w:szCs w:val="20"/>
              </w:rPr>
              <w:t xml:space="preserve"> and strengthen bilateral tourism relationships with important tourist markets such as China and India.</w:t>
            </w:r>
          </w:p>
          <w:p w:rsidR="007F26E3" w:rsidRDefault="007F26E3" w:rsidP="007F26E3">
            <w:pPr>
              <w:pStyle w:val="Default"/>
              <w:spacing w:after="240"/>
              <w:jc w:val="both"/>
              <w:rPr>
                <w:rFonts w:ascii="Book Antiqua" w:hAnsi="Book Antiqua" w:cs="Book Antiqua"/>
                <w:color w:val="auto"/>
                <w:sz w:val="20"/>
                <w:szCs w:val="20"/>
              </w:rPr>
            </w:pPr>
          </w:p>
          <w:p w:rsidR="007F26E3" w:rsidRDefault="007F26E3" w:rsidP="007F26E3">
            <w:pPr>
              <w:pStyle w:val="Default"/>
              <w:spacing w:after="240"/>
              <w:jc w:val="both"/>
              <w:rPr>
                <w:rFonts w:ascii="Book Antiqua" w:hAnsi="Book Antiqua" w:cs="Book Antiqua"/>
                <w:color w:val="auto"/>
                <w:sz w:val="20"/>
                <w:szCs w:val="20"/>
              </w:rPr>
            </w:pPr>
          </w:p>
          <w:p w:rsidR="007F26E3" w:rsidRPr="002F799D" w:rsidRDefault="007F26E3" w:rsidP="007F26E3">
            <w:pPr>
              <w:pStyle w:val="Default"/>
              <w:spacing w:after="240"/>
              <w:jc w:val="both"/>
              <w:rPr>
                <w:rFonts w:ascii="Book Antiqua" w:hAnsi="Book Antiqua" w:cs="Book Antiqua"/>
                <w:color w:val="auto"/>
                <w:sz w:val="20"/>
                <w:szCs w:val="20"/>
              </w:rPr>
            </w:pPr>
          </w:p>
          <w:p w:rsidR="00C0006A" w:rsidRPr="00C50672" w:rsidRDefault="00C0006A" w:rsidP="00F37EE6">
            <w:pPr>
              <w:pStyle w:val="Default"/>
              <w:numPr>
                <w:ilvl w:val="0"/>
                <w:numId w:val="25"/>
              </w:numPr>
              <w:spacing w:after="240"/>
              <w:jc w:val="both"/>
              <w:rPr>
                <w:rFonts w:ascii="Book Antiqua" w:hAnsi="Book Antiqua" w:cs="Book Antiqua"/>
                <w:color w:val="auto"/>
                <w:sz w:val="20"/>
                <w:szCs w:val="20"/>
              </w:rPr>
            </w:pPr>
            <w:r>
              <w:rPr>
                <w:rFonts w:ascii="Book Antiqua" w:hAnsi="Book Antiqua" w:cs="Book Antiqua"/>
                <w:color w:val="auto"/>
                <w:sz w:val="20"/>
                <w:szCs w:val="20"/>
              </w:rPr>
              <w:t>Australia’s trade and investment</w:t>
            </w:r>
            <w:r w:rsidRPr="00C50672">
              <w:rPr>
                <w:rFonts w:ascii="Book Antiqua" w:hAnsi="Book Antiqua" w:cs="Book Antiqua"/>
                <w:color w:val="auto"/>
                <w:sz w:val="20"/>
                <w:szCs w:val="20"/>
              </w:rPr>
              <w:t xml:space="preserve"> opportunities are maximised, including through: </w:t>
            </w:r>
          </w:p>
          <w:p w:rsidR="00C0006A" w:rsidRPr="00C50672" w:rsidRDefault="00C0006A" w:rsidP="00F37EE6">
            <w:pPr>
              <w:pStyle w:val="Default"/>
              <w:numPr>
                <w:ilvl w:val="1"/>
                <w:numId w:val="47"/>
              </w:numPr>
              <w:spacing w:after="240"/>
              <w:jc w:val="both"/>
              <w:rPr>
                <w:rFonts w:ascii="Book Antiqua" w:hAnsi="Book Antiqua"/>
                <w:color w:val="auto"/>
                <w:sz w:val="20"/>
                <w:szCs w:val="20"/>
              </w:rPr>
            </w:pPr>
            <w:r>
              <w:rPr>
                <w:rFonts w:ascii="Book Antiqua" w:hAnsi="Book Antiqua" w:cs="Book Antiqua"/>
                <w:color w:val="auto"/>
                <w:sz w:val="20"/>
                <w:szCs w:val="20"/>
              </w:rPr>
              <w:t>negotiating,</w:t>
            </w:r>
            <w:r w:rsidRPr="00C50672">
              <w:rPr>
                <w:rFonts w:ascii="Book Antiqua" w:hAnsi="Book Antiqua" w:cs="Book Antiqua"/>
                <w:color w:val="auto"/>
                <w:sz w:val="20"/>
                <w:szCs w:val="20"/>
              </w:rPr>
              <w:t xml:space="preserve"> </w:t>
            </w:r>
            <w:r>
              <w:rPr>
                <w:rFonts w:ascii="Book Antiqua" w:hAnsi="Book Antiqua" w:cs="Book Antiqua"/>
                <w:color w:val="auto"/>
                <w:sz w:val="20"/>
                <w:szCs w:val="20"/>
              </w:rPr>
              <w:t xml:space="preserve">finalising and implementing </w:t>
            </w:r>
            <w:r w:rsidRPr="00C50672">
              <w:rPr>
                <w:rFonts w:ascii="Book Antiqua" w:hAnsi="Book Antiqua" w:cs="Book Antiqua"/>
                <w:color w:val="auto"/>
                <w:sz w:val="20"/>
                <w:szCs w:val="20"/>
              </w:rPr>
              <w:t xml:space="preserve">Australia’s </w:t>
            </w:r>
            <w:r w:rsidR="002F7A59">
              <w:rPr>
                <w:rFonts w:ascii="Book Antiqua" w:hAnsi="Book Antiqua" w:cs="Book Antiqua"/>
                <w:color w:val="auto"/>
                <w:sz w:val="20"/>
                <w:szCs w:val="20"/>
              </w:rPr>
              <w:t>f</w:t>
            </w:r>
            <w:r w:rsidRPr="00C50672">
              <w:rPr>
                <w:rFonts w:ascii="Book Antiqua" w:hAnsi="Book Antiqua" w:cs="Book Antiqua"/>
                <w:color w:val="auto"/>
                <w:sz w:val="20"/>
                <w:szCs w:val="20"/>
              </w:rPr>
              <w:t xml:space="preserve">ree </w:t>
            </w:r>
            <w:r w:rsidR="002F7A59">
              <w:rPr>
                <w:rFonts w:ascii="Book Antiqua" w:hAnsi="Book Antiqua" w:cs="Book Antiqua"/>
                <w:color w:val="auto"/>
                <w:sz w:val="20"/>
                <w:szCs w:val="20"/>
              </w:rPr>
              <w:t>t</w:t>
            </w:r>
            <w:r w:rsidRPr="00C50672">
              <w:rPr>
                <w:rFonts w:ascii="Book Antiqua" w:hAnsi="Book Antiqua" w:cs="Book Antiqua"/>
                <w:color w:val="auto"/>
                <w:sz w:val="20"/>
                <w:szCs w:val="20"/>
              </w:rPr>
              <w:t xml:space="preserve">rade </w:t>
            </w:r>
            <w:r w:rsidR="002F7A59">
              <w:rPr>
                <w:rFonts w:ascii="Book Antiqua" w:hAnsi="Book Antiqua" w:cs="Book Antiqua"/>
                <w:color w:val="auto"/>
                <w:sz w:val="20"/>
                <w:szCs w:val="20"/>
              </w:rPr>
              <w:t>a</w:t>
            </w:r>
            <w:r w:rsidRPr="00C50672">
              <w:rPr>
                <w:rFonts w:ascii="Book Antiqua" w:hAnsi="Book Antiqua" w:cs="Book Antiqua"/>
                <w:color w:val="auto"/>
                <w:sz w:val="20"/>
                <w:szCs w:val="20"/>
              </w:rPr>
              <w:t>g</w:t>
            </w:r>
            <w:r>
              <w:rPr>
                <w:rFonts w:ascii="Book Antiqua" w:hAnsi="Book Antiqua" w:cs="Book Antiqua"/>
                <w:color w:val="auto"/>
                <w:sz w:val="20"/>
                <w:szCs w:val="20"/>
              </w:rPr>
              <w:t xml:space="preserve">reement (FTA) agenda and </w:t>
            </w:r>
            <w:r w:rsidRPr="00C50672">
              <w:rPr>
                <w:rFonts w:ascii="Book Antiqua" w:hAnsi="Book Antiqua" w:cs="Book Antiqua"/>
                <w:color w:val="auto"/>
                <w:sz w:val="20"/>
                <w:szCs w:val="20"/>
              </w:rPr>
              <w:t>exploring opportunities</w:t>
            </w:r>
            <w:r>
              <w:rPr>
                <w:rFonts w:ascii="Book Antiqua" w:hAnsi="Book Antiqua" w:cs="Book Antiqua"/>
                <w:color w:val="auto"/>
                <w:sz w:val="20"/>
                <w:szCs w:val="20"/>
              </w:rPr>
              <w:t xml:space="preserve"> for FTAs with other trading partners;</w:t>
            </w:r>
            <w:r w:rsidRPr="00C50672">
              <w:rPr>
                <w:rFonts w:ascii="Book Antiqua" w:hAnsi="Book Antiqua" w:cs="Book Antiqua"/>
                <w:color w:val="auto"/>
                <w:sz w:val="20"/>
                <w:szCs w:val="20"/>
              </w:rPr>
              <w:t xml:space="preserve"> </w:t>
            </w:r>
          </w:p>
          <w:p w:rsidR="00C0006A" w:rsidRDefault="00C0006A" w:rsidP="00F37EE6">
            <w:pPr>
              <w:pStyle w:val="Default"/>
              <w:numPr>
                <w:ilvl w:val="1"/>
                <w:numId w:val="47"/>
              </w:numPr>
              <w:spacing w:after="240"/>
              <w:jc w:val="both"/>
              <w:rPr>
                <w:rFonts w:ascii="Book Antiqua" w:hAnsi="Book Antiqua" w:cs="Book Antiqua"/>
                <w:color w:val="auto"/>
                <w:sz w:val="20"/>
                <w:szCs w:val="20"/>
              </w:rPr>
            </w:pPr>
            <w:r>
              <w:rPr>
                <w:rFonts w:ascii="Book Antiqua" w:hAnsi="Book Antiqua" w:cs="Book Antiqua"/>
                <w:color w:val="auto"/>
                <w:sz w:val="20"/>
                <w:szCs w:val="20"/>
              </w:rPr>
              <w:t xml:space="preserve">enhancing Australia’s commitment to regional trade negotiations, including the Trans Pacific Partnership, Regional Comprehensive Economic Partnership and PACER Plus; </w:t>
            </w:r>
          </w:p>
          <w:p w:rsidR="00C0006A" w:rsidRDefault="00C0006A" w:rsidP="00F37EE6">
            <w:pPr>
              <w:pStyle w:val="Default"/>
              <w:numPr>
                <w:ilvl w:val="1"/>
                <w:numId w:val="47"/>
              </w:numPr>
              <w:spacing w:after="240"/>
              <w:jc w:val="both"/>
              <w:rPr>
                <w:rFonts w:ascii="Book Antiqua" w:hAnsi="Book Antiqua" w:cs="Book Antiqua"/>
                <w:color w:val="auto"/>
                <w:sz w:val="20"/>
                <w:szCs w:val="20"/>
              </w:rPr>
            </w:pPr>
            <w:r w:rsidRPr="00C50672">
              <w:rPr>
                <w:rFonts w:ascii="Book Antiqua" w:hAnsi="Book Antiqua" w:cs="Book Antiqua"/>
                <w:color w:val="auto"/>
                <w:sz w:val="20"/>
                <w:szCs w:val="20"/>
              </w:rPr>
              <w:t xml:space="preserve">effective participation in the World Trade Organization (WTO), including </w:t>
            </w:r>
            <w:r>
              <w:rPr>
                <w:rFonts w:ascii="Book Antiqua" w:hAnsi="Book Antiqua" w:cs="Book Antiqua"/>
                <w:color w:val="auto"/>
                <w:sz w:val="20"/>
                <w:szCs w:val="20"/>
              </w:rPr>
              <w:t xml:space="preserve">working with other WTO Members to conclude the negotiations of </w:t>
            </w:r>
            <w:r w:rsidRPr="00C50672">
              <w:rPr>
                <w:rFonts w:ascii="Book Antiqua" w:hAnsi="Book Antiqua" w:cs="Book Antiqua"/>
                <w:color w:val="auto"/>
                <w:sz w:val="20"/>
                <w:szCs w:val="20"/>
              </w:rPr>
              <w:t>the Doha Round, leadership of the Cairns Group of agricultural exporting countries, and to promote and defend Australia’s interests through means such as WTO dispute settlement</w:t>
            </w:r>
            <w:r>
              <w:rPr>
                <w:rFonts w:ascii="Book Antiqua" w:hAnsi="Book Antiqua" w:cs="Book Antiqua"/>
                <w:color w:val="auto"/>
                <w:sz w:val="20"/>
                <w:szCs w:val="20"/>
              </w:rPr>
              <w:t>;</w:t>
            </w:r>
            <w:r w:rsidR="00562D89">
              <w:rPr>
                <w:rFonts w:ascii="Book Antiqua" w:hAnsi="Book Antiqua" w:cs="Book Antiqua"/>
                <w:color w:val="auto"/>
                <w:sz w:val="20"/>
                <w:szCs w:val="20"/>
              </w:rPr>
              <w:t xml:space="preserve"> and</w:t>
            </w:r>
          </w:p>
          <w:p w:rsidR="00C0006A" w:rsidRPr="00B04A3D" w:rsidRDefault="00C0006A" w:rsidP="00F37EE6">
            <w:pPr>
              <w:pStyle w:val="Default"/>
              <w:numPr>
                <w:ilvl w:val="1"/>
                <w:numId w:val="47"/>
              </w:numPr>
              <w:spacing w:after="240"/>
              <w:jc w:val="both"/>
              <w:rPr>
                <w:rFonts w:ascii="Book Antiqua" w:hAnsi="Book Antiqua" w:cs="Book Antiqua"/>
                <w:color w:val="auto"/>
                <w:sz w:val="20"/>
                <w:szCs w:val="20"/>
              </w:rPr>
            </w:pPr>
            <w:r>
              <w:rPr>
                <w:rFonts w:ascii="Book Antiqua" w:hAnsi="Book Antiqua" w:cs="Book Antiqua"/>
                <w:color w:val="auto"/>
                <w:sz w:val="20"/>
                <w:szCs w:val="20"/>
              </w:rPr>
              <w:t>implementing the WTO Agreement on Trade Facilitation, negotiating the Trade in Services Agreement, and negotiating the Environmental Goods Agreement.</w:t>
            </w:r>
          </w:p>
          <w:p w:rsidR="00C0006A" w:rsidRPr="00C50672" w:rsidRDefault="00C0006A" w:rsidP="00F37EE6">
            <w:pPr>
              <w:pStyle w:val="Default"/>
              <w:numPr>
                <w:ilvl w:val="0"/>
                <w:numId w:val="25"/>
              </w:numPr>
              <w:spacing w:after="240"/>
              <w:jc w:val="both"/>
              <w:rPr>
                <w:rFonts w:ascii="Book Antiqua" w:hAnsi="Book Antiqua" w:cs="Book Antiqua"/>
                <w:color w:val="auto"/>
                <w:sz w:val="20"/>
                <w:szCs w:val="20"/>
              </w:rPr>
            </w:pPr>
            <w:r w:rsidRPr="00C50672">
              <w:rPr>
                <w:rFonts w:ascii="Book Antiqua" w:hAnsi="Book Antiqua" w:cs="Book Antiqua"/>
                <w:color w:val="auto"/>
                <w:sz w:val="20"/>
                <w:szCs w:val="20"/>
              </w:rPr>
              <w:t xml:space="preserve">An enhanced environment for security and development, including through: </w:t>
            </w:r>
          </w:p>
          <w:p w:rsidR="00C0006A" w:rsidRPr="00C50672" w:rsidRDefault="006D50F7" w:rsidP="00F37EE6">
            <w:pPr>
              <w:pStyle w:val="Default"/>
              <w:numPr>
                <w:ilvl w:val="1"/>
                <w:numId w:val="47"/>
              </w:numPr>
              <w:spacing w:after="240"/>
              <w:jc w:val="both"/>
              <w:rPr>
                <w:rFonts w:ascii="Book Antiqua" w:hAnsi="Book Antiqua" w:cs="Book Antiqua"/>
                <w:color w:val="auto"/>
                <w:sz w:val="20"/>
                <w:szCs w:val="20"/>
              </w:rPr>
            </w:pPr>
            <w:r>
              <w:rPr>
                <w:rFonts w:ascii="Book Antiqua" w:hAnsi="Book Antiqua" w:cs="Book Antiqua"/>
                <w:color w:val="auto"/>
                <w:sz w:val="20"/>
                <w:szCs w:val="20"/>
              </w:rPr>
              <w:t xml:space="preserve">effective whole of </w:t>
            </w:r>
            <w:r w:rsidR="00C0006A" w:rsidRPr="00C50672">
              <w:rPr>
                <w:rFonts w:ascii="Book Antiqua" w:hAnsi="Book Antiqua" w:cs="Book Antiqua"/>
                <w:color w:val="auto"/>
                <w:sz w:val="20"/>
                <w:szCs w:val="20"/>
              </w:rPr>
              <w:t>government efforts to promote internat</w:t>
            </w:r>
            <w:r w:rsidR="002708B5">
              <w:rPr>
                <w:rFonts w:ascii="Book Antiqua" w:hAnsi="Book Antiqua" w:cs="Book Antiqua"/>
                <w:color w:val="auto"/>
                <w:sz w:val="20"/>
                <w:szCs w:val="20"/>
              </w:rPr>
              <w:t>ional stability and development</w:t>
            </w:r>
            <w:r w:rsidR="00C0006A" w:rsidRPr="00C50672">
              <w:rPr>
                <w:rFonts w:ascii="Book Antiqua" w:hAnsi="Book Antiqua" w:cs="Book Antiqua"/>
                <w:color w:val="auto"/>
                <w:sz w:val="20"/>
                <w:szCs w:val="20"/>
              </w:rPr>
              <w:t xml:space="preserve">; </w:t>
            </w:r>
          </w:p>
          <w:p w:rsidR="00C0006A" w:rsidRPr="00C50672" w:rsidRDefault="00C0006A" w:rsidP="00F37EE6">
            <w:pPr>
              <w:pStyle w:val="Default"/>
              <w:numPr>
                <w:ilvl w:val="1"/>
                <w:numId w:val="47"/>
              </w:numPr>
              <w:spacing w:after="240"/>
              <w:jc w:val="both"/>
              <w:rPr>
                <w:rFonts w:ascii="Book Antiqua" w:hAnsi="Book Antiqua" w:cs="Book Antiqua"/>
                <w:color w:val="auto"/>
                <w:sz w:val="20"/>
                <w:szCs w:val="20"/>
              </w:rPr>
            </w:pPr>
            <w:r w:rsidRPr="00C50672">
              <w:rPr>
                <w:rFonts w:ascii="Book Antiqua" w:hAnsi="Book Antiqua" w:cs="Book Antiqua"/>
                <w:color w:val="auto"/>
                <w:sz w:val="20"/>
                <w:szCs w:val="20"/>
              </w:rPr>
              <w:t>promotion of nuclear non-proliferation and disarmament, and counter-proliferation and arms control efforts, including as chair of the Australia Group;</w:t>
            </w:r>
          </w:p>
          <w:p w:rsidR="00C0006A" w:rsidRPr="00C50672" w:rsidRDefault="00C0006A" w:rsidP="00F37EE6">
            <w:pPr>
              <w:pStyle w:val="Default"/>
              <w:numPr>
                <w:ilvl w:val="1"/>
                <w:numId w:val="47"/>
              </w:numPr>
              <w:spacing w:after="240"/>
              <w:jc w:val="both"/>
              <w:rPr>
                <w:rFonts w:ascii="Book Antiqua" w:hAnsi="Book Antiqua" w:cs="Book Antiqua"/>
                <w:color w:val="auto"/>
                <w:sz w:val="20"/>
                <w:szCs w:val="20"/>
              </w:rPr>
            </w:pPr>
            <w:r w:rsidRPr="00C50672">
              <w:rPr>
                <w:rFonts w:ascii="Book Antiqua" w:hAnsi="Book Antiqua" w:cs="Book Antiqua"/>
                <w:color w:val="auto"/>
                <w:sz w:val="20"/>
                <w:szCs w:val="20"/>
              </w:rPr>
              <w:t>participation in counter-terrorism programs and activities, including in South Asia, South-East Asia, the Middle East, eastern and West Africa, and in the Global Counter Terrorism Forum; and</w:t>
            </w:r>
          </w:p>
          <w:p w:rsidR="00C0006A" w:rsidRPr="00C50672" w:rsidRDefault="00F70644" w:rsidP="00F37EE6">
            <w:pPr>
              <w:pStyle w:val="Default"/>
              <w:numPr>
                <w:ilvl w:val="1"/>
                <w:numId w:val="47"/>
              </w:numPr>
              <w:spacing w:after="240"/>
              <w:jc w:val="both"/>
              <w:rPr>
                <w:rFonts w:ascii="Book Antiqua" w:hAnsi="Book Antiqua" w:cs="Book Antiqua"/>
                <w:color w:val="auto"/>
                <w:sz w:val="20"/>
                <w:szCs w:val="20"/>
              </w:rPr>
            </w:pPr>
            <w:r>
              <w:rPr>
                <w:rFonts w:ascii="Book Antiqua" w:hAnsi="Book Antiqua" w:cs="Book Antiqua"/>
                <w:color w:val="auto"/>
                <w:sz w:val="20"/>
                <w:szCs w:val="20"/>
              </w:rPr>
              <w:t xml:space="preserve">contribution to whole of </w:t>
            </w:r>
            <w:r w:rsidR="00C0006A" w:rsidRPr="00C50672">
              <w:rPr>
                <w:rFonts w:ascii="Book Antiqua" w:hAnsi="Book Antiqua" w:cs="Book Antiqua"/>
                <w:color w:val="auto"/>
                <w:sz w:val="20"/>
                <w:szCs w:val="20"/>
              </w:rPr>
              <w:t>government efforts bilaterally and regionally to counter people smuggling</w:t>
            </w:r>
            <w:r w:rsidR="00C0006A">
              <w:rPr>
                <w:rFonts w:ascii="Book Antiqua" w:hAnsi="Book Antiqua" w:cs="Book Antiqua"/>
                <w:color w:val="auto"/>
                <w:sz w:val="20"/>
                <w:szCs w:val="20"/>
              </w:rPr>
              <w:t xml:space="preserve"> and human trafficking</w:t>
            </w:r>
            <w:r w:rsidR="00C0006A" w:rsidRPr="00C50672">
              <w:rPr>
                <w:rFonts w:ascii="Book Antiqua" w:hAnsi="Book Antiqua" w:cs="Book Antiqua"/>
                <w:color w:val="auto"/>
                <w:sz w:val="20"/>
                <w:szCs w:val="20"/>
              </w:rPr>
              <w:t xml:space="preserve">, </w:t>
            </w:r>
            <w:r w:rsidR="00C0006A">
              <w:rPr>
                <w:rFonts w:ascii="Book Antiqua" w:hAnsi="Book Antiqua" w:cs="Book Antiqua"/>
                <w:color w:val="auto"/>
                <w:sz w:val="20"/>
                <w:szCs w:val="20"/>
              </w:rPr>
              <w:t xml:space="preserve">including </w:t>
            </w:r>
            <w:r w:rsidR="00C0006A" w:rsidRPr="00C50672">
              <w:rPr>
                <w:rFonts w:ascii="Book Antiqua" w:hAnsi="Book Antiqua" w:cs="Book Antiqua"/>
                <w:color w:val="auto"/>
                <w:sz w:val="20"/>
                <w:szCs w:val="20"/>
              </w:rPr>
              <w:t>through the Bali Process on People Smuggling, Trafficking in Persons and Related Transnational Crime.</w:t>
            </w:r>
          </w:p>
          <w:p w:rsidR="00C0006A" w:rsidRPr="00C50672" w:rsidRDefault="00C0006A" w:rsidP="00F37EE6">
            <w:pPr>
              <w:pStyle w:val="Default"/>
              <w:numPr>
                <w:ilvl w:val="0"/>
                <w:numId w:val="25"/>
              </w:numPr>
              <w:spacing w:after="240"/>
              <w:jc w:val="both"/>
              <w:rPr>
                <w:rFonts w:ascii="Book Antiqua" w:hAnsi="Book Antiqua" w:cs="Book Antiqua"/>
                <w:color w:val="auto"/>
                <w:sz w:val="20"/>
                <w:szCs w:val="20"/>
              </w:rPr>
            </w:pPr>
            <w:r w:rsidRPr="00C50672">
              <w:rPr>
                <w:rFonts w:ascii="Book Antiqua" w:hAnsi="Book Antiqua" w:cs="Book Antiqua"/>
                <w:color w:val="auto"/>
                <w:sz w:val="20"/>
                <w:szCs w:val="20"/>
              </w:rPr>
              <w:t>Australia’s international and portfolio responsibilities are met through:</w:t>
            </w:r>
          </w:p>
          <w:p w:rsidR="007F26E3" w:rsidRDefault="00C0006A" w:rsidP="00F37EE6">
            <w:pPr>
              <w:pStyle w:val="Default"/>
              <w:numPr>
                <w:ilvl w:val="1"/>
                <w:numId w:val="47"/>
              </w:numPr>
              <w:spacing w:after="240"/>
              <w:jc w:val="both"/>
              <w:rPr>
                <w:rFonts w:ascii="Book Antiqua" w:hAnsi="Book Antiqua" w:cs="Book Antiqua"/>
                <w:color w:val="auto"/>
                <w:sz w:val="20"/>
                <w:szCs w:val="20"/>
              </w:rPr>
            </w:pPr>
            <w:r w:rsidRPr="00C50672">
              <w:rPr>
                <w:rFonts w:ascii="Book Antiqua" w:hAnsi="Book Antiqua" w:cs="Book Antiqua"/>
                <w:color w:val="auto"/>
                <w:sz w:val="20"/>
                <w:szCs w:val="20"/>
              </w:rPr>
              <w:t xml:space="preserve">effective coordination and sound advice to Ministers, </w:t>
            </w:r>
            <w:r w:rsidR="006D50F7">
              <w:rPr>
                <w:rFonts w:ascii="Book Antiqua" w:hAnsi="Book Antiqua" w:cs="Book Antiqua"/>
                <w:color w:val="auto"/>
                <w:sz w:val="20"/>
                <w:szCs w:val="20"/>
              </w:rPr>
              <w:t>m</w:t>
            </w:r>
            <w:r w:rsidRPr="00C50672">
              <w:rPr>
                <w:rFonts w:ascii="Book Antiqua" w:hAnsi="Book Antiqua" w:cs="Book Antiqua"/>
                <w:color w:val="auto"/>
                <w:sz w:val="20"/>
                <w:szCs w:val="20"/>
              </w:rPr>
              <w:t xml:space="preserve">embers of </w:t>
            </w:r>
            <w:r w:rsidR="006D50F7">
              <w:rPr>
                <w:rFonts w:ascii="Book Antiqua" w:hAnsi="Book Antiqua" w:cs="Book Antiqua"/>
                <w:color w:val="auto"/>
                <w:sz w:val="20"/>
                <w:szCs w:val="20"/>
              </w:rPr>
              <w:t>p</w:t>
            </w:r>
            <w:r w:rsidRPr="00C50672">
              <w:rPr>
                <w:rFonts w:ascii="Book Antiqua" w:hAnsi="Book Antiqua" w:cs="Book Antiqua"/>
                <w:color w:val="auto"/>
                <w:sz w:val="20"/>
                <w:szCs w:val="20"/>
              </w:rPr>
              <w:t>arliament, government agencies, state and territory governments, business, non-government organisations, media and members of the public;</w:t>
            </w:r>
          </w:p>
          <w:p w:rsidR="004438B1" w:rsidRPr="004438B1" w:rsidRDefault="004438B1" w:rsidP="004438B1">
            <w:pPr>
              <w:pStyle w:val="Default"/>
              <w:spacing w:after="240"/>
              <w:ind w:left="567"/>
              <w:jc w:val="both"/>
              <w:rPr>
                <w:rFonts w:ascii="Book Antiqua" w:hAnsi="Book Antiqua" w:cs="Book Antiqua"/>
                <w:color w:val="auto"/>
                <w:sz w:val="20"/>
                <w:szCs w:val="20"/>
              </w:rPr>
            </w:pPr>
          </w:p>
          <w:p w:rsidR="00C0006A" w:rsidRPr="00C50672" w:rsidRDefault="00C0006A" w:rsidP="00F37EE6">
            <w:pPr>
              <w:pStyle w:val="Default"/>
              <w:numPr>
                <w:ilvl w:val="1"/>
                <w:numId w:val="47"/>
              </w:numPr>
              <w:spacing w:after="240"/>
              <w:jc w:val="both"/>
              <w:rPr>
                <w:rFonts w:ascii="Book Antiqua" w:hAnsi="Book Antiqua" w:cs="Book Antiqua"/>
                <w:color w:val="auto"/>
                <w:sz w:val="20"/>
                <w:szCs w:val="20"/>
              </w:rPr>
            </w:pPr>
            <w:r w:rsidRPr="00C50672">
              <w:rPr>
                <w:rFonts w:ascii="Book Antiqua" w:hAnsi="Book Antiqua" w:cs="Book Antiqua"/>
                <w:color w:val="auto"/>
                <w:sz w:val="20"/>
                <w:szCs w:val="20"/>
              </w:rPr>
              <w:t>sound advice on compliance with international legal obligations and contribution to the development of a strong international legal framework;</w:t>
            </w:r>
          </w:p>
          <w:p w:rsidR="00C0006A" w:rsidRPr="00C50672" w:rsidRDefault="00C0006A" w:rsidP="00F37EE6">
            <w:pPr>
              <w:pStyle w:val="Default"/>
              <w:numPr>
                <w:ilvl w:val="1"/>
                <w:numId w:val="47"/>
              </w:numPr>
              <w:spacing w:after="240"/>
              <w:jc w:val="both"/>
              <w:rPr>
                <w:rFonts w:ascii="Book Antiqua" w:hAnsi="Book Antiqua" w:cs="Book Antiqua"/>
                <w:color w:val="auto"/>
                <w:sz w:val="20"/>
                <w:szCs w:val="20"/>
              </w:rPr>
            </w:pPr>
            <w:r w:rsidRPr="00C50672">
              <w:rPr>
                <w:rFonts w:ascii="Book Antiqua" w:hAnsi="Book Antiqua" w:cs="Book Antiqua"/>
                <w:color w:val="auto"/>
                <w:sz w:val="20"/>
                <w:szCs w:val="20"/>
              </w:rPr>
              <w:t xml:space="preserve">effective leadership of, and provision of advice and support to, other government agencies at overseas missions in line with the Prime Minister’s </w:t>
            </w:r>
            <w:r w:rsidRPr="002F7A59">
              <w:rPr>
                <w:rFonts w:ascii="Book Antiqua" w:hAnsi="Book Antiqua" w:cs="Book Antiqua"/>
                <w:i/>
                <w:color w:val="auto"/>
                <w:sz w:val="20"/>
                <w:szCs w:val="20"/>
              </w:rPr>
              <w:t>Directive on the Guidelines for the Management of the Australian Government Presence Overseas</w:t>
            </w:r>
            <w:r w:rsidRPr="00C50672">
              <w:rPr>
                <w:rFonts w:ascii="Book Antiqua" w:hAnsi="Book Antiqua" w:cs="Book Antiqua"/>
                <w:color w:val="auto"/>
                <w:sz w:val="20"/>
                <w:szCs w:val="20"/>
              </w:rPr>
              <w:t xml:space="preserve"> and service level agreements;</w:t>
            </w:r>
          </w:p>
          <w:p w:rsidR="00C0006A" w:rsidRDefault="00C0006A" w:rsidP="00F37EE6">
            <w:pPr>
              <w:pStyle w:val="Default"/>
              <w:numPr>
                <w:ilvl w:val="1"/>
                <w:numId w:val="47"/>
              </w:numPr>
              <w:spacing w:after="240"/>
              <w:jc w:val="both"/>
              <w:rPr>
                <w:rFonts w:ascii="Book Antiqua" w:hAnsi="Book Antiqua" w:cs="Book Antiqua"/>
                <w:color w:val="auto"/>
                <w:sz w:val="20"/>
                <w:szCs w:val="20"/>
              </w:rPr>
            </w:pPr>
            <w:r w:rsidRPr="0093678A">
              <w:rPr>
                <w:rFonts w:ascii="Book Antiqua" w:hAnsi="Book Antiqua" w:cs="Book Antiqua"/>
                <w:color w:val="auto"/>
                <w:sz w:val="20"/>
                <w:szCs w:val="20"/>
              </w:rPr>
              <w:t>quality service to the diplomatic and consular corps in Australia, including the processing of agrément, visas and accreditation; provision of airport facilitation, tax concessions, and reciprocal working agreements; consideration of mission, post and office establishment; and management of privileges and immunities in accordan</w:t>
            </w:r>
            <w:r>
              <w:rPr>
                <w:rFonts w:ascii="Book Antiqua" w:hAnsi="Book Antiqua" w:cs="Book Antiqua"/>
                <w:color w:val="auto"/>
                <w:sz w:val="20"/>
                <w:szCs w:val="20"/>
              </w:rPr>
              <w:t>ce with the Vienna Conventions</w:t>
            </w:r>
            <w:r w:rsidR="00562D89">
              <w:rPr>
                <w:rFonts w:ascii="Book Antiqua" w:hAnsi="Book Antiqua" w:cs="Book Antiqua"/>
                <w:color w:val="auto"/>
                <w:sz w:val="20"/>
                <w:szCs w:val="20"/>
              </w:rPr>
              <w:t>; and</w:t>
            </w:r>
          </w:p>
          <w:p w:rsidR="0037320C" w:rsidRPr="00D81B76" w:rsidRDefault="00C0006A" w:rsidP="00F37EE6">
            <w:pPr>
              <w:pStyle w:val="Default"/>
              <w:numPr>
                <w:ilvl w:val="1"/>
                <w:numId w:val="47"/>
              </w:numPr>
              <w:spacing w:after="240"/>
              <w:jc w:val="both"/>
              <w:rPr>
                <w:rFonts w:ascii="Book Antiqua" w:hAnsi="Book Antiqua" w:cs="Book Antiqua"/>
                <w:color w:val="auto"/>
                <w:sz w:val="20"/>
                <w:szCs w:val="20"/>
              </w:rPr>
            </w:pPr>
            <w:r w:rsidRPr="00D81B76">
              <w:rPr>
                <w:rFonts w:ascii="Book Antiqua" w:hAnsi="Book Antiqua" w:cs="Book Antiqua"/>
                <w:color w:val="auto"/>
                <w:sz w:val="20"/>
                <w:szCs w:val="20"/>
              </w:rPr>
              <w:t>administration of the Export Finance and Insurance Corporation National Interest Account.</w:t>
            </w:r>
          </w:p>
        </w:tc>
      </w:tr>
    </w:tbl>
    <w:p w:rsidR="00D57849" w:rsidRDefault="00D57849" w:rsidP="00586DFB">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BE7D58" w:rsidTr="008E4180">
        <w:tc>
          <w:tcPr>
            <w:tcW w:w="7711" w:type="dxa"/>
          </w:tcPr>
          <w:p w:rsidR="0037320C" w:rsidRDefault="00D57849" w:rsidP="0037320C">
            <w:pPr>
              <w:pStyle w:val="TableColumnHeadingLeft"/>
            </w:pPr>
            <w:r>
              <w:rPr>
                <w:rFonts w:ascii="Book Antiqua" w:hAnsi="Book Antiqua"/>
                <w:b w:val="0"/>
              </w:rPr>
              <w:br w:type="page"/>
            </w:r>
            <w:r w:rsidR="0037320C">
              <w:t xml:space="preserve">Programme 1.1 Key Performance Indicators  </w:t>
            </w:r>
          </w:p>
          <w:p w:rsidR="00C0006A" w:rsidRPr="00C50672" w:rsidRDefault="00C0006A" w:rsidP="00F37EE6">
            <w:pPr>
              <w:pStyle w:val="Default"/>
              <w:numPr>
                <w:ilvl w:val="0"/>
                <w:numId w:val="25"/>
              </w:numPr>
              <w:spacing w:after="240" w:line="280" w:lineRule="exact"/>
              <w:jc w:val="both"/>
              <w:rPr>
                <w:rFonts w:ascii="Book Antiqua" w:hAnsi="Book Antiqua" w:cs="Book Antiqua"/>
                <w:color w:val="auto"/>
                <w:sz w:val="20"/>
                <w:szCs w:val="20"/>
              </w:rPr>
            </w:pPr>
            <w:r w:rsidRPr="00C50672">
              <w:rPr>
                <w:rFonts w:ascii="Book Antiqua" w:hAnsi="Book Antiqua" w:cs="Book Antiqua"/>
                <w:color w:val="auto"/>
                <w:sz w:val="20"/>
                <w:szCs w:val="20"/>
              </w:rPr>
              <w:t xml:space="preserve">High level of satisfaction of Ministers and high-level clients with the quality and timeliness of advice, briefing and support in relation to Australia’s foreign, trade and economic, development and international security interests. </w:t>
            </w:r>
          </w:p>
          <w:p w:rsidR="00C0006A" w:rsidRPr="00C0006A" w:rsidRDefault="00C0006A" w:rsidP="00F37EE6">
            <w:pPr>
              <w:pStyle w:val="Default"/>
              <w:numPr>
                <w:ilvl w:val="0"/>
                <w:numId w:val="25"/>
              </w:numPr>
              <w:spacing w:after="240" w:line="280" w:lineRule="exact"/>
              <w:jc w:val="both"/>
              <w:rPr>
                <w:rFonts w:ascii="Book Antiqua" w:hAnsi="Book Antiqua" w:cs="Book Antiqua"/>
                <w:color w:val="auto"/>
                <w:sz w:val="20"/>
                <w:szCs w:val="20"/>
              </w:rPr>
            </w:pPr>
            <w:r w:rsidRPr="00C50672">
              <w:rPr>
                <w:rFonts w:ascii="Book Antiqua" w:hAnsi="Book Antiqua" w:cs="Book Antiqua"/>
                <w:color w:val="auto"/>
                <w:sz w:val="20"/>
                <w:szCs w:val="20"/>
              </w:rPr>
              <w:t xml:space="preserve">The department’s advocacy, negotiation and liaison on Australia’s foreign, trade and economic, development and international security interests contributes positively to bilateral, regional and multilateral outcomes that help ensure the security and prosperity of Australia and Australians. </w:t>
            </w:r>
          </w:p>
          <w:p w:rsidR="00C0006A" w:rsidRDefault="00C0006A" w:rsidP="00F37EE6">
            <w:pPr>
              <w:pStyle w:val="Default"/>
              <w:numPr>
                <w:ilvl w:val="0"/>
                <w:numId w:val="25"/>
              </w:numPr>
              <w:spacing w:after="240" w:line="280" w:lineRule="exact"/>
              <w:jc w:val="both"/>
              <w:rPr>
                <w:rFonts w:ascii="Book Antiqua" w:hAnsi="Book Antiqua" w:cs="Book Antiqua"/>
                <w:color w:val="auto"/>
                <w:sz w:val="20"/>
                <w:szCs w:val="20"/>
              </w:rPr>
            </w:pPr>
            <w:r w:rsidRPr="00C50672">
              <w:rPr>
                <w:rFonts w:ascii="Book Antiqua" w:hAnsi="Book Antiqua" w:cs="Book Antiqua"/>
                <w:color w:val="auto"/>
                <w:sz w:val="20"/>
                <w:szCs w:val="20"/>
              </w:rPr>
              <w:t xml:space="preserve">Government agencies at overseas missions are satisfied with service provided in accordance with the Prime Minister’s </w:t>
            </w:r>
            <w:r w:rsidRPr="006F0184">
              <w:rPr>
                <w:rFonts w:ascii="Book Antiqua" w:hAnsi="Book Antiqua" w:cs="Book Antiqua"/>
                <w:i/>
                <w:color w:val="auto"/>
                <w:sz w:val="20"/>
                <w:szCs w:val="20"/>
              </w:rPr>
              <w:t>Directive on the Guidelines for the Management of the Australian Government Presence Overseas</w:t>
            </w:r>
            <w:r w:rsidRPr="00C50672">
              <w:rPr>
                <w:rFonts w:ascii="Book Antiqua" w:hAnsi="Book Antiqua" w:cs="Book Antiqua"/>
                <w:color w:val="auto"/>
                <w:sz w:val="20"/>
                <w:szCs w:val="20"/>
              </w:rPr>
              <w:t xml:space="preserve"> and service level agreements in place.</w:t>
            </w:r>
          </w:p>
          <w:p w:rsidR="005222CC" w:rsidRDefault="00C0006A" w:rsidP="00F37EE6">
            <w:pPr>
              <w:pStyle w:val="Default"/>
              <w:numPr>
                <w:ilvl w:val="0"/>
                <w:numId w:val="25"/>
              </w:numPr>
              <w:spacing w:after="240" w:line="280" w:lineRule="exact"/>
              <w:jc w:val="both"/>
            </w:pPr>
            <w:r w:rsidRPr="00D81B76">
              <w:rPr>
                <w:rFonts w:ascii="Book Antiqua" w:hAnsi="Book Antiqua" w:cs="Book Antiqua"/>
                <w:color w:val="auto"/>
                <w:sz w:val="20"/>
                <w:szCs w:val="20"/>
              </w:rPr>
              <w:t>The diplomatic and consular corps posted or accredited to Australia are satisfied with the level of service provided, including in terms of responsiveness and timeliness in meeting Australia’s obligations under the Vienna Conventions</w:t>
            </w:r>
            <w:r w:rsidRPr="00D81B76">
              <w:rPr>
                <w:color w:val="auto"/>
              </w:rPr>
              <w:t>.</w:t>
            </w:r>
          </w:p>
        </w:tc>
      </w:tr>
    </w:tbl>
    <w:p w:rsidR="0037320C" w:rsidRPr="00835539" w:rsidRDefault="0037320C" w:rsidP="007B737F">
      <w:pPr>
        <w:pStyle w:val="Heading5"/>
        <w:spacing w:after="0" w:line="120" w:lineRule="auto"/>
      </w:pPr>
      <w:bookmarkStart w:id="23" w:name="_Toc190682315"/>
      <w:bookmarkStart w:id="24" w:name="_Toc190682532"/>
      <w:bookmarkEnd w:id="21"/>
      <w:bookmarkEnd w:id="22"/>
      <w: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713"/>
      </w:tblGrid>
      <w:tr w:rsidR="0037320C" w:rsidTr="006921FC">
        <w:tc>
          <w:tcPr>
            <w:tcW w:w="7713" w:type="dxa"/>
            <w:shd w:val="clear" w:color="auto" w:fill="E6E6E6"/>
          </w:tcPr>
          <w:p w:rsidR="0037320C" w:rsidRDefault="0037320C" w:rsidP="006921FC">
            <w:pPr>
              <w:pStyle w:val="TableColumnHeadingLeft"/>
            </w:pPr>
            <w:r>
              <w:br w:type="page"/>
              <w:t>Programme 1.2: Official Development Assistance</w:t>
            </w:r>
          </w:p>
        </w:tc>
      </w:tr>
    </w:tbl>
    <w:p w:rsidR="0037320C" w:rsidRPr="00FD5958" w:rsidRDefault="0037320C" w:rsidP="0037320C">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37320C" w:rsidTr="006921FC">
        <w:tc>
          <w:tcPr>
            <w:tcW w:w="7711" w:type="dxa"/>
          </w:tcPr>
          <w:p w:rsidR="0037320C" w:rsidRDefault="0037320C" w:rsidP="006921FC">
            <w:pPr>
              <w:pStyle w:val="TableColumnHeadingLeft"/>
            </w:pPr>
            <w:r>
              <w:t>Programme Objective</w:t>
            </w:r>
          </w:p>
          <w:p w:rsidR="0037320C" w:rsidRPr="00D81B76" w:rsidRDefault="00C0006A" w:rsidP="00F37EE6">
            <w:pPr>
              <w:pStyle w:val="Default"/>
              <w:numPr>
                <w:ilvl w:val="0"/>
                <w:numId w:val="25"/>
              </w:numPr>
              <w:spacing w:after="240"/>
              <w:jc w:val="both"/>
              <w:rPr>
                <w:i/>
              </w:rPr>
            </w:pPr>
            <w:r w:rsidRPr="002008BE">
              <w:rPr>
                <w:rFonts w:ascii="Book Antiqua" w:hAnsi="Book Antiqua" w:cs="Book Antiqua"/>
                <w:color w:val="auto"/>
                <w:sz w:val="20"/>
                <w:szCs w:val="20"/>
              </w:rPr>
              <w:t>To promote Australia’s national interests by contributing to sustainable economic growth and poverty reduction.</w:t>
            </w:r>
          </w:p>
        </w:tc>
      </w:tr>
    </w:tbl>
    <w:p w:rsidR="0037320C" w:rsidRDefault="0037320C" w:rsidP="0037320C">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1"/>
      </w:tblGrid>
      <w:tr w:rsidR="0037320C" w:rsidRPr="008E4180" w:rsidTr="006921FC">
        <w:tc>
          <w:tcPr>
            <w:tcW w:w="7711" w:type="dxa"/>
          </w:tcPr>
          <w:p w:rsidR="0037320C" w:rsidRPr="00D57849" w:rsidRDefault="0037320C" w:rsidP="009621BD">
            <w:pPr>
              <w:pStyle w:val="TableColumnHeadingLeft"/>
              <w:jc w:val="both"/>
            </w:pPr>
            <w:r>
              <w:t>Programme expenses</w:t>
            </w:r>
          </w:p>
        </w:tc>
      </w:tr>
    </w:tbl>
    <w:p w:rsidR="0037320C" w:rsidRDefault="0037320C" w:rsidP="0037320C">
      <w:pPr>
        <w:pStyle w:val="NoSpacing"/>
      </w:pPr>
    </w:p>
    <w:p w:rsidR="0037320C" w:rsidRDefault="00833238" w:rsidP="0037320C">
      <w:pPr>
        <w:pStyle w:val="TableGraphic"/>
      </w:pPr>
      <w:r>
        <w:pict>
          <v:shape id="_x0000_i1042" type="#_x0000_t75" style="width:385.25pt;height:148.7pt">
            <v:imagedata r:id="rId62" o:title=""/>
          </v:shape>
        </w:pict>
      </w:r>
    </w:p>
    <w:p w:rsidR="0037320C" w:rsidRDefault="0037320C" w:rsidP="00F37EE6">
      <w:pPr>
        <w:pStyle w:val="ChartandTableFootnote"/>
        <w:numPr>
          <w:ilvl w:val="0"/>
          <w:numId w:val="55"/>
        </w:numPr>
        <w:ind w:left="284" w:hanging="284"/>
      </w:pPr>
      <w:r w:rsidRPr="006D62BE">
        <w:t>Expenses not requiring appropriat</w:t>
      </w:r>
      <w:r>
        <w:t>ion in the Budget year are made up of depreciation expenses</w:t>
      </w:r>
      <w:r w:rsidRPr="006D62BE">
        <w:t>, amortisation</w:t>
      </w:r>
      <w:r>
        <w:t xml:space="preserve"> expenses,</w:t>
      </w:r>
      <w:r w:rsidRPr="006D62BE">
        <w:t xml:space="preserve"> make</w:t>
      </w:r>
      <w:r>
        <w:t>-g</w:t>
      </w:r>
      <w:r w:rsidRPr="006D62BE">
        <w:t>ood expense</w:t>
      </w:r>
      <w:r>
        <w:t xml:space="preserve">s, </w:t>
      </w:r>
      <w:r w:rsidR="009621BD">
        <w:t xml:space="preserve">and </w:t>
      </w:r>
      <w:r>
        <w:t>audit fees</w:t>
      </w:r>
      <w:r w:rsidRPr="006D62BE">
        <w:t>.</w:t>
      </w:r>
    </w:p>
    <w:p w:rsidR="0037320C" w:rsidRDefault="0037320C" w:rsidP="0037320C">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37320C" w:rsidTr="006921FC">
        <w:tc>
          <w:tcPr>
            <w:tcW w:w="7711" w:type="dxa"/>
          </w:tcPr>
          <w:p w:rsidR="0037320C" w:rsidRDefault="0037320C" w:rsidP="006921FC">
            <w:pPr>
              <w:pStyle w:val="TableColumnHeadingLeft"/>
              <w:jc w:val="both"/>
            </w:pPr>
            <w:r>
              <w:t>Programme 1.2 Deliverables</w:t>
            </w:r>
          </w:p>
          <w:p w:rsidR="00C0006A" w:rsidRPr="007F26E3" w:rsidRDefault="00C0006A" w:rsidP="00F37EE6">
            <w:pPr>
              <w:pStyle w:val="Default"/>
              <w:numPr>
                <w:ilvl w:val="0"/>
                <w:numId w:val="25"/>
              </w:numPr>
              <w:spacing w:after="240"/>
              <w:jc w:val="both"/>
              <w:rPr>
                <w:rFonts w:ascii="Book Antiqua" w:hAnsi="Book Antiqua" w:cs="Book Antiqua"/>
                <w:color w:val="auto"/>
                <w:sz w:val="20"/>
                <w:szCs w:val="20"/>
              </w:rPr>
            </w:pPr>
            <w:r w:rsidRPr="002008BE">
              <w:rPr>
                <w:rFonts w:ascii="Book Antiqua" w:hAnsi="Book Antiqua" w:cs="Book Antiqua"/>
                <w:color w:val="auto"/>
                <w:sz w:val="20"/>
                <w:szCs w:val="20"/>
              </w:rPr>
              <w:t xml:space="preserve">The Australian Government’s new development policy </w:t>
            </w:r>
            <w:r w:rsidRPr="006F0184">
              <w:rPr>
                <w:rFonts w:ascii="Book Antiqua" w:hAnsi="Book Antiqua" w:cs="Book Antiqua"/>
                <w:i/>
                <w:color w:val="auto"/>
                <w:sz w:val="20"/>
                <w:szCs w:val="20"/>
              </w:rPr>
              <w:t>Australian aid: promoting prosperity, reducing poverty, enhancing stability</w:t>
            </w:r>
            <w:r w:rsidRPr="007F26E3">
              <w:rPr>
                <w:rFonts w:ascii="Book Antiqua" w:hAnsi="Book Antiqua" w:cs="Book Antiqua"/>
                <w:color w:val="auto"/>
                <w:sz w:val="20"/>
                <w:szCs w:val="20"/>
              </w:rPr>
              <w:t xml:space="preserve"> </w:t>
            </w:r>
            <w:r w:rsidRPr="002008BE">
              <w:rPr>
                <w:rFonts w:ascii="Book Antiqua" w:hAnsi="Book Antiqua" w:cs="Book Antiqua"/>
                <w:color w:val="auto"/>
                <w:sz w:val="20"/>
                <w:szCs w:val="20"/>
              </w:rPr>
              <w:t xml:space="preserve">is shaping the way we deliver our overseas development assistance. </w:t>
            </w:r>
            <w:r w:rsidR="00562D89">
              <w:rPr>
                <w:rFonts w:ascii="Book Antiqua" w:hAnsi="Book Antiqua" w:cs="Book Antiqua"/>
                <w:color w:val="auto"/>
                <w:sz w:val="20"/>
                <w:szCs w:val="20"/>
              </w:rPr>
              <w:t xml:space="preserve">It focuses </w:t>
            </w:r>
            <w:r w:rsidRPr="002008BE">
              <w:rPr>
                <w:rFonts w:ascii="Book Antiqua" w:hAnsi="Book Antiqua" w:cs="Book Antiqua"/>
                <w:color w:val="auto"/>
                <w:sz w:val="20"/>
                <w:szCs w:val="20"/>
              </w:rPr>
              <w:t>on two development outcomes: supporting private sector development and strengthening human development.</w:t>
            </w:r>
          </w:p>
          <w:p w:rsidR="00C0006A" w:rsidRPr="002008BE" w:rsidRDefault="00562D89" w:rsidP="00F37EE6">
            <w:pPr>
              <w:pStyle w:val="Default"/>
              <w:numPr>
                <w:ilvl w:val="0"/>
                <w:numId w:val="25"/>
              </w:numPr>
              <w:spacing w:after="240"/>
              <w:rPr>
                <w:rFonts w:ascii="Book Antiqua" w:hAnsi="Book Antiqua" w:cs="Book Antiqua"/>
                <w:color w:val="auto"/>
                <w:sz w:val="20"/>
                <w:szCs w:val="20"/>
              </w:rPr>
            </w:pPr>
            <w:r>
              <w:rPr>
                <w:rFonts w:ascii="Book Antiqua" w:hAnsi="Book Antiqua" w:cs="Book Antiqua"/>
                <w:color w:val="auto"/>
                <w:sz w:val="20"/>
                <w:szCs w:val="20"/>
              </w:rPr>
              <w:t>I</w:t>
            </w:r>
            <w:r w:rsidR="00C0006A" w:rsidRPr="002008BE">
              <w:rPr>
                <w:rFonts w:ascii="Book Antiqua" w:hAnsi="Book Antiqua" w:cs="Book Antiqua"/>
                <w:color w:val="auto"/>
                <w:sz w:val="20"/>
                <w:szCs w:val="20"/>
              </w:rPr>
              <w:t>nvestments will be focused on priority areas:</w:t>
            </w:r>
          </w:p>
          <w:p w:rsidR="00C0006A" w:rsidRPr="002008BE" w:rsidRDefault="00C0006A" w:rsidP="00F37EE6">
            <w:pPr>
              <w:pStyle w:val="Default"/>
              <w:numPr>
                <w:ilvl w:val="1"/>
                <w:numId w:val="47"/>
              </w:numPr>
              <w:spacing w:after="240"/>
              <w:jc w:val="both"/>
              <w:rPr>
                <w:rFonts w:ascii="Book Antiqua" w:hAnsi="Book Antiqua" w:cs="Book Antiqua"/>
                <w:color w:val="auto"/>
                <w:sz w:val="20"/>
                <w:szCs w:val="20"/>
              </w:rPr>
            </w:pPr>
            <w:r w:rsidRPr="002008BE">
              <w:rPr>
                <w:rFonts w:ascii="Book Antiqua" w:hAnsi="Book Antiqua" w:cs="Book Antiqua"/>
                <w:color w:val="auto"/>
                <w:sz w:val="20"/>
                <w:szCs w:val="20"/>
              </w:rPr>
              <w:t>infrastructure, trade facilitation and international competitiveness;</w:t>
            </w:r>
          </w:p>
          <w:p w:rsidR="00C0006A" w:rsidRPr="002008BE" w:rsidRDefault="00C0006A" w:rsidP="00F37EE6">
            <w:pPr>
              <w:pStyle w:val="Default"/>
              <w:numPr>
                <w:ilvl w:val="1"/>
                <w:numId w:val="47"/>
              </w:numPr>
              <w:spacing w:after="240"/>
              <w:jc w:val="both"/>
              <w:rPr>
                <w:rFonts w:ascii="Book Antiqua" w:hAnsi="Book Antiqua" w:cs="Book Antiqua"/>
                <w:color w:val="auto"/>
                <w:sz w:val="20"/>
                <w:szCs w:val="20"/>
              </w:rPr>
            </w:pPr>
            <w:r w:rsidRPr="002008BE">
              <w:rPr>
                <w:rFonts w:ascii="Book Antiqua" w:hAnsi="Book Antiqua" w:cs="Book Antiqua"/>
                <w:color w:val="auto"/>
                <w:sz w:val="20"/>
                <w:szCs w:val="20"/>
              </w:rPr>
              <w:t xml:space="preserve">agriculture, fisheries and water; </w:t>
            </w:r>
          </w:p>
          <w:p w:rsidR="00C0006A" w:rsidRPr="002008BE" w:rsidRDefault="00C0006A" w:rsidP="00F37EE6">
            <w:pPr>
              <w:pStyle w:val="Default"/>
              <w:numPr>
                <w:ilvl w:val="1"/>
                <w:numId w:val="47"/>
              </w:numPr>
              <w:spacing w:after="240"/>
              <w:jc w:val="both"/>
              <w:rPr>
                <w:rFonts w:ascii="Book Antiqua" w:hAnsi="Book Antiqua" w:cs="Book Antiqua"/>
                <w:color w:val="auto"/>
                <w:sz w:val="20"/>
                <w:szCs w:val="20"/>
              </w:rPr>
            </w:pPr>
            <w:r w:rsidRPr="002008BE">
              <w:rPr>
                <w:rFonts w:ascii="Book Antiqua" w:hAnsi="Book Antiqua" w:cs="Book Antiqua"/>
                <w:color w:val="auto"/>
                <w:sz w:val="20"/>
                <w:szCs w:val="20"/>
              </w:rPr>
              <w:t>effective governance through policies, institutions and functioning economies;</w:t>
            </w:r>
          </w:p>
          <w:p w:rsidR="00C0006A" w:rsidRPr="002008BE" w:rsidRDefault="00C0006A" w:rsidP="00F37EE6">
            <w:pPr>
              <w:pStyle w:val="Default"/>
              <w:numPr>
                <w:ilvl w:val="1"/>
                <w:numId w:val="47"/>
              </w:numPr>
              <w:spacing w:after="240"/>
              <w:jc w:val="both"/>
              <w:rPr>
                <w:rFonts w:ascii="Book Antiqua" w:hAnsi="Book Antiqua" w:cs="Book Antiqua"/>
                <w:color w:val="auto"/>
                <w:sz w:val="20"/>
                <w:szCs w:val="20"/>
              </w:rPr>
            </w:pPr>
            <w:r w:rsidRPr="002008BE">
              <w:rPr>
                <w:rFonts w:ascii="Book Antiqua" w:hAnsi="Book Antiqua" w:cs="Book Antiqua"/>
                <w:color w:val="auto"/>
                <w:sz w:val="20"/>
                <w:szCs w:val="20"/>
              </w:rPr>
              <w:t>education and health;</w:t>
            </w:r>
          </w:p>
          <w:p w:rsidR="00C0006A" w:rsidRPr="002008BE" w:rsidRDefault="00C0006A" w:rsidP="00F37EE6">
            <w:pPr>
              <w:pStyle w:val="Default"/>
              <w:numPr>
                <w:ilvl w:val="1"/>
                <w:numId w:val="47"/>
              </w:numPr>
              <w:spacing w:after="240"/>
              <w:jc w:val="both"/>
              <w:rPr>
                <w:rFonts w:ascii="Book Antiqua" w:hAnsi="Book Antiqua" w:cs="Book Antiqua"/>
                <w:color w:val="auto"/>
                <w:sz w:val="20"/>
                <w:szCs w:val="20"/>
              </w:rPr>
            </w:pPr>
            <w:r w:rsidRPr="002008BE">
              <w:rPr>
                <w:rFonts w:ascii="Book Antiqua" w:hAnsi="Book Antiqua" w:cs="Book Antiqua"/>
                <w:color w:val="auto"/>
                <w:sz w:val="20"/>
                <w:szCs w:val="20"/>
              </w:rPr>
              <w:t xml:space="preserve">building resilience through humanitarian assistance, disaster risk reduction and social protection; </w:t>
            </w:r>
            <w:r w:rsidR="009218B2">
              <w:rPr>
                <w:rFonts w:ascii="Book Antiqua" w:hAnsi="Book Antiqua" w:cs="Book Antiqua"/>
                <w:color w:val="auto"/>
                <w:sz w:val="20"/>
                <w:szCs w:val="20"/>
              </w:rPr>
              <w:t>and</w:t>
            </w:r>
          </w:p>
          <w:p w:rsidR="0037320C" w:rsidRPr="006F0184" w:rsidRDefault="00C0006A" w:rsidP="00F37EE6">
            <w:pPr>
              <w:pStyle w:val="Default"/>
              <w:numPr>
                <w:ilvl w:val="1"/>
                <w:numId w:val="47"/>
              </w:numPr>
              <w:spacing w:after="240"/>
              <w:jc w:val="both"/>
              <w:rPr>
                <w:rFonts w:ascii="Book Antiqua" w:hAnsi="Book Antiqua" w:cs="Book Antiqua"/>
                <w:color w:val="auto"/>
                <w:sz w:val="20"/>
                <w:szCs w:val="20"/>
              </w:rPr>
            </w:pPr>
            <w:r w:rsidRPr="002008BE">
              <w:rPr>
                <w:rFonts w:ascii="Book Antiqua" w:hAnsi="Book Antiqua" w:cs="Book Antiqua"/>
                <w:color w:val="auto"/>
                <w:sz w:val="20"/>
                <w:szCs w:val="20"/>
              </w:rPr>
              <w:t>gender equality and empowering women and girls.</w:t>
            </w:r>
          </w:p>
        </w:tc>
      </w:tr>
    </w:tbl>
    <w:p w:rsidR="0037320C" w:rsidRDefault="0037320C" w:rsidP="0037320C">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37320C" w:rsidTr="006921FC">
        <w:tc>
          <w:tcPr>
            <w:tcW w:w="7711" w:type="dxa"/>
          </w:tcPr>
          <w:p w:rsidR="0037320C" w:rsidRDefault="0037320C" w:rsidP="006921FC">
            <w:pPr>
              <w:pStyle w:val="TableColumnHeadingLeft"/>
            </w:pPr>
            <w:r>
              <w:rPr>
                <w:rFonts w:ascii="Book Antiqua" w:hAnsi="Book Antiqua"/>
                <w:b w:val="0"/>
              </w:rPr>
              <w:lastRenderedPageBreak/>
              <w:br w:type="page"/>
            </w:r>
            <w:r>
              <w:t xml:space="preserve">Programme 1.2 Key Performance Indicators  </w:t>
            </w:r>
          </w:p>
          <w:p w:rsidR="0037320C" w:rsidRPr="00B64FCF" w:rsidRDefault="0037320C" w:rsidP="00F37EE6">
            <w:pPr>
              <w:pStyle w:val="Default"/>
              <w:numPr>
                <w:ilvl w:val="0"/>
                <w:numId w:val="25"/>
              </w:numPr>
              <w:spacing w:after="240"/>
              <w:jc w:val="both"/>
              <w:rPr>
                <w:rFonts w:ascii="Book Antiqua" w:hAnsi="Book Antiqua" w:cs="Book Antiqua"/>
                <w:color w:val="auto"/>
                <w:sz w:val="20"/>
                <w:szCs w:val="20"/>
              </w:rPr>
            </w:pPr>
            <w:r>
              <w:rPr>
                <w:rFonts w:ascii="Book Antiqua" w:hAnsi="Book Antiqua" w:cs="Book Antiqua"/>
                <w:color w:val="auto"/>
                <w:sz w:val="20"/>
                <w:szCs w:val="20"/>
              </w:rPr>
              <w:t>Achievement of significant development results and demonstrated organisational effectiveness, including p</w:t>
            </w:r>
            <w:r w:rsidRPr="005D030C">
              <w:rPr>
                <w:rFonts w:ascii="Book Antiqua" w:hAnsi="Book Antiqua" w:cs="Book Antiqua"/>
                <w:color w:val="auto"/>
                <w:sz w:val="20"/>
                <w:szCs w:val="20"/>
              </w:rPr>
              <w:t xml:space="preserve">rogress towards the </w:t>
            </w:r>
            <w:r>
              <w:rPr>
                <w:rFonts w:ascii="Book Antiqua" w:hAnsi="Book Antiqua" w:cs="Book Antiqua"/>
                <w:color w:val="auto"/>
                <w:sz w:val="20"/>
                <w:szCs w:val="20"/>
              </w:rPr>
              <w:t>strategic targets contained</w:t>
            </w:r>
            <w:r w:rsidRPr="005D030C">
              <w:rPr>
                <w:rFonts w:ascii="Book Antiqua" w:hAnsi="Book Antiqua" w:cs="Book Antiqua"/>
                <w:color w:val="auto"/>
                <w:sz w:val="20"/>
                <w:szCs w:val="20"/>
              </w:rPr>
              <w:t xml:space="preserve"> in the Australian aid program’s performance framework, </w:t>
            </w:r>
            <w:r w:rsidRPr="005D030C">
              <w:rPr>
                <w:rFonts w:ascii="Book Antiqua" w:hAnsi="Book Antiqua" w:cs="Book Antiqua"/>
                <w:i/>
                <w:color w:val="auto"/>
                <w:sz w:val="20"/>
                <w:szCs w:val="20"/>
              </w:rPr>
              <w:t>Ma</w:t>
            </w:r>
            <w:r>
              <w:rPr>
                <w:rFonts w:ascii="Book Antiqua" w:hAnsi="Book Antiqua" w:cs="Book Antiqua"/>
                <w:i/>
                <w:color w:val="auto"/>
                <w:sz w:val="20"/>
                <w:szCs w:val="20"/>
              </w:rPr>
              <w:t>king P</w:t>
            </w:r>
            <w:r w:rsidRPr="005D030C">
              <w:rPr>
                <w:rFonts w:ascii="Book Antiqua" w:hAnsi="Book Antiqua" w:cs="Book Antiqua"/>
                <w:i/>
                <w:color w:val="auto"/>
                <w:sz w:val="20"/>
                <w:szCs w:val="20"/>
              </w:rPr>
              <w:t>erformance Count.</w:t>
            </w:r>
            <w:r>
              <w:rPr>
                <w:rFonts w:ascii="Book Antiqua" w:hAnsi="Book Antiqua" w:cs="Book Antiqua"/>
                <w:i/>
                <w:color w:val="auto"/>
                <w:sz w:val="20"/>
                <w:szCs w:val="20"/>
              </w:rPr>
              <w:t xml:space="preserve"> </w:t>
            </w:r>
          </w:p>
          <w:p w:rsidR="0037320C" w:rsidRPr="00B64FCF" w:rsidRDefault="0037320C" w:rsidP="00F37EE6">
            <w:pPr>
              <w:pStyle w:val="Default"/>
              <w:numPr>
                <w:ilvl w:val="0"/>
                <w:numId w:val="25"/>
              </w:numPr>
              <w:spacing w:after="240"/>
              <w:jc w:val="both"/>
              <w:rPr>
                <w:rFonts w:ascii="Book Antiqua" w:hAnsi="Book Antiqua" w:cs="Book Antiqua"/>
                <w:color w:val="auto"/>
                <w:sz w:val="20"/>
                <w:szCs w:val="20"/>
              </w:rPr>
            </w:pPr>
            <w:r>
              <w:rPr>
                <w:rFonts w:ascii="Book Antiqua" w:eastAsia="Calibri" w:hAnsi="Book Antiqua" w:cs="Book Antiqua"/>
                <w:color w:val="auto"/>
                <w:sz w:val="20"/>
                <w:szCs w:val="20"/>
                <w:lang w:val="en-US" w:eastAsia="en-US"/>
              </w:rPr>
              <w:t xml:space="preserve">Detailed reporting against the performance framework, including individual program and investment performance, will be published annually in the </w:t>
            </w:r>
            <w:r w:rsidRPr="005D030C">
              <w:rPr>
                <w:rFonts w:ascii="Book Antiqua" w:eastAsia="Calibri" w:hAnsi="Book Antiqua" w:cs="Book Antiqua"/>
                <w:i/>
                <w:color w:val="auto"/>
                <w:sz w:val="20"/>
                <w:szCs w:val="20"/>
                <w:lang w:val="en-US" w:eastAsia="en-US"/>
              </w:rPr>
              <w:t>Performance of Australian Aid</w:t>
            </w:r>
            <w:r>
              <w:rPr>
                <w:rFonts w:ascii="Book Antiqua" w:eastAsia="Calibri" w:hAnsi="Book Antiqua" w:cs="Book Antiqua"/>
                <w:color w:val="auto"/>
                <w:sz w:val="20"/>
                <w:szCs w:val="20"/>
                <w:lang w:val="en-US" w:eastAsia="en-US"/>
              </w:rPr>
              <w:t xml:space="preserve"> report.     </w:t>
            </w:r>
          </w:p>
        </w:tc>
      </w:tr>
    </w:tbl>
    <w:p w:rsidR="0037320C" w:rsidRPr="0037320C" w:rsidRDefault="0037320C" w:rsidP="007B737F">
      <w:pPr>
        <w:pStyle w:val="SingleParagraph"/>
        <w:spacing w:line="20" w:lineRule="exact"/>
      </w:pPr>
      <w: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713"/>
      </w:tblGrid>
      <w:tr w:rsidR="0037320C" w:rsidTr="006921FC">
        <w:tc>
          <w:tcPr>
            <w:tcW w:w="7713" w:type="dxa"/>
            <w:shd w:val="clear" w:color="auto" w:fill="E6E6E6"/>
          </w:tcPr>
          <w:p w:rsidR="0037320C" w:rsidRDefault="0037320C" w:rsidP="006921FC">
            <w:pPr>
              <w:pStyle w:val="TableColumnHeadingLeft"/>
            </w:pPr>
            <w:r>
              <w:t>Programme 1.3: Official Development Assistance – Multilateral Replenishments</w:t>
            </w:r>
          </w:p>
        </w:tc>
      </w:tr>
    </w:tbl>
    <w:p w:rsidR="0037320C" w:rsidRPr="00FD5958" w:rsidRDefault="0037320C" w:rsidP="0037320C">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37320C" w:rsidTr="006921FC">
        <w:tc>
          <w:tcPr>
            <w:tcW w:w="7711" w:type="dxa"/>
          </w:tcPr>
          <w:p w:rsidR="0037320C" w:rsidRDefault="0037320C" w:rsidP="006921FC">
            <w:pPr>
              <w:pStyle w:val="TableColumnHeadingLeft"/>
            </w:pPr>
            <w:r>
              <w:t>Programme objective</w:t>
            </w:r>
          </w:p>
          <w:p w:rsidR="0037320C" w:rsidRPr="00D57849" w:rsidRDefault="00C0006A" w:rsidP="00F37EE6">
            <w:pPr>
              <w:pStyle w:val="Default"/>
              <w:numPr>
                <w:ilvl w:val="0"/>
                <w:numId w:val="25"/>
              </w:numPr>
              <w:spacing w:after="240"/>
              <w:jc w:val="both"/>
            </w:pPr>
            <w:r w:rsidRPr="00FE65AF">
              <w:rPr>
                <w:rFonts w:ascii="Book Antiqua" w:hAnsi="Book Antiqua" w:cs="Book Antiqua"/>
                <w:color w:val="auto"/>
                <w:sz w:val="20"/>
                <w:szCs w:val="20"/>
              </w:rPr>
              <w:t>To assist developing countries by contributing to sustainable econom</w:t>
            </w:r>
            <w:r>
              <w:rPr>
                <w:rFonts w:ascii="Book Antiqua" w:hAnsi="Book Antiqua" w:cs="Book Antiqua"/>
                <w:color w:val="auto"/>
                <w:sz w:val="20"/>
                <w:szCs w:val="20"/>
              </w:rPr>
              <w:t>ic growth and poverty reduction through contributions to multilateral organisations.</w:t>
            </w:r>
          </w:p>
        </w:tc>
      </w:tr>
    </w:tbl>
    <w:p w:rsidR="0037320C" w:rsidRDefault="0037320C" w:rsidP="0037320C">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1"/>
      </w:tblGrid>
      <w:tr w:rsidR="0037320C" w:rsidRPr="008E4180" w:rsidTr="006921FC">
        <w:tc>
          <w:tcPr>
            <w:tcW w:w="7711" w:type="dxa"/>
          </w:tcPr>
          <w:p w:rsidR="0037320C" w:rsidRPr="00D57849" w:rsidRDefault="0037320C" w:rsidP="009621BD">
            <w:pPr>
              <w:pStyle w:val="TableColumnHeadingLeft"/>
              <w:jc w:val="both"/>
            </w:pPr>
            <w:r>
              <w:t>Programme expenses</w:t>
            </w:r>
            <w:r w:rsidRPr="00D57849">
              <w:t xml:space="preserve"> </w:t>
            </w:r>
          </w:p>
        </w:tc>
      </w:tr>
    </w:tbl>
    <w:p w:rsidR="0037320C" w:rsidRDefault="0037320C" w:rsidP="0037320C">
      <w:pPr>
        <w:pStyle w:val="NoSpacing"/>
      </w:pPr>
    </w:p>
    <w:p w:rsidR="0037320C" w:rsidRDefault="00833238" w:rsidP="0037320C">
      <w:pPr>
        <w:pStyle w:val="TableGraphic"/>
      </w:pPr>
      <w:r>
        <w:pict>
          <v:shape id="_x0000_i1043" type="#_x0000_t75" style="width:385.25pt;height:126.25pt">
            <v:imagedata r:id="rId63" o:title=""/>
          </v:shape>
        </w:pict>
      </w:r>
    </w:p>
    <w:p w:rsidR="00565F2D" w:rsidRPr="00565F2D" w:rsidRDefault="00565F2D" w:rsidP="00F37EE6">
      <w:pPr>
        <w:pStyle w:val="ChartandTableFootnote"/>
        <w:numPr>
          <w:ilvl w:val="0"/>
          <w:numId w:val="64"/>
        </w:numPr>
        <w:ind w:left="284" w:hanging="284"/>
      </w:pPr>
      <w:r w:rsidRPr="00565F2D">
        <w:t>Expenses not requiring appropriation in the Budget year relate to the concessional investment discount for the discounting of the investment components for International Development Association and Asian Development Fund.</w:t>
      </w:r>
    </w:p>
    <w:p w:rsidR="0037320C" w:rsidRDefault="0037320C" w:rsidP="0037320C">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37320C" w:rsidTr="006921FC">
        <w:tc>
          <w:tcPr>
            <w:tcW w:w="7711" w:type="dxa"/>
          </w:tcPr>
          <w:p w:rsidR="0037320C" w:rsidRDefault="0037320C" w:rsidP="006921FC">
            <w:pPr>
              <w:pStyle w:val="TableColumnHeadingLeft"/>
              <w:jc w:val="both"/>
            </w:pPr>
            <w:r>
              <w:t>Programme 1.3 Deliverables</w:t>
            </w:r>
          </w:p>
          <w:p w:rsidR="0037320C" w:rsidRPr="00C15E5A" w:rsidRDefault="00C0006A" w:rsidP="00F37EE6">
            <w:pPr>
              <w:pStyle w:val="Default"/>
              <w:numPr>
                <w:ilvl w:val="0"/>
                <w:numId w:val="25"/>
              </w:numPr>
              <w:spacing w:after="240"/>
              <w:jc w:val="both"/>
              <w:rPr>
                <w:i/>
              </w:rPr>
            </w:pPr>
            <w:r>
              <w:rPr>
                <w:rFonts w:ascii="Book Antiqua" w:hAnsi="Book Antiqua" w:cs="Book Antiqua"/>
                <w:color w:val="auto"/>
                <w:sz w:val="20"/>
                <w:szCs w:val="20"/>
              </w:rPr>
              <w:t xml:space="preserve">Australia’s aid program objectives will be advanced through our work with multilateral organisations. </w:t>
            </w:r>
            <w:r w:rsidRPr="00C15E5A">
              <w:rPr>
                <w:rFonts w:ascii="Book Antiqua" w:hAnsi="Book Antiqua" w:cs="Book Antiqua"/>
                <w:color w:val="auto"/>
                <w:sz w:val="20"/>
                <w:szCs w:val="20"/>
              </w:rPr>
              <w:t>Their reach, leverage, specialisation and other strengths play a critical role in helping Australia to meet its international development objectives.</w:t>
            </w:r>
          </w:p>
        </w:tc>
      </w:tr>
    </w:tbl>
    <w:p w:rsidR="0037320C" w:rsidRDefault="0037320C" w:rsidP="0037320C">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37320C" w:rsidTr="006921FC">
        <w:tc>
          <w:tcPr>
            <w:tcW w:w="7711" w:type="dxa"/>
          </w:tcPr>
          <w:p w:rsidR="0037320C" w:rsidRDefault="0037320C" w:rsidP="006921FC">
            <w:pPr>
              <w:pStyle w:val="TableColumnHeadingLeft"/>
            </w:pPr>
            <w:r>
              <w:rPr>
                <w:rFonts w:ascii="Book Antiqua" w:hAnsi="Book Antiqua"/>
                <w:b w:val="0"/>
              </w:rPr>
              <w:br w:type="page"/>
            </w:r>
            <w:r>
              <w:t xml:space="preserve">Programme 1.3 Key Performance Indicators </w:t>
            </w:r>
          </w:p>
          <w:p w:rsidR="00C0006A" w:rsidRPr="002008BE" w:rsidRDefault="00C0006A" w:rsidP="00F37EE6">
            <w:pPr>
              <w:pStyle w:val="Default"/>
              <w:numPr>
                <w:ilvl w:val="0"/>
                <w:numId w:val="25"/>
              </w:numPr>
              <w:spacing w:after="240"/>
              <w:jc w:val="both"/>
              <w:rPr>
                <w:rFonts w:ascii="Book Antiqua" w:hAnsi="Book Antiqua" w:cs="Book Antiqua"/>
                <w:color w:val="auto"/>
                <w:sz w:val="20"/>
                <w:szCs w:val="20"/>
              </w:rPr>
            </w:pPr>
            <w:r w:rsidRPr="002008BE">
              <w:rPr>
                <w:rFonts w:ascii="Book Antiqua" w:hAnsi="Book Antiqua" w:cs="Book Antiqua"/>
                <w:color w:val="auto"/>
                <w:sz w:val="20"/>
                <w:szCs w:val="20"/>
              </w:rPr>
              <w:t xml:space="preserve">Australia assesses the performance of its multilateral partners to inform our engagement with them and to ensure value for money from our multilateral funding. </w:t>
            </w:r>
          </w:p>
          <w:p w:rsidR="00C0006A" w:rsidRDefault="00C0006A" w:rsidP="00F37EE6">
            <w:pPr>
              <w:pStyle w:val="Default"/>
              <w:numPr>
                <w:ilvl w:val="0"/>
                <w:numId w:val="25"/>
              </w:numPr>
              <w:spacing w:after="240"/>
              <w:jc w:val="both"/>
              <w:rPr>
                <w:rFonts w:ascii="Book Antiqua" w:hAnsi="Book Antiqua" w:cs="Book Antiqua"/>
                <w:color w:val="auto"/>
                <w:sz w:val="20"/>
                <w:szCs w:val="20"/>
              </w:rPr>
            </w:pPr>
            <w:r w:rsidRPr="002008BE">
              <w:rPr>
                <w:rFonts w:ascii="Book Antiqua" w:hAnsi="Book Antiqua" w:cs="Book Antiqua"/>
                <w:color w:val="auto"/>
                <w:sz w:val="20"/>
                <w:szCs w:val="20"/>
              </w:rPr>
              <w:t>Australia is strengthening its approach to the assessment of performance of multilateral organisations in line with the aid</w:t>
            </w:r>
            <w:r>
              <w:rPr>
                <w:rFonts w:ascii="Book Antiqua" w:hAnsi="Book Antiqua" w:cs="Book Antiqua"/>
                <w:color w:val="auto"/>
                <w:sz w:val="20"/>
                <w:szCs w:val="20"/>
              </w:rPr>
              <w:t xml:space="preserve"> performance framework, </w:t>
            </w:r>
            <w:r w:rsidRPr="005E17E3">
              <w:rPr>
                <w:rFonts w:ascii="Book Antiqua" w:hAnsi="Book Antiqua" w:cs="Book Antiqua"/>
                <w:i/>
                <w:color w:val="auto"/>
                <w:sz w:val="20"/>
                <w:szCs w:val="20"/>
              </w:rPr>
              <w:t>Making Performance Count</w:t>
            </w:r>
            <w:r w:rsidRPr="007F26E3">
              <w:rPr>
                <w:rFonts w:ascii="Book Antiqua" w:hAnsi="Book Antiqua" w:cs="Book Antiqua"/>
                <w:color w:val="auto"/>
                <w:sz w:val="20"/>
                <w:szCs w:val="20"/>
              </w:rPr>
              <w:t>.</w:t>
            </w:r>
            <w:r w:rsidRPr="002008BE">
              <w:rPr>
                <w:rFonts w:ascii="Book Antiqua" w:hAnsi="Book Antiqua" w:cs="Book Antiqua"/>
                <w:color w:val="auto"/>
                <w:sz w:val="20"/>
                <w:szCs w:val="20"/>
              </w:rPr>
              <w:t xml:space="preserve"> </w:t>
            </w:r>
          </w:p>
          <w:p w:rsidR="0037320C" w:rsidRDefault="00C0006A" w:rsidP="00F37EE6">
            <w:pPr>
              <w:pStyle w:val="Default"/>
              <w:numPr>
                <w:ilvl w:val="0"/>
                <w:numId w:val="25"/>
              </w:numPr>
              <w:spacing w:after="240"/>
              <w:jc w:val="both"/>
            </w:pPr>
            <w:r>
              <w:rPr>
                <w:rFonts w:ascii="Book Antiqua" w:hAnsi="Book Antiqua" w:cs="Book Antiqua"/>
                <w:color w:val="auto"/>
                <w:sz w:val="20"/>
                <w:szCs w:val="20"/>
              </w:rPr>
              <w:t xml:space="preserve">Strengthened systems for </w:t>
            </w:r>
            <w:r w:rsidRPr="002008BE">
              <w:rPr>
                <w:rFonts w:ascii="Book Antiqua" w:hAnsi="Book Antiqua" w:cs="Book Antiqua"/>
                <w:color w:val="auto"/>
                <w:sz w:val="20"/>
                <w:szCs w:val="20"/>
              </w:rPr>
              <w:t xml:space="preserve">assessing </w:t>
            </w:r>
            <w:r>
              <w:rPr>
                <w:rFonts w:ascii="Book Antiqua" w:hAnsi="Book Antiqua" w:cs="Book Antiqua"/>
                <w:color w:val="auto"/>
                <w:sz w:val="20"/>
                <w:szCs w:val="20"/>
              </w:rPr>
              <w:t xml:space="preserve">the performance of </w:t>
            </w:r>
            <w:r w:rsidRPr="002008BE">
              <w:rPr>
                <w:rFonts w:ascii="Book Antiqua" w:hAnsi="Book Antiqua" w:cs="Book Antiqua"/>
                <w:color w:val="auto"/>
                <w:sz w:val="20"/>
                <w:szCs w:val="20"/>
              </w:rPr>
              <w:t>multilateral</w:t>
            </w:r>
            <w:r>
              <w:rPr>
                <w:rFonts w:ascii="Book Antiqua" w:hAnsi="Book Antiqua" w:cs="Book Antiqua"/>
                <w:color w:val="auto"/>
                <w:sz w:val="20"/>
                <w:szCs w:val="20"/>
              </w:rPr>
              <w:t xml:space="preserve"> aid delivery partners</w:t>
            </w:r>
            <w:r w:rsidRPr="002008BE">
              <w:rPr>
                <w:rFonts w:ascii="Book Antiqua" w:hAnsi="Book Antiqua" w:cs="Book Antiqua"/>
                <w:color w:val="auto"/>
                <w:sz w:val="20"/>
                <w:szCs w:val="20"/>
              </w:rPr>
              <w:t xml:space="preserve"> will be </w:t>
            </w:r>
            <w:r>
              <w:rPr>
                <w:rFonts w:ascii="Book Antiqua" w:hAnsi="Book Antiqua" w:cs="Book Antiqua"/>
                <w:color w:val="auto"/>
                <w:sz w:val="20"/>
                <w:szCs w:val="20"/>
              </w:rPr>
              <w:t>in place by July 2015</w:t>
            </w:r>
            <w:r w:rsidRPr="002008BE">
              <w:rPr>
                <w:rFonts w:ascii="Book Antiqua" w:hAnsi="Book Antiqua" w:cs="Book Antiqua"/>
                <w:color w:val="auto"/>
                <w:sz w:val="20"/>
                <w:szCs w:val="20"/>
              </w:rPr>
              <w:t>.</w:t>
            </w:r>
          </w:p>
        </w:tc>
      </w:tr>
    </w:tbl>
    <w:p w:rsidR="0037320C" w:rsidRDefault="0037320C" w:rsidP="007B737F">
      <w:pPr>
        <w:pStyle w:val="Heading4"/>
        <w:spacing w:before="0" w:after="0" w:line="120" w:lineRule="auto"/>
        <w:rPr>
          <w:rFonts w:ascii="Book Antiqua" w:hAnsi="Book Antiqua"/>
          <w:i/>
          <w:color w:val="FF0000"/>
        </w:rPr>
      </w:pPr>
      <w: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713"/>
      </w:tblGrid>
      <w:tr w:rsidR="00835539" w:rsidTr="006921FC">
        <w:tc>
          <w:tcPr>
            <w:tcW w:w="7713" w:type="dxa"/>
            <w:shd w:val="clear" w:color="auto" w:fill="E6E6E6"/>
          </w:tcPr>
          <w:p w:rsidR="00835539" w:rsidRDefault="00835539" w:rsidP="006921FC">
            <w:pPr>
              <w:pStyle w:val="TableColumnHeadingLeft"/>
            </w:pPr>
            <w:r>
              <w:t>Programme 1.4: Official Development Assistance – East Asia AIPRD</w:t>
            </w:r>
          </w:p>
        </w:tc>
      </w:tr>
    </w:tbl>
    <w:p w:rsidR="00835539" w:rsidRPr="00FD5958" w:rsidRDefault="00835539" w:rsidP="00835539">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835539" w:rsidTr="006921FC">
        <w:tc>
          <w:tcPr>
            <w:tcW w:w="7711" w:type="dxa"/>
          </w:tcPr>
          <w:p w:rsidR="00835539" w:rsidRDefault="00835539" w:rsidP="006921FC">
            <w:pPr>
              <w:pStyle w:val="TableColumnHeadingLeft"/>
            </w:pPr>
            <w:r>
              <w:t>Programme Objective and Deliverables</w:t>
            </w:r>
          </w:p>
          <w:p w:rsidR="00835539" w:rsidRPr="00D57849" w:rsidRDefault="00C0006A" w:rsidP="00F37EE6">
            <w:pPr>
              <w:pStyle w:val="Default"/>
              <w:numPr>
                <w:ilvl w:val="0"/>
                <w:numId w:val="25"/>
              </w:numPr>
              <w:spacing w:after="240"/>
              <w:jc w:val="both"/>
            </w:pPr>
            <w:r w:rsidRPr="00FB306B">
              <w:rPr>
                <w:rFonts w:ascii="Book Antiqua" w:hAnsi="Book Antiqua" w:cs="Book Antiqua"/>
                <w:color w:val="auto"/>
                <w:sz w:val="20"/>
                <w:szCs w:val="20"/>
              </w:rPr>
              <w:t>To continue to assist Indonesia in reconstruction and development in the aftermath of the 2004 Indian Ocean Tsunami</w:t>
            </w:r>
            <w:r>
              <w:rPr>
                <w:rFonts w:ascii="Book Antiqua" w:hAnsi="Book Antiqua" w:cs="Book Antiqua"/>
                <w:color w:val="auto"/>
                <w:sz w:val="20"/>
                <w:szCs w:val="20"/>
              </w:rPr>
              <w:t>.</w:t>
            </w:r>
          </w:p>
        </w:tc>
      </w:tr>
    </w:tbl>
    <w:p w:rsidR="0037320C" w:rsidRDefault="0037320C" w:rsidP="0037320C">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1"/>
      </w:tblGrid>
      <w:tr w:rsidR="0037320C" w:rsidRPr="008E4180" w:rsidTr="006921FC">
        <w:tc>
          <w:tcPr>
            <w:tcW w:w="7711" w:type="dxa"/>
          </w:tcPr>
          <w:p w:rsidR="0037320C" w:rsidRPr="00D57849" w:rsidRDefault="0037320C" w:rsidP="009621BD">
            <w:pPr>
              <w:pStyle w:val="TableColumnHeadingLeft"/>
              <w:jc w:val="both"/>
            </w:pPr>
            <w:r>
              <w:t>Programme expenses</w:t>
            </w:r>
            <w:r w:rsidRPr="00D57849">
              <w:t xml:space="preserve"> </w:t>
            </w:r>
          </w:p>
        </w:tc>
      </w:tr>
    </w:tbl>
    <w:p w:rsidR="0037320C" w:rsidRDefault="0037320C" w:rsidP="0037320C">
      <w:pPr>
        <w:pStyle w:val="NoSpacing"/>
      </w:pPr>
    </w:p>
    <w:p w:rsidR="0037320C" w:rsidRDefault="00833238" w:rsidP="0037320C">
      <w:pPr>
        <w:pStyle w:val="TableGraphic"/>
      </w:pPr>
      <w:r>
        <w:pict>
          <v:shape id="_x0000_i1044" type="#_x0000_t75" style="width:385.25pt;height:103.8pt">
            <v:imagedata r:id="rId64" o:title=""/>
          </v:shape>
        </w:pict>
      </w:r>
    </w:p>
    <w:p w:rsidR="0037320C" w:rsidRDefault="005F43A5" w:rsidP="00F37EE6">
      <w:pPr>
        <w:pStyle w:val="NoSpacing"/>
        <w:numPr>
          <w:ilvl w:val="0"/>
          <w:numId w:val="72"/>
        </w:numPr>
        <w:rPr>
          <w:rFonts w:ascii="Arial" w:hAnsi="Arial" w:cs="Arial"/>
          <w:sz w:val="16"/>
          <w:szCs w:val="16"/>
        </w:rPr>
      </w:pPr>
      <w:r w:rsidRPr="005F43A5">
        <w:rPr>
          <w:rFonts w:ascii="Arial" w:hAnsi="Arial" w:cs="Arial"/>
          <w:sz w:val="16"/>
          <w:szCs w:val="16"/>
        </w:rPr>
        <w:t>This reflects the amount of funding to be disbursed on a cash basis, not an expense basis.</w:t>
      </w:r>
    </w:p>
    <w:p w:rsidR="005F43A5" w:rsidRPr="005F43A5" w:rsidRDefault="005F43A5" w:rsidP="005F43A5">
      <w:pPr>
        <w:pStyle w:val="NoSpacing"/>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835539" w:rsidTr="006921FC">
        <w:tc>
          <w:tcPr>
            <w:tcW w:w="7711" w:type="dxa"/>
          </w:tcPr>
          <w:p w:rsidR="00835539" w:rsidRDefault="00835539" w:rsidP="006921FC">
            <w:pPr>
              <w:pStyle w:val="TableColumnHeadingLeft"/>
            </w:pPr>
            <w:r>
              <w:rPr>
                <w:rFonts w:ascii="Book Antiqua" w:hAnsi="Book Antiqua"/>
                <w:b w:val="0"/>
              </w:rPr>
              <w:br w:type="page"/>
            </w:r>
            <w:r>
              <w:t>Programme 1.4 Key Performance Indicators</w:t>
            </w:r>
          </w:p>
          <w:p w:rsidR="00C0006A" w:rsidRPr="00FB306B" w:rsidRDefault="00C0006A" w:rsidP="00F37EE6">
            <w:pPr>
              <w:pStyle w:val="Default"/>
              <w:numPr>
                <w:ilvl w:val="0"/>
                <w:numId w:val="25"/>
              </w:numPr>
              <w:spacing w:after="240"/>
              <w:jc w:val="both"/>
              <w:rPr>
                <w:rFonts w:ascii="Book Antiqua" w:hAnsi="Book Antiqua" w:cs="Book Antiqua"/>
                <w:color w:val="auto"/>
                <w:sz w:val="20"/>
                <w:szCs w:val="20"/>
              </w:rPr>
            </w:pPr>
            <w:r w:rsidRPr="00FB306B">
              <w:rPr>
                <w:rFonts w:ascii="Book Antiqua" w:hAnsi="Book Antiqua" w:cs="Book Antiqua"/>
                <w:color w:val="auto"/>
                <w:sz w:val="20"/>
                <w:szCs w:val="20"/>
              </w:rPr>
              <w:t xml:space="preserve">Achievement of significant development results, including progress towards aid performance benchmarks, which provide a rigorous </w:t>
            </w:r>
            <w:r w:rsidR="00C41E1F">
              <w:rPr>
                <w:rFonts w:ascii="Book Antiqua" w:hAnsi="Book Antiqua" w:cs="Book Antiqua"/>
                <w:color w:val="auto"/>
                <w:sz w:val="20"/>
                <w:szCs w:val="20"/>
              </w:rPr>
              <w:t xml:space="preserve">approach to achieving value for </w:t>
            </w:r>
            <w:r w:rsidRPr="00FB306B">
              <w:rPr>
                <w:rFonts w:ascii="Book Antiqua" w:hAnsi="Book Antiqua" w:cs="Book Antiqua"/>
                <w:color w:val="auto"/>
                <w:sz w:val="20"/>
                <w:szCs w:val="20"/>
              </w:rPr>
              <w:t>money and results</w:t>
            </w:r>
            <w:r>
              <w:rPr>
                <w:rFonts w:ascii="Book Antiqua" w:hAnsi="Book Antiqua" w:cs="Book Antiqua"/>
                <w:color w:val="auto"/>
                <w:sz w:val="20"/>
                <w:szCs w:val="20"/>
              </w:rPr>
              <w:t>.</w:t>
            </w:r>
          </w:p>
          <w:p w:rsidR="00835539" w:rsidRDefault="00C0006A" w:rsidP="00F37EE6">
            <w:pPr>
              <w:pStyle w:val="Default"/>
              <w:numPr>
                <w:ilvl w:val="0"/>
                <w:numId w:val="25"/>
              </w:numPr>
              <w:spacing w:after="240"/>
              <w:jc w:val="both"/>
            </w:pPr>
            <w:r w:rsidRPr="00FB306B">
              <w:rPr>
                <w:rFonts w:ascii="Book Antiqua" w:hAnsi="Book Antiqua" w:cs="Book Antiqua"/>
                <w:color w:val="auto"/>
                <w:sz w:val="20"/>
                <w:szCs w:val="20"/>
              </w:rPr>
              <w:t xml:space="preserve">Demonstrated organisational effectiveness, including against relevant strategic targets under the </w:t>
            </w:r>
            <w:r w:rsidRPr="005E17E3">
              <w:rPr>
                <w:rFonts w:ascii="Book Antiqua" w:hAnsi="Book Antiqua" w:cs="Book Antiqua"/>
                <w:i/>
                <w:color w:val="auto"/>
                <w:sz w:val="20"/>
                <w:szCs w:val="20"/>
              </w:rPr>
              <w:t>Making Performance Count</w:t>
            </w:r>
            <w:r w:rsidRPr="00FB306B">
              <w:rPr>
                <w:rFonts w:ascii="Book Antiqua" w:hAnsi="Book Antiqua" w:cs="Book Antiqua"/>
                <w:color w:val="auto"/>
                <w:sz w:val="20"/>
                <w:szCs w:val="20"/>
              </w:rPr>
              <w:t xml:space="preserve"> performance framework</w:t>
            </w:r>
            <w:r>
              <w:rPr>
                <w:rFonts w:ascii="Book Antiqua" w:hAnsi="Book Antiqua" w:cs="Book Antiqua"/>
                <w:color w:val="auto"/>
                <w:sz w:val="20"/>
                <w:szCs w:val="20"/>
              </w:rPr>
              <w:t>.</w:t>
            </w:r>
          </w:p>
        </w:tc>
      </w:tr>
    </w:tbl>
    <w:p w:rsidR="00835539" w:rsidRDefault="0037320C" w:rsidP="007B737F">
      <w:pPr>
        <w:pStyle w:val="SingleParagraph"/>
        <w:spacing w:line="20" w:lineRule="exact"/>
        <w:rPr>
          <w:i/>
          <w:color w:val="FF0000"/>
        </w:rPr>
      </w:pPr>
      <w: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713"/>
      </w:tblGrid>
      <w:tr w:rsidR="00835539" w:rsidTr="006921FC">
        <w:tc>
          <w:tcPr>
            <w:tcW w:w="7713" w:type="dxa"/>
            <w:shd w:val="clear" w:color="auto" w:fill="E6E6E6"/>
          </w:tcPr>
          <w:p w:rsidR="00835539" w:rsidRDefault="00835539" w:rsidP="006921FC">
            <w:pPr>
              <w:pStyle w:val="TableColumnHeadingLeft"/>
            </w:pPr>
            <w:r>
              <w:t>Programme 1.5: Payments to International Organisations</w:t>
            </w:r>
          </w:p>
        </w:tc>
      </w:tr>
    </w:tbl>
    <w:p w:rsidR="00835539" w:rsidRPr="00FD5958" w:rsidRDefault="00835539" w:rsidP="00835539">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835539" w:rsidTr="006921FC">
        <w:tc>
          <w:tcPr>
            <w:tcW w:w="7711" w:type="dxa"/>
          </w:tcPr>
          <w:p w:rsidR="00835539" w:rsidRDefault="00835539" w:rsidP="006921FC">
            <w:pPr>
              <w:pStyle w:val="TableColumnHeadingLeft"/>
            </w:pPr>
            <w:r>
              <w:t>Programme objective</w:t>
            </w:r>
          </w:p>
          <w:p w:rsidR="00835539" w:rsidRPr="00D57849" w:rsidRDefault="00C0006A" w:rsidP="00F37EE6">
            <w:pPr>
              <w:pStyle w:val="Default"/>
              <w:numPr>
                <w:ilvl w:val="0"/>
                <w:numId w:val="25"/>
              </w:numPr>
              <w:spacing w:after="240"/>
              <w:jc w:val="both"/>
            </w:pPr>
            <w:r w:rsidRPr="00C11875">
              <w:rPr>
                <w:rFonts w:ascii="Book Antiqua" w:hAnsi="Book Antiqua" w:cs="Book Antiqua"/>
                <w:color w:val="auto"/>
                <w:sz w:val="20"/>
                <w:szCs w:val="20"/>
              </w:rPr>
              <w:t xml:space="preserve">To advance Australia’s foreign, trade and </w:t>
            </w:r>
            <w:r>
              <w:rPr>
                <w:rFonts w:ascii="Book Antiqua" w:hAnsi="Book Antiqua" w:cs="Book Antiqua"/>
                <w:color w:val="auto"/>
                <w:sz w:val="20"/>
                <w:szCs w:val="20"/>
              </w:rPr>
              <w:t>investment</w:t>
            </w:r>
            <w:r w:rsidRPr="00C11875">
              <w:rPr>
                <w:rFonts w:ascii="Book Antiqua" w:hAnsi="Book Antiqua" w:cs="Book Antiqua"/>
                <w:color w:val="auto"/>
                <w:sz w:val="20"/>
                <w:szCs w:val="20"/>
              </w:rPr>
              <w:t>, development and international security interests through participation in international organisations</w:t>
            </w:r>
            <w:r>
              <w:rPr>
                <w:rFonts w:ascii="Book Antiqua" w:hAnsi="Book Antiqua" w:cs="Book Antiqua"/>
                <w:color w:val="auto"/>
                <w:sz w:val="20"/>
                <w:szCs w:val="20"/>
              </w:rPr>
              <w:t>.</w:t>
            </w:r>
          </w:p>
        </w:tc>
      </w:tr>
    </w:tbl>
    <w:p w:rsidR="0037320C" w:rsidRDefault="0037320C" w:rsidP="0037320C">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1"/>
      </w:tblGrid>
      <w:tr w:rsidR="0037320C" w:rsidRPr="008E4180" w:rsidTr="006921FC">
        <w:tc>
          <w:tcPr>
            <w:tcW w:w="7711" w:type="dxa"/>
          </w:tcPr>
          <w:p w:rsidR="0037320C" w:rsidRPr="00D57849" w:rsidRDefault="0037320C" w:rsidP="009621BD">
            <w:pPr>
              <w:pStyle w:val="TableColumnHeadingLeft"/>
              <w:jc w:val="both"/>
            </w:pPr>
            <w:r>
              <w:t>Programme expenses</w:t>
            </w:r>
          </w:p>
        </w:tc>
      </w:tr>
    </w:tbl>
    <w:p w:rsidR="0037320C" w:rsidRDefault="0037320C" w:rsidP="0037320C">
      <w:pPr>
        <w:pStyle w:val="NoSpacing"/>
      </w:pPr>
    </w:p>
    <w:p w:rsidR="0037320C" w:rsidRDefault="00833238" w:rsidP="0037320C">
      <w:pPr>
        <w:pStyle w:val="TableGraphic"/>
      </w:pPr>
      <w:r>
        <w:pict>
          <v:shape id="_x0000_i1045" type="#_x0000_t75" style="width:385.25pt;height:92.55pt">
            <v:imagedata r:id="rId65" o:title=""/>
          </v:shape>
        </w:pict>
      </w:r>
    </w:p>
    <w:p w:rsidR="0037320C" w:rsidRDefault="0037320C" w:rsidP="0037320C">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835539" w:rsidTr="006921FC">
        <w:tc>
          <w:tcPr>
            <w:tcW w:w="7711" w:type="dxa"/>
          </w:tcPr>
          <w:p w:rsidR="00835539" w:rsidRDefault="00835539" w:rsidP="006921FC">
            <w:pPr>
              <w:pStyle w:val="TableColumnHeadingLeft"/>
              <w:jc w:val="both"/>
            </w:pPr>
            <w:r>
              <w:t>Programme 1.5 Deliverables</w:t>
            </w:r>
          </w:p>
          <w:p w:rsidR="00C0006A" w:rsidRPr="00C11875" w:rsidRDefault="00C0006A" w:rsidP="00F37EE6">
            <w:pPr>
              <w:pStyle w:val="Default"/>
              <w:numPr>
                <w:ilvl w:val="0"/>
                <w:numId w:val="25"/>
              </w:numPr>
              <w:spacing w:after="240"/>
              <w:jc w:val="both"/>
              <w:rPr>
                <w:rFonts w:ascii="Book Antiqua" w:hAnsi="Book Antiqua" w:cs="Book Antiqua"/>
                <w:color w:val="auto"/>
                <w:sz w:val="20"/>
                <w:szCs w:val="20"/>
              </w:rPr>
            </w:pPr>
            <w:r w:rsidRPr="00C11875">
              <w:rPr>
                <w:rFonts w:ascii="Book Antiqua" w:hAnsi="Book Antiqua" w:cs="Book Antiqua"/>
                <w:color w:val="auto"/>
                <w:sz w:val="20"/>
                <w:szCs w:val="20"/>
              </w:rPr>
              <w:t>Australian membership of international organisations and international treaty secretariats through payments of assessed and voluntary contributions.</w:t>
            </w:r>
          </w:p>
          <w:p w:rsidR="00C0006A" w:rsidRPr="00F960D6" w:rsidRDefault="00C0006A" w:rsidP="00F37EE6">
            <w:pPr>
              <w:pStyle w:val="Default"/>
              <w:numPr>
                <w:ilvl w:val="0"/>
                <w:numId w:val="25"/>
              </w:numPr>
              <w:spacing w:after="240"/>
              <w:jc w:val="both"/>
            </w:pPr>
            <w:r w:rsidRPr="00C11875">
              <w:rPr>
                <w:rFonts w:ascii="Book Antiqua" w:hAnsi="Book Antiqua" w:cs="Book Antiqua"/>
                <w:color w:val="auto"/>
                <w:sz w:val="20"/>
                <w:szCs w:val="20"/>
              </w:rPr>
              <w:t>Effective participation in the United Nations and its Specialised Agencies, the World Trade Organi</w:t>
            </w:r>
            <w:r w:rsidR="002F7A59">
              <w:rPr>
                <w:rFonts w:ascii="Book Antiqua" w:hAnsi="Book Antiqua" w:cs="Book Antiqua"/>
                <w:color w:val="auto"/>
                <w:sz w:val="20"/>
                <w:szCs w:val="20"/>
              </w:rPr>
              <w:t>z</w:t>
            </w:r>
            <w:r w:rsidRPr="00C11875">
              <w:rPr>
                <w:rFonts w:ascii="Book Antiqua" w:hAnsi="Book Antiqua" w:cs="Book Antiqua"/>
                <w:color w:val="auto"/>
                <w:sz w:val="20"/>
                <w:szCs w:val="20"/>
              </w:rPr>
              <w:t>ation and other multilateral for</w:t>
            </w:r>
            <w:r w:rsidR="00C02329">
              <w:rPr>
                <w:rFonts w:ascii="Book Antiqua" w:hAnsi="Book Antiqua" w:cs="Book Antiqua"/>
                <w:color w:val="auto"/>
                <w:sz w:val="20"/>
                <w:szCs w:val="20"/>
              </w:rPr>
              <w:t>a</w:t>
            </w:r>
            <w:r w:rsidRPr="00C11875">
              <w:rPr>
                <w:rFonts w:ascii="Book Antiqua" w:hAnsi="Book Antiqua" w:cs="Book Antiqua"/>
                <w:color w:val="auto"/>
                <w:sz w:val="20"/>
                <w:szCs w:val="20"/>
              </w:rPr>
              <w:t xml:space="preserve"> in support of Australia’s foreign, trade and economic, development and international security interests.</w:t>
            </w:r>
          </w:p>
          <w:p w:rsidR="00835539" w:rsidRPr="008E4180" w:rsidRDefault="00C0006A" w:rsidP="00F37EE6">
            <w:pPr>
              <w:pStyle w:val="Default"/>
              <w:numPr>
                <w:ilvl w:val="0"/>
                <w:numId w:val="25"/>
              </w:numPr>
              <w:spacing w:after="240"/>
              <w:jc w:val="both"/>
            </w:pPr>
            <w:r>
              <w:rPr>
                <w:rFonts w:ascii="Book Antiqua" w:hAnsi="Book Antiqua" w:cs="Book Antiqua"/>
                <w:color w:val="auto"/>
                <w:sz w:val="20"/>
                <w:szCs w:val="20"/>
              </w:rPr>
              <w:t xml:space="preserve">To assist developing countries reduce poverty and lift living standards through sustainable economic growth, by providing contributions to UN and other international organisations.  </w:t>
            </w:r>
          </w:p>
        </w:tc>
      </w:tr>
    </w:tbl>
    <w:p w:rsidR="00835539" w:rsidRDefault="00835539" w:rsidP="00835539">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835539" w:rsidTr="006921FC">
        <w:tc>
          <w:tcPr>
            <w:tcW w:w="7711" w:type="dxa"/>
          </w:tcPr>
          <w:p w:rsidR="00835539" w:rsidRDefault="00835539" w:rsidP="006921FC">
            <w:pPr>
              <w:pStyle w:val="TableColumnHeadingLeft"/>
            </w:pPr>
            <w:r>
              <w:rPr>
                <w:rFonts w:ascii="Book Antiqua" w:hAnsi="Book Antiqua"/>
                <w:b w:val="0"/>
              </w:rPr>
              <w:br w:type="page"/>
            </w:r>
            <w:r>
              <w:t xml:space="preserve">Programme 1.5 Key Performance Indicators  </w:t>
            </w:r>
          </w:p>
          <w:p w:rsidR="00C0006A" w:rsidRPr="00C11875" w:rsidRDefault="00C0006A" w:rsidP="00F37EE6">
            <w:pPr>
              <w:pStyle w:val="Default"/>
              <w:numPr>
                <w:ilvl w:val="0"/>
                <w:numId w:val="25"/>
              </w:numPr>
              <w:spacing w:after="240"/>
              <w:jc w:val="both"/>
              <w:rPr>
                <w:rFonts w:ascii="Book Antiqua" w:hAnsi="Book Antiqua" w:cs="Book Antiqua"/>
                <w:color w:val="auto"/>
                <w:sz w:val="20"/>
                <w:szCs w:val="20"/>
              </w:rPr>
            </w:pPr>
            <w:r w:rsidRPr="00C11875">
              <w:rPr>
                <w:rFonts w:ascii="Book Antiqua" w:hAnsi="Book Antiqua" w:cs="Book Antiqua"/>
                <w:color w:val="auto"/>
                <w:sz w:val="20"/>
                <w:szCs w:val="20"/>
              </w:rPr>
              <w:t>Payments to international organisations are timely and within budget.</w:t>
            </w:r>
          </w:p>
          <w:p w:rsidR="00835539" w:rsidRDefault="00C0006A" w:rsidP="00C02329">
            <w:pPr>
              <w:pStyle w:val="Default"/>
              <w:numPr>
                <w:ilvl w:val="0"/>
                <w:numId w:val="25"/>
              </w:numPr>
              <w:spacing w:after="240"/>
              <w:jc w:val="both"/>
            </w:pPr>
            <w:r w:rsidRPr="00C11875">
              <w:rPr>
                <w:rFonts w:ascii="Book Antiqua" w:hAnsi="Book Antiqua" w:cs="Book Antiqua"/>
                <w:color w:val="auto"/>
                <w:sz w:val="20"/>
                <w:szCs w:val="20"/>
              </w:rPr>
              <w:t>The department’s contributions influence multilateral outcomes which enhance Australia’s security and prosperity, maximi</w:t>
            </w:r>
            <w:r w:rsidR="00C02329">
              <w:rPr>
                <w:rFonts w:ascii="Book Antiqua" w:hAnsi="Book Antiqua" w:cs="Book Antiqua"/>
                <w:color w:val="auto"/>
                <w:sz w:val="20"/>
                <w:szCs w:val="20"/>
              </w:rPr>
              <w:t>s</w:t>
            </w:r>
            <w:r w:rsidRPr="00C11875">
              <w:rPr>
                <w:rFonts w:ascii="Book Antiqua" w:hAnsi="Book Antiqua" w:cs="Book Antiqua"/>
                <w:color w:val="auto"/>
                <w:sz w:val="20"/>
                <w:szCs w:val="20"/>
              </w:rPr>
              <w:t>e the impact of Australia’s aid program and represent value for money.</w:t>
            </w:r>
          </w:p>
        </w:tc>
      </w:tr>
    </w:tbl>
    <w:p w:rsidR="0037320C" w:rsidRDefault="0037320C" w:rsidP="007B737F">
      <w:pPr>
        <w:pStyle w:val="Heading4"/>
        <w:spacing w:before="0" w:after="0" w:line="120" w:lineRule="auto"/>
        <w:rPr>
          <w:rFonts w:ascii="Book Antiqua" w:hAnsi="Book Antiqua"/>
          <w:i/>
          <w:color w:val="FF0000"/>
        </w:rPr>
      </w:pPr>
      <w: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713"/>
      </w:tblGrid>
      <w:tr w:rsidR="00835539" w:rsidTr="006921FC">
        <w:tc>
          <w:tcPr>
            <w:tcW w:w="7713" w:type="dxa"/>
            <w:shd w:val="clear" w:color="auto" w:fill="E6E6E6"/>
          </w:tcPr>
          <w:p w:rsidR="00835539" w:rsidRDefault="00835539" w:rsidP="006921FC">
            <w:pPr>
              <w:pStyle w:val="TableColumnHeadingLeft"/>
            </w:pPr>
            <w:r>
              <w:t>Programme 1.6: New Colombo Plan – Transforming Regional Relationships</w:t>
            </w:r>
          </w:p>
        </w:tc>
      </w:tr>
    </w:tbl>
    <w:p w:rsidR="00835539" w:rsidRPr="00FD5958" w:rsidRDefault="00835539" w:rsidP="00835539">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835539" w:rsidTr="006921FC">
        <w:tc>
          <w:tcPr>
            <w:tcW w:w="7711" w:type="dxa"/>
          </w:tcPr>
          <w:p w:rsidR="00835539" w:rsidRDefault="00835539" w:rsidP="006921FC">
            <w:pPr>
              <w:pStyle w:val="TableColumnHeadingLeft"/>
            </w:pPr>
            <w:r>
              <w:t>Programme objective</w:t>
            </w:r>
          </w:p>
          <w:p w:rsidR="00835539" w:rsidRPr="006B327C" w:rsidRDefault="00C0006A" w:rsidP="00F37EE6">
            <w:pPr>
              <w:pStyle w:val="ListParagraph"/>
              <w:numPr>
                <w:ilvl w:val="0"/>
                <w:numId w:val="25"/>
              </w:numPr>
              <w:rPr>
                <w:rFonts w:ascii="Book Antiqua" w:eastAsia="Times New Roman" w:hAnsi="Book Antiqua" w:cs="Book Antiqua"/>
                <w:sz w:val="20"/>
                <w:szCs w:val="20"/>
                <w:lang w:val="en-AU" w:eastAsia="en-AU"/>
              </w:rPr>
            </w:pPr>
            <w:r w:rsidRPr="006B327C">
              <w:rPr>
                <w:rFonts w:ascii="Book Antiqua" w:eastAsia="Times New Roman" w:hAnsi="Book Antiqua" w:cs="Book Antiqua"/>
                <w:sz w:val="20"/>
                <w:szCs w:val="20"/>
                <w:lang w:val="en-AU" w:eastAsia="en-AU"/>
              </w:rPr>
              <w:t>Australia’s interests and bilateral relationships are e</w:t>
            </w:r>
            <w:r w:rsidR="00C41E1F">
              <w:rPr>
                <w:rFonts w:ascii="Book Antiqua" w:eastAsia="Times New Roman" w:hAnsi="Book Antiqua" w:cs="Book Antiqua"/>
                <w:sz w:val="20"/>
                <w:szCs w:val="20"/>
                <w:lang w:val="en-AU" w:eastAsia="en-AU"/>
              </w:rPr>
              <w:t xml:space="preserve">nhanced through enduring people to </w:t>
            </w:r>
            <w:r w:rsidRPr="006B327C">
              <w:rPr>
                <w:rFonts w:ascii="Book Antiqua" w:eastAsia="Times New Roman" w:hAnsi="Book Antiqua" w:cs="Book Antiqua"/>
                <w:sz w:val="20"/>
                <w:szCs w:val="20"/>
                <w:lang w:val="en-AU" w:eastAsia="en-AU"/>
              </w:rPr>
              <w:t>people, institutional and business links with the Indo-Pacific region.</w:t>
            </w:r>
          </w:p>
        </w:tc>
      </w:tr>
    </w:tbl>
    <w:p w:rsidR="0037320C" w:rsidRDefault="0037320C" w:rsidP="0037320C">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1"/>
      </w:tblGrid>
      <w:tr w:rsidR="0037320C" w:rsidRPr="008E4180" w:rsidTr="006921FC">
        <w:tc>
          <w:tcPr>
            <w:tcW w:w="7711" w:type="dxa"/>
          </w:tcPr>
          <w:p w:rsidR="0037320C" w:rsidRPr="00D57849" w:rsidRDefault="0037320C" w:rsidP="009621BD">
            <w:pPr>
              <w:pStyle w:val="TableColumnHeadingLeft"/>
              <w:jc w:val="both"/>
            </w:pPr>
            <w:r>
              <w:t>Programme expenses</w:t>
            </w:r>
          </w:p>
        </w:tc>
      </w:tr>
    </w:tbl>
    <w:p w:rsidR="0037320C" w:rsidRDefault="0037320C" w:rsidP="0037320C">
      <w:pPr>
        <w:pStyle w:val="NoSpacing"/>
      </w:pPr>
    </w:p>
    <w:p w:rsidR="0037320C" w:rsidRDefault="00833238" w:rsidP="0037320C">
      <w:pPr>
        <w:pStyle w:val="TableGraphic"/>
      </w:pPr>
      <w:r>
        <w:pict>
          <v:shape id="_x0000_i1046" type="#_x0000_t75" style="width:385.25pt;height:115pt">
            <v:imagedata r:id="rId66" o:title=""/>
          </v:shape>
        </w:pict>
      </w:r>
    </w:p>
    <w:p w:rsidR="0037320C" w:rsidRDefault="0037320C" w:rsidP="0037320C">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835539" w:rsidTr="006921FC">
        <w:tc>
          <w:tcPr>
            <w:tcW w:w="7711" w:type="dxa"/>
          </w:tcPr>
          <w:p w:rsidR="00835539" w:rsidRDefault="00835539" w:rsidP="006921FC">
            <w:pPr>
              <w:pStyle w:val="TableColumnHeadingLeft"/>
              <w:jc w:val="both"/>
            </w:pPr>
            <w:r>
              <w:t xml:space="preserve">Programme 1.6 Deliverables </w:t>
            </w:r>
          </w:p>
          <w:p w:rsidR="00835539" w:rsidRPr="006B327C" w:rsidRDefault="00C0006A" w:rsidP="00F37EE6">
            <w:pPr>
              <w:pStyle w:val="ListParagraph"/>
              <w:numPr>
                <w:ilvl w:val="0"/>
                <w:numId w:val="25"/>
              </w:numPr>
              <w:jc w:val="both"/>
              <w:rPr>
                <w:rFonts w:ascii="Book Antiqua" w:eastAsia="Times New Roman" w:hAnsi="Book Antiqua" w:cs="Book Antiqua"/>
                <w:sz w:val="20"/>
                <w:szCs w:val="20"/>
                <w:lang w:val="en-AU" w:eastAsia="en-AU"/>
              </w:rPr>
            </w:pPr>
            <w:r w:rsidRPr="006B327C">
              <w:rPr>
                <w:rFonts w:ascii="Book Antiqua" w:eastAsia="Times New Roman" w:hAnsi="Book Antiqua" w:cs="Book Antiqua"/>
                <w:sz w:val="20"/>
                <w:szCs w:val="20"/>
                <w:lang w:val="en-AU" w:eastAsia="en-AU"/>
              </w:rPr>
              <w:t>Full implementation of the New Colombo Plan (NCP) in 38 Indo-Pacific loc</w:t>
            </w:r>
            <w:r w:rsidR="00C41E1F">
              <w:rPr>
                <w:rFonts w:ascii="Book Antiqua" w:eastAsia="Times New Roman" w:hAnsi="Book Antiqua" w:cs="Book Antiqua"/>
                <w:sz w:val="20"/>
                <w:szCs w:val="20"/>
                <w:lang w:val="en-AU" w:eastAsia="en-AU"/>
              </w:rPr>
              <w:t xml:space="preserve">ations, fostering closer people to </w:t>
            </w:r>
            <w:r w:rsidRPr="006B327C">
              <w:rPr>
                <w:rFonts w:ascii="Book Antiqua" w:eastAsia="Times New Roman" w:hAnsi="Book Antiqua" w:cs="Book Antiqua"/>
                <w:sz w:val="20"/>
                <w:szCs w:val="20"/>
                <w:lang w:val="en-AU" w:eastAsia="en-AU"/>
              </w:rPr>
              <w:t>people and institutional links and contributing to an overall increase in the number of Australian undergraduate students undertaking study and internships in the region.</w:t>
            </w:r>
          </w:p>
        </w:tc>
      </w:tr>
    </w:tbl>
    <w:p w:rsidR="00835539" w:rsidRDefault="00835539" w:rsidP="00835539">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835539" w:rsidTr="006921FC">
        <w:tc>
          <w:tcPr>
            <w:tcW w:w="7711" w:type="dxa"/>
          </w:tcPr>
          <w:p w:rsidR="00835539" w:rsidRDefault="00835539" w:rsidP="006921FC">
            <w:pPr>
              <w:pStyle w:val="TableColumnHeadingLeft"/>
            </w:pPr>
            <w:r>
              <w:rPr>
                <w:rFonts w:ascii="Book Antiqua" w:hAnsi="Book Antiqua"/>
                <w:b w:val="0"/>
              </w:rPr>
              <w:br w:type="page"/>
            </w:r>
            <w:r>
              <w:t>Programme 1.6 Key Performance Indicators</w:t>
            </w:r>
          </w:p>
          <w:p w:rsidR="00C0006A" w:rsidRPr="006B327C" w:rsidRDefault="00C0006A" w:rsidP="00F37EE6">
            <w:pPr>
              <w:pStyle w:val="Default"/>
              <w:numPr>
                <w:ilvl w:val="0"/>
                <w:numId w:val="25"/>
              </w:numPr>
              <w:spacing w:after="240"/>
              <w:jc w:val="both"/>
              <w:rPr>
                <w:rFonts w:ascii="Book Antiqua" w:hAnsi="Book Antiqua" w:cs="Book Antiqua"/>
                <w:color w:val="auto"/>
                <w:sz w:val="20"/>
                <w:szCs w:val="20"/>
              </w:rPr>
            </w:pPr>
            <w:r w:rsidRPr="006B327C">
              <w:rPr>
                <w:rFonts w:ascii="Book Antiqua" w:hAnsi="Book Antiqua" w:cs="Book Antiqua"/>
                <w:color w:val="auto"/>
                <w:sz w:val="20"/>
                <w:szCs w:val="20"/>
              </w:rPr>
              <w:t xml:space="preserve">More Australian undergraduates supported to study and intern in the </w:t>
            </w:r>
            <w:r w:rsidR="006D50F7">
              <w:rPr>
                <w:rFonts w:ascii="Book Antiqua" w:hAnsi="Book Antiqua" w:cs="Book Antiqua"/>
                <w:color w:val="auto"/>
                <w:sz w:val="20"/>
                <w:szCs w:val="20"/>
              </w:rPr>
              <w:br/>
            </w:r>
            <w:r w:rsidRPr="006B327C">
              <w:rPr>
                <w:rFonts w:ascii="Book Antiqua" w:hAnsi="Book Antiqua" w:cs="Book Antiqua"/>
                <w:color w:val="auto"/>
                <w:sz w:val="20"/>
                <w:szCs w:val="20"/>
              </w:rPr>
              <w:t>Indo-Pacific region</w:t>
            </w:r>
            <w:r w:rsidR="009218B2">
              <w:rPr>
                <w:rFonts w:ascii="Book Antiqua" w:hAnsi="Book Antiqua" w:cs="Book Antiqua"/>
                <w:color w:val="auto"/>
                <w:sz w:val="20"/>
                <w:szCs w:val="20"/>
              </w:rPr>
              <w:t>.</w:t>
            </w:r>
          </w:p>
          <w:p w:rsidR="00C0006A" w:rsidRPr="006B327C" w:rsidRDefault="00C0006A" w:rsidP="00F37EE6">
            <w:pPr>
              <w:pStyle w:val="Default"/>
              <w:numPr>
                <w:ilvl w:val="0"/>
                <w:numId w:val="25"/>
              </w:numPr>
              <w:spacing w:after="240"/>
              <w:jc w:val="both"/>
              <w:rPr>
                <w:rFonts w:ascii="Book Antiqua" w:hAnsi="Book Antiqua" w:cs="Book Antiqua"/>
                <w:color w:val="auto"/>
                <w:sz w:val="20"/>
                <w:szCs w:val="20"/>
              </w:rPr>
            </w:pPr>
            <w:r w:rsidRPr="006B327C">
              <w:rPr>
                <w:rFonts w:ascii="Book Antiqua" w:hAnsi="Book Antiqua" w:cs="Book Antiqua"/>
                <w:color w:val="auto"/>
                <w:sz w:val="20"/>
                <w:szCs w:val="20"/>
              </w:rPr>
              <w:t>NCP participants build relationships in the region and promote the value of the NCP experience</w:t>
            </w:r>
            <w:r w:rsidR="009218B2">
              <w:rPr>
                <w:rFonts w:ascii="Book Antiqua" w:hAnsi="Book Antiqua" w:cs="Book Antiqua"/>
                <w:color w:val="auto"/>
                <w:sz w:val="20"/>
                <w:szCs w:val="20"/>
              </w:rPr>
              <w:t>.</w:t>
            </w:r>
          </w:p>
          <w:p w:rsidR="00C0006A" w:rsidRPr="006B327C" w:rsidRDefault="00C0006A" w:rsidP="00F37EE6">
            <w:pPr>
              <w:pStyle w:val="Default"/>
              <w:numPr>
                <w:ilvl w:val="0"/>
                <w:numId w:val="25"/>
              </w:numPr>
              <w:spacing w:after="240"/>
              <w:jc w:val="both"/>
              <w:rPr>
                <w:rFonts w:ascii="Book Antiqua" w:hAnsi="Book Antiqua" w:cs="Book Antiqua"/>
                <w:color w:val="auto"/>
                <w:sz w:val="20"/>
                <w:szCs w:val="20"/>
              </w:rPr>
            </w:pPr>
            <w:r w:rsidRPr="006B327C">
              <w:rPr>
                <w:rFonts w:ascii="Book Antiqua" w:hAnsi="Book Antiqua" w:cs="Book Antiqua"/>
                <w:color w:val="auto"/>
                <w:sz w:val="20"/>
                <w:szCs w:val="20"/>
              </w:rPr>
              <w:t>Universities, the private sector and partner governments support the implementation of the NCP</w:t>
            </w:r>
            <w:r w:rsidR="009218B2">
              <w:rPr>
                <w:rFonts w:ascii="Book Antiqua" w:hAnsi="Book Antiqua" w:cs="Book Antiqua"/>
                <w:color w:val="auto"/>
                <w:sz w:val="20"/>
                <w:szCs w:val="20"/>
              </w:rPr>
              <w:t>.</w:t>
            </w:r>
          </w:p>
          <w:p w:rsidR="00835539" w:rsidRPr="006B327C" w:rsidRDefault="00C0006A" w:rsidP="00F37EE6">
            <w:pPr>
              <w:pStyle w:val="Default"/>
              <w:numPr>
                <w:ilvl w:val="0"/>
                <w:numId w:val="25"/>
              </w:numPr>
              <w:spacing w:after="240"/>
              <w:jc w:val="both"/>
              <w:rPr>
                <w:rFonts w:ascii="Book Antiqua" w:hAnsi="Book Antiqua" w:cs="Book Antiqua"/>
                <w:color w:val="auto"/>
                <w:sz w:val="20"/>
                <w:szCs w:val="20"/>
              </w:rPr>
            </w:pPr>
            <w:r w:rsidRPr="006B327C">
              <w:rPr>
                <w:rFonts w:ascii="Book Antiqua" w:hAnsi="Book Antiqua" w:cs="Book Antiqua"/>
                <w:color w:val="auto"/>
                <w:sz w:val="20"/>
                <w:szCs w:val="20"/>
              </w:rPr>
              <w:t>Alumni are engaged through networks that foster professional development and ongoing connections with the region</w:t>
            </w:r>
            <w:r w:rsidR="009218B2">
              <w:rPr>
                <w:rFonts w:ascii="Book Antiqua" w:hAnsi="Book Antiqua" w:cs="Book Antiqua"/>
                <w:color w:val="auto"/>
                <w:sz w:val="20"/>
                <w:szCs w:val="20"/>
              </w:rPr>
              <w:t>.</w:t>
            </w:r>
          </w:p>
        </w:tc>
      </w:tr>
    </w:tbl>
    <w:p w:rsidR="0037320C" w:rsidRDefault="0037320C" w:rsidP="007B737F">
      <w:pPr>
        <w:pStyle w:val="Heading4"/>
        <w:spacing w:before="0" w:after="0" w:line="120" w:lineRule="auto"/>
        <w:rPr>
          <w:rFonts w:ascii="Book Antiqua" w:hAnsi="Book Antiqua"/>
          <w:i/>
          <w:color w:val="FF0000"/>
        </w:rPr>
      </w:pPr>
      <w: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713"/>
      </w:tblGrid>
      <w:tr w:rsidR="00835539" w:rsidTr="006921FC">
        <w:tc>
          <w:tcPr>
            <w:tcW w:w="7713" w:type="dxa"/>
            <w:shd w:val="clear" w:color="auto" w:fill="E6E6E6"/>
          </w:tcPr>
          <w:p w:rsidR="00835539" w:rsidRDefault="00835539" w:rsidP="006921FC">
            <w:pPr>
              <w:pStyle w:val="TableColumnHeadingLeft"/>
            </w:pPr>
            <w:r>
              <w:t>Programme 1.7: Public Information Services and Public Diplomacy</w:t>
            </w:r>
          </w:p>
        </w:tc>
      </w:tr>
    </w:tbl>
    <w:p w:rsidR="00835539" w:rsidRPr="00FD5958" w:rsidRDefault="00835539" w:rsidP="00835539">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835539" w:rsidTr="006921FC">
        <w:tc>
          <w:tcPr>
            <w:tcW w:w="7711" w:type="dxa"/>
          </w:tcPr>
          <w:p w:rsidR="00835539" w:rsidRDefault="00835539" w:rsidP="006921FC">
            <w:pPr>
              <w:pStyle w:val="TableColumnHeadingLeft"/>
            </w:pPr>
            <w:r>
              <w:t>Programme objective</w:t>
            </w:r>
          </w:p>
          <w:p w:rsidR="00835539" w:rsidRPr="00D57849" w:rsidRDefault="00C0006A" w:rsidP="00F37EE6">
            <w:pPr>
              <w:pStyle w:val="Default"/>
              <w:numPr>
                <w:ilvl w:val="0"/>
                <w:numId w:val="25"/>
              </w:numPr>
              <w:spacing w:after="240"/>
              <w:jc w:val="both"/>
            </w:pPr>
            <w:r w:rsidRPr="00C50672">
              <w:rPr>
                <w:rFonts w:ascii="Book Antiqua" w:hAnsi="Book Antiqua" w:cs="Book Antiqua"/>
                <w:color w:val="auto"/>
                <w:sz w:val="20"/>
                <w:szCs w:val="20"/>
              </w:rPr>
              <w:t>To project a positive and contemporary image of Australia and pr</w:t>
            </w:r>
            <w:r w:rsidR="00C41E1F">
              <w:rPr>
                <w:rFonts w:ascii="Book Antiqua" w:hAnsi="Book Antiqua" w:cs="Book Antiqua"/>
                <w:color w:val="auto"/>
                <w:sz w:val="20"/>
                <w:szCs w:val="20"/>
              </w:rPr>
              <w:t>omote a clear understanding of g</w:t>
            </w:r>
            <w:r w:rsidRPr="00C50672">
              <w:rPr>
                <w:rFonts w:ascii="Book Antiqua" w:hAnsi="Book Antiqua" w:cs="Book Antiqua"/>
                <w:color w:val="auto"/>
                <w:sz w:val="20"/>
                <w:szCs w:val="20"/>
              </w:rPr>
              <w:t xml:space="preserve">overnment policies and objectives and engagement with the </w:t>
            </w:r>
            <w:r>
              <w:rPr>
                <w:rFonts w:ascii="Book Antiqua" w:hAnsi="Book Antiqua" w:cs="Book Antiqua"/>
                <w:color w:val="auto"/>
                <w:sz w:val="20"/>
                <w:szCs w:val="20"/>
              </w:rPr>
              <w:t>Indo-Pacific</w:t>
            </w:r>
            <w:r w:rsidRPr="00C50672">
              <w:rPr>
                <w:rFonts w:ascii="Book Antiqua" w:hAnsi="Book Antiqua" w:cs="Book Antiqua"/>
                <w:color w:val="auto"/>
                <w:sz w:val="20"/>
                <w:szCs w:val="20"/>
              </w:rPr>
              <w:t xml:space="preserve"> region through the department’s public diplomacy, cultural and media activities.</w:t>
            </w:r>
          </w:p>
        </w:tc>
      </w:tr>
    </w:tbl>
    <w:p w:rsidR="0037320C" w:rsidRDefault="0037320C" w:rsidP="0037320C">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1"/>
      </w:tblGrid>
      <w:tr w:rsidR="0037320C" w:rsidRPr="008E4180" w:rsidTr="006921FC">
        <w:tc>
          <w:tcPr>
            <w:tcW w:w="7711" w:type="dxa"/>
          </w:tcPr>
          <w:p w:rsidR="0037320C" w:rsidRPr="00D57849" w:rsidRDefault="0037320C" w:rsidP="009621BD">
            <w:pPr>
              <w:pStyle w:val="TableColumnHeadingLeft"/>
              <w:jc w:val="both"/>
            </w:pPr>
            <w:r>
              <w:t>Programme expenses</w:t>
            </w:r>
          </w:p>
        </w:tc>
      </w:tr>
    </w:tbl>
    <w:p w:rsidR="0037320C" w:rsidRDefault="0037320C" w:rsidP="0037320C">
      <w:pPr>
        <w:pStyle w:val="NoSpacing"/>
      </w:pPr>
    </w:p>
    <w:p w:rsidR="0037320C" w:rsidRDefault="00833238" w:rsidP="0037320C">
      <w:pPr>
        <w:pStyle w:val="TableGraphic"/>
      </w:pPr>
      <w:r>
        <w:pict>
          <v:shape id="_x0000_i1047" type="#_x0000_t75" style="width:385.25pt;height:103.8pt">
            <v:imagedata r:id="rId67" o:title=""/>
          </v:shape>
        </w:pict>
      </w:r>
    </w:p>
    <w:p w:rsidR="0037320C" w:rsidRDefault="0037320C" w:rsidP="0037320C">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835539" w:rsidTr="006921FC">
        <w:tc>
          <w:tcPr>
            <w:tcW w:w="7711" w:type="dxa"/>
          </w:tcPr>
          <w:p w:rsidR="00835539" w:rsidRDefault="00835539" w:rsidP="006921FC">
            <w:pPr>
              <w:pStyle w:val="TableColumnHeadingLeft"/>
              <w:jc w:val="both"/>
            </w:pPr>
            <w:r>
              <w:t>Programme 1.7 Deliverables</w:t>
            </w:r>
          </w:p>
          <w:p w:rsidR="00D86BBB" w:rsidRPr="00D86BBB" w:rsidRDefault="00C41E1F" w:rsidP="00F37EE6">
            <w:pPr>
              <w:pStyle w:val="Default"/>
              <w:numPr>
                <w:ilvl w:val="0"/>
                <w:numId w:val="25"/>
              </w:numPr>
              <w:spacing w:after="240"/>
              <w:jc w:val="both"/>
            </w:pPr>
            <w:r>
              <w:rPr>
                <w:rFonts w:ascii="Book Antiqua" w:hAnsi="Book Antiqua" w:cs="Book Antiqua"/>
                <w:color w:val="auto"/>
                <w:sz w:val="20"/>
                <w:szCs w:val="20"/>
              </w:rPr>
              <w:t xml:space="preserve">Promotion of people to </w:t>
            </w:r>
            <w:r w:rsidR="00C0006A" w:rsidRPr="00C50672">
              <w:rPr>
                <w:rFonts w:ascii="Book Antiqua" w:hAnsi="Book Antiqua" w:cs="Book Antiqua"/>
                <w:color w:val="auto"/>
                <w:sz w:val="20"/>
                <w:szCs w:val="20"/>
              </w:rPr>
              <w:t xml:space="preserve">people links and a contemporary and positive image of Australia as a destination for business, investment, tourism and study and support for the </w:t>
            </w:r>
            <w:r>
              <w:rPr>
                <w:rFonts w:ascii="Book Antiqua" w:hAnsi="Book Antiqua" w:cs="Book Antiqua"/>
                <w:color w:val="auto"/>
                <w:sz w:val="20"/>
                <w:szCs w:val="20"/>
              </w:rPr>
              <w:t>G</w:t>
            </w:r>
            <w:r w:rsidR="00C0006A" w:rsidRPr="00C50672">
              <w:rPr>
                <w:rFonts w:ascii="Book Antiqua" w:hAnsi="Book Antiqua" w:cs="Book Antiqua"/>
                <w:color w:val="auto"/>
                <w:sz w:val="20"/>
                <w:szCs w:val="20"/>
              </w:rPr>
              <w:t>overnme</w:t>
            </w:r>
            <w:r w:rsidR="00D86BBB">
              <w:rPr>
                <w:rFonts w:ascii="Book Antiqua" w:hAnsi="Book Antiqua" w:cs="Book Antiqua"/>
                <w:color w:val="auto"/>
                <w:sz w:val="20"/>
                <w:szCs w:val="20"/>
              </w:rPr>
              <w:t>nt’s international policy goals.</w:t>
            </w:r>
          </w:p>
          <w:p w:rsidR="00835539" w:rsidRPr="008E4180" w:rsidRDefault="00D86BBB" w:rsidP="00F37EE6">
            <w:pPr>
              <w:pStyle w:val="Default"/>
              <w:numPr>
                <w:ilvl w:val="0"/>
                <w:numId w:val="25"/>
              </w:numPr>
              <w:spacing w:after="240"/>
              <w:jc w:val="both"/>
            </w:pPr>
            <w:r>
              <w:rPr>
                <w:rFonts w:ascii="Book Antiqua" w:hAnsi="Book Antiqua" w:cs="Book Antiqua"/>
                <w:color w:val="auto"/>
                <w:sz w:val="20"/>
                <w:szCs w:val="20"/>
              </w:rPr>
              <w:t xml:space="preserve">Advancement of Australia’s national interests </w:t>
            </w:r>
            <w:r w:rsidR="00C0006A">
              <w:rPr>
                <w:rFonts w:ascii="Book Antiqua" w:hAnsi="Book Antiqua" w:cs="Book Antiqua"/>
                <w:color w:val="auto"/>
                <w:sz w:val="20"/>
                <w:szCs w:val="20"/>
              </w:rPr>
              <w:t xml:space="preserve">through </w:t>
            </w:r>
            <w:r w:rsidR="00C0006A" w:rsidRPr="00DA4129">
              <w:rPr>
                <w:rFonts w:ascii="Book Antiqua" w:hAnsi="Book Antiqua" w:cs="Book Antiqua"/>
                <w:color w:val="auto"/>
                <w:sz w:val="20"/>
                <w:szCs w:val="20"/>
              </w:rPr>
              <w:t>new approaches which engage audiences on contemporary Australia and facilitate networks, collaboration and connections between people and institutions to build understanding, trust and influence.</w:t>
            </w:r>
          </w:p>
        </w:tc>
      </w:tr>
    </w:tbl>
    <w:p w:rsidR="00835539" w:rsidRDefault="00835539" w:rsidP="00835539">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835539" w:rsidTr="006921FC">
        <w:tc>
          <w:tcPr>
            <w:tcW w:w="7711" w:type="dxa"/>
          </w:tcPr>
          <w:p w:rsidR="00835539" w:rsidRDefault="00835539" w:rsidP="006921FC">
            <w:pPr>
              <w:pStyle w:val="TableColumnHeadingLeft"/>
            </w:pPr>
            <w:r>
              <w:rPr>
                <w:rFonts w:ascii="Book Antiqua" w:hAnsi="Book Antiqua"/>
                <w:b w:val="0"/>
              </w:rPr>
              <w:br w:type="page"/>
            </w:r>
            <w:r>
              <w:t xml:space="preserve">Programme 1.7 Key Performance Indicators  </w:t>
            </w:r>
          </w:p>
          <w:p w:rsidR="00835539" w:rsidRDefault="00C0006A" w:rsidP="00F37EE6">
            <w:pPr>
              <w:pStyle w:val="Default"/>
              <w:numPr>
                <w:ilvl w:val="0"/>
                <w:numId w:val="25"/>
              </w:numPr>
              <w:spacing w:after="240"/>
              <w:jc w:val="both"/>
            </w:pPr>
            <w:r w:rsidRPr="00C50672">
              <w:rPr>
                <w:rFonts w:ascii="Book Antiqua" w:hAnsi="Book Antiqua" w:cs="Book Antiqua"/>
                <w:color w:val="auto"/>
                <w:sz w:val="20"/>
                <w:szCs w:val="20"/>
              </w:rPr>
              <w:t>An understanding of contemporary Australia and the government’s foreign, trade, investment and development credentials, and strengthened people</w:t>
            </w:r>
            <w:r w:rsidR="00C41E1F">
              <w:rPr>
                <w:rFonts w:ascii="Book Antiqua" w:hAnsi="Book Antiqua" w:cs="Book Antiqua"/>
                <w:color w:val="auto"/>
                <w:sz w:val="20"/>
                <w:szCs w:val="20"/>
              </w:rPr>
              <w:t xml:space="preserve"> </w:t>
            </w:r>
            <w:r w:rsidRPr="00C50672">
              <w:rPr>
                <w:rFonts w:ascii="Book Antiqua" w:hAnsi="Book Antiqua" w:cs="Book Antiqua"/>
                <w:color w:val="auto"/>
                <w:sz w:val="20"/>
                <w:szCs w:val="20"/>
              </w:rPr>
              <w:t>to</w:t>
            </w:r>
            <w:r w:rsidR="00C41E1F">
              <w:rPr>
                <w:rFonts w:ascii="Book Antiqua" w:hAnsi="Book Antiqua" w:cs="Book Antiqua"/>
                <w:color w:val="auto"/>
                <w:sz w:val="20"/>
                <w:szCs w:val="20"/>
              </w:rPr>
              <w:t xml:space="preserve"> </w:t>
            </w:r>
            <w:r w:rsidRPr="00C50672">
              <w:rPr>
                <w:rFonts w:ascii="Book Antiqua" w:hAnsi="Book Antiqua" w:cs="Book Antiqua"/>
                <w:color w:val="auto"/>
                <w:sz w:val="20"/>
                <w:szCs w:val="20"/>
              </w:rPr>
              <w:t>people and institutional links and trade, economic and cultural ties.</w:t>
            </w:r>
          </w:p>
        </w:tc>
      </w:tr>
    </w:tbl>
    <w:p w:rsidR="0037320C" w:rsidRDefault="0037320C" w:rsidP="007B737F">
      <w:pPr>
        <w:pStyle w:val="Heading4"/>
        <w:spacing w:before="0" w:after="0" w:line="120" w:lineRule="auto"/>
        <w:rPr>
          <w:rFonts w:ascii="Book Antiqua" w:hAnsi="Book Antiqua"/>
          <w:i/>
          <w:color w:val="FF0000"/>
        </w:rPr>
      </w:pPr>
      <w: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713"/>
      </w:tblGrid>
      <w:tr w:rsidR="00835539" w:rsidTr="006921FC">
        <w:tc>
          <w:tcPr>
            <w:tcW w:w="7713" w:type="dxa"/>
            <w:shd w:val="clear" w:color="auto" w:fill="E6E6E6"/>
          </w:tcPr>
          <w:p w:rsidR="00835539" w:rsidRDefault="00835539" w:rsidP="006921FC">
            <w:pPr>
              <w:pStyle w:val="TableColumnHeadingLeft"/>
            </w:pPr>
            <w:r>
              <w:t>Programme 1.8: Programmes to Promote Australia’s International Tourism Interests</w:t>
            </w:r>
          </w:p>
        </w:tc>
      </w:tr>
    </w:tbl>
    <w:p w:rsidR="0037320C" w:rsidRDefault="0037320C" w:rsidP="0037320C">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1"/>
      </w:tblGrid>
      <w:tr w:rsidR="0037320C" w:rsidRPr="008E4180" w:rsidTr="006921FC">
        <w:tc>
          <w:tcPr>
            <w:tcW w:w="7711" w:type="dxa"/>
          </w:tcPr>
          <w:p w:rsidR="0037320C" w:rsidRDefault="00FE6C5E" w:rsidP="00FE6C5E">
            <w:pPr>
              <w:pStyle w:val="TableColumnHeadingLeft"/>
              <w:jc w:val="both"/>
            </w:pPr>
            <w:r>
              <w:t>Programme expenses</w:t>
            </w:r>
          </w:p>
          <w:p w:rsidR="00C0006A" w:rsidRDefault="00C0006A" w:rsidP="00976E06">
            <w:pPr>
              <w:spacing w:after="0" w:line="240" w:lineRule="auto"/>
            </w:pPr>
            <w:r>
              <w:t>The functions captured by this table are the responsibility of other portfolio agencies.</w:t>
            </w:r>
          </w:p>
          <w:p w:rsidR="00C0006A" w:rsidRDefault="00C0006A" w:rsidP="00976E06">
            <w:pPr>
              <w:spacing w:after="0" w:line="240" w:lineRule="auto"/>
            </w:pPr>
          </w:p>
          <w:p w:rsidR="00C0006A" w:rsidRPr="006734A1" w:rsidRDefault="00C0006A" w:rsidP="00976E06">
            <w:pPr>
              <w:spacing w:after="0" w:line="240" w:lineRule="auto"/>
            </w:pPr>
            <w:r>
              <w:t xml:space="preserve">The Tourism Industry Regional Development Fund, Tasmanian Regional Tourism Package and T-Qual Grants annual administered expenses have been transferred to Austrade.  Refer to the Austrade Agency Resource and Planned Performance section for 2015-16 objectives, deliverables and key performance indicators.  </w:t>
            </w:r>
          </w:p>
          <w:p w:rsidR="00C0006A" w:rsidRDefault="00C0006A" w:rsidP="00976E06">
            <w:pPr>
              <w:spacing w:after="0" w:line="240" w:lineRule="auto"/>
            </w:pPr>
          </w:p>
          <w:p w:rsidR="00C0006A" w:rsidRPr="00C0006A" w:rsidRDefault="00C0006A" w:rsidP="00976E06">
            <w:pPr>
              <w:spacing w:after="0" w:line="240" w:lineRule="auto"/>
            </w:pPr>
            <w:r>
              <w:t xml:space="preserve">Refer to Tourism Australia, Outcome 1, for objectives, deliverables and key performance indicators relating to Tourism Australia-Asia Marketing Fund and Tourism Australia-Corporate Commonwealth Entity. </w:t>
            </w:r>
          </w:p>
        </w:tc>
      </w:tr>
    </w:tbl>
    <w:p w:rsidR="0037320C" w:rsidRDefault="0037320C" w:rsidP="0037320C">
      <w:pPr>
        <w:pStyle w:val="NoSpacing"/>
      </w:pPr>
    </w:p>
    <w:p w:rsidR="0037320C" w:rsidRDefault="00833238" w:rsidP="0037320C">
      <w:pPr>
        <w:pStyle w:val="TableGraphic"/>
      </w:pPr>
      <w:r>
        <w:pict>
          <v:shape id="_x0000_i1048" type="#_x0000_t75" style="width:385.25pt;height:159.9pt">
            <v:imagedata r:id="rId68" o:title=""/>
          </v:shape>
        </w:pict>
      </w:r>
    </w:p>
    <w:p w:rsidR="0037320C" w:rsidRDefault="00D905CD" w:rsidP="00F37EE6">
      <w:pPr>
        <w:pStyle w:val="ChartandTableFootnote"/>
        <w:numPr>
          <w:ilvl w:val="0"/>
          <w:numId w:val="67"/>
        </w:numPr>
        <w:ind w:hanging="720"/>
      </w:pPr>
      <w:r>
        <w:t xml:space="preserve">The balance of this program has been transferred to Austrade. </w:t>
      </w:r>
      <w:r w:rsidRPr="001978B0">
        <w:t xml:space="preserve">Refer to Austrade </w:t>
      </w:r>
      <w:r w:rsidR="001978B0">
        <w:t>Table 3.1.</w:t>
      </w:r>
      <w:r w:rsidR="00C82824">
        <w:t>1</w:t>
      </w:r>
      <w:r w:rsidR="001978B0">
        <w:t>.</w:t>
      </w:r>
    </w:p>
    <w:p w:rsidR="001978B0" w:rsidRPr="001978B0" w:rsidRDefault="001978B0" w:rsidP="00F37EE6">
      <w:pPr>
        <w:pStyle w:val="ChartandTableFootnote"/>
        <w:numPr>
          <w:ilvl w:val="0"/>
          <w:numId w:val="67"/>
        </w:numPr>
        <w:ind w:left="284" w:hanging="284"/>
      </w:pPr>
      <w:r>
        <w:t>There was no successful tenderer for the T-Qual accreditation program and the Minister for Trade and Investment has approved the reallocation of these funds to activities consistent with achieving quality tourism outcomes.</w:t>
      </w:r>
    </w:p>
    <w:p w:rsidR="00835539" w:rsidRDefault="00835539" w:rsidP="00835539">
      <w:pPr>
        <w:pStyle w:val="SingleParagraph"/>
      </w:pPr>
    </w:p>
    <w:p w:rsidR="00835539" w:rsidRDefault="00835539" w:rsidP="007B737F">
      <w:pPr>
        <w:pStyle w:val="SingleParagraph"/>
        <w:spacing w:line="20" w:lineRule="exact"/>
      </w:pPr>
      <w: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835539" w:rsidTr="006921FC">
        <w:tc>
          <w:tcPr>
            <w:tcW w:w="7713" w:type="dxa"/>
            <w:shd w:val="clear" w:color="auto" w:fill="E6E6E6"/>
          </w:tcPr>
          <w:p w:rsidR="00835539" w:rsidRDefault="00835539" w:rsidP="006921FC">
            <w:pPr>
              <w:pStyle w:val="TableColumnHeadingLeft"/>
            </w:pPr>
            <w:r>
              <w:t>Outcome 2: The protection and welfare of Australians abroad and access to secure international travel documentation through timely and responsive travel advice and consular and passport services in Australia and overseas</w:t>
            </w:r>
          </w:p>
        </w:tc>
      </w:tr>
    </w:tbl>
    <w:p w:rsidR="00835539" w:rsidRDefault="00835539" w:rsidP="00835539">
      <w:pPr>
        <w:pStyle w:val="NoSpacing"/>
      </w:pPr>
    </w:p>
    <w:p w:rsidR="00835539" w:rsidRDefault="00835539" w:rsidP="00835539">
      <w:pPr>
        <w:pStyle w:val="Heading4"/>
      </w:pPr>
      <w:r>
        <w:t>Outcome 2 strategy</w:t>
      </w:r>
    </w:p>
    <w:p w:rsidR="00C9175D" w:rsidRPr="00C50672" w:rsidRDefault="00C9175D" w:rsidP="00C9175D">
      <w:pPr>
        <w:pStyle w:val="Default"/>
        <w:spacing w:after="240"/>
        <w:jc w:val="both"/>
        <w:rPr>
          <w:rFonts w:ascii="Book Antiqua" w:hAnsi="Book Antiqua" w:cs="Book Antiqua"/>
          <w:color w:val="auto"/>
          <w:sz w:val="20"/>
          <w:szCs w:val="20"/>
        </w:rPr>
      </w:pPr>
      <w:r w:rsidRPr="00C50672">
        <w:rPr>
          <w:rFonts w:ascii="Book Antiqua" w:hAnsi="Book Antiqua" w:cs="Book Antiqua"/>
          <w:color w:val="auto"/>
          <w:sz w:val="20"/>
          <w:szCs w:val="20"/>
        </w:rPr>
        <w:t>With more Australians travelling overseas each year, the department will continue to give high priority to the delivery of effective consular services and helping Australians to help themselves</w:t>
      </w:r>
      <w:r w:rsidRPr="00B04253">
        <w:rPr>
          <w:rFonts w:ascii="Book Antiqua" w:hAnsi="Book Antiqua" w:cs="Book Antiqua"/>
          <w:color w:val="auto"/>
          <w:sz w:val="20"/>
          <w:szCs w:val="20"/>
        </w:rPr>
        <w:t xml:space="preserve">, </w:t>
      </w:r>
      <w:r w:rsidRPr="00085478">
        <w:rPr>
          <w:rFonts w:ascii="Book Antiqua" w:hAnsi="Book Antiqua" w:cs="Book Antiqua"/>
          <w:color w:val="auto"/>
          <w:sz w:val="20"/>
          <w:szCs w:val="20"/>
        </w:rPr>
        <w:t xml:space="preserve">including through the </w:t>
      </w:r>
      <w:r>
        <w:rPr>
          <w:rFonts w:ascii="Book Antiqua" w:hAnsi="Book Antiqua" w:cs="Book Antiqua"/>
          <w:color w:val="auto"/>
          <w:sz w:val="20"/>
          <w:szCs w:val="20"/>
        </w:rPr>
        <w:t>implementation of the</w:t>
      </w:r>
      <w:r w:rsidRPr="00085478">
        <w:rPr>
          <w:rFonts w:ascii="Book Antiqua" w:hAnsi="Book Antiqua" w:cs="Book Antiqua"/>
          <w:color w:val="auto"/>
          <w:sz w:val="20"/>
          <w:szCs w:val="20"/>
        </w:rPr>
        <w:t xml:space="preserve"> </w:t>
      </w:r>
      <w:r w:rsidR="00C41E1F">
        <w:rPr>
          <w:rFonts w:ascii="Book Antiqua" w:hAnsi="Book Antiqua" w:cs="Book Antiqua"/>
          <w:color w:val="auto"/>
          <w:sz w:val="20"/>
          <w:szCs w:val="20"/>
        </w:rPr>
        <w:t xml:space="preserve">new </w:t>
      </w:r>
      <w:r w:rsidR="00577241">
        <w:rPr>
          <w:rFonts w:ascii="Book Antiqua" w:hAnsi="Book Antiqua" w:cs="Book Antiqua"/>
          <w:color w:val="auto"/>
          <w:sz w:val="20"/>
          <w:szCs w:val="20"/>
        </w:rPr>
        <w:t>three-</w:t>
      </w:r>
      <w:r w:rsidRPr="00085478">
        <w:rPr>
          <w:rFonts w:ascii="Book Antiqua" w:hAnsi="Book Antiqua" w:cs="Book Antiqua"/>
          <w:color w:val="auto"/>
          <w:sz w:val="20"/>
          <w:szCs w:val="20"/>
        </w:rPr>
        <w:t>year Consular Strategy</w:t>
      </w:r>
      <w:r w:rsidRPr="00B04253">
        <w:rPr>
          <w:rFonts w:ascii="Book Antiqua" w:hAnsi="Book Antiqua" w:cs="Book Antiqua"/>
          <w:color w:val="auto"/>
          <w:sz w:val="20"/>
          <w:szCs w:val="20"/>
        </w:rPr>
        <w:t>.</w:t>
      </w:r>
      <w:r w:rsidRPr="00C50672">
        <w:rPr>
          <w:rFonts w:ascii="Book Antiqua" w:hAnsi="Book Antiqua" w:cs="Book Antiqua"/>
          <w:color w:val="auto"/>
          <w:sz w:val="20"/>
          <w:szCs w:val="20"/>
        </w:rPr>
        <w:t xml:space="preserve"> The department will help Australians make informed decisions about their security, safety and wellbeing by maintaining its comprehensive system of travel advisories. The department’s consular outreach program will continue in 201</w:t>
      </w:r>
      <w:r>
        <w:rPr>
          <w:rFonts w:ascii="Book Antiqua" w:hAnsi="Book Antiqua" w:cs="Book Antiqua"/>
          <w:color w:val="auto"/>
          <w:sz w:val="20"/>
          <w:szCs w:val="20"/>
        </w:rPr>
        <w:t>5</w:t>
      </w:r>
      <w:r w:rsidRPr="00C50672">
        <w:rPr>
          <w:rFonts w:ascii="Book Antiqua" w:hAnsi="Book Antiqua" w:cs="Book Antiqua"/>
          <w:color w:val="auto"/>
          <w:sz w:val="20"/>
          <w:szCs w:val="20"/>
        </w:rPr>
        <w:noBreakHyphen/>
        <w:t>1</w:t>
      </w:r>
      <w:r>
        <w:rPr>
          <w:rFonts w:ascii="Book Antiqua" w:hAnsi="Book Antiqua" w:cs="Book Antiqua"/>
          <w:color w:val="auto"/>
          <w:sz w:val="20"/>
          <w:szCs w:val="20"/>
        </w:rPr>
        <w:t>6</w:t>
      </w:r>
      <w:r w:rsidRPr="00C50672">
        <w:rPr>
          <w:rFonts w:ascii="Book Antiqua" w:hAnsi="Book Antiqua" w:cs="Book Antiqua"/>
          <w:color w:val="auto"/>
          <w:sz w:val="20"/>
          <w:szCs w:val="20"/>
        </w:rPr>
        <w:t xml:space="preserve">, promoting safe travel messages and delivering accurate and timely travel advice, including through the </w:t>
      </w:r>
      <w:r w:rsidRPr="00C50672">
        <w:rPr>
          <w:rFonts w:ascii="Book Antiqua" w:hAnsi="Book Antiqua" w:cs="Book Antiqua"/>
          <w:i/>
          <w:iCs/>
          <w:color w:val="auto"/>
          <w:sz w:val="20"/>
          <w:szCs w:val="20"/>
        </w:rPr>
        <w:t xml:space="preserve">Smartraveller </w:t>
      </w:r>
      <w:r w:rsidRPr="00C50672">
        <w:rPr>
          <w:rFonts w:ascii="Book Antiqua" w:hAnsi="Book Antiqua" w:cs="Book Antiqua"/>
          <w:color w:val="auto"/>
          <w:sz w:val="20"/>
          <w:szCs w:val="20"/>
        </w:rPr>
        <w:t xml:space="preserve">campaign and targeted outreach. </w:t>
      </w:r>
    </w:p>
    <w:p w:rsidR="00C9175D" w:rsidRPr="00C50672" w:rsidRDefault="00C9175D" w:rsidP="00C9175D">
      <w:pPr>
        <w:pStyle w:val="Default"/>
        <w:spacing w:after="240"/>
        <w:jc w:val="both"/>
        <w:rPr>
          <w:rFonts w:ascii="Book Antiqua" w:hAnsi="Book Antiqua" w:cs="Book Antiqua"/>
          <w:color w:val="auto"/>
          <w:sz w:val="20"/>
          <w:szCs w:val="20"/>
        </w:rPr>
      </w:pPr>
      <w:r w:rsidRPr="00C50672">
        <w:rPr>
          <w:rFonts w:ascii="Book Antiqua" w:hAnsi="Book Antiqua" w:cs="Book Antiqua"/>
          <w:color w:val="auto"/>
          <w:sz w:val="20"/>
          <w:szCs w:val="20"/>
        </w:rPr>
        <w:t>Practical planning for contingency and rapid crisis response will remain a focus through 201</w:t>
      </w:r>
      <w:r>
        <w:rPr>
          <w:rFonts w:ascii="Book Antiqua" w:hAnsi="Book Antiqua" w:cs="Book Antiqua"/>
          <w:color w:val="auto"/>
          <w:sz w:val="20"/>
          <w:szCs w:val="20"/>
        </w:rPr>
        <w:t>5-16</w:t>
      </w:r>
      <w:r w:rsidRPr="00C50672">
        <w:rPr>
          <w:rFonts w:ascii="Book Antiqua" w:hAnsi="Book Antiqua" w:cs="Book Antiqua"/>
          <w:color w:val="auto"/>
          <w:sz w:val="20"/>
          <w:szCs w:val="20"/>
        </w:rPr>
        <w:t>. The department will work to enhance its ability to respond quickly to consular incidents, particularly in remote locations or where consular representation is less concentrated. It w</w:t>
      </w:r>
      <w:r w:rsidR="002F7A59">
        <w:rPr>
          <w:rFonts w:ascii="Book Antiqua" w:hAnsi="Book Antiqua" w:cs="Book Antiqua"/>
          <w:color w:val="auto"/>
          <w:sz w:val="20"/>
          <w:szCs w:val="20"/>
        </w:rPr>
        <w:t xml:space="preserve">ill also continue to lead whole of </w:t>
      </w:r>
      <w:r w:rsidRPr="00C50672">
        <w:rPr>
          <w:rFonts w:ascii="Book Antiqua" w:hAnsi="Book Antiqua" w:cs="Book Antiqua"/>
          <w:color w:val="auto"/>
          <w:sz w:val="20"/>
          <w:szCs w:val="20"/>
        </w:rPr>
        <w:t xml:space="preserve">government responses to future consular crises and serious incidents overseas, activating the department’s Crisis Centre as needed. </w:t>
      </w:r>
    </w:p>
    <w:p w:rsidR="00835539" w:rsidRDefault="00C9175D" w:rsidP="00C9175D">
      <w:pPr>
        <w:pStyle w:val="Default"/>
        <w:spacing w:after="240"/>
        <w:jc w:val="both"/>
        <w:rPr>
          <w:rFonts w:ascii="Book Antiqua" w:hAnsi="Book Antiqua" w:cs="Book Antiqua"/>
          <w:color w:val="auto"/>
          <w:sz w:val="20"/>
          <w:szCs w:val="20"/>
        </w:rPr>
      </w:pPr>
      <w:r w:rsidRPr="00C50672">
        <w:rPr>
          <w:rFonts w:ascii="Book Antiqua" w:hAnsi="Book Antiqua" w:cs="Book Antiqua"/>
          <w:color w:val="auto"/>
          <w:sz w:val="20"/>
          <w:szCs w:val="20"/>
        </w:rPr>
        <w:t xml:space="preserve">The department will continue to deliver an efficient passport service for Australian citizens. </w:t>
      </w:r>
      <w:r>
        <w:rPr>
          <w:rFonts w:ascii="Book Antiqua" w:hAnsi="Book Antiqua" w:cs="Book Antiqua"/>
          <w:color w:val="auto"/>
          <w:sz w:val="20"/>
          <w:szCs w:val="20"/>
        </w:rPr>
        <w:t xml:space="preserve">The new ‘P-series’ passport, introduced in 2014, includes enhanced security measures, making it one of the most secure and trustworthy passport documents in the world. </w:t>
      </w:r>
      <w:r w:rsidRPr="00C50672">
        <w:rPr>
          <w:rFonts w:ascii="Book Antiqua" w:hAnsi="Book Antiqua" w:cs="Book Antiqua"/>
          <w:color w:val="auto"/>
          <w:sz w:val="20"/>
          <w:szCs w:val="20"/>
        </w:rPr>
        <w:t>In 201</w:t>
      </w:r>
      <w:r>
        <w:rPr>
          <w:rFonts w:ascii="Book Antiqua" w:hAnsi="Book Antiqua" w:cs="Book Antiqua"/>
          <w:color w:val="auto"/>
          <w:sz w:val="20"/>
          <w:szCs w:val="20"/>
        </w:rPr>
        <w:t>5</w:t>
      </w:r>
      <w:r w:rsidRPr="00C50672">
        <w:rPr>
          <w:rFonts w:ascii="Book Antiqua" w:hAnsi="Book Antiqua" w:cs="Book Antiqua"/>
          <w:color w:val="auto"/>
          <w:sz w:val="20"/>
          <w:szCs w:val="20"/>
        </w:rPr>
        <w:t>-1</w:t>
      </w:r>
      <w:r>
        <w:rPr>
          <w:rFonts w:ascii="Book Antiqua" w:hAnsi="Book Antiqua" w:cs="Book Antiqua"/>
          <w:color w:val="auto"/>
          <w:sz w:val="20"/>
          <w:szCs w:val="20"/>
        </w:rPr>
        <w:t>6</w:t>
      </w:r>
      <w:r w:rsidRPr="00C50672">
        <w:rPr>
          <w:rFonts w:ascii="Book Antiqua" w:hAnsi="Book Antiqua" w:cs="Book Antiqua"/>
          <w:color w:val="auto"/>
          <w:sz w:val="20"/>
          <w:szCs w:val="20"/>
        </w:rPr>
        <w:t>, we will continue work on development of the next generation Australian travel document issuance system</w:t>
      </w:r>
      <w:r>
        <w:rPr>
          <w:rFonts w:ascii="Book Antiqua" w:hAnsi="Book Antiqua" w:cs="Book Antiqua"/>
          <w:color w:val="auto"/>
          <w:sz w:val="20"/>
          <w:szCs w:val="20"/>
        </w:rPr>
        <w:t>.</w:t>
      </w:r>
    </w:p>
    <w:p w:rsidR="00FE6C5E" w:rsidRDefault="00FE6C5E" w:rsidP="00FE6C5E">
      <w:pPr>
        <w:pStyle w:val="Heading5"/>
      </w:pPr>
      <w:r>
        <w:t>Outcome expense statement</w:t>
      </w:r>
    </w:p>
    <w:p w:rsidR="00FE6C5E" w:rsidRDefault="00FE6C5E" w:rsidP="00FE6C5E">
      <w:pPr>
        <w:pStyle w:val="Default"/>
        <w:spacing w:after="240"/>
        <w:jc w:val="both"/>
        <w:rPr>
          <w:rFonts w:ascii="Book Antiqua" w:hAnsi="Book Antiqua" w:cs="Book Antiqua"/>
          <w:color w:val="auto"/>
          <w:sz w:val="20"/>
          <w:szCs w:val="20"/>
        </w:rPr>
      </w:pPr>
      <w:r w:rsidRPr="00FE6C5E">
        <w:rPr>
          <w:rFonts w:ascii="Book Antiqua" w:hAnsi="Book Antiqua" w:cs="Book Antiqua"/>
          <w:color w:val="auto"/>
          <w:sz w:val="20"/>
          <w:szCs w:val="20"/>
        </w:rPr>
        <w:t>Table 2.1.</w:t>
      </w:r>
      <w:r>
        <w:rPr>
          <w:rFonts w:ascii="Book Antiqua" w:hAnsi="Book Antiqua" w:cs="Book Antiqua"/>
          <w:color w:val="auto"/>
          <w:sz w:val="20"/>
          <w:szCs w:val="20"/>
        </w:rPr>
        <w:t>2</w:t>
      </w:r>
      <w:r w:rsidRPr="00FE6C5E">
        <w:rPr>
          <w:rFonts w:ascii="Book Antiqua" w:hAnsi="Book Antiqua" w:cs="Book Antiqua"/>
          <w:color w:val="auto"/>
          <w:sz w:val="20"/>
          <w:szCs w:val="20"/>
        </w:rPr>
        <w:t xml:space="preserve"> provides an overview of the total expenses for Outcome </w:t>
      </w:r>
      <w:r>
        <w:rPr>
          <w:rFonts w:ascii="Book Antiqua" w:hAnsi="Book Antiqua" w:cs="Book Antiqua"/>
          <w:color w:val="auto"/>
          <w:sz w:val="20"/>
          <w:szCs w:val="20"/>
        </w:rPr>
        <w:t>2</w:t>
      </w:r>
      <w:r w:rsidRPr="00FE6C5E">
        <w:rPr>
          <w:rFonts w:ascii="Book Antiqua" w:hAnsi="Book Antiqua" w:cs="Book Antiqua"/>
          <w:color w:val="auto"/>
          <w:sz w:val="20"/>
          <w:szCs w:val="20"/>
        </w:rPr>
        <w:t>, by programme</w:t>
      </w:r>
      <w:r>
        <w:rPr>
          <w:rFonts w:ascii="Book Antiqua" w:hAnsi="Book Antiqua" w:cs="Book Antiqua"/>
          <w:color w:val="auto"/>
          <w:sz w:val="20"/>
          <w:szCs w:val="20"/>
        </w:rPr>
        <w:t>.</w:t>
      </w:r>
    </w:p>
    <w:p w:rsidR="00FE6C5E" w:rsidRDefault="00FE6C5E" w:rsidP="00FE6C5E">
      <w:pPr>
        <w:pStyle w:val="Heading5"/>
        <w:spacing w:after="0"/>
      </w:pPr>
      <w:r>
        <w:rPr>
          <w:rFonts w:ascii="Book Antiqua" w:hAnsi="Book Antiqua" w:cs="Book Antiqua"/>
          <w:szCs w:val="20"/>
        </w:rPr>
        <w:br w:type="page"/>
      </w:r>
      <w:r>
        <w:lastRenderedPageBreak/>
        <w:t>Table 2.1.</w:t>
      </w:r>
      <w:r w:rsidR="004B7A22">
        <w:t>2</w:t>
      </w:r>
      <w:r>
        <w:t xml:space="preserve">: Budgeted expenses for Outcome </w:t>
      </w:r>
      <w:r w:rsidR="004B7A22">
        <w:t>2</w:t>
      </w:r>
    </w:p>
    <w:p w:rsidR="00FE6C5E" w:rsidRDefault="00833238" w:rsidP="00FE6C5E">
      <w:pPr>
        <w:pStyle w:val="Heading5"/>
        <w:spacing w:after="0"/>
      </w:pPr>
      <w:r>
        <w:pict>
          <v:shape id="_x0000_i1049" type="#_x0000_t75" style="width:384.3pt;height:359.05pt">
            <v:imagedata r:id="rId69" o:title=""/>
          </v:shape>
        </w:pict>
      </w:r>
    </w:p>
    <w:p w:rsidR="005F43A5" w:rsidRDefault="005F43A5" w:rsidP="00F37EE6">
      <w:pPr>
        <w:pStyle w:val="ChartandTableFootnote"/>
        <w:numPr>
          <w:ilvl w:val="0"/>
          <w:numId w:val="56"/>
        </w:numPr>
      </w:pPr>
      <w:r w:rsidRPr="005F43A5">
        <w:t>This reflects actual cash disbursements from the property account.</w:t>
      </w:r>
    </w:p>
    <w:p w:rsidR="00FE6C5E" w:rsidRDefault="00FE6C5E" w:rsidP="00F37EE6">
      <w:pPr>
        <w:pStyle w:val="ChartandTableFootnote"/>
        <w:numPr>
          <w:ilvl w:val="0"/>
          <w:numId w:val="56"/>
        </w:numPr>
        <w:ind w:left="284" w:hanging="284"/>
      </w:pPr>
      <w:r w:rsidRPr="004E2825">
        <w:t xml:space="preserve">Departmental </w:t>
      </w:r>
      <w:r w:rsidR="003F18ED">
        <w:t>a</w:t>
      </w:r>
      <w:r w:rsidRPr="004E2825">
        <w:t xml:space="preserve">ppropriation combines </w:t>
      </w:r>
      <w:r>
        <w:t>‘</w:t>
      </w:r>
      <w:r w:rsidRPr="004E2825">
        <w:t>Ordinary annual services (</w:t>
      </w:r>
      <w:r w:rsidRPr="003F18ED">
        <w:rPr>
          <w:i/>
        </w:rPr>
        <w:t>Appropriation Bill No. 1</w:t>
      </w:r>
      <w:r w:rsidRPr="004E2825">
        <w:t>)</w:t>
      </w:r>
      <w:r>
        <w:t>’</w:t>
      </w:r>
      <w:r w:rsidRPr="004E2825">
        <w:t xml:space="preserve"> and </w:t>
      </w:r>
      <w:r>
        <w:t>‘</w:t>
      </w:r>
      <w:r w:rsidRPr="004E2825">
        <w:t>Revenue from independent sources (s</w:t>
      </w:r>
      <w:r>
        <w:t> 74)</w:t>
      </w:r>
      <w:r w:rsidR="00931980">
        <w:t>’</w:t>
      </w:r>
      <w:r>
        <w:t>.</w:t>
      </w:r>
    </w:p>
    <w:p w:rsidR="00911FAE" w:rsidRDefault="00FE6C5E" w:rsidP="00F37EE6">
      <w:pPr>
        <w:pStyle w:val="ChartandTableFootnote"/>
        <w:numPr>
          <w:ilvl w:val="0"/>
          <w:numId w:val="56"/>
        </w:numPr>
        <w:ind w:left="284" w:hanging="284"/>
      </w:pPr>
      <w:r w:rsidRPr="006D62BE">
        <w:t xml:space="preserve">Expenses not requiring </w:t>
      </w:r>
      <w:r>
        <w:t>a</w:t>
      </w:r>
      <w:r w:rsidRPr="006D62BE">
        <w:t>ppropriat</w:t>
      </w:r>
      <w:r>
        <w:t>ion in the Budget year are made up of depreciation expenses</w:t>
      </w:r>
      <w:r w:rsidRPr="006D62BE">
        <w:t>, amortisation</w:t>
      </w:r>
      <w:r>
        <w:t xml:space="preserve"> expenses,</w:t>
      </w:r>
      <w:r w:rsidRPr="006D62BE">
        <w:t xml:space="preserve"> make</w:t>
      </w:r>
      <w:r>
        <w:t>g</w:t>
      </w:r>
      <w:r w:rsidRPr="006D62BE">
        <w:t>ood expense</w:t>
      </w:r>
      <w:r>
        <w:t>s, and audit fees.</w:t>
      </w:r>
    </w:p>
    <w:p w:rsidR="00FE6C5E" w:rsidRDefault="00FE6C5E" w:rsidP="00FE6C5E">
      <w:pPr>
        <w:pStyle w:val="Source"/>
      </w:pPr>
      <w:r w:rsidRPr="002329C3">
        <w:t>Note: Departmental appropriation splits and totals are indicative estimates and may change in the course of the budget year as government priorities change.</w:t>
      </w:r>
    </w:p>
    <w:p w:rsidR="006921FC" w:rsidRDefault="00843D3D" w:rsidP="0067698B">
      <w:pPr>
        <w:pStyle w:val="Heading5"/>
        <w:rPr>
          <w:rFonts w:ascii="Book Antiqua" w:hAnsi="Book Antiqua"/>
          <w:i/>
          <w:color w:val="FF0000"/>
        </w:rPr>
      </w:pPr>
      <w:r>
        <w:rPr>
          <w:rFonts w:ascii="Book Antiqua" w:hAnsi="Book Antiqua" w:cs="Book Antiqua"/>
          <w:szCs w:val="20"/>
        </w:rPr>
        <w:br w:type="page"/>
      </w:r>
      <w:r w:rsidR="006921FC">
        <w:lastRenderedPageBreak/>
        <w:t>Contributions to Outcome 2</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713"/>
      </w:tblGrid>
      <w:tr w:rsidR="006921FC" w:rsidTr="006921FC">
        <w:tc>
          <w:tcPr>
            <w:tcW w:w="7713" w:type="dxa"/>
            <w:shd w:val="clear" w:color="auto" w:fill="E6E6E6"/>
          </w:tcPr>
          <w:p w:rsidR="006921FC" w:rsidRDefault="006921FC" w:rsidP="006921FC">
            <w:pPr>
              <w:pStyle w:val="TableColumnHeadingLeft"/>
            </w:pPr>
            <w:r>
              <w:t>Programme 2.1: Consular Services</w:t>
            </w:r>
          </w:p>
        </w:tc>
      </w:tr>
    </w:tbl>
    <w:p w:rsidR="006921FC" w:rsidRPr="00FD5958" w:rsidRDefault="006921FC" w:rsidP="006921FC">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6921FC" w:rsidTr="006921FC">
        <w:tc>
          <w:tcPr>
            <w:tcW w:w="7711" w:type="dxa"/>
          </w:tcPr>
          <w:p w:rsidR="006921FC" w:rsidRDefault="006921FC" w:rsidP="006921FC">
            <w:pPr>
              <w:pStyle w:val="TableColumnHeadingLeft"/>
            </w:pPr>
            <w:r>
              <w:t>Programme objective</w:t>
            </w:r>
          </w:p>
          <w:p w:rsidR="006921FC" w:rsidRPr="00D57849" w:rsidRDefault="00C9175D" w:rsidP="00F37EE6">
            <w:pPr>
              <w:pStyle w:val="Default"/>
              <w:numPr>
                <w:ilvl w:val="0"/>
                <w:numId w:val="25"/>
              </w:numPr>
              <w:spacing w:after="240"/>
              <w:jc w:val="both"/>
            </w:pPr>
            <w:r w:rsidRPr="00C50672">
              <w:rPr>
                <w:rFonts w:ascii="Book Antiqua" w:hAnsi="Book Antiqua" w:cs="Book Antiqua"/>
                <w:color w:val="auto"/>
                <w:sz w:val="20"/>
                <w:szCs w:val="20"/>
              </w:rPr>
              <w:t>To support and assist Australian travellers and Australians overseas through high-quality consular services, including accurate and timely travel advice, practical contingency planning and rapid crisis response.</w:t>
            </w:r>
          </w:p>
        </w:tc>
      </w:tr>
    </w:tbl>
    <w:p w:rsidR="00843D3D" w:rsidRDefault="00843D3D" w:rsidP="00835539">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1"/>
      </w:tblGrid>
      <w:tr w:rsidR="00843D3D" w:rsidRPr="008E4180" w:rsidTr="003149D2">
        <w:tc>
          <w:tcPr>
            <w:tcW w:w="7711" w:type="dxa"/>
          </w:tcPr>
          <w:p w:rsidR="00843D3D" w:rsidRPr="00D57849" w:rsidRDefault="00FE6C5E" w:rsidP="00FE6C5E">
            <w:pPr>
              <w:pStyle w:val="TableColumnHeadingLeft"/>
              <w:jc w:val="both"/>
            </w:pPr>
            <w:r>
              <w:t>Programme expenses</w:t>
            </w:r>
          </w:p>
        </w:tc>
      </w:tr>
    </w:tbl>
    <w:p w:rsidR="00843D3D" w:rsidRDefault="00843D3D" w:rsidP="00843D3D">
      <w:pPr>
        <w:pStyle w:val="NoSpacing"/>
      </w:pPr>
    </w:p>
    <w:p w:rsidR="00843D3D" w:rsidRDefault="00833238" w:rsidP="00843D3D">
      <w:pPr>
        <w:pStyle w:val="TableGraphic"/>
      </w:pPr>
      <w:r>
        <w:pict>
          <v:shape id="_x0000_i1050" type="#_x0000_t75" style="width:386.2pt;height:160.85pt">
            <v:imagedata r:id="rId70" o:title=""/>
          </v:shape>
        </w:pict>
      </w:r>
    </w:p>
    <w:p w:rsidR="00843D3D" w:rsidRDefault="00FE6C5E" w:rsidP="00F37EE6">
      <w:pPr>
        <w:pStyle w:val="ChartandTableFootnote"/>
        <w:numPr>
          <w:ilvl w:val="0"/>
          <w:numId w:val="57"/>
        </w:numPr>
        <w:ind w:left="284" w:hanging="284"/>
      </w:pPr>
      <w:r>
        <w:t>This expense does not include $0.55m for Traveller’s Emergency Loans, as these are treated as receivables and form part of the receivable balance in Table 3.2.8.</w:t>
      </w:r>
    </w:p>
    <w:p w:rsidR="00FE6C5E" w:rsidRDefault="00FE6C5E" w:rsidP="00F37EE6">
      <w:pPr>
        <w:pStyle w:val="ChartandTableFootnote"/>
        <w:numPr>
          <w:ilvl w:val="0"/>
          <w:numId w:val="57"/>
        </w:numPr>
        <w:ind w:left="284" w:hanging="284"/>
      </w:pPr>
      <w:r w:rsidRPr="006D62BE">
        <w:t xml:space="preserve">Expenses not requiring </w:t>
      </w:r>
      <w:r>
        <w:t>a</w:t>
      </w:r>
      <w:r w:rsidRPr="006D62BE">
        <w:t>ppropriat</w:t>
      </w:r>
      <w:r>
        <w:t>ion in the Budget year are made up of depreciation expenses</w:t>
      </w:r>
      <w:r w:rsidRPr="006D62BE">
        <w:t>, amortisation</w:t>
      </w:r>
      <w:r>
        <w:t xml:space="preserve"> expenses,</w:t>
      </w:r>
      <w:r w:rsidRPr="006D62BE">
        <w:t xml:space="preserve"> make</w:t>
      </w:r>
      <w:r>
        <w:t>g</w:t>
      </w:r>
      <w:r w:rsidRPr="006D62BE">
        <w:t>ood expense</w:t>
      </w:r>
      <w:r>
        <w:t>s, and audit fees.</w:t>
      </w:r>
    </w:p>
    <w:p w:rsidR="00843D3D" w:rsidRDefault="00843D3D" w:rsidP="00835539">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843D3D" w:rsidTr="003149D2">
        <w:tc>
          <w:tcPr>
            <w:tcW w:w="7711" w:type="dxa"/>
          </w:tcPr>
          <w:p w:rsidR="00843D3D" w:rsidRDefault="00843D3D" w:rsidP="003149D2">
            <w:pPr>
              <w:pStyle w:val="TableColumnHeadingLeft"/>
              <w:jc w:val="both"/>
            </w:pPr>
            <w:r>
              <w:t xml:space="preserve">Programme 2.1 Deliverables </w:t>
            </w:r>
          </w:p>
          <w:p w:rsidR="00C9175D" w:rsidRPr="004C1DD1" w:rsidRDefault="00C9175D" w:rsidP="00F37EE6">
            <w:pPr>
              <w:pStyle w:val="Default"/>
              <w:numPr>
                <w:ilvl w:val="0"/>
                <w:numId w:val="25"/>
              </w:numPr>
              <w:spacing w:after="240"/>
              <w:jc w:val="both"/>
              <w:rPr>
                <w:rFonts w:ascii="Book Antiqua" w:hAnsi="Book Antiqua" w:cs="Book Antiqua"/>
                <w:color w:val="auto"/>
                <w:sz w:val="20"/>
                <w:szCs w:val="20"/>
              </w:rPr>
            </w:pPr>
            <w:r w:rsidRPr="004C1DD1">
              <w:rPr>
                <w:rFonts w:ascii="Book Antiqua" w:hAnsi="Book Antiqua" w:cs="Book Antiqua"/>
                <w:color w:val="auto"/>
                <w:sz w:val="20"/>
                <w:szCs w:val="20"/>
              </w:rPr>
              <w:t xml:space="preserve">High-quality consular services to an increasing number of Australian travellers and Australian citizens living overseas, including notarial services and assistance with welfare issues, whereabouts enquiries, arrest or detention matters, deaths, medical emergencies and payment of travellers emergency loans to Australians in need. </w:t>
            </w:r>
          </w:p>
          <w:p w:rsidR="007F26E3" w:rsidRDefault="00C9175D" w:rsidP="00F37EE6">
            <w:pPr>
              <w:pStyle w:val="Default"/>
              <w:numPr>
                <w:ilvl w:val="0"/>
                <w:numId w:val="25"/>
              </w:numPr>
              <w:spacing w:after="240"/>
              <w:jc w:val="both"/>
              <w:rPr>
                <w:rFonts w:ascii="Book Antiqua" w:hAnsi="Book Antiqua" w:cs="Book Antiqua"/>
                <w:color w:val="auto"/>
                <w:sz w:val="20"/>
                <w:szCs w:val="20"/>
              </w:rPr>
            </w:pPr>
            <w:r w:rsidRPr="004C1DD1">
              <w:rPr>
                <w:rFonts w:ascii="Book Antiqua" w:hAnsi="Book Antiqua" w:cs="Book Antiqua"/>
                <w:color w:val="auto"/>
                <w:sz w:val="20"/>
                <w:szCs w:val="20"/>
              </w:rPr>
              <w:t xml:space="preserve">High-quality travel advisory services, including issuing accurate and timely travel information on travel destinations, promoting this information through the continuation of the </w:t>
            </w:r>
            <w:r w:rsidRPr="004C1DD1">
              <w:rPr>
                <w:rFonts w:ascii="Book Antiqua" w:hAnsi="Book Antiqua" w:cs="Book Antiqua"/>
                <w:i/>
                <w:color w:val="auto"/>
                <w:sz w:val="20"/>
                <w:szCs w:val="20"/>
              </w:rPr>
              <w:t>Smartraveller</w:t>
            </w:r>
            <w:r w:rsidRPr="004C1DD1">
              <w:rPr>
                <w:rFonts w:ascii="Book Antiqua" w:hAnsi="Book Antiqua" w:cs="Book Antiqua"/>
                <w:color w:val="auto"/>
                <w:sz w:val="20"/>
                <w:szCs w:val="20"/>
              </w:rPr>
              <w:t xml:space="preserve"> campaign and effectively managing an online travel registration service.</w:t>
            </w:r>
          </w:p>
          <w:p w:rsidR="00C9175D" w:rsidRPr="004C1DD1" w:rsidRDefault="00C9175D" w:rsidP="00F37EE6">
            <w:pPr>
              <w:pStyle w:val="Default"/>
              <w:numPr>
                <w:ilvl w:val="0"/>
                <w:numId w:val="25"/>
              </w:numPr>
              <w:spacing w:after="240"/>
              <w:jc w:val="both"/>
              <w:rPr>
                <w:rFonts w:ascii="Book Antiqua" w:hAnsi="Book Antiqua" w:cs="Book Antiqua"/>
                <w:color w:val="auto"/>
                <w:sz w:val="20"/>
                <w:szCs w:val="20"/>
              </w:rPr>
            </w:pPr>
            <w:r w:rsidRPr="004C1DD1">
              <w:rPr>
                <w:rFonts w:ascii="Book Antiqua" w:hAnsi="Book Antiqua" w:cs="Book Antiqua"/>
                <w:color w:val="auto"/>
                <w:sz w:val="20"/>
                <w:szCs w:val="20"/>
              </w:rPr>
              <w:t xml:space="preserve">Effective consular contingency planning for major events or high-risk scenarios, including through regular reviews of procedures and available resources, training of staff, and coordination with other government agencies and foreign governments. </w:t>
            </w:r>
          </w:p>
          <w:p w:rsidR="00843D3D" w:rsidRPr="008E4180" w:rsidRDefault="00C41E1F" w:rsidP="00F37EE6">
            <w:pPr>
              <w:pStyle w:val="Default"/>
              <w:numPr>
                <w:ilvl w:val="0"/>
                <w:numId w:val="25"/>
              </w:numPr>
              <w:spacing w:after="240"/>
              <w:jc w:val="both"/>
            </w:pPr>
            <w:r>
              <w:rPr>
                <w:rFonts w:ascii="Book Antiqua" w:hAnsi="Book Antiqua" w:cs="Book Antiqua"/>
                <w:color w:val="auto"/>
                <w:sz w:val="20"/>
                <w:szCs w:val="20"/>
              </w:rPr>
              <w:lastRenderedPageBreak/>
              <w:t xml:space="preserve">Coordination of whole of </w:t>
            </w:r>
            <w:r w:rsidR="00C9175D" w:rsidRPr="004C1DD1">
              <w:rPr>
                <w:rFonts w:ascii="Book Antiqua" w:hAnsi="Book Antiqua" w:cs="Book Antiqua"/>
                <w:color w:val="auto"/>
                <w:sz w:val="20"/>
                <w:szCs w:val="20"/>
              </w:rPr>
              <w:t>government responses to large-scale crises involving conflict, civil unrest, natural disasters or terrorist incidents.</w:t>
            </w:r>
          </w:p>
        </w:tc>
      </w:tr>
    </w:tbl>
    <w:p w:rsidR="00843D3D" w:rsidRDefault="00843D3D" w:rsidP="00843D3D">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843D3D" w:rsidTr="003149D2">
        <w:tc>
          <w:tcPr>
            <w:tcW w:w="7711" w:type="dxa"/>
          </w:tcPr>
          <w:p w:rsidR="00843D3D" w:rsidRDefault="00843D3D" w:rsidP="003149D2">
            <w:pPr>
              <w:pStyle w:val="TableColumnHeadingLeft"/>
            </w:pPr>
            <w:r>
              <w:rPr>
                <w:rFonts w:ascii="Book Antiqua" w:hAnsi="Book Antiqua"/>
                <w:b w:val="0"/>
              </w:rPr>
              <w:br w:type="page"/>
            </w:r>
            <w:r>
              <w:t xml:space="preserve">Programme 2.1 Key Performance Indicators  </w:t>
            </w:r>
          </w:p>
          <w:p w:rsidR="00C9175D" w:rsidRPr="004C1DD1" w:rsidRDefault="00C9175D" w:rsidP="00F37EE6">
            <w:pPr>
              <w:pStyle w:val="Default"/>
              <w:numPr>
                <w:ilvl w:val="0"/>
                <w:numId w:val="25"/>
              </w:numPr>
              <w:spacing w:after="240"/>
              <w:jc w:val="both"/>
              <w:rPr>
                <w:rFonts w:ascii="Book Antiqua" w:hAnsi="Book Antiqua" w:cs="Book Antiqua"/>
                <w:color w:val="auto"/>
                <w:sz w:val="20"/>
                <w:szCs w:val="20"/>
              </w:rPr>
            </w:pPr>
            <w:r w:rsidRPr="004C1DD1">
              <w:rPr>
                <w:rFonts w:ascii="Book Antiqua" w:hAnsi="Book Antiqua" w:cs="Book Antiqua"/>
                <w:color w:val="auto"/>
                <w:sz w:val="20"/>
                <w:szCs w:val="20"/>
              </w:rPr>
              <w:t xml:space="preserve">The department’s delivery of consular services is effective, efficient, timely and responsive, and within the scope of Australian Government responsibility. </w:t>
            </w:r>
          </w:p>
          <w:p w:rsidR="00C9175D" w:rsidRPr="004C1DD1" w:rsidRDefault="00C9175D" w:rsidP="00F37EE6">
            <w:pPr>
              <w:pStyle w:val="Default"/>
              <w:numPr>
                <w:ilvl w:val="0"/>
                <w:numId w:val="25"/>
              </w:numPr>
              <w:spacing w:after="240"/>
              <w:jc w:val="both"/>
              <w:rPr>
                <w:rFonts w:ascii="Book Antiqua" w:hAnsi="Book Antiqua" w:cs="Book Antiqua"/>
                <w:color w:val="auto"/>
                <w:sz w:val="20"/>
                <w:szCs w:val="20"/>
              </w:rPr>
            </w:pPr>
            <w:r w:rsidRPr="004C1DD1">
              <w:rPr>
                <w:rFonts w:ascii="Book Antiqua" w:hAnsi="Book Antiqua" w:cs="Book Antiqua"/>
                <w:color w:val="auto"/>
                <w:sz w:val="20"/>
                <w:szCs w:val="20"/>
              </w:rPr>
              <w:t xml:space="preserve">Travel advisories are accurate and timely and provide clear guidance to a broad audience of potential risks and the extent of Australian Government assistance; public use of the </w:t>
            </w:r>
            <w:r w:rsidRPr="00C41E1F">
              <w:rPr>
                <w:rFonts w:ascii="Book Antiqua" w:hAnsi="Book Antiqua" w:cs="Book Antiqua"/>
                <w:i/>
                <w:color w:val="auto"/>
                <w:sz w:val="20"/>
                <w:szCs w:val="20"/>
              </w:rPr>
              <w:t>Smartraveller</w:t>
            </w:r>
            <w:r w:rsidRPr="004C1DD1">
              <w:rPr>
                <w:rFonts w:ascii="Book Antiqua" w:hAnsi="Book Antiqua" w:cs="Book Antiqua"/>
                <w:color w:val="auto"/>
                <w:sz w:val="20"/>
                <w:szCs w:val="20"/>
              </w:rPr>
              <w:t xml:space="preserve"> website and the online registration service continues to grow. </w:t>
            </w:r>
          </w:p>
          <w:p w:rsidR="00C9175D" w:rsidRPr="00C9175D" w:rsidRDefault="00C9175D" w:rsidP="00F37EE6">
            <w:pPr>
              <w:pStyle w:val="Default"/>
              <w:numPr>
                <w:ilvl w:val="0"/>
                <w:numId w:val="25"/>
              </w:numPr>
              <w:spacing w:after="240"/>
              <w:jc w:val="both"/>
              <w:rPr>
                <w:rFonts w:ascii="Book Antiqua" w:hAnsi="Book Antiqua" w:cs="Book Antiqua"/>
                <w:color w:val="auto"/>
                <w:sz w:val="20"/>
                <w:szCs w:val="20"/>
              </w:rPr>
            </w:pPr>
            <w:r w:rsidRPr="004C1DD1">
              <w:rPr>
                <w:rFonts w:ascii="Book Antiqua" w:hAnsi="Book Antiqua" w:cs="Book Antiqua"/>
                <w:color w:val="auto"/>
                <w:sz w:val="20"/>
                <w:szCs w:val="20"/>
              </w:rPr>
              <w:t>Consular contingency planning accurately anticipates high-risk events and scenarios, necessary resources for response are readily available, procedures and networks remain valid and viable, and plans are tested and reviewed regularly.</w:t>
            </w:r>
          </w:p>
          <w:p w:rsidR="00843D3D" w:rsidRDefault="00C9175D" w:rsidP="00F37EE6">
            <w:pPr>
              <w:pStyle w:val="Default"/>
              <w:numPr>
                <w:ilvl w:val="0"/>
                <w:numId w:val="25"/>
              </w:numPr>
              <w:spacing w:after="240"/>
              <w:jc w:val="both"/>
            </w:pPr>
            <w:r w:rsidRPr="004C1DD1">
              <w:rPr>
                <w:rFonts w:ascii="Book Antiqua" w:hAnsi="Book Antiqua" w:cs="Book Antiqua"/>
                <w:color w:val="auto"/>
                <w:sz w:val="20"/>
                <w:szCs w:val="20"/>
              </w:rPr>
              <w:t>Timely and effective consular support to Australians through well-coor</w:t>
            </w:r>
            <w:r w:rsidR="00C41E1F">
              <w:rPr>
                <w:rFonts w:ascii="Book Antiqua" w:hAnsi="Book Antiqua" w:cs="Book Antiqua"/>
                <w:color w:val="auto"/>
                <w:sz w:val="20"/>
                <w:szCs w:val="20"/>
              </w:rPr>
              <w:t xml:space="preserve">dinated implementation of whole of </w:t>
            </w:r>
            <w:r w:rsidRPr="004C1DD1">
              <w:rPr>
                <w:rFonts w:ascii="Book Antiqua" w:hAnsi="Book Antiqua" w:cs="Book Antiqua"/>
                <w:color w:val="auto"/>
                <w:sz w:val="20"/>
                <w:szCs w:val="20"/>
              </w:rPr>
              <w:t>government responses to large-scale crises.</w:t>
            </w:r>
          </w:p>
        </w:tc>
      </w:tr>
    </w:tbl>
    <w:p w:rsidR="00843D3D" w:rsidRDefault="00843D3D" w:rsidP="00835539">
      <w:pPr>
        <w:pStyle w:val="SingleParagraph"/>
      </w:pPr>
    </w:p>
    <w:p w:rsidR="00843D3D" w:rsidRDefault="00843D3D" w:rsidP="00F21D97">
      <w:pPr>
        <w:pStyle w:val="SingleParagraph"/>
        <w:spacing w:line="20" w:lineRule="exact"/>
      </w:pPr>
      <w: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713"/>
      </w:tblGrid>
      <w:tr w:rsidR="00843D3D" w:rsidTr="003149D2">
        <w:tc>
          <w:tcPr>
            <w:tcW w:w="7713" w:type="dxa"/>
            <w:shd w:val="clear" w:color="auto" w:fill="E6E6E6"/>
          </w:tcPr>
          <w:p w:rsidR="00843D3D" w:rsidRDefault="00843D3D" w:rsidP="003149D2">
            <w:pPr>
              <w:pStyle w:val="TableColumnHeadingLeft"/>
            </w:pPr>
            <w:r>
              <w:t>Programme 2.2: Passport Services</w:t>
            </w:r>
          </w:p>
        </w:tc>
      </w:tr>
    </w:tbl>
    <w:p w:rsidR="00843D3D" w:rsidRPr="00FD5958" w:rsidRDefault="00843D3D" w:rsidP="00843D3D">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843D3D" w:rsidTr="003149D2">
        <w:tc>
          <w:tcPr>
            <w:tcW w:w="7711" w:type="dxa"/>
          </w:tcPr>
          <w:p w:rsidR="00843D3D" w:rsidRDefault="00843D3D" w:rsidP="003149D2">
            <w:pPr>
              <w:pStyle w:val="TableColumnHeadingLeft"/>
            </w:pPr>
            <w:r>
              <w:t>Programme objective</w:t>
            </w:r>
          </w:p>
          <w:p w:rsidR="00843D3D" w:rsidRPr="00D57849" w:rsidRDefault="00C9175D" w:rsidP="00F37EE6">
            <w:pPr>
              <w:pStyle w:val="Default"/>
              <w:numPr>
                <w:ilvl w:val="0"/>
                <w:numId w:val="25"/>
              </w:numPr>
              <w:spacing w:after="240"/>
              <w:jc w:val="both"/>
            </w:pPr>
            <w:r w:rsidRPr="00C50672">
              <w:rPr>
                <w:rFonts w:ascii="Book Antiqua" w:hAnsi="Book Antiqua" w:cs="Book Antiqua"/>
                <w:color w:val="auto"/>
                <w:sz w:val="20"/>
                <w:szCs w:val="20"/>
              </w:rPr>
              <w:t>To provide Australians access to secure international travel documentation through the delivery of high-quality passport services.</w:t>
            </w:r>
          </w:p>
        </w:tc>
      </w:tr>
    </w:tbl>
    <w:p w:rsidR="00843D3D" w:rsidRDefault="00843D3D" w:rsidP="00835539">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1"/>
      </w:tblGrid>
      <w:tr w:rsidR="00843D3D" w:rsidRPr="008E4180" w:rsidTr="003149D2">
        <w:tc>
          <w:tcPr>
            <w:tcW w:w="7711" w:type="dxa"/>
          </w:tcPr>
          <w:p w:rsidR="00843D3D" w:rsidRPr="00D57849" w:rsidRDefault="00843D3D" w:rsidP="00FE6C5E">
            <w:pPr>
              <w:pStyle w:val="TableColumnHeadingLeft"/>
              <w:jc w:val="both"/>
            </w:pPr>
            <w:r>
              <w:t>Programme expens</w:t>
            </w:r>
            <w:r w:rsidR="00FE6C5E">
              <w:t>es</w:t>
            </w:r>
          </w:p>
        </w:tc>
      </w:tr>
    </w:tbl>
    <w:p w:rsidR="00843D3D" w:rsidRDefault="00843D3D" w:rsidP="00843D3D">
      <w:pPr>
        <w:pStyle w:val="NoSpacing"/>
      </w:pPr>
    </w:p>
    <w:p w:rsidR="00843D3D" w:rsidRDefault="00833238" w:rsidP="00843D3D">
      <w:pPr>
        <w:pStyle w:val="TableGraphic"/>
      </w:pPr>
      <w:r>
        <w:pict>
          <v:shape id="_x0000_i1051" type="#_x0000_t75" style="width:386.2pt;height:138.4pt">
            <v:imagedata r:id="rId71" o:title=""/>
          </v:shape>
        </w:pict>
      </w:r>
    </w:p>
    <w:p w:rsidR="00400945" w:rsidRDefault="00400945" w:rsidP="00F37EE6">
      <w:pPr>
        <w:pStyle w:val="ChartandTableFootnote"/>
        <w:numPr>
          <w:ilvl w:val="0"/>
          <w:numId w:val="58"/>
        </w:numPr>
        <w:ind w:left="284" w:hanging="284"/>
      </w:pPr>
      <w:r w:rsidRPr="006D62BE">
        <w:t xml:space="preserve">Expenses not requiring </w:t>
      </w:r>
      <w:r>
        <w:t>a</w:t>
      </w:r>
      <w:r w:rsidRPr="006D62BE">
        <w:t>ppropriat</w:t>
      </w:r>
      <w:r>
        <w:t>ion in the Budget year are made up of depreciation expenses</w:t>
      </w:r>
      <w:r w:rsidRPr="006D62BE">
        <w:t>, amortisation</w:t>
      </w:r>
      <w:r>
        <w:t xml:space="preserve"> expenses,</w:t>
      </w:r>
      <w:r w:rsidRPr="006D62BE">
        <w:t xml:space="preserve"> make</w:t>
      </w:r>
      <w:r>
        <w:t>g</w:t>
      </w:r>
      <w:r w:rsidRPr="006D62BE">
        <w:t>ood expense</w:t>
      </w:r>
      <w:r>
        <w:t>s, and audit fees.</w:t>
      </w:r>
    </w:p>
    <w:p w:rsidR="00400945" w:rsidRPr="00400945" w:rsidRDefault="00400945" w:rsidP="00400945">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843D3D" w:rsidTr="003149D2">
        <w:tc>
          <w:tcPr>
            <w:tcW w:w="7711" w:type="dxa"/>
          </w:tcPr>
          <w:p w:rsidR="00843D3D" w:rsidRDefault="00843D3D" w:rsidP="003149D2">
            <w:pPr>
              <w:pStyle w:val="TableColumnHeadingLeft"/>
              <w:jc w:val="both"/>
            </w:pPr>
            <w:r>
              <w:t xml:space="preserve">Programme 2.2 Deliverables </w:t>
            </w:r>
          </w:p>
          <w:p w:rsidR="00C9175D" w:rsidRPr="004C1DD1" w:rsidRDefault="00C9175D" w:rsidP="00F37EE6">
            <w:pPr>
              <w:pStyle w:val="Default"/>
              <w:numPr>
                <w:ilvl w:val="0"/>
                <w:numId w:val="25"/>
              </w:numPr>
              <w:spacing w:after="240"/>
              <w:jc w:val="both"/>
              <w:rPr>
                <w:rFonts w:ascii="Book Antiqua" w:hAnsi="Book Antiqua" w:cs="Book Antiqua"/>
                <w:color w:val="auto"/>
                <w:sz w:val="20"/>
                <w:szCs w:val="20"/>
              </w:rPr>
            </w:pPr>
            <w:r w:rsidRPr="004C1DD1">
              <w:rPr>
                <w:rFonts w:ascii="Book Antiqua" w:hAnsi="Book Antiqua" w:cs="Book Antiqua"/>
                <w:color w:val="auto"/>
                <w:sz w:val="20"/>
                <w:szCs w:val="20"/>
              </w:rPr>
              <w:t xml:space="preserve">High-quality passport services to Australians, including processing new passport applications, registering lost or stolen passports, issuing emergency passports, and detecting passport fraud. </w:t>
            </w:r>
          </w:p>
          <w:p w:rsidR="00C9175D" w:rsidRPr="004C1DD1" w:rsidRDefault="00C9175D" w:rsidP="00F37EE6">
            <w:pPr>
              <w:pStyle w:val="Default"/>
              <w:numPr>
                <w:ilvl w:val="0"/>
                <w:numId w:val="25"/>
              </w:numPr>
              <w:spacing w:after="240"/>
              <w:jc w:val="both"/>
              <w:rPr>
                <w:rFonts w:ascii="Book Antiqua" w:hAnsi="Book Antiqua" w:cs="Book Antiqua"/>
                <w:color w:val="auto"/>
                <w:sz w:val="20"/>
                <w:szCs w:val="20"/>
              </w:rPr>
            </w:pPr>
            <w:r w:rsidRPr="004C1DD1">
              <w:rPr>
                <w:rFonts w:ascii="Book Antiqua" w:hAnsi="Book Antiqua" w:cs="Book Antiqua"/>
                <w:color w:val="auto"/>
                <w:sz w:val="20"/>
                <w:szCs w:val="20"/>
              </w:rPr>
              <w:t xml:space="preserve">Maintenance of security standards, promotion of web-enabled services, and adherence to the client service commitment of passport issue, while effectively managing an increasing workload. </w:t>
            </w:r>
          </w:p>
          <w:p w:rsidR="00843D3D" w:rsidRPr="004C1DD1" w:rsidRDefault="00C9175D" w:rsidP="00F37EE6">
            <w:pPr>
              <w:pStyle w:val="Default"/>
              <w:numPr>
                <w:ilvl w:val="0"/>
                <w:numId w:val="25"/>
              </w:numPr>
              <w:spacing w:after="240"/>
              <w:jc w:val="both"/>
              <w:rPr>
                <w:rFonts w:ascii="Book Antiqua" w:hAnsi="Book Antiqua" w:cs="Book Antiqua"/>
                <w:color w:val="auto"/>
                <w:sz w:val="20"/>
                <w:szCs w:val="20"/>
              </w:rPr>
            </w:pPr>
            <w:r w:rsidRPr="004C1DD1">
              <w:rPr>
                <w:rFonts w:ascii="Book Antiqua" w:hAnsi="Book Antiqua" w:cs="Book Antiqua"/>
                <w:color w:val="auto"/>
                <w:sz w:val="20"/>
                <w:szCs w:val="20"/>
              </w:rPr>
              <w:t xml:space="preserve">Ongoing implementation of the </w:t>
            </w:r>
            <w:r w:rsidRPr="00503F0E">
              <w:rPr>
                <w:rFonts w:ascii="Book Antiqua" w:hAnsi="Book Antiqua" w:cs="Book Antiqua"/>
                <w:i/>
                <w:color w:val="auto"/>
                <w:sz w:val="20"/>
                <w:szCs w:val="20"/>
              </w:rPr>
              <w:t>National Security – Improved Passport Integrity and Strengthened Issuance Systems</w:t>
            </w:r>
            <w:r w:rsidRPr="004C1DD1">
              <w:rPr>
                <w:rFonts w:ascii="Book Antiqua" w:hAnsi="Book Antiqua" w:cs="Book Antiqua"/>
                <w:color w:val="auto"/>
                <w:sz w:val="20"/>
                <w:szCs w:val="20"/>
              </w:rPr>
              <w:t xml:space="preserve"> program.</w:t>
            </w:r>
          </w:p>
        </w:tc>
      </w:tr>
    </w:tbl>
    <w:p w:rsidR="00843D3D" w:rsidRDefault="00843D3D" w:rsidP="00843D3D">
      <w:pPr>
        <w:pStyle w:val="SingleParagraph"/>
      </w:pPr>
    </w:p>
    <w:p w:rsidR="00975943" w:rsidRDefault="00975943" w:rsidP="00843D3D">
      <w:pPr>
        <w:pStyle w:val="SingleParagraph"/>
      </w:pPr>
    </w:p>
    <w:p w:rsidR="00975943" w:rsidRDefault="00975943" w:rsidP="00843D3D">
      <w:pPr>
        <w:pStyle w:val="SingleParagraph"/>
      </w:pPr>
    </w:p>
    <w:p w:rsidR="00975943" w:rsidRDefault="00975943" w:rsidP="00843D3D">
      <w:pPr>
        <w:pStyle w:val="SingleParagraph"/>
      </w:pPr>
    </w:p>
    <w:p w:rsidR="00975943" w:rsidRDefault="00975943" w:rsidP="00843D3D">
      <w:pPr>
        <w:pStyle w:val="SingleParagraph"/>
      </w:pPr>
    </w:p>
    <w:p w:rsidR="00975943" w:rsidRDefault="00975943" w:rsidP="00843D3D">
      <w:pPr>
        <w:pStyle w:val="SingleParagraph"/>
      </w:pPr>
    </w:p>
    <w:p w:rsidR="00975943" w:rsidRDefault="00975943" w:rsidP="00843D3D">
      <w:pPr>
        <w:pStyle w:val="SingleParagraph"/>
      </w:pPr>
    </w:p>
    <w:p w:rsidR="00975943" w:rsidRDefault="00975943" w:rsidP="00843D3D">
      <w:pPr>
        <w:pStyle w:val="SingleParagraph"/>
      </w:pPr>
    </w:p>
    <w:p w:rsidR="00975943" w:rsidRDefault="00975943" w:rsidP="00843D3D">
      <w:pPr>
        <w:pStyle w:val="SingleParagraph"/>
      </w:pPr>
    </w:p>
    <w:p w:rsidR="00F21D97" w:rsidRDefault="00F21D97" w:rsidP="00843D3D">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843D3D" w:rsidTr="003149D2">
        <w:tc>
          <w:tcPr>
            <w:tcW w:w="7711" w:type="dxa"/>
          </w:tcPr>
          <w:p w:rsidR="00843D3D" w:rsidRDefault="00843D3D" w:rsidP="003149D2">
            <w:pPr>
              <w:pStyle w:val="TableColumnHeadingLeft"/>
            </w:pPr>
            <w:r>
              <w:rPr>
                <w:rFonts w:ascii="Book Antiqua" w:hAnsi="Book Antiqua"/>
                <w:b w:val="0"/>
              </w:rPr>
              <w:lastRenderedPageBreak/>
              <w:br w:type="page"/>
            </w:r>
            <w:r>
              <w:t xml:space="preserve">Programme 2.2  Key Performance Indicators  </w:t>
            </w:r>
          </w:p>
          <w:p w:rsidR="00C9175D" w:rsidRPr="00975943" w:rsidRDefault="00C9175D" w:rsidP="00F37EE6">
            <w:pPr>
              <w:pStyle w:val="Default"/>
              <w:numPr>
                <w:ilvl w:val="0"/>
                <w:numId w:val="25"/>
              </w:numPr>
              <w:spacing w:after="240"/>
              <w:jc w:val="both"/>
              <w:rPr>
                <w:rFonts w:ascii="Book Antiqua" w:hAnsi="Book Antiqua" w:cs="Book Antiqua"/>
                <w:color w:val="auto"/>
                <w:sz w:val="20"/>
                <w:szCs w:val="20"/>
              </w:rPr>
            </w:pPr>
            <w:r w:rsidRPr="00C50672">
              <w:rPr>
                <w:rFonts w:ascii="Book Antiqua" w:hAnsi="Book Antiqua" w:cs="Book Antiqua"/>
                <w:color w:val="auto"/>
                <w:sz w:val="20"/>
                <w:szCs w:val="20"/>
              </w:rPr>
              <w:t xml:space="preserve">Public and travel industry clients are satisfied with the department’s efficiency and effectiveness in delivering passport services, with passport issues dealt with in a timely and responsive manner. </w:t>
            </w:r>
          </w:p>
          <w:p w:rsidR="00C9175D" w:rsidRPr="00C50672" w:rsidRDefault="00C9175D" w:rsidP="00F37EE6">
            <w:pPr>
              <w:pStyle w:val="Default"/>
              <w:numPr>
                <w:ilvl w:val="0"/>
                <w:numId w:val="25"/>
              </w:numPr>
              <w:spacing w:after="240"/>
              <w:jc w:val="both"/>
              <w:rPr>
                <w:rFonts w:ascii="Book Antiqua" w:hAnsi="Book Antiqua" w:cs="Book Antiqua"/>
                <w:color w:val="auto"/>
                <w:sz w:val="20"/>
                <w:szCs w:val="20"/>
              </w:rPr>
            </w:pPr>
            <w:r w:rsidRPr="00C50672">
              <w:rPr>
                <w:rFonts w:ascii="Book Antiqua" w:hAnsi="Book Antiqua" w:cs="Book Antiqua"/>
                <w:color w:val="auto"/>
                <w:sz w:val="20"/>
                <w:szCs w:val="20"/>
              </w:rPr>
              <w:t xml:space="preserve">Staged delivery of the </w:t>
            </w:r>
            <w:r w:rsidRPr="00503F0E">
              <w:rPr>
                <w:rFonts w:ascii="Book Antiqua" w:hAnsi="Book Antiqua" w:cs="Book Antiqua"/>
                <w:i/>
                <w:color w:val="auto"/>
                <w:sz w:val="20"/>
                <w:szCs w:val="20"/>
              </w:rPr>
              <w:t>National Security – Improved Passport Integrity and Strengthened Issuance Systems</w:t>
            </w:r>
            <w:r w:rsidRPr="00C50672">
              <w:rPr>
                <w:rFonts w:ascii="Book Antiqua" w:hAnsi="Book Antiqua" w:cs="Book Antiqua"/>
                <w:color w:val="auto"/>
                <w:sz w:val="20"/>
                <w:szCs w:val="20"/>
              </w:rPr>
              <w:t xml:space="preserve"> program within budget and against timelines. </w:t>
            </w:r>
          </w:p>
          <w:p w:rsidR="00843D3D" w:rsidRDefault="00C9175D" w:rsidP="00F37EE6">
            <w:pPr>
              <w:pStyle w:val="Default"/>
              <w:numPr>
                <w:ilvl w:val="0"/>
                <w:numId w:val="25"/>
              </w:numPr>
              <w:spacing w:after="240"/>
              <w:jc w:val="both"/>
            </w:pPr>
            <w:r w:rsidRPr="00C50672">
              <w:rPr>
                <w:rFonts w:ascii="Book Antiqua" w:hAnsi="Book Antiqua" w:cs="Book Antiqua"/>
                <w:color w:val="auto"/>
                <w:sz w:val="20"/>
                <w:szCs w:val="20"/>
              </w:rPr>
              <w:t>Prevention, detection and prosecution of passport fraud.</w:t>
            </w:r>
          </w:p>
        </w:tc>
      </w:tr>
    </w:tbl>
    <w:p w:rsidR="00843D3D" w:rsidRDefault="00843D3D" w:rsidP="00835539">
      <w:pPr>
        <w:pStyle w:val="SingleParagraph"/>
      </w:pPr>
    </w:p>
    <w:p w:rsidR="00843D3D" w:rsidRDefault="00843D3D" w:rsidP="00F21D97">
      <w:pPr>
        <w:pStyle w:val="SingleParagraph"/>
        <w:spacing w:line="20" w:lineRule="exact"/>
      </w:pPr>
      <w: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843D3D" w:rsidTr="003149D2">
        <w:tc>
          <w:tcPr>
            <w:tcW w:w="7713" w:type="dxa"/>
            <w:shd w:val="clear" w:color="auto" w:fill="E6E6E6"/>
          </w:tcPr>
          <w:p w:rsidR="00843D3D" w:rsidRDefault="00843D3D" w:rsidP="003149D2">
            <w:pPr>
              <w:pStyle w:val="TableColumnHeadingLeft"/>
            </w:pPr>
            <w:r>
              <w:t>Outcome 3: A secure Australian Government presence overseas through the provision of security services and information and communication technology infrastructure, and the management of the Commonwealth’s overseas property estate</w:t>
            </w:r>
          </w:p>
        </w:tc>
      </w:tr>
    </w:tbl>
    <w:p w:rsidR="00843D3D" w:rsidRDefault="00843D3D" w:rsidP="00843D3D">
      <w:pPr>
        <w:pStyle w:val="NoSpacing"/>
      </w:pPr>
    </w:p>
    <w:p w:rsidR="00843D3D" w:rsidRDefault="00843D3D" w:rsidP="00843D3D">
      <w:pPr>
        <w:pStyle w:val="Heading4"/>
      </w:pPr>
      <w:r>
        <w:t>Outcome 3 strategy</w:t>
      </w:r>
    </w:p>
    <w:p w:rsidR="00C9175D" w:rsidRDefault="00C9175D" w:rsidP="00C9175D">
      <w:r>
        <w:t xml:space="preserve">The department continues to prioritise the security and safety of Australian Government personnel overseas and their dependants, the security of its diplomatic and consular posts and the safeguarding of Government information commensurate with an environment of increasing security risk.  This will require the implementation and maintenance of comprehensive and effective strategic risk mitigation strategies and operational security measures.  </w:t>
      </w:r>
    </w:p>
    <w:p w:rsidR="00C9175D" w:rsidRPr="00C50672" w:rsidRDefault="00C9175D" w:rsidP="00C9175D">
      <w:pPr>
        <w:pStyle w:val="Default"/>
        <w:spacing w:after="240"/>
        <w:jc w:val="both"/>
        <w:rPr>
          <w:rFonts w:ascii="Book Antiqua" w:hAnsi="Book Antiqua" w:cs="Book Antiqua"/>
          <w:color w:val="auto"/>
          <w:sz w:val="20"/>
          <w:szCs w:val="20"/>
        </w:rPr>
      </w:pPr>
      <w:r w:rsidRPr="00C50672">
        <w:rPr>
          <w:rFonts w:ascii="Book Antiqua" w:hAnsi="Book Antiqua" w:cs="Book Antiqua"/>
          <w:color w:val="auto"/>
          <w:sz w:val="20"/>
          <w:szCs w:val="20"/>
        </w:rPr>
        <w:t>The department will work to enhance information and communications technology (ICT) capabilities, at home and at Australia’s overseas missions. It will continue to respond to emerging influences on its ICT operating environment, including the increasing use of the int</w:t>
      </w:r>
      <w:r w:rsidR="00C41E1F">
        <w:rPr>
          <w:rFonts w:ascii="Book Antiqua" w:hAnsi="Book Antiqua" w:cs="Book Antiqua"/>
          <w:color w:val="auto"/>
          <w:sz w:val="20"/>
          <w:szCs w:val="20"/>
        </w:rPr>
        <w:t xml:space="preserve">ernet, a greater focus on whole of </w:t>
      </w:r>
      <w:r w:rsidRPr="00C50672">
        <w:rPr>
          <w:rFonts w:ascii="Book Antiqua" w:hAnsi="Book Antiqua" w:cs="Book Antiqua"/>
          <w:color w:val="auto"/>
          <w:sz w:val="20"/>
          <w:szCs w:val="20"/>
        </w:rPr>
        <w:t xml:space="preserve">government programs and solutions, and a continuing increase in the number of staff from other agencies using departmental ICT systems and a challenging cyber-threat environment. </w:t>
      </w:r>
    </w:p>
    <w:p w:rsidR="00C9175D" w:rsidRPr="00C50672" w:rsidRDefault="00C9175D" w:rsidP="00C9175D">
      <w:pPr>
        <w:pStyle w:val="Default"/>
        <w:spacing w:after="240"/>
        <w:jc w:val="both"/>
        <w:rPr>
          <w:rFonts w:ascii="Book Antiqua" w:hAnsi="Book Antiqua" w:cs="Book Antiqua"/>
          <w:color w:val="auto"/>
          <w:sz w:val="20"/>
          <w:szCs w:val="20"/>
        </w:rPr>
      </w:pPr>
      <w:r w:rsidRPr="00C50672">
        <w:rPr>
          <w:rFonts w:ascii="Book Antiqua" w:hAnsi="Book Antiqua" w:cs="Book Antiqua"/>
          <w:color w:val="auto"/>
          <w:sz w:val="20"/>
          <w:szCs w:val="20"/>
        </w:rPr>
        <w:t>The department will continue to manage the Government’s overseas property estate in an efficient and effective manner. The department’s forward plan for maintaining, upgrading and refurbishing the overseas property estate will continue with the objective of meeting the Government’s accommodation needs and enhancing the estate’s value. T</w:t>
      </w:r>
      <w:r w:rsidR="00C122CE">
        <w:rPr>
          <w:rFonts w:ascii="Book Antiqua" w:hAnsi="Book Antiqua" w:cs="Book Antiqua"/>
          <w:color w:val="auto"/>
          <w:sz w:val="20"/>
          <w:szCs w:val="20"/>
        </w:rPr>
        <w:t>he department will</w:t>
      </w:r>
      <w:r w:rsidRPr="00C50672">
        <w:rPr>
          <w:rFonts w:ascii="Book Antiqua" w:hAnsi="Book Antiqua" w:cs="Book Antiqua"/>
          <w:color w:val="auto"/>
          <w:sz w:val="20"/>
          <w:szCs w:val="20"/>
        </w:rPr>
        <w:t xml:space="preserve"> more efficiently manage the overseas estate</w:t>
      </w:r>
      <w:r w:rsidR="00C122CE">
        <w:rPr>
          <w:rFonts w:ascii="Book Antiqua" w:hAnsi="Book Antiqua" w:cs="Book Antiqua"/>
          <w:color w:val="auto"/>
          <w:sz w:val="20"/>
          <w:szCs w:val="20"/>
        </w:rPr>
        <w:t xml:space="preserve"> by examining</w:t>
      </w:r>
      <w:r w:rsidRPr="00C50672">
        <w:rPr>
          <w:rFonts w:ascii="Book Antiqua" w:hAnsi="Book Antiqua" w:cs="Book Antiqua"/>
          <w:color w:val="auto"/>
          <w:sz w:val="20"/>
          <w:szCs w:val="20"/>
        </w:rPr>
        <w:t xml:space="preserve"> where co-location of overseas missions with likeminded countries may be both practical and in our national interest. In managing the estate, the department will remain focused on providing </w:t>
      </w:r>
      <w:r>
        <w:rPr>
          <w:rFonts w:ascii="Book Antiqua" w:hAnsi="Book Antiqua" w:cs="Book Antiqua"/>
          <w:color w:val="auto"/>
          <w:sz w:val="20"/>
          <w:szCs w:val="20"/>
        </w:rPr>
        <w:t>an appropriate level of</w:t>
      </w:r>
      <w:r w:rsidRPr="00C50672">
        <w:rPr>
          <w:rFonts w:ascii="Book Antiqua" w:hAnsi="Book Antiqua" w:cs="Book Antiqua"/>
          <w:color w:val="auto"/>
          <w:sz w:val="20"/>
          <w:szCs w:val="20"/>
        </w:rPr>
        <w:t xml:space="preserve"> protective security, and capability to respond promptly when new or unforeseen security-related challenges arise.</w:t>
      </w:r>
    </w:p>
    <w:p w:rsidR="004B7A22" w:rsidRDefault="004B7A22" w:rsidP="004B7A22">
      <w:pPr>
        <w:pStyle w:val="Heading5"/>
      </w:pPr>
      <w:r>
        <w:t>Outcome expense statement</w:t>
      </w:r>
    </w:p>
    <w:p w:rsidR="004B7A22" w:rsidRDefault="004B7A22" w:rsidP="004B7A22">
      <w:pPr>
        <w:pStyle w:val="Default"/>
        <w:spacing w:after="240"/>
        <w:jc w:val="both"/>
        <w:rPr>
          <w:rFonts w:ascii="Book Antiqua" w:hAnsi="Book Antiqua" w:cs="Book Antiqua"/>
          <w:color w:val="auto"/>
          <w:sz w:val="20"/>
          <w:szCs w:val="20"/>
        </w:rPr>
      </w:pPr>
      <w:r w:rsidRPr="00FE6C5E">
        <w:rPr>
          <w:rFonts w:ascii="Book Antiqua" w:hAnsi="Book Antiqua" w:cs="Book Antiqua"/>
          <w:color w:val="auto"/>
          <w:sz w:val="20"/>
          <w:szCs w:val="20"/>
        </w:rPr>
        <w:t>Table 2.1.</w:t>
      </w:r>
      <w:r>
        <w:rPr>
          <w:rFonts w:ascii="Book Antiqua" w:hAnsi="Book Antiqua" w:cs="Book Antiqua"/>
          <w:color w:val="auto"/>
          <w:sz w:val="20"/>
          <w:szCs w:val="20"/>
        </w:rPr>
        <w:t>3</w:t>
      </w:r>
      <w:r w:rsidRPr="00FE6C5E">
        <w:rPr>
          <w:rFonts w:ascii="Book Antiqua" w:hAnsi="Book Antiqua" w:cs="Book Antiqua"/>
          <w:color w:val="auto"/>
          <w:sz w:val="20"/>
          <w:szCs w:val="20"/>
        </w:rPr>
        <w:t xml:space="preserve"> provides an overview of the total expenses for Outcome </w:t>
      </w:r>
      <w:r>
        <w:rPr>
          <w:rFonts w:ascii="Book Antiqua" w:hAnsi="Book Antiqua" w:cs="Book Antiqua"/>
          <w:color w:val="auto"/>
          <w:sz w:val="20"/>
          <w:szCs w:val="20"/>
        </w:rPr>
        <w:t>3</w:t>
      </w:r>
      <w:r w:rsidRPr="00FE6C5E">
        <w:rPr>
          <w:rFonts w:ascii="Book Antiqua" w:hAnsi="Book Antiqua" w:cs="Book Antiqua"/>
          <w:color w:val="auto"/>
          <w:sz w:val="20"/>
          <w:szCs w:val="20"/>
        </w:rPr>
        <w:t>, by programme</w:t>
      </w:r>
      <w:r>
        <w:rPr>
          <w:rFonts w:ascii="Book Antiqua" w:hAnsi="Book Antiqua" w:cs="Book Antiqua"/>
          <w:color w:val="auto"/>
          <w:sz w:val="20"/>
          <w:szCs w:val="20"/>
        </w:rPr>
        <w:t>.</w:t>
      </w:r>
    </w:p>
    <w:p w:rsidR="004B7A22" w:rsidRDefault="004B7A22" w:rsidP="004B7A22">
      <w:pPr>
        <w:pStyle w:val="Default"/>
        <w:jc w:val="both"/>
        <w:rPr>
          <w:b/>
          <w:sz w:val="20"/>
          <w:szCs w:val="20"/>
        </w:rPr>
      </w:pPr>
      <w:r>
        <w:rPr>
          <w:rFonts w:ascii="Book Antiqua" w:hAnsi="Book Antiqua" w:cs="Book Antiqua"/>
          <w:color w:val="auto"/>
          <w:sz w:val="20"/>
          <w:szCs w:val="20"/>
        </w:rPr>
        <w:br w:type="page"/>
      </w:r>
      <w:r w:rsidRPr="004B7A22">
        <w:rPr>
          <w:b/>
          <w:sz w:val="20"/>
          <w:szCs w:val="20"/>
        </w:rPr>
        <w:lastRenderedPageBreak/>
        <w:t>Table 2.1.</w:t>
      </w:r>
      <w:r>
        <w:rPr>
          <w:b/>
          <w:sz w:val="20"/>
          <w:szCs w:val="20"/>
        </w:rPr>
        <w:t>3</w:t>
      </w:r>
      <w:r w:rsidRPr="004B7A22">
        <w:rPr>
          <w:b/>
          <w:sz w:val="20"/>
          <w:szCs w:val="20"/>
        </w:rPr>
        <w:t xml:space="preserve">: Budgeted expenses for Outcome </w:t>
      </w:r>
      <w:r>
        <w:rPr>
          <w:b/>
          <w:sz w:val="20"/>
          <w:szCs w:val="20"/>
        </w:rPr>
        <w:t>3</w:t>
      </w:r>
    </w:p>
    <w:p w:rsidR="00D905CD" w:rsidRPr="004B7A22" w:rsidRDefault="00833238" w:rsidP="004B7A22">
      <w:pPr>
        <w:pStyle w:val="Default"/>
        <w:jc w:val="both"/>
        <w:rPr>
          <w:rFonts w:ascii="Book Antiqua" w:hAnsi="Book Antiqua" w:cs="Book Antiqua"/>
          <w:b/>
          <w:color w:val="auto"/>
          <w:sz w:val="20"/>
          <w:szCs w:val="20"/>
        </w:rPr>
      </w:pPr>
      <w:r>
        <w:pict>
          <v:shape id="_x0000_i1052" type="#_x0000_t75" style="width:385.25pt;height:267.45pt">
            <v:imagedata r:id="rId72" o:title=""/>
          </v:shape>
        </w:pict>
      </w:r>
    </w:p>
    <w:p w:rsidR="004B7A22" w:rsidRDefault="004B7A22" w:rsidP="00F37EE6">
      <w:pPr>
        <w:pStyle w:val="ChartandTableFootnote"/>
        <w:numPr>
          <w:ilvl w:val="0"/>
          <w:numId w:val="59"/>
        </w:numPr>
        <w:ind w:left="284" w:hanging="284"/>
      </w:pPr>
      <w:r w:rsidRPr="004E2825">
        <w:t xml:space="preserve">Departmental </w:t>
      </w:r>
      <w:r w:rsidR="003F18ED">
        <w:t>a</w:t>
      </w:r>
      <w:r w:rsidRPr="004E2825">
        <w:t xml:space="preserve">ppropriation combines </w:t>
      </w:r>
      <w:r>
        <w:t>‘</w:t>
      </w:r>
      <w:r w:rsidRPr="004E2825">
        <w:t>Ordinary annual services (</w:t>
      </w:r>
      <w:r w:rsidRPr="003F18ED">
        <w:rPr>
          <w:i/>
        </w:rPr>
        <w:t>Appropriation Bill No. 1</w:t>
      </w:r>
      <w:r w:rsidRPr="004E2825">
        <w:t>)</w:t>
      </w:r>
      <w:r>
        <w:t>’</w:t>
      </w:r>
      <w:r w:rsidRPr="004E2825">
        <w:t xml:space="preserve"> and </w:t>
      </w:r>
      <w:r>
        <w:t>‘</w:t>
      </w:r>
      <w:r w:rsidRPr="004E2825">
        <w:t>Revenue from independent sources (s</w:t>
      </w:r>
      <w:r>
        <w:t> 74)</w:t>
      </w:r>
      <w:r w:rsidR="00931980">
        <w:t>’</w:t>
      </w:r>
      <w:r>
        <w:t>.</w:t>
      </w:r>
    </w:p>
    <w:p w:rsidR="004B7A22" w:rsidRDefault="004B7A22" w:rsidP="00F37EE6">
      <w:pPr>
        <w:pStyle w:val="ChartandTableFootnote"/>
        <w:numPr>
          <w:ilvl w:val="0"/>
          <w:numId w:val="59"/>
        </w:numPr>
        <w:ind w:left="284" w:hanging="284"/>
      </w:pPr>
      <w:r w:rsidRPr="006D62BE">
        <w:t xml:space="preserve">Expenses not requiring </w:t>
      </w:r>
      <w:r>
        <w:t>a</w:t>
      </w:r>
      <w:r w:rsidRPr="006D62BE">
        <w:t>ppropriat</w:t>
      </w:r>
      <w:r>
        <w:t>ion in the Budget year are made up of depreciation expenses</w:t>
      </w:r>
      <w:r w:rsidRPr="006D62BE">
        <w:t>, amortisation</w:t>
      </w:r>
      <w:r>
        <w:t xml:space="preserve"> expenses,</w:t>
      </w:r>
      <w:r w:rsidRPr="006D62BE">
        <w:t xml:space="preserve"> make</w:t>
      </w:r>
      <w:r>
        <w:t>g</w:t>
      </w:r>
      <w:r w:rsidRPr="006D62BE">
        <w:t>ood expense</w:t>
      </w:r>
      <w:r>
        <w:t>s, and audit fees.</w:t>
      </w:r>
    </w:p>
    <w:p w:rsidR="004B7A22" w:rsidRPr="004B7A22" w:rsidRDefault="004B7A22" w:rsidP="00F37EE6">
      <w:pPr>
        <w:pStyle w:val="ChartandTableFootnote"/>
        <w:numPr>
          <w:ilvl w:val="0"/>
          <w:numId w:val="59"/>
        </w:numPr>
        <w:ind w:left="284" w:hanging="284"/>
      </w:pPr>
      <w:r>
        <w:t>This reflects actual cash disbursement from the property account.</w:t>
      </w:r>
    </w:p>
    <w:p w:rsidR="004B7A22" w:rsidRDefault="004B7A22" w:rsidP="004B7A22">
      <w:pPr>
        <w:pStyle w:val="Source"/>
      </w:pPr>
      <w:r w:rsidRPr="002329C3">
        <w:t>Note: Departmental appropriation splits and totals are indicative estimates and may change in the course of the budget year as government priorities change.</w:t>
      </w:r>
    </w:p>
    <w:p w:rsidR="004B7A22" w:rsidRDefault="004B7A22" w:rsidP="004B7A22">
      <w:pPr>
        <w:pStyle w:val="Default"/>
        <w:spacing w:after="240"/>
        <w:jc w:val="both"/>
        <w:rPr>
          <w:rFonts w:ascii="Book Antiqua" w:hAnsi="Book Antiqua" w:cs="Book Antiqua"/>
          <w:color w:val="auto"/>
          <w:sz w:val="20"/>
          <w:szCs w:val="20"/>
        </w:rPr>
      </w:pPr>
    </w:p>
    <w:p w:rsidR="00843D3D" w:rsidRDefault="00843D3D" w:rsidP="003D2984">
      <w:pPr>
        <w:pStyle w:val="Heading4"/>
        <w:spacing w:before="0"/>
        <w:rPr>
          <w:rFonts w:ascii="Book Antiqua" w:hAnsi="Book Antiqua"/>
          <w:i/>
          <w:color w:val="FF0000"/>
        </w:rPr>
      </w:pPr>
      <w:r>
        <w:br w:type="page"/>
      </w:r>
      <w:r>
        <w:lastRenderedPageBreak/>
        <w:t>Contributions to Outcome 3</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713"/>
      </w:tblGrid>
      <w:tr w:rsidR="00843D3D" w:rsidTr="003149D2">
        <w:tc>
          <w:tcPr>
            <w:tcW w:w="7713" w:type="dxa"/>
            <w:shd w:val="clear" w:color="auto" w:fill="E6E6E6"/>
          </w:tcPr>
          <w:p w:rsidR="00843D3D" w:rsidRDefault="00843D3D" w:rsidP="003149D2">
            <w:pPr>
              <w:pStyle w:val="TableColumnHeadingLeft"/>
            </w:pPr>
            <w:r>
              <w:t>Programme 3.1: Foreign Affairs an</w:t>
            </w:r>
            <w:r w:rsidR="008F06BC">
              <w:t>d Trade Security and I</w:t>
            </w:r>
            <w:r>
              <w:t>T</w:t>
            </w:r>
          </w:p>
        </w:tc>
      </w:tr>
    </w:tbl>
    <w:p w:rsidR="00843D3D" w:rsidRPr="00FD5958" w:rsidRDefault="00843D3D" w:rsidP="00843D3D">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843D3D" w:rsidTr="003149D2">
        <w:tc>
          <w:tcPr>
            <w:tcW w:w="7711" w:type="dxa"/>
          </w:tcPr>
          <w:p w:rsidR="00843D3D" w:rsidRDefault="00843D3D" w:rsidP="003149D2">
            <w:pPr>
              <w:pStyle w:val="TableColumnHeadingLeft"/>
            </w:pPr>
            <w:r>
              <w:t>Programme objective</w:t>
            </w:r>
          </w:p>
          <w:p w:rsidR="00C9175D" w:rsidRPr="00CE1940" w:rsidRDefault="00C9175D" w:rsidP="00F37EE6">
            <w:pPr>
              <w:pStyle w:val="Default"/>
              <w:numPr>
                <w:ilvl w:val="0"/>
                <w:numId w:val="25"/>
              </w:numPr>
              <w:rPr>
                <w:rFonts w:ascii="Book Antiqua" w:hAnsi="Book Antiqua" w:cs="Book Antiqua"/>
                <w:color w:val="auto"/>
                <w:sz w:val="20"/>
                <w:szCs w:val="20"/>
              </w:rPr>
            </w:pPr>
            <w:r w:rsidRPr="00CE1940">
              <w:rPr>
                <w:rFonts w:ascii="Book Antiqua" w:hAnsi="Book Antiqua" w:cs="Book Antiqua"/>
                <w:color w:val="auto"/>
                <w:sz w:val="20"/>
                <w:szCs w:val="20"/>
              </w:rPr>
              <w:t xml:space="preserve">To ensure a secure Australian Government presence overseas for personnel, assets and information by sustaining and improving physical and operational security.  </w:t>
            </w:r>
          </w:p>
          <w:p w:rsidR="00C9175D" w:rsidRPr="00CE1940" w:rsidRDefault="00C9175D" w:rsidP="00C9175D">
            <w:pPr>
              <w:pStyle w:val="Default"/>
              <w:ind w:left="284"/>
              <w:rPr>
                <w:rFonts w:ascii="Book Antiqua" w:hAnsi="Book Antiqua" w:cs="Book Antiqua"/>
                <w:color w:val="auto"/>
                <w:sz w:val="20"/>
                <w:szCs w:val="20"/>
              </w:rPr>
            </w:pPr>
          </w:p>
          <w:p w:rsidR="00C9175D" w:rsidRDefault="00C9175D" w:rsidP="00F37EE6">
            <w:pPr>
              <w:pStyle w:val="Default"/>
              <w:numPr>
                <w:ilvl w:val="0"/>
                <w:numId w:val="25"/>
              </w:numPr>
              <w:rPr>
                <w:rFonts w:ascii="Book Antiqua" w:hAnsi="Book Antiqua" w:cs="Book Antiqua"/>
                <w:color w:val="auto"/>
                <w:sz w:val="20"/>
                <w:szCs w:val="20"/>
              </w:rPr>
            </w:pPr>
            <w:r w:rsidRPr="00CE1940">
              <w:rPr>
                <w:rFonts w:ascii="Book Antiqua" w:hAnsi="Book Antiqua" w:cs="Book Antiqua"/>
                <w:color w:val="auto"/>
                <w:sz w:val="20"/>
                <w:szCs w:val="20"/>
              </w:rPr>
              <w:t xml:space="preserve">To strengthen information and communications technology (ICT) capability at Australia’s missions overseas and DFAT offices in Australia.  </w:t>
            </w:r>
          </w:p>
          <w:p w:rsidR="00843D3D" w:rsidRPr="00CE1940" w:rsidRDefault="00843D3D" w:rsidP="003149D2">
            <w:pPr>
              <w:pStyle w:val="Default"/>
              <w:rPr>
                <w:rFonts w:ascii="Book Antiqua" w:hAnsi="Book Antiqua" w:cs="Book Antiqua"/>
                <w:color w:val="auto"/>
                <w:sz w:val="20"/>
                <w:szCs w:val="20"/>
              </w:rPr>
            </w:pPr>
          </w:p>
        </w:tc>
      </w:tr>
    </w:tbl>
    <w:p w:rsidR="00843D3D" w:rsidRDefault="00843D3D" w:rsidP="00835539">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1"/>
      </w:tblGrid>
      <w:tr w:rsidR="00843D3D" w:rsidRPr="008E4180" w:rsidTr="003149D2">
        <w:tc>
          <w:tcPr>
            <w:tcW w:w="7711" w:type="dxa"/>
          </w:tcPr>
          <w:p w:rsidR="00843D3D" w:rsidRPr="00D57849" w:rsidRDefault="00871429" w:rsidP="00871429">
            <w:pPr>
              <w:pStyle w:val="TableColumnHeadingLeft"/>
              <w:jc w:val="both"/>
            </w:pPr>
            <w:r>
              <w:t>Programme expenses</w:t>
            </w:r>
          </w:p>
        </w:tc>
      </w:tr>
    </w:tbl>
    <w:p w:rsidR="00843D3D" w:rsidRDefault="00843D3D" w:rsidP="00843D3D">
      <w:pPr>
        <w:pStyle w:val="NoSpacing"/>
      </w:pPr>
    </w:p>
    <w:p w:rsidR="00843D3D" w:rsidRDefault="00833238" w:rsidP="00843D3D">
      <w:pPr>
        <w:pStyle w:val="TableGraphic"/>
      </w:pPr>
      <w:r>
        <w:pict>
          <v:shape id="_x0000_i1053" type="#_x0000_t75" style="width:386.2pt;height:103.8pt">
            <v:imagedata r:id="rId73" o:title=""/>
          </v:shape>
        </w:pict>
      </w:r>
    </w:p>
    <w:p w:rsidR="00871429" w:rsidRDefault="00871429" w:rsidP="00F37EE6">
      <w:pPr>
        <w:pStyle w:val="ChartandTableFootnote"/>
        <w:numPr>
          <w:ilvl w:val="0"/>
          <w:numId w:val="60"/>
        </w:numPr>
        <w:ind w:left="284" w:hanging="284"/>
      </w:pPr>
      <w:r w:rsidRPr="006D62BE">
        <w:t xml:space="preserve">Expenses not requiring </w:t>
      </w:r>
      <w:r>
        <w:t>a</w:t>
      </w:r>
      <w:r w:rsidRPr="006D62BE">
        <w:t>ppropriat</w:t>
      </w:r>
      <w:r>
        <w:t>ion in the Budget year are made up of depreciation expenses</w:t>
      </w:r>
      <w:r w:rsidRPr="006D62BE">
        <w:t>, amortisation</w:t>
      </w:r>
      <w:r>
        <w:t xml:space="preserve"> expenses,</w:t>
      </w:r>
      <w:r w:rsidRPr="006D62BE">
        <w:t xml:space="preserve"> make</w:t>
      </w:r>
      <w:r>
        <w:t>g</w:t>
      </w:r>
      <w:r w:rsidRPr="006D62BE">
        <w:t>ood expense</w:t>
      </w:r>
      <w:r>
        <w:t>s, and audit fees.</w:t>
      </w:r>
    </w:p>
    <w:p w:rsidR="00843D3D" w:rsidRDefault="00843D3D" w:rsidP="00835539">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843D3D" w:rsidTr="003149D2">
        <w:tc>
          <w:tcPr>
            <w:tcW w:w="7711" w:type="dxa"/>
          </w:tcPr>
          <w:p w:rsidR="00843D3D" w:rsidRDefault="00843D3D" w:rsidP="003149D2">
            <w:pPr>
              <w:pStyle w:val="TableColumnHeadingLeft"/>
              <w:jc w:val="both"/>
            </w:pPr>
            <w:r>
              <w:t>Programme 3.1 Deliverables</w:t>
            </w:r>
          </w:p>
          <w:p w:rsidR="00C9175D" w:rsidRPr="00CE1940" w:rsidRDefault="00C9175D" w:rsidP="00F37EE6">
            <w:pPr>
              <w:pStyle w:val="Default"/>
              <w:numPr>
                <w:ilvl w:val="0"/>
                <w:numId w:val="25"/>
              </w:numPr>
              <w:jc w:val="both"/>
              <w:rPr>
                <w:rFonts w:ascii="Book Antiqua" w:hAnsi="Book Antiqua" w:cs="Book Antiqua"/>
                <w:color w:val="auto"/>
                <w:sz w:val="20"/>
                <w:szCs w:val="20"/>
              </w:rPr>
            </w:pPr>
            <w:r w:rsidRPr="00CE1940">
              <w:rPr>
                <w:rFonts w:ascii="Book Antiqua" w:hAnsi="Book Antiqua" w:cs="Book Antiqua"/>
                <w:color w:val="auto"/>
                <w:sz w:val="20"/>
                <w:szCs w:val="20"/>
              </w:rPr>
              <w:t>Strengthened physical and operational security mitigation measures commensurate with the evolving international security environment.</w:t>
            </w:r>
          </w:p>
          <w:p w:rsidR="00C9175D" w:rsidRPr="00CE1940" w:rsidRDefault="00C9175D" w:rsidP="00DC31E3">
            <w:pPr>
              <w:pStyle w:val="Default"/>
              <w:ind w:left="284"/>
              <w:jc w:val="both"/>
              <w:rPr>
                <w:rFonts w:ascii="Book Antiqua" w:hAnsi="Book Antiqua" w:cs="Book Antiqua"/>
                <w:color w:val="auto"/>
                <w:sz w:val="20"/>
                <w:szCs w:val="20"/>
              </w:rPr>
            </w:pPr>
          </w:p>
          <w:p w:rsidR="00C9175D" w:rsidRPr="00CE1940" w:rsidRDefault="00C9175D" w:rsidP="00F37EE6">
            <w:pPr>
              <w:pStyle w:val="Default"/>
              <w:numPr>
                <w:ilvl w:val="0"/>
                <w:numId w:val="25"/>
              </w:numPr>
              <w:jc w:val="both"/>
              <w:rPr>
                <w:rFonts w:ascii="Book Antiqua" w:hAnsi="Book Antiqua" w:cs="Book Antiqua"/>
                <w:color w:val="auto"/>
                <w:sz w:val="20"/>
                <w:szCs w:val="20"/>
              </w:rPr>
            </w:pPr>
            <w:r w:rsidRPr="00CE1940">
              <w:rPr>
                <w:rFonts w:ascii="Book Antiqua" w:hAnsi="Book Antiqua" w:cs="Book Antiqua"/>
                <w:color w:val="auto"/>
                <w:sz w:val="20"/>
                <w:szCs w:val="20"/>
              </w:rPr>
              <w:t xml:space="preserve">Protection of official information through effective management of ICT systems, security vetting processes, and security training to ensure high standards of security awareness and vigilance.  </w:t>
            </w:r>
          </w:p>
          <w:p w:rsidR="00C9175D" w:rsidRPr="00CE1940" w:rsidRDefault="00C9175D" w:rsidP="00DC31E3">
            <w:pPr>
              <w:pStyle w:val="Default"/>
              <w:ind w:left="284"/>
              <w:jc w:val="both"/>
              <w:rPr>
                <w:rFonts w:ascii="Book Antiqua" w:hAnsi="Book Antiqua" w:cs="Book Antiqua"/>
                <w:color w:val="auto"/>
                <w:sz w:val="20"/>
                <w:szCs w:val="20"/>
              </w:rPr>
            </w:pPr>
          </w:p>
          <w:p w:rsidR="00C9175D" w:rsidRDefault="00C9175D" w:rsidP="00F37EE6">
            <w:pPr>
              <w:pStyle w:val="Default"/>
              <w:numPr>
                <w:ilvl w:val="0"/>
                <w:numId w:val="25"/>
              </w:numPr>
              <w:jc w:val="both"/>
              <w:rPr>
                <w:rFonts w:ascii="Book Antiqua" w:hAnsi="Book Antiqua" w:cs="Book Antiqua"/>
                <w:color w:val="auto"/>
                <w:sz w:val="20"/>
                <w:szCs w:val="20"/>
              </w:rPr>
            </w:pPr>
            <w:r w:rsidRPr="00CE1940">
              <w:rPr>
                <w:rFonts w:ascii="Book Antiqua" w:hAnsi="Book Antiqua" w:cs="Book Antiqua"/>
                <w:color w:val="auto"/>
                <w:sz w:val="20"/>
                <w:szCs w:val="20"/>
              </w:rPr>
              <w:t xml:space="preserve">Continued progress in moving the department’s ICT systems infrastructure to a common platform that can be more efficiently integrated and supported, and implementation of key elements of the Government’s ICT Reform Program and ICT elements of the Government’s national security policy and objectives. </w:t>
            </w:r>
          </w:p>
          <w:p w:rsidR="00C9175D" w:rsidRPr="00CE1940" w:rsidRDefault="00C9175D" w:rsidP="00DC31E3">
            <w:pPr>
              <w:pStyle w:val="Default"/>
              <w:jc w:val="both"/>
              <w:rPr>
                <w:rFonts w:ascii="Book Antiqua" w:hAnsi="Book Antiqua" w:cs="Book Antiqua"/>
                <w:color w:val="auto"/>
                <w:sz w:val="20"/>
                <w:szCs w:val="20"/>
              </w:rPr>
            </w:pPr>
          </w:p>
          <w:p w:rsidR="00C9175D" w:rsidRDefault="00C9175D" w:rsidP="00F37EE6">
            <w:pPr>
              <w:pStyle w:val="Default"/>
              <w:numPr>
                <w:ilvl w:val="0"/>
                <w:numId w:val="25"/>
              </w:numPr>
              <w:jc w:val="both"/>
              <w:rPr>
                <w:rFonts w:ascii="Book Antiqua" w:hAnsi="Book Antiqua" w:cs="Book Antiqua"/>
                <w:color w:val="auto"/>
                <w:sz w:val="20"/>
                <w:szCs w:val="20"/>
              </w:rPr>
            </w:pPr>
            <w:r w:rsidRPr="00CE1940">
              <w:rPr>
                <w:rFonts w:ascii="Book Antiqua" w:hAnsi="Book Antiqua" w:cs="Book Antiqua"/>
                <w:color w:val="auto"/>
                <w:sz w:val="20"/>
                <w:szCs w:val="20"/>
              </w:rPr>
              <w:t xml:space="preserve">High-quality overseas ICT services to other government agencies. </w:t>
            </w:r>
          </w:p>
          <w:p w:rsidR="00C9175D" w:rsidRPr="00CE1940" w:rsidRDefault="00C9175D" w:rsidP="00DC31E3">
            <w:pPr>
              <w:pStyle w:val="Default"/>
              <w:jc w:val="both"/>
              <w:rPr>
                <w:rFonts w:ascii="Book Antiqua" w:hAnsi="Book Antiqua" w:cs="Book Antiqua"/>
                <w:color w:val="auto"/>
                <w:sz w:val="20"/>
                <w:szCs w:val="20"/>
              </w:rPr>
            </w:pPr>
          </w:p>
          <w:p w:rsidR="00843D3D" w:rsidRPr="008E4180" w:rsidRDefault="00C9175D" w:rsidP="00F37EE6">
            <w:pPr>
              <w:pStyle w:val="Default"/>
              <w:numPr>
                <w:ilvl w:val="0"/>
                <w:numId w:val="25"/>
              </w:numPr>
              <w:spacing w:after="240"/>
              <w:jc w:val="both"/>
            </w:pPr>
            <w:r w:rsidRPr="00CE1940">
              <w:rPr>
                <w:rFonts w:ascii="Book Antiqua" w:hAnsi="Book Antiqua" w:cs="Book Antiqua"/>
                <w:color w:val="auto"/>
                <w:sz w:val="20"/>
                <w:szCs w:val="20"/>
              </w:rPr>
              <w:t>Ongoing implementation of the International Communications Network – upgrade program.</w:t>
            </w:r>
          </w:p>
        </w:tc>
      </w:tr>
    </w:tbl>
    <w:p w:rsidR="00843D3D" w:rsidRDefault="00843D3D" w:rsidP="00843D3D">
      <w:pPr>
        <w:pStyle w:val="SingleParagraph"/>
      </w:pPr>
    </w:p>
    <w:p w:rsidR="00285FA9" w:rsidRDefault="00285FA9" w:rsidP="00843D3D">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843D3D" w:rsidTr="003149D2">
        <w:tc>
          <w:tcPr>
            <w:tcW w:w="7711" w:type="dxa"/>
          </w:tcPr>
          <w:p w:rsidR="00843D3D" w:rsidRDefault="00843D3D" w:rsidP="003149D2">
            <w:pPr>
              <w:pStyle w:val="TableColumnHeadingLeft"/>
            </w:pPr>
            <w:r>
              <w:rPr>
                <w:rFonts w:ascii="Book Antiqua" w:hAnsi="Book Antiqua"/>
                <w:b w:val="0"/>
              </w:rPr>
              <w:lastRenderedPageBreak/>
              <w:br w:type="page"/>
            </w:r>
            <w:r>
              <w:t xml:space="preserve">Programme 3.1  Key Performance Indicators  </w:t>
            </w:r>
          </w:p>
          <w:p w:rsidR="00C9175D" w:rsidRPr="00CE1940" w:rsidRDefault="00C9175D" w:rsidP="00F37EE6">
            <w:pPr>
              <w:pStyle w:val="Default"/>
              <w:numPr>
                <w:ilvl w:val="0"/>
                <w:numId w:val="25"/>
              </w:numPr>
              <w:jc w:val="both"/>
              <w:rPr>
                <w:rFonts w:ascii="Book Antiqua" w:hAnsi="Book Antiqua" w:cs="Book Antiqua"/>
                <w:color w:val="auto"/>
                <w:sz w:val="20"/>
                <w:szCs w:val="20"/>
              </w:rPr>
            </w:pPr>
            <w:r w:rsidRPr="00CE1940">
              <w:rPr>
                <w:rFonts w:ascii="Book Antiqua" w:hAnsi="Book Antiqua" w:cs="Book Antiqua"/>
                <w:color w:val="auto"/>
                <w:sz w:val="20"/>
                <w:szCs w:val="20"/>
              </w:rPr>
              <w:t xml:space="preserve">Effective threat analysis, risk assessments and mitigation strategies appropriate to increased security risks, including timely and effective responses to security incidents.  </w:t>
            </w:r>
          </w:p>
          <w:p w:rsidR="00C9175D" w:rsidRPr="00CE1940" w:rsidRDefault="00C9175D" w:rsidP="00C9175D">
            <w:pPr>
              <w:pStyle w:val="Default"/>
              <w:ind w:left="284"/>
              <w:rPr>
                <w:rFonts w:ascii="Book Antiqua" w:hAnsi="Book Antiqua" w:cs="Book Antiqua"/>
                <w:color w:val="auto"/>
                <w:sz w:val="20"/>
                <w:szCs w:val="20"/>
              </w:rPr>
            </w:pPr>
          </w:p>
          <w:p w:rsidR="00C9175D" w:rsidRDefault="00C9175D" w:rsidP="00F37EE6">
            <w:pPr>
              <w:pStyle w:val="Default"/>
              <w:numPr>
                <w:ilvl w:val="0"/>
                <w:numId w:val="25"/>
              </w:numPr>
              <w:rPr>
                <w:rFonts w:ascii="Book Antiqua" w:hAnsi="Book Antiqua" w:cs="Book Antiqua"/>
                <w:color w:val="auto"/>
                <w:sz w:val="20"/>
                <w:szCs w:val="20"/>
              </w:rPr>
            </w:pPr>
            <w:r w:rsidRPr="00CE1940">
              <w:rPr>
                <w:rFonts w:ascii="Book Antiqua" w:hAnsi="Book Antiqua" w:cs="Book Antiqua"/>
                <w:color w:val="auto"/>
                <w:sz w:val="20"/>
                <w:szCs w:val="20"/>
              </w:rPr>
              <w:t xml:space="preserve">Reduced security risks to official information, through a strengthened security culture, evidenced by fewer security breaches.  </w:t>
            </w:r>
          </w:p>
          <w:p w:rsidR="00C9175D" w:rsidRPr="00CE1940" w:rsidRDefault="00C9175D" w:rsidP="00C9175D">
            <w:pPr>
              <w:pStyle w:val="Default"/>
              <w:rPr>
                <w:rFonts w:ascii="Book Antiqua" w:hAnsi="Book Antiqua" w:cs="Book Antiqua"/>
                <w:color w:val="auto"/>
                <w:sz w:val="20"/>
                <w:szCs w:val="20"/>
              </w:rPr>
            </w:pPr>
          </w:p>
          <w:p w:rsidR="00C9175D" w:rsidRDefault="00C9175D" w:rsidP="00F37EE6">
            <w:pPr>
              <w:pStyle w:val="Default"/>
              <w:numPr>
                <w:ilvl w:val="0"/>
                <w:numId w:val="25"/>
              </w:numPr>
              <w:jc w:val="both"/>
              <w:rPr>
                <w:rFonts w:ascii="Book Antiqua" w:hAnsi="Book Antiqua" w:cs="Book Antiqua"/>
                <w:color w:val="auto"/>
                <w:sz w:val="20"/>
                <w:szCs w:val="20"/>
              </w:rPr>
            </w:pPr>
            <w:r w:rsidRPr="00CE1940">
              <w:rPr>
                <w:rFonts w:ascii="Book Antiqua" w:hAnsi="Book Antiqua" w:cs="Book Antiqua"/>
                <w:color w:val="auto"/>
                <w:sz w:val="20"/>
                <w:szCs w:val="20"/>
              </w:rPr>
              <w:t>Client satisfaction with the accessibility, reliability and effectiveness of the secure cable network (Official Diplomatic Information Network) and the global secure telecommunications infrastructure.</w:t>
            </w:r>
          </w:p>
          <w:p w:rsidR="00C9175D" w:rsidRPr="00CE1940" w:rsidRDefault="00C9175D" w:rsidP="00C9175D">
            <w:pPr>
              <w:pStyle w:val="Default"/>
              <w:rPr>
                <w:rFonts w:ascii="Book Antiqua" w:hAnsi="Book Antiqua" w:cs="Book Antiqua"/>
                <w:color w:val="auto"/>
                <w:sz w:val="20"/>
                <w:szCs w:val="20"/>
              </w:rPr>
            </w:pPr>
          </w:p>
          <w:p w:rsidR="00843D3D" w:rsidRDefault="00C9175D" w:rsidP="00F37EE6">
            <w:pPr>
              <w:pStyle w:val="Default"/>
              <w:numPr>
                <w:ilvl w:val="0"/>
                <w:numId w:val="25"/>
              </w:numPr>
              <w:spacing w:after="240"/>
              <w:jc w:val="both"/>
            </w:pPr>
            <w:r w:rsidRPr="00CE1940">
              <w:rPr>
                <w:rFonts w:ascii="Book Antiqua" w:hAnsi="Book Antiqua" w:cs="Book Antiqua"/>
                <w:color w:val="auto"/>
                <w:sz w:val="20"/>
                <w:szCs w:val="20"/>
              </w:rPr>
              <w:t>Staged delivery of the International Communications Network – upgrade program within budget and against timelines.</w:t>
            </w:r>
          </w:p>
        </w:tc>
      </w:tr>
    </w:tbl>
    <w:p w:rsidR="00843D3D" w:rsidRDefault="00843D3D" w:rsidP="00835539">
      <w:pPr>
        <w:pStyle w:val="SingleParagraph"/>
      </w:pPr>
    </w:p>
    <w:p w:rsidR="00843D3D" w:rsidRDefault="00843D3D" w:rsidP="00F21D97">
      <w:pPr>
        <w:pStyle w:val="SingleParagraph"/>
        <w:spacing w:line="20" w:lineRule="exact"/>
      </w:pPr>
      <w: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713"/>
      </w:tblGrid>
      <w:tr w:rsidR="00843D3D" w:rsidTr="003149D2">
        <w:tc>
          <w:tcPr>
            <w:tcW w:w="7713" w:type="dxa"/>
            <w:shd w:val="clear" w:color="auto" w:fill="E6E6E6"/>
          </w:tcPr>
          <w:p w:rsidR="00843D3D" w:rsidRDefault="00843D3D" w:rsidP="003149D2">
            <w:pPr>
              <w:pStyle w:val="TableColumnHeadingLeft"/>
            </w:pPr>
            <w:r>
              <w:t>Programme 3.2: Overseas Property</w:t>
            </w:r>
          </w:p>
        </w:tc>
      </w:tr>
    </w:tbl>
    <w:p w:rsidR="00843D3D" w:rsidRPr="00FD5958" w:rsidRDefault="00843D3D" w:rsidP="00843D3D">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843D3D" w:rsidTr="003149D2">
        <w:tc>
          <w:tcPr>
            <w:tcW w:w="7711" w:type="dxa"/>
          </w:tcPr>
          <w:p w:rsidR="00843D3D" w:rsidRDefault="00843D3D" w:rsidP="003149D2">
            <w:pPr>
              <w:pStyle w:val="TableColumnHeadingLeft"/>
            </w:pPr>
            <w:r>
              <w:t>Programme objective</w:t>
            </w:r>
          </w:p>
          <w:p w:rsidR="00843D3D" w:rsidRPr="00D57849" w:rsidRDefault="00843D3D" w:rsidP="00F37EE6">
            <w:pPr>
              <w:pStyle w:val="Default"/>
              <w:numPr>
                <w:ilvl w:val="0"/>
                <w:numId w:val="25"/>
              </w:numPr>
              <w:spacing w:after="240"/>
              <w:jc w:val="both"/>
            </w:pPr>
            <w:r w:rsidRPr="00C50672">
              <w:rPr>
                <w:rFonts w:ascii="Book Antiqua" w:hAnsi="Book Antiqua" w:cs="Book Antiqua"/>
                <w:color w:val="auto"/>
                <w:sz w:val="20"/>
                <w:szCs w:val="20"/>
              </w:rPr>
              <w:t>To ensure a secure Australian Government presence overseas through the effective management of the Commonwealth’s overseas owned estate and of the contracts for the leased estate.</w:t>
            </w:r>
          </w:p>
        </w:tc>
      </w:tr>
    </w:tbl>
    <w:p w:rsidR="00843D3D" w:rsidRDefault="00843D3D" w:rsidP="00835539">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1"/>
      </w:tblGrid>
      <w:tr w:rsidR="00843D3D" w:rsidRPr="008E4180" w:rsidTr="003149D2">
        <w:tc>
          <w:tcPr>
            <w:tcW w:w="7711" w:type="dxa"/>
          </w:tcPr>
          <w:p w:rsidR="00843D3D" w:rsidRPr="00D57849" w:rsidRDefault="00871429" w:rsidP="00871429">
            <w:pPr>
              <w:pStyle w:val="TableColumnHeadingLeft"/>
              <w:jc w:val="both"/>
            </w:pPr>
            <w:r>
              <w:t>Programme expenses</w:t>
            </w:r>
          </w:p>
        </w:tc>
      </w:tr>
    </w:tbl>
    <w:p w:rsidR="00843D3D" w:rsidRDefault="00843D3D" w:rsidP="00843D3D">
      <w:pPr>
        <w:pStyle w:val="NoSpacing"/>
      </w:pPr>
    </w:p>
    <w:p w:rsidR="00843D3D" w:rsidRDefault="00833238" w:rsidP="00843D3D">
      <w:pPr>
        <w:pStyle w:val="TableGraphic"/>
      </w:pPr>
      <w:r>
        <w:pict>
          <v:shape id="_x0000_i1054" type="#_x0000_t75" style="width:386.2pt;height:103.8pt">
            <v:imagedata r:id="rId74" o:title=""/>
          </v:shape>
        </w:pict>
      </w:r>
    </w:p>
    <w:p w:rsidR="00871429" w:rsidRDefault="00871429" w:rsidP="00F37EE6">
      <w:pPr>
        <w:pStyle w:val="ChartandTableFootnote"/>
        <w:numPr>
          <w:ilvl w:val="0"/>
          <w:numId w:val="61"/>
        </w:numPr>
        <w:ind w:hanging="720"/>
      </w:pPr>
      <w:r>
        <w:t>This reflects actual cash disbursements from the property account.</w:t>
      </w:r>
    </w:p>
    <w:p w:rsidR="00871429" w:rsidRDefault="00871429" w:rsidP="00F37EE6">
      <w:pPr>
        <w:pStyle w:val="ChartandTableFootnote"/>
        <w:numPr>
          <w:ilvl w:val="0"/>
          <w:numId w:val="61"/>
        </w:numPr>
        <w:ind w:left="284" w:hanging="284"/>
      </w:pPr>
      <w:r w:rsidRPr="006D62BE">
        <w:t xml:space="preserve">Expenses not requiring </w:t>
      </w:r>
      <w:r>
        <w:t>a</w:t>
      </w:r>
      <w:r w:rsidRPr="006D62BE">
        <w:t>ppropriat</w:t>
      </w:r>
      <w:r>
        <w:t>ion in the Budget year are made up of depreciation expenses</w:t>
      </w:r>
      <w:r w:rsidRPr="006D62BE">
        <w:t>, amortisation</w:t>
      </w:r>
      <w:r>
        <w:t xml:space="preserve"> expenses,</w:t>
      </w:r>
      <w:r w:rsidRPr="006D62BE">
        <w:t xml:space="preserve"> make</w:t>
      </w:r>
      <w:r>
        <w:t>g</w:t>
      </w:r>
      <w:r w:rsidRPr="006D62BE">
        <w:t>ood expense</w:t>
      </w:r>
      <w:r>
        <w:t>s, and audit fees.</w:t>
      </w:r>
    </w:p>
    <w:p w:rsidR="00843D3D" w:rsidRDefault="00843D3D" w:rsidP="00835539">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843D3D" w:rsidTr="003149D2">
        <w:tc>
          <w:tcPr>
            <w:tcW w:w="7711" w:type="dxa"/>
          </w:tcPr>
          <w:p w:rsidR="00843D3D" w:rsidRDefault="00843D3D" w:rsidP="003149D2">
            <w:pPr>
              <w:pStyle w:val="TableColumnHeadingLeft"/>
              <w:jc w:val="both"/>
            </w:pPr>
            <w:r>
              <w:t xml:space="preserve">Programme 3.2 Deliverables </w:t>
            </w:r>
          </w:p>
          <w:p w:rsidR="00C9175D" w:rsidRPr="00C50672" w:rsidRDefault="00C9175D" w:rsidP="00F37EE6">
            <w:pPr>
              <w:pStyle w:val="Default"/>
              <w:numPr>
                <w:ilvl w:val="0"/>
                <w:numId w:val="25"/>
              </w:numPr>
              <w:spacing w:after="240"/>
              <w:jc w:val="both"/>
              <w:rPr>
                <w:rFonts w:ascii="Book Antiqua" w:hAnsi="Book Antiqua" w:cs="Book Antiqua"/>
                <w:color w:val="auto"/>
                <w:sz w:val="20"/>
                <w:szCs w:val="20"/>
              </w:rPr>
            </w:pPr>
            <w:r w:rsidRPr="00C50672">
              <w:rPr>
                <w:rFonts w:ascii="Book Antiqua" w:hAnsi="Book Antiqua" w:cs="Book Antiqua"/>
                <w:color w:val="auto"/>
                <w:sz w:val="20"/>
                <w:szCs w:val="20"/>
              </w:rPr>
              <w:t xml:space="preserve">Efficient and effective management and delivery of a substantial construction and refurbishment program in the overseas property estate, including: </w:t>
            </w:r>
          </w:p>
          <w:p w:rsidR="00C9175D" w:rsidRDefault="00826934" w:rsidP="00F37EE6">
            <w:pPr>
              <w:pStyle w:val="Default"/>
              <w:numPr>
                <w:ilvl w:val="0"/>
                <w:numId w:val="48"/>
              </w:numPr>
              <w:spacing w:after="240"/>
              <w:ind w:left="568"/>
              <w:jc w:val="both"/>
              <w:rPr>
                <w:rFonts w:ascii="Book Antiqua" w:hAnsi="Book Antiqua" w:cs="Book Antiqua"/>
                <w:color w:val="auto"/>
                <w:sz w:val="20"/>
                <w:szCs w:val="20"/>
              </w:rPr>
            </w:pPr>
            <w:r>
              <w:rPr>
                <w:rFonts w:ascii="Book Antiqua" w:hAnsi="Book Antiqua" w:cs="Book Antiqua"/>
                <w:color w:val="auto"/>
                <w:sz w:val="20"/>
                <w:szCs w:val="20"/>
              </w:rPr>
              <w:t>c</w:t>
            </w:r>
            <w:r w:rsidR="00C9175D">
              <w:rPr>
                <w:rFonts w:ascii="Book Antiqua" w:hAnsi="Book Antiqua" w:cs="Book Antiqua"/>
                <w:color w:val="auto"/>
                <w:sz w:val="20"/>
                <w:szCs w:val="20"/>
              </w:rPr>
              <w:t>ompletion of the Jakarta chancery</w:t>
            </w:r>
            <w:r w:rsidR="009218B2">
              <w:rPr>
                <w:rFonts w:ascii="Book Antiqua" w:hAnsi="Book Antiqua" w:cs="Book Antiqua"/>
                <w:color w:val="auto"/>
                <w:sz w:val="20"/>
                <w:szCs w:val="20"/>
              </w:rPr>
              <w:t>; and</w:t>
            </w:r>
          </w:p>
          <w:p w:rsidR="00C9175D" w:rsidRPr="00C50672" w:rsidRDefault="00C9175D" w:rsidP="00F37EE6">
            <w:pPr>
              <w:pStyle w:val="Default"/>
              <w:numPr>
                <w:ilvl w:val="0"/>
                <w:numId w:val="48"/>
              </w:numPr>
              <w:spacing w:after="240"/>
              <w:ind w:left="568"/>
              <w:jc w:val="both"/>
              <w:rPr>
                <w:rFonts w:ascii="Book Antiqua" w:hAnsi="Book Antiqua" w:cs="Book Antiqua"/>
                <w:color w:val="auto"/>
                <w:sz w:val="20"/>
                <w:szCs w:val="20"/>
              </w:rPr>
            </w:pPr>
            <w:r>
              <w:rPr>
                <w:rFonts w:ascii="Book Antiqua" w:hAnsi="Book Antiqua" w:cs="Book Antiqua"/>
                <w:color w:val="auto"/>
                <w:sz w:val="20"/>
                <w:szCs w:val="20"/>
              </w:rPr>
              <w:t>commencement of planning to construct a new chancery in Washington</w:t>
            </w:r>
            <w:r w:rsidRPr="00C50672">
              <w:rPr>
                <w:rFonts w:ascii="Book Antiqua" w:hAnsi="Book Antiqua" w:cs="Book Antiqua"/>
                <w:color w:val="auto"/>
                <w:sz w:val="20"/>
                <w:szCs w:val="20"/>
              </w:rPr>
              <w:t xml:space="preserve">. </w:t>
            </w:r>
          </w:p>
          <w:p w:rsidR="00C9175D" w:rsidRPr="00101763" w:rsidRDefault="00C9175D" w:rsidP="00F37EE6">
            <w:pPr>
              <w:pStyle w:val="Default"/>
              <w:numPr>
                <w:ilvl w:val="0"/>
                <w:numId w:val="25"/>
              </w:numPr>
              <w:spacing w:after="240"/>
              <w:jc w:val="both"/>
            </w:pPr>
            <w:r w:rsidRPr="00C50672">
              <w:rPr>
                <w:rFonts w:ascii="Book Antiqua" w:hAnsi="Book Antiqua" w:cs="Book Antiqua"/>
                <w:color w:val="auto"/>
                <w:sz w:val="20"/>
                <w:szCs w:val="20"/>
              </w:rPr>
              <w:t>Efficient and effective management of the overseas property estate to meet the Government’s requirements and maintain conditions and service capabilities.</w:t>
            </w:r>
            <w:r>
              <w:rPr>
                <w:rFonts w:ascii="Book Antiqua" w:hAnsi="Book Antiqua" w:cs="Book Antiqua"/>
                <w:color w:val="auto"/>
                <w:sz w:val="20"/>
                <w:szCs w:val="20"/>
              </w:rPr>
              <w:t xml:space="preserve"> </w:t>
            </w:r>
          </w:p>
          <w:p w:rsidR="00843D3D" w:rsidRPr="008E4180" w:rsidRDefault="00C9175D" w:rsidP="00F37EE6">
            <w:pPr>
              <w:pStyle w:val="Default"/>
              <w:numPr>
                <w:ilvl w:val="0"/>
                <w:numId w:val="25"/>
              </w:numPr>
              <w:spacing w:after="240"/>
              <w:jc w:val="both"/>
            </w:pPr>
            <w:r w:rsidRPr="00C50672">
              <w:rPr>
                <w:rFonts w:ascii="Book Antiqua" w:hAnsi="Book Antiqua" w:cs="Book Antiqua"/>
                <w:color w:val="auto"/>
                <w:sz w:val="20"/>
                <w:szCs w:val="20"/>
              </w:rPr>
              <w:t>Effective management of outsourced property contract arrangements.</w:t>
            </w:r>
          </w:p>
        </w:tc>
      </w:tr>
    </w:tbl>
    <w:p w:rsidR="00843D3D" w:rsidRDefault="00843D3D" w:rsidP="00843D3D">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843D3D" w:rsidTr="003149D2">
        <w:tc>
          <w:tcPr>
            <w:tcW w:w="7711" w:type="dxa"/>
          </w:tcPr>
          <w:p w:rsidR="00843D3D" w:rsidRDefault="00843D3D" w:rsidP="003149D2">
            <w:pPr>
              <w:pStyle w:val="TableColumnHeadingLeft"/>
            </w:pPr>
            <w:r>
              <w:rPr>
                <w:rFonts w:ascii="Book Antiqua" w:hAnsi="Book Antiqua"/>
                <w:b w:val="0"/>
              </w:rPr>
              <w:br w:type="page"/>
            </w:r>
            <w:r>
              <w:t xml:space="preserve">Programme 3.2  Key Performance Indicators  </w:t>
            </w:r>
          </w:p>
          <w:p w:rsidR="00843D3D" w:rsidRPr="00C50672" w:rsidRDefault="00843D3D" w:rsidP="00F37EE6">
            <w:pPr>
              <w:pStyle w:val="Default"/>
              <w:numPr>
                <w:ilvl w:val="0"/>
                <w:numId w:val="25"/>
              </w:numPr>
              <w:spacing w:after="240"/>
              <w:jc w:val="both"/>
              <w:rPr>
                <w:rFonts w:ascii="Book Antiqua" w:hAnsi="Book Antiqua" w:cs="Book Antiqua"/>
                <w:color w:val="auto"/>
                <w:sz w:val="20"/>
                <w:szCs w:val="20"/>
              </w:rPr>
            </w:pPr>
            <w:r w:rsidRPr="00C50672">
              <w:rPr>
                <w:rFonts w:ascii="Book Antiqua" w:hAnsi="Book Antiqua" w:cs="Book Antiqua"/>
                <w:color w:val="auto"/>
                <w:sz w:val="20"/>
                <w:szCs w:val="20"/>
              </w:rPr>
              <w:t xml:space="preserve">Completion of construction and refurbishment projects within an agreed timeframe and budget. </w:t>
            </w:r>
          </w:p>
          <w:p w:rsidR="00843D3D" w:rsidRPr="00C50672" w:rsidRDefault="00843D3D" w:rsidP="00F37EE6">
            <w:pPr>
              <w:pStyle w:val="Default"/>
              <w:numPr>
                <w:ilvl w:val="0"/>
                <w:numId w:val="25"/>
              </w:numPr>
              <w:spacing w:after="240"/>
              <w:jc w:val="both"/>
              <w:rPr>
                <w:rFonts w:ascii="Book Antiqua" w:hAnsi="Book Antiqua" w:cs="Book Antiqua"/>
                <w:color w:val="auto"/>
                <w:sz w:val="20"/>
                <w:szCs w:val="20"/>
              </w:rPr>
            </w:pPr>
            <w:r w:rsidRPr="00C50672">
              <w:rPr>
                <w:rFonts w:ascii="Book Antiqua" w:hAnsi="Book Antiqua" w:cs="Book Antiqua"/>
                <w:color w:val="auto"/>
                <w:sz w:val="20"/>
                <w:szCs w:val="20"/>
              </w:rPr>
              <w:t xml:space="preserve">Effective and accountable management of the property services contract and construction project contracts. </w:t>
            </w:r>
          </w:p>
          <w:p w:rsidR="00843D3D" w:rsidRPr="00C50672" w:rsidRDefault="00843D3D" w:rsidP="00F37EE6">
            <w:pPr>
              <w:pStyle w:val="Default"/>
              <w:numPr>
                <w:ilvl w:val="0"/>
                <w:numId w:val="25"/>
              </w:numPr>
              <w:spacing w:after="240"/>
              <w:jc w:val="both"/>
              <w:rPr>
                <w:rFonts w:ascii="Book Antiqua" w:hAnsi="Book Antiqua" w:cs="Book Antiqua"/>
                <w:color w:val="auto"/>
                <w:sz w:val="20"/>
                <w:szCs w:val="20"/>
              </w:rPr>
            </w:pPr>
            <w:r w:rsidRPr="00C50672">
              <w:rPr>
                <w:rFonts w:ascii="Book Antiqua" w:hAnsi="Book Antiqua" w:cs="Book Antiqua"/>
                <w:color w:val="auto"/>
                <w:sz w:val="20"/>
                <w:szCs w:val="20"/>
              </w:rPr>
              <w:t>Achieve a portfolio condition and utility rating of good or better.</w:t>
            </w:r>
            <w:r w:rsidR="00C82824">
              <w:rPr>
                <w:rFonts w:ascii="Book Antiqua" w:hAnsi="Book Antiqua" w:cs="Book Antiqua"/>
                <w:color w:val="auto"/>
                <w:sz w:val="20"/>
                <w:szCs w:val="20"/>
              </w:rPr>
              <w:br/>
            </w:r>
            <w:r w:rsidRPr="00C50672">
              <w:rPr>
                <w:rFonts w:ascii="Book Antiqua" w:hAnsi="Book Antiqua" w:cs="Book Antiqua"/>
                <w:color w:val="auto"/>
                <w:sz w:val="20"/>
                <w:szCs w:val="20"/>
              </w:rPr>
              <w:t xml:space="preserve"> </w:t>
            </w:r>
          </w:p>
          <w:p w:rsidR="00843D3D" w:rsidRPr="00C50672" w:rsidRDefault="00843D3D" w:rsidP="00F37EE6">
            <w:pPr>
              <w:pStyle w:val="Default"/>
              <w:numPr>
                <w:ilvl w:val="0"/>
                <w:numId w:val="25"/>
              </w:numPr>
              <w:spacing w:after="240"/>
              <w:jc w:val="both"/>
              <w:rPr>
                <w:rFonts w:ascii="Book Antiqua" w:hAnsi="Book Antiqua" w:cs="Book Antiqua"/>
                <w:color w:val="auto"/>
                <w:sz w:val="20"/>
                <w:szCs w:val="20"/>
              </w:rPr>
            </w:pPr>
            <w:r w:rsidRPr="00C50672">
              <w:rPr>
                <w:rFonts w:ascii="Book Antiqua" w:hAnsi="Book Antiqua" w:cs="Book Antiqua"/>
                <w:color w:val="auto"/>
                <w:sz w:val="20"/>
                <w:szCs w:val="20"/>
              </w:rPr>
              <w:lastRenderedPageBreak/>
              <w:t xml:space="preserve">The majority of tenants rate the performance of the service provider and the Overseas Property Office as good or better. </w:t>
            </w:r>
          </w:p>
          <w:p w:rsidR="00843D3D" w:rsidRPr="00101763" w:rsidRDefault="00843D3D" w:rsidP="00F37EE6">
            <w:pPr>
              <w:pStyle w:val="Default"/>
              <w:numPr>
                <w:ilvl w:val="0"/>
                <w:numId w:val="25"/>
              </w:numPr>
              <w:spacing w:after="240"/>
              <w:jc w:val="both"/>
            </w:pPr>
            <w:r w:rsidRPr="00C50672">
              <w:rPr>
                <w:rFonts w:ascii="Book Antiqua" w:hAnsi="Book Antiqua" w:cs="Book Antiqua"/>
                <w:color w:val="auto"/>
                <w:sz w:val="20"/>
                <w:szCs w:val="20"/>
              </w:rPr>
              <w:t xml:space="preserve">Asset management plans are in place for all </w:t>
            </w:r>
            <w:r>
              <w:rPr>
                <w:rFonts w:ascii="Book Antiqua" w:hAnsi="Book Antiqua" w:cs="Book Antiqua"/>
                <w:color w:val="auto"/>
                <w:sz w:val="20"/>
                <w:szCs w:val="20"/>
              </w:rPr>
              <w:t>owned properties in the estate.</w:t>
            </w:r>
          </w:p>
          <w:p w:rsidR="00843D3D" w:rsidRDefault="00843D3D" w:rsidP="00F37EE6">
            <w:pPr>
              <w:pStyle w:val="Default"/>
              <w:numPr>
                <w:ilvl w:val="0"/>
                <w:numId w:val="25"/>
              </w:numPr>
              <w:spacing w:after="240"/>
              <w:jc w:val="both"/>
            </w:pPr>
            <w:r w:rsidRPr="00C50672">
              <w:rPr>
                <w:rFonts w:ascii="Book Antiqua" w:hAnsi="Book Antiqua" w:cs="Book Antiqua"/>
                <w:color w:val="auto"/>
                <w:sz w:val="20"/>
                <w:szCs w:val="20"/>
              </w:rPr>
              <w:t>Achieve a management expense ratio appropriate to the unique nature of the Commonwealth’s overseas owned estate.</w:t>
            </w:r>
          </w:p>
        </w:tc>
      </w:tr>
    </w:tbl>
    <w:p w:rsidR="00835539" w:rsidRDefault="0037320C" w:rsidP="00F21D97">
      <w:pPr>
        <w:pStyle w:val="SingleParagraph"/>
        <w:spacing w:line="20" w:lineRule="exact"/>
      </w:pPr>
      <w:r>
        <w:lastRenderedPageBreak/>
        <w:br w:type="page"/>
      </w:r>
    </w:p>
    <w:p w:rsidR="0014790A" w:rsidRDefault="005F3436">
      <w:pPr>
        <w:pStyle w:val="Heading2"/>
        <w:spacing w:before="0" w:after="120"/>
      </w:pPr>
      <w:r>
        <w:t xml:space="preserve">Section 3: Explanatory </w:t>
      </w:r>
      <w:r w:rsidR="000216BF">
        <w:t>tables and budgeted financial statements</w:t>
      </w:r>
      <w:bookmarkEnd w:id="23"/>
      <w:bookmarkEnd w:id="24"/>
    </w:p>
    <w:p w:rsidR="0027614D" w:rsidRDefault="00CF5085" w:rsidP="0027614D">
      <w:r>
        <w:t>Section 3</w:t>
      </w:r>
      <w:r w:rsidR="0027614D">
        <w:t xml:space="preserve"> presents </w:t>
      </w:r>
      <w:r w:rsidR="009B1BB7">
        <w:t xml:space="preserve">explanatory tables and </w:t>
      </w:r>
      <w:r w:rsidR="0027614D">
        <w:t>budgeted financial statements which provide a comprehensive snapshot of</w:t>
      </w:r>
      <w:r w:rsidR="001B03CC">
        <w:t xml:space="preserve"> entity </w:t>
      </w:r>
      <w:r w:rsidR="0027614D">
        <w:t xml:space="preserve">finances for the </w:t>
      </w:r>
      <w:r w:rsidR="00475EAF">
        <w:t>201</w:t>
      </w:r>
      <w:r w:rsidR="004F4624">
        <w:t>5</w:t>
      </w:r>
      <w:r w:rsidR="00475EAF">
        <w:t>-1</w:t>
      </w:r>
      <w:r w:rsidR="004F4624">
        <w:t>6</w:t>
      </w:r>
      <w:r w:rsidR="00F3510E">
        <w:rPr>
          <w:color w:val="00B050"/>
        </w:rPr>
        <w:t xml:space="preserve"> </w:t>
      </w:r>
      <w:r w:rsidR="006D50F7">
        <w:t>B</w:t>
      </w:r>
      <w:r w:rsidR="0027614D">
        <w:t>udget year</w:t>
      </w:r>
      <w:r w:rsidR="00F3510E">
        <w:t>.</w:t>
      </w:r>
      <w:r w:rsidR="0027614D">
        <w:t xml:space="preserve"> It explains how budget plans are incorporated into the financial statements and provides further details of </w:t>
      </w:r>
      <w:r w:rsidR="008A5F01">
        <w:t xml:space="preserve">the reconciliation between </w:t>
      </w:r>
      <w:r w:rsidR="00C11F2F">
        <w:t xml:space="preserve">appropriations and </w:t>
      </w:r>
      <w:r w:rsidR="00E121DD">
        <w:t>programme</w:t>
      </w:r>
      <w:r w:rsidR="00C11F2F">
        <w:t xml:space="preserve"> expenses</w:t>
      </w:r>
      <w:r w:rsidR="008A5F01">
        <w:t xml:space="preserve">, </w:t>
      </w:r>
      <w:r w:rsidR="0027614D">
        <w:t>movements in administered funds</w:t>
      </w:r>
      <w:r>
        <w:t xml:space="preserve">, special accounts and </w:t>
      </w:r>
      <w:r w:rsidR="0027614D">
        <w:t>government indigenous expenditure.</w:t>
      </w:r>
    </w:p>
    <w:p w:rsidR="0027614D" w:rsidRDefault="0027614D" w:rsidP="0027614D">
      <w:pPr>
        <w:pStyle w:val="Heading3"/>
      </w:pPr>
      <w:bookmarkStart w:id="25" w:name="_Toc190682316"/>
      <w:bookmarkStart w:id="26" w:name="_Toc190682533"/>
      <w:r>
        <w:t>3.1</w:t>
      </w:r>
      <w:r>
        <w:tab/>
        <w:t>Explanatory tables</w:t>
      </w:r>
      <w:bookmarkEnd w:id="25"/>
      <w:bookmarkEnd w:id="26"/>
    </w:p>
    <w:p w:rsidR="0027614D" w:rsidRDefault="0027614D" w:rsidP="007E67BD">
      <w:pPr>
        <w:pStyle w:val="Heading4"/>
      </w:pPr>
      <w:r>
        <w:t>3.1.</w:t>
      </w:r>
      <w:r w:rsidR="00812741">
        <w:t>1</w:t>
      </w:r>
      <w:r>
        <w:tab/>
        <w:t xml:space="preserve">Movement of </w:t>
      </w:r>
      <w:r w:rsidR="000216BF">
        <w:t>administered funds between years</w:t>
      </w:r>
      <w:r w:rsidR="00F20FF5" w:rsidRPr="00F20FF5">
        <w:rPr>
          <w:vertAlign w:val="superscript"/>
        </w:rPr>
        <w:t>(a)</w:t>
      </w:r>
    </w:p>
    <w:p w:rsidR="008B11D0" w:rsidRDefault="008B11D0" w:rsidP="008B11D0">
      <w:r>
        <w:t xml:space="preserve">Administered funds can be provided for a specified period, for example under annual Appropriation Acts. Funds not used in the specified period with the agreement of the Finance Minister may be moved to a future year. Table 3.1.1 shows the movement of administered funds approved between years. </w:t>
      </w:r>
    </w:p>
    <w:p w:rsidR="00060890" w:rsidRPr="005C4BEE" w:rsidRDefault="0027614D" w:rsidP="0027614D">
      <w:pPr>
        <w:pStyle w:val="TableHeading"/>
        <w:rPr>
          <w:sz w:val="20"/>
        </w:rPr>
      </w:pPr>
      <w:r w:rsidRPr="005C4BEE">
        <w:rPr>
          <w:sz w:val="20"/>
        </w:rPr>
        <w:t>Table 3.1.</w:t>
      </w:r>
      <w:r w:rsidR="00812741" w:rsidRPr="005C4BEE">
        <w:rPr>
          <w:sz w:val="20"/>
        </w:rPr>
        <w:t>1</w:t>
      </w:r>
      <w:r w:rsidR="00B10F95" w:rsidRPr="005C4BEE">
        <w:rPr>
          <w:sz w:val="20"/>
        </w:rPr>
        <w:t xml:space="preserve">: Movement of </w:t>
      </w:r>
      <w:r w:rsidR="000216BF" w:rsidRPr="005C4BEE">
        <w:rPr>
          <w:sz w:val="20"/>
        </w:rPr>
        <w:t>administered funds between years</w:t>
      </w:r>
    </w:p>
    <w:p w:rsidR="00E51F1C" w:rsidRDefault="00833238" w:rsidP="000216BF">
      <w:pPr>
        <w:pStyle w:val="TableGraphic"/>
      </w:pPr>
      <w:r>
        <w:pict>
          <v:shape id="_x0000_i1055" type="#_x0000_t75" style="width:384.3pt;height:101.9pt">
            <v:imagedata r:id="rId75" o:title=""/>
          </v:shape>
        </w:pict>
      </w:r>
    </w:p>
    <w:p w:rsidR="00812350" w:rsidRDefault="00F3255F" w:rsidP="00E51F1C">
      <w:pPr>
        <w:pStyle w:val="ChartandTableFootnoteAlpha"/>
      </w:pPr>
      <w:r w:rsidRPr="00F3255F">
        <w:t>Figures displayed as a negative (</w:t>
      </w:r>
      <w:r w:rsidR="00C8049D">
        <w:noBreakHyphen/>
      </w:r>
      <w:r w:rsidRPr="00F3255F">
        <w:t>) represent a decrease in funds and a positive reflect an increase in funds.</w:t>
      </w:r>
    </w:p>
    <w:p w:rsidR="00CF7AE7" w:rsidRDefault="00CF7AE7">
      <w:pPr>
        <w:pStyle w:val="Heading4"/>
        <w:spacing w:before="0"/>
      </w:pPr>
    </w:p>
    <w:p w:rsidR="00D55898" w:rsidRDefault="00D55898" w:rsidP="00574E9E"/>
    <w:p w:rsidR="00C82824" w:rsidRDefault="00C82824" w:rsidP="00574E9E"/>
    <w:p w:rsidR="00C82824" w:rsidRDefault="00C82824" w:rsidP="00574E9E"/>
    <w:p w:rsidR="00C82824" w:rsidRDefault="00C82824" w:rsidP="00574E9E"/>
    <w:p w:rsidR="00C82824" w:rsidRDefault="00C82824" w:rsidP="00574E9E"/>
    <w:p w:rsidR="00C82824" w:rsidRDefault="00C82824" w:rsidP="00574E9E"/>
    <w:p w:rsidR="00C82824" w:rsidRDefault="00C82824" w:rsidP="00574E9E"/>
    <w:p w:rsidR="00C82824" w:rsidRDefault="00C82824" w:rsidP="00C82824">
      <w:pPr>
        <w:pStyle w:val="Heading4"/>
        <w:spacing w:before="0"/>
      </w:pPr>
      <w:r>
        <w:lastRenderedPageBreak/>
        <w:t>3.1.2</w:t>
      </w:r>
      <w:r>
        <w:tab/>
        <w:t>Special accounts</w:t>
      </w:r>
    </w:p>
    <w:p w:rsidR="00C82824" w:rsidRDefault="00C82824" w:rsidP="00C82824">
      <w:r>
        <w:t>Special accounts provide a means to set aside and record amounts used for specified purposes.  Special accounts can be created by a Finance Minister’s determination under section 78 of the PGPA</w:t>
      </w:r>
      <w:r w:rsidRPr="00DA28A8">
        <w:t xml:space="preserve"> Act</w:t>
      </w:r>
      <w:r>
        <w:rPr>
          <w:i/>
        </w:rPr>
        <w:t xml:space="preserve"> </w:t>
      </w:r>
      <w:r>
        <w:t>or under separate enabling legislation (section 80 of the PGPA Act refers). Table 3.1.2 shows the expected additions (receipts) and reductions (payments) for each account used by DFAT.</w:t>
      </w:r>
    </w:p>
    <w:p w:rsidR="00C82824" w:rsidRDefault="00C82824" w:rsidP="00574E9E">
      <w:pPr>
        <w:pStyle w:val="TableHeading"/>
        <w:rPr>
          <w:sz w:val="20"/>
        </w:rPr>
      </w:pPr>
    </w:p>
    <w:p w:rsidR="00574E9E" w:rsidRPr="005C4BEE" w:rsidRDefault="00574E9E" w:rsidP="00574E9E">
      <w:pPr>
        <w:pStyle w:val="TableHeading"/>
        <w:rPr>
          <w:sz w:val="20"/>
        </w:rPr>
      </w:pPr>
      <w:r w:rsidRPr="005C4BEE">
        <w:rPr>
          <w:sz w:val="20"/>
        </w:rPr>
        <w:t>Table 3.1.</w:t>
      </w:r>
      <w:r w:rsidR="00812741" w:rsidRPr="005C4BEE">
        <w:rPr>
          <w:sz w:val="20"/>
        </w:rPr>
        <w:t>2</w:t>
      </w:r>
      <w:r w:rsidRPr="005C4BEE">
        <w:rPr>
          <w:sz w:val="20"/>
        </w:rPr>
        <w:t xml:space="preserve">: Estimates of </w:t>
      </w:r>
      <w:r w:rsidR="00E51F1C" w:rsidRPr="005C4BEE">
        <w:rPr>
          <w:sz w:val="20"/>
        </w:rPr>
        <w:t>special account flows and balances</w:t>
      </w:r>
    </w:p>
    <w:p w:rsidR="00E51F1C" w:rsidRDefault="00833238" w:rsidP="000216BF">
      <w:pPr>
        <w:pStyle w:val="TableGraphic"/>
      </w:pPr>
      <w:r>
        <w:pict>
          <v:shape id="_x0000_i1056" type="#_x0000_t75" style="width:385.25pt;height:343.15pt">
            <v:imagedata r:id="rId76" o:title=""/>
          </v:shape>
        </w:pict>
      </w:r>
    </w:p>
    <w:p w:rsidR="00A07680" w:rsidRDefault="003F18ED" w:rsidP="00E51F1C">
      <w:pPr>
        <w:pStyle w:val="TableGraphic"/>
        <w:rPr>
          <w:color w:val="FF0000"/>
        </w:rPr>
      </w:pPr>
      <w:r w:rsidRPr="002F7A59">
        <w:rPr>
          <w:i/>
        </w:rPr>
        <w:t>Table continued on the following page.</w:t>
      </w:r>
    </w:p>
    <w:p w:rsidR="00A07680" w:rsidRDefault="00A07680" w:rsidP="00E51F1C">
      <w:pPr>
        <w:pStyle w:val="TableGraphic"/>
        <w:rPr>
          <w:color w:val="FF0000"/>
        </w:rPr>
      </w:pPr>
    </w:p>
    <w:p w:rsidR="00A07680" w:rsidRDefault="00A07680" w:rsidP="00E51F1C">
      <w:pPr>
        <w:pStyle w:val="TableGraphic"/>
        <w:rPr>
          <w:color w:val="FF0000"/>
        </w:rPr>
      </w:pPr>
    </w:p>
    <w:p w:rsidR="00A07680" w:rsidRDefault="00A07680" w:rsidP="00E51F1C">
      <w:pPr>
        <w:pStyle w:val="TableGraphic"/>
        <w:rPr>
          <w:color w:val="FF0000"/>
        </w:rPr>
      </w:pPr>
    </w:p>
    <w:p w:rsidR="00A07680" w:rsidRPr="005C4BEE" w:rsidRDefault="00A07680" w:rsidP="00A07680">
      <w:pPr>
        <w:pStyle w:val="TableHeading"/>
        <w:rPr>
          <w:sz w:val="20"/>
        </w:rPr>
      </w:pPr>
      <w:r w:rsidRPr="005C4BEE">
        <w:rPr>
          <w:sz w:val="20"/>
        </w:rPr>
        <w:lastRenderedPageBreak/>
        <w:t>Table 3.1.2: Estimates of special account flows and balances</w:t>
      </w:r>
      <w:r>
        <w:rPr>
          <w:sz w:val="20"/>
        </w:rPr>
        <w:t xml:space="preserve"> (continued)</w:t>
      </w:r>
    </w:p>
    <w:p w:rsidR="00A07680" w:rsidRDefault="00833238" w:rsidP="00A07680">
      <w:pPr>
        <w:pStyle w:val="ChartandTableFootnote"/>
      </w:pPr>
      <w:r>
        <w:pict>
          <v:shape id="_x0000_i1057" type="#_x0000_t75" style="width:385.25pt;height:224.4pt">
            <v:imagedata r:id="rId77" o:title=""/>
          </v:shape>
        </w:pict>
      </w:r>
    </w:p>
    <w:p w:rsidR="00574E9E" w:rsidRDefault="00574E9E" w:rsidP="00A07680">
      <w:pPr>
        <w:pStyle w:val="ChartandTableFootnote"/>
      </w:pPr>
      <w:r>
        <w:t>(A) = Administered</w:t>
      </w:r>
    </w:p>
    <w:p w:rsidR="00574E9E" w:rsidRDefault="00574E9E" w:rsidP="00581D30">
      <w:pPr>
        <w:pStyle w:val="ChartandTableFootnote"/>
      </w:pPr>
      <w:r>
        <w:t>(D) = Departmental</w:t>
      </w:r>
    </w:p>
    <w:p w:rsidR="0014790A" w:rsidRPr="005E0D49" w:rsidRDefault="005E0D49" w:rsidP="00F37EE6">
      <w:pPr>
        <w:pStyle w:val="ChartandTableFootnote"/>
        <w:numPr>
          <w:ilvl w:val="0"/>
          <w:numId w:val="70"/>
        </w:numPr>
        <w:tabs>
          <w:tab w:val="clear" w:pos="284"/>
        </w:tabs>
      </w:pPr>
      <w:r w:rsidRPr="005E0D49">
        <w:t>Note that this account was closed in April 20</w:t>
      </w:r>
      <w:r>
        <w:t>1</w:t>
      </w:r>
      <w:r w:rsidR="005A51A3">
        <w:t>5</w:t>
      </w:r>
      <w:r>
        <w:t xml:space="preserve"> and replaced with the Austra</w:t>
      </w:r>
      <w:r w:rsidRPr="005E0D49">
        <w:t>l</w:t>
      </w:r>
      <w:r>
        <w:t>i</w:t>
      </w:r>
      <w:r w:rsidRPr="005E0D49">
        <w:t>a-Indonesia Partnership for Re</w:t>
      </w:r>
      <w:r>
        <w:t>construction and Development (L</w:t>
      </w:r>
      <w:r w:rsidRPr="005E0D49">
        <w:t>o</w:t>
      </w:r>
      <w:r>
        <w:t>a</w:t>
      </w:r>
      <w:r w:rsidRPr="005E0D49">
        <w:t>ns) Special Account - s78 PGPA</w:t>
      </w:r>
      <w:r w:rsidR="005A51A3">
        <w:t xml:space="preserve"> Act Determination 2015/01</w:t>
      </w:r>
      <w:r w:rsidRPr="005E0D49">
        <w:t>.</w:t>
      </w:r>
    </w:p>
    <w:p w:rsidR="00B04964" w:rsidRDefault="00B04964" w:rsidP="00B04964">
      <w:pPr>
        <w:pStyle w:val="Heading4"/>
      </w:pPr>
      <w:r>
        <w:t>3.1.</w:t>
      </w:r>
      <w:r w:rsidR="00812741">
        <w:t>3</w:t>
      </w:r>
      <w:r>
        <w:tab/>
        <w:t xml:space="preserve">Australian Government Indigenous </w:t>
      </w:r>
      <w:r w:rsidR="00E51F1C">
        <w:t>e</w:t>
      </w:r>
      <w:r>
        <w:t>xpenditure</w:t>
      </w:r>
    </w:p>
    <w:p w:rsidR="003E122D" w:rsidRPr="005C4BEE" w:rsidRDefault="00B04964" w:rsidP="00B04964">
      <w:pPr>
        <w:pStyle w:val="TableHeading"/>
        <w:rPr>
          <w:sz w:val="20"/>
        </w:rPr>
      </w:pPr>
      <w:r w:rsidRPr="005C4BEE">
        <w:rPr>
          <w:sz w:val="20"/>
        </w:rPr>
        <w:t>Table 3.1.</w:t>
      </w:r>
      <w:r w:rsidR="00812741" w:rsidRPr="005C4BEE">
        <w:rPr>
          <w:sz w:val="20"/>
        </w:rPr>
        <w:t>3</w:t>
      </w:r>
      <w:r w:rsidR="00A23BC2" w:rsidRPr="005C4BEE">
        <w:rPr>
          <w:sz w:val="20"/>
        </w:rPr>
        <w:t>:</w:t>
      </w:r>
      <w:r w:rsidRPr="005C4BEE">
        <w:rPr>
          <w:sz w:val="20"/>
        </w:rPr>
        <w:t xml:space="preserve"> Au</w:t>
      </w:r>
      <w:r w:rsidR="00E51F1C">
        <w:rPr>
          <w:sz w:val="20"/>
        </w:rPr>
        <w:t>stralian Government Indigenous e</w:t>
      </w:r>
      <w:r w:rsidRPr="005C4BEE">
        <w:rPr>
          <w:sz w:val="20"/>
        </w:rPr>
        <w:t>xpenditure</w:t>
      </w:r>
      <w:r w:rsidR="00AF3811" w:rsidRPr="005C4BEE">
        <w:rPr>
          <w:sz w:val="20"/>
        </w:rPr>
        <w:t xml:space="preserve"> (AGIE)</w:t>
      </w:r>
    </w:p>
    <w:p w:rsidR="00581D30" w:rsidRDefault="00833238" w:rsidP="00E51F1C">
      <w:pPr>
        <w:pStyle w:val="TableGraphic"/>
      </w:pPr>
      <w:r>
        <w:pict>
          <v:shape id="_x0000_i1058" type="#_x0000_t75" style="width:385.25pt;height:184.2pt">
            <v:imagedata r:id="rId78" o:title=""/>
          </v:shape>
        </w:pict>
      </w:r>
    </w:p>
    <w:p w:rsidR="00E4582E" w:rsidRDefault="000A24C4" w:rsidP="00EA5A9E">
      <w:pPr>
        <w:pStyle w:val="Heading3"/>
      </w:pPr>
      <w:bookmarkStart w:id="27" w:name="_Toc190682317"/>
      <w:r>
        <w:br w:type="page"/>
      </w:r>
      <w:r w:rsidR="00E4582E">
        <w:lastRenderedPageBreak/>
        <w:t>3.2</w:t>
      </w:r>
      <w:r w:rsidR="00E4582E">
        <w:tab/>
        <w:t>Budgeted financial statements</w:t>
      </w:r>
      <w:bookmarkEnd w:id="27"/>
    </w:p>
    <w:p w:rsidR="00E4582E" w:rsidRDefault="00A23BC2" w:rsidP="00E4582E">
      <w:pPr>
        <w:pStyle w:val="Heading4"/>
      </w:pPr>
      <w:r>
        <w:t>3.2.1</w:t>
      </w:r>
      <w:r w:rsidR="005F29CD">
        <w:tab/>
      </w:r>
      <w:r w:rsidR="00E4582E">
        <w:t xml:space="preserve">Differences in </w:t>
      </w:r>
      <w:r w:rsidR="000216BF">
        <w:t>entity resourcing and financial statements</w:t>
      </w:r>
    </w:p>
    <w:p w:rsidR="00D20397" w:rsidRPr="005C3732" w:rsidRDefault="00D20397" w:rsidP="00D20397">
      <w:r w:rsidRPr="005C3732">
        <w:t>In accordance with the Government Financ</w:t>
      </w:r>
      <w:r>
        <w:t>e</w:t>
      </w:r>
      <w:r w:rsidRPr="005C3732">
        <w:t xml:space="preserve"> Statistics provided by the Australian Bureau of Statistics, the budget</w:t>
      </w:r>
      <w:r>
        <w:t>ed</w:t>
      </w:r>
      <w:r w:rsidRPr="005C3732">
        <w:t xml:space="preserve"> financial statements do not recognise concessionality and the associated disc</w:t>
      </w:r>
      <w:r>
        <w:t xml:space="preserve">ounting of concessional loans.  </w:t>
      </w:r>
      <w:r w:rsidRPr="005C3732">
        <w:t>Australian Accounting Standards require concessional loans to reflect a market related rate of interest and be discounted o</w:t>
      </w:r>
      <w:r>
        <w:t>ver the loan maturity period.  DFAT</w:t>
      </w:r>
      <w:r w:rsidRPr="005C3732">
        <w:t xml:space="preserve"> has t</w:t>
      </w:r>
      <w:r>
        <w:t>wo</w:t>
      </w:r>
      <w:r w:rsidRPr="005C3732">
        <w:t xml:space="preserve"> programs that are affected by this treatment:</w:t>
      </w:r>
    </w:p>
    <w:p w:rsidR="00D20397" w:rsidRPr="005C3732" w:rsidRDefault="00D20397" w:rsidP="00F37EE6">
      <w:pPr>
        <w:numPr>
          <w:ilvl w:val="0"/>
          <w:numId w:val="66"/>
        </w:numPr>
      </w:pPr>
      <w:r w:rsidRPr="005C3732">
        <w:t>Asian Development Fund replenishments – investment component;</w:t>
      </w:r>
      <w:r>
        <w:t xml:space="preserve"> and</w:t>
      </w:r>
    </w:p>
    <w:p w:rsidR="00D20397" w:rsidRDefault="00D20397" w:rsidP="00F37EE6">
      <w:pPr>
        <w:numPr>
          <w:ilvl w:val="0"/>
          <w:numId w:val="66"/>
        </w:numPr>
        <w:ind w:left="567" w:hanging="207"/>
        <w:jc w:val="left"/>
      </w:pPr>
      <w:r w:rsidRPr="005C3732">
        <w:t>International Development Association replen</w:t>
      </w:r>
      <w:r>
        <w:t>ishments – investment component.</w:t>
      </w:r>
    </w:p>
    <w:p w:rsidR="00D20397" w:rsidRDefault="00D20397" w:rsidP="00D20397">
      <w:r w:rsidRPr="005C3732">
        <w:t>The investment component does not impact on the fiscal or underlying cash balances, as the provision of a loan only affects the composition of the Australian Government investment in financial assets.</w:t>
      </w:r>
    </w:p>
    <w:p w:rsidR="00E4582E" w:rsidRDefault="00A23BC2" w:rsidP="00E4582E">
      <w:pPr>
        <w:pStyle w:val="Heading4"/>
      </w:pPr>
      <w:r>
        <w:t>3.2.2</w:t>
      </w:r>
      <w:r w:rsidR="005F29CD">
        <w:tab/>
      </w:r>
      <w:r w:rsidR="00E4582E">
        <w:t xml:space="preserve">Analysis of </w:t>
      </w:r>
      <w:r w:rsidR="000216BF">
        <w:t>budgeted financial statements</w:t>
      </w:r>
    </w:p>
    <w:p w:rsidR="008D1F04" w:rsidRPr="003D100B" w:rsidRDefault="008D1F04" w:rsidP="008D1F04">
      <w:pPr>
        <w:pStyle w:val="Heading5"/>
      </w:pPr>
      <w:r w:rsidRPr="003D100B">
        <w:t>Budgeted Departmental Income Statement</w:t>
      </w:r>
    </w:p>
    <w:p w:rsidR="008D1F04" w:rsidRDefault="008D1F04" w:rsidP="008D1F04">
      <w:r>
        <w:t>The total budgeted appropriation in 2015-16 is $1,34</w:t>
      </w:r>
      <w:r w:rsidR="0010432E">
        <w:t>7</w:t>
      </w:r>
      <w:r>
        <w:t>.</w:t>
      </w:r>
      <w:r w:rsidR="0010432E">
        <w:t>8</w:t>
      </w:r>
      <w:r>
        <w:t xml:space="preserve"> million, which represents an increase of $6</w:t>
      </w:r>
      <w:r w:rsidR="0010432E">
        <w:t>1</w:t>
      </w:r>
      <w:r>
        <w:t>.</w:t>
      </w:r>
      <w:r w:rsidR="0010432E">
        <w:t>9</w:t>
      </w:r>
      <w:r>
        <w:t xml:space="preserve"> million in appropriations from 2014-15 as shown in Table 3.2.1.  The increase is primarily attributable to:</w:t>
      </w:r>
    </w:p>
    <w:p w:rsidR="008D1F04" w:rsidRPr="00CE05AE" w:rsidRDefault="008D1F04" w:rsidP="00F37EE6">
      <w:pPr>
        <w:pStyle w:val="Default"/>
        <w:numPr>
          <w:ilvl w:val="0"/>
          <w:numId w:val="25"/>
        </w:numPr>
        <w:spacing w:after="120" w:line="260" w:lineRule="exact"/>
        <w:jc w:val="both"/>
        <w:rPr>
          <w:rFonts w:ascii="Book Antiqua" w:hAnsi="Book Antiqua" w:cs="Book Antiqua"/>
          <w:color w:val="auto"/>
          <w:sz w:val="20"/>
          <w:szCs w:val="20"/>
        </w:rPr>
      </w:pPr>
      <w:r w:rsidRPr="00CE05AE">
        <w:rPr>
          <w:rFonts w:ascii="Book Antiqua" w:hAnsi="Book Antiqua" w:cs="Book Antiqua"/>
          <w:color w:val="auto"/>
          <w:sz w:val="20"/>
          <w:szCs w:val="20"/>
        </w:rPr>
        <w:t xml:space="preserve">funding for new measures; </w:t>
      </w:r>
    </w:p>
    <w:p w:rsidR="008D1F04" w:rsidRPr="00CE05AE" w:rsidRDefault="008D1F04" w:rsidP="00F37EE6">
      <w:pPr>
        <w:pStyle w:val="Default"/>
        <w:numPr>
          <w:ilvl w:val="0"/>
          <w:numId w:val="25"/>
        </w:numPr>
        <w:spacing w:after="120" w:line="260" w:lineRule="exact"/>
        <w:jc w:val="both"/>
        <w:rPr>
          <w:rFonts w:ascii="Book Antiqua" w:hAnsi="Book Antiqua" w:cs="Book Antiqua"/>
          <w:color w:val="auto"/>
          <w:sz w:val="20"/>
          <w:szCs w:val="20"/>
        </w:rPr>
      </w:pPr>
      <w:r w:rsidRPr="00CE05AE">
        <w:rPr>
          <w:rFonts w:ascii="Book Antiqua" w:hAnsi="Book Antiqua" w:cs="Book Antiqua"/>
          <w:color w:val="auto"/>
          <w:sz w:val="20"/>
          <w:szCs w:val="20"/>
        </w:rPr>
        <w:t>parameter adjustments for overseas inflation; and</w:t>
      </w:r>
    </w:p>
    <w:p w:rsidR="008D1F04" w:rsidRPr="00CE05AE" w:rsidRDefault="008D1F04" w:rsidP="00F37EE6">
      <w:pPr>
        <w:pStyle w:val="Default"/>
        <w:numPr>
          <w:ilvl w:val="0"/>
          <w:numId w:val="25"/>
        </w:numPr>
        <w:spacing w:after="120" w:line="260" w:lineRule="exact"/>
        <w:jc w:val="both"/>
        <w:rPr>
          <w:rFonts w:ascii="Book Antiqua" w:hAnsi="Book Antiqua" w:cs="Book Antiqua"/>
          <w:color w:val="auto"/>
          <w:sz w:val="20"/>
          <w:szCs w:val="20"/>
        </w:rPr>
      </w:pPr>
      <w:r w:rsidRPr="00CE05AE">
        <w:rPr>
          <w:rFonts w:ascii="Book Antiqua" w:hAnsi="Book Antiqua" w:cs="Book Antiqua"/>
          <w:color w:val="auto"/>
          <w:sz w:val="20"/>
          <w:szCs w:val="20"/>
        </w:rPr>
        <w:t>foreign exchange movements.</w:t>
      </w:r>
    </w:p>
    <w:p w:rsidR="008D1F04" w:rsidRPr="00F16A29" w:rsidRDefault="008D1F04" w:rsidP="008D1F04">
      <w:pPr>
        <w:autoSpaceDE w:val="0"/>
        <w:autoSpaceDN w:val="0"/>
        <w:adjustRightInd w:val="0"/>
        <w:jc w:val="left"/>
        <w:rPr>
          <w:rFonts w:cs="Book Antiqua"/>
        </w:rPr>
      </w:pPr>
      <w:r w:rsidRPr="00F16A29">
        <w:rPr>
          <w:rFonts w:cs="Book Antiqua"/>
        </w:rPr>
        <w:t xml:space="preserve">This is partially offset by: </w:t>
      </w:r>
    </w:p>
    <w:p w:rsidR="008D1F04" w:rsidRDefault="008D1F04" w:rsidP="00F37EE6">
      <w:pPr>
        <w:pStyle w:val="Default"/>
        <w:numPr>
          <w:ilvl w:val="0"/>
          <w:numId w:val="65"/>
        </w:numPr>
        <w:spacing w:after="120" w:line="260" w:lineRule="exact"/>
        <w:ind w:left="284" w:hanging="284"/>
        <w:jc w:val="both"/>
        <w:rPr>
          <w:rFonts w:ascii="Book Antiqua" w:hAnsi="Book Antiqua" w:cs="Book Antiqua"/>
          <w:color w:val="auto"/>
          <w:sz w:val="20"/>
          <w:szCs w:val="20"/>
        </w:rPr>
      </w:pPr>
      <w:r w:rsidRPr="00CE05AE">
        <w:rPr>
          <w:rFonts w:ascii="Book Antiqua" w:hAnsi="Book Antiqua" w:cs="Book Antiqua"/>
          <w:color w:val="auto"/>
          <w:sz w:val="20"/>
          <w:szCs w:val="20"/>
        </w:rPr>
        <w:t>savings measures agreed in the 2013-14 Mid-Ye</w:t>
      </w:r>
      <w:r>
        <w:rPr>
          <w:rFonts w:ascii="Book Antiqua" w:hAnsi="Book Antiqua" w:cs="Book Antiqua"/>
          <w:color w:val="auto"/>
          <w:sz w:val="20"/>
          <w:szCs w:val="20"/>
        </w:rPr>
        <w:t>ar Economic and Fiscal Outlook;</w:t>
      </w:r>
    </w:p>
    <w:p w:rsidR="008D1F04" w:rsidRPr="008D1F04" w:rsidRDefault="008D1F04" w:rsidP="00F37EE6">
      <w:pPr>
        <w:pStyle w:val="Default"/>
        <w:numPr>
          <w:ilvl w:val="0"/>
          <w:numId w:val="65"/>
        </w:numPr>
        <w:spacing w:after="120" w:line="260" w:lineRule="exact"/>
        <w:ind w:left="284" w:hanging="284"/>
        <w:jc w:val="both"/>
        <w:rPr>
          <w:rFonts w:ascii="Book Antiqua" w:hAnsi="Book Antiqua" w:cs="Book Antiqua"/>
          <w:color w:val="auto"/>
          <w:sz w:val="20"/>
          <w:szCs w:val="20"/>
        </w:rPr>
      </w:pPr>
      <w:r>
        <w:rPr>
          <w:rFonts w:ascii="Book Antiqua" w:hAnsi="Book Antiqua" w:cs="Book Antiqua"/>
          <w:color w:val="auto"/>
          <w:sz w:val="20"/>
          <w:szCs w:val="20"/>
        </w:rPr>
        <w:t>p</w:t>
      </w:r>
      <w:r w:rsidRPr="008D1F04">
        <w:rPr>
          <w:rFonts w:ascii="Book Antiqua" w:hAnsi="Book Antiqua" w:cs="Book Antiqua"/>
          <w:color w:val="auto"/>
          <w:sz w:val="20"/>
          <w:szCs w:val="20"/>
        </w:rPr>
        <w:t>arameter adjustments for domestic inflation</w:t>
      </w:r>
      <w:r>
        <w:rPr>
          <w:rFonts w:ascii="Book Antiqua" w:hAnsi="Book Antiqua" w:cs="Book Antiqua"/>
          <w:color w:val="auto"/>
          <w:sz w:val="20"/>
          <w:szCs w:val="20"/>
        </w:rPr>
        <w:t>;</w:t>
      </w:r>
    </w:p>
    <w:p w:rsidR="008D1F04" w:rsidRPr="008D1F04" w:rsidRDefault="008D1F04" w:rsidP="00F37EE6">
      <w:pPr>
        <w:pStyle w:val="Default"/>
        <w:numPr>
          <w:ilvl w:val="0"/>
          <w:numId w:val="65"/>
        </w:numPr>
        <w:spacing w:after="120" w:line="260" w:lineRule="exact"/>
        <w:ind w:left="284" w:hanging="284"/>
        <w:jc w:val="both"/>
        <w:rPr>
          <w:rFonts w:ascii="Book Antiqua" w:hAnsi="Book Antiqua" w:cs="Book Antiqua"/>
          <w:color w:val="auto"/>
          <w:sz w:val="20"/>
          <w:szCs w:val="20"/>
        </w:rPr>
      </w:pPr>
      <w:r>
        <w:rPr>
          <w:rFonts w:ascii="Book Antiqua" w:hAnsi="Book Antiqua" w:cs="Book Antiqua"/>
          <w:color w:val="auto"/>
          <w:sz w:val="20"/>
          <w:szCs w:val="20"/>
        </w:rPr>
        <w:t>r</w:t>
      </w:r>
      <w:r w:rsidRPr="008D1F04">
        <w:rPr>
          <w:rFonts w:ascii="Book Antiqua" w:hAnsi="Book Antiqua" w:cs="Book Antiqua"/>
          <w:color w:val="auto"/>
          <w:sz w:val="20"/>
          <w:szCs w:val="20"/>
        </w:rPr>
        <w:t>e-classification of operating funding to capital funding</w:t>
      </w:r>
      <w:r>
        <w:rPr>
          <w:rFonts w:ascii="Book Antiqua" w:hAnsi="Book Antiqua" w:cs="Book Antiqua"/>
          <w:color w:val="auto"/>
          <w:sz w:val="20"/>
          <w:szCs w:val="20"/>
        </w:rPr>
        <w:t>; and</w:t>
      </w:r>
    </w:p>
    <w:p w:rsidR="008D1F04" w:rsidRPr="008D1F04" w:rsidRDefault="008D1F04" w:rsidP="00F37EE6">
      <w:pPr>
        <w:pStyle w:val="Default"/>
        <w:numPr>
          <w:ilvl w:val="0"/>
          <w:numId w:val="65"/>
        </w:numPr>
        <w:spacing w:after="120" w:line="260" w:lineRule="exact"/>
        <w:ind w:left="284" w:hanging="284"/>
        <w:jc w:val="both"/>
        <w:rPr>
          <w:rFonts w:ascii="Book Antiqua" w:hAnsi="Book Antiqua" w:cs="Book Antiqua"/>
          <w:color w:val="auto"/>
          <w:sz w:val="20"/>
          <w:szCs w:val="20"/>
        </w:rPr>
      </w:pPr>
      <w:r>
        <w:rPr>
          <w:rFonts w:ascii="Book Antiqua" w:hAnsi="Book Antiqua" w:cs="Book Antiqua"/>
          <w:color w:val="auto"/>
          <w:sz w:val="20"/>
          <w:szCs w:val="20"/>
        </w:rPr>
        <w:t>o</w:t>
      </w:r>
      <w:r w:rsidRPr="008D1F04">
        <w:rPr>
          <w:rFonts w:ascii="Book Antiqua" w:hAnsi="Book Antiqua" w:cs="Book Antiqua"/>
          <w:color w:val="auto"/>
          <w:sz w:val="20"/>
          <w:szCs w:val="20"/>
        </w:rPr>
        <w:t>ffsets for new measures</w:t>
      </w:r>
      <w:r>
        <w:rPr>
          <w:rFonts w:ascii="Book Antiqua" w:hAnsi="Book Antiqua" w:cs="Book Antiqua"/>
          <w:color w:val="auto"/>
          <w:sz w:val="20"/>
          <w:szCs w:val="20"/>
        </w:rPr>
        <w:t>.</w:t>
      </w:r>
    </w:p>
    <w:p w:rsidR="008D1F04" w:rsidRPr="00EA176E" w:rsidRDefault="008D1F04" w:rsidP="008D1F04">
      <w:r w:rsidRPr="00EA176E">
        <w:t xml:space="preserve">The Income Statement shows a budgeted deficit in 2015-16 of $77.2 million, due to the removal of appropriation funding for depreciation and amortisation under the Net Cash funding arrangements.  Adjusting for the changed funding arrangements, the operating result attributable to the </w:t>
      </w:r>
      <w:r w:rsidR="003F18ED" w:rsidRPr="00EA176E">
        <w:t>d</w:t>
      </w:r>
      <w:r w:rsidRPr="00EA176E">
        <w:t>epartment is a surplus of $</w:t>
      </w:r>
      <w:r w:rsidR="00EA176E" w:rsidRPr="00EA176E">
        <w:t>40.4</w:t>
      </w:r>
      <w:r w:rsidRPr="00EA176E">
        <w:t xml:space="preserve"> million in 2015-16, </w:t>
      </w:r>
      <w:r w:rsidR="001C45ED">
        <w:t>all of which relates</w:t>
      </w:r>
      <w:r w:rsidRPr="00EA176E">
        <w:t xml:space="preserve"> to the Overseas Property Special Account (OPSA</w:t>
      </w:r>
      <w:r w:rsidR="00C32654">
        <w:t>).</w:t>
      </w:r>
    </w:p>
    <w:p w:rsidR="008D1F04" w:rsidRPr="00EA176E" w:rsidRDefault="008D1F04" w:rsidP="008D1F04">
      <w:pPr>
        <w:pStyle w:val="Heading5"/>
      </w:pPr>
      <w:r w:rsidRPr="00EA176E">
        <w:lastRenderedPageBreak/>
        <w:t xml:space="preserve">Budgeted Departmental Balance Sheet </w:t>
      </w:r>
    </w:p>
    <w:p w:rsidR="008D1F04" w:rsidRPr="00EA176E" w:rsidRDefault="008D1F04" w:rsidP="008D1F04">
      <w:r w:rsidRPr="00EA176E">
        <w:t xml:space="preserve">The </w:t>
      </w:r>
      <w:r w:rsidR="00503F0E" w:rsidRPr="00EA176E">
        <w:t>d</w:t>
      </w:r>
      <w:r w:rsidRPr="00EA176E">
        <w:t xml:space="preserve">epartment will receive an equity injection of $205.2 million in 2015-16 for the purchase or construction of new assets.  The </w:t>
      </w:r>
      <w:r w:rsidR="00503F0E" w:rsidRPr="00EA176E">
        <w:t>d</w:t>
      </w:r>
      <w:r w:rsidRPr="00EA176E">
        <w:t>epartment will also receive $52.2 million through its Departmental Capital Budget to fund the replacement of existing assets.</w:t>
      </w:r>
    </w:p>
    <w:p w:rsidR="008D1F04" w:rsidRPr="00EA176E" w:rsidRDefault="008D1F04" w:rsidP="008D1F04">
      <w:r w:rsidRPr="00EA176E">
        <w:t xml:space="preserve">For 2015-16, the </w:t>
      </w:r>
      <w:r w:rsidR="00503F0E" w:rsidRPr="00EA176E">
        <w:t>d</w:t>
      </w:r>
      <w:r w:rsidRPr="00EA176E">
        <w:t>epartment’s non-financial asset position is budgeted to be $</w:t>
      </w:r>
      <w:r w:rsidR="00EA176E" w:rsidRPr="00EA176E">
        <w:t>3,1</w:t>
      </w:r>
      <w:r w:rsidR="007C537D">
        <w:t>75</w:t>
      </w:r>
      <w:r w:rsidR="00EA176E" w:rsidRPr="00EA176E">
        <w:t>.2</w:t>
      </w:r>
      <w:r w:rsidRPr="00EA176E">
        <w:t xml:space="preserve"> million at year-end.  The major asset component is $</w:t>
      </w:r>
      <w:r w:rsidR="00EA176E" w:rsidRPr="00EA176E">
        <w:t>2,</w:t>
      </w:r>
      <w:r w:rsidR="007C537D">
        <w:t>548.6</w:t>
      </w:r>
      <w:r w:rsidRPr="00EA176E">
        <w:t xml:space="preserve"> million for Land and Buildings which include</w:t>
      </w:r>
      <w:r w:rsidR="00C82824">
        <w:t>s</w:t>
      </w:r>
      <w:r w:rsidRPr="00EA176E">
        <w:t xml:space="preserve"> $</w:t>
      </w:r>
      <w:r w:rsidR="00EA176E" w:rsidRPr="00EA176E">
        <w:t>2,</w:t>
      </w:r>
      <w:r w:rsidR="007C537D">
        <w:t>372.0</w:t>
      </w:r>
      <w:r w:rsidRPr="00EA176E">
        <w:t xml:space="preserve"> million managed in the </w:t>
      </w:r>
      <w:r w:rsidR="003F18ED" w:rsidRPr="00EA176E">
        <w:t>OPSA</w:t>
      </w:r>
      <w:r w:rsidRPr="00EA176E">
        <w:t>.</w:t>
      </w:r>
    </w:p>
    <w:p w:rsidR="006159FB" w:rsidRPr="006159FB" w:rsidRDefault="006159FB" w:rsidP="006159FB">
      <w:pPr>
        <w:keepNext/>
        <w:spacing w:after="120" w:line="240" w:lineRule="auto"/>
        <w:jc w:val="left"/>
        <w:outlineLvl w:val="4"/>
        <w:rPr>
          <w:rFonts w:ascii="Arial" w:hAnsi="Arial" w:cs="Arial"/>
          <w:b/>
          <w:iCs/>
          <w:szCs w:val="26"/>
        </w:rPr>
      </w:pPr>
      <w:r w:rsidRPr="006159FB">
        <w:rPr>
          <w:rFonts w:ascii="Arial" w:hAnsi="Arial" w:cs="Arial"/>
          <w:b/>
          <w:iCs/>
          <w:szCs w:val="26"/>
        </w:rPr>
        <w:t xml:space="preserve">Schedule of Budgeted Income and Expenses Administered on behalf of the Government </w:t>
      </w:r>
    </w:p>
    <w:p w:rsidR="006159FB" w:rsidRPr="006159FB" w:rsidRDefault="006159FB" w:rsidP="006159FB">
      <w:r w:rsidRPr="006159FB">
        <w:t>In 2015-16 DFAT will receive administered appropriation of $3,579.9 million (excluding capital fundi</w:t>
      </w:r>
      <w:r w:rsidR="00C32654">
        <w:t>ng) for programs administered on</w:t>
      </w:r>
      <w:r w:rsidRPr="006159FB">
        <w:t xml:space="preserve"> behalf of the Government. The significant decrease in appropriations o</w:t>
      </w:r>
      <w:r w:rsidR="00C82824">
        <w:t>f $950.9 million from 2014-</w:t>
      </w:r>
      <w:r w:rsidRPr="006159FB">
        <w:t xml:space="preserve">15 is due primarily to the reduction in expenditure on the Australian Aid Program. </w:t>
      </w:r>
    </w:p>
    <w:p w:rsidR="006159FB" w:rsidRPr="006159FB" w:rsidRDefault="006159FB" w:rsidP="006159FB">
      <w:r w:rsidRPr="006159FB">
        <w:t xml:space="preserve">Administered expenses for ‘International Development Assistance’ are budgeted at </w:t>
      </w:r>
      <w:r w:rsidRPr="006159FB">
        <w:br/>
        <w:t xml:space="preserve">$3,105.4 million, a decrease of $374.1 million from the 2014-15 estimated actual. </w:t>
      </w:r>
    </w:p>
    <w:p w:rsidR="006159FB" w:rsidRPr="006159FB" w:rsidRDefault="006159FB" w:rsidP="006159FB">
      <w:r w:rsidRPr="006159FB">
        <w:t>Administered expenses for ‘Other – International Development Assistance program’ is budgeted at $0.0 million, a decrease of $659.6 million from the 2014–15 estimated actual.  This is due to the restructure of the aid program where from 1 July 2015, with the exception of new pledges to multilateral replenishments, all future estimates have been merged into the ‘International Development Assistance’ line.</w:t>
      </w:r>
    </w:p>
    <w:p w:rsidR="006159FB" w:rsidRPr="006159FB" w:rsidRDefault="006159FB" w:rsidP="006159FB">
      <w:r w:rsidRPr="006159FB">
        <w:t xml:space="preserve">This reduction has been partially offset by forecast increases in estimated payments to International </w:t>
      </w:r>
      <w:r w:rsidR="008B37BA" w:rsidRPr="006159FB">
        <w:t>Organisations and</w:t>
      </w:r>
      <w:r w:rsidRPr="006159FB">
        <w:t xml:space="preserve"> United Nations P</w:t>
      </w:r>
      <w:r w:rsidR="001C45ED">
        <w:t>eacekeeping Operations of $87.3 </w:t>
      </w:r>
      <w:r w:rsidRPr="006159FB">
        <w:t>million and an increase of $16.8 million for the New Colombo Plan – Transforming Regional Relationships.</w:t>
      </w:r>
    </w:p>
    <w:p w:rsidR="006159FB" w:rsidRPr="006159FB" w:rsidRDefault="006075C5" w:rsidP="006159FB">
      <w:r>
        <w:t>E</w:t>
      </w:r>
      <w:r w:rsidR="006159FB" w:rsidRPr="006159FB">
        <w:t xml:space="preserve">xpenses </w:t>
      </w:r>
      <w:r>
        <w:t xml:space="preserve">under </w:t>
      </w:r>
      <w:r w:rsidR="006159FB" w:rsidRPr="006159FB">
        <w:t>‘Con</w:t>
      </w:r>
      <w:r>
        <w:t>cessional loan discount’ relate</w:t>
      </w:r>
      <w:r w:rsidR="006159FB" w:rsidRPr="006159FB">
        <w:t xml:space="preserve"> to the discounting of the Australia Indonesia Partnerships for Reconstruction and Development (AIPRD) loans.</w:t>
      </w:r>
    </w:p>
    <w:p w:rsidR="006159FB" w:rsidRPr="006159FB" w:rsidRDefault="006075C5" w:rsidP="006159FB">
      <w:r>
        <w:t>E</w:t>
      </w:r>
      <w:r w:rsidR="006159FB" w:rsidRPr="006159FB">
        <w:t xml:space="preserve">xpenses </w:t>
      </w:r>
      <w:r>
        <w:t xml:space="preserve">under </w:t>
      </w:r>
      <w:r w:rsidR="006159FB" w:rsidRPr="006159FB">
        <w:t>‘Concessional investment discount’ relate to the discounting of the investment components of the replenishments for the International Development Association (IDA) and the Asian Development Fund (ADF).</w:t>
      </w:r>
    </w:p>
    <w:p w:rsidR="006159FB" w:rsidRPr="006159FB" w:rsidRDefault="006159FB" w:rsidP="006159FB">
      <w:pPr>
        <w:keepNext/>
        <w:spacing w:after="120" w:line="240" w:lineRule="auto"/>
        <w:jc w:val="left"/>
        <w:outlineLvl w:val="4"/>
        <w:rPr>
          <w:rFonts w:ascii="Arial" w:hAnsi="Arial" w:cs="Arial"/>
          <w:b/>
          <w:iCs/>
          <w:szCs w:val="26"/>
        </w:rPr>
      </w:pPr>
      <w:r w:rsidRPr="006159FB">
        <w:rPr>
          <w:rFonts w:ascii="Arial" w:hAnsi="Arial" w:cs="Arial"/>
          <w:b/>
          <w:iCs/>
          <w:szCs w:val="26"/>
        </w:rPr>
        <w:t xml:space="preserve">Schedule of Budgeted Assets and Liabilities Administered on behalf of the Government </w:t>
      </w:r>
    </w:p>
    <w:p w:rsidR="006159FB" w:rsidRPr="006159FB" w:rsidRDefault="006159FB" w:rsidP="006159FB">
      <w:r w:rsidRPr="006159FB">
        <w:t>Administered assets and liabilities administered on behalf of the Government are budg</w:t>
      </w:r>
      <w:r w:rsidR="00C82824">
        <w:t>eted at $4,154.2 million and $1,947.2</w:t>
      </w:r>
      <w:r w:rsidRPr="006159FB">
        <w:t xml:space="preserve"> million resp</w:t>
      </w:r>
      <w:r w:rsidR="001C45ED">
        <w:t xml:space="preserve">ectively for the year ending </w:t>
      </w:r>
      <w:r w:rsidR="001C45ED" w:rsidRPr="001C45ED">
        <w:t>30</w:t>
      </w:r>
      <w:r w:rsidR="001C45ED">
        <w:t> </w:t>
      </w:r>
      <w:r w:rsidRPr="001C45ED">
        <w:t>June</w:t>
      </w:r>
      <w:r w:rsidRPr="006159FB">
        <w:t xml:space="preserve"> 2016.</w:t>
      </w:r>
    </w:p>
    <w:p w:rsidR="006159FB" w:rsidRPr="006159FB" w:rsidRDefault="006159FB" w:rsidP="006159FB">
      <w:r w:rsidRPr="006159FB">
        <w:t xml:space="preserve">Administered assets are expected to decrease in 2015-16 by $226.2 million.  This is due </w:t>
      </w:r>
      <w:r w:rsidR="00735917">
        <w:t xml:space="preserve">primarily </w:t>
      </w:r>
      <w:r w:rsidRPr="006159FB">
        <w:t xml:space="preserve">to no new multilateral replenishments being entered into in 2015-16. </w:t>
      </w:r>
    </w:p>
    <w:p w:rsidR="006159FB" w:rsidRPr="006159FB" w:rsidRDefault="006159FB" w:rsidP="006159FB">
      <w:r w:rsidRPr="006159FB">
        <w:lastRenderedPageBreak/>
        <w:t>Administered liabilities are expected to decrease in 2015-16 by $31</w:t>
      </w:r>
      <w:r w:rsidR="00F44B1C">
        <w:t>3</w:t>
      </w:r>
      <w:r w:rsidRPr="006159FB">
        <w:t>.</w:t>
      </w:r>
      <w:r w:rsidR="00F44B1C">
        <w:t>4</w:t>
      </w:r>
      <w:r w:rsidRPr="006159FB">
        <w:t xml:space="preserve"> million.  This is due </w:t>
      </w:r>
      <w:r w:rsidR="00A751EB">
        <w:t xml:space="preserve">primarily </w:t>
      </w:r>
      <w:r w:rsidRPr="006159FB">
        <w:t>to reduced liabilities for existing multilateral replenishments.</w:t>
      </w:r>
    </w:p>
    <w:p w:rsidR="006159FB" w:rsidRPr="006159FB" w:rsidRDefault="006159FB" w:rsidP="006159FB">
      <w:pPr>
        <w:keepNext/>
        <w:spacing w:after="120" w:line="240" w:lineRule="auto"/>
        <w:jc w:val="left"/>
        <w:outlineLvl w:val="4"/>
        <w:rPr>
          <w:rFonts w:ascii="Arial" w:hAnsi="Arial" w:cs="Arial"/>
          <w:b/>
          <w:iCs/>
          <w:szCs w:val="26"/>
        </w:rPr>
      </w:pPr>
      <w:r w:rsidRPr="006159FB">
        <w:rPr>
          <w:rFonts w:ascii="Arial" w:hAnsi="Arial" w:cs="Arial"/>
          <w:b/>
          <w:iCs/>
          <w:szCs w:val="26"/>
        </w:rPr>
        <w:t xml:space="preserve">Schedule of Budgeted Administered Cash Flows </w:t>
      </w:r>
    </w:p>
    <w:p w:rsidR="006159FB" w:rsidRPr="006159FB" w:rsidRDefault="006159FB" w:rsidP="006159FB">
      <w:r w:rsidRPr="006159FB">
        <w:t xml:space="preserve">Administered cash receipts is primarily comprised of receipts from passport and consular services and is budgeted at $517.8 million, an increase of $41.9 million.  </w:t>
      </w:r>
    </w:p>
    <w:p w:rsidR="008D1F04" w:rsidRDefault="006159FB" w:rsidP="008D1F04">
      <w:r w:rsidRPr="006159FB">
        <w:t>Administered cash used in 2015-16 is estimated to decrease by $</w:t>
      </w:r>
      <w:r w:rsidR="00F44B1C">
        <w:t>985.4</w:t>
      </w:r>
      <w:r w:rsidRPr="006159FB">
        <w:t xml:space="preserve"> million compared to 2014-15.  This is due primarily to the reduction in expenditure on the Australian Aid Program.</w:t>
      </w:r>
    </w:p>
    <w:p w:rsidR="00E4582E" w:rsidRDefault="000A6897" w:rsidP="00FC04D2">
      <w:pPr>
        <w:pStyle w:val="Heading4"/>
        <w:spacing w:before="0"/>
      </w:pPr>
      <w:r>
        <w:br w:type="page"/>
      </w:r>
      <w:r w:rsidR="00E4582E">
        <w:lastRenderedPageBreak/>
        <w:t>3.2.3</w:t>
      </w:r>
      <w:r w:rsidR="005F29CD">
        <w:tab/>
      </w:r>
      <w:r w:rsidR="00E4582E">
        <w:t xml:space="preserve">Budgeted </w:t>
      </w:r>
      <w:r w:rsidR="00F626C2">
        <w:t>financial statements tables</w:t>
      </w:r>
    </w:p>
    <w:p w:rsidR="00E4582E" w:rsidRPr="00D55898" w:rsidRDefault="00E855E0" w:rsidP="00E4582E">
      <w:pPr>
        <w:pStyle w:val="TableHeading"/>
        <w:rPr>
          <w:snapToGrid w:val="0"/>
          <w:sz w:val="20"/>
        </w:rPr>
      </w:pPr>
      <w:r w:rsidRPr="00D55898">
        <w:rPr>
          <w:sz w:val="20"/>
        </w:rPr>
        <w:t>Table 3.2.1</w:t>
      </w:r>
      <w:r w:rsidR="001352EE" w:rsidRPr="00D55898">
        <w:rPr>
          <w:sz w:val="20"/>
        </w:rPr>
        <w:t>:</w:t>
      </w:r>
      <w:r w:rsidRPr="00D55898">
        <w:rPr>
          <w:sz w:val="20"/>
        </w:rPr>
        <w:t xml:space="preserve"> Comprehensive </w:t>
      </w:r>
      <w:r w:rsidR="00F626C2" w:rsidRPr="00D55898">
        <w:rPr>
          <w:sz w:val="20"/>
        </w:rPr>
        <w:t>income statement (showing net cost of services</w:t>
      </w:r>
      <w:r w:rsidRPr="00D55898">
        <w:rPr>
          <w:sz w:val="20"/>
        </w:rPr>
        <w:t>)</w:t>
      </w:r>
      <w:r w:rsidR="004A1224" w:rsidRPr="00D55898">
        <w:rPr>
          <w:sz w:val="20"/>
        </w:rPr>
        <w:t xml:space="preserve"> </w:t>
      </w:r>
      <w:r w:rsidR="00E4582E" w:rsidRPr="00D55898">
        <w:rPr>
          <w:snapToGrid w:val="0"/>
          <w:sz w:val="20"/>
        </w:rPr>
        <w:t>for the period ended 30 June</w:t>
      </w:r>
    </w:p>
    <w:p w:rsidR="00F626C2" w:rsidRDefault="00833238" w:rsidP="00F626C2">
      <w:pPr>
        <w:pStyle w:val="TableGraphic"/>
      </w:pPr>
      <w:r>
        <w:pict>
          <v:shape id="_x0000_i1059" type="#_x0000_t75" style="width:384.3pt;height:427.3pt">
            <v:imagedata r:id="rId79" o:title=""/>
          </v:shape>
        </w:pict>
      </w:r>
    </w:p>
    <w:p w:rsidR="003F18ED" w:rsidRDefault="003F18ED" w:rsidP="003F18ED">
      <w:pPr>
        <w:rPr>
          <w:i/>
        </w:rPr>
      </w:pPr>
      <w:r w:rsidRPr="002F7A59">
        <w:rPr>
          <w:i/>
        </w:rPr>
        <w:t>Table continued on the following page.</w:t>
      </w:r>
    </w:p>
    <w:p w:rsidR="00476A11" w:rsidRDefault="00476A11" w:rsidP="003F18ED">
      <w:pPr>
        <w:rPr>
          <w:i/>
        </w:rPr>
      </w:pPr>
    </w:p>
    <w:p w:rsidR="00476A11" w:rsidRDefault="00476A11" w:rsidP="003F18ED">
      <w:pPr>
        <w:rPr>
          <w:i/>
        </w:rPr>
      </w:pPr>
    </w:p>
    <w:p w:rsidR="00476A11" w:rsidRDefault="00476A11" w:rsidP="003F18ED">
      <w:pPr>
        <w:rPr>
          <w:i/>
        </w:rPr>
      </w:pPr>
    </w:p>
    <w:p w:rsidR="00476A11" w:rsidRDefault="00476A11" w:rsidP="003F18ED">
      <w:pPr>
        <w:rPr>
          <w:i/>
        </w:rPr>
      </w:pPr>
    </w:p>
    <w:p w:rsidR="00476A11" w:rsidRPr="00476A11" w:rsidRDefault="00476A11" w:rsidP="00FC04D2">
      <w:pPr>
        <w:pStyle w:val="TableHeading"/>
        <w:spacing w:before="0"/>
        <w:rPr>
          <w:sz w:val="20"/>
        </w:rPr>
      </w:pPr>
      <w:r w:rsidRPr="00D55898">
        <w:rPr>
          <w:sz w:val="20"/>
        </w:rPr>
        <w:lastRenderedPageBreak/>
        <w:t xml:space="preserve">Table 3.2.1: Comprehensive income statement (showing net cost of services) </w:t>
      </w:r>
      <w:r w:rsidRPr="00476A11">
        <w:rPr>
          <w:sz w:val="20"/>
        </w:rPr>
        <w:t>for the period ended 30 June</w:t>
      </w:r>
      <w:r>
        <w:rPr>
          <w:sz w:val="20"/>
        </w:rPr>
        <w:t xml:space="preserve"> (continued)</w:t>
      </w:r>
    </w:p>
    <w:p w:rsidR="00A965CD" w:rsidRPr="00A965CD" w:rsidRDefault="00833238" w:rsidP="00A965CD">
      <w:pPr>
        <w:pStyle w:val="TableGraphic"/>
      </w:pPr>
      <w:r>
        <w:pict>
          <v:shape id="_x0000_i1060" type="#_x0000_t75" style="width:384.3pt;height:145.85pt">
            <v:imagedata r:id="rId80" o:title=""/>
          </v:shape>
        </w:pict>
      </w:r>
    </w:p>
    <w:p w:rsidR="00586535" w:rsidRDefault="00D55898" w:rsidP="00702FAB">
      <w:pPr>
        <w:pStyle w:val="ChartandTableFootnoteAlpha"/>
        <w:numPr>
          <w:ilvl w:val="0"/>
          <w:numId w:val="12"/>
        </w:numPr>
      </w:pPr>
      <w:r>
        <w:t>From 2010-11, the Government introduced net cash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3.2.5 Departmental Capital Budget Statement</w:t>
      </w:r>
      <w:r w:rsidR="00586535">
        <w:t>.</w:t>
      </w:r>
    </w:p>
    <w:p w:rsidR="00E4582E" w:rsidRDefault="00E4582E" w:rsidP="00E4582E">
      <w:pPr>
        <w:pStyle w:val="Source"/>
      </w:pPr>
      <w:r w:rsidRPr="00E4582E">
        <w:t>Prepared on Australian Accounting Standards basis</w:t>
      </w:r>
      <w:r>
        <w:t>.</w:t>
      </w:r>
    </w:p>
    <w:p w:rsidR="00586535" w:rsidRDefault="00586535" w:rsidP="00E4582E">
      <w:pPr>
        <w:pStyle w:val="Source"/>
      </w:pPr>
    </w:p>
    <w:p w:rsidR="00E4582E" w:rsidRPr="00D55898" w:rsidRDefault="000A24C4" w:rsidP="00C14A16">
      <w:pPr>
        <w:pStyle w:val="TableHeading"/>
        <w:spacing w:before="0"/>
        <w:rPr>
          <w:sz w:val="20"/>
        </w:rPr>
      </w:pPr>
      <w:r>
        <w:br w:type="page"/>
      </w:r>
      <w:r w:rsidR="00525AB1" w:rsidRPr="00D55898">
        <w:rPr>
          <w:sz w:val="20"/>
        </w:rPr>
        <w:lastRenderedPageBreak/>
        <w:t xml:space="preserve">Table 3.2.2: Budgeted </w:t>
      </w:r>
      <w:r w:rsidR="00F626C2" w:rsidRPr="00D55898">
        <w:rPr>
          <w:sz w:val="20"/>
        </w:rPr>
        <w:t xml:space="preserve">departmental balance sheet </w:t>
      </w:r>
      <w:r w:rsidR="00525AB1" w:rsidRPr="00D55898">
        <w:rPr>
          <w:sz w:val="20"/>
        </w:rPr>
        <w:t>(as at 30 June)</w:t>
      </w:r>
    </w:p>
    <w:p w:rsidR="00F626C2" w:rsidRPr="00F626C2" w:rsidRDefault="00833238" w:rsidP="00F626C2">
      <w:pPr>
        <w:pStyle w:val="TableGraphic"/>
      </w:pPr>
      <w:r>
        <w:pict>
          <v:shape id="_x0000_i1061" type="#_x0000_t75" style="width:384.3pt;height:426.4pt">
            <v:imagedata r:id="rId81" o:title=""/>
          </v:shape>
        </w:pict>
      </w:r>
    </w:p>
    <w:p w:rsidR="00E4582E" w:rsidRDefault="00E4582E" w:rsidP="00F626C2">
      <w:pPr>
        <w:pStyle w:val="ChartandTableFootnote"/>
      </w:pPr>
      <w:r w:rsidRPr="00E4582E">
        <w:t>*</w:t>
      </w:r>
      <w:r w:rsidR="00923879">
        <w:t xml:space="preserve"> ‘</w:t>
      </w:r>
      <w:r w:rsidRPr="00F626C2">
        <w:t>E</w:t>
      </w:r>
      <w:r w:rsidR="00F626C2">
        <w:t>quity’</w:t>
      </w:r>
      <w:r w:rsidRPr="00E4582E">
        <w:t xml:space="preserve"> is the residual interest in assets after deduction of liabilities.</w:t>
      </w:r>
    </w:p>
    <w:p w:rsidR="00E4582E" w:rsidRDefault="00E4582E" w:rsidP="00E4582E">
      <w:pPr>
        <w:pStyle w:val="Source"/>
      </w:pPr>
      <w:r>
        <w:t>Prepared on Australian Accounting Standards basis.</w:t>
      </w:r>
    </w:p>
    <w:p w:rsidR="0061675B" w:rsidRDefault="0061675B" w:rsidP="0061675B">
      <w:pPr>
        <w:pStyle w:val="NoSpacing"/>
      </w:pPr>
    </w:p>
    <w:p w:rsidR="00345CCD" w:rsidRPr="00D55898" w:rsidRDefault="000A24C4" w:rsidP="00C14A16">
      <w:pPr>
        <w:pStyle w:val="TableHeading"/>
        <w:spacing w:before="0"/>
        <w:rPr>
          <w:sz w:val="20"/>
        </w:rPr>
      </w:pPr>
      <w:r>
        <w:br w:type="page"/>
      </w:r>
      <w:r w:rsidR="00A80C87" w:rsidRPr="00D55898">
        <w:rPr>
          <w:sz w:val="20"/>
        </w:rPr>
        <w:lastRenderedPageBreak/>
        <w:t>Table 3.2.3</w:t>
      </w:r>
      <w:r w:rsidR="00345CCD" w:rsidRPr="00D55898">
        <w:rPr>
          <w:sz w:val="20"/>
        </w:rPr>
        <w:t xml:space="preserve">: Departmental </w:t>
      </w:r>
      <w:r w:rsidR="00F626C2" w:rsidRPr="00D55898">
        <w:rPr>
          <w:sz w:val="20"/>
        </w:rPr>
        <w:t xml:space="preserve">statement of changes in equity </w:t>
      </w:r>
      <w:r w:rsidR="00345CCD" w:rsidRPr="00D55898">
        <w:rPr>
          <w:sz w:val="20"/>
        </w:rPr>
        <w:t xml:space="preserve">— </w:t>
      </w:r>
      <w:r w:rsidR="00F626C2" w:rsidRPr="00D55898">
        <w:rPr>
          <w:sz w:val="20"/>
        </w:rPr>
        <w:t>summary of movement (</w:t>
      </w:r>
      <w:r w:rsidR="008A1DDE" w:rsidRPr="00D55898">
        <w:rPr>
          <w:sz w:val="20"/>
        </w:rPr>
        <w:t xml:space="preserve">Budget </w:t>
      </w:r>
      <w:r w:rsidR="00F626C2" w:rsidRPr="00D55898">
        <w:rPr>
          <w:sz w:val="20"/>
        </w:rPr>
        <w:t>y</w:t>
      </w:r>
      <w:r w:rsidR="008A1DDE" w:rsidRPr="00D55898">
        <w:rPr>
          <w:sz w:val="20"/>
        </w:rPr>
        <w:t xml:space="preserve">ear </w:t>
      </w:r>
      <w:r w:rsidR="00475EAF" w:rsidRPr="00D55898">
        <w:rPr>
          <w:sz w:val="20"/>
        </w:rPr>
        <w:t>201</w:t>
      </w:r>
      <w:r w:rsidR="00F20FF5" w:rsidRPr="00D55898">
        <w:rPr>
          <w:sz w:val="20"/>
        </w:rPr>
        <w:t>5</w:t>
      </w:r>
      <w:r w:rsidR="00475EAF" w:rsidRPr="00D55898">
        <w:rPr>
          <w:sz w:val="20"/>
        </w:rPr>
        <w:t>-1</w:t>
      </w:r>
      <w:r w:rsidR="00F20FF5" w:rsidRPr="00D55898">
        <w:rPr>
          <w:sz w:val="20"/>
        </w:rPr>
        <w:t>6</w:t>
      </w:r>
      <w:r w:rsidR="00345CCD" w:rsidRPr="00D55898">
        <w:rPr>
          <w:sz w:val="20"/>
        </w:rPr>
        <w:t>)</w:t>
      </w:r>
    </w:p>
    <w:p w:rsidR="00F626C2" w:rsidRPr="00F626C2" w:rsidRDefault="00833238" w:rsidP="00F626C2">
      <w:pPr>
        <w:pStyle w:val="TableGraphic"/>
      </w:pPr>
      <w:r>
        <w:pict>
          <v:shape id="_x0000_i1062" type="#_x0000_t75" style="width:380.55pt;height:313.25pt">
            <v:imagedata r:id="rId82" o:title=""/>
          </v:shape>
        </w:pict>
      </w:r>
    </w:p>
    <w:p w:rsidR="00345CCD" w:rsidRDefault="00345CCD" w:rsidP="00345CCD">
      <w:pPr>
        <w:pStyle w:val="Source"/>
      </w:pPr>
      <w:r>
        <w:t>Prepared on Australian Accounting Standards basis.</w:t>
      </w:r>
    </w:p>
    <w:p w:rsidR="00345CCD" w:rsidRDefault="00345CCD" w:rsidP="0061675B">
      <w:pPr>
        <w:pStyle w:val="NoSpacing"/>
      </w:pPr>
    </w:p>
    <w:p w:rsidR="00345CCD" w:rsidRPr="00D55898" w:rsidRDefault="000A24C4" w:rsidP="00C14A16">
      <w:pPr>
        <w:pStyle w:val="TableHeading"/>
        <w:spacing w:before="0"/>
        <w:rPr>
          <w:sz w:val="20"/>
        </w:rPr>
      </w:pPr>
      <w:r>
        <w:br w:type="page"/>
      </w:r>
      <w:r w:rsidR="00345CCD" w:rsidRPr="00D55898">
        <w:rPr>
          <w:sz w:val="20"/>
        </w:rPr>
        <w:lastRenderedPageBreak/>
        <w:t xml:space="preserve">Table 3.2.4: Budgeted </w:t>
      </w:r>
      <w:r w:rsidR="00F10305" w:rsidRPr="00D55898">
        <w:rPr>
          <w:sz w:val="20"/>
        </w:rPr>
        <w:t xml:space="preserve">departmental statement of cash flows </w:t>
      </w:r>
      <w:r w:rsidR="00345CCD" w:rsidRPr="00D55898">
        <w:rPr>
          <w:sz w:val="20"/>
        </w:rPr>
        <w:t>(</w:t>
      </w:r>
      <w:r w:rsidR="00F10305" w:rsidRPr="00D55898">
        <w:rPr>
          <w:sz w:val="20"/>
        </w:rPr>
        <w:t>for </w:t>
      </w:r>
      <w:r w:rsidR="00345CCD" w:rsidRPr="00D55898">
        <w:rPr>
          <w:sz w:val="20"/>
        </w:rPr>
        <w:t>the period ended 30 June)</w:t>
      </w:r>
    </w:p>
    <w:p w:rsidR="00F10305" w:rsidRDefault="00833238" w:rsidP="00F10305">
      <w:pPr>
        <w:pStyle w:val="TableGraphic"/>
      </w:pPr>
      <w:r>
        <w:pict>
          <v:shape id="_x0000_i1063" type="#_x0000_t75" style="width:384.3pt;height:489.05pt">
            <v:imagedata r:id="rId83" o:title=""/>
          </v:shape>
        </w:pict>
      </w:r>
    </w:p>
    <w:p w:rsidR="00D55898" w:rsidRDefault="00D55898" w:rsidP="00D55898">
      <w:pPr>
        <w:pStyle w:val="Source"/>
      </w:pPr>
      <w:r>
        <w:t>Prepared on Australian Accounting Standards basis.</w:t>
      </w:r>
    </w:p>
    <w:p w:rsidR="0041404E" w:rsidRPr="00D55898" w:rsidRDefault="000A24C4" w:rsidP="00C14A16">
      <w:pPr>
        <w:pStyle w:val="TableHeading"/>
        <w:spacing w:before="0"/>
        <w:rPr>
          <w:sz w:val="20"/>
        </w:rPr>
      </w:pPr>
      <w:r>
        <w:br w:type="page"/>
      </w:r>
      <w:r w:rsidR="008B4464" w:rsidRPr="00D55898">
        <w:rPr>
          <w:sz w:val="20"/>
        </w:rPr>
        <w:lastRenderedPageBreak/>
        <w:t xml:space="preserve">Table 3.2.5: </w:t>
      </w:r>
      <w:r w:rsidR="00F54947" w:rsidRPr="00D55898">
        <w:rPr>
          <w:sz w:val="20"/>
        </w:rPr>
        <w:t xml:space="preserve">Departmental </w:t>
      </w:r>
      <w:r w:rsidR="00F10305" w:rsidRPr="00D55898">
        <w:rPr>
          <w:sz w:val="20"/>
        </w:rPr>
        <w:t>capital budget statement</w:t>
      </w:r>
      <w:r w:rsidR="005067C7" w:rsidRPr="00D55898">
        <w:rPr>
          <w:sz w:val="20"/>
        </w:rPr>
        <w:t xml:space="preserve"> (for the period ended 30 June)</w:t>
      </w:r>
    </w:p>
    <w:p w:rsidR="00F10305" w:rsidRPr="00F10305" w:rsidRDefault="00833238" w:rsidP="00F10305">
      <w:pPr>
        <w:pStyle w:val="TableGraphic"/>
      </w:pPr>
      <w:r>
        <w:pict>
          <v:shape id="_x0000_i1064" type="#_x0000_t75" style="width:384.3pt;height:285.2pt">
            <v:imagedata r:id="rId84" o:title=""/>
          </v:shape>
        </w:pict>
      </w:r>
    </w:p>
    <w:p w:rsidR="00F20FF5" w:rsidRDefault="00F20FF5" w:rsidP="00702FAB">
      <w:pPr>
        <w:pStyle w:val="ChartandTableFootnoteAlpha"/>
        <w:numPr>
          <w:ilvl w:val="0"/>
          <w:numId w:val="13"/>
        </w:numPr>
      </w:pPr>
      <w:r>
        <w:t>Includes both current Bill 2 and prior Act 2/4/6 appropriations and special capital appropriations.</w:t>
      </w:r>
    </w:p>
    <w:p w:rsidR="00F20FF5" w:rsidRDefault="00F20FF5" w:rsidP="00702FAB">
      <w:pPr>
        <w:pStyle w:val="ChartandTableFootnoteAlpha"/>
        <w:numPr>
          <w:ilvl w:val="0"/>
          <w:numId w:val="13"/>
        </w:numPr>
      </w:pPr>
      <w:r>
        <w:t>Does not include annual finance lease costs. Includes purchases from current and previous years’ Departmental Capital Budgets (DCBs).</w:t>
      </w:r>
    </w:p>
    <w:p w:rsidR="00F20FF5" w:rsidRDefault="00F20FF5" w:rsidP="00702FAB">
      <w:pPr>
        <w:pStyle w:val="ChartandTableFootnoteAlpha"/>
        <w:numPr>
          <w:ilvl w:val="0"/>
          <w:numId w:val="13"/>
        </w:numPr>
      </w:pPr>
      <w:r>
        <w:t>Includes the following sources of funding:</w:t>
      </w:r>
    </w:p>
    <w:p w:rsidR="00F20FF5" w:rsidRDefault="00F20FF5" w:rsidP="00702FAB">
      <w:pPr>
        <w:pStyle w:val="Source"/>
        <w:numPr>
          <w:ilvl w:val="0"/>
          <w:numId w:val="11"/>
        </w:numPr>
      </w:pPr>
      <w:r>
        <w:t>current Bill 1 and prior year Act 1/3/5 appropriations (excluding amounts from the DCB);</w:t>
      </w:r>
    </w:p>
    <w:p w:rsidR="00F20FF5" w:rsidRDefault="00F20FF5" w:rsidP="00702FAB">
      <w:pPr>
        <w:pStyle w:val="Source"/>
        <w:numPr>
          <w:ilvl w:val="0"/>
          <w:numId w:val="11"/>
        </w:numPr>
      </w:pPr>
      <w:r>
        <w:t>internally developed assets;</w:t>
      </w:r>
    </w:p>
    <w:p w:rsidR="00F20FF5" w:rsidRDefault="00F20FF5" w:rsidP="00702FAB">
      <w:pPr>
        <w:pStyle w:val="Source"/>
        <w:numPr>
          <w:ilvl w:val="0"/>
          <w:numId w:val="11"/>
        </w:numPr>
      </w:pPr>
      <w:r>
        <w:t xml:space="preserve">s74 Retained </w:t>
      </w:r>
      <w:r w:rsidR="0041404E">
        <w:t>revenue receipts</w:t>
      </w:r>
      <w:r>
        <w:t>; and</w:t>
      </w:r>
    </w:p>
    <w:p w:rsidR="00F20FF5" w:rsidRDefault="00F20FF5" w:rsidP="00702FAB">
      <w:pPr>
        <w:pStyle w:val="Source"/>
        <w:numPr>
          <w:ilvl w:val="0"/>
          <w:numId w:val="11"/>
        </w:numPr>
      </w:pPr>
      <w:r>
        <w:t>proceeds from the sale of assets.</w:t>
      </w:r>
    </w:p>
    <w:p w:rsidR="008B4464" w:rsidRDefault="008B4464" w:rsidP="008B4464">
      <w:pPr>
        <w:pStyle w:val="Source"/>
      </w:pPr>
      <w:r>
        <w:t>Prepared on Australian Accounting Standards basis.</w:t>
      </w:r>
    </w:p>
    <w:p w:rsidR="00E855E0" w:rsidRDefault="00E855E0" w:rsidP="0061675B">
      <w:pPr>
        <w:pStyle w:val="NoSpacing"/>
      </w:pPr>
    </w:p>
    <w:p w:rsidR="00982444" w:rsidRDefault="00982444" w:rsidP="0061675B">
      <w:pPr>
        <w:pStyle w:val="ExampleText0"/>
        <w:sectPr w:rsidR="00982444" w:rsidSect="000A24C4">
          <w:headerReference w:type="even" r:id="rId85"/>
          <w:headerReference w:type="default" r:id="rId86"/>
          <w:footerReference w:type="default" r:id="rId87"/>
          <w:headerReference w:type="first" r:id="rId88"/>
          <w:footerReference w:type="first" r:id="rId89"/>
          <w:type w:val="oddPage"/>
          <w:pgSz w:w="11906" w:h="16838" w:code="9"/>
          <w:pgMar w:top="2466" w:right="2098" w:bottom="2466" w:left="2098" w:header="1899" w:footer="1899" w:gutter="0"/>
          <w:cols w:space="708"/>
          <w:titlePg/>
          <w:docGrid w:linePitch="360"/>
        </w:sectPr>
      </w:pPr>
    </w:p>
    <w:p w:rsidR="0041404E" w:rsidRPr="00DD04A9" w:rsidRDefault="00CC4867" w:rsidP="00C14A16">
      <w:pPr>
        <w:pStyle w:val="TableHeading"/>
        <w:spacing w:before="0" w:after="0"/>
        <w:rPr>
          <w:sz w:val="20"/>
        </w:rPr>
      </w:pPr>
      <w:r w:rsidRPr="00DD04A9">
        <w:rPr>
          <w:sz w:val="20"/>
        </w:rPr>
        <w:lastRenderedPageBreak/>
        <w:t xml:space="preserve">Table 3.2.6: Statement of </w:t>
      </w:r>
      <w:r w:rsidR="00F10305" w:rsidRPr="00DD04A9">
        <w:rPr>
          <w:sz w:val="20"/>
        </w:rPr>
        <w:t xml:space="preserve">asset movements </w:t>
      </w:r>
      <w:r w:rsidR="008A1DDE" w:rsidRPr="00DD04A9">
        <w:rPr>
          <w:sz w:val="20"/>
        </w:rPr>
        <w:t>(</w:t>
      </w:r>
      <w:r w:rsidR="00B70C9E" w:rsidRPr="00DD04A9">
        <w:rPr>
          <w:sz w:val="20"/>
        </w:rPr>
        <w:t xml:space="preserve">Budget year </w:t>
      </w:r>
      <w:r w:rsidR="00475EAF" w:rsidRPr="00DD04A9">
        <w:rPr>
          <w:sz w:val="20"/>
        </w:rPr>
        <w:t>201</w:t>
      </w:r>
      <w:r w:rsidR="000712EE" w:rsidRPr="00DD04A9">
        <w:rPr>
          <w:sz w:val="20"/>
        </w:rPr>
        <w:t>5</w:t>
      </w:r>
      <w:r w:rsidR="00F10305" w:rsidRPr="00DD04A9">
        <w:rPr>
          <w:sz w:val="20"/>
        </w:rPr>
        <w:noBreakHyphen/>
      </w:r>
      <w:r w:rsidR="00475EAF" w:rsidRPr="00DD04A9">
        <w:rPr>
          <w:sz w:val="20"/>
        </w:rPr>
        <w:t>1</w:t>
      </w:r>
      <w:r w:rsidR="000712EE" w:rsidRPr="00DD04A9">
        <w:rPr>
          <w:sz w:val="20"/>
        </w:rPr>
        <w:t>6</w:t>
      </w:r>
      <w:r w:rsidR="00E855E0" w:rsidRPr="00DD04A9">
        <w:rPr>
          <w:sz w:val="20"/>
        </w:rPr>
        <w:t>)</w:t>
      </w:r>
    </w:p>
    <w:p w:rsidR="00F10305" w:rsidRPr="00F10305" w:rsidRDefault="00833238" w:rsidP="00F10305">
      <w:pPr>
        <w:pStyle w:val="TableGraphic"/>
      </w:pPr>
      <w:r>
        <w:pict>
          <v:shape id="_x0000_i1065" type="#_x0000_t75" style="width:384.3pt;height:305.75pt">
            <v:imagedata r:id="rId90" o:title=""/>
          </v:shape>
        </w:pict>
      </w:r>
    </w:p>
    <w:p w:rsidR="00F20FF5" w:rsidRDefault="00F10305" w:rsidP="00702FAB">
      <w:pPr>
        <w:pStyle w:val="ChartandTableFootnoteAlpha"/>
        <w:numPr>
          <w:ilvl w:val="0"/>
          <w:numId w:val="14"/>
        </w:numPr>
      </w:pPr>
      <w:r>
        <w:t>‘Appropriation equity’</w:t>
      </w:r>
      <w:r w:rsidR="00F20FF5">
        <w:t xml:space="preserve"> refers to equity injections appropriations provided through </w:t>
      </w:r>
      <w:r w:rsidR="00F20FF5" w:rsidRPr="00D10FA2">
        <w:rPr>
          <w:i/>
        </w:rPr>
        <w:t>Appropriation Bill (No. 2) 2015-16</w:t>
      </w:r>
      <w:r w:rsidR="0049738C">
        <w:t>.</w:t>
      </w:r>
    </w:p>
    <w:p w:rsidR="00F20FF5" w:rsidRDefault="00F10305" w:rsidP="00702FAB">
      <w:pPr>
        <w:pStyle w:val="ChartandTableFootnoteAlpha"/>
        <w:numPr>
          <w:ilvl w:val="0"/>
          <w:numId w:val="14"/>
        </w:numPr>
      </w:pPr>
      <w:r>
        <w:t>‘</w:t>
      </w:r>
      <w:r w:rsidR="00F20FF5">
        <w:t>Appropr</w:t>
      </w:r>
      <w:r>
        <w:t>iation ordinary annual services’</w:t>
      </w:r>
      <w:r w:rsidR="00F20FF5">
        <w:t xml:space="preserve"> refers to funding provided through </w:t>
      </w:r>
      <w:r w:rsidR="00F20FF5" w:rsidRPr="00D10FA2">
        <w:rPr>
          <w:i/>
        </w:rPr>
        <w:t>Appropriation Bill (No. 1) 2015-16</w:t>
      </w:r>
      <w:r w:rsidR="00F20FF5">
        <w:t xml:space="preserve"> for depreciation/amortisation expenses, or other operational expenses.</w:t>
      </w:r>
    </w:p>
    <w:p w:rsidR="0061675B" w:rsidRPr="002B7D6F" w:rsidRDefault="00CC4867" w:rsidP="00F51346">
      <w:pPr>
        <w:pStyle w:val="Source"/>
      </w:pPr>
      <w:r w:rsidRPr="003458E0">
        <w:t>Prepared on Australian Accounting Standards basis.</w:t>
      </w:r>
    </w:p>
    <w:p w:rsidR="004F5573" w:rsidRPr="00733F2E" w:rsidRDefault="00D30CBA" w:rsidP="00C14A16">
      <w:pPr>
        <w:pStyle w:val="TableHeading"/>
        <w:spacing w:before="0"/>
        <w:rPr>
          <w:sz w:val="20"/>
        </w:rPr>
      </w:pPr>
      <w:r w:rsidRPr="00733F2E">
        <w:rPr>
          <w:sz w:val="20"/>
        </w:rPr>
        <w:lastRenderedPageBreak/>
        <w:t>Table 3.2.</w:t>
      </w:r>
      <w:r w:rsidR="00B93884" w:rsidRPr="00733F2E">
        <w:rPr>
          <w:sz w:val="20"/>
        </w:rPr>
        <w:t>7</w:t>
      </w:r>
      <w:r w:rsidRPr="00733F2E">
        <w:rPr>
          <w:sz w:val="20"/>
        </w:rPr>
        <w:t xml:space="preserve">: Schedule of </w:t>
      </w:r>
      <w:r w:rsidR="00F10305" w:rsidRPr="00733F2E">
        <w:rPr>
          <w:sz w:val="20"/>
        </w:rPr>
        <w:t>budgeted income and expenses administered on behalf of</w:t>
      </w:r>
      <w:r w:rsidR="002C7A63" w:rsidRPr="00733F2E">
        <w:rPr>
          <w:sz w:val="20"/>
        </w:rPr>
        <w:t xml:space="preserve"> G</w:t>
      </w:r>
      <w:r w:rsidRPr="00733F2E">
        <w:rPr>
          <w:sz w:val="20"/>
        </w:rPr>
        <w:t>ove</w:t>
      </w:r>
      <w:r w:rsidR="004F5573" w:rsidRPr="00733F2E">
        <w:rPr>
          <w:sz w:val="20"/>
        </w:rPr>
        <w:t>rnment (for the period ended 30 </w:t>
      </w:r>
      <w:r w:rsidRPr="00733F2E">
        <w:rPr>
          <w:sz w:val="20"/>
        </w:rPr>
        <w:t>June)</w:t>
      </w:r>
    </w:p>
    <w:p w:rsidR="00F10305" w:rsidRPr="00F10305" w:rsidRDefault="00833238" w:rsidP="0044552A">
      <w:pPr>
        <w:pStyle w:val="TableGraphic"/>
      </w:pPr>
      <w:r>
        <w:pict>
          <v:shape id="_x0000_i1066" type="#_x0000_t75" style="width:384.3pt;height:466.6pt">
            <v:imagedata r:id="rId91" o:title=""/>
          </v:shape>
        </w:pict>
      </w:r>
    </w:p>
    <w:p w:rsidR="00733F2E" w:rsidRDefault="00733F2E" w:rsidP="00F37EE6">
      <w:pPr>
        <w:pStyle w:val="ChartandTableFootnoteAlpha"/>
        <w:numPr>
          <w:ilvl w:val="0"/>
          <w:numId w:val="62"/>
        </w:numPr>
      </w:pPr>
      <w:r>
        <w:t>International Development Association (IDA) and Asian Development Fund (ADF).</w:t>
      </w:r>
    </w:p>
    <w:p w:rsidR="007A0BB9" w:rsidRDefault="007A0BB9" w:rsidP="007A0BB9">
      <w:pPr>
        <w:pStyle w:val="Source"/>
      </w:pPr>
      <w:r w:rsidRPr="00E4582E">
        <w:t>Prepared on Australian Accounting Standards basis</w:t>
      </w:r>
      <w:r>
        <w:t>.</w:t>
      </w:r>
    </w:p>
    <w:p w:rsidR="0061675B" w:rsidRDefault="0061675B" w:rsidP="0061675B">
      <w:pPr>
        <w:pStyle w:val="NoSpacing"/>
      </w:pPr>
    </w:p>
    <w:p w:rsidR="00D30CBA" w:rsidRDefault="000A24C4" w:rsidP="00C14A16">
      <w:pPr>
        <w:pStyle w:val="TableHeading"/>
        <w:spacing w:before="0"/>
      </w:pPr>
      <w:r>
        <w:br w:type="page"/>
      </w:r>
      <w:r w:rsidR="00D30CBA" w:rsidRPr="006E0DF5">
        <w:rPr>
          <w:sz w:val="20"/>
        </w:rPr>
        <w:lastRenderedPageBreak/>
        <w:t>Table 3.2.</w:t>
      </w:r>
      <w:r w:rsidR="00B93884" w:rsidRPr="006E0DF5">
        <w:rPr>
          <w:sz w:val="20"/>
        </w:rPr>
        <w:t>8</w:t>
      </w:r>
      <w:r w:rsidR="00D30CBA" w:rsidRPr="006E0DF5">
        <w:rPr>
          <w:sz w:val="20"/>
        </w:rPr>
        <w:t xml:space="preserve">: Schedule of </w:t>
      </w:r>
      <w:r w:rsidR="0044552A" w:rsidRPr="006E0DF5">
        <w:rPr>
          <w:sz w:val="20"/>
        </w:rPr>
        <w:t xml:space="preserve">budgeted assets and liabilities administered on behalf </w:t>
      </w:r>
      <w:r w:rsidR="002C7A63" w:rsidRPr="006E0DF5">
        <w:rPr>
          <w:sz w:val="20"/>
        </w:rPr>
        <w:t>of G</w:t>
      </w:r>
      <w:r w:rsidR="00D30CBA" w:rsidRPr="006E0DF5">
        <w:rPr>
          <w:sz w:val="20"/>
        </w:rPr>
        <w:t>overnment (as at 30 June)</w:t>
      </w:r>
    </w:p>
    <w:p w:rsidR="00993EA1" w:rsidRDefault="00833238" w:rsidP="0044552A">
      <w:pPr>
        <w:pStyle w:val="TableGraphic"/>
        <w:rPr>
          <w:rFonts w:ascii="Times New Roman" w:hAnsi="Times New Roman"/>
        </w:rPr>
      </w:pPr>
      <w:r>
        <w:pict>
          <v:shape id="_x0000_i1067" type="#_x0000_t75" style="width:384.3pt;height:461.9pt">
            <v:imagedata r:id="rId92" o:title=""/>
          </v:shape>
        </w:pict>
      </w:r>
    </w:p>
    <w:p w:rsidR="006E0DF5" w:rsidRDefault="006E0DF5" w:rsidP="00F37EE6">
      <w:pPr>
        <w:pStyle w:val="ChartandTableFootnoteAlpha"/>
        <w:numPr>
          <w:ilvl w:val="0"/>
          <w:numId w:val="63"/>
        </w:numPr>
      </w:pPr>
      <w:r>
        <w:t>International Development Association (IDA) and Asian Development Fund (ADF).</w:t>
      </w:r>
    </w:p>
    <w:p w:rsidR="006E0DF5" w:rsidRDefault="006E0DF5" w:rsidP="006E0DF5">
      <w:pPr>
        <w:pStyle w:val="Source"/>
      </w:pPr>
      <w:r w:rsidRPr="00E4582E">
        <w:t>Prepared on Australian Accounting Standards basis</w:t>
      </w:r>
      <w:r>
        <w:t>.</w:t>
      </w:r>
    </w:p>
    <w:p w:rsidR="0061675B" w:rsidRPr="0061675B" w:rsidRDefault="0061675B" w:rsidP="008D1B0D">
      <w:pPr>
        <w:pStyle w:val="SingleParagraph"/>
      </w:pPr>
    </w:p>
    <w:p w:rsidR="00C41D55" w:rsidRDefault="000A24C4" w:rsidP="00C14A16">
      <w:pPr>
        <w:pStyle w:val="TableHeading"/>
        <w:spacing w:before="0"/>
      </w:pPr>
      <w:bookmarkStart w:id="28" w:name="OLE_LINK1"/>
      <w:r>
        <w:br w:type="page"/>
      </w:r>
      <w:r w:rsidR="00C41D55" w:rsidRPr="006E0DF5">
        <w:rPr>
          <w:sz w:val="20"/>
        </w:rPr>
        <w:lastRenderedPageBreak/>
        <w:t>Table 3.2.</w:t>
      </w:r>
      <w:r w:rsidR="00F81CE4" w:rsidRPr="006E0DF5">
        <w:rPr>
          <w:sz w:val="20"/>
        </w:rPr>
        <w:t>9</w:t>
      </w:r>
      <w:r w:rsidR="00C41D55" w:rsidRPr="006E0DF5">
        <w:rPr>
          <w:sz w:val="20"/>
        </w:rPr>
        <w:t xml:space="preserve">: Schedule of </w:t>
      </w:r>
      <w:r w:rsidR="0044552A" w:rsidRPr="006E0DF5">
        <w:rPr>
          <w:sz w:val="20"/>
        </w:rPr>
        <w:t xml:space="preserve">budgeted administered cash flows </w:t>
      </w:r>
      <w:r w:rsidR="00C41D55" w:rsidRPr="006E0DF5">
        <w:rPr>
          <w:sz w:val="20"/>
        </w:rPr>
        <w:t>(for</w:t>
      </w:r>
      <w:r w:rsidR="0044552A" w:rsidRPr="006E0DF5">
        <w:rPr>
          <w:sz w:val="20"/>
        </w:rPr>
        <w:t> the </w:t>
      </w:r>
      <w:r w:rsidR="00C41D55" w:rsidRPr="006E0DF5">
        <w:rPr>
          <w:sz w:val="20"/>
        </w:rPr>
        <w:t>period ended 30 June)</w:t>
      </w:r>
    </w:p>
    <w:p w:rsidR="0044552A" w:rsidRPr="0044552A" w:rsidRDefault="00833238" w:rsidP="00A20C5D">
      <w:pPr>
        <w:pStyle w:val="TableGraphic"/>
      </w:pPr>
      <w:r>
        <w:pict>
          <v:shape id="_x0000_i1068" type="#_x0000_t75" style="width:387.1pt;height:540.45pt">
            <v:imagedata r:id="rId93" o:title=""/>
          </v:shape>
        </w:pict>
      </w:r>
    </w:p>
    <w:bookmarkEnd w:id="28"/>
    <w:p w:rsidR="0049738C" w:rsidRDefault="0049738C" w:rsidP="0049738C">
      <w:pPr>
        <w:pStyle w:val="Source"/>
      </w:pPr>
      <w:r>
        <w:t>Prepared on Australian Accounting Standards basis.</w:t>
      </w:r>
    </w:p>
    <w:p w:rsidR="00715A32" w:rsidRDefault="000A24C4" w:rsidP="00C14A16">
      <w:pPr>
        <w:pStyle w:val="TableHeading"/>
        <w:spacing w:before="0"/>
      </w:pPr>
      <w:r>
        <w:br w:type="page"/>
      </w:r>
      <w:r w:rsidR="00715A32" w:rsidRPr="006E0DF5">
        <w:rPr>
          <w:sz w:val="20"/>
        </w:rPr>
        <w:lastRenderedPageBreak/>
        <w:t>Table 3.2.1</w:t>
      </w:r>
      <w:r w:rsidR="00F81CE4" w:rsidRPr="006E0DF5">
        <w:rPr>
          <w:sz w:val="20"/>
        </w:rPr>
        <w:t>0</w:t>
      </w:r>
      <w:r w:rsidR="00715A32" w:rsidRPr="006E0DF5">
        <w:rPr>
          <w:sz w:val="20"/>
        </w:rPr>
        <w:t xml:space="preserve">: Administered </w:t>
      </w:r>
      <w:r w:rsidR="00A20C5D" w:rsidRPr="006E0DF5">
        <w:rPr>
          <w:sz w:val="20"/>
        </w:rPr>
        <w:t>capital budget statement</w:t>
      </w:r>
      <w:r w:rsidR="00EB1B80" w:rsidRPr="006E0DF5">
        <w:rPr>
          <w:sz w:val="20"/>
        </w:rPr>
        <w:t xml:space="preserve"> (for the period </w:t>
      </w:r>
      <w:r w:rsidR="001B7BAD" w:rsidRPr="006E0DF5">
        <w:rPr>
          <w:sz w:val="20"/>
        </w:rPr>
        <w:t>ended</w:t>
      </w:r>
      <w:r w:rsidR="00EB1B80" w:rsidRPr="006E0DF5">
        <w:rPr>
          <w:sz w:val="20"/>
        </w:rPr>
        <w:t xml:space="preserve"> 30 June)</w:t>
      </w:r>
    </w:p>
    <w:p w:rsidR="00A20C5D" w:rsidRPr="00A20C5D" w:rsidRDefault="00833238" w:rsidP="008E07C6">
      <w:pPr>
        <w:pStyle w:val="TableGraphic"/>
      </w:pPr>
      <w:r>
        <w:pict>
          <v:shape id="_x0000_i1069" type="#_x0000_t75" style="width:385.25pt;height:261.8pt">
            <v:imagedata r:id="rId94" o:title=""/>
          </v:shape>
        </w:pict>
      </w:r>
    </w:p>
    <w:p w:rsidR="00080F4F" w:rsidRDefault="005E0D49" w:rsidP="00A00981">
      <w:pPr>
        <w:spacing w:after="0"/>
      </w:pPr>
      <w:r w:rsidRPr="005E0D49">
        <w:rPr>
          <w:rFonts w:ascii="Arial" w:hAnsi="Arial"/>
          <w:sz w:val="16"/>
        </w:rPr>
        <w:t>(a) Includes purchases from current and previous years' administered capital budgets (ACBs).</w:t>
      </w:r>
    </w:p>
    <w:p w:rsidR="0061675B" w:rsidRDefault="0061675B" w:rsidP="0061675B">
      <w:pPr>
        <w:pStyle w:val="ExampleText0"/>
        <w:sectPr w:rsidR="0061675B" w:rsidSect="0026279C">
          <w:headerReference w:type="even" r:id="rId95"/>
          <w:headerReference w:type="default" r:id="rId96"/>
          <w:headerReference w:type="first" r:id="rId97"/>
          <w:footerReference w:type="first" r:id="rId98"/>
          <w:pgSz w:w="11906" w:h="16838" w:code="9"/>
          <w:pgMar w:top="2466" w:right="2098" w:bottom="2466" w:left="2098" w:header="1899" w:footer="1899" w:gutter="0"/>
          <w:cols w:space="708"/>
          <w:titlePg/>
          <w:docGrid w:linePitch="360"/>
        </w:sectPr>
      </w:pPr>
    </w:p>
    <w:p w:rsidR="00CC4867" w:rsidRPr="00C0006A" w:rsidRDefault="00B93884" w:rsidP="00C14A16">
      <w:pPr>
        <w:pStyle w:val="TableHeading"/>
        <w:spacing w:before="0"/>
        <w:rPr>
          <w:sz w:val="20"/>
        </w:rPr>
      </w:pPr>
      <w:r w:rsidRPr="00C0006A">
        <w:rPr>
          <w:sz w:val="20"/>
        </w:rPr>
        <w:lastRenderedPageBreak/>
        <w:t>Table 3.2.1</w:t>
      </w:r>
      <w:r w:rsidR="00F81CE4" w:rsidRPr="00C0006A">
        <w:rPr>
          <w:sz w:val="20"/>
        </w:rPr>
        <w:t>1</w:t>
      </w:r>
      <w:r w:rsidR="00CC4867" w:rsidRPr="00C0006A">
        <w:rPr>
          <w:sz w:val="20"/>
        </w:rPr>
        <w:t>: S</w:t>
      </w:r>
      <w:r w:rsidR="00AF3811" w:rsidRPr="00C0006A">
        <w:rPr>
          <w:sz w:val="20"/>
        </w:rPr>
        <w:t>tatement</w:t>
      </w:r>
      <w:r w:rsidR="00CC4867" w:rsidRPr="00C0006A">
        <w:rPr>
          <w:sz w:val="20"/>
        </w:rPr>
        <w:t xml:space="preserve"> of </w:t>
      </w:r>
      <w:r w:rsidR="00A20C5D" w:rsidRPr="00C0006A">
        <w:rPr>
          <w:sz w:val="20"/>
        </w:rPr>
        <w:t xml:space="preserve">administered asset movements </w:t>
      </w:r>
      <w:r w:rsidR="00AF3811" w:rsidRPr="00C0006A">
        <w:rPr>
          <w:sz w:val="20"/>
        </w:rPr>
        <w:t>(</w:t>
      </w:r>
      <w:r w:rsidR="00B70C9E" w:rsidRPr="00C0006A">
        <w:rPr>
          <w:sz w:val="20"/>
        </w:rPr>
        <w:t xml:space="preserve">Budget year </w:t>
      </w:r>
      <w:r w:rsidR="00475EAF" w:rsidRPr="00C0006A">
        <w:rPr>
          <w:sz w:val="20"/>
        </w:rPr>
        <w:t>201</w:t>
      </w:r>
      <w:r w:rsidR="00562BAD" w:rsidRPr="00C0006A">
        <w:rPr>
          <w:sz w:val="20"/>
        </w:rPr>
        <w:t>5</w:t>
      </w:r>
      <w:r w:rsidR="008E07C6" w:rsidRPr="00C0006A">
        <w:rPr>
          <w:sz w:val="20"/>
        </w:rPr>
        <w:t>-</w:t>
      </w:r>
      <w:r w:rsidR="00475EAF" w:rsidRPr="00C0006A">
        <w:rPr>
          <w:sz w:val="20"/>
        </w:rPr>
        <w:t>1</w:t>
      </w:r>
      <w:r w:rsidR="00562BAD" w:rsidRPr="00C0006A">
        <w:rPr>
          <w:sz w:val="20"/>
        </w:rPr>
        <w:t>6</w:t>
      </w:r>
      <w:r w:rsidR="00AF3811" w:rsidRPr="00C0006A">
        <w:rPr>
          <w:sz w:val="20"/>
        </w:rPr>
        <w:t>)</w:t>
      </w:r>
      <w:r w:rsidR="00CC4867" w:rsidRPr="00C0006A">
        <w:rPr>
          <w:sz w:val="20"/>
        </w:rPr>
        <w:t xml:space="preserve"> </w:t>
      </w:r>
    </w:p>
    <w:p w:rsidR="003364C1" w:rsidRDefault="00833238" w:rsidP="00CC4867">
      <w:pPr>
        <w:pStyle w:val="TableGraphic"/>
        <w:rPr>
          <w:i/>
          <w:color w:val="FF0000"/>
        </w:rPr>
      </w:pPr>
      <w:r>
        <w:pict>
          <v:shape id="_x0000_i1070" type="#_x0000_t75" style="width:384.3pt;height:271.15pt">
            <v:imagedata r:id="rId99" o:title=""/>
          </v:shape>
        </w:pict>
      </w:r>
    </w:p>
    <w:p w:rsidR="00C31E81" w:rsidRDefault="008E07C6" w:rsidP="00F37EE6">
      <w:pPr>
        <w:pStyle w:val="ChartandTableFootnoteAlpha"/>
        <w:numPr>
          <w:ilvl w:val="0"/>
          <w:numId w:val="15"/>
        </w:numPr>
      </w:pPr>
      <w:r>
        <w:t>‘</w:t>
      </w:r>
      <w:r w:rsidR="00C31E81">
        <w:t>Appropriation ordinary annual services</w:t>
      </w:r>
      <w:r>
        <w:t>’</w:t>
      </w:r>
      <w:r w:rsidR="00C31E81">
        <w:t xml:space="preserve"> refers to funding provided </w:t>
      </w:r>
      <w:r w:rsidR="00C31E81" w:rsidRPr="002911DC">
        <w:t xml:space="preserve">through </w:t>
      </w:r>
      <w:r w:rsidR="00C31E81" w:rsidRPr="002911DC">
        <w:rPr>
          <w:i/>
        </w:rPr>
        <w:t>Appropriation Bill (No. 1) 2015-16</w:t>
      </w:r>
      <w:r w:rsidR="00C31E81">
        <w:t xml:space="preserve"> for depreciation/amortisation expenses, ACBs or other operational expenses. </w:t>
      </w:r>
    </w:p>
    <w:p w:rsidR="005E0D49" w:rsidRDefault="005E0D49" w:rsidP="00CC4867">
      <w:pPr>
        <w:pStyle w:val="Source"/>
      </w:pPr>
    </w:p>
    <w:p w:rsidR="00CC4867" w:rsidRDefault="00CC4867" w:rsidP="00CC4867">
      <w:pPr>
        <w:pStyle w:val="Source"/>
      </w:pPr>
      <w:r w:rsidRPr="00E4582E">
        <w:t>Prepared on Australian Accounting Standards basis</w:t>
      </w:r>
      <w:r>
        <w:t>.</w:t>
      </w:r>
    </w:p>
    <w:p w:rsidR="0061675B" w:rsidRDefault="0061675B" w:rsidP="00F10D71">
      <w:pPr>
        <w:pStyle w:val="SingleParagraph"/>
      </w:pPr>
    </w:p>
    <w:p w:rsidR="0061675B" w:rsidRPr="00B93884" w:rsidRDefault="0061675B" w:rsidP="0061675B">
      <w:pPr>
        <w:pStyle w:val="ExampleText0"/>
        <w:sectPr w:rsidR="0061675B" w:rsidRPr="00B93884" w:rsidSect="004D4170">
          <w:headerReference w:type="even" r:id="rId100"/>
          <w:headerReference w:type="default" r:id="rId101"/>
          <w:headerReference w:type="first" r:id="rId102"/>
          <w:footerReference w:type="first" r:id="rId103"/>
          <w:pgSz w:w="11906" w:h="16838" w:code="9"/>
          <w:pgMar w:top="2466" w:right="2098" w:bottom="2466" w:left="2098" w:header="1531" w:footer="1531" w:gutter="0"/>
          <w:cols w:space="708"/>
          <w:titlePg/>
          <w:docGrid w:linePitch="360"/>
        </w:sectPr>
      </w:pPr>
    </w:p>
    <w:p w:rsidR="00C41D55" w:rsidRDefault="00C41D55" w:rsidP="00C41D55">
      <w:pPr>
        <w:pStyle w:val="Heading4"/>
      </w:pPr>
      <w:r>
        <w:lastRenderedPageBreak/>
        <w:t>3.2.4</w:t>
      </w:r>
      <w:r>
        <w:tab/>
        <w:t xml:space="preserve">Notes to the </w:t>
      </w:r>
      <w:r w:rsidR="00EA186C">
        <w:t>financial statements</w:t>
      </w:r>
    </w:p>
    <w:p w:rsidR="00F8394C" w:rsidRPr="00A938F5" w:rsidRDefault="00F8394C" w:rsidP="00F8394C">
      <w:pPr>
        <w:pStyle w:val="Heading4"/>
        <w:rPr>
          <w:b w:val="0"/>
          <w:i/>
          <w:sz w:val="20"/>
        </w:rPr>
      </w:pPr>
      <w:r w:rsidRPr="00A938F5">
        <w:rPr>
          <w:b w:val="0"/>
          <w:i/>
          <w:sz w:val="20"/>
        </w:rPr>
        <w:t>Departmental Financial Statements and Schedule of Administered Activity</w:t>
      </w:r>
    </w:p>
    <w:p w:rsidR="00F8394C" w:rsidRPr="00262961" w:rsidRDefault="00F8394C" w:rsidP="00F8394C">
      <w:r w:rsidRPr="00262961">
        <w:t xml:space="preserve">Under the Australian Government’s budgeting framework, and consistent with Australian Accounting Standards, transactions that agencies control (departmental transactions) are budgeted for, and reported on, separately to transactions which agencies do not have control over (administered transactions). </w:t>
      </w:r>
      <w:r>
        <w:t xml:space="preserve"> </w:t>
      </w:r>
      <w:r w:rsidRPr="00262961">
        <w:t>This ensures that agencies are only held fully accountable for the transactions over which they have control.</w:t>
      </w:r>
    </w:p>
    <w:p w:rsidR="00F8394C" w:rsidRPr="00262961" w:rsidRDefault="00F8394C" w:rsidP="00F8394C">
      <w:pPr>
        <w:pStyle w:val="Bullet"/>
        <w:spacing w:after="0"/>
        <w:ind w:left="284" w:hanging="284"/>
      </w:pPr>
      <w:r w:rsidRPr="00262961">
        <w:t xml:space="preserve">Departmental items are those assets, liabilities, revenues and expenses in relation to an agency or authority that are controlled by the agency. </w:t>
      </w:r>
      <w:r>
        <w:t xml:space="preserve"> </w:t>
      </w:r>
      <w:r w:rsidRPr="00262961">
        <w:t>Departmental expenses include employee and supplier expenses and other administrative costs, which are incurred by the agency in providing its goods and services.</w:t>
      </w:r>
    </w:p>
    <w:p w:rsidR="00F8394C" w:rsidRPr="00262961" w:rsidRDefault="00F8394C" w:rsidP="00F8394C">
      <w:pPr>
        <w:pStyle w:val="Bullet"/>
        <w:spacing w:after="120"/>
        <w:ind w:left="284" w:hanging="284"/>
      </w:pPr>
      <w:r w:rsidRPr="00262961">
        <w:t xml:space="preserve">Administered items are revenues, expenses, assets and liabilities that are managed by an agency or authority on behalf of the Government according to set </w:t>
      </w:r>
      <w:r w:rsidR="000B24C3">
        <w:t>G</w:t>
      </w:r>
      <w:r w:rsidRPr="00262961">
        <w:t xml:space="preserve">overnment directions. </w:t>
      </w:r>
      <w:r>
        <w:t xml:space="preserve"> </w:t>
      </w:r>
      <w:r w:rsidRPr="00262961">
        <w:t>Administered expenses include subsidies, grants and personal benefit payments and administered revenues include taxes, fees, fines and excises.</w:t>
      </w:r>
    </w:p>
    <w:p w:rsidR="00F8394C" w:rsidRPr="00A938F5" w:rsidRDefault="00F8394C" w:rsidP="00F8394C">
      <w:pPr>
        <w:keepNext/>
        <w:spacing w:before="120" w:after="120" w:line="240" w:lineRule="auto"/>
        <w:outlineLvl w:val="3"/>
        <w:rPr>
          <w:rFonts w:ascii="Arial" w:hAnsi="Arial" w:cs="Arial"/>
          <w:i/>
        </w:rPr>
      </w:pPr>
      <w:r w:rsidRPr="00A938F5">
        <w:rPr>
          <w:rFonts w:ascii="Arial" w:hAnsi="Arial" w:cs="Arial"/>
          <w:i/>
        </w:rPr>
        <w:t>Appropriations in the budgeting framework</w:t>
      </w:r>
    </w:p>
    <w:p w:rsidR="00F8394C" w:rsidRPr="00262961" w:rsidRDefault="00F8394C" w:rsidP="00F8394C">
      <w:r w:rsidRPr="00262961">
        <w:t>Under the Australian Government’s budgeting framework, separate annual appropriations are provided for:</w:t>
      </w:r>
    </w:p>
    <w:p w:rsidR="00F8394C" w:rsidRPr="00262961" w:rsidRDefault="00F8394C" w:rsidP="00F8394C">
      <w:pPr>
        <w:pStyle w:val="Bullet"/>
        <w:spacing w:after="0"/>
        <w:ind w:left="284" w:hanging="284"/>
      </w:pPr>
      <w:r>
        <w:t>d</w:t>
      </w:r>
      <w:r w:rsidRPr="00262961">
        <w:t xml:space="preserve">epartmental appropriations: representing the Government’s funding for agency </w:t>
      </w:r>
      <w:r>
        <w:t>programme</w:t>
      </w:r>
      <w:r w:rsidRPr="00262961">
        <w:t>s;</w:t>
      </w:r>
    </w:p>
    <w:p w:rsidR="00F8394C" w:rsidRPr="00262961" w:rsidRDefault="00F8394C" w:rsidP="00F8394C">
      <w:pPr>
        <w:pStyle w:val="Bullet"/>
        <w:spacing w:after="0"/>
        <w:ind w:left="284" w:hanging="284"/>
      </w:pPr>
      <w:r>
        <w:t>d</w:t>
      </w:r>
      <w:r w:rsidRPr="00262961">
        <w:t>epartmental capital budget appropriations: representing the Government’s funding through additional equity for the replacement of existing agency assets as they reach the end of their useful life;</w:t>
      </w:r>
    </w:p>
    <w:p w:rsidR="00F8394C" w:rsidRPr="00262961" w:rsidRDefault="00F8394C" w:rsidP="00F8394C">
      <w:pPr>
        <w:pStyle w:val="Bullet"/>
        <w:spacing w:after="0"/>
        <w:ind w:left="284" w:hanging="284"/>
      </w:pPr>
      <w:r>
        <w:t>d</w:t>
      </w:r>
      <w:r w:rsidRPr="00262961">
        <w:t xml:space="preserve">epartmental capital appropriations: for new investments by the Government through additional equity; </w:t>
      </w:r>
    </w:p>
    <w:p w:rsidR="00F8394C" w:rsidRPr="00262961" w:rsidRDefault="00F8394C" w:rsidP="00F8394C">
      <w:pPr>
        <w:pStyle w:val="Bullet"/>
        <w:spacing w:after="0"/>
        <w:ind w:left="284" w:hanging="284"/>
      </w:pPr>
      <w:r>
        <w:t>a</w:t>
      </w:r>
      <w:r w:rsidRPr="00262961">
        <w:t xml:space="preserve">dministered expense appropriations: for the estimated administered expenses relating to specific </w:t>
      </w:r>
      <w:r>
        <w:t>programme</w:t>
      </w:r>
      <w:r w:rsidRPr="00262961">
        <w:t>s; and</w:t>
      </w:r>
    </w:p>
    <w:p w:rsidR="00F8394C" w:rsidRPr="00262961" w:rsidRDefault="00F8394C" w:rsidP="00F8394C">
      <w:pPr>
        <w:pStyle w:val="Bullet"/>
        <w:spacing w:after="0"/>
        <w:ind w:left="284" w:hanging="284"/>
        <w:rPr>
          <w:rFonts w:cs="Arial"/>
          <w:b/>
        </w:rPr>
      </w:pPr>
      <w:r>
        <w:t>a</w:t>
      </w:r>
      <w:r w:rsidRPr="00262961">
        <w:t>dministered capital appropriations: for increases in administered equity through funding non-expense administered payments.</w:t>
      </w:r>
    </w:p>
    <w:p w:rsidR="00F8394C" w:rsidRPr="00A938F5" w:rsidRDefault="00F8394C" w:rsidP="00F8394C">
      <w:pPr>
        <w:keepNext/>
        <w:spacing w:before="120" w:after="120" w:line="240" w:lineRule="auto"/>
        <w:outlineLvl w:val="3"/>
        <w:rPr>
          <w:rFonts w:ascii="Arial" w:hAnsi="Arial" w:cs="Arial"/>
          <w:i/>
        </w:rPr>
      </w:pPr>
      <w:r w:rsidRPr="00A938F5">
        <w:rPr>
          <w:rFonts w:ascii="Arial" w:hAnsi="Arial" w:cs="Arial"/>
          <w:i/>
        </w:rPr>
        <w:t>Administered investments in controlled entities</w:t>
      </w:r>
    </w:p>
    <w:p w:rsidR="00F8394C" w:rsidRDefault="00F8394C" w:rsidP="00F8394C">
      <w:r>
        <w:t xml:space="preserve">The department has one administered investment in the Export Finance and Insurance Corporation (EFIC) with an estimated asset value of </w:t>
      </w:r>
      <w:r w:rsidRPr="00390F3F">
        <w:t>$</w:t>
      </w:r>
      <w:r w:rsidR="00B66375">
        <w:t>436.5</w:t>
      </w:r>
      <w:r>
        <w:t xml:space="preserve"> million as at 30 June 201</w:t>
      </w:r>
      <w:r w:rsidR="00266A45">
        <w:t>6</w:t>
      </w:r>
      <w:r>
        <w:t>. This investment is revalued once each financial year based on the net asset position of EFIC as at 30 June.</w:t>
      </w:r>
    </w:p>
    <w:p w:rsidR="00F8394C" w:rsidRPr="00A938F5" w:rsidRDefault="00F8394C" w:rsidP="00F8394C">
      <w:pPr>
        <w:pStyle w:val="Heading5"/>
        <w:rPr>
          <w:rFonts w:cs="Arial"/>
          <w:b w:val="0"/>
          <w:i/>
          <w:szCs w:val="20"/>
        </w:rPr>
      </w:pPr>
      <w:r w:rsidRPr="00A938F5">
        <w:rPr>
          <w:rFonts w:cs="Arial"/>
          <w:b w:val="0"/>
          <w:i/>
          <w:szCs w:val="20"/>
        </w:rPr>
        <w:t>Asset Valuation</w:t>
      </w:r>
    </w:p>
    <w:p w:rsidR="00C21ED3" w:rsidRDefault="00F8394C" w:rsidP="00F8394C">
      <w:pPr>
        <w:spacing w:after="0"/>
      </w:pPr>
      <w:r w:rsidRPr="00E977D1">
        <w:t xml:space="preserve">In accordance with current Australian accounting standards and the Finance Minister’s Orders, the </w:t>
      </w:r>
      <w:r w:rsidR="000B24C3">
        <w:t>d</w:t>
      </w:r>
      <w:r w:rsidRPr="00E977D1">
        <w:t>epartment’s assets are carried at fair value.</w:t>
      </w:r>
    </w:p>
    <w:p w:rsidR="00F8394C" w:rsidRDefault="00C21ED3" w:rsidP="00F8394C">
      <w:pPr>
        <w:spacing w:after="0"/>
      </w:pPr>
      <w:r>
        <w:br w:type="page"/>
      </w:r>
      <w:r>
        <w:lastRenderedPageBreak/>
        <w:br w:type="page"/>
      </w:r>
    </w:p>
    <w:p w:rsidR="001C45ED" w:rsidRDefault="001C45ED" w:rsidP="009131E0">
      <w:pPr>
        <w:pStyle w:val="Department"/>
        <w:spacing w:before="1320"/>
        <w:sectPr w:rsidR="001C45ED" w:rsidSect="009131E0">
          <w:footerReference w:type="even" r:id="rId104"/>
          <w:footerReference w:type="default" r:id="rId105"/>
          <w:headerReference w:type="first" r:id="rId106"/>
          <w:footerReference w:type="first" r:id="rId107"/>
          <w:pgSz w:w="11906" w:h="16838" w:code="9"/>
          <w:pgMar w:top="2466" w:right="2098" w:bottom="2466" w:left="2098" w:header="1899" w:footer="1899" w:gutter="0"/>
          <w:cols w:space="708"/>
          <w:titlePg/>
          <w:docGrid w:linePitch="360"/>
        </w:sectPr>
      </w:pPr>
    </w:p>
    <w:p w:rsidR="009131E0" w:rsidRDefault="009131E0" w:rsidP="009131E0">
      <w:pPr>
        <w:pStyle w:val="Department"/>
        <w:spacing w:before="1320"/>
      </w:pPr>
      <w:r>
        <w:lastRenderedPageBreak/>
        <w:t>Australian Trade Commission (Austrade)</w:t>
      </w:r>
    </w:p>
    <w:p w:rsidR="009131E0" w:rsidRDefault="009131E0" w:rsidP="009131E0">
      <w:pPr>
        <w:pStyle w:val="DepartmentSubtitle"/>
        <w:spacing w:before="2080"/>
      </w:pPr>
      <w:r>
        <w:t>Entity resources and planned performance</w:t>
      </w:r>
    </w:p>
    <w:p w:rsidR="009131E0" w:rsidRDefault="009131E0" w:rsidP="009131E0">
      <w:pPr>
        <w:sectPr w:rsidR="009131E0" w:rsidSect="009131E0">
          <w:headerReference w:type="first" r:id="rId108"/>
          <w:footerReference w:type="first" r:id="rId109"/>
          <w:pgSz w:w="11906" w:h="16838" w:code="9"/>
          <w:pgMar w:top="2466" w:right="2098" w:bottom="2466" w:left="2098" w:header="1899" w:footer="1899" w:gutter="0"/>
          <w:cols w:space="708"/>
          <w:titlePg/>
          <w:docGrid w:linePitch="360"/>
        </w:sectPr>
      </w:pPr>
    </w:p>
    <w:p w:rsidR="009131E0" w:rsidRDefault="009131E0" w:rsidP="009131E0">
      <w:pPr>
        <w:pStyle w:val="ContentsHeading"/>
      </w:pPr>
      <w:r>
        <w:lastRenderedPageBreak/>
        <w:t xml:space="preserve">Australian Trade Commission </w:t>
      </w:r>
      <w:r>
        <w:br/>
        <w:t>(Austrade)</w:t>
      </w:r>
    </w:p>
    <w:p w:rsidR="009131E0" w:rsidRDefault="009131E0" w:rsidP="009131E0">
      <w:pPr>
        <w:pStyle w:val="TOC3"/>
        <w:rPr>
          <w:rFonts w:ascii="Times New Roman" w:hAnsi="Times New Roman"/>
          <w:b w:val="0"/>
          <w:noProof/>
          <w:sz w:val="24"/>
          <w:szCs w:val="24"/>
        </w:rPr>
      </w:pPr>
      <w:r>
        <w:rPr>
          <w:noProof/>
        </w:rPr>
        <w:t>Section 1: Entity overview and resources</w:t>
      </w:r>
      <w:r>
        <w:rPr>
          <w:noProof/>
        </w:rPr>
        <w:tab/>
      </w:r>
      <w:r w:rsidR="003C7710">
        <w:rPr>
          <w:noProof/>
        </w:rPr>
        <w:t>83</w:t>
      </w:r>
    </w:p>
    <w:p w:rsidR="009131E0" w:rsidRDefault="009131E0" w:rsidP="009131E0">
      <w:pPr>
        <w:pStyle w:val="TOC4"/>
        <w:tabs>
          <w:tab w:val="left" w:pos="800"/>
        </w:tabs>
        <w:rPr>
          <w:rFonts w:ascii="Times New Roman" w:hAnsi="Times New Roman"/>
          <w:noProof/>
          <w:sz w:val="24"/>
          <w:szCs w:val="24"/>
        </w:rPr>
      </w:pPr>
      <w:r>
        <w:rPr>
          <w:noProof/>
        </w:rPr>
        <w:t>1.1</w:t>
      </w:r>
      <w:r>
        <w:rPr>
          <w:rFonts w:ascii="Times New Roman" w:hAnsi="Times New Roman"/>
          <w:noProof/>
          <w:sz w:val="24"/>
          <w:szCs w:val="24"/>
        </w:rPr>
        <w:tab/>
      </w:r>
      <w:r>
        <w:rPr>
          <w:noProof/>
        </w:rPr>
        <w:t>Strategic direction statement</w:t>
      </w:r>
      <w:r>
        <w:rPr>
          <w:noProof/>
        </w:rPr>
        <w:tab/>
      </w:r>
      <w:r w:rsidR="003C7710">
        <w:rPr>
          <w:noProof/>
        </w:rPr>
        <w:t>83</w:t>
      </w:r>
    </w:p>
    <w:p w:rsidR="009131E0" w:rsidRDefault="009131E0" w:rsidP="009131E0">
      <w:pPr>
        <w:pStyle w:val="TOC4"/>
        <w:tabs>
          <w:tab w:val="left" w:pos="800"/>
        </w:tabs>
        <w:rPr>
          <w:rFonts w:ascii="Times New Roman" w:hAnsi="Times New Roman"/>
          <w:noProof/>
          <w:sz w:val="24"/>
          <w:szCs w:val="24"/>
        </w:rPr>
      </w:pPr>
      <w:r>
        <w:rPr>
          <w:noProof/>
        </w:rPr>
        <w:t>1.2</w:t>
      </w:r>
      <w:r>
        <w:rPr>
          <w:rFonts w:ascii="Times New Roman" w:hAnsi="Times New Roman"/>
          <w:noProof/>
          <w:sz w:val="24"/>
          <w:szCs w:val="24"/>
        </w:rPr>
        <w:tab/>
      </w:r>
      <w:r>
        <w:rPr>
          <w:noProof/>
        </w:rPr>
        <w:t>Entity resource statement</w:t>
      </w:r>
      <w:r>
        <w:rPr>
          <w:noProof/>
        </w:rPr>
        <w:tab/>
      </w:r>
      <w:r w:rsidR="00170A8C">
        <w:rPr>
          <w:noProof/>
        </w:rPr>
        <w:t>8</w:t>
      </w:r>
      <w:r w:rsidR="003C7710">
        <w:rPr>
          <w:noProof/>
        </w:rPr>
        <w:t>6</w:t>
      </w:r>
    </w:p>
    <w:p w:rsidR="009131E0" w:rsidRDefault="009131E0" w:rsidP="009131E0">
      <w:pPr>
        <w:pStyle w:val="TOC4"/>
        <w:tabs>
          <w:tab w:val="left" w:pos="800"/>
        </w:tabs>
        <w:rPr>
          <w:noProof/>
        </w:rPr>
      </w:pPr>
      <w:r>
        <w:rPr>
          <w:noProof/>
        </w:rPr>
        <w:t>1.3</w:t>
      </w:r>
      <w:r>
        <w:rPr>
          <w:rFonts w:ascii="Times New Roman" w:hAnsi="Times New Roman"/>
          <w:noProof/>
          <w:sz w:val="24"/>
          <w:szCs w:val="24"/>
        </w:rPr>
        <w:tab/>
      </w:r>
      <w:r>
        <w:rPr>
          <w:noProof/>
        </w:rPr>
        <w:t>Budget measures</w:t>
      </w:r>
      <w:r>
        <w:rPr>
          <w:noProof/>
        </w:rPr>
        <w:tab/>
      </w:r>
      <w:r w:rsidR="00170A8C">
        <w:rPr>
          <w:noProof/>
        </w:rPr>
        <w:t>8</w:t>
      </w:r>
      <w:r w:rsidR="003C7710">
        <w:rPr>
          <w:noProof/>
        </w:rPr>
        <w:t>7</w:t>
      </w:r>
    </w:p>
    <w:p w:rsidR="009131E0" w:rsidRDefault="009131E0" w:rsidP="009131E0">
      <w:pPr>
        <w:pStyle w:val="TOC3"/>
        <w:rPr>
          <w:rFonts w:ascii="Times New Roman" w:hAnsi="Times New Roman"/>
          <w:b w:val="0"/>
          <w:noProof/>
          <w:sz w:val="24"/>
          <w:szCs w:val="24"/>
        </w:rPr>
      </w:pPr>
      <w:r>
        <w:rPr>
          <w:noProof/>
        </w:rPr>
        <w:t>Section 2: Outcomes and planned performance</w:t>
      </w:r>
      <w:r>
        <w:rPr>
          <w:noProof/>
        </w:rPr>
        <w:tab/>
      </w:r>
      <w:r w:rsidR="00170A8C">
        <w:rPr>
          <w:noProof/>
        </w:rPr>
        <w:t>8</w:t>
      </w:r>
      <w:r w:rsidR="003C7710">
        <w:rPr>
          <w:noProof/>
        </w:rPr>
        <w:t>8</w:t>
      </w:r>
    </w:p>
    <w:p w:rsidR="009131E0" w:rsidRDefault="009131E0" w:rsidP="009131E0">
      <w:pPr>
        <w:pStyle w:val="TOC4"/>
        <w:tabs>
          <w:tab w:val="left" w:pos="800"/>
        </w:tabs>
        <w:rPr>
          <w:rFonts w:ascii="Times New Roman" w:hAnsi="Times New Roman"/>
          <w:noProof/>
          <w:sz w:val="24"/>
          <w:szCs w:val="24"/>
        </w:rPr>
      </w:pPr>
      <w:r>
        <w:rPr>
          <w:noProof/>
        </w:rPr>
        <w:t>2.1</w:t>
      </w:r>
      <w:r>
        <w:rPr>
          <w:rFonts w:ascii="Times New Roman" w:hAnsi="Times New Roman"/>
          <w:noProof/>
          <w:sz w:val="24"/>
          <w:szCs w:val="24"/>
        </w:rPr>
        <w:tab/>
      </w:r>
      <w:r>
        <w:rPr>
          <w:noProof/>
        </w:rPr>
        <w:t>Outcomes and performance information</w:t>
      </w:r>
      <w:r>
        <w:rPr>
          <w:noProof/>
        </w:rPr>
        <w:tab/>
      </w:r>
      <w:r w:rsidR="00170A8C">
        <w:rPr>
          <w:noProof/>
        </w:rPr>
        <w:t>8</w:t>
      </w:r>
      <w:r w:rsidR="003C7710">
        <w:rPr>
          <w:noProof/>
        </w:rPr>
        <w:t>8</w:t>
      </w:r>
    </w:p>
    <w:p w:rsidR="009131E0" w:rsidRDefault="009131E0" w:rsidP="009131E0">
      <w:pPr>
        <w:pStyle w:val="TOC3"/>
        <w:rPr>
          <w:rFonts w:ascii="Times New Roman" w:hAnsi="Times New Roman"/>
          <w:b w:val="0"/>
          <w:noProof/>
          <w:sz w:val="24"/>
          <w:szCs w:val="24"/>
        </w:rPr>
      </w:pPr>
      <w:r>
        <w:rPr>
          <w:noProof/>
        </w:rPr>
        <w:t>Section 3: Explanatory tables and budgeted financial statements</w:t>
      </w:r>
      <w:r>
        <w:rPr>
          <w:noProof/>
        </w:rPr>
        <w:tab/>
      </w:r>
      <w:r w:rsidR="003C7710">
        <w:rPr>
          <w:noProof/>
        </w:rPr>
        <w:t>103</w:t>
      </w:r>
    </w:p>
    <w:p w:rsidR="009131E0" w:rsidRDefault="009131E0" w:rsidP="009131E0">
      <w:pPr>
        <w:pStyle w:val="TOC4"/>
        <w:tabs>
          <w:tab w:val="left" w:pos="800"/>
        </w:tabs>
        <w:rPr>
          <w:noProof/>
        </w:rPr>
      </w:pPr>
      <w:r>
        <w:rPr>
          <w:noProof/>
        </w:rPr>
        <w:t>3.1</w:t>
      </w:r>
      <w:r>
        <w:rPr>
          <w:rFonts w:ascii="Times New Roman" w:hAnsi="Times New Roman"/>
          <w:noProof/>
          <w:sz w:val="24"/>
          <w:szCs w:val="24"/>
        </w:rPr>
        <w:tab/>
      </w:r>
      <w:r>
        <w:rPr>
          <w:noProof/>
        </w:rPr>
        <w:t>Explanatory tables</w:t>
      </w:r>
      <w:r>
        <w:rPr>
          <w:noProof/>
        </w:rPr>
        <w:tab/>
      </w:r>
      <w:r w:rsidR="003C7710">
        <w:rPr>
          <w:noProof/>
        </w:rPr>
        <w:t>103</w:t>
      </w:r>
    </w:p>
    <w:p w:rsidR="009131E0" w:rsidRDefault="009131E0" w:rsidP="009131E0">
      <w:pPr>
        <w:pStyle w:val="TOC4"/>
        <w:tabs>
          <w:tab w:val="left" w:pos="800"/>
        </w:tabs>
        <w:rPr>
          <w:noProof/>
        </w:rPr>
      </w:pPr>
      <w:r>
        <w:rPr>
          <w:noProof/>
        </w:rPr>
        <w:t>3.2</w:t>
      </w:r>
      <w:r>
        <w:rPr>
          <w:rFonts w:ascii="Times New Roman" w:hAnsi="Times New Roman"/>
          <w:noProof/>
          <w:sz w:val="24"/>
          <w:szCs w:val="24"/>
        </w:rPr>
        <w:tab/>
      </w:r>
      <w:r>
        <w:rPr>
          <w:noProof/>
        </w:rPr>
        <w:t>Budgeted financial statements</w:t>
      </w:r>
      <w:r>
        <w:rPr>
          <w:noProof/>
        </w:rPr>
        <w:tab/>
      </w:r>
      <w:r w:rsidR="00170A8C">
        <w:rPr>
          <w:noProof/>
        </w:rPr>
        <w:t>10</w:t>
      </w:r>
      <w:r w:rsidR="003C7710">
        <w:rPr>
          <w:noProof/>
        </w:rPr>
        <w:t>5</w:t>
      </w:r>
    </w:p>
    <w:p w:rsidR="009131E0" w:rsidRPr="008B5AFD" w:rsidRDefault="009131E0" w:rsidP="009131E0"/>
    <w:p w:rsidR="009131E0" w:rsidRDefault="009131E0" w:rsidP="009131E0">
      <w:pPr>
        <w:sectPr w:rsidR="009131E0" w:rsidSect="00AA27AA">
          <w:headerReference w:type="first" r:id="rId110"/>
          <w:footerReference w:type="first" r:id="rId111"/>
          <w:type w:val="oddPage"/>
          <w:pgSz w:w="11906" w:h="16838" w:code="9"/>
          <w:pgMar w:top="2466" w:right="2098" w:bottom="2466" w:left="2098" w:header="1899" w:footer="1899" w:gutter="0"/>
          <w:cols w:space="708"/>
          <w:titlePg/>
          <w:docGrid w:linePitch="360"/>
        </w:sectPr>
      </w:pPr>
    </w:p>
    <w:p w:rsidR="009131E0" w:rsidRDefault="009131E0" w:rsidP="009131E0">
      <w:pPr>
        <w:pStyle w:val="Heading1"/>
      </w:pPr>
      <w:r>
        <w:lastRenderedPageBreak/>
        <w:t>Australian Trade Commission</w:t>
      </w:r>
      <w:r>
        <w:br/>
        <w:t>(Austrade)</w:t>
      </w:r>
    </w:p>
    <w:p w:rsidR="009131E0" w:rsidRDefault="009131E0" w:rsidP="009131E0">
      <w:pPr>
        <w:pStyle w:val="Heading2"/>
      </w:pPr>
      <w:r>
        <w:t>Section 1: Entity overview and resources</w:t>
      </w:r>
    </w:p>
    <w:p w:rsidR="009131E0" w:rsidRDefault="009131E0" w:rsidP="009131E0">
      <w:pPr>
        <w:pStyle w:val="Heading3"/>
      </w:pPr>
      <w:r>
        <w:t>1.1</w:t>
      </w:r>
      <w:r>
        <w:tab/>
        <w:t>Strategic direction statement</w:t>
      </w:r>
    </w:p>
    <w:p w:rsidR="00621F80" w:rsidRPr="00E04494" w:rsidRDefault="00621F80" w:rsidP="00621F80">
      <w:r w:rsidRPr="00E04494">
        <w:t xml:space="preserve">The Australian Trade Commission (Austrade) is the Australian Government’s international trade, investment and education promotion agency. Austrade also has responsibility for policies and programs to strengthen Australia’s tourism sector. </w:t>
      </w:r>
    </w:p>
    <w:p w:rsidR="00621F80" w:rsidRPr="00E04494" w:rsidRDefault="00621F80" w:rsidP="00621F80">
      <w:r w:rsidRPr="00E04494">
        <w:t>Austrade’s outcomes are:</w:t>
      </w:r>
    </w:p>
    <w:p w:rsidR="00621F80" w:rsidRDefault="003750FB" w:rsidP="00F37EE6">
      <w:pPr>
        <w:numPr>
          <w:ilvl w:val="0"/>
          <w:numId w:val="24"/>
        </w:numPr>
        <w:ind w:left="284" w:hanging="284"/>
      </w:pPr>
      <w:r>
        <w:t>c</w:t>
      </w:r>
      <w:r w:rsidR="00621F80" w:rsidRPr="00E04494">
        <w:t xml:space="preserve">ontribute to Australia’s economic prosperity by promoting Australia’s export and other international economic interests through the provision of information, advice and services to business, associations, institutions and governments; and </w:t>
      </w:r>
    </w:p>
    <w:p w:rsidR="00621F80" w:rsidRDefault="003750FB" w:rsidP="00F37EE6">
      <w:pPr>
        <w:numPr>
          <w:ilvl w:val="0"/>
          <w:numId w:val="24"/>
        </w:numPr>
        <w:ind w:left="284" w:hanging="284"/>
      </w:pPr>
      <w:r>
        <w:t>t</w:t>
      </w:r>
      <w:r w:rsidR="00621F80">
        <w:t xml:space="preserve">he </w:t>
      </w:r>
      <w:r w:rsidR="00621F80" w:rsidRPr="00E04494">
        <w:t>protection and welfare of Australians abroad through timely and responsive consular and passport services in specific locations overseas</w:t>
      </w:r>
      <w:r w:rsidR="00621F80">
        <w:t>.</w:t>
      </w:r>
    </w:p>
    <w:p w:rsidR="00621F80" w:rsidRDefault="00621F80" w:rsidP="00621F80">
      <w:r w:rsidRPr="00053781">
        <w:t xml:space="preserve">Austrade’s trade, </w:t>
      </w:r>
      <w:r>
        <w:t xml:space="preserve">investment, </w:t>
      </w:r>
      <w:r w:rsidRPr="00053781">
        <w:t xml:space="preserve">education </w:t>
      </w:r>
      <w:r>
        <w:t xml:space="preserve">and </w:t>
      </w:r>
      <w:r w:rsidRPr="00053781">
        <w:t xml:space="preserve">tourism activities play a central role in </w:t>
      </w:r>
      <w:r>
        <w:t xml:space="preserve">helping to </w:t>
      </w:r>
      <w:r w:rsidRPr="00053781">
        <w:t>secure Australia’s future prosperity</w:t>
      </w:r>
      <w:r>
        <w:t xml:space="preserve">, advancing </w:t>
      </w:r>
      <w:r w:rsidRPr="00053781">
        <w:t xml:space="preserve">the Government’s ‘Open for Business’ </w:t>
      </w:r>
      <w:r>
        <w:t xml:space="preserve">activities around </w:t>
      </w:r>
      <w:r w:rsidRPr="00053781">
        <w:t>the world, and promoting opportunities for Australian businesses</w:t>
      </w:r>
      <w:r>
        <w:t xml:space="preserve"> and institutions overseas,</w:t>
      </w:r>
      <w:r w:rsidRPr="00053781">
        <w:t xml:space="preserve"> </w:t>
      </w:r>
      <w:r>
        <w:t xml:space="preserve">including those which </w:t>
      </w:r>
      <w:r w:rsidRPr="00053781">
        <w:t xml:space="preserve">will flow from the </w:t>
      </w:r>
      <w:r>
        <w:t xml:space="preserve">recent </w:t>
      </w:r>
      <w:r w:rsidRPr="00053781">
        <w:t>completion of three significant trade agreements with</w:t>
      </w:r>
      <w:r w:rsidR="002F518C">
        <w:t xml:space="preserve"> the Republic of</w:t>
      </w:r>
      <w:r w:rsidRPr="00053781">
        <w:t xml:space="preserve"> Korea, Japan and China.</w:t>
      </w:r>
      <w:r>
        <w:t xml:space="preserve"> </w:t>
      </w:r>
    </w:p>
    <w:p w:rsidR="00621F80" w:rsidRPr="00026E11" w:rsidRDefault="00621F80" w:rsidP="00621F80">
      <w:pPr>
        <w:rPr>
          <w:rFonts w:eastAsia="Calibri"/>
        </w:rPr>
      </w:pPr>
      <w:r w:rsidRPr="00026E11">
        <w:rPr>
          <w:rFonts w:eastAsia="Calibri"/>
        </w:rPr>
        <w:t>Drawing on its commercial knowledge, its international network, and its relationships and connections (with international customers, investors and decision makers)</w:t>
      </w:r>
      <w:r>
        <w:rPr>
          <w:rFonts w:eastAsia="Calibri"/>
        </w:rPr>
        <w:t>,</w:t>
      </w:r>
      <w:r w:rsidRPr="00026E11">
        <w:rPr>
          <w:rFonts w:eastAsia="Calibri"/>
        </w:rPr>
        <w:t xml:space="preserve"> Austrade will continue to identify valuable international business opportunities for Australian businesses and institutions, and provide them with practical advice and services. Austrade’s unique perspective, gained from its international market presence and its firm-level interactions, will continue to inform businesses and institutions as well as </w:t>
      </w:r>
      <w:r>
        <w:rPr>
          <w:rFonts w:eastAsia="Calibri"/>
        </w:rPr>
        <w:t xml:space="preserve">inform </w:t>
      </w:r>
      <w:r w:rsidRPr="00026E11">
        <w:rPr>
          <w:rFonts w:eastAsia="Calibri"/>
        </w:rPr>
        <w:t>policy advice to Government</w:t>
      </w:r>
      <w:r w:rsidR="00B3397D">
        <w:rPr>
          <w:rFonts w:eastAsia="Calibri"/>
        </w:rPr>
        <w:t>,</w:t>
      </w:r>
      <w:r w:rsidR="00B3397D" w:rsidRPr="00B3397D">
        <w:rPr>
          <w:rFonts w:eastAsia="Calibri"/>
        </w:rPr>
        <w:t xml:space="preserve"> </w:t>
      </w:r>
      <w:r w:rsidR="00B3397D">
        <w:rPr>
          <w:rFonts w:eastAsia="Calibri"/>
        </w:rPr>
        <w:t>including supporting the Government’s vision for developing Northern Australia</w:t>
      </w:r>
      <w:r w:rsidRPr="00026E11">
        <w:rPr>
          <w:rFonts w:eastAsia="Calibri"/>
        </w:rPr>
        <w:t xml:space="preserve">. </w:t>
      </w:r>
    </w:p>
    <w:p w:rsidR="00621F80" w:rsidRDefault="00621F80" w:rsidP="00621F80">
      <w:r w:rsidRPr="0069272C">
        <w:rPr>
          <w:rFonts w:eastAsia="Calibri"/>
        </w:rPr>
        <w:t xml:space="preserve">Austrade will continue to take the lead role in coordinating international business </w:t>
      </w:r>
      <w:r>
        <w:rPr>
          <w:rFonts w:eastAsia="Calibri"/>
        </w:rPr>
        <w:t>missions</w:t>
      </w:r>
      <w:r w:rsidRPr="0069272C">
        <w:rPr>
          <w:rFonts w:eastAsia="Calibri"/>
        </w:rPr>
        <w:t xml:space="preserve"> led by ministers and the Prime Minister</w:t>
      </w:r>
      <w:r w:rsidRPr="00961A0F">
        <w:rPr>
          <w:rFonts w:eastAsia="Calibri"/>
        </w:rPr>
        <w:t xml:space="preserve">. The Government has provided </w:t>
      </w:r>
      <w:r w:rsidR="009E576C">
        <w:rPr>
          <w:rFonts w:eastAsia="Calibri"/>
        </w:rPr>
        <w:br/>
      </w:r>
      <w:r w:rsidRPr="00961A0F">
        <w:rPr>
          <w:rFonts w:eastAsia="Calibri"/>
        </w:rPr>
        <w:t xml:space="preserve">$9.2 million over four years to Austrade to continue the successful program of </w:t>
      </w:r>
      <w:r w:rsidRPr="00961A0F">
        <w:rPr>
          <w:rFonts w:eastAsia="Calibri"/>
          <w:i/>
        </w:rPr>
        <w:t>Australia Week</w:t>
      </w:r>
      <w:r w:rsidRPr="00961A0F">
        <w:rPr>
          <w:rFonts w:eastAsia="Calibri"/>
        </w:rPr>
        <w:t xml:space="preserve"> events in China, India, USA and ASEAN countries. Austrade will also provide information to Australian firms on the new market access</w:t>
      </w:r>
      <w:r w:rsidRPr="0069272C">
        <w:rPr>
          <w:rFonts w:eastAsia="Calibri"/>
        </w:rPr>
        <w:t xml:space="preserve"> offered by recently</w:t>
      </w:r>
      <w:r>
        <w:rPr>
          <w:rFonts w:eastAsia="Calibri"/>
        </w:rPr>
        <w:t xml:space="preserve"> </w:t>
      </w:r>
      <w:r w:rsidRPr="0069272C">
        <w:rPr>
          <w:rFonts w:eastAsia="Calibri"/>
        </w:rPr>
        <w:t>concluded free trade agreements</w:t>
      </w:r>
      <w:r>
        <w:rPr>
          <w:rFonts w:eastAsia="Calibri"/>
        </w:rPr>
        <w:t>,</w:t>
      </w:r>
      <w:r w:rsidRPr="0069272C">
        <w:rPr>
          <w:rFonts w:eastAsia="Calibri"/>
        </w:rPr>
        <w:t xml:space="preserve"> and the Government has provided $2</w:t>
      </w:r>
      <w:r>
        <w:rPr>
          <w:rFonts w:eastAsia="Calibri"/>
        </w:rPr>
        <w:t>1.6</w:t>
      </w:r>
      <w:r w:rsidRPr="0069272C">
        <w:rPr>
          <w:rFonts w:eastAsia="Calibri"/>
        </w:rPr>
        <w:t xml:space="preserve"> million</w:t>
      </w:r>
      <w:r>
        <w:rPr>
          <w:rFonts w:eastAsia="Calibri"/>
        </w:rPr>
        <w:t xml:space="preserve"> to Austrade (and $</w:t>
      </w:r>
      <w:r w:rsidR="0078008F">
        <w:rPr>
          <w:rFonts w:eastAsia="Calibri"/>
        </w:rPr>
        <w:t>2</w:t>
      </w:r>
      <w:r>
        <w:rPr>
          <w:rFonts w:eastAsia="Calibri"/>
        </w:rPr>
        <w:t>.</w:t>
      </w:r>
      <w:r w:rsidR="0078008F">
        <w:rPr>
          <w:rFonts w:eastAsia="Calibri"/>
        </w:rPr>
        <w:t>7</w:t>
      </w:r>
      <w:r>
        <w:rPr>
          <w:rFonts w:eastAsia="Calibri"/>
        </w:rPr>
        <w:t xml:space="preserve"> million to DFAT)</w:t>
      </w:r>
      <w:r w:rsidRPr="0069272C">
        <w:rPr>
          <w:rFonts w:eastAsia="Calibri"/>
        </w:rPr>
        <w:t xml:space="preserve"> over two</w:t>
      </w:r>
      <w:r>
        <w:rPr>
          <w:rFonts w:eastAsia="Calibri"/>
        </w:rPr>
        <w:t xml:space="preserve"> years to support this activity</w:t>
      </w:r>
      <w:r w:rsidRPr="0069272C">
        <w:rPr>
          <w:rFonts w:eastAsia="Calibri"/>
        </w:rPr>
        <w:t>.</w:t>
      </w:r>
    </w:p>
    <w:p w:rsidR="00621F80" w:rsidRPr="00E04494" w:rsidRDefault="00621F80" w:rsidP="00621F80">
      <w:pPr>
        <w:rPr>
          <w:rFonts w:eastAsia="Calibri"/>
        </w:rPr>
      </w:pPr>
      <w:r w:rsidRPr="0069272C">
        <w:rPr>
          <w:rFonts w:eastAsia="Calibri"/>
        </w:rPr>
        <w:lastRenderedPageBreak/>
        <w:t xml:space="preserve">Austrade will, through its trade promotion and investment attraction activities, continue to contribute to the Government’s economic </w:t>
      </w:r>
      <w:r w:rsidRPr="0069272C">
        <w:rPr>
          <w:rFonts w:eastAsia="Calibri"/>
          <w:lang w:val="en"/>
        </w:rPr>
        <w:t>diplomacy agenda. This work will be closely coordinated with other agencies in the Fore</w:t>
      </w:r>
      <w:r>
        <w:rPr>
          <w:rFonts w:eastAsia="Calibri"/>
          <w:lang w:val="en"/>
        </w:rPr>
        <w:t>ign Affairs and Trade portfolio</w:t>
      </w:r>
      <w:r>
        <w:t>.</w:t>
      </w:r>
    </w:p>
    <w:p w:rsidR="00621F80" w:rsidRDefault="00621F80" w:rsidP="00621F80">
      <w:pPr>
        <w:rPr>
          <w:rFonts w:eastAsia="Calibri"/>
        </w:rPr>
      </w:pPr>
      <w:r w:rsidRPr="0069272C">
        <w:rPr>
          <w:rFonts w:eastAsia="Calibri"/>
        </w:rPr>
        <w:t xml:space="preserve">Austrade’s overseas network is weighted towards growth and emerging markets that have </w:t>
      </w:r>
      <w:r>
        <w:rPr>
          <w:rFonts w:eastAsia="Calibri"/>
        </w:rPr>
        <w:t xml:space="preserve">high commercial potential, and where Austrade’s assistance can have the most impact. </w:t>
      </w:r>
      <w:r w:rsidRPr="009617E0">
        <w:rPr>
          <w:rFonts w:eastAsia="Calibri"/>
        </w:rPr>
        <w:t xml:space="preserve">Austrade’s trade promotion work </w:t>
      </w:r>
      <w:r>
        <w:rPr>
          <w:rFonts w:eastAsia="Calibri"/>
        </w:rPr>
        <w:t>will continue to focus</w:t>
      </w:r>
      <w:r w:rsidRPr="009617E0">
        <w:rPr>
          <w:rFonts w:eastAsia="Calibri"/>
        </w:rPr>
        <w:t xml:space="preserve"> on markets where it is more difficult for companies acting alone to access commercial opportunities</w:t>
      </w:r>
      <w:r>
        <w:rPr>
          <w:rFonts w:eastAsia="Calibri"/>
        </w:rPr>
        <w:t>, where there are language, business and cultural barriers, where regulatory frameworks and business processes are less open or transparent</w:t>
      </w:r>
      <w:r w:rsidRPr="009617E0">
        <w:rPr>
          <w:rFonts w:eastAsia="Calibri"/>
        </w:rPr>
        <w:t xml:space="preserve"> and where the ‘badge of government’ helps </w:t>
      </w:r>
      <w:r>
        <w:rPr>
          <w:rFonts w:eastAsia="Calibri"/>
        </w:rPr>
        <w:t xml:space="preserve">to </w:t>
      </w:r>
      <w:r w:rsidRPr="009617E0">
        <w:rPr>
          <w:rFonts w:eastAsia="Calibri"/>
        </w:rPr>
        <w:t xml:space="preserve">secure commercial outcomes. </w:t>
      </w:r>
      <w:r>
        <w:rPr>
          <w:rFonts w:eastAsia="Calibri"/>
        </w:rPr>
        <w:t xml:space="preserve">In established markets, such as North America and Europe, Austrade will continue to use partners, referrals and online services to support Australian businesses’ trade development activities. Austrade will continue to focus on </w:t>
      </w:r>
      <w:r w:rsidRPr="00823C5B">
        <w:rPr>
          <w:rFonts w:eastAsia="Calibri"/>
        </w:rPr>
        <w:t>those sectors with high growth potential</w:t>
      </w:r>
      <w:r>
        <w:rPr>
          <w:rFonts w:eastAsia="Calibri"/>
        </w:rPr>
        <w:t xml:space="preserve"> and</w:t>
      </w:r>
      <w:r w:rsidRPr="00823C5B">
        <w:rPr>
          <w:rFonts w:eastAsia="Calibri"/>
        </w:rPr>
        <w:t xml:space="preserve"> where Australia has a comparative advantage</w:t>
      </w:r>
      <w:r>
        <w:rPr>
          <w:rFonts w:eastAsia="Calibri"/>
        </w:rPr>
        <w:t>.</w:t>
      </w:r>
    </w:p>
    <w:p w:rsidR="00621F80" w:rsidRDefault="00621F80" w:rsidP="00621F80">
      <w:r>
        <w:rPr>
          <w:rFonts w:eastAsia="Calibri"/>
        </w:rPr>
        <w:t xml:space="preserve">Austrade will support the Government’s reinvigorated investment agenda with the resources of its international network and its offshore and onshore investment specialists. While </w:t>
      </w:r>
      <w:r w:rsidRPr="009617E0">
        <w:rPr>
          <w:rFonts w:eastAsia="Calibri"/>
        </w:rPr>
        <w:t xml:space="preserve">Austrade’s </w:t>
      </w:r>
      <w:r>
        <w:rPr>
          <w:rFonts w:eastAsia="Calibri"/>
        </w:rPr>
        <w:t xml:space="preserve">investment promotion and attraction activities will continue to be </w:t>
      </w:r>
      <w:r w:rsidRPr="008A468E">
        <w:rPr>
          <w:rFonts w:eastAsia="Calibri"/>
        </w:rPr>
        <w:t>concentrated in North America, Western Europe and Japan</w:t>
      </w:r>
      <w:r>
        <w:rPr>
          <w:rFonts w:eastAsia="Calibri"/>
        </w:rPr>
        <w:t xml:space="preserve">, </w:t>
      </w:r>
      <w:r w:rsidRPr="008A468E">
        <w:rPr>
          <w:rFonts w:eastAsia="Calibri"/>
        </w:rPr>
        <w:t>as those markets represent Australia’s largest sources of foreign investment</w:t>
      </w:r>
      <w:r>
        <w:rPr>
          <w:rFonts w:eastAsia="Calibri"/>
        </w:rPr>
        <w:t>,</w:t>
      </w:r>
      <w:r w:rsidRPr="008A468E">
        <w:rPr>
          <w:rFonts w:eastAsia="Calibri"/>
        </w:rPr>
        <w:t xml:space="preserve"> Austrade will also pursue foreign investors in other regions, including </w:t>
      </w:r>
      <w:r>
        <w:rPr>
          <w:rFonts w:eastAsia="Calibri"/>
        </w:rPr>
        <w:t xml:space="preserve">China, </w:t>
      </w:r>
      <w:r w:rsidRPr="008A468E">
        <w:rPr>
          <w:rFonts w:eastAsia="Calibri"/>
        </w:rPr>
        <w:t>India</w:t>
      </w:r>
      <w:r>
        <w:rPr>
          <w:rFonts w:eastAsia="Calibri"/>
        </w:rPr>
        <w:t>,</w:t>
      </w:r>
      <w:r w:rsidRPr="008A468E">
        <w:rPr>
          <w:rFonts w:eastAsia="Calibri"/>
        </w:rPr>
        <w:t xml:space="preserve"> </w:t>
      </w:r>
      <w:r>
        <w:rPr>
          <w:rFonts w:eastAsia="Calibri"/>
        </w:rPr>
        <w:t xml:space="preserve">Singapore </w:t>
      </w:r>
      <w:r w:rsidRPr="008A468E">
        <w:rPr>
          <w:rFonts w:eastAsia="Calibri"/>
        </w:rPr>
        <w:t xml:space="preserve">and </w:t>
      </w:r>
      <w:r w:rsidR="002F518C">
        <w:rPr>
          <w:rFonts w:eastAsia="Calibri"/>
        </w:rPr>
        <w:t xml:space="preserve">the Republic of </w:t>
      </w:r>
      <w:r w:rsidRPr="00961A0F">
        <w:rPr>
          <w:rFonts w:eastAsia="Calibri"/>
        </w:rPr>
        <w:t>Korea. The Government has provided $30.0 million to Austrade over four years to significantly enhance Australia’s ability to attract foreign investment in the Government’s five priority areas: food and agribusiness, resources and energy, economic infrastructure, tourism infrastructure, and advanced manufacturing, services and technologies sectors.</w:t>
      </w:r>
      <w:r w:rsidR="00A804F7">
        <w:rPr>
          <w:rFonts w:eastAsia="Calibri"/>
        </w:rPr>
        <w:t xml:space="preserve"> This will be complemented by $5.2 million for Austrade’s Match Australia program, which uses the occasion of major sporting events to engage global business leaders and introduce them to opportunities in Australia.</w:t>
      </w:r>
      <w:r w:rsidR="00023CA7">
        <w:rPr>
          <w:rFonts w:eastAsia="Calibri"/>
        </w:rPr>
        <w:t xml:space="preserve"> The Government has also provided Austrade with $8.5 million to target tropical medicine commercialisation activities (to be provided in partnership with the Department of Industry and Science) to improve Australian researchers’ position with foreign investors.</w:t>
      </w:r>
    </w:p>
    <w:p w:rsidR="00621F80" w:rsidRDefault="00621F80" w:rsidP="00621F80">
      <w:r w:rsidRPr="00850AC5">
        <w:rPr>
          <w:rFonts w:eastAsia="Calibri"/>
        </w:rPr>
        <w:t>Austrade’s activities in key student</w:t>
      </w:r>
      <w:r>
        <w:rPr>
          <w:rFonts w:eastAsia="Calibri"/>
        </w:rPr>
        <w:t xml:space="preserve">-source </w:t>
      </w:r>
      <w:r w:rsidRPr="00850AC5">
        <w:rPr>
          <w:rFonts w:eastAsia="Calibri"/>
        </w:rPr>
        <w:t>markets will continue to contribute to</w:t>
      </w:r>
      <w:r>
        <w:rPr>
          <w:rFonts w:eastAsia="Calibri"/>
        </w:rPr>
        <w:t xml:space="preserve"> the</w:t>
      </w:r>
      <w:r w:rsidRPr="00850AC5">
        <w:rPr>
          <w:rFonts w:eastAsia="Calibri"/>
        </w:rPr>
        <w:t xml:space="preserve"> growth in demand for Australian education services</w:t>
      </w:r>
      <w:r>
        <w:rPr>
          <w:rFonts w:eastAsia="Calibri"/>
        </w:rPr>
        <w:t>. Its activities will help</w:t>
      </w:r>
      <w:r w:rsidRPr="00850AC5">
        <w:rPr>
          <w:rFonts w:eastAsia="Calibri"/>
        </w:rPr>
        <w:t xml:space="preserve"> to position Australia as a provider of high quality education services, and contribute to the development of a sustainable international education sector. In 2015-16, Austrade wi</w:t>
      </w:r>
      <w:r>
        <w:rPr>
          <w:rFonts w:eastAsia="Calibri"/>
        </w:rPr>
        <w:t xml:space="preserve">ll develop, along </w:t>
      </w:r>
      <w:r w:rsidRPr="00850AC5">
        <w:rPr>
          <w:rFonts w:eastAsia="Calibri"/>
        </w:rPr>
        <w:t>with the education sector</w:t>
      </w:r>
      <w:r>
        <w:rPr>
          <w:rFonts w:eastAsia="Calibri"/>
        </w:rPr>
        <w:t>,</w:t>
      </w:r>
      <w:r w:rsidRPr="00850AC5">
        <w:rPr>
          <w:rFonts w:eastAsia="Calibri"/>
        </w:rPr>
        <w:t xml:space="preserve"> a long</w:t>
      </w:r>
      <w:r>
        <w:rPr>
          <w:rFonts w:eastAsia="Calibri"/>
        </w:rPr>
        <w:t>-</w:t>
      </w:r>
      <w:r w:rsidRPr="00850AC5">
        <w:rPr>
          <w:rFonts w:eastAsia="Calibri"/>
        </w:rPr>
        <w:t>term</w:t>
      </w:r>
      <w:r>
        <w:rPr>
          <w:rFonts w:eastAsia="Calibri"/>
        </w:rPr>
        <w:t xml:space="preserve"> plan titled </w:t>
      </w:r>
      <w:r w:rsidRPr="008D6E0F">
        <w:rPr>
          <w:rFonts w:eastAsia="Calibri"/>
          <w:i/>
        </w:rPr>
        <w:t>Australian International Education 2025</w:t>
      </w:r>
      <w:r>
        <w:rPr>
          <w:rFonts w:eastAsia="Calibri"/>
        </w:rPr>
        <w:t>, for development of</w:t>
      </w:r>
      <w:r w:rsidRPr="00850AC5">
        <w:rPr>
          <w:rFonts w:eastAsia="Calibri"/>
        </w:rPr>
        <w:t xml:space="preserve"> international market</w:t>
      </w:r>
      <w:r>
        <w:rPr>
          <w:rFonts w:eastAsia="Calibri"/>
        </w:rPr>
        <w:t>s</w:t>
      </w:r>
      <w:r w:rsidRPr="00850AC5">
        <w:rPr>
          <w:rFonts w:eastAsia="Calibri"/>
        </w:rPr>
        <w:t xml:space="preserve">. This plan will support the vision of the Government’s new </w:t>
      </w:r>
      <w:r w:rsidRPr="00850AC5">
        <w:rPr>
          <w:rFonts w:eastAsia="Calibri"/>
          <w:i/>
        </w:rPr>
        <w:t>National Strategy for International Education</w:t>
      </w:r>
      <w:r>
        <w:rPr>
          <w:rFonts w:eastAsia="Calibri"/>
        </w:rPr>
        <w:t>,</w:t>
      </w:r>
      <w:r w:rsidRPr="00850AC5">
        <w:rPr>
          <w:rFonts w:eastAsia="Calibri"/>
        </w:rPr>
        <w:t xml:space="preserve"> which </w:t>
      </w:r>
      <w:r>
        <w:rPr>
          <w:rFonts w:eastAsia="Calibri"/>
        </w:rPr>
        <w:t xml:space="preserve">recognises </w:t>
      </w:r>
      <w:r w:rsidRPr="00850AC5">
        <w:rPr>
          <w:rFonts w:eastAsia="Calibri"/>
        </w:rPr>
        <w:t>Australian international education as a core element of Australia’s economic prosperity, social advancement and international standing.</w:t>
      </w:r>
      <w:r>
        <w:t xml:space="preserve"> </w:t>
      </w:r>
    </w:p>
    <w:p w:rsidR="00621F80" w:rsidRDefault="00621F80" w:rsidP="00621F80">
      <w:pPr>
        <w:rPr>
          <w:rFonts w:eastAsia="Calibri"/>
        </w:rPr>
      </w:pPr>
      <w:r>
        <w:rPr>
          <w:rFonts w:eastAsia="Calibri"/>
        </w:rPr>
        <w:lastRenderedPageBreak/>
        <w:t xml:space="preserve">Within Australia, Austrade operates in 11 locations. Its reach is extended through its TradeStart network, managed in partnership with state, territory and local governments and industry bodies in locations across regional and metropolitan Australia. </w:t>
      </w:r>
    </w:p>
    <w:p w:rsidR="00621F80" w:rsidRDefault="00621F80" w:rsidP="00621F80">
      <w:r>
        <w:rPr>
          <w:rFonts w:eastAsia="Calibri"/>
        </w:rPr>
        <w:t xml:space="preserve">Austrade’s Tourism Division will continue to have responsibility for policies to improve the competitiveness of Australia’s tourism industry, and will continue to implement the national long-term tourism strategy, </w:t>
      </w:r>
      <w:r>
        <w:rPr>
          <w:rFonts w:eastAsia="Calibri"/>
          <w:i/>
        </w:rPr>
        <w:t>Tourism 2020</w:t>
      </w:r>
      <w:r w:rsidRPr="005706D6">
        <w:rPr>
          <w:rFonts w:eastAsia="Calibri"/>
        </w:rPr>
        <w:t>,</w:t>
      </w:r>
      <w:r>
        <w:rPr>
          <w:rFonts w:eastAsia="Calibri"/>
        </w:rPr>
        <w:t xml:space="preserve"> to strengthen Australia’s tourism industry and help grow Australia’s tourism market share. Austrade will also continue to administer various tourism programmes to support the Australian tourism sector</w:t>
      </w:r>
      <w:r>
        <w:t xml:space="preserve">. </w:t>
      </w:r>
    </w:p>
    <w:p w:rsidR="00621F80" w:rsidRDefault="00621F80" w:rsidP="00621F80">
      <w:r>
        <w:rPr>
          <w:rFonts w:eastAsia="Calibri"/>
        </w:rPr>
        <w:t xml:space="preserve">Austrade will continue to administer the Export Market Development Grants (EMDG) scheme, which </w:t>
      </w:r>
      <w:r>
        <w:rPr>
          <w:rFonts w:eastAsia="Calibri"/>
          <w:lang w:val="en-US"/>
        </w:rPr>
        <w:t xml:space="preserve">helps small and medium-sized Australian businesses meet the challenges associated with undertaking promotion in export markets. </w:t>
      </w:r>
      <w:r>
        <w:rPr>
          <w:rFonts w:eastAsia="Calibri"/>
        </w:rPr>
        <w:t xml:space="preserve">The EMDG scheme is undergoing its legislated, periodic review, with the report of this review being tabled in the second half of 2015. </w:t>
      </w:r>
      <w:r w:rsidRPr="00961A0F">
        <w:rPr>
          <w:rFonts w:eastAsia="Calibri"/>
        </w:rPr>
        <w:t>While Austrade will continue to administer existing funding agreements for Asian Business Engagement (ABE) plan grants, no new grants will be awarded</w:t>
      </w:r>
      <w:r w:rsidRPr="00961A0F">
        <w:t>.</w:t>
      </w:r>
      <w:r>
        <w:t xml:space="preserve"> </w:t>
      </w:r>
    </w:p>
    <w:p w:rsidR="00621F80" w:rsidRDefault="00621F80" w:rsidP="00621F80">
      <w:r>
        <w:t>Austrade will continue to deliver timely consular and passport services to Australians in 17 overseas locations (at 1 July 2015).</w:t>
      </w:r>
    </w:p>
    <w:p w:rsidR="00621F80" w:rsidRPr="005706D6" w:rsidRDefault="00621F80" w:rsidP="00621F80">
      <w:pPr>
        <w:rPr>
          <w:rFonts w:eastAsia="Calibri"/>
        </w:rPr>
      </w:pPr>
      <w:r>
        <w:rPr>
          <w:rFonts w:eastAsia="Calibri"/>
        </w:rPr>
        <w:t>To support the delivery of all of Austrade’s outcomes, Austrade will continue to invest in developing the capabilities and language skills of both Australian and locally-engaged staff</w:t>
      </w:r>
      <w:r w:rsidRPr="00FD1BE4">
        <w:t>.</w:t>
      </w:r>
    </w:p>
    <w:p w:rsidR="00C102DA" w:rsidRDefault="00C102DA" w:rsidP="00C102DA"/>
    <w:p w:rsidR="009131E0" w:rsidRDefault="009131E0" w:rsidP="009131E0">
      <w:pPr>
        <w:pStyle w:val="Heading3"/>
      </w:pPr>
      <w:r>
        <w:br w:type="page"/>
      </w:r>
      <w:r>
        <w:lastRenderedPageBreak/>
        <w:t>1.2</w:t>
      </w:r>
      <w:r>
        <w:tab/>
        <w:t>Entity resource statement</w:t>
      </w:r>
    </w:p>
    <w:p w:rsidR="009131E0" w:rsidRDefault="00621F80" w:rsidP="009131E0">
      <w:r>
        <w:t>Table 1.1 shows the total resources from all sources. The table summarises how resources will be applied by outcome and by administered and departmental classification.</w:t>
      </w:r>
    </w:p>
    <w:p w:rsidR="009131E0" w:rsidRDefault="009131E0" w:rsidP="009131E0">
      <w:pPr>
        <w:pStyle w:val="TableHeading"/>
        <w:rPr>
          <w:sz w:val="20"/>
        </w:rPr>
      </w:pPr>
      <w:r w:rsidRPr="005C4BEE">
        <w:rPr>
          <w:sz w:val="20"/>
        </w:rPr>
        <w:t xml:space="preserve">Table 1.1: </w:t>
      </w:r>
      <w:r w:rsidR="00EB0A60">
        <w:rPr>
          <w:sz w:val="20"/>
        </w:rPr>
        <w:t xml:space="preserve">Austrade </w:t>
      </w:r>
      <w:r w:rsidRPr="005C4BEE">
        <w:rPr>
          <w:sz w:val="20"/>
        </w:rPr>
        <w:t>resource statement — Budget</w:t>
      </w:r>
      <w:r>
        <w:rPr>
          <w:sz w:val="20"/>
        </w:rPr>
        <w:t xml:space="preserve"> e</w:t>
      </w:r>
      <w:r w:rsidRPr="005C4BEE">
        <w:rPr>
          <w:sz w:val="20"/>
        </w:rPr>
        <w:t xml:space="preserve">stimates for </w:t>
      </w:r>
      <w:r>
        <w:rPr>
          <w:sz w:val="20"/>
        </w:rPr>
        <w:t>2015</w:t>
      </w:r>
      <w:r>
        <w:rPr>
          <w:sz w:val="20"/>
        </w:rPr>
        <w:noBreakHyphen/>
        <w:t>16</w:t>
      </w:r>
      <w:r w:rsidRPr="005C4BEE">
        <w:rPr>
          <w:sz w:val="20"/>
        </w:rPr>
        <w:t xml:space="preserve"> as at Budget May </w:t>
      </w:r>
      <w:r>
        <w:rPr>
          <w:sz w:val="20"/>
        </w:rPr>
        <w:t>2015</w:t>
      </w:r>
    </w:p>
    <w:p w:rsidR="009131E0" w:rsidRDefault="00833238" w:rsidP="009131E0">
      <w:pPr>
        <w:pStyle w:val="TableGraphic"/>
      </w:pPr>
      <w:r>
        <w:pict>
          <v:shape id="_x0000_i1071" type="#_x0000_t75" style="width:387.1pt;height:287.05pt">
            <v:imagedata r:id="rId112" o:title=""/>
          </v:shape>
        </w:pict>
      </w:r>
    </w:p>
    <w:p w:rsidR="009131E0" w:rsidRPr="00BE1E3A" w:rsidRDefault="009131E0" w:rsidP="00F37EE6">
      <w:pPr>
        <w:pStyle w:val="ChartandTableFootnote"/>
        <w:numPr>
          <w:ilvl w:val="0"/>
          <w:numId w:val="26"/>
        </w:numPr>
        <w:ind w:hanging="720"/>
      </w:pPr>
      <w:r w:rsidRPr="00BE1E3A">
        <w:rPr>
          <w:i/>
        </w:rPr>
        <w:t>Appropriation Bill (No. 1) 2015-16</w:t>
      </w:r>
      <w:r w:rsidRPr="00BE1E3A">
        <w:t>.</w:t>
      </w:r>
    </w:p>
    <w:p w:rsidR="009131E0" w:rsidRPr="007C4CCE" w:rsidRDefault="009131E0" w:rsidP="00F37EE6">
      <w:pPr>
        <w:pStyle w:val="ChartandTableFootnote"/>
        <w:numPr>
          <w:ilvl w:val="0"/>
          <w:numId w:val="26"/>
        </w:numPr>
        <w:ind w:left="284" w:hanging="284"/>
      </w:pPr>
      <w:r w:rsidRPr="007C4CCE">
        <w:t xml:space="preserve">Estimated adjusted balance carried forward from previous year. </w:t>
      </w:r>
    </w:p>
    <w:p w:rsidR="009131E0" w:rsidRPr="008015A7" w:rsidRDefault="009131E0" w:rsidP="00F37EE6">
      <w:pPr>
        <w:pStyle w:val="ChartandTableFootnote"/>
        <w:numPr>
          <w:ilvl w:val="0"/>
          <w:numId w:val="26"/>
        </w:numPr>
        <w:ind w:left="284" w:hanging="284"/>
      </w:pPr>
      <w:r w:rsidRPr="008015A7">
        <w:t>Includes an amount of $</w:t>
      </w:r>
      <w:r w:rsidR="00EB0A60">
        <w:t>14.2</w:t>
      </w:r>
      <w:r w:rsidRPr="008015A7">
        <w:t xml:space="preserve">m for the Departmental Capital Budget (refer to Table 3.2.5 for further details). For accounting purposes this amount has been designated as ‘contributions by owners’. </w:t>
      </w:r>
    </w:p>
    <w:p w:rsidR="009131E0" w:rsidRDefault="009131E0" w:rsidP="00F37EE6">
      <w:pPr>
        <w:pStyle w:val="ChartandTableFootnote"/>
        <w:numPr>
          <w:ilvl w:val="0"/>
          <w:numId w:val="26"/>
        </w:numPr>
        <w:ind w:left="284" w:hanging="284"/>
      </w:pPr>
      <w:r w:rsidRPr="00896FF4">
        <w:t xml:space="preserve">Estimated </w:t>
      </w:r>
      <w:r w:rsidR="00EB0A60">
        <w:t>r</w:t>
      </w:r>
      <w:r w:rsidRPr="00896FF4">
        <w:t xml:space="preserve">etained revenue </w:t>
      </w:r>
      <w:r>
        <w:t>receipts under section 74 of the PGPA Act</w:t>
      </w:r>
      <w:r w:rsidRPr="00896FF4">
        <w:t xml:space="preserve">. </w:t>
      </w:r>
    </w:p>
    <w:p w:rsidR="00C24EB2" w:rsidRPr="006A0372" w:rsidRDefault="00C24EB2" w:rsidP="00F37EE6">
      <w:pPr>
        <w:pStyle w:val="ChartandTableFootnote"/>
        <w:numPr>
          <w:ilvl w:val="0"/>
          <w:numId w:val="26"/>
        </w:numPr>
        <w:ind w:left="284" w:hanging="284"/>
      </w:pPr>
      <w:r>
        <w:t>Appropriation rela</w:t>
      </w:r>
      <w:r w:rsidR="001076E7">
        <w:t>ting to Tourism grants program</w:t>
      </w:r>
      <w:r>
        <w:t xml:space="preserve">s for 2014-15 is reflected in </w:t>
      </w:r>
      <w:r w:rsidR="001076E7">
        <w:t xml:space="preserve">the </w:t>
      </w:r>
      <w:r>
        <w:t>Department of Foreign Affairs and Trade resource statement</w:t>
      </w:r>
      <w:r w:rsidRPr="00896FF4">
        <w:t xml:space="preserve">. </w:t>
      </w:r>
    </w:p>
    <w:p w:rsidR="009131E0" w:rsidRPr="00EB0A60" w:rsidRDefault="00C24EB2" w:rsidP="00F37EE6">
      <w:pPr>
        <w:pStyle w:val="ChartandTableFootnote"/>
        <w:numPr>
          <w:ilvl w:val="0"/>
          <w:numId w:val="26"/>
        </w:numPr>
        <w:ind w:left="284" w:hanging="284"/>
      </w:pPr>
      <w:r>
        <w:rPr>
          <w:i/>
        </w:rPr>
        <w:t>Appropriation Bill (No. 2) 2015-16.</w:t>
      </w:r>
      <w:r w:rsidR="009131E0" w:rsidRPr="00EB0A60">
        <w:t xml:space="preserve"> </w:t>
      </w:r>
    </w:p>
    <w:p w:rsidR="009131E0" w:rsidRPr="00C8049D" w:rsidRDefault="009131E0" w:rsidP="009131E0">
      <w:pPr>
        <w:pStyle w:val="ChartandTableFootnote"/>
        <w:keepNext w:val="0"/>
      </w:pPr>
      <w:r w:rsidRPr="00C8049D">
        <w:t>Reader note: All figures are GST exclusive.</w:t>
      </w:r>
    </w:p>
    <w:p w:rsidR="009131E0" w:rsidRDefault="009131E0" w:rsidP="00C14A16">
      <w:pPr>
        <w:pStyle w:val="Heading3"/>
        <w:spacing w:before="0"/>
      </w:pPr>
      <w:r>
        <w:br w:type="page"/>
      </w:r>
      <w:r>
        <w:lastRenderedPageBreak/>
        <w:t>1.3</w:t>
      </w:r>
      <w:r>
        <w:tab/>
        <w:t>Budget measures</w:t>
      </w:r>
    </w:p>
    <w:p w:rsidR="0088361F" w:rsidRDefault="0088361F" w:rsidP="0088361F">
      <w:r w:rsidRPr="00DC32EC">
        <w:t xml:space="preserve">Budget measures </w:t>
      </w:r>
      <w:r>
        <w:t xml:space="preserve">in Part 1 </w:t>
      </w:r>
      <w:r w:rsidRPr="00DC32EC">
        <w:t>relating to</w:t>
      </w:r>
      <w:r>
        <w:t xml:space="preserve"> Austrade</w:t>
      </w:r>
      <w:r w:rsidRPr="00DC32EC">
        <w:t xml:space="preserve"> a</w:t>
      </w:r>
      <w:r>
        <w:t>re detailed in Budget Paper No. </w:t>
      </w:r>
      <w:r w:rsidRPr="00DC32EC">
        <w:t>2</w:t>
      </w:r>
      <w:r>
        <w:t xml:space="preserve"> and are summarised below. </w:t>
      </w:r>
    </w:p>
    <w:p w:rsidR="009131E0" w:rsidRPr="0079254A" w:rsidRDefault="009131E0" w:rsidP="009131E0">
      <w:pPr>
        <w:pStyle w:val="TableHeading"/>
        <w:rPr>
          <w:sz w:val="20"/>
        </w:rPr>
      </w:pPr>
      <w:r w:rsidRPr="0079254A">
        <w:rPr>
          <w:sz w:val="20"/>
        </w:rPr>
        <w:t>Table 1.2: Entity 2015</w:t>
      </w:r>
      <w:r w:rsidRPr="0079254A">
        <w:rPr>
          <w:sz w:val="20"/>
        </w:rPr>
        <w:noBreakHyphen/>
        <w:t>16 Budget measures</w:t>
      </w:r>
    </w:p>
    <w:p w:rsidR="009131E0" w:rsidRPr="005C4BEE" w:rsidRDefault="009131E0" w:rsidP="009131E0">
      <w:pPr>
        <w:pStyle w:val="TableHeadingcontinued"/>
      </w:pPr>
      <w:r w:rsidRPr="005C4BEE">
        <w:t xml:space="preserve">Part 1: Measures announced since the </w:t>
      </w:r>
      <w:r>
        <w:t>2014</w:t>
      </w:r>
      <w:r>
        <w:noBreakHyphen/>
        <w:t>15</w:t>
      </w:r>
      <w:r w:rsidRPr="005C4BEE">
        <w:t xml:space="preserve"> M</w:t>
      </w:r>
      <w:r>
        <w:t>id-Year Economic and Fiscal Outlook (MYEFO)</w:t>
      </w:r>
    </w:p>
    <w:p w:rsidR="009131E0" w:rsidRDefault="00833238" w:rsidP="009131E0">
      <w:pPr>
        <w:pStyle w:val="TableGraphic"/>
      </w:pPr>
      <w:r>
        <w:pict>
          <v:shape id="_x0000_i1072" type="#_x0000_t75" style="width:385.25pt;height:332.9pt">
            <v:imagedata r:id="rId113" o:title=""/>
          </v:shape>
        </w:pict>
      </w:r>
    </w:p>
    <w:p w:rsidR="00023CA7" w:rsidRPr="00BE1E3A" w:rsidRDefault="00023CA7" w:rsidP="00F37EE6">
      <w:pPr>
        <w:pStyle w:val="ChartandTableFootnote"/>
        <w:numPr>
          <w:ilvl w:val="0"/>
          <w:numId w:val="68"/>
        </w:numPr>
        <w:ind w:left="284" w:hanging="284"/>
      </w:pPr>
      <w:r>
        <w:t>The continuation and expansion of Match Australia is offset by the savings achieved from the termination of Asian Business Engagement plan grants program</w:t>
      </w:r>
      <w:r w:rsidRPr="00BE1E3A">
        <w:t>.</w:t>
      </w:r>
      <w:r>
        <w:t xml:space="preserve"> The net impact on cash is nil.</w:t>
      </w:r>
    </w:p>
    <w:p w:rsidR="009131E0" w:rsidRDefault="009131E0" w:rsidP="009131E0">
      <w:pPr>
        <w:pStyle w:val="Source"/>
      </w:pPr>
      <w:r w:rsidRPr="002B779E">
        <w:t>Pr</w:t>
      </w:r>
      <w:r>
        <w:t>epared on a Government Finance</w:t>
      </w:r>
      <w:r w:rsidRPr="002B779E">
        <w:t xml:space="preserve"> Statistics </w:t>
      </w:r>
      <w:r>
        <w:t xml:space="preserve">(fiscal) </w:t>
      </w:r>
      <w:r w:rsidRPr="002B779E">
        <w:t>basis</w:t>
      </w:r>
      <w:r>
        <w:t>.</w:t>
      </w:r>
    </w:p>
    <w:p w:rsidR="009131E0" w:rsidRDefault="009131E0" w:rsidP="009131E0">
      <w:pPr>
        <w:pStyle w:val="NoSpacing"/>
      </w:pPr>
    </w:p>
    <w:p w:rsidR="009131E0" w:rsidRDefault="009131E0" w:rsidP="003D2984">
      <w:pPr>
        <w:pStyle w:val="Heading2"/>
        <w:spacing w:before="0"/>
      </w:pPr>
      <w:r>
        <w:br w:type="page"/>
      </w:r>
      <w:r>
        <w:lastRenderedPageBreak/>
        <w:t>Section 2: Outcomes and planned performance</w:t>
      </w:r>
    </w:p>
    <w:p w:rsidR="009131E0" w:rsidRDefault="009131E0" w:rsidP="009131E0">
      <w:pPr>
        <w:pStyle w:val="Heading3"/>
      </w:pPr>
      <w:r>
        <w:t>2.1</w:t>
      </w:r>
      <w:r>
        <w:tab/>
        <w:t>Outcomes and performance information</w:t>
      </w:r>
    </w:p>
    <w:p w:rsidR="0088361F" w:rsidRDefault="0088361F" w:rsidP="0088361F">
      <w:r>
        <w:t xml:space="preserve">Government outcomes are the intended results, impacts or consequences of actions by the Government on the Australian community. </w:t>
      </w:r>
      <w:r w:rsidRPr="00E95DB8">
        <w:t xml:space="preserve">Commonwealth </w:t>
      </w:r>
      <w:r>
        <w:t>programmes</w:t>
      </w:r>
      <w:r w:rsidRPr="00E95DB8">
        <w:t xml:space="preserve"> are the primary vehicle by which </w:t>
      </w:r>
      <w:r>
        <w:t>G</w:t>
      </w:r>
      <w:r w:rsidRPr="00E95DB8">
        <w:t xml:space="preserve">overnment agencies achieve the intended results of their outcome statements. Agencies are required to identify the </w:t>
      </w:r>
      <w:r>
        <w:t>programmes which contribute to Government outcomes over the Budget and forward years.</w:t>
      </w:r>
    </w:p>
    <w:p w:rsidR="0088361F" w:rsidRDefault="0088361F" w:rsidP="0088361F">
      <w:r>
        <w:t>Each outcome is described below together with its related programmes, specifying the performance indicators and targets used to assess and monitor the performance of Austrade</w:t>
      </w:r>
      <w:r>
        <w:rPr>
          <w:color w:val="FF0000"/>
        </w:rPr>
        <w:t xml:space="preserve"> </w:t>
      </w:r>
      <w:r>
        <w:t>in achieving Government outcomes.</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A5180A" w:rsidTr="00384293">
        <w:tc>
          <w:tcPr>
            <w:tcW w:w="7713" w:type="dxa"/>
            <w:shd w:val="clear" w:color="auto" w:fill="E6E6E6"/>
          </w:tcPr>
          <w:p w:rsidR="00A5180A" w:rsidRDefault="0088361F" w:rsidP="00384293">
            <w:pPr>
              <w:pStyle w:val="TableColumnHeadingLeft"/>
            </w:pPr>
            <w:r>
              <w:t>Outcome 1: Co</w:t>
            </w:r>
            <w:r w:rsidRPr="00955852">
              <w:t>ntribute to Australia’s economic prosperity by promoting Australia’s export and other international economic interests through the provision of information, advice and services to business, associations, insti</w:t>
            </w:r>
            <w:r w:rsidR="008969FC">
              <w:t>tutions and government</w:t>
            </w:r>
          </w:p>
        </w:tc>
      </w:tr>
    </w:tbl>
    <w:p w:rsidR="00A5180A" w:rsidRDefault="00A5180A" w:rsidP="00A5180A">
      <w:pPr>
        <w:pStyle w:val="NoSpacing"/>
      </w:pPr>
    </w:p>
    <w:p w:rsidR="00A5180A" w:rsidRDefault="00A5180A" w:rsidP="00A5180A">
      <w:pPr>
        <w:pStyle w:val="Heading4"/>
      </w:pPr>
      <w:r>
        <w:t>Outcome 1 strategy</w:t>
      </w:r>
    </w:p>
    <w:p w:rsidR="0088361F" w:rsidRDefault="0088361F" w:rsidP="0088361F">
      <w:pPr>
        <w:spacing w:after="280"/>
      </w:pPr>
      <w:r>
        <w:t xml:space="preserve">Austrade will promote Australia’s export and other international economic interests by providing information, advice and services to businesses, associations, institutions and government.  </w:t>
      </w:r>
    </w:p>
    <w:p w:rsidR="0088361F" w:rsidRDefault="0088361F" w:rsidP="0088361F">
      <w:r>
        <w:t xml:space="preserve">Regarding trade promotion, Australian businesses and institutions face a range of barriers in different markets that impede successful market entry and identification of relevant commercial opportunities. Austrade can provide the most value to Australian businesses and institutions by focussing on markets where those barriers are strongest. This includes where different language and business cultures can be challenging, where there is less openness of regulatory frameworks and transparency of business processes, where there are difficulties accessing distribution channels and commercial connections, and where the value of the ‘badge of government’ is highest. Austrade will therefore direct more of its resources to Asian and other growth and emerging markets that offer commercial potential and that provide opportunities aligned with Australia’s comparative advantage. </w:t>
      </w:r>
    </w:p>
    <w:p w:rsidR="0088361F" w:rsidRPr="00F35EC4" w:rsidRDefault="0088361F" w:rsidP="0088361F">
      <w:r>
        <w:t xml:space="preserve">Australia’s international education sector is highly competitive, but faces new challenges, including from the increasing spread of digital education platforms and emerging technologies. </w:t>
      </w:r>
      <w:r w:rsidRPr="00F35EC4">
        <w:t>During the year</w:t>
      </w:r>
      <w:r>
        <w:t>,</w:t>
      </w:r>
      <w:r w:rsidRPr="00F35EC4">
        <w:t xml:space="preserve"> Austrade will be working with the international education sector to develop </w:t>
      </w:r>
      <w:r w:rsidRPr="00C3600A">
        <w:rPr>
          <w:i/>
        </w:rPr>
        <w:t>Australian International Education (AIE) 2025</w:t>
      </w:r>
      <w:r w:rsidRPr="00F35EC4">
        <w:t>, a long-term market development plan for the next decade.</w:t>
      </w:r>
    </w:p>
    <w:p w:rsidR="0088361F" w:rsidRDefault="0088361F" w:rsidP="003D2984">
      <w:r>
        <w:t xml:space="preserve">Currently, education and training is one of Australia’s largest service export industries. The number of international students is forecast to grow globally by nearly 100 per </w:t>
      </w:r>
      <w:r>
        <w:lastRenderedPageBreak/>
        <w:t>cent from 4.3 million in 2011 to 8 million by 2025</w:t>
      </w:r>
      <w:r w:rsidR="0009791B">
        <w:t>,</w:t>
      </w:r>
      <w:r w:rsidR="0009791B">
        <w:rPr>
          <w:rStyle w:val="FootnoteReference"/>
        </w:rPr>
        <w:footnoteReference w:id="1"/>
      </w:r>
      <w:r>
        <w:t xml:space="preserve"> and the market is highly competitive. Austrade, through the use of the </w:t>
      </w:r>
      <w:r>
        <w:rPr>
          <w:i/>
          <w:iCs/>
        </w:rPr>
        <w:t>Future Unlimited</w:t>
      </w:r>
      <w:r>
        <w:t xml:space="preserve"> brand, provides a single, focused message and a coordinated national approach to the international marketing and promotion of the Australian education and training sector. This helps to maximise international student enrolments and position Australia’s education system as world-class and globally connected. Through Austrade’s international network, quality commercial opportunities are identified and timely market intelligence is provided to the Australian education sector to assist it to make informed decisions, shape strategies, and develop international relationships and business. As a key priority, Austrade will work to increase diversification within the education sector, focusing on opportunities in Asia and other growth and emerging markets especially in the delivery of education, training and skills offshore.</w:t>
      </w:r>
    </w:p>
    <w:p w:rsidR="0088361F" w:rsidRDefault="0088361F" w:rsidP="0088361F">
      <w:r>
        <w:t xml:space="preserve">To attract productive foreign direct investment into Australia, Austrade works in partnership with Australian government departments and state and territory governments to provide a coordinated national approach to promoting, attracting and facilitating investment. Recently appointed </w:t>
      </w:r>
      <w:r w:rsidRPr="00077407">
        <w:t xml:space="preserve">senior investment specialists have provided Austrade with additional </w:t>
      </w:r>
      <w:r>
        <w:t xml:space="preserve">capability </w:t>
      </w:r>
      <w:r w:rsidRPr="00077407">
        <w:t>to work with potential investors to finalise investments and identify investor</w:t>
      </w:r>
      <w:r>
        <w:t>-</w:t>
      </w:r>
      <w:r w:rsidRPr="00077407">
        <w:t>ready projects in Australia, in conjunction with state and territory governments.  This activity</w:t>
      </w:r>
      <w:r>
        <w:t xml:space="preserve"> draws on Austrade’s broad network of in-market contacts, and is centred on markets which have significant investment stock in Australia, such as Europe, Japan and North America; or show increasing outward foreign direct investment flows, such as China, India, Singapore and </w:t>
      </w:r>
      <w:r w:rsidR="002F518C">
        <w:t xml:space="preserve">the Republic of </w:t>
      </w:r>
      <w:r>
        <w:t xml:space="preserve">Korea.  </w:t>
      </w:r>
    </w:p>
    <w:p w:rsidR="0088361F" w:rsidRDefault="0088361F" w:rsidP="0088361F">
      <w:r w:rsidRPr="0061551F">
        <w:rPr>
          <w:rFonts w:cs="Calibri"/>
        </w:rPr>
        <w:t xml:space="preserve">Working across government, Austrade will ensure tourism interests are taken into account in broader government policy development and implementation, including </w:t>
      </w:r>
      <w:r>
        <w:rPr>
          <w:rFonts w:cs="Calibri"/>
        </w:rPr>
        <w:t xml:space="preserve">in </w:t>
      </w:r>
      <w:r w:rsidRPr="0061551F">
        <w:rPr>
          <w:rFonts w:cs="Calibri"/>
        </w:rPr>
        <w:t xml:space="preserve">labour and skills, infrastructure development, and regulatory issues. Austrade will continue to progress agreed </w:t>
      </w:r>
      <w:r w:rsidRPr="0061551F">
        <w:rPr>
          <w:rFonts w:cs="Calibri"/>
          <w:i/>
        </w:rPr>
        <w:t>Tourism 2020</w:t>
      </w:r>
      <w:r w:rsidRPr="0061551F">
        <w:rPr>
          <w:rFonts w:cs="Calibri"/>
        </w:rPr>
        <w:t xml:space="preserve"> priorities for 201</w:t>
      </w:r>
      <w:r>
        <w:rPr>
          <w:rFonts w:cs="Calibri"/>
        </w:rPr>
        <w:t>5,</w:t>
      </w:r>
      <w:r w:rsidRPr="0061551F">
        <w:rPr>
          <w:rFonts w:cs="Calibri"/>
        </w:rPr>
        <w:t xml:space="preserve"> including implementing policy reforms and encouraging industry to make use of the tools and </w:t>
      </w:r>
      <w:r>
        <w:rPr>
          <w:rFonts w:cs="Calibri"/>
        </w:rPr>
        <w:t>program</w:t>
      </w:r>
      <w:r w:rsidRPr="0061551F">
        <w:rPr>
          <w:rFonts w:cs="Calibri"/>
        </w:rPr>
        <w:t>s</w:t>
      </w:r>
      <w:r>
        <w:t xml:space="preserve"> </w:t>
      </w:r>
      <w:r>
        <w:rPr>
          <w:i/>
        </w:rPr>
        <w:t>Tourism 2020</w:t>
      </w:r>
      <w:r>
        <w:t xml:space="preserve"> has delivered. Key actions in the </w:t>
      </w:r>
      <w:r>
        <w:rPr>
          <w:i/>
        </w:rPr>
        <w:t>Tourism 2020</w:t>
      </w:r>
      <w:r>
        <w:t xml:space="preserve"> </w:t>
      </w:r>
      <w:r>
        <w:rPr>
          <w:i/>
        </w:rPr>
        <w:t>Strategic Plan (2015-2020)</w:t>
      </w:r>
      <w:r>
        <w:t xml:space="preserve"> will be progressed in 2015. Austrade will also support policy development and the tourism sector by providing economic research, analysis and forecasting.</w:t>
      </w:r>
    </w:p>
    <w:p w:rsidR="00604E8D" w:rsidRDefault="00604E8D" w:rsidP="0088361F">
      <w:r>
        <w:br/>
      </w:r>
      <w:r>
        <w:br/>
      </w:r>
      <w:r>
        <w:br/>
      </w:r>
      <w:r>
        <w:br/>
      </w:r>
      <w:r>
        <w:br/>
      </w:r>
      <w:r>
        <w:br/>
      </w:r>
    </w:p>
    <w:p w:rsidR="009131E0" w:rsidRDefault="009131E0" w:rsidP="00784DE3">
      <w:pPr>
        <w:pStyle w:val="Heading5"/>
        <w:keepLines/>
      </w:pPr>
      <w:r>
        <w:lastRenderedPageBreak/>
        <w:t>Outcome expense statement</w:t>
      </w:r>
    </w:p>
    <w:p w:rsidR="00A5180A" w:rsidRDefault="00A5180A" w:rsidP="001034CF">
      <w:pPr>
        <w:keepNext/>
        <w:keepLines/>
      </w:pPr>
      <w:r>
        <w:t>Table 2.1 provides an overview of the total expenses for Outcome 1 by programme.</w:t>
      </w:r>
    </w:p>
    <w:p w:rsidR="009131E0" w:rsidRPr="005C4BEE" w:rsidRDefault="009131E0" w:rsidP="001034CF">
      <w:pPr>
        <w:pStyle w:val="TableHeading"/>
        <w:rPr>
          <w:sz w:val="20"/>
        </w:rPr>
      </w:pPr>
      <w:r w:rsidRPr="005C4BEE">
        <w:rPr>
          <w:sz w:val="20"/>
        </w:rPr>
        <w:t>Table 2.1: Budgeted expenses for Outcome 1</w:t>
      </w:r>
    </w:p>
    <w:p w:rsidR="009131E0" w:rsidRDefault="00833238" w:rsidP="009131E0">
      <w:pPr>
        <w:pStyle w:val="TableGraphic"/>
      </w:pPr>
      <w:r>
        <w:pict>
          <v:shape id="_x0000_i1073" type="#_x0000_t75" style="width:378.7pt;height:307.65pt">
            <v:imagedata r:id="rId114" o:title=""/>
          </v:shape>
        </w:pict>
      </w:r>
    </w:p>
    <w:p w:rsidR="009131E0" w:rsidRDefault="009131E0" w:rsidP="00F37EE6">
      <w:pPr>
        <w:pStyle w:val="ChartandTableFootnote"/>
        <w:numPr>
          <w:ilvl w:val="0"/>
          <w:numId w:val="27"/>
        </w:numPr>
        <w:ind w:left="284" w:hanging="284"/>
      </w:pPr>
      <w:r w:rsidRPr="004E2825">
        <w:t xml:space="preserve">Departmental </w:t>
      </w:r>
      <w:r w:rsidR="00F31CE5">
        <w:t>a</w:t>
      </w:r>
      <w:r w:rsidRPr="004E2825">
        <w:t xml:space="preserve">ppropriation combines </w:t>
      </w:r>
      <w:r>
        <w:t>‘</w:t>
      </w:r>
      <w:r w:rsidRPr="004E2825">
        <w:t>Ordinary annual services (Appropriation Bill No. 1)</w:t>
      </w:r>
      <w:r>
        <w:t>’</w:t>
      </w:r>
      <w:r w:rsidRPr="004E2825">
        <w:t xml:space="preserve"> and </w:t>
      </w:r>
      <w:r>
        <w:t>‘</w:t>
      </w:r>
      <w:r w:rsidRPr="004E2825">
        <w:t>Revenue from independent sources (s</w:t>
      </w:r>
      <w:r>
        <w:t> 74)</w:t>
      </w:r>
      <w:r w:rsidR="009E576C">
        <w:t>’</w:t>
      </w:r>
      <w:r>
        <w:t>.</w:t>
      </w:r>
    </w:p>
    <w:p w:rsidR="009131E0" w:rsidRPr="004E2825" w:rsidRDefault="009131E0" w:rsidP="00F37EE6">
      <w:pPr>
        <w:pStyle w:val="ChartandTableFootnote"/>
        <w:numPr>
          <w:ilvl w:val="0"/>
          <w:numId w:val="27"/>
        </w:numPr>
        <w:ind w:left="284" w:hanging="284"/>
      </w:pPr>
      <w:r w:rsidRPr="006D62BE">
        <w:t xml:space="preserve">Expenses not requiring </w:t>
      </w:r>
      <w:r>
        <w:t>a</w:t>
      </w:r>
      <w:r w:rsidRPr="006D62BE">
        <w:t>ppropriat</w:t>
      </w:r>
      <w:r>
        <w:t>ion in the Budget year are made up of depreciation expenses</w:t>
      </w:r>
      <w:r w:rsidRPr="006D62BE">
        <w:t xml:space="preserve"> </w:t>
      </w:r>
      <w:r w:rsidR="001034CF">
        <w:t xml:space="preserve">and </w:t>
      </w:r>
      <w:r w:rsidRPr="006D62BE">
        <w:t>amortisation</w:t>
      </w:r>
      <w:r>
        <w:t xml:space="preserve"> expenses.</w:t>
      </w:r>
    </w:p>
    <w:p w:rsidR="009131E0" w:rsidRDefault="009131E0" w:rsidP="009131E0">
      <w:pPr>
        <w:pStyle w:val="Source"/>
      </w:pPr>
      <w:r w:rsidRPr="002329C3">
        <w:t>Note: Departmental appropriation splits and totals are indicative estimates and may change in the course of the budget year as government priorities change.</w:t>
      </w:r>
    </w:p>
    <w:p w:rsidR="009131E0" w:rsidRDefault="009131E0" w:rsidP="009131E0">
      <w:pPr>
        <w:pStyle w:val="Exampletext"/>
      </w:pPr>
      <w:r>
        <w:t>.</w:t>
      </w:r>
    </w:p>
    <w:p w:rsidR="009131E0" w:rsidRDefault="009131E0" w:rsidP="00784DE3">
      <w:pPr>
        <w:pStyle w:val="Heading4"/>
        <w:spacing w:before="0"/>
        <w:rPr>
          <w:rFonts w:ascii="Book Antiqua" w:hAnsi="Book Antiqua"/>
          <w:i/>
          <w:color w:val="FF0000"/>
        </w:rPr>
      </w:pPr>
      <w:r>
        <w:br w:type="page"/>
      </w:r>
      <w:r>
        <w:lastRenderedPageBreak/>
        <w:t xml:space="preserve">Contributions to Outcome 1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713"/>
      </w:tblGrid>
      <w:tr w:rsidR="00A5180A" w:rsidTr="00384293">
        <w:tc>
          <w:tcPr>
            <w:tcW w:w="7713" w:type="dxa"/>
            <w:shd w:val="clear" w:color="auto" w:fill="E6E6E6"/>
          </w:tcPr>
          <w:p w:rsidR="00A5180A" w:rsidRDefault="00A5180A" w:rsidP="00384293">
            <w:pPr>
              <w:pStyle w:val="TableColumnHeadingLeft"/>
            </w:pPr>
            <w:r>
              <w:t>Programme 1.1: Promotion of Australia’s export and other international economic interests</w:t>
            </w:r>
          </w:p>
        </w:tc>
      </w:tr>
    </w:tbl>
    <w:p w:rsidR="00A5180A" w:rsidRPr="00FD5958" w:rsidRDefault="00A5180A" w:rsidP="00A5180A">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A5180A" w:rsidTr="00384293">
        <w:tc>
          <w:tcPr>
            <w:tcW w:w="7711" w:type="dxa"/>
          </w:tcPr>
          <w:p w:rsidR="00A5180A" w:rsidRPr="00604695" w:rsidRDefault="00A5180A" w:rsidP="00384293">
            <w:pPr>
              <w:pStyle w:val="TableColumnHeadingLeft"/>
              <w:rPr>
                <w:color w:val="000000"/>
              </w:rPr>
            </w:pPr>
            <w:r w:rsidRPr="00604695">
              <w:rPr>
                <w:color w:val="000000"/>
              </w:rPr>
              <w:t>Programme objectives</w:t>
            </w:r>
          </w:p>
          <w:p w:rsidR="0088361F" w:rsidRPr="0039129A" w:rsidRDefault="0088361F" w:rsidP="0088361F">
            <w:pPr>
              <w:rPr>
                <w:b/>
              </w:rPr>
            </w:pPr>
            <w:r>
              <w:rPr>
                <w:b/>
              </w:rPr>
              <w:t>Develop international markets, and promote international education</w:t>
            </w:r>
          </w:p>
          <w:p w:rsidR="0088361F" w:rsidRPr="008D1576" w:rsidRDefault="0088361F" w:rsidP="0088361F">
            <w:pPr>
              <w:pStyle w:val="Exampletextbullet"/>
              <w:numPr>
                <w:ilvl w:val="0"/>
                <w:numId w:val="5"/>
              </w:numPr>
              <w:rPr>
                <w:i w:val="0"/>
                <w:color w:val="auto"/>
              </w:rPr>
            </w:pPr>
            <w:r w:rsidRPr="00663787">
              <w:rPr>
                <w:i w:val="0"/>
                <w:color w:val="auto"/>
              </w:rPr>
              <w:t xml:space="preserve">Build linkages and networks with key decision-makers, buyers or institutions, and facilitate access for Australian businesses or institutions in international markets. </w:t>
            </w:r>
          </w:p>
          <w:p w:rsidR="0088361F" w:rsidRPr="00663787" w:rsidRDefault="0088361F" w:rsidP="0088361F">
            <w:pPr>
              <w:pStyle w:val="Exampletextbullet"/>
              <w:numPr>
                <w:ilvl w:val="0"/>
                <w:numId w:val="5"/>
              </w:numPr>
              <w:rPr>
                <w:i w:val="0"/>
                <w:color w:val="auto"/>
              </w:rPr>
            </w:pPr>
            <w:r w:rsidRPr="00663787">
              <w:rPr>
                <w:i w:val="0"/>
                <w:color w:val="auto"/>
              </w:rPr>
              <w:t>Identify internat</w:t>
            </w:r>
            <w:r w:rsidR="00604E8D">
              <w:rPr>
                <w:i w:val="0"/>
                <w:color w:val="auto"/>
              </w:rPr>
              <w:t xml:space="preserve">ional commercial opportunities </w:t>
            </w:r>
            <w:r w:rsidRPr="00663787">
              <w:rPr>
                <w:i w:val="0"/>
                <w:color w:val="auto"/>
              </w:rPr>
              <w:t>matching Australia’s comparative advantage, particularly in food and agribusiness; advanced manufacturing (with a focus on marine, aerospace and automotive industry transformation); resources and energy; international education; international health services and technologies; infrastructure and services (with a specific focus on ICT, major sporting events, financial services and professional services); plus knowledge-based and innovative industries in general.</w:t>
            </w:r>
          </w:p>
          <w:p w:rsidR="0088361F" w:rsidRPr="008D1576" w:rsidRDefault="0088361F" w:rsidP="0088361F">
            <w:pPr>
              <w:pStyle w:val="Exampletextbullet"/>
              <w:numPr>
                <w:ilvl w:val="0"/>
                <w:numId w:val="5"/>
              </w:numPr>
              <w:rPr>
                <w:i w:val="0"/>
                <w:color w:val="auto"/>
              </w:rPr>
            </w:pPr>
            <w:r w:rsidRPr="00663787">
              <w:rPr>
                <w:i w:val="0"/>
                <w:color w:val="auto"/>
              </w:rPr>
              <w:t>Contribute to the growth in demand, both onshore and offshore, for Australian education and training, the repositioning of Australia as a provider of high quality services to international students, and the building of a sustainable Australian international education sector.</w:t>
            </w:r>
          </w:p>
          <w:p w:rsidR="0088361F" w:rsidRPr="00375403" w:rsidRDefault="0088361F" w:rsidP="0088361F">
            <w:pPr>
              <w:rPr>
                <w:b/>
              </w:rPr>
            </w:pPr>
            <w:r>
              <w:rPr>
                <w:b/>
              </w:rPr>
              <w:t>Win productive foreign direct investment</w:t>
            </w:r>
          </w:p>
          <w:p w:rsidR="0088361F" w:rsidRDefault="0088361F" w:rsidP="0088361F">
            <w:pPr>
              <w:pStyle w:val="Exampletextbullet"/>
              <w:numPr>
                <w:ilvl w:val="0"/>
                <w:numId w:val="5"/>
              </w:numPr>
              <w:rPr>
                <w:i w:val="0"/>
                <w:color w:val="auto"/>
              </w:rPr>
            </w:pPr>
            <w:r w:rsidRPr="00663787">
              <w:rPr>
                <w:i w:val="0"/>
                <w:color w:val="auto"/>
              </w:rPr>
              <w:t>Build linkages and networks with key investors and decision-makers.</w:t>
            </w:r>
          </w:p>
          <w:p w:rsidR="0088361F" w:rsidRPr="00663787" w:rsidRDefault="0088361F" w:rsidP="0088361F">
            <w:pPr>
              <w:pStyle w:val="Exampletextbullet"/>
              <w:numPr>
                <w:ilvl w:val="0"/>
                <w:numId w:val="5"/>
              </w:numPr>
              <w:rPr>
                <w:i w:val="0"/>
                <w:color w:val="auto"/>
              </w:rPr>
            </w:pPr>
            <w:r w:rsidRPr="00A56C22">
              <w:rPr>
                <w:i w:val="0"/>
                <w:color w:val="auto"/>
              </w:rPr>
              <w:t>Working in</w:t>
            </w:r>
            <w:r w:rsidR="00A751EB">
              <w:rPr>
                <w:i w:val="0"/>
                <w:color w:val="auto"/>
              </w:rPr>
              <w:t xml:space="preserve"> partnership with Commonwealth G</w:t>
            </w:r>
            <w:r w:rsidRPr="00A56C22">
              <w:rPr>
                <w:i w:val="0"/>
                <w:color w:val="auto"/>
              </w:rPr>
              <w:t>overnment departments and state and territory governments, effectively influence foreign companies to make productive foreign investment into Australia, particularly in the priority areas of food and agribusiness, resources and energy, economic infrastructure, tourism infrastructure, and advanced manufacturing, services and technologies</w:t>
            </w:r>
            <w:r>
              <w:rPr>
                <w:i w:val="0"/>
                <w:color w:val="auto"/>
              </w:rPr>
              <w:t>.</w:t>
            </w:r>
          </w:p>
          <w:p w:rsidR="0088361F" w:rsidRPr="00375403" w:rsidRDefault="00604E8D" w:rsidP="0088361F">
            <w:pPr>
              <w:rPr>
                <w:b/>
              </w:rPr>
            </w:pPr>
            <w:r>
              <w:rPr>
                <w:b/>
              </w:rPr>
              <w:t>Strengthen Australia</w:t>
            </w:r>
            <w:r w:rsidR="0088361F">
              <w:rPr>
                <w:b/>
              </w:rPr>
              <w:t>’s tourism industry</w:t>
            </w:r>
          </w:p>
          <w:p w:rsidR="0088361F" w:rsidRPr="00A56C22" w:rsidRDefault="0088361F" w:rsidP="0088361F">
            <w:pPr>
              <w:pStyle w:val="Exampletextbullet"/>
              <w:numPr>
                <w:ilvl w:val="0"/>
                <w:numId w:val="5"/>
              </w:numPr>
            </w:pPr>
            <w:r w:rsidRPr="00A56C22">
              <w:rPr>
                <w:i w:val="0"/>
                <w:color w:val="auto"/>
              </w:rPr>
              <w:t>Lead the development and implementation of tourism policy to maintain and promote a competitive tourism sector and facilitate the growth of domestic and international tourism.</w:t>
            </w:r>
          </w:p>
          <w:p w:rsidR="0088361F" w:rsidRPr="0088361F" w:rsidRDefault="0088361F" w:rsidP="0088361F">
            <w:pPr>
              <w:pStyle w:val="Exampletextbullet"/>
              <w:numPr>
                <w:ilvl w:val="0"/>
                <w:numId w:val="5"/>
              </w:numPr>
            </w:pPr>
            <w:r w:rsidRPr="00A56C22">
              <w:rPr>
                <w:i w:val="0"/>
                <w:color w:val="auto"/>
              </w:rPr>
              <w:t>Provide tourism research and statistics to guide policy development and support business marketing and decision making</w:t>
            </w:r>
            <w:r>
              <w:rPr>
                <w:i w:val="0"/>
                <w:color w:val="auto"/>
              </w:rPr>
              <w:t>.</w:t>
            </w:r>
          </w:p>
          <w:p w:rsidR="0088361F" w:rsidRPr="00A56C22" w:rsidRDefault="0088361F" w:rsidP="0088361F">
            <w:pPr>
              <w:pStyle w:val="Exampletextbullet"/>
              <w:ind w:left="284"/>
            </w:pPr>
          </w:p>
          <w:p w:rsidR="00A5180A" w:rsidRPr="00604695" w:rsidRDefault="0088361F" w:rsidP="0088361F">
            <w:pPr>
              <w:pStyle w:val="Exampletextbullet"/>
              <w:numPr>
                <w:ilvl w:val="0"/>
                <w:numId w:val="5"/>
              </w:numPr>
              <w:rPr>
                <w:color w:val="000000"/>
              </w:rPr>
            </w:pPr>
            <w:r w:rsidRPr="00663787">
              <w:rPr>
                <w:rFonts w:cs="Book Antiqua"/>
                <w:i w:val="0"/>
                <w:color w:val="auto"/>
              </w:rPr>
              <w:lastRenderedPageBreak/>
              <w:t>Effectively co-ordinate with other Commonwealth Government agencies, and the state and territory governments.</w:t>
            </w:r>
          </w:p>
        </w:tc>
      </w:tr>
    </w:tbl>
    <w:p w:rsidR="009131E0" w:rsidRDefault="009131E0" w:rsidP="009131E0">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1"/>
      </w:tblGrid>
      <w:tr w:rsidR="009131E0" w:rsidRPr="008E4180" w:rsidTr="009131E0">
        <w:tc>
          <w:tcPr>
            <w:tcW w:w="7711" w:type="dxa"/>
          </w:tcPr>
          <w:p w:rsidR="009131E0" w:rsidRPr="00D57849" w:rsidRDefault="009131E0" w:rsidP="00204E98">
            <w:pPr>
              <w:pStyle w:val="TableColumnHeadingLeft"/>
              <w:jc w:val="both"/>
            </w:pPr>
            <w:r>
              <w:t>Programme expenses</w:t>
            </w:r>
          </w:p>
        </w:tc>
      </w:tr>
    </w:tbl>
    <w:p w:rsidR="009131E0" w:rsidRDefault="009131E0" w:rsidP="009131E0">
      <w:pPr>
        <w:pStyle w:val="NoSpacing"/>
      </w:pPr>
    </w:p>
    <w:p w:rsidR="009131E0" w:rsidRDefault="00833238" w:rsidP="009131E0">
      <w:pPr>
        <w:pStyle w:val="TableGraphic"/>
      </w:pPr>
      <w:r>
        <w:pict>
          <v:shape id="_x0000_i1074" type="#_x0000_t75" style="width:385.25pt;height:134.65pt">
            <v:imagedata r:id="rId115" o:title=""/>
          </v:shape>
        </w:pict>
      </w:r>
    </w:p>
    <w:p w:rsidR="009131E0" w:rsidRPr="00D02EF1" w:rsidRDefault="009131E0" w:rsidP="00F37EE6">
      <w:pPr>
        <w:pStyle w:val="ChartandTableFootnote"/>
        <w:numPr>
          <w:ilvl w:val="0"/>
          <w:numId w:val="28"/>
        </w:numPr>
        <w:ind w:left="284" w:hanging="284"/>
      </w:pPr>
      <w:r w:rsidRPr="006D62BE">
        <w:t>Expenses not requiring appropriat</w:t>
      </w:r>
      <w:r>
        <w:t>ion in the Budget year are made up of depreciation expenses</w:t>
      </w:r>
      <w:r w:rsidR="00204E98">
        <w:t xml:space="preserve"> and</w:t>
      </w:r>
      <w:r w:rsidRPr="006D62BE">
        <w:t xml:space="preserve"> amortisation</w:t>
      </w:r>
      <w:r>
        <w:t xml:space="preserve"> expenses</w:t>
      </w:r>
      <w:r w:rsidRPr="006D62BE">
        <w:t>.</w:t>
      </w:r>
    </w:p>
    <w:p w:rsidR="009131E0" w:rsidRDefault="009131E0" w:rsidP="009131E0">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A5180A" w:rsidTr="00384293">
        <w:tc>
          <w:tcPr>
            <w:tcW w:w="7711" w:type="dxa"/>
          </w:tcPr>
          <w:p w:rsidR="00A5180A" w:rsidRDefault="00A5180A" w:rsidP="00384293">
            <w:pPr>
              <w:pStyle w:val="TableColumnHeadingLeft"/>
              <w:pageBreakBefore/>
              <w:jc w:val="both"/>
            </w:pPr>
            <w:r>
              <w:rPr>
                <w:rFonts w:ascii="Book Antiqua" w:hAnsi="Book Antiqua"/>
                <w:b w:val="0"/>
              </w:rPr>
              <w:lastRenderedPageBreak/>
              <w:br w:type="page"/>
            </w:r>
            <w:r>
              <w:rPr>
                <w:b w:val="0"/>
              </w:rPr>
              <w:br w:type="page"/>
            </w:r>
            <w:r>
              <w:rPr>
                <w:rFonts w:ascii="Book Antiqua" w:hAnsi="Book Antiqua"/>
                <w:b w:val="0"/>
              </w:rPr>
              <w:br w:type="page"/>
            </w:r>
            <w:r>
              <w:t xml:space="preserve">Programme 1.1 deliverables </w:t>
            </w:r>
          </w:p>
          <w:p w:rsidR="0088361F" w:rsidRPr="0039129A" w:rsidRDefault="0088361F" w:rsidP="0088361F">
            <w:pPr>
              <w:rPr>
                <w:b/>
              </w:rPr>
            </w:pPr>
            <w:r>
              <w:rPr>
                <w:b/>
              </w:rPr>
              <w:t>Develop international markets, and promote international education</w:t>
            </w:r>
          </w:p>
          <w:p w:rsidR="0088361F" w:rsidRDefault="0088361F" w:rsidP="0088361F">
            <w:pPr>
              <w:pStyle w:val="Exampletextbullet"/>
              <w:numPr>
                <w:ilvl w:val="0"/>
                <w:numId w:val="5"/>
              </w:numPr>
              <w:rPr>
                <w:i w:val="0"/>
                <w:color w:val="auto"/>
              </w:rPr>
            </w:pPr>
            <w:r w:rsidRPr="00272C0F">
              <w:rPr>
                <w:i w:val="0"/>
                <w:color w:val="auto"/>
              </w:rPr>
              <w:t>Provide access to in-market networks and decision makers, and access in-market opportunities identified by Austrade and others through the provision of relevant and commercially useful information and market-related services and advice</w:t>
            </w:r>
            <w:r>
              <w:rPr>
                <w:i w:val="0"/>
                <w:color w:val="auto"/>
              </w:rPr>
              <w:t xml:space="preserve">. </w:t>
            </w:r>
          </w:p>
          <w:p w:rsidR="0088361F" w:rsidRPr="00272C0F" w:rsidRDefault="0088361F" w:rsidP="0088361F">
            <w:pPr>
              <w:pStyle w:val="Exampletextbullet"/>
              <w:numPr>
                <w:ilvl w:val="0"/>
                <w:numId w:val="5"/>
              </w:numPr>
              <w:rPr>
                <w:i w:val="0"/>
                <w:color w:val="auto"/>
              </w:rPr>
            </w:pPr>
            <w:r w:rsidRPr="00272C0F">
              <w:rPr>
                <w:rFonts w:cs="Book Antiqua"/>
                <w:i w:val="0"/>
                <w:color w:val="auto"/>
              </w:rPr>
              <w:t>Take the lead role in coordinating ministerial-led overseas business missions</w:t>
            </w:r>
            <w:r>
              <w:rPr>
                <w:rFonts w:cs="Book Antiqua"/>
                <w:i w:val="0"/>
                <w:color w:val="auto"/>
              </w:rPr>
              <w:t>,</w:t>
            </w:r>
            <w:r w:rsidRPr="00272C0F">
              <w:rPr>
                <w:rFonts w:cs="Book Antiqua"/>
                <w:i w:val="0"/>
                <w:color w:val="auto"/>
              </w:rPr>
              <w:t xml:space="preserve"> including delivery of the second </w:t>
            </w:r>
            <w:r w:rsidRPr="00272C0F">
              <w:rPr>
                <w:rFonts w:cs="Book Antiqua"/>
                <w:color w:val="auto"/>
              </w:rPr>
              <w:t>Australia Week</w:t>
            </w:r>
            <w:r w:rsidRPr="00272C0F">
              <w:rPr>
                <w:rFonts w:cs="Book Antiqua"/>
                <w:i w:val="0"/>
                <w:color w:val="auto"/>
              </w:rPr>
              <w:t xml:space="preserve"> in China event in 2016,</w:t>
            </w:r>
            <w:r>
              <w:rPr>
                <w:rFonts w:cs="Book Antiqua"/>
                <w:i w:val="0"/>
                <w:color w:val="auto"/>
              </w:rPr>
              <w:t xml:space="preserve"> </w:t>
            </w:r>
            <w:r w:rsidRPr="00272C0F">
              <w:rPr>
                <w:rFonts w:cs="Book Antiqua"/>
                <w:i w:val="0"/>
                <w:color w:val="auto"/>
              </w:rPr>
              <w:t xml:space="preserve">and inaugural </w:t>
            </w:r>
            <w:r w:rsidRPr="00EC102C">
              <w:rPr>
                <w:rFonts w:cs="Book Antiqua"/>
                <w:color w:val="auto"/>
              </w:rPr>
              <w:t>Australia Week</w:t>
            </w:r>
            <w:r w:rsidRPr="00272C0F">
              <w:rPr>
                <w:rFonts w:cs="Book Antiqua"/>
                <w:i w:val="0"/>
                <w:color w:val="auto"/>
              </w:rPr>
              <w:t xml:space="preserve"> events in ASEAN and the US.</w:t>
            </w:r>
          </w:p>
          <w:p w:rsidR="0088361F" w:rsidRPr="00272C0F" w:rsidRDefault="0088361F" w:rsidP="0088361F">
            <w:pPr>
              <w:pStyle w:val="Exampletextbullet"/>
              <w:numPr>
                <w:ilvl w:val="0"/>
                <w:numId w:val="5"/>
              </w:numPr>
              <w:rPr>
                <w:rFonts w:cs="Book Antiqua"/>
                <w:i w:val="0"/>
                <w:color w:val="auto"/>
              </w:rPr>
            </w:pPr>
            <w:r w:rsidRPr="00272C0F">
              <w:rPr>
                <w:rFonts w:cs="Book Antiqua"/>
                <w:i w:val="0"/>
                <w:color w:val="auto"/>
              </w:rPr>
              <w:t>Assist and facilitate Australian businesses’ and institutions’ participation at international business events.</w:t>
            </w:r>
          </w:p>
          <w:p w:rsidR="0088361F" w:rsidRPr="00272C0F" w:rsidRDefault="0088361F" w:rsidP="0088361F">
            <w:pPr>
              <w:pStyle w:val="Exampletextbullet"/>
              <w:numPr>
                <w:ilvl w:val="0"/>
                <w:numId w:val="5"/>
              </w:numPr>
            </w:pPr>
            <w:r w:rsidRPr="00272C0F">
              <w:rPr>
                <w:i w:val="0"/>
                <w:color w:val="auto"/>
              </w:rPr>
              <w:t>Assist Australian firms and institutions with ‘behind the border’ barriers to trade and outwards investment, consistent with legal obligations, including anti-bribery and corruption laws, in Australia and overseas.</w:t>
            </w:r>
            <w:r w:rsidRPr="00272C0F">
              <w:t xml:space="preserve"> </w:t>
            </w:r>
          </w:p>
          <w:p w:rsidR="0088361F" w:rsidRPr="008D1576" w:rsidRDefault="0088361F" w:rsidP="0088361F">
            <w:pPr>
              <w:pStyle w:val="Exampletextbullet"/>
              <w:numPr>
                <w:ilvl w:val="0"/>
                <w:numId w:val="5"/>
              </w:numPr>
              <w:rPr>
                <w:i w:val="0"/>
                <w:color w:val="auto"/>
              </w:rPr>
            </w:pPr>
            <w:r w:rsidRPr="00272C0F">
              <w:rPr>
                <w:i w:val="0"/>
                <w:color w:val="auto"/>
              </w:rPr>
              <w:t>Provide Australian businesses and education providers with quality referrals to third-party professional and business service providers to assist them in complex and unfamiliar international services markets</w:t>
            </w:r>
            <w:r>
              <w:rPr>
                <w:i w:val="0"/>
                <w:color w:val="auto"/>
              </w:rPr>
              <w:t xml:space="preserve">. </w:t>
            </w:r>
          </w:p>
          <w:p w:rsidR="0088361F" w:rsidRPr="008D1576" w:rsidRDefault="0088361F" w:rsidP="0088361F">
            <w:pPr>
              <w:pStyle w:val="Exampletextbullet"/>
              <w:numPr>
                <w:ilvl w:val="0"/>
                <w:numId w:val="5"/>
              </w:numPr>
              <w:rPr>
                <w:i w:val="0"/>
                <w:color w:val="auto"/>
              </w:rPr>
            </w:pPr>
            <w:r w:rsidRPr="008D1576">
              <w:rPr>
                <w:i w:val="0"/>
                <w:color w:val="auto"/>
              </w:rPr>
              <w:t>Work</w:t>
            </w:r>
            <w:r w:rsidRPr="00272C0F">
              <w:rPr>
                <w:i w:val="0"/>
                <w:color w:val="auto"/>
              </w:rPr>
              <w:t xml:space="preserve"> with the education, business and government sectors to develop a long term market development plan for the Australian international education sector known as AIE 2025</w:t>
            </w:r>
            <w:r w:rsidRPr="008D1576">
              <w:rPr>
                <w:i w:val="0"/>
                <w:color w:val="auto"/>
              </w:rPr>
              <w:t>.</w:t>
            </w:r>
          </w:p>
          <w:p w:rsidR="0088361F" w:rsidRPr="00272C0F" w:rsidRDefault="0088361F" w:rsidP="0088361F">
            <w:pPr>
              <w:pStyle w:val="Exampletextbullet"/>
              <w:numPr>
                <w:ilvl w:val="0"/>
                <w:numId w:val="5"/>
              </w:numPr>
              <w:rPr>
                <w:i w:val="0"/>
                <w:color w:val="auto"/>
              </w:rPr>
            </w:pPr>
            <w:r>
              <w:rPr>
                <w:i w:val="0"/>
                <w:color w:val="auto"/>
              </w:rPr>
              <w:t xml:space="preserve">Help </w:t>
            </w:r>
            <w:r w:rsidRPr="00272C0F">
              <w:rPr>
                <w:i w:val="0"/>
                <w:color w:val="auto"/>
              </w:rPr>
              <w:t>to increase demand for Australia’s education services, particularly transnational education, by positioning Australia as a provider of high-quality services to international students.</w:t>
            </w:r>
          </w:p>
          <w:p w:rsidR="0088361F" w:rsidRPr="004200B2" w:rsidRDefault="0088361F" w:rsidP="0088361F">
            <w:pPr>
              <w:pStyle w:val="Exampletextbullet"/>
              <w:numPr>
                <w:ilvl w:val="0"/>
                <w:numId w:val="5"/>
              </w:numPr>
              <w:rPr>
                <w:i w:val="0"/>
                <w:color w:val="auto"/>
              </w:rPr>
            </w:pPr>
            <w:r w:rsidRPr="00272C0F">
              <w:rPr>
                <w:i w:val="0"/>
                <w:color w:val="auto"/>
              </w:rPr>
              <w:t>Manage the Study in Australia website, which promotes the benefits of studying in Australia to international students, provides information on courses that meet Australia's registration, accreditation and quality assurance standards in their own country, guidance on study costs, and information about living in Australia</w:t>
            </w:r>
            <w:r>
              <w:rPr>
                <w:i w:val="0"/>
                <w:color w:val="auto"/>
              </w:rPr>
              <w:t>.</w:t>
            </w:r>
            <w:r w:rsidRPr="004200B2">
              <w:rPr>
                <w:i w:val="0"/>
                <w:color w:val="auto"/>
              </w:rPr>
              <w:t xml:space="preserve"> </w:t>
            </w:r>
          </w:p>
          <w:p w:rsidR="0088361F" w:rsidRPr="0088361F" w:rsidRDefault="0088361F" w:rsidP="0088361F">
            <w:pPr>
              <w:pStyle w:val="Exampletextbullet"/>
              <w:numPr>
                <w:ilvl w:val="0"/>
                <w:numId w:val="5"/>
              </w:numPr>
              <w:rPr>
                <w:b/>
              </w:rPr>
            </w:pPr>
            <w:r w:rsidRPr="00A9374D">
              <w:rPr>
                <w:i w:val="0"/>
                <w:color w:val="auto"/>
              </w:rPr>
              <w:t xml:space="preserve">Assess </w:t>
            </w:r>
            <w:r w:rsidRPr="00272C0F">
              <w:rPr>
                <w:i w:val="0"/>
                <w:color w:val="auto"/>
              </w:rPr>
              <w:t xml:space="preserve">applications for the income tax exemption available under Section 23AF of the </w:t>
            </w:r>
            <w:r w:rsidRPr="00A9374D">
              <w:rPr>
                <w:color w:val="auto"/>
              </w:rPr>
              <w:t>Income Tax Assessment Act 1936</w:t>
            </w:r>
            <w:r w:rsidRPr="00272C0F">
              <w:rPr>
                <w:i w:val="0"/>
                <w:color w:val="auto"/>
              </w:rPr>
              <w:t>, to assist the international competitiveness of Australian companies and government organisations competing to win international tenders</w:t>
            </w:r>
            <w:r w:rsidRPr="00A9374D">
              <w:rPr>
                <w:color w:val="auto"/>
              </w:rPr>
              <w:t xml:space="preserve">. </w:t>
            </w:r>
          </w:p>
          <w:p w:rsidR="0088361F" w:rsidRDefault="0088361F" w:rsidP="0088361F">
            <w:pPr>
              <w:pStyle w:val="Exampletextbullet"/>
              <w:rPr>
                <w:b/>
              </w:rPr>
            </w:pPr>
          </w:p>
          <w:p w:rsidR="0088361F" w:rsidRPr="00A9374D" w:rsidRDefault="0088361F" w:rsidP="0088361F">
            <w:pPr>
              <w:pStyle w:val="Exampletextbullet"/>
              <w:rPr>
                <w:b/>
              </w:rPr>
            </w:pPr>
          </w:p>
          <w:p w:rsidR="0088361F" w:rsidRPr="00375403" w:rsidRDefault="0088361F" w:rsidP="0088361F">
            <w:pPr>
              <w:rPr>
                <w:b/>
              </w:rPr>
            </w:pPr>
            <w:r>
              <w:rPr>
                <w:b/>
              </w:rPr>
              <w:lastRenderedPageBreak/>
              <w:t>Win productive foreign direct investment</w:t>
            </w:r>
          </w:p>
          <w:p w:rsidR="0088361F" w:rsidRPr="00A9374D" w:rsidRDefault="0088361F" w:rsidP="0088361F">
            <w:pPr>
              <w:pStyle w:val="Exampletextbullet"/>
              <w:numPr>
                <w:ilvl w:val="0"/>
                <w:numId w:val="5"/>
              </w:numPr>
              <w:rPr>
                <w:i w:val="0"/>
                <w:color w:val="auto"/>
              </w:rPr>
            </w:pPr>
            <w:r w:rsidRPr="00A9374D">
              <w:rPr>
                <w:i w:val="0"/>
                <w:color w:val="auto"/>
              </w:rPr>
              <w:t xml:space="preserve">Partnering with Australian, state and territory government agencies to implement productive, direct foreign investment strategies in agreed national investment priority areas. </w:t>
            </w:r>
          </w:p>
          <w:p w:rsidR="0088361F" w:rsidRPr="00A9374D" w:rsidRDefault="0088361F" w:rsidP="0088361F">
            <w:pPr>
              <w:pStyle w:val="Exampletextbullet"/>
              <w:numPr>
                <w:ilvl w:val="0"/>
                <w:numId w:val="5"/>
              </w:numPr>
              <w:rPr>
                <w:i w:val="0"/>
                <w:color w:val="auto"/>
              </w:rPr>
            </w:pPr>
            <w:r w:rsidRPr="00A9374D">
              <w:rPr>
                <w:i w:val="0"/>
                <w:color w:val="auto"/>
              </w:rPr>
              <w:t xml:space="preserve">Proactively target potential investors, promoting specific investment opportunities, promoting Australia’s economic credentials and detailing the regulatory environment. </w:t>
            </w:r>
          </w:p>
          <w:p w:rsidR="0088361F" w:rsidRPr="00A9374D" w:rsidRDefault="0088361F" w:rsidP="0088361F">
            <w:pPr>
              <w:pStyle w:val="Exampletextbullet"/>
              <w:numPr>
                <w:ilvl w:val="0"/>
                <w:numId w:val="5"/>
              </w:numPr>
              <w:rPr>
                <w:i w:val="0"/>
                <w:color w:val="auto"/>
              </w:rPr>
            </w:pPr>
            <w:r w:rsidRPr="00A9374D">
              <w:rPr>
                <w:i w:val="0"/>
                <w:color w:val="auto"/>
              </w:rPr>
              <w:t xml:space="preserve">Introducing potential foreign investors to state and territory governments. </w:t>
            </w:r>
          </w:p>
          <w:p w:rsidR="0088361F" w:rsidRPr="00A9374D" w:rsidRDefault="0088361F" w:rsidP="0088361F">
            <w:pPr>
              <w:pStyle w:val="Exampletextbullet"/>
              <w:numPr>
                <w:ilvl w:val="0"/>
                <w:numId w:val="5"/>
              </w:numPr>
              <w:rPr>
                <w:i w:val="0"/>
                <w:color w:val="auto"/>
              </w:rPr>
            </w:pPr>
            <w:r w:rsidRPr="00A9374D">
              <w:rPr>
                <w:i w:val="0"/>
                <w:color w:val="auto"/>
              </w:rPr>
              <w:t>From 1 July 2015, Austrade will become a nominating entity for the Significant Investment Visas (SIV) program, complementing the current state and territory governments’ role as nominators; and be the sole nominating entity for the Premium Investment Visas (PIV) program. All nominations will be provided to the Department of Immigration and Border Protection for final assessment.</w:t>
            </w:r>
          </w:p>
          <w:p w:rsidR="0088361F" w:rsidRPr="00375403" w:rsidRDefault="0088361F" w:rsidP="0088361F">
            <w:pPr>
              <w:rPr>
                <w:b/>
              </w:rPr>
            </w:pPr>
            <w:r>
              <w:rPr>
                <w:b/>
              </w:rPr>
              <w:t>Strengthen Australia’s tourism industry</w:t>
            </w:r>
          </w:p>
          <w:p w:rsidR="0088361F" w:rsidRPr="00A9374D" w:rsidRDefault="0088361F" w:rsidP="0088361F">
            <w:pPr>
              <w:pStyle w:val="Exampletextbullet"/>
              <w:numPr>
                <w:ilvl w:val="0"/>
                <w:numId w:val="5"/>
              </w:numPr>
              <w:rPr>
                <w:i w:val="0"/>
                <w:color w:val="auto"/>
              </w:rPr>
            </w:pPr>
            <w:r w:rsidRPr="00A9374D">
              <w:rPr>
                <w:i w:val="0"/>
                <w:color w:val="auto"/>
              </w:rPr>
              <w:t xml:space="preserve">Continue to implement </w:t>
            </w:r>
            <w:r w:rsidRPr="00A9374D">
              <w:rPr>
                <w:color w:val="auto"/>
              </w:rPr>
              <w:t>Tourism 2020</w:t>
            </w:r>
            <w:r w:rsidRPr="00A9374D">
              <w:rPr>
                <w:i w:val="0"/>
                <w:color w:val="auto"/>
              </w:rPr>
              <w:t xml:space="preserve"> to improve the productive capacity of Australia’s tourism industry, including contributing to the delivery of policy priorities agreed by tourism ministers, and implementation of the </w:t>
            </w:r>
            <w:r w:rsidRPr="00A9374D">
              <w:rPr>
                <w:color w:val="auto"/>
              </w:rPr>
              <w:t>Tourism 2015-2020 Strategic Plan</w:t>
            </w:r>
            <w:r w:rsidRPr="00A9374D">
              <w:rPr>
                <w:i w:val="0"/>
                <w:color w:val="auto"/>
              </w:rPr>
              <w:t>.</w:t>
            </w:r>
          </w:p>
          <w:p w:rsidR="0088361F" w:rsidRPr="00A9374D" w:rsidRDefault="0088361F" w:rsidP="0088361F">
            <w:pPr>
              <w:pStyle w:val="Exampletextbullet"/>
              <w:numPr>
                <w:ilvl w:val="0"/>
                <w:numId w:val="5"/>
              </w:numPr>
              <w:rPr>
                <w:i w:val="0"/>
                <w:color w:val="auto"/>
              </w:rPr>
            </w:pPr>
            <w:r w:rsidRPr="00A9374D">
              <w:rPr>
                <w:i w:val="0"/>
                <w:color w:val="auto"/>
              </w:rPr>
              <w:t xml:space="preserve">Work with state and territory governments to facilitate the transfer of funds from the Commonwealth Government for the Tourism Demand Driver Infrastructure Programme.  </w:t>
            </w:r>
          </w:p>
          <w:p w:rsidR="0088361F" w:rsidRPr="00A9374D" w:rsidRDefault="0088361F" w:rsidP="0088361F">
            <w:pPr>
              <w:pStyle w:val="Exampletextbullet"/>
              <w:numPr>
                <w:ilvl w:val="0"/>
                <w:numId w:val="5"/>
              </w:numPr>
              <w:rPr>
                <w:i w:val="0"/>
                <w:color w:val="auto"/>
              </w:rPr>
            </w:pPr>
            <w:r w:rsidRPr="00A9374D">
              <w:rPr>
                <w:i w:val="0"/>
                <w:color w:val="auto"/>
              </w:rPr>
              <w:t xml:space="preserve">Work with the Tasmanian Government to facilitate transfer of funds from the Commonwealth Government for the Tasmanian Regional Tourism Package.  </w:t>
            </w:r>
          </w:p>
          <w:p w:rsidR="0088361F" w:rsidRPr="00A9374D" w:rsidRDefault="0088361F" w:rsidP="0088361F">
            <w:pPr>
              <w:pStyle w:val="Exampletextbullet"/>
              <w:numPr>
                <w:ilvl w:val="0"/>
                <w:numId w:val="5"/>
              </w:numPr>
              <w:rPr>
                <w:i w:val="0"/>
                <w:color w:val="auto"/>
              </w:rPr>
            </w:pPr>
            <w:r w:rsidRPr="00A9374D">
              <w:rPr>
                <w:i w:val="0"/>
                <w:color w:val="auto"/>
              </w:rPr>
              <w:t>Deliver an enhanced China Approved Destination Status (ADS) Scheme, to ensure a quality tourism experience for Chinese group leisure tourists.</w:t>
            </w:r>
          </w:p>
          <w:p w:rsidR="0088361F" w:rsidRPr="00A9374D" w:rsidRDefault="0088361F" w:rsidP="0088361F">
            <w:pPr>
              <w:pStyle w:val="Exampletextbullet"/>
              <w:numPr>
                <w:ilvl w:val="0"/>
                <w:numId w:val="5"/>
              </w:numPr>
              <w:rPr>
                <w:i w:val="0"/>
                <w:color w:val="auto"/>
              </w:rPr>
            </w:pPr>
            <w:r w:rsidRPr="00A9374D">
              <w:rPr>
                <w:i w:val="0"/>
                <w:color w:val="auto"/>
              </w:rPr>
              <w:t xml:space="preserve">Produce and disseminate strategic tourism research and forecasts. </w:t>
            </w:r>
          </w:p>
          <w:p w:rsidR="0088361F" w:rsidRDefault="0088361F" w:rsidP="0088361F">
            <w:pPr>
              <w:pStyle w:val="Exampletextbullet"/>
              <w:numPr>
                <w:ilvl w:val="0"/>
                <w:numId w:val="5"/>
              </w:numPr>
              <w:rPr>
                <w:i w:val="0"/>
                <w:color w:val="auto"/>
              </w:rPr>
            </w:pPr>
            <w:r w:rsidRPr="00A9374D">
              <w:rPr>
                <w:i w:val="0"/>
                <w:color w:val="auto"/>
              </w:rPr>
              <w:t>Administer and manage the Tourism Research Australia website, which provides information and research services that underpin tourism policy development and help improve the performance of the tourism industry for the benefit of the Australian community.</w:t>
            </w:r>
          </w:p>
          <w:p w:rsidR="0088361F" w:rsidRDefault="0088361F" w:rsidP="0088361F">
            <w:pPr>
              <w:pStyle w:val="Exampletextbullet"/>
              <w:ind w:left="284"/>
              <w:rPr>
                <w:i w:val="0"/>
                <w:color w:val="auto"/>
              </w:rPr>
            </w:pPr>
          </w:p>
          <w:p w:rsidR="00A751EB" w:rsidRPr="00A9374D" w:rsidRDefault="00A751EB" w:rsidP="0088361F">
            <w:pPr>
              <w:pStyle w:val="Exampletextbullet"/>
              <w:ind w:left="284"/>
              <w:rPr>
                <w:i w:val="0"/>
                <w:color w:val="auto"/>
              </w:rPr>
            </w:pPr>
          </w:p>
          <w:p w:rsidR="0088361F" w:rsidRPr="00375403" w:rsidRDefault="0088361F" w:rsidP="0088361F">
            <w:pPr>
              <w:rPr>
                <w:b/>
              </w:rPr>
            </w:pPr>
            <w:r w:rsidRPr="00375403">
              <w:rPr>
                <w:b/>
              </w:rPr>
              <w:lastRenderedPageBreak/>
              <w:t>Whole of Government</w:t>
            </w:r>
          </w:p>
          <w:p w:rsidR="0088361F" w:rsidRPr="0088361F" w:rsidRDefault="0088361F" w:rsidP="0088361F">
            <w:pPr>
              <w:pStyle w:val="Exampletextbullet"/>
              <w:numPr>
                <w:ilvl w:val="0"/>
                <w:numId w:val="5"/>
              </w:numPr>
            </w:pPr>
            <w:r w:rsidRPr="00A9374D">
              <w:rPr>
                <w:i w:val="0"/>
                <w:color w:val="auto"/>
              </w:rPr>
              <w:t>Draw on Austrade’s global and commercial perspective to provide policy advice and economic insight to the Government</w:t>
            </w:r>
            <w:r>
              <w:rPr>
                <w:i w:val="0"/>
                <w:color w:val="auto"/>
              </w:rPr>
              <w:t>.</w:t>
            </w:r>
            <w:r w:rsidRPr="008D1576">
              <w:t xml:space="preserve"> </w:t>
            </w:r>
          </w:p>
          <w:p w:rsidR="0088361F" w:rsidRPr="00375403" w:rsidRDefault="0088361F" w:rsidP="0088361F">
            <w:pPr>
              <w:rPr>
                <w:b/>
              </w:rPr>
            </w:pPr>
            <w:r>
              <w:rPr>
                <w:b/>
              </w:rPr>
              <w:t>Austrade website</w:t>
            </w:r>
          </w:p>
          <w:p w:rsidR="00A5180A" w:rsidRPr="008E4180" w:rsidRDefault="0088361F" w:rsidP="00604E8D">
            <w:pPr>
              <w:pStyle w:val="Exampletextbullet"/>
              <w:numPr>
                <w:ilvl w:val="0"/>
                <w:numId w:val="5"/>
              </w:numPr>
            </w:pPr>
            <w:r w:rsidRPr="00A9374D">
              <w:rPr>
                <w:i w:val="0"/>
                <w:color w:val="auto"/>
              </w:rPr>
              <w:t>Administer and manage the main Austrade website, which provides information and online services to Australian businesses and institutions, showcases Australia’s capability and potential to international buyers and investors, and provides a centralised point of contact and engagement between businesses, institutions and Austrade</w:t>
            </w:r>
            <w:r>
              <w:rPr>
                <w:i w:val="0"/>
                <w:color w:val="auto"/>
              </w:rPr>
              <w:t>.</w:t>
            </w:r>
          </w:p>
        </w:tc>
      </w:tr>
    </w:tbl>
    <w:p w:rsidR="00A5180A" w:rsidRDefault="00A5180A" w:rsidP="00A5180A">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A5180A" w:rsidTr="00384293">
        <w:tc>
          <w:tcPr>
            <w:tcW w:w="7711" w:type="dxa"/>
          </w:tcPr>
          <w:p w:rsidR="00A5180A" w:rsidRDefault="00A5180A" w:rsidP="00384293">
            <w:pPr>
              <w:pStyle w:val="TableColumnHeadingLeft"/>
            </w:pPr>
            <w:r>
              <w:rPr>
                <w:rFonts w:ascii="Book Antiqua" w:hAnsi="Book Antiqua"/>
                <w:b w:val="0"/>
              </w:rPr>
              <w:br w:type="page"/>
            </w:r>
            <w:r>
              <w:t xml:space="preserve">Programme 1.1 key performance indicators  </w:t>
            </w:r>
          </w:p>
          <w:p w:rsidR="0088361F" w:rsidRDefault="0088361F" w:rsidP="0088361F">
            <w:pPr>
              <w:rPr>
                <w:b/>
              </w:rPr>
            </w:pPr>
            <w:r>
              <w:rPr>
                <w:b/>
              </w:rPr>
              <w:t>Satisfaction</w:t>
            </w:r>
          </w:p>
          <w:p w:rsidR="0088361F" w:rsidRPr="008D1576" w:rsidRDefault="0088361F" w:rsidP="00F37EE6">
            <w:pPr>
              <w:pStyle w:val="Exampletextbullet"/>
              <w:numPr>
                <w:ilvl w:val="0"/>
                <w:numId w:val="25"/>
              </w:numPr>
              <w:rPr>
                <w:i w:val="0"/>
                <w:color w:val="auto"/>
              </w:rPr>
            </w:pPr>
            <w:r w:rsidRPr="008D1576">
              <w:rPr>
                <w:i w:val="0"/>
                <w:color w:val="auto"/>
              </w:rPr>
              <w:t xml:space="preserve">High </w:t>
            </w:r>
            <w:r>
              <w:rPr>
                <w:i w:val="0"/>
                <w:color w:val="auto"/>
              </w:rPr>
              <w:t>level of satisfaction for</w:t>
            </w:r>
            <w:r w:rsidRPr="00046C30">
              <w:rPr>
                <w:i w:val="0"/>
                <w:color w:val="auto"/>
              </w:rPr>
              <w:t xml:space="preserve"> ministers, Australian business community, institutions and key partners with Austrade’s services</w:t>
            </w:r>
            <w:r w:rsidRPr="008D1576">
              <w:rPr>
                <w:i w:val="0"/>
                <w:color w:val="auto"/>
              </w:rPr>
              <w:t>.</w:t>
            </w:r>
          </w:p>
          <w:p w:rsidR="0088361F" w:rsidRPr="00375403" w:rsidRDefault="0088361F" w:rsidP="0088361F">
            <w:pPr>
              <w:rPr>
                <w:b/>
              </w:rPr>
            </w:pPr>
            <w:r>
              <w:rPr>
                <w:b/>
              </w:rPr>
              <w:t>Develop international markets, and promote international education</w:t>
            </w:r>
          </w:p>
          <w:p w:rsidR="0088361F" w:rsidRPr="008D1576" w:rsidRDefault="0088361F" w:rsidP="00F37EE6">
            <w:pPr>
              <w:pStyle w:val="Exampletextbullet"/>
              <w:numPr>
                <w:ilvl w:val="0"/>
                <w:numId w:val="25"/>
              </w:numPr>
              <w:rPr>
                <w:i w:val="0"/>
                <w:color w:val="auto"/>
              </w:rPr>
            </w:pPr>
            <w:r w:rsidRPr="008D1576">
              <w:rPr>
                <w:i w:val="0"/>
                <w:color w:val="auto"/>
              </w:rPr>
              <w:t xml:space="preserve">Proportion </w:t>
            </w:r>
            <w:r w:rsidRPr="00046C30">
              <w:rPr>
                <w:i w:val="0"/>
                <w:color w:val="auto"/>
              </w:rPr>
              <w:t>of Australian businesses which have engaged with Austrade, and say Austrade made a positive contribution to their international business activities</w:t>
            </w:r>
            <w:r w:rsidRPr="008D1576">
              <w:rPr>
                <w:i w:val="0"/>
                <w:color w:val="auto"/>
              </w:rPr>
              <w:t xml:space="preserve">. </w:t>
            </w:r>
          </w:p>
          <w:p w:rsidR="0088361F" w:rsidRPr="008D1576" w:rsidRDefault="0088361F" w:rsidP="00F37EE6">
            <w:pPr>
              <w:pStyle w:val="Exampletextbullet"/>
              <w:numPr>
                <w:ilvl w:val="0"/>
                <w:numId w:val="25"/>
              </w:numPr>
              <w:rPr>
                <w:i w:val="0"/>
                <w:color w:val="auto"/>
              </w:rPr>
            </w:pPr>
            <w:r w:rsidRPr="008D1576">
              <w:rPr>
                <w:i w:val="0"/>
                <w:color w:val="auto"/>
              </w:rPr>
              <w:t xml:space="preserve">Proportion </w:t>
            </w:r>
            <w:r w:rsidRPr="00046C30">
              <w:rPr>
                <w:i w:val="0"/>
                <w:color w:val="auto"/>
              </w:rPr>
              <w:t>of Australian businesses which have engaged with Austrade, and say they achieved some form of commercial outcome as a result of working with Austrade</w:t>
            </w:r>
            <w:r>
              <w:rPr>
                <w:i w:val="0"/>
                <w:color w:val="auto"/>
              </w:rPr>
              <w:t>.</w:t>
            </w:r>
          </w:p>
          <w:p w:rsidR="0088361F" w:rsidRPr="008D1576" w:rsidRDefault="0088361F" w:rsidP="00F37EE6">
            <w:pPr>
              <w:pStyle w:val="Exampletextbullet"/>
              <w:numPr>
                <w:ilvl w:val="0"/>
                <w:numId w:val="25"/>
              </w:numPr>
              <w:rPr>
                <w:i w:val="0"/>
                <w:color w:val="auto"/>
              </w:rPr>
            </w:pPr>
            <w:r w:rsidRPr="008D1576">
              <w:rPr>
                <w:i w:val="0"/>
                <w:color w:val="auto"/>
              </w:rPr>
              <w:t xml:space="preserve">Proportion </w:t>
            </w:r>
            <w:r w:rsidRPr="00046C30">
              <w:rPr>
                <w:i w:val="0"/>
                <w:color w:val="auto"/>
              </w:rPr>
              <w:t>of Australian education institutions which have engaged with Austrade, and say Austrade made a positive contribution to their international business activities</w:t>
            </w:r>
            <w:r w:rsidRPr="008D1576">
              <w:rPr>
                <w:i w:val="0"/>
                <w:color w:val="auto"/>
              </w:rPr>
              <w:t>.</w:t>
            </w:r>
          </w:p>
          <w:p w:rsidR="0088361F" w:rsidRDefault="0088361F" w:rsidP="00F37EE6">
            <w:pPr>
              <w:pStyle w:val="Exampletextbullet"/>
              <w:numPr>
                <w:ilvl w:val="0"/>
                <w:numId w:val="25"/>
              </w:numPr>
            </w:pPr>
            <w:r w:rsidRPr="008D1576">
              <w:rPr>
                <w:i w:val="0"/>
                <w:color w:val="auto"/>
              </w:rPr>
              <w:t xml:space="preserve">Proportion </w:t>
            </w:r>
            <w:r w:rsidRPr="00046C30">
              <w:rPr>
                <w:i w:val="0"/>
                <w:color w:val="auto"/>
              </w:rPr>
              <w:t>of Australian education institutions which have engaged with Austrade, and say they achieved some form of commercial outcome as a</w:t>
            </w:r>
            <w:r>
              <w:rPr>
                <w:i w:val="0"/>
                <w:color w:val="auto"/>
              </w:rPr>
              <w:t xml:space="preserve"> result of working with Austrade</w:t>
            </w:r>
            <w:r w:rsidRPr="008D1576">
              <w:rPr>
                <w:i w:val="0"/>
                <w:color w:val="auto"/>
              </w:rPr>
              <w:t>.</w:t>
            </w:r>
          </w:p>
          <w:p w:rsidR="0088361F" w:rsidRDefault="0088361F" w:rsidP="0088361F">
            <w:pPr>
              <w:rPr>
                <w:b/>
              </w:rPr>
            </w:pPr>
            <w:r>
              <w:rPr>
                <w:b/>
              </w:rPr>
              <w:t>Win productive foreign direct investment</w:t>
            </w:r>
          </w:p>
          <w:p w:rsidR="0088361F" w:rsidRDefault="0088361F" w:rsidP="0088361F">
            <w:r w:rsidRPr="00046C30">
              <w:t>Austrade has a shared set of key performance indicators with the states and territories</w:t>
            </w:r>
            <w:r>
              <w:t>:</w:t>
            </w:r>
          </w:p>
          <w:p w:rsidR="0088361F" w:rsidRPr="00A751EB" w:rsidRDefault="00604E8D" w:rsidP="00F37EE6">
            <w:pPr>
              <w:pStyle w:val="Exampletextbullet"/>
              <w:numPr>
                <w:ilvl w:val="0"/>
                <w:numId w:val="25"/>
              </w:numPr>
              <w:jc w:val="left"/>
              <w:rPr>
                <w:i w:val="0"/>
                <w:color w:val="auto"/>
              </w:rPr>
            </w:pPr>
            <w:r w:rsidRPr="00A751EB">
              <w:rPr>
                <w:i w:val="0"/>
                <w:color w:val="auto"/>
              </w:rPr>
              <w:t>t</w:t>
            </w:r>
            <w:r w:rsidR="0088361F" w:rsidRPr="00A751EB">
              <w:rPr>
                <w:i w:val="0"/>
                <w:color w:val="auto"/>
              </w:rPr>
              <w:t>he number of investment outcomes facilitated</w:t>
            </w:r>
            <w:r w:rsidRPr="00A751EB">
              <w:rPr>
                <w:i w:val="0"/>
                <w:color w:val="auto"/>
              </w:rPr>
              <w:t>;</w:t>
            </w:r>
            <w:r w:rsidR="009E576C" w:rsidRPr="00A751EB">
              <w:rPr>
                <w:i w:val="0"/>
                <w:color w:val="auto"/>
              </w:rPr>
              <w:br/>
            </w:r>
            <w:r w:rsidRPr="00A751EB">
              <w:rPr>
                <w:i w:val="0"/>
                <w:color w:val="auto"/>
              </w:rPr>
              <w:t>t</w:t>
            </w:r>
            <w:r w:rsidR="0088361F" w:rsidRPr="00A751EB">
              <w:rPr>
                <w:i w:val="0"/>
                <w:color w:val="auto"/>
              </w:rPr>
              <w:t>he amount of capital expenditure associated with foreign direct investment outcomes facilitated</w:t>
            </w:r>
            <w:r w:rsidRPr="00A751EB">
              <w:rPr>
                <w:i w:val="0"/>
                <w:color w:val="auto"/>
              </w:rPr>
              <w:t>;</w:t>
            </w:r>
          </w:p>
          <w:p w:rsidR="0088361F" w:rsidRPr="008D1576" w:rsidRDefault="00604E8D" w:rsidP="00F37EE6">
            <w:pPr>
              <w:pStyle w:val="Exampletextbullet"/>
              <w:numPr>
                <w:ilvl w:val="0"/>
                <w:numId w:val="25"/>
              </w:numPr>
              <w:rPr>
                <w:i w:val="0"/>
                <w:color w:val="auto"/>
              </w:rPr>
            </w:pPr>
            <w:r>
              <w:rPr>
                <w:i w:val="0"/>
                <w:color w:val="auto"/>
              </w:rPr>
              <w:lastRenderedPageBreak/>
              <w:t>t</w:t>
            </w:r>
            <w:r w:rsidR="0088361F" w:rsidRPr="008D1576">
              <w:rPr>
                <w:i w:val="0"/>
                <w:color w:val="auto"/>
              </w:rPr>
              <w:t xml:space="preserve">he </w:t>
            </w:r>
            <w:r w:rsidR="0088361F" w:rsidRPr="00046C30">
              <w:rPr>
                <w:i w:val="0"/>
                <w:color w:val="auto"/>
              </w:rPr>
              <w:t>number of new jobs created/retained (ongoing full time equivalents) as a direct result of investment outcomes facilitated</w:t>
            </w:r>
            <w:r>
              <w:rPr>
                <w:i w:val="0"/>
                <w:color w:val="auto"/>
              </w:rPr>
              <w:t>; and</w:t>
            </w:r>
          </w:p>
          <w:p w:rsidR="0088361F" w:rsidRPr="008D1576" w:rsidRDefault="00604E8D" w:rsidP="00F37EE6">
            <w:pPr>
              <w:pStyle w:val="Exampletextbullet"/>
              <w:numPr>
                <w:ilvl w:val="0"/>
                <w:numId w:val="25"/>
              </w:numPr>
              <w:rPr>
                <w:i w:val="0"/>
                <w:color w:val="auto"/>
              </w:rPr>
            </w:pPr>
            <w:r>
              <w:rPr>
                <w:i w:val="0"/>
                <w:color w:val="auto"/>
              </w:rPr>
              <w:t>t</w:t>
            </w:r>
            <w:r w:rsidR="0088361F" w:rsidRPr="008D1576">
              <w:rPr>
                <w:i w:val="0"/>
                <w:color w:val="auto"/>
              </w:rPr>
              <w:t xml:space="preserve">he </w:t>
            </w:r>
            <w:r w:rsidR="0088361F" w:rsidRPr="00046C30">
              <w:rPr>
                <w:i w:val="0"/>
                <w:color w:val="auto"/>
              </w:rPr>
              <w:t>anticipated annual exports from investment outcomes facilitated</w:t>
            </w:r>
            <w:r w:rsidR="0088361F" w:rsidRPr="008D1576">
              <w:rPr>
                <w:i w:val="0"/>
                <w:color w:val="auto"/>
              </w:rPr>
              <w:t>.</w:t>
            </w:r>
          </w:p>
          <w:p w:rsidR="0088361F" w:rsidRPr="006E073A" w:rsidRDefault="0088361F" w:rsidP="0088361F">
            <w:r w:rsidRPr="006E073A">
              <w:t xml:space="preserve">Noting </w:t>
            </w:r>
            <w:r w:rsidRPr="00046C30">
              <w:t>that investments can have gestation times that span multiple years, from the initial investor contact to actual investment commitment, results will not be fully realised in the short-term. Therefore, in accordance with the protocols developed with the states and territories, Austrade is responsible for proactively promoting Australia as an attractive investment destination, which is measured by</w:t>
            </w:r>
            <w:r w:rsidRPr="006E073A">
              <w:t>:</w:t>
            </w:r>
          </w:p>
          <w:p w:rsidR="0088361F" w:rsidRPr="008D1576" w:rsidRDefault="00604E8D" w:rsidP="00F37EE6">
            <w:pPr>
              <w:pStyle w:val="Exampletextbullet"/>
              <w:numPr>
                <w:ilvl w:val="0"/>
                <w:numId w:val="25"/>
              </w:numPr>
              <w:rPr>
                <w:i w:val="0"/>
                <w:color w:val="auto"/>
              </w:rPr>
            </w:pPr>
            <w:r>
              <w:rPr>
                <w:i w:val="0"/>
                <w:color w:val="auto"/>
              </w:rPr>
              <w:t>t</w:t>
            </w:r>
            <w:r w:rsidR="0088361F" w:rsidRPr="008D1576">
              <w:rPr>
                <w:i w:val="0"/>
                <w:color w:val="auto"/>
              </w:rPr>
              <w:t xml:space="preserve">he </w:t>
            </w:r>
            <w:r w:rsidR="0088361F" w:rsidRPr="00046C30">
              <w:rPr>
                <w:i w:val="0"/>
                <w:color w:val="auto"/>
              </w:rPr>
              <w:t>number of information, project and visitation requests, and stakeholder introductions generated from potential investors</w:t>
            </w:r>
            <w:r w:rsidR="0088361F" w:rsidRPr="008D1576">
              <w:rPr>
                <w:i w:val="0"/>
                <w:color w:val="auto"/>
              </w:rPr>
              <w:t>.</w:t>
            </w:r>
          </w:p>
          <w:p w:rsidR="0088361F" w:rsidRDefault="0088361F" w:rsidP="0088361F">
            <w:pPr>
              <w:rPr>
                <w:b/>
              </w:rPr>
            </w:pPr>
            <w:r>
              <w:rPr>
                <w:b/>
              </w:rPr>
              <w:t>Strengthen Australia’s tourism industry</w:t>
            </w:r>
          </w:p>
          <w:p w:rsidR="0088361F" w:rsidRPr="00121B39" w:rsidRDefault="0088361F" w:rsidP="00F37EE6">
            <w:pPr>
              <w:pStyle w:val="Default"/>
              <w:numPr>
                <w:ilvl w:val="0"/>
                <w:numId w:val="25"/>
              </w:numPr>
              <w:spacing w:after="240"/>
              <w:jc w:val="both"/>
              <w:rPr>
                <w:rFonts w:ascii="Book Antiqua" w:hAnsi="Book Antiqua" w:cs="Book Antiqua"/>
                <w:color w:val="auto"/>
                <w:sz w:val="20"/>
                <w:szCs w:val="20"/>
              </w:rPr>
            </w:pPr>
            <w:r w:rsidRPr="00121B39">
              <w:rPr>
                <w:rFonts w:ascii="Book Antiqua" w:hAnsi="Book Antiqua" w:cs="Book Antiqua"/>
                <w:color w:val="auto"/>
                <w:sz w:val="20"/>
                <w:szCs w:val="20"/>
              </w:rPr>
              <w:t xml:space="preserve">Priorities </w:t>
            </w:r>
            <w:r w:rsidRPr="00046C30">
              <w:rPr>
                <w:rFonts w:ascii="Book Antiqua" w:hAnsi="Book Antiqua" w:cs="Book Antiqua"/>
                <w:color w:val="auto"/>
                <w:sz w:val="20"/>
                <w:szCs w:val="20"/>
              </w:rPr>
              <w:t xml:space="preserve">and outputs outlined in the </w:t>
            </w:r>
            <w:r w:rsidRPr="00046C30">
              <w:rPr>
                <w:rFonts w:ascii="Book Antiqua" w:hAnsi="Book Antiqua" w:cs="Book Antiqua"/>
                <w:i/>
                <w:color w:val="auto"/>
                <w:sz w:val="20"/>
                <w:szCs w:val="20"/>
              </w:rPr>
              <w:t>Tourism 2015-2020 Implementation Plan</w:t>
            </w:r>
            <w:r w:rsidRPr="00046C30">
              <w:rPr>
                <w:rFonts w:ascii="Book Antiqua" w:hAnsi="Book Antiqua" w:cs="Book Antiqua"/>
                <w:color w:val="auto"/>
                <w:sz w:val="20"/>
                <w:szCs w:val="20"/>
              </w:rPr>
              <w:t>, progressed in accordance with agreed timeframes</w:t>
            </w:r>
            <w:r>
              <w:rPr>
                <w:rFonts w:ascii="Book Antiqua" w:hAnsi="Book Antiqua" w:cs="Book Antiqua"/>
                <w:color w:val="auto"/>
                <w:sz w:val="20"/>
                <w:szCs w:val="20"/>
              </w:rPr>
              <w:t>.</w:t>
            </w:r>
          </w:p>
          <w:p w:rsidR="0088361F" w:rsidRPr="00121B39" w:rsidRDefault="0088361F" w:rsidP="00F37EE6">
            <w:pPr>
              <w:pStyle w:val="Default"/>
              <w:numPr>
                <w:ilvl w:val="0"/>
                <w:numId w:val="25"/>
              </w:numPr>
              <w:spacing w:after="240"/>
              <w:jc w:val="both"/>
              <w:rPr>
                <w:rFonts w:ascii="Book Antiqua" w:hAnsi="Book Antiqua" w:cs="Book Antiqua"/>
                <w:color w:val="auto"/>
                <w:sz w:val="20"/>
                <w:szCs w:val="20"/>
              </w:rPr>
            </w:pPr>
            <w:r w:rsidRPr="00121B39">
              <w:rPr>
                <w:rFonts w:ascii="Book Antiqua" w:hAnsi="Book Antiqua" w:cs="Book Antiqua"/>
                <w:color w:val="auto"/>
                <w:sz w:val="20"/>
                <w:szCs w:val="20"/>
              </w:rPr>
              <w:t xml:space="preserve">Proportion </w:t>
            </w:r>
            <w:r w:rsidRPr="00046C30">
              <w:rPr>
                <w:rFonts w:ascii="Book Antiqua" w:hAnsi="Book Antiqua" w:cs="Book Antiqua"/>
                <w:color w:val="auto"/>
                <w:sz w:val="20"/>
                <w:szCs w:val="20"/>
              </w:rPr>
              <w:t>of tourism operators which use Austrade’s tourism research and information and say it helped support their marketing and business decisions</w:t>
            </w:r>
            <w:r w:rsidRPr="00121B39">
              <w:rPr>
                <w:rFonts w:ascii="Book Antiqua" w:hAnsi="Book Antiqua" w:cs="Book Antiqua"/>
                <w:color w:val="auto"/>
                <w:sz w:val="20"/>
                <w:szCs w:val="20"/>
              </w:rPr>
              <w:t>.</w:t>
            </w:r>
          </w:p>
          <w:p w:rsidR="0088361F" w:rsidRDefault="0088361F" w:rsidP="0088361F">
            <w:pPr>
              <w:rPr>
                <w:b/>
              </w:rPr>
            </w:pPr>
            <w:r>
              <w:rPr>
                <w:b/>
              </w:rPr>
              <w:t>Whole of Government</w:t>
            </w:r>
          </w:p>
          <w:p w:rsidR="00A5180A" w:rsidRPr="008D1576" w:rsidRDefault="0088361F" w:rsidP="00F37EE6">
            <w:pPr>
              <w:pStyle w:val="Default"/>
              <w:numPr>
                <w:ilvl w:val="0"/>
                <w:numId w:val="25"/>
              </w:numPr>
              <w:spacing w:after="240"/>
              <w:jc w:val="both"/>
              <w:rPr>
                <w:i/>
                <w:color w:val="auto"/>
              </w:rPr>
            </w:pPr>
            <w:r w:rsidRPr="0000211E">
              <w:rPr>
                <w:rFonts w:ascii="Book Antiqua" w:hAnsi="Book Antiqua" w:cs="Book Antiqua"/>
                <w:color w:val="auto"/>
                <w:sz w:val="20"/>
                <w:szCs w:val="20"/>
              </w:rPr>
              <w:t>Effective contribution to whole</w:t>
            </w:r>
            <w:r w:rsidR="00604E8D">
              <w:rPr>
                <w:rFonts w:ascii="Book Antiqua" w:hAnsi="Book Antiqua" w:cs="Book Antiqua"/>
                <w:color w:val="auto"/>
                <w:sz w:val="20"/>
                <w:szCs w:val="20"/>
              </w:rPr>
              <w:t xml:space="preserve"> of </w:t>
            </w:r>
            <w:r w:rsidRPr="0000211E">
              <w:rPr>
                <w:rFonts w:ascii="Book Antiqua" w:hAnsi="Book Antiqua" w:cs="Book Antiqua"/>
                <w:color w:val="auto"/>
                <w:sz w:val="20"/>
                <w:szCs w:val="20"/>
              </w:rPr>
              <w:t>government policy development using Austrade’s commercial perspectives on export, investment, international education and tourism</w:t>
            </w:r>
            <w:r w:rsidRPr="008D1576">
              <w:rPr>
                <w:rFonts w:cs="Book Antiqua"/>
                <w:i/>
                <w:color w:val="auto"/>
              </w:rPr>
              <w:t>.</w:t>
            </w:r>
          </w:p>
        </w:tc>
      </w:tr>
    </w:tbl>
    <w:p w:rsidR="009131E0" w:rsidRDefault="009131E0" w:rsidP="009131E0">
      <w:pPr>
        <w:pStyle w:val="Source"/>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713"/>
      </w:tblGrid>
      <w:tr w:rsidR="00A5180A" w:rsidTr="00384293">
        <w:tc>
          <w:tcPr>
            <w:tcW w:w="7713" w:type="dxa"/>
            <w:shd w:val="clear" w:color="auto" w:fill="E6E6E6"/>
          </w:tcPr>
          <w:p w:rsidR="00A5180A" w:rsidRDefault="009131E0" w:rsidP="00384293">
            <w:pPr>
              <w:pStyle w:val="TableColumnHeadingLeft"/>
              <w:pageBreakBefore/>
            </w:pPr>
            <w:r>
              <w:lastRenderedPageBreak/>
              <w:br w:type="page"/>
            </w:r>
            <w:r w:rsidR="00A5180A">
              <w:rPr>
                <w:b w:val="0"/>
              </w:rPr>
              <w:br w:type="page"/>
            </w:r>
            <w:r w:rsidR="00A5180A">
              <w:t>Programme 1.2: Programmes to promote Australia’s export and other international economic interests</w:t>
            </w:r>
          </w:p>
        </w:tc>
      </w:tr>
    </w:tbl>
    <w:p w:rsidR="00A5180A" w:rsidRPr="00FD5958" w:rsidRDefault="00A5180A" w:rsidP="00A5180A">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A5180A" w:rsidTr="00384293">
        <w:tc>
          <w:tcPr>
            <w:tcW w:w="7711" w:type="dxa"/>
          </w:tcPr>
          <w:p w:rsidR="00A5180A" w:rsidRDefault="00A5180A" w:rsidP="00384293">
            <w:pPr>
              <w:pStyle w:val="TableColumnHeadingLeft"/>
            </w:pPr>
            <w:r>
              <w:t>Programme objective</w:t>
            </w:r>
          </w:p>
          <w:p w:rsidR="00A5180A" w:rsidRPr="00D57849" w:rsidRDefault="0000211E" w:rsidP="0010432E">
            <w:r w:rsidRPr="00E1297E">
              <w:t xml:space="preserve">Administer </w:t>
            </w:r>
            <w:r w:rsidRPr="00046C30">
              <w:t>programs that support Australian businesses’ engagement in international business, provide an incentive for small-to-medium businesses to enter into export markets and grow to become sustainable exporters, or that strengthen and stimulate growth in the tourism industry</w:t>
            </w:r>
            <w:r>
              <w:t>.</w:t>
            </w:r>
          </w:p>
        </w:tc>
      </w:tr>
    </w:tbl>
    <w:p w:rsidR="00A5180A" w:rsidRDefault="00A5180A" w:rsidP="00A5180A"/>
    <w:p w:rsidR="00A5180A" w:rsidRDefault="00A5180A" w:rsidP="00FD225A">
      <w:pPr>
        <w:pStyle w:val="TableColumnHeadingLeft"/>
        <w:jc w:val="both"/>
      </w:pPr>
      <w:r>
        <w:t>Programme expenses</w:t>
      </w:r>
    </w:p>
    <w:p w:rsidR="00FD225A" w:rsidRDefault="00833238" w:rsidP="00FD225A">
      <w:pPr>
        <w:pStyle w:val="TableTextLeft"/>
      </w:pPr>
      <w:r>
        <w:pict>
          <v:shape id="_x0000_i1075" type="#_x0000_t75" style="width:387.1pt;height:135.6pt">
            <v:imagedata r:id="rId116" o:title=""/>
          </v:shape>
        </w:pict>
      </w:r>
    </w:p>
    <w:p w:rsidR="00FD225A" w:rsidRPr="00FD225A" w:rsidRDefault="00FD225A" w:rsidP="00FD225A">
      <w:pPr>
        <w:pStyle w:val="TableText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A5180A" w:rsidTr="00FD225A">
        <w:trPr>
          <w:trHeight w:val="4604"/>
        </w:trPr>
        <w:tc>
          <w:tcPr>
            <w:tcW w:w="7711" w:type="dxa"/>
          </w:tcPr>
          <w:p w:rsidR="00FD225A" w:rsidRDefault="00FD225A" w:rsidP="00FD225A">
            <w:pPr>
              <w:pStyle w:val="TableColumnHeadingLeft"/>
              <w:jc w:val="both"/>
            </w:pPr>
            <w:r>
              <w:t xml:space="preserve">Programme 1.2 deliverables </w:t>
            </w:r>
          </w:p>
          <w:p w:rsidR="00FD225A" w:rsidRDefault="00FD225A" w:rsidP="00FD225A">
            <w:pPr>
              <w:rPr>
                <w:b/>
              </w:rPr>
            </w:pPr>
            <w:r>
              <w:rPr>
                <w:b/>
              </w:rPr>
              <w:t>Export Market Development Grants (EMDG)</w:t>
            </w:r>
            <w:r w:rsidR="009E576C">
              <w:rPr>
                <w:b/>
              </w:rPr>
              <w:t xml:space="preserve"> scheme</w:t>
            </w:r>
          </w:p>
          <w:p w:rsidR="0000211E" w:rsidRDefault="0000211E" w:rsidP="0000211E">
            <w:r>
              <w:t>Administration of the Export Market Development Grants (EMDG) scheme, providing partial reimbursement for expenditure on eligible export promotion activities.</w:t>
            </w:r>
          </w:p>
          <w:tbl>
            <w:tblPr>
              <w:tblW w:w="7140" w:type="dxa"/>
              <w:jc w:val="center"/>
              <w:tblLook w:val="04A0" w:firstRow="1" w:lastRow="0" w:firstColumn="1" w:lastColumn="0" w:noHBand="0" w:noVBand="1"/>
            </w:tblPr>
            <w:tblGrid>
              <w:gridCol w:w="2581"/>
              <w:gridCol w:w="928"/>
              <w:gridCol w:w="901"/>
              <w:gridCol w:w="910"/>
              <w:gridCol w:w="910"/>
              <w:gridCol w:w="910"/>
            </w:tblGrid>
            <w:tr w:rsidR="0000211E" w:rsidRPr="00942D9E" w:rsidTr="00604E8D">
              <w:trPr>
                <w:trHeight w:val="225"/>
                <w:jc w:val="center"/>
              </w:trPr>
              <w:tc>
                <w:tcPr>
                  <w:tcW w:w="2580" w:type="dxa"/>
                  <w:tcBorders>
                    <w:top w:val="single" w:sz="4" w:space="0" w:color="000000"/>
                    <w:left w:val="nil"/>
                    <w:bottom w:val="nil"/>
                    <w:right w:val="nil"/>
                  </w:tcBorders>
                  <w:shd w:val="clear" w:color="auto" w:fill="auto"/>
                  <w:vAlign w:val="bottom"/>
                  <w:hideMark/>
                </w:tcPr>
                <w:p w:rsidR="0000211E" w:rsidRPr="00942D9E" w:rsidRDefault="0000211E" w:rsidP="00C122CE">
                  <w:pPr>
                    <w:spacing w:after="0" w:line="240" w:lineRule="auto"/>
                    <w:jc w:val="left"/>
                    <w:rPr>
                      <w:rFonts w:ascii="Arial" w:hAnsi="Arial" w:cs="Arial"/>
                      <w:sz w:val="16"/>
                      <w:szCs w:val="16"/>
                    </w:rPr>
                  </w:pPr>
                  <w:r w:rsidRPr="00942D9E">
                    <w:rPr>
                      <w:rFonts w:ascii="Arial" w:hAnsi="Arial" w:cs="Arial"/>
                      <w:sz w:val="16"/>
                      <w:szCs w:val="16"/>
                    </w:rPr>
                    <w:t>Deliverables</w:t>
                  </w:r>
                </w:p>
              </w:tc>
              <w:tc>
                <w:tcPr>
                  <w:tcW w:w="880" w:type="dxa"/>
                  <w:tcBorders>
                    <w:top w:val="single" w:sz="4" w:space="0" w:color="000000"/>
                    <w:left w:val="nil"/>
                    <w:bottom w:val="nil"/>
                    <w:right w:val="nil"/>
                  </w:tcBorders>
                  <w:shd w:val="clear" w:color="auto" w:fill="auto"/>
                  <w:vAlign w:val="bottom"/>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2014-15</w:t>
                  </w:r>
                </w:p>
              </w:tc>
              <w:tc>
                <w:tcPr>
                  <w:tcW w:w="920" w:type="dxa"/>
                  <w:tcBorders>
                    <w:top w:val="single" w:sz="4" w:space="0" w:color="000000"/>
                    <w:left w:val="nil"/>
                    <w:bottom w:val="nil"/>
                    <w:right w:val="nil"/>
                  </w:tcBorders>
                  <w:shd w:val="clear" w:color="000000" w:fill="E6E6E6"/>
                  <w:vAlign w:val="bottom"/>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2015-16</w:t>
                  </w:r>
                </w:p>
              </w:tc>
              <w:tc>
                <w:tcPr>
                  <w:tcW w:w="920" w:type="dxa"/>
                  <w:tcBorders>
                    <w:top w:val="single" w:sz="4" w:space="0" w:color="000000"/>
                    <w:left w:val="nil"/>
                    <w:bottom w:val="nil"/>
                    <w:right w:val="nil"/>
                  </w:tcBorders>
                  <w:shd w:val="clear" w:color="auto" w:fill="auto"/>
                  <w:vAlign w:val="bottom"/>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2016-17</w:t>
                  </w:r>
                </w:p>
              </w:tc>
              <w:tc>
                <w:tcPr>
                  <w:tcW w:w="920" w:type="dxa"/>
                  <w:tcBorders>
                    <w:top w:val="single" w:sz="4" w:space="0" w:color="000000"/>
                    <w:left w:val="nil"/>
                    <w:bottom w:val="nil"/>
                    <w:right w:val="nil"/>
                  </w:tcBorders>
                  <w:shd w:val="clear" w:color="auto" w:fill="auto"/>
                  <w:vAlign w:val="bottom"/>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2017-18</w:t>
                  </w:r>
                </w:p>
              </w:tc>
              <w:tc>
                <w:tcPr>
                  <w:tcW w:w="920" w:type="dxa"/>
                  <w:tcBorders>
                    <w:top w:val="single" w:sz="4" w:space="0" w:color="000000"/>
                    <w:left w:val="nil"/>
                    <w:bottom w:val="nil"/>
                    <w:right w:val="nil"/>
                  </w:tcBorders>
                  <w:shd w:val="clear" w:color="auto" w:fill="auto"/>
                  <w:vAlign w:val="bottom"/>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2018-19</w:t>
                  </w:r>
                </w:p>
              </w:tc>
            </w:tr>
            <w:tr w:rsidR="0000211E" w:rsidRPr="00942D9E" w:rsidTr="00604E8D">
              <w:trPr>
                <w:trHeight w:val="225"/>
                <w:jc w:val="center"/>
              </w:trPr>
              <w:tc>
                <w:tcPr>
                  <w:tcW w:w="2580" w:type="dxa"/>
                  <w:tcBorders>
                    <w:top w:val="nil"/>
                    <w:left w:val="nil"/>
                    <w:bottom w:val="nil"/>
                    <w:right w:val="nil"/>
                  </w:tcBorders>
                  <w:shd w:val="clear" w:color="auto" w:fill="auto"/>
                  <w:noWrap/>
                  <w:hideMark/>
                </w:tcPr>
                <w:p w:rsidR="0000211E" w:rsidRPr="00942D9E" w:rsidRDefault="0000211E" w:rsidP="00C122CE">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vAlign w:val="bottom"/>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Estimated</w:t>
                  </w:r>
                </w:p>
              </w:tc>
              <w:tc>
                <w:tcPr>
                  <w:tcW w:w="920" w:type="dxa"/>
                  <w:tcBorders>
                    <w:top w:val="nil"/>
                    <w:left w:val="nil"/>
                    <w:bottom w:val="nil"/>
                    <w:right w:val="nil"/>
                  </w:tcBorders>
                  <w:shd w:val="clear" w:color="000000" w:fill="E6E6E6"/>
                  <w:vAlign w:val="bottom"/>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Budget</w:t>
                  </w:r>
                </w:p>
              </w:tc>
              <w:tc>
                <w:tcPr>
                  <w:tcW w:w="920" w:type="dxa"/>
                  <w:tcBorders>
                    <w:top w:val="nil"/>
                    <w:left w:val="nil"/>
                    <w:bottom w:val="nil"/>
                    <w:right w:val="nil"/>
                  </w:tcBorders>
                  <w:shd w:val="clear" w:color="auto" w:fill="auto"/>
                  <w:vAlign w:val="bottom"/>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Forward</w:t>
                  </w:r>
                </w:p>
              </w:tc>
              <w:tc>
                <w:tcPr>
                  <w:tcW w:w="920" w:type="dxa"/>
                  <w:tcBorders>
                    <w:top w:val="nil"/>
                    <w:left w:val="nil"/>
                    <w:bottom w:val="nil"/>
                    <w:right w:val="nil"/>
                  </w:tcBorders>
                  <w:shd w:val="clear" w:color="auto" w:fill="auto"/>
                  <w:vAlign w:val="bottom"/>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Forward</w:t>
                  </w:r>
                </w:p>
              </w:tc>
              <w:tc>
                <w:tcPr>
                  <w:tcW w:w="920" w:type="dxa"/>
                  <w:tcBorders>
                    <w:top w:val="nil"/>
                    <w:left w:val="nil"/>
                    <w:bottom w:val="nil"/>
                    <w:right w:val="nil"/>
                  </w:tcBorders>
                  <w:shd w:val="clear" w:color="auto" w:fill="auto"/>
                  <w:vAlign w:val="bottom"/>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Forward</w:t>
                  </w:r>
                </w:p>
              </w:tc>
            </w:tr>
            <w:tr w:rsidR="0000211E" w:rsidRPr="00942D9E" w:rsidTr="00604E8D">
              <w:trPr>
                <w:trHeight w:val="225"/>
                <w:jc w:val="center"/>
              </w:trPr>
              <w:tc>
                <w:tcPr>
                  <w:tcW w:w="2580" w:type="dxa"/>
                  <w:tcBorders>
                    <w:top w:val="nil"/>
                    <w:left w:val="nil"/>
                    <w:bottom w:val="nil"/>
                    <w:right w:val="nil"/>
                  </w:tcBorders>
                  <w:shd w:val="clear" w:color="auto" w:fill="auto"/>
                  <w:noWrap/>
                  <w:hideMark/>
                </w:tcPr>
                <w:p w:rsidR="0000211E" w:rsidRPr="00942D9E" w:rsidRDefault="0000211E" w:rsidP="00C122CE">
                  <w:pPr>
                    <w:spacing w:after="0" w:line="240" w:lineRule="auto"/>
                    <w:jc w:val="left"/>
                    <w:rPr>
                      <w:rFonts w:ascii="Arial" w:hAnsi="Arial" w:cs="Arial"/>
                      <w:sz w:val="16"/>
                      <w:szCs w:val="16"/>
                    </w:rPr>
                  </w:pPr>
                </w:p>
              </w:tc>
              <w:tc>
                <w:tcPr>
                  <w:tcW w:w="880" w:type="dxa"/>
                  <w:tcBorders>
                    <w:top w:val="nil"/>
                    <w:left w:val="nil"/>
                    <w:bottom w:val="single" w:sz="4" w:space="0" w:color="auto"/>
                    <w:right w:val="nil"/>
                  </w:tcBorders>
                  <w:shd w:val="clear" w:color="auto" w:fill="auto"/>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actual</w:t>
                  </w:r>
                </w:p>
              </w:tc>
              <w:tc>
                <w:tcPr>
                  <w:tcW w:w="920" w:type="dxa"/>
                  <w:tcBorders>
                    <w:top w:val="nil"/>
                    <w:left w:val="nil"/>
                    <w:bottom w:val="single" w:sz="4" w:space="0" w:color="auto"/>
                    <w:right w:val="nil"/>
                  </w:tcBorders>
                  <w:shd w:val="clear" w:color="000000" w:fill="E6E6E6"/>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 </w:t>
                  </w:r>
                </w:p>
              </w:tc>
              <w:tc>
                <w:tcPr>
                  <w:tcW w:w="920" w:type="dxa"/>
                  <w:tcBorders>
                    <w:top w:val="nil"/>
                    <w:left w:val="nil"/>
                    <w:bottom w:val="single" w:sz="4" w:space="0" w:color="auto"/>
                    <w:right w:val="nil"/>
                  </w:tcBorders>
                  <w:shd w:val="clear" w:color="auto" w:fill="auto"/>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estimate</w:t>
                  </w:r>
                </w:p>
              </w:tc>
              <w:tc>
                <w:tcPr>
                  <w:tcW w:w="920" w:type="dxa"/>
                  <w:tcBorders>
                    <w:top w:val="nil"/>
                    <w:left w:val="nil"/>
                    <w:bottom w:val="single" w:sz="4" w:space="0" w:color="auto"/>
                    <w:right w:val="nil"/>
                  </w:tcBorders>
                  <w:shd w:val="clear" w:color="auto" w:fill="auto"/>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estimate</w:t>
                  </w:r>
                </w:p>
              </w:tc>
              <w:tc>
                <w:tcPr>
                  <w:tcW w:w="920" w:type="dxa"/>
                  <w:tcBorders>
                    <w:top w:val="nil"/>
                    <w:left w:val="nil"/>
                    <w:bottom w:val="single" w:sz="4" w:space="0" w:color="auto"/>
                    <w:right w:val="nil"/>
                  </w:tcBorders>
                  <w:shd w:val="clear" w:color="auto" w:fill="auto"/>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estimate</w:t>
                  </w:r>
                </w:p>
              </w:tc>
            </w:tr>
            <w:tr w:rsidR="0000211E" w:rsidRPr="00942D9E" w:rsidTr="00604E8D">
              <w:trPr>
                <w:trHeight w:val="225"/>
                <w:jc w:val="center"/>
              </w:trPr>
              <w:tc>
                <w:tcPr>
                  <w:tcW w:w="2580" w:type="dxa"/>
                  <w:tcBorders>
                    <w:top w:val="nil"/>
                    <w:left w:val="nil"/>
                    <w:bottom w:val="nil"/>
                    <w:right w:val="nil"/>
                  </w:tcBorders>
                  <w:shd w:val="clear" w:color="auto" w:fill="auto"/>
                  <w:noWrap/>
                  <w:vAlign w:val="bottom"/>
                  <w:hideMark/>
                </w:tcPr>
                <w:p w:rsidR="0000211E" w:rsidRPr="00942D9E" w:rsidRDefault="0000211E" w:rsidP="00C122CE">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vAlign w:val="bottom"/>
                  <w:hideMark/>
                </w:tcPr>
                <w:p w:rsidR="0000211E" w:rsidRPr="00942D9E" w:rsidRDefault="0000211E" w:rsidP="00C122CE">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vAlign w:val="bottom"/>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3,000-</w:t>
                  </w:r>
                </w:p>
              </w:tc>
              <w:tc>
                <w:tcPr>
                  <w:tcW w:w="920" w:type="dxa"/>
                  <w:tcBorders>
                    <w:top w:val="nil"/>
                    <w:left w:val="nil"/>
                    <w:bottom w:val="nil"/>
                    <w:right w:val="nil"/>
                  </w:tcBorders>
                  <w:shd w:val="clear" w:color="auto" w:fill="auto"/>
                  <w:vAlign w:val="bottom"/>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 xml:space="preserve">3,100 </w:t>
                  </w:r>
                </w:p>
              </w:tc>
              <w:tc>
                <w:tcPr>
                  <w:tcW w:w="920" w:type="dxa"/>
                  <w:tcBorders>
                    <w:top w:val="nil"/>
                    <w:left w:val="nil"/>
                    <w:bottom w:val="nil"/>
                    <w:right w:val="nil"/>
                  </w:tcBorders>
                  <w:shd w:val="clear" w:color="auto" w:fill="auto"/>
                  <w:vAlign w:val="bottom"/>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3,200-</w:t>
                  </w:r>
                </w:p>
              </w:tc>
              <w:tc>
                <w:tcPr>
                  <w:tcW w:w="920" w:type="dxa"/>
                  <w:tcBorders>
                    <w:top w:val="nil"/>
                    <w:left w:val="nil"/>
                    <w:bottom w:val="nil"/>
                    <w:right w:val="nil"/>
                  </w:tcBorders>
                  <w:shd w:val="clear" w:color="auto" w:fill="auto"/>
                  <w:vAlign w:val="bottom"/>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3,300-</w:t>
                  </w:r>
                </w:p>
              </w:tc>
            </w:tr>
            <w:tr w:rsidR="0000211E" w:rsidRPr="00942D9E" w:rsidTr="00604E8D">
              <w:trPr>
                <w:trHeight w:val="225"/>
                <w:jc w:val="center"/>
              </w:trPr>
              <w:tc>
                <w:tcPr>
                  <w:tcW w:w="2580" w:type="dxa"/>
                  <w:tcBorders>
                    <w:top w:val="nil"/>
                    <w:left w:val="nil"/>
                    <w:bottom w:val="nil"/>
                    <w:right w:val="nil"/>
                  </w:tcBorders>
                  <w:shd w:val="clear" w:color="auto" w:fill="auto"/>
                  <w:noWrap/>
                  <w:vAlign w:val="bottom"/>
                  <w:hideMark/>
                </w:tcPr>
                <w:p w:rsidR="0000211E" w:rsidRPr="00942D9E" w:rsidRDefault="0000211E" w:rsidP="00C122CE">
                  <w:pPr>
                    <w:spacing w:after="0" w:line="240" w:lineRule="auto"/>
                    <w:jc w:val="left"/>
                    <w:rPr>
                      <w:rFonts w:ascii="Arial" w:hAnsi="Arial" w:cs="Arial"/>
                      <w:sz w:val="16"/>
                      <w:szCs w:val="16"/>
                    </w:rPr>
                  </w:pPr>
                  <w:r w:rsidRPr="00942D9E">
                    <w:rPr>
                      <w:rFonts w:ascii="Arial" w:hAnsi="Arial" w:cs="Arial"/>
                      <w:sz w:val="16"/>
                      <w:szCs w:val="16"/>
                    </w:rPr>
                    <w:t>Number of grant applications</w:t>
                  </w:r>
                </w:p>
              </w:tc>
              <w:tc>
                <w:tcPr>
                  <w:tcW w:w="880" w:type="dxa"/>
                  <w:tcBorders>
                    <w:top w:val="nil"/>
                    <w:left w:val="nil"/>
                    <w:bottom w:val="nil"/>
                    <w:right w:val="nil"/>
                  </w:tcBorders>
                  <w:shd w:val="clear" w:color="auto" w:fill="auto"/>
                  <w:vAlign w:val="bottom"/>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 xml:space="preserve">3,195 </w:t>
                  </w:r>
                </w:p>
              </w:tc>
              <w:tc>
                <w:tcPr>
                  <w:tcW w:w="920" w:type="dxa"/>
                  <w:tcBorders>
                    <w:top w:val="nil"/>
                    <w:left w:val="nil"/>
                    <w:bottom w:val="nil"/>
                    <w:right w:val="nil"/>
                  </w:tcBorders>
                  <w:shd w:val="clear" w:color="000000" w:fill="E6E6E6"/>
                  <w:vAlign w:val="bottom"/>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 xml:space="preserve">3,500 </w:t>
                  </w:r>
                </w:p>
              </w:tc>
              <w:tc>
                <w:tcPr>
                  <w:tcW w:w="920" w:type="dxa"/>
                  <w:tcBorders>
                    <w:top w:val="nil"/>
                    <w:left w:val="nil"/>
                    <w:bottom w:val="nil"/>
                    <w:right w:val="nil"/>
                  </w:tcBorders>
                  <w:shd w:val="clear" w:color="auto" w:fill="auto"/>
                  <w:vAlign w:val="bottom"/>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 xml:space="preserve">3,600 </w:t>
                  </w:r>
                </w:p>
              </w:tc>
              <w:tc>
                <w:tcPr>
                  <w:tcW w:w="920" w:type="dxa"/>
                  <w:tcBorders>
                    <w:top w:val="nil"/>
                    <w:left w:val="nil"/>
                    <w:bottom w:val="nil"/>
                    <w:right w:val="nil"/>
                  </w:tcBorders>
                  <w:shd w:val="clear" w:color="auto" w:fill="auto"/>
                  <w:vAlign w:val="bottom"/>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 xml:space="preserve">3,700 </w:t>
                  </w:r>
                </w:p>
              </w:tc>
              <w:tc>
                <w:tcPr>
                  <w:tcW w:w="920" w:type="dxa"/>
                  <w:tcBorders>
                    <w:top w:val="nil"/>
                    <w:left w:val="nil"/>
                    <w:bottom w:val="nil"/>
                    <w:right w:val="nil"/>
                  </w:tcBorders>
                  <w:shd w:val="clear" w:color="auto" w:fill="auto"/>
                  <w:vAlign w:val="bottom"/>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 xml:space="preserve">3,800 </w:t>
                  </w:r>
                </w:p>
              </w:tc>
            </w:tr>
            <w:tr w:rsidR="0000211E" w:rsidRPr="00942D9E" w:rsidTr="00604E8D">
              <w:trPr>
                <w:trHeight w:val="225"/>
                <w:jc w:val="center"/>
              </w:trPr>
              <w:tc>
                <w:tcPr>
                  <w:tcW w:w="2580" w:type="dxa"/>
                  <w:tcBorders>
                    <w:top w:val="nil"/>
                    <w:left w:val="nil"/>
                    <w:bottom w:val="nil"/>
                    <w:right w:val="nil"/>
                  </w:tcBorders>
                  <w:shd w:val="clear" w:color="auto" w:fill="auto"/>
                  <w:noWrap/>
                  <w:vAlign w:val="bottom"/>
                  <w:hideMark/>
                </w:tcPr>
                <w:p w:rsidR="0000211E" w:rsidRPr="00942D9E" w:rsidRDefault="0000211E" w:rsidP="00C122CE">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vAlign w:val="bottom"/>
                  <w:hideMark/>
                </w:tcPr>
                <w:p w:rsidR="0000211E" w:rsidRPr="00942D9E" w:rsidRDefault="0000211E" w:rsidP="00C122CE">
                  <w:pPr>
                    <w:spacing w:after="0" w:line="240" w:lineRule="auto"/>
                    <w:jc w:val="right"/>
                    <w:rPr>
                      <w:rFonts w:ascii="Arial" w:hAnsi="Arial" w:cs="Arial"/>
                      <w:sz w:val="16"/>
                      <w:szCs w:val="16"/>
                    </w:rPr>
                  </w:pPr>
                </w:p>
              </w:tc>
              <w:tc>
                <w:tcPr>
                  <w:tcW w:w="920" w:type="dxa"/>
                  <w:tcBorders>
                    <w:top w:val="nil"/>
                    <w:left w:val="nil"/>
                    <w:bottom w:val="nil"/>
                    <w:right w:val="nil"/>
                  </w:tcBorders>
                  <w:shd w:val="clear" w:color="000000" w:fill="E6E6E6"/>
                  <w:vAlign w:val="bottom"/>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2,800-</w:t>
                  </w:r>
                </w:p>
              </w:tc>
              <w:tc>
                <w:tcPr>
                  <w:tcW w:w="920" w:type="dxa"/>
                  <w:tcBorders>
                    <w:top w:val="nil"/>
                    <w:left w:val="nil"/>
                    <w:bottom w:val="nil"/>
                    <w:right w:val="nil"/>
                  </w:tcBorders>
                  <w:shd w:val="clear" w:color="auto" w:fill="auto"/>
                  <w:vAlign w:val="bottom"/>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2,900-</w:t>
                  </w:r>
                </w:p>
              </w:tc>
              <w:tc>
                <w:tcPr>
                  <w:tcW w:w="920" w:type="dxa"/>
                  <w:tcBorders>
                    <w:top w:val="nil"/>
                    <w:left w:val="nil"/>
                    <w:bottom w:val="nil"/>
                    <w:right w:val="nil"/>
                  </w:tcBorders>
                  <w:shd w:val="clear" w:color="auto" w:fill="auto"/>
                  <w:vAlign w:val="bottom"/>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3,000-</w:t>
                  </w:r>
                </w:p>
              </w:tc>
              <w:tc>
                <w:tcPr>
                  <w:tcW w:w="920" w:type="dxa"/>
                  <w:tcBorders>
                    <w:top w:val="nil"/>
                    <w:left w:val="nil"/>
                    <w:bottom w:val="nil"/>
                    <w:right w:val="nil"/>
                  </w:tcBorders>
                  <w:shd w:val="clear" w:color="auto" w:fill="auto"/>
                  <w:vAlign w:val="bottom"/>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3,100-</w:t>
                  </w:r>
                </w:p>
              </w:tc>
            </w:tr>
            <w:tr w:rsidR="0000211E" w:rsidRPr="00942D9E" w:rsidTr="00604E8D">
              <w:trPr>
                <w:trHeight w:val="225"/>
                <w:jc w:val="center"/>
              </w:trPr>
              <w:tc>
                <w:tcPr>
                  <w:tcW w:w="2580" w:type="dxa"/>
                  <w:tcBorders>
                    <w:top w:val="nil"/>
                    <w:left w:val="nil"/>
                    <w:bottom w:val="single" w:sz="4" w:space="0" w:color="auto"/>
                    <w:right w:val="nil"/>
                  </w:tcBorders>
                  <w:shd w:val="clear" w:color="auto" w:fill="auto"/>
                  <w:noWrap/>
                  <w:vAlign w:val="bottom"/>
                  <w:hideMark/>
                </w:tcPr>
                <w:p w:rsidR="0000211E" w:rsidRPr="00942D9E" w:rsidRDefault="0000211E" w:rsidP="00C122CE">
                  <w:pPr>
                    <w:spacing w:after="0" w:line="240" w:lineRule="auto"/>
                    <w:jc w:val="left"/>
                    <w:rPr>
                      <w:rFonts w:ascii="Arial" w:hAnsi="Arial" w:cs="Arial"/>
                      <w:sz w:val="16"/>
                      <w:szCs w:val="16"/>
                    </w:rPr>
                  </w:pPr>
                  <w:r w:rsidRPr="00942D9E">
                    <w:rPr>
                      <w:rFonts w:ascii="Arial" w:hAnsi="Arial" w:cs="Arial"/>
                      <w:sz w:val="16"/>
                      <w:szCs w:val="16"/>
                    </w:rPr>
                    <w:t>Number of grant recipients</w:t>
                  </w:r>
                </w:p>
              </w:tc>
              <w:tc>
                <w:tcPr>
                  <w:tcW w:w="880" w:type="dxa"/>
                  <w:tcBorders>
                    <w:top w:val="nil"/>
                    <w:left w:val="nil"/>
                    <w:bottom w:val="single" w:sz="4" w:space="0" w:color="auto"/>
                    <w:right w:val="nil"/>
                  </w:tcBorders>
                  <w:shd w:val="clear" w:color="auto" w:fill="auto"/>
                  <w:vAlign w:val="bottom"/>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 xml:space="preserve">3,000 </w:t>
                  </w:r>
                </w:p>
              </w:tc>
              <w:tc>
                <w:tcPr>
                  <w:tcW w:w="920" w:type="dxa"/>
                  <w:tcBorders>
                    <w:top w:val="nil"/>
                    <w:left w:val="nil"/>
                    <w:bottom w:val="single" w:sz="4" w:space="0" w:color="auto"/>
                    <w:right w:val="nil"/>
                  </w:tcBorders>
                  <w:shd w:val="clear" w:color="000000" w:fill="E6E6E6"/>
                  <w:vAlign w:val="bottom"/>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 xml:space="preserve">3,300 </w:t>
                  </w:r>
                </w:p>
              </w:tc>
              <w:tc>
                <w:tcPr>
                  <w:tcW w:w="920" w:type="dxa"/>
                  <w:tcBorders>
                    <w:top w:val="nil"/>
                    <w:left w:val="nil"/>
                    <w:bottom w:val="single" w:sz="4" w:space="0" w:color="auto"/>
                    <w:right w:val="nil"/>
                  </w:tcBorders>
                  <w:shd w:val="clear" w:color="auto" w:fill="auto"/>
                  <w:vAlign w:val="bottom"/>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 xml:space="preserve">3,400 </w:t>
                  </w:r>
                </w:p>
              </w:tc>
              <w:tc>
                <w:tcPr>
                  <w:tcW w:w="920" w:type="dxa"/>
                  <w:tcBorders>
                    <w:top w:val="nil"/>
                    <w:left w:val="nil"/>
                    <w:bottom w:val="single" w:sz="4" w:space="0" w:color="auto"/>
                    <w:right w:val="nil"/>
                  </w:tcBorders>
                  <w:shd w:val="clear" w:color="auto" w:fill="auto"/>
                  <w:vAlign w:val="bottom"/>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 xml:space="preserve">3,500 </w:t>
                  </w:r>
                </w:p>
              </w:tc>
              <w:tc>
                <w:tcPr>
                  <w:tcW w:w="920" w:type="dxa"/>
                  <w:tcBorders>
                    <w:top w:val="nil"/>
                    <w:left w:val="nil"/>
                    <w:bottom w:val="single" w:sz="4" w:space="0" w:color="auto"/>
                    <w:right w:val="nil"/>
                  </w:tcBorders>
                  <w:shd w:val="clear" w:color="auto" w:fill="auto"/>
                  <w:vAlign w:val="bottom"/>
                  <w:hideMark/>
                </w:tcPr>
                <w:p w:rsidR="0000211E" w:rsidRPr="00942D9E" w:rsidRDefault="0000211E" w:rsidP="00C122CE">
                  <w:pPr>
                    <w:spacing w:after="0" w:line="240" w:lineRule="auto"/>
                    <w:jc w:val="right"/>
                    <w:rPr>
                      <w:rFonts w:ascii="Arial" w:hAnsi="Arial" w:cs="Arial"/>
                      <w:sz w:val="16"/>
                      <w:szCs w:val="16"/>
                    </w:rPr>
                  </w:pPr>
                  <w:r w:rsidRPr="00942D9E">
                    <w:rPr>
                      <w:rFonts w:ascii="Arial" w:hAnsi="Arial" w:cs="Arial"/>
                      <w:sz w:val="16"/>
                      <w:szCs w:val="16"/>
                    </w:rPr>
                    <w:t xml:space="preserve">3,600 </w:t>
                  </w:r>
                </w:p>
              </w:tc>
            </w:tr>
          </w:tbl>
          <w:p w:rsidR="00FD225A" w:rsidRPr="008E4180" w:rsidRDefault="00FD225A" w:rsidP="00FD225A"/>
        </w:tc>
      </w:tr>
    </w:tbl>
    <w:p w:rsidR="00A5180A" w:rsidRDefault="00A5180A" w:rsidP="00A51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A5180A" w:rsidTr="00384293">
        <w:tc>
          <w:tcPr>
            <w:tcW w:w="7711" w:type="dxa"/>
          </w:tcPr>
          <w:p w:rsidR="0000211E" w:rsidRDefault="00A5180A" w:rsidP="009D0E58">
            <w:pPr>
              <w:pageBreakBefore/>
              <w:spacing w:after="0"/>
              <w:rPr>
                <w:b/>
              </w:rPr>
            </w:pPr>
            <w:r>
              <w:lastRenderedPageBreak/>
              <w:br w:type="page"/>
            </w:r>
            <w:r w:rsidR="0000211E" w:rsidRPr="005C5097">
              <w:rPr>
                <w:b/>
              </w:rPr>
              <w:t xml:space="preserve">Free Trade Agreement Promotion </w:t>
            </w:r>
          </w:p>
          <w:p w:rsidR="009D0E58" w:rsidRPr="005C5097" w:rsidRDefault="009D0E58" w:rsidP="009D0E58">
            <w:pPr>
              <w:pageBreakBefore/>
              <w:spacing w:after="0"/>
              <w:rPr>
                <w:b/>
              </w:rPr>
            </w:pPr>
          </w:p>
          <w:p w:rsidR="00A5180A" w:rsidRPr="005C5097" w:rsidRDefault="0000211E" w:rsidP="00C94E7A">
            <w:pPr>
              <w:spacing w:after="0"/>
              <w:rPr>
                <w:i/>
              </w:rPr>
            </w:pPr>
            <w:r w:rsidRPr="005C5097">
              <w:t xml:space="preserve">Funding </w:t>
            </w:r>
            <w:r w:rsidRPr="005F7CED">
              <w:t>has been provided over two years for both Austrade and DFAT to promote the awareness and usag</w:t>
            </w:r>
            <w:r w:rsidR="00751759">
              <w:t>e of free trade agreements (FTA</w:t>
            </w:r>
            <w:r w:rsidR="009E576C">
              <w:t>s</w:t>
            </w:r>
            <w:r w:rsidRPr="005F7CED">
              <w:t xml:space="preserve">) with China, Japan and </w:t>
            </w:r>
            <w:r w:rsidR="002F518C">
              <w:t xml:space="preserve">the Republic of </w:t>
            </w:r>
            <w:r w:rsidRPr="005F7CED">
              <w:t>Korea; and improve the awareness of FTAs more generally. Specific deliverables will consist of a national series of roadshows, a grants program for businesses and industry groups, and regional training for business chambers, local councils and other third parties. The</w:t>
            </w:r>
            <w:r w:rsidR="00751759">
              <w:t>se grants and training program</w:t>
            </w:r>
            <w:r w:rsidRPr="005F7CED">
              <w:t>s would increase businesses’ access to FTA information; and targeted advertising will also be undertaken in digital and mass media</w:t>
            </w:r>
            <w:r>
              <w:t>.</w:t>
            </w:r>
          </w:p>
        </w:tc>
      </w:tr>
      <w:tr w:rsidR="00A5180A" w:rsidTr="00384293">
        <w:tc>
          <w:tcPr>
            <w:tcW w:w="7711" w:type="dxa"/>
          </w:tcPr>
          <w:p w:rsidR="00A5180A" w:rsidRPr="005C5097" w:rsidRDefault="0000211E" w:rsidP="009D0E58">
            <w:pPr>
              <w:spacing w:after="0"/>
              <w:rPr>
                <w:b/>
              </w:rPr>
            </w:pPr>
            <w:r w:rsidRPr="005F7CED">
              <w:t xml:space="preserve">Linked to: Free Trade Agreement Promotion linked to DFAT </w:t>
            </w:r>
            <w:r>
              <w:t>P</w:t>
            </w:r>
            <w:r w:rsidRPr="005F7CED">
              <w:t>rogramme 1.1.</w:t>
            </w:r>
          </w:p>
        </w:tc>
      </w:tr>
    </w:tbl>
    <w:p w:rsidR="00A5180A" w:rsidRDefault="00A5180A" w:rsidP="009D0E58">
      <w:pPr>
        <w:spacing w:after="8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A5180A" w:rsidRPr="005C5097" w:rsidTr="00384293">
        <w:tc>
          <w:tcPr>
            <w:tcW w:w="7711" w:type="dxa"/>
          </w:tcPr>
          <w:p w:rsidR="0000211E" w:rsidRDefault="0000211E" w:rsidP="009D0E58">
            <w:pPr>
              <w:spacing w:after="0"/>
              <w:rPr>
                <w:b/>
              </w:rPr>
            </w:pPr>
            <w:r w:rsidRPr="005C5097">
              <w:rPr>
                <w:b/>
              </w:rPr>
              <w:t xml:space="preserve">Tasmanian Regional Tourism Package </w:t>
            </w:r>
            <w:r>
              <w:rPr>
                <w:b/>
              </w:rPr>
              <w:t>(TRTP)</w:t>
            </w:r>
          </w:p>
          <w:p w:rsidR="009D0E58" w:rsidRDefault="009D0E58" w:rsidP="009D0E58">
            <w:pPr>
              <w:spacing w:after="0"/>
              <w:rPr>
                <w:b/>
              </w:rPr>
            </w:pPr>
          </w:p>
          <w:p w:rsidR="00A5180A" w:rsidRPr="005C5097" w:rsidRDefault="0000211E" w:rsidP="009D0E58">
            <w:pPr>
              <w:spacing w:after="0"/>
              <w:rPr>
                <w:i/>
              </w:rPr>
            </w:pPr>
            <w:r w:rsidRPr="005C5097">
              <w:t xml:space="preserve">Administration </w:t>
            </w:r>
            <w:r w:rsidRPr="005F7CED">
              <w:t>of the Tasmanian Regional Tourism Package – comprised of the Tasmanian Whisky and Cider Trails project and the Regional Tourism Infrastructure and Innovation Fund - to fund projects which align with state and national tourism priorities</w:t>
            </w:r>
            <w:r w:rsidRPr="005C5097">
              <w:t xml:space="preserve">.   </w:t>
            </w:r>
          </w:p>
        </w:tc>
      </w:tr>
    </w:tbl>
    <w:p w:rsidR="00A5180A" w:rsidRPr="008D1576" w:rsidRDefault="00A5180A" w:rsidP="009D0E58">
      <w:pPr>
        <w:spacing w:after="80"/>
        <w:rPr>
          <w:rStyle w:val="Stron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A5180A" w:rsidRPr="005C5097" w:rsidTr="00384293">
        <w:tc>
          <w:tcPr>
            <w:tcW w:w="7711" w:type="dxa"/>
          </w:tcPr>
          <w:p w:rsidR="0000211E" w:rsidRDefault="0000211E" w:rsidP="009D0E58">
            <w:pPr>
              <w:spacing w:after="0"/>
              <w:rPr>
                <w:b/>
              </w:rPr>
            </w:pPr>
            <w:r w:rsidRPr="005C5097">
              <w:rPr>
                <w:b/>
              </w:rPr>
              <w:t xml:space="preserve">Tourism Demand Driver Infrastructure </w:t>
            </w:r>
            <w:r>
              <w:rPr>
                <w:b/>
              </w:rPr>
              <w:t>(TDDI) p</w:t>
            </w:r>
            <w:r w:rsidR="00751759">
              <w:rPr>
                <w:b/>
              </w:rPr>
              <w:t>rogram</w:t>
            </w:r>
          </w:p>
          <w:p w:rsidR="009D0E58" w:rsidRPr="005C5097" w:rsidRDefault="009D0E58" w:rsidP="009D0E58">
            <w:pPr>
              <w:spacing w:after="0"/>
              <w:rPr>
                <w:b/>
              </w:rPr>
            </w:pPr>
          </w:p>
          <w:p w:rsidR="00A5180A" w:rsidRPr="005C5097" w:rsidRDefault="0000211E" w:rsidP="009D0E58">
            <w:pPr>
              <w:spacing w:after="0"/>
              <w:rPr>
                <w:i/>
              </w:rPr>
            </w:pPr>
            <w:r w:rsidRPr="005C5097">
              <w:t xml:space="preserve">Administration </w:t>
            </w:r>
            <w:r w:rsidRPr="005F7CED">
              <w:t>of the Tourism Demand</w:t>
            </w:r>
            <w:r w:rsidR="00751759">
              <w:t xml:space="preserve"> Driver Infrastructure program</w:t>
            </w:r>
            <w:r w:rsidRPr="005F7CED">
              <w:t>, providing funding to the state and territory governments, which are responsible for implementing projects that create and encourage quality tourism infrastructure</w:t>
            </w:r>
            <w:r w:rsidRPr="005C5097">
              <w:t>.</w:t>
            </w:r>
          </w:p>
        </w:tc>
      </w:tr>
      <w:tr w:rsidR="00A5180A" w:rsidRPr="005C5097" w:rsidTr="00384293">
        <w:tc>
          <w:tcPr>
            <w:tcW w:w="7711" w:type="dxa"/>
          </w:tcPr>
          <w:p w:rsidR="00A5180A" w:rsidRPr="005C5097" w:rsidRDefault="0000211E" w:rsidP="009D0E58">
            <w:pPr>
              <w:spacing w:after="0"/>
              <w:rPr>
                <w:rFonts w:ascii="Arial" w:hAnsi="Arial"/>
              </w:rPr>
            </w:pPr>
            <w:r w:rsidRPr="005C5097">
              <w:t>Linked to: Tourism Demand Driver Infrastructure payments made through the National Partnership Payments arrangements – Programme code SPP666.</w:t>
            </w:r>
          </w:p>
        </w:tc>
      </w:tr>
    </w:tbl>
    <w:p w:rsidR="00A5180A" w:rsidRDefault="00A5180A" w:rsidP="009D0E58">
      <w:pPr>
        <w:spacing w:after="8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7"/>
      </w:tblGrid>
      <w:tr w:rsidR="00A5180A" w:rsidTr="001E7B30">
        <w:trPr>
          <w:trHeight w:val="1319"/>
        </w:trPr>
        <w:tc>
          <w:tcPr>
            <w:tcW w:w="7707" w:type="dxa"/>
            <w:shd w:val="clear" w:color="auto" w:fill="auto"/>
          </w:tcPr>
          <w:p w:rsidR="0000211E" w:rsidRDefault="0000211E" w:rsidP="009D0E58">
            <w:pPr>
              <w:spacing w:after="0"/>
              <w:rPr>
                <w:b/>
                <w:bCs/>
              </w:rPr>
            </w:pPr>
            <w:r w:rsidRPr="00442F72">
              <w:rPr>
                <w:b/>
                <w:bCs/>
              </w:rPr>
              <w:t>Asian Business Engagement (ABE) plan</w:t>
            </w:r>
          </w:p>
          <w:p w:rsidR="009D0E58" w:rsidRPr="00442F72" w:rsidRDefault="009D0E58" w:rsidP="009D0E58">
            <w:pPr>
              <w:spacing w:after="0"/>
              <w:rPr>
                <w:b/>
                <w:bCs/>
              </w:rPr>
            </w:pPr>
          </w:p>
          <w:p w:rsidR="00A5180A" w:rsidRPr="00604695" w:rsidRDefault="0000211E" w:rsidP="009D0E58">
            <w:pPr>
              <w:spacing w:after="0"/>
              <w:rPr>
                <w:b/>
              </w:rPr>
            </w:pPr>
            <w:r>
              <w:t xml:space="preserve">Funding </w:t>
            </w:r>
            <w:r w:rsidR="00751759">
              <w:t>for this grant program</w:t>
            </w:r>
            <w:r w:rsidRPr="005F7CED">
              <w:t xml:space="preserve"> has concluded, and no new applications will be considered. However, as previous grants were awarded under multi-year agreements, residual payments to previous recipients will continue in 2015-16. Residual payments will be made to recipients that continue to meet th</w:t>
            </w:r>
            <w:r>
              <w:t>eir obligations subject to the ABE p</w:t>
            </w:r>
            <w:r w:rsidRPr="005F7CED">
              <w:t>lan and the Commonwealth Grant Guidelines</w:t>
            </w:r>
            <w:r>
              <w:t>.</w:t>
            </w:r>
          </w:p>
        </w:tc>
      </w:tr>
    </w:tbl>
    <w:p w:rsidR="009D0E58" w:rsidRPr="009D0E58" w:rsidRDefault="009D0E58" w:rsidP="009D0E58">
      <w:pPr>
        <w:spacing w:after="8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9D0E58" w:rsidTr="009D0E58">
        <w:tc>
          <w:tcPr>
            <w:tcW w:w="7711" w:type="dxa"/>
            <w:tcBorders>
              <w:top w:val="single" w:sz="4" w:space="0" w:color="auto"/>
              <w:left w:val="single" w:sz="4" w:space="0" w:color="auto"/>
              <w:bottom w:val="single" w:sz="4" w:space="0" w:color="auto"/>
              <w:right w:val="single" w:sz="4" w:space="0" w:color="auto"/>
            </w:tcBorders>
          </w:tcPr>
          <w:p w:rsidR="009D0E58" w:rsidRPr="009D0E58" w:rsidRDefault="009D0E58" w:rsidP="009D0E58">
            <w:pPr>
              <w:rPr>
                <w:rFonts w:ascii="Arial" w:hAnsi="Arial"/>
                <w:b/>
              </w:rPr>
            </w:pPr>
            <w:r>
              <w:br w:type="page"/>
            </w:r>
            <w:r w:rsidR="0038538C">
              <w:rPr>
                <w:b/>
              </w:rPr>
              <w:t>Developing Northern Australia - p</w:t>
            </w:r>
            <w:r w:rsidRPr="009D0E58">
              <w:rPr>
                <w:b/>
                <w:bCs/>
              </w:rPr>
              <w:t xml:space="preserve">ositioning the </w:t>
            </w:r>
            <w:r w:rsidR="0038538C">
              <w:rPr>
                <w:b/>
                <w:bCs/>
              </w:rPr>
              <w:t>n</w:t>
            </w:r>
            <w:r w:rsidRPr="009D0E58">
              <w:rPr>
                <w:b/>
                <w:bCs/>
              </w:rPr>
              <w:t xml:space="preserve">orth as a </w:t>
            </w:r>
            <w:r w:rsidR="0038538C">
              <w:rPr>
                <w:b/>
                <w:bCs/>
              </w:rPr>
              <w:t>l</w:t>
            </w:r>
            <w:r w:rsidRPr="009D0E58">
              <w:rPr>
                <w:b/>
                <w:bCs/>
              </w:rPr>
              <w:t xml:space="preserve">eader in </w:t>
            </w:r>
            <w:r w:rsidR="0038538C">
              <w:rPr>
                <w:b/>
                <w:bCs/>
              </w:rPr>
              <w:t>t</w:t>
            </w:r>
            <w:r w:rsidRPr="009D0E58">
              <w:rPr>
                <w:b/>
                <w:bCs/>
              </w:rPr>
              <w:t xml:space="preserve">ropical </w:t>
            </w:r>
            <w:r w:rsidR="0038538C">
              <w:rPr>
                <w:b/>
                <w:bCs/>
              </w:rPr>
              <w:t>h</w:t>
            </w:r>
            <w:r w:rsidRPr="009D0E58">
              <w:rPr>
                <w:b/>
                <w:bCs/>
              </w:rPr>
              <w:t>ealth</w:t>
            </w:r>
          </w:p>
          <w:p w:rsidR="009D0E58" w:rsidRPr="009D0E58" w:rsidRDefault="009D0E58" w:rsidP="00C94E7A">
            <w:pPr>
              <w:rPr>
                <w:rFonts w:ascii="Arial" w:hAnsi="Arial"/>
              </w:rPr>
            </w:pPr>
            <w:r>
              <w:t>Administration of a component of the Global Leader in Tropical Health program, providing funding to the Department of Industry and Science under a Memorandum of Understanding. Austrade will support the program by providing sectoral expertise and advice to support decision making by the Department of Industry and Science in relation to commercialising tropical medicine research.</w:t>
            </w:r>
          </w:p>
        </w:tc>
      </w:tr>
      <w:tr w:rsidR="00A5180A" w:rsidTr="00384293">
        <w:tc>
          <w:tcPr>
            <w:tcW w:w="7711" w:type="dxa"/>
          </w:tcPr>
          <w:p w:rsidR="00A5180A" w:rsidRDefault="00A5180A" w:rsidP="00384293">
            <w:pPr>
              <w:pStyle w:val="TableColumnHeadingLeft"/>
              <w:pageBreakBefore/>
            </w:pPr>
            <w:r>
              <w:lastRenderedPageBreak/>
              <w:br w:type="page"/>
            </w:r>
            <w:r>
              <w:rPr>
                <w:rFonts w:ascii="Book Antiqua" w:hAnsi="Book Antiqua"/>
                <w:b w:val="0"/>
              </w:rPr>
              <w:br w:type="page"/>
            </w:r>
            <w:r>
              <w:t xml:space="preserve">Programme 1.2 key performance indicators  </w:t>
            </w:r>
          </w:p>
          <w:p w:rsidR="0000211E" w:rsidRPr="006F52D9" w:rsidRDefault="0000211E" w:rsidP="0000211E">
            <w:pPr>
              <w:rPr>
                <w:b/>
              </w:rPr>
            </w:pPr>
            <w:r w:rsidRPr="006F52D9">
              <w:rPr>
                <w:b/>
              </w:rPr>
              <w:t xml:space="preserve">Export Market Development Grants </w:t>
            </w:r>
            <w:r>
              <w:rPr>
                <w:b/>
              </w:rPr>
              <w:t>(EMDG) s</w:t>
            </w:r>
            <w:r w:rsidRPr="006F52D9">
              <w:rPr>
                <w:b/>
              </w:rPr>
              <w:t>cheme</w:t>
            </w:r>
          </w:p>
          <w:p w:rsidR="0000211E" w:rsidRPr="008D1576" w:rsidRDefault="0000211E" w:rsidP="0000211E">
            <w:pPr>
              <w:pStyle w:val="Exampletextbullet"/>
              <w:numPr>
                <w:ilvl w:val="0"/>
                <w:numId w:val="5"/>
              </w:numPr>
              <w:rPr>
                <w:i w:val="0"/>
                <w:color w:val="auto"/>
              </w:rPr>
            </w:pPr>
            <w:r w:rsidRPr="008D1576">
              <w:rPr>
                <w:i w:val="0"/>
                <w:color w:val="auto"/>
              </w:rPr>
              <w:t xml:space="preserve">Proportion </w:t>
            </w:r>
            <w:r w:rsidRPr="005F7CED">
              <w:rPr>
                <w:i w:val="0"/>
                <w:color w:val="auto"/>
              </w:rPr>
              <w:t>of EMDG scheme recipients reporting that the receipt of a grant supported their business to become a more sustainable exporter</w:t>
            </w:r>
            <w:r w:rsidRPr="008D1576">
              <w:rPr>
                <w:i w:val="0"/>
                <w:color w:val="auto"/>
              </w:rPr>
              <w:t>.</w:t>
            </w:r>
          </w:p>
          <w:p w:rsidR="0000211E" w:rsidRPr="008D1576" w:rsidRDefault="0000211E" w:rsidP="0000211E">
            <w:pPr>
              <w:pStyle w:val="Exampletextbullet"/>
              <w:numPr>
                <w:ilvl w:val="0"/>
                <w:numId w:val="5"/>
              </w:numPr>
              <w:rPr>
                <w:i w:val="0"/>
                <w:color w:val="auto"/>
              </w:rPr>
            </w:pPr>
            <w:r w:rsidRPr="008D1576">
              <w:rPr>
                <w:i w:val="0"/>
                <w:color w:val="auto"/>
              </w:rPr>
              <w:t xml:space="preserve">Proportion </w:t>
            </w:r>
            <w:r w:rsidRPr="005F7CED">
              <w:rPr>
                <w:i w:val="0"/>
                <w:color w:val="auto"/>
              </w:rPr>
              <w:t>of EMDG scheme recipients reporting that the receipt of a grant enabled them to grow their international revenue</w:t>
            </w:r>
            <w:r w:rsidRPr="008D1576">
              <w:rPr>
                <w:i w:val="0"/>
                <w:color w:val="auto"/>
              </w:rPr>
              <w:t>.</w:t>
            </w:r>
          </w:p>
          <w:p w:rsidR="0000211E" w:rsidRPr="001C6734" w:rsidRDefault="0000211E" w:rsidP="0000211E">
            <w:pPr>
              <w:rPr>
                <w:b/>
              </w:rPr>
            </w:pPr>
            <w:r w:rsidRPr="0005529F">
              <w:rPr>
                <w:b/>
              </w:rPr>
              <w:t xml:space="preserve">Free Trade Agreement Promotion </w:t>
            </w:r>
          </w:p>
          <w:p w:rsidR="0000211E" w:rsidRPr="008D1576" w:rsidRDefault="0000211E" w:rsidP="0000211E">
            <w:pPr>
              <w:pStyle w:val="Exampletextbullet"/>
              <w:numPr>
                <w:ilvl w:val="0"/>
                <w:numId w:val="5"/>
              </w:numPr>
              <w:rPr>
                <w:i w:val="0"/>
                <w:color w:val="auto"/>
              </w:rPr>
            </w:pPr>
            <w:r w:rsidRPr="008D1576">
              <w:rPr>
                <w:i w:val="0"/>
                <w:color w:val="auto"/>
              </w:rPr>
              <w:t xml:space="preserve">Proportion </w:t>
            </w:r>
            <w:r w:rsidRPr="005F7CED">
              <w:rPr>
                <w:i w:val="0"/>
                <w:color w:val="auto"/>
              </w:rPr>
              <w:t>of seminar and roadshow attendees reporting an increased awareness of FTAs</w:t>
            </w:r>
            <w:r w:rsidRPr="008D1576">
              <w:rPr>
                <w:i w:val="0"/>
                <w:color w:val="auto"/>
              </w:rPr>
              <w:t>.</w:t>
            </w:r>
          </w:p>
          <w:p w:rsidR="0000211E" w:rsidRPr="008D1576" w:rsidRDefault="0000211E" w:rsidP="0000211E">
            <w:pPr>
              <w:pStyle w:val="Exampletextbullet"/>
              <w:numPr>
                <w:ilvl w:val="0"/>
                <w:numId w:val="5"/>
              </w:numPr>
              <w:rPr>
                <w:i w:val="0"/>
                <w:color w:val="auto"/>
              </w:rPr>
            </w:pPr>
            <w:r w:rsidRPr="008D1576">
              <w:rPr>
                <w:i w:val="0"/>
                <w:color w:val="auto"/>
              </w:rPr>
              <w:t xml:space="preserve">Proportion </w:t>
            </w:r>
            <w:r w:rsidRPr="005F7CED">
              <w:rPr>
                <w:i w:val="0"/>
                <w:color w:val="auto"/>
              </w:rPr>
              <w:t>of seminar and roadshow attendees reporting an increased understanding of how to use and benefit from FTAs</w:t>
            </w:r>
            <w:r w:rsidRPr="008D1576">
              <w:rPr>
                <w:i w:val="0"/>
                <w:color w:val="auto"/>
              </w:rPr>
              <w:t xml:space="preserve">. </w:t>
            </w:r>
          </w:p>
          <w:p w:rsidR="0000211E" w:rsidRPr="001C6734" w:rsidRDefault="0000211E" w:rsidP="0000211E">
            <w:pPr>
              <w:rPr>
                <w:b/>
              </w:rPr>
            </w:pPr>
            <w:r w:rsidRPr="0005529F">
              <w:rPr>
                <w:b/>
              </w:rPr>
              <w:t>Tasmanian Regional Tourism Package</w:t>
            </w:r>
            <w:r>
              <w:rPr>
                <w:b/>
              </w:rPr>
              <w:t xml:space="preserve"> (TRTP)</w:t>
            </w:r>
          </w:p>
          <w:p w:rsidR="0000211E" w:rsidRPr="008D1576" w:rsidRDefault="0000211E" w:rsidP="0000211E">
            <w:pPr>
              <w:pStyle w:val="Exampletextbullet"/>
              <w:numPr>
                <w:ilvl w:val="0"/>
                <w:numId w:val="5"/>
              </w:numPr>
              <w:rPr>
                <w:i w:val="0"/>
                <w:color w:val="auto"/>
              </w:rPr>
            </w:pPr>
            <w:r w:rsidRPr="008D1576">
              <w:rPr>
                <w:i w:val="0"/>
                <w:color w:val="auto"/>
              </w:rPr>
              <w:t xml:space="preserve">TRTP </w:t>
            </w:r>
            <w:r w:rsidRPr="005F7CED">
              <w:rPr>
                <w:i w:val="0"/>
                <w:color w:val="auto"/>
              </w:rPr>
              <w:t>funding distributed to projects identified by the Tasmanian Government in the National Partnership Agreement, consistent with agreed principles</w:t>
            </w:r>
            <w:r w:rsidRPr="008D1576">
              <w:rPr>
                <w:i w:val="0"/>
                <w:color w:val="auto"/>
              </w:rPr>
              <w:t xml:space="preserve">.  </w:t>
            </w:r>
          </w:p>
          <w:p w:rsidR="0000211E" w:rsidRPr="001C6734" w:rsidRDefault="0000211E" w:rsidP="0000211E">
            <w:pPr>
              <w:rPr>
                <w:b/>
              </w:rPr>
            </w:pPr>
            <w:r w:rsidRPr="0005529F">
              <w:rPr>
                <w:b/>
              </w:rPr>
              <w:t xml:space="preserve">Tourism </w:t>
            </w:r>
            <w:r w:rsidRPr="001C6734">
              <w:rPr>
                <w:b/>
              </w:rPr>
              <w:t xml:space="preserve">Demand Driver Infrastructure </w:t>
            </w:r>
            <w:r>
              <w:rPr>
                <w:b/>
              </w:rPr>
              <w:t>(TDDI) p</w:t>
            </w:r>
            <w:r w:rsidR="0010432E">
              <w:rPr>
                <w:b/>
              </w:rPr>
              <w:t>rogram</w:t>
            </w:r>
          </w:p>
          <w:p w:rsidR="0000211E" w:rsidRPr="008D1576" w:rsidRDefault="0000211E" w:rsidP="0000211E">
            <w:pPr>
              <w:pStyle w:val="Exampletextbullet"/>
              <w:numPr>
                <w:ilvl w:val="0"/>
                <w:numId w:val="5"/>
              </w:numPr>
              <w:rPr>
                <w:i w:val="0"/>
                <w:color w:val="auto"/>
              </w:rPr>
            </w:pPr>
            <w:r w:rsidRPr="008D1576">
              <w:rPr>
                <w:i w:val="0"/>
                <w:color w:val="auto"/>
              </w:rPr>
              <w:t xml:space="preserve">Budgeted </w:t>
            </w:r>
            <w:r w:rsidRPr="00893368">
              <w:rPr>
                <w:i w:val="0"/>
                <w:color w:val="auto"/>
              </w:rPr>
              <w:t>TDDI funding distributed to state and territory governments</w:t>
            </w:r>
            <w:r w:rsidRPr="008D1576">
              <w:rPr>
                <w:i w:val="0"/>
                <w:color w:val="auto"/>
              </w:rPr>
              <w:t>.</w:t>
            </w:r>
          </w:p>
          <w:p w:rsidR="0000211E" w:rsidRPr="008D1576" w:rsidRDefault="0000211E" w:rsidP="0000211E">
            <w:pPr>
              <w:pStyle w:val="Exampletextbullet"/>
              <w:numPr>
                <w:ilvl w:val="0"/>
                <w:numId w:val="5"/>
              </w:numPr>
              <w:rPr>
                <w:i w:val="0"/>
                <w:color w:val="auto"/>
              </w:rPr>
            </w:pPr>
            <w:r w:rsidRPr="008D1576">
              <w:rPr>
                <w:i w:val="0"/>
                <w:color w:val="auto"/>
              </w:rPr>
              <w:t xml:space="preserve">TDDI </w:t>
            </w:r>
            <w:r w:rsidRPr="00893368">
              <w:rPr>
                <w:i w:val="0"/>
                <w:color w:val="auto"/>
              </w:rPr>
              <w:t>funding distributed to projects identified by state and territory governments in National Partnership Agreements, consistent with funding principles agreed by tourism ministers</w:t>
            </w:r>
            <w:r w:rsidRPr="008D1576">
              <w:rPr>
                <w:i w:val="0"/>
                <w:color w:val="auto"/>
              </w:rPr>
              <w:t>.</w:t>
            </w:r>
          </w:p>
          <w:p w:rsidR="0000211E" w:rsidRPr="001C6734" w:rsidRDefault="0000211E" w:rsidP="0000211E">
            <w:pPr>
              <w:rPr>
                <w:b/>
              </w:rPr>
            </w:pPr>
            <w:r w:rsidRPr="0005529F">
              <w:rPr>
                <w:b/>
              </w:rPr>
              <w:t xml:space="preserve">Asian Business Engagement </w:t>
            </w:r>
            <w:r>
              <w:rPr>
                <w:b/>
              </w:rPr>
              <w:t>(ABE) p</w:t>
            </w:r>
            <w:r w:rsidRPr="0005529F">
              <w:rPr>
                <w:b/>
              </w:rPr>
              <w:t>lan</w:t>
            </w:r>
          </w:p>
          <w:p w:rsidR="00A5180A" w:rsidRPr="009D0E58" w:rsidRDefault="0000211E" w:rsidP="0000211E">
            <w:pPr>
              <w:pStyle w:val="Exampletextbullet"/>
              <w:numPr>
                <w:ilvl w:val="0"/>
                <w:numId w:val="5"/>
              </w:numPr>
            </w:pPr>
            <w:r w:rsidRPr="008D1576">
              <w:rPr>
                <w:i w:val="0"/>
                <w:color w:val="auto"/>
              </w:rPr>
              <w:t xml:space="preserve">Proportion </w:t>
            </w:r>
            <w:r w:rsidRPr="00893368">
              <w:rPr>
                <w:i w:val="0"/>
                <w:color w:val="auto"/>
              </w:rPr>
              <w:t>of grant recipients reporting that the receipt of a grant helped to expand the capability of their organisation to assist members’ in-market access to business networks; and to develop new business relationships in Asia</w:t>
            </w:r>
            <w:r w:rsidRPr="008D1576">
              <w:rPr>
                <w:i w:val="0"/>
                <w:color w:val="auto"/>
              </w:rPr>
              <w:t>.</w:t>
            </w:r>
          </w:p>
          <w:p w:rsidR="009D0E58" w:rsidRDefault="0038538C" w:rsidP="009D0E58">
            <w:r>
              <w:rPr>
                <w:b/>
              </w:rPr>
              <w:t>Developing Northern Australia - p</w:t>
            </w:r>
            <w:r w:rsidRPr="009D0E58">
              <w:rPr>
                <w:b/>
                <w:bCs/>
              </w:rPr>
              <w:t xml:space="preserve">ositioning the </w:t>
            </w:r>
            <w:r>
              <w:rPr>
                <w:b/>
                <w:bCs/>
              </w:rPr>
              <w:t>n</w:t>
            </w:r>
            <w:r w:rsidRPr="009D0E58">
              <w:rPr>
                <w:b/>
                <w:bCs/>
              </w:rPr>
              <w:t xml:space="preserve">orth as a </w:t>
            </w:r>
            <w:r>
              <w:rPr>
                <w:b/>
                <w:bCs/>
              </w:rPr>
              <w:t>l</w:t>
            </w:r>
            <w:r w:rsidRPr="009D0E58">
              <w:rPr>
                <w:b/>
                <w:bCs/>
              </w:rPr>
              <w:t xml:space="preserve">eader in </w:t>
            </w:r>
            <w:r>
              <w:rPr>
                <w:b/>
                <w:bCs/>
              </w:rPr>
              <w:t>t</w:t>
            </w:r>
            <w:r w:rsidRPr="009D0E58">
              <w:rPr>
                <w:b/>
                <w:bCs/>
              </w:rPr>
              <w:t xml:space="preserve">ropical </w:t>
            </w:r>
            <w:r>
              <w:rPr>
                <w:b/>
                <w:bCs/>
              </w:rPr>
              <w:t>h</w:t>
            </w:r>
            <w:r w:rsidRPr="009D0E58">
              <w:rPr>
                <w:b/>
                <w:bCs/>
              </w:rPr>
              <w:t>ealth</w:t>
            </w:r>
          </w:p>
          <w:p w:rsidR="009D0E58" w:rsidRPr="00447607" w:rsidRDefault="00447607" w:rsidP="00447607">
            <w:pPr>
              <w:pStyle w:val="Exampletextbullet"/>
              <w:numPr>
                <w:ilvl w:val="0"/>
                <w:numId w:val="5"/>
              </w:numPr>
              <w:rPr>
                <w:i w:val="0"/>
                <w:color w:val="auto"/>
              </w:rPr>
            </w:pPr>
            <w:r w:rsidRPr="00447607">
              <w:rPr>
                <w:i w:val="0"/>
                <w:color w:val="auto"/>
              </w:rPr>
              <w:t>Funds and advice provided to the Department of Industry and Science, consistent with agreed principles, to increase foreign investment in the commercialisation of Australian Tropical Medicine research and development.</w:t>
            </w:r>
          </w:p>
        </w:tc>
      </w:tr>
    </w:tbl>
    <w:p w:rsidR="00A5180A" w:rsidRDefault="00A5180A" w:rsidP="00A5180A">
      <w:pPr>
        <w:pStyle w:val="NoSpacing"/>
      </w:pPr>
    </w:p>
    <w:p w:rsidR="00A5180A" w:rsidRDefault="00A5180A" w:rsidP="00A5180A">
      <w:pPr>
        <w:pStyle w:val="TableGraphic"/>
      </w:pPr>
    </w:p>
    <w:p w:rsidR="00A5180A" w:rsidRDefault="00A5180A" w:rsidP="00A5180A">
      <w:pPr>
        <w:pStyle w:val="Source"/>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A5180A" w:rsidTr="00384293">
        <w:tc>
          <w:tcPr>
            <w:tcW w:w="7713" w:type="dxa"/>
            <w:shd w:val="clear" w:color="auto" w:fill="E6E6E6"/>
          </w:tcPr>
          <w:p w:rsidR="00A5180A" w:rsidRDefault="00A5180A" w:rsidP="00384293">
            <w:pPr>
              <w:pStyle w:val="TableColumnHeadingLeft"/>
              <w:pageBreakBefore/>
            </w:pPr>
            <w:r>
              <w:lastRenderedPageBreak/>
              <w:br w:type="page"/>
            </w:r>
            <w:r w:rsidR="002B6752">
              <w:t xml:space="preserve">Outcome 2: </w:t>
            </w:r>
            <w:r w:rsidR="002B6752" w:rsidRPr="00893368">
              <w:t>The protection and welfare of Australians abroad through timely and responsive consular and passport services in specific locations overseas</w:t>
            </w:r>
          </w:p>
        </w:tc>
      </w:tr>
    </w:tbl>
    <w:p w:rsidR="00A5180A" w:rsidRDefault="00A5180A" w:rsidP="00A5180A">
      <w:pPr>
        <w:pStyle w:val="NoSpacing"/>
      </w:pPr>
    </w:p>
    <w:p w:rsidR="00A5180A" w:rsidRDefault="00A5180A" w:rsidP="00A5180A">
      <w:pPr>
        <w:pStyle w:val="Heading4"/>
      </w:pPr>
      <w:r>
        <w:t>Outcome 2 strategy</w:t>
      </w:r>
    </w:p>
    <w:p w:rsidR="00A5180A" w:rsidRDefault="002B6752" w:rsidP="00A5180A">
      <w:r>
        <w:t xml:space="preserve">In </w:t>
      </w:r>
      <w:r w:rsidRPr="00893368">
        <w:t>overseas locations where Austrade has designated consular management responsibilities, Austrade will continue to place a high priority on helping Australians through the delivery of effective consular services, efficient passport services and practical contingency planning, in accordance with DFAT’s Consular Services and Passports Client Services charters</w:t>
      </w:r>
      <w:r>
        <w:t xml:space="preserve">. </w:t>
      </w:r>
    </w:p>
    <w:p w:rsidR="00A5180A" w:rsidRDefault="00A5180A" w:rsidP="00A5180A">
      <w:pPr>
        <w:pStyle w:val="Heading5"/>
      </w:pPr>
      <w:r>
        <w:t>Outcome expense statement</w:t>
      </w:r>
    </w:p>
    <w:p w:rsidR="00A5180A" w:rsidRDefault="00A5180A" w:rsidP="00A5180A">
      <w:r>
        <w:t xml:space="preserve">Table 2.2 provides an overview of the total expenses for </w:t>
      </w:r>
      <w:r w:rsidR="002B6752">
        <w:t>O</w:t>
      </w:r>
      <w:r>
        <w:t>utcome 2 by programme.</w:t>
      </w:r>
    </w:p>
    <w:p w:rsidR="00A5180A" w:rsidRDefault="00A5180A" w:rsidP="00A5180A">
      <w:pPr>
        <w:pStyle w:val="TableHeading"/>
        <w:rPr>
          <w:sz w:val="20"/>
        </w:rPr>
      </w:pPr>
      <w:r w:rsidRPr="008D1576">
        <w:rPr>
          <w:sz w:val="20"/>
        </w:rPr>
        <w:t>Table 2.2: Budgeted expenses for Outcome 2</w:t>
      </w:r>
    </w:p>
    <w:p w:rsidR="00696A8A" w:rsidRPr="00696A8A" w:rsidRDefault="00833238" w:rsidP="00696A8A">
      <w:pPr>
        <w:pStyle w:val="TableGraphic"/>
      </w:pPr>
      <w:r>
        <w:pict>
          <v:shape id="_x0000_i1076" type="#_x0000_t75" style="width:383.4pt;height:173pt">
            <v:imagedata r:id="rId117" o:title=""/>
          </v:shape>
        </w:pict>
      </w:r>
    </w:p>
    <w:p w:rsidR="00A5180A" w:rsidRPr="001A39D6" w:rsidRDefault="00A5180A" w:rsidP="00F37EE6">
      <w:pPr>
        <w:pStyle w:val="ChartandTableFootnote"/>
        <w:numPr>
          <w:ilvl w:val="0"/>
          <w:numId w:val="29"/>
        </w:numPr>
        <w:tabs>
          <w:tab w:val="clear" w:pos="284"/>
        </w:tabs>
        <w:ind w:left="284" w:hanging="284"/>
      </w:pPr>
      <w:r w:rsidRPr="004E2825">
        <w:t xml:space="preserve">Appropriation combines </w:t>
      </w:r>
      <w:r>
        <w:t>‘</w:t>
      </w:r>
      <w:r w:rsidRPr="004E2825">
        <w:t>Ordinary annual services (Appropriation Bill No. 1)</w:t>
      </w:r>
      <w:r>
        <w:t>’</w:t>
      </w:r>
      <w:r w:rsidRPr="004E2825">
        <w:t xml:space="preserve"> and </w:t>
      </w:r>
      <w:r>
        <w:t>‘</w:t>
      </w:r>
      <w:r w:rsidRPr="004E2825">
        <w:t>Revenue from independent sources (s</w:t>
      </w:r>
      <w:r>
        <w:t> 74)</w:t>
      </w:r>
      <w:r w:rsidR="002B6752">
        <w:t>’</w:t>
      </w:r>
      <w:r>
        <w:t>.</w:t>
      </w:r>
      <w:r w:rsidRPr="006D62BE">
        <w:t xml:space="preserve"> </w:t>
      </w:r>
    </w:p>
    <w:p w:rsidR="00A5180A" w:rsidRDefault="00A5180A" w:rsidP="00A5180A">
      <w:pPr>
        <w:pStyle w:val="Source"/>
      </w:pPr>
      <w:r w:rsidRPr="002329C3">
        <w:t>Note: Departmental appropriation splits and totals are indicative estimates and may change in the course of the budget year as government priorities change.</w:t>
      </w:r>
    </w:p>
    <w:p w:rsidR="00A5180A" w:rsidRDefault="00A5180A" w:rsidP="00A5180A">
      <w:pPr>
        <w:pStyle w:val="NoSpacing"/>
      </w:pPr>
    </w:p>
    <w:p w:rsidR="00A5180A" w:rsidRDefault="00A5180A" w:rsidP="00784DE3">
      <w:pPr>
        <w:pStyle w:val="Heading4"/>
        <w:spacing w:before="0"/>
        <w:rPr>
          <w:rFonts w:ascii="Book Antiqua" w:hAnsi="Book Antiqua"/>
          <w:i/>
          <w:color w:val="FF0000"/>
        </w:rPr>
      </w:pPr>
      <w:r>
        <w:br w:type="page"/>
      </w:r>
      <w:r>
        <w:lastRenderedPageBreak/>
        <w:t>Contributions to Outcome 2</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713"/>
      </w:tblGrid>
      <w:tr w:rsidR="00A5180A" w:rsidTr="00384293">
        <w:tc>
          <w:tcPr>
            <w:tcW w:w="7713" w:type="dxa"/>
            <w:shd w:val="clear" w:color="auto" w:fill="E6E6E6"/>
          </w:tcPr>
          <w:p w:rsidR="00A5180A" w:rsidRDefault="00A5180A" w:rsidP="00384293">
            <w:pPr>
              <w:pStyle w:val="TableColumnHeadingLeft"/>
            </w:pPr>
            <w:r>
              <w:t>Programme 2.1: Consular and Passport Services</w:t>
            </w:r>
          </w:p>
        </w:tc>
      </w:tr>
    </w:tbl>
    <w:p w:rsidR="00A5180A" w:rsidRPr="00FD5958" w:rsidRDefault="00A5180A" w:rsidP="00A5180A">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A5180A" w:rsidTr="00384293">
        <w:tc>
          <w:tcPr>
            <w:tcW w:w="7711" w:type="dxa"/>
          </w:tcPr>
          <w:p w:rsidR="00A5180A" w:rsidRDefault="00A5180A" w:rsidP="00384293">
            <w:pPr>
              <w:pStyle w:val="TableColumnHeadingLeft"/>
            </w:pPr>
            <w:r>
              <w:t>Programme objective</w:t>
            </w:r>
          </w:p>
          <w:p w:rsidR="00A5180A" w:rsidRPr="00D57849" w:rsidRDefault="002B6752" w:rsidP="00384293">
            <w:r>
              <w:t>To assist Australians travelling and working overseas through the delivery of effective consular services, efficient passport services, access to travel advice and preparations for high–risk scenarios through practical contingency planning in locations overseas where Austrade has consular management responsibilities.</w:t>
            </w:r>
          </w:p>
        </w:tc>
      </w:tr>
    </w:tbl>
    <w:p w:rsidR="002B6752" w:rsidRDefault="002B6752" w:rsidP="00A5180A">
      <w:pPr>
        <w:pStyle w:val="TableColumnHeadingLeft"/>
        <w:jc w:val="both"/>
      </w:pPr>
    </w:p>
    <w:p w:rsidR="00A5180A" w:rsidRDefault="00A5180A" w:rsidP="00A5180A">
      <w:pPr>
        <w:pStyle w:val="TableColumnHeadingLeft"/>
        <w:jc w:val="both"/>
      </w:pPr>
      <w:r>
        <w:t>Programme expenses</w:t>
      </w:r>
    </w:p>
    <w:p w:rsidR="00A5180A" w:rsidRDefault="00833238" w:rsidP="00A5180A">
      <w:pPr>
        <w:pStyle w:val="NoSpacing"/>
      </w:pPr>
      <w:r>
        <w:pict>
          <v:shape id="_x0000_i1077" type="#_x0000_t75" style="width:386.2pt;height:78.55pt">
            <v:imagedata r:id="rId118" o:title=""/>
          </v:shape>
        </w:pict>
      </w:r>
    </w:p>
    <w:p w:rsidR="00A5180A" w:rsidRPr="008B4BF2" w:rsidRDefault="00A5180A" w:rsidP="00F21D97">
      <w:pPr>
        <w:pStyle w:val="SingleParagraph"/>
        <w:spacing w:line="20" w:lineRule="exac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A5180A" w:rsidTr="007B75D4">
        <w:trPr>
          <w:trHeight w:val="5687"/>
        </w:trPr>
        <w:tc>
          <w:tcPr>
            <w:tcW w:w="7711" w:type="dxa"/>
          </w:tcPr>
          <w:p w:rsidR="00A5180A" w:rsidRDefault="00A5180A" w:rsidP="00384293">
            <w:pPr>
              <w:pStyle w:val="TableColumnHeadingLeft"/>
              <w:jc w:val="both"/>
            </w:pPr>
            <w:r>
              <w:t xml:space="preserve">Programme 2.1 deliverables </w:t>
            </w:r>
          </w:p>
          <w:p w:rsidR="00D9724B" w:rsidRPr="008D1576" w:rsidRDefault="00D9724B" w:rsidP="00D9724B">
            <w:pPr>
              <w:pStyle w:val="Exampletextbullet"/>
              <w:numPr>
                <w:ilvl w:val="0"/>
                <w:numId w:val="5"/>
              </w:numPr>
              <w:rPr>
                <w:i w:val="0"/>
                <w:color w:val="auto"/>
              </w:rPr>
            </w:pPr>
            <w:r w:rsidRPr="008D1576">
              <w:rPr>
                <w:i w:val="0"/>
                <w:color w:val="auto"/>
              </w:rPr>
              <w:t xml:space="preserve">Comprehensive, </w:t>
            </w:r>
            <w:r w:rsidRPr="00893368">
              <w:rPr>
                <w:i w:val="0"/>
                <w:color w:val="auto"/>
              </w:rPr>
              <w:t xml:space="preserve">responsive, </w:t>
            </w:r>
            <w:r>
              <w:rPr>
                <w:i w:val="0"/>
                <w:color w:val="auto"/>
              </w:rPr>
              <w:t xml:space="preserve">and </w:t>
            </w:r>
            <w:r w:rsidRPr="00893368">
              <w:rPr>
                <w:i w:val="0"/>
                <w:color w:val="auto"/>
              </w:rPr>
              <w:t>high-quality consular services are delivered to an increasing number of Australian travellers and citizens living overseas, including notarial services and assistance with welfare issues, whereabouts enquiries, arrest or detention matters, deaths and medical emergencies</w:t>
            </w:r>
            <w:r w:rsidRPr="008D1576">
              <w:rPr>
                <w:i w:val="0"/>
                <w:color w:val="auto"/>
              </w:rPr>
              <w:t>.</w:t>
            </w:r>
          </w:p>
          <w:p w:rsidR="00D9724B" w:rsidRPr="008D1576" w:rsidRDefault="00D9724B" w:rsidP="00D9724B">
            <w:pPr>
              <w:pStyle w:val="Exampletextbullet"/>
              <w:numPr>
                <w:ilvl w:val="0"/>
                <w:numId w:val="5"/>
              </w:numPr>
              <w:rPr>
                <w:i w:val="0"/>
                <w:color w:val="auto"/>
              </w:rPr>
            </w:pPr>
            <w:r>
              <w:rPr>
                <w:i w:val="0"/>
                <w:color w:val="auto"/>
              </w:rPr>
              <w:t>High-</w:t>
            </w:r>
            <w:r w:rsidRPr="008D1576">
              <w:rPr>
                <w:i w:val="0"/>
                <w:color w:val="auto"/>
              </w:rPr>
              <w:t xml:space="preserve">quality </w:t>
            </w:r>
            <w:r w:rsidRPr="00893368">
              <w:rPr>
                <w:i w:val="0"/>
                <w:color w:val="auto"/>
              </w:rPr>
              <w:t>passport services are provided to Australians, including processing new passport applications, registering lost or stolen passports, issuing emergency passports, and detecting passport fraud</w:t>
            </w:r>
            <w:r w:rsidRPr="008D1576">
              <w:rPr>
                <w:i w:val="0"/>
                <w:color w:val="auto"/>
              </w:rPr>
              <w:t>.</w:t>
            </w:r>
          </w:p>
          <w:p w:rsidR="00D9724B" w:rsidRDefault="00D9724B" w:rsidP="00D9724B">
            <w:pPr>
              <w:pStyle w:val="Exampletextbullet"/>
              <w:numPr>
                <w:ilvl w:val="0"/>
                <w:numId w:val="5"/>
              </w:numPr>
              <w:rPr>
                <w:i w:val="0"/>
                <w:color w:val="auto"/>
              </w:rPr>
            </w:pPr>
            <w:r w:rsidRPr="00893368">
              <w:rPr>
                <w:i w:val="0"/>
                <w:color w:val="auto"/>
              </w:rPr>
              <w:t>Consular contingency planning is reviewed and updated annually, and effective contingency planning for major events or high-risk scenarios is undertaken, through regular reviews of procedures and available resources, training of staff and coordination with other government agencies and foreign governments</w:t>
            </w:r>
            <w:r w:rsidRPr="008D1576">
              <w:rPr>
                <w:i w:val="0"/>
                <w:color w:val="auto"/>
              </w:rPr>
              <w:t>.</w:t>
            </w:r>
          </w:p>
          <w:tbl>
            <w:tblPr>
              <w:tblW w:w="7140" w:type="dxa"/>
              <w:jc w:val="center"/>
              <w:tblLook w:val="04A0" w:firstRow="1" w:lastRow="0" w:firstColumn="1" w:lastColumn="0" w:noHBand="0" w:noVBand="1"/>
            </w:tblPr>
            <w:tblGrid>
              <w:gridCol w:w="2581"/>
              <w:gridCol w:w="928"/>
              <w:gridCol w:w="901"/>
              <w:gridCol w:w="910"/>
              <w:gridCol w:w="910"/>
              <w:gridCol w:w="910"/>
            </w:tblGrid>
            <w:tr w:rsidR="00D9724B" w:rsidRPr="00853535" w:rsidTr="00DF633F">
              <w:trPr>
                <w:trHeight w:val="225"/>
                <w:jc w:val="center"/>
              </w:trPr>
              <w:tc>
                <w:tcPr>
                  <w:tcW w:w="2581" w:type="dxa"/>
                  <w:tcBorders>
                    <w:top w:val="single" w:sz="4" w:space="0" w:color="000000"/>
                    <w:left w:val="nil"/>
                    <w:bottom w:val="nil"/>
                    <w:right w:val="nil"/>
                  </w:tcBorders>
                  <w:shd w:val="clear" w:color="auto" w:fill="auto"/>
                  <w:vAlign w:val="bottom"/>
                  <w:hideMark/>
                </w:tcPr>
                <w:p w:rsidR="00D9724B" w:rsidRPr="00853535" w:rsidRDefault="00D9724B" w:rsidP="00C122CE">
                  <w:pPr>
                    <w:spacing w:after="0" w:line="240" w:lineRule="auto"/>
                    <w:jc w:val="left"/>
                    <w:rPr>
                      <w:rFonts w:ascii="Arial" w:hAnsi="Arial" w:cs="Arial"/>
                      <w:sz w:val="16"/>
                      <w:szCs w:val="16"/>
                    </w:rPr>
                  </w:pPr>
                  <w:r>
                    <w:t xml:space="preserve"> </w:t>
                  </w:r>
                  <w:r w:rsidRPr="00853535">
                    <w:rPr>
                      <w:rFonts w:ascii="Arial" w:hAnsi="Arial" w:cs="Arial"/>
                      <w:sz w:val="16"/>
                      <w:szCs w:val="16"/>
                    </w:rPr>
                    <w:t>Deliverables</w:t>
                  </w:r>
                </w:p>
              </w:tc>
              <w:tc>
                <w:tcPr>
                  <w:tcW w:w="928" w:type="dxa"/>
                  <w:tcBorders>
                    <w:top w:val="single" w:sz="4" w:space="0" w:color="000000"/>
                    <w:left w:val="nil"/>
                    <w:bottom w:val="nil"/>
                    <w:right w:val="nil"/>
                  </w:tcBorders>
                  <w:shd w:val="clear" w:color="auto" w:fill="auto"/>
                  <w:vAlign w:val="bottom"/>
                  <w:hideMark/>
                </w:tcPr>
                <w:p w:rsidR="00D9724B" w:rsidRPr="00853535" w:rsidRDefault="00D9724B" w:rsidP="00C122CE">
                  <w:pPr>
                    <w:spacing w:after="0" w:line="240" w:lineRule="auto"/>
                    <w:jc w:val="right"/>
                    <w:rPr>
                      <w:rFonts w:ascii="Arial" w:hAnsi="Arial" w:cs="Arial"/>
                      <w:sz w:val="16"/>
                      <w:szCs w:val="16"/>
                    </w:rPr>
                  </w:pPr>
                  <w:r w:rsidRPr="00853535">
                    <w:rPr>
                      <w:rFonts w:ascii="Arial" w:hAnsi="Arial" w:cs="Arial"/>
                      <w:sz w:val="16"/>
                      <w:szCs w:val="16"/>
                    </w:rPr>
                    <w:t>2014-15</w:t>
                  </w:r>
                </w:p>
              </w:tc>
              <w:tc>
                <w:tcPr>
                  <w:tcW w:w="901" w:type="dxa"/>
                  <w:tcBorders>
                    <w:top w:val="single" w:sz="4" w:space="0" w:color="000000"/>
                    <w:left w:val="nil"/>
                    <w:bottom w:val="nil"/>
                    <w:right w:val="nil"/>
                  </w:tcBorders>
                  <w:shd w:val="clear" w:color="000000" w:fill="E6E6E6"/>
                  <w:vAlign w:val="bottom"/>
                  <w:hideMark/>
                </w:tcPr>
                <w:p w:rsidR="00D9724B" w:rsidRPr="00853535" w:rsidRDefault="00D9724B" w:rsidP="00C122CE">
                  <w:pPr>
                    <w:spacing w:after="0" w:line="240" w:lineRule="auto"/>
                    <w:jc w:val="right"/>
                    <w:rPr>
                      <w:rFonts w:ascii="Arial" w:hAnsi="Arial" w:cs="Arial"/>
                      <w:sz w:val="16"/>
                      <w:szCs w:val="16"/>
                    </w:rPr>
                  </w:pPr>
                  <w:r w:rsidRPr="00853535">
                    <w:rPr>
                      <w:rFonts w:ascii="Arial" w:hAnsi="Arial" w:cs="Arial"/>
                      <w:sz w:val="16"/>
                      <w:szCs w:val="16"/>
                    </w:rPr>
                    <w:t>2015-16</w:t>
                  </w:r>
                </w:p>
              </w:tc>
              <w:tc>
                <w:tcPr>
                  <w:tcW w:w="910" w:type="dxa"/>
                  <w:tcBorders>
                    <w:top w:val="single" w:sz="4" w:space="0" w:color="000000"/>
                    <w:left w:val="nil"/>
                    <w:bottom w:val="nil"/>
                    <w:right w:val="nil"/>
                  </w:tcBorders>
                  <w:shd w:val="clear" w:color="auto" w:fill="auto"/>
                  <w:vAlign w:val="bottom"/>
                  <w:hideMark/>
                </w:tcPr>
                <w:p w:rsidR="00D9724B" w:rsidRPr="00853535" w:rsidRDefault="00D9724B" w:rsidP="00C122CE">
                  <w:pPr>
                    <w:spacing w:after="0" w:line="240" w:lineRule="auto"/>
                    <w:jc w:val="right"/>
                    <w:rPr>
                      <w:rFonts w:ascii="Arial" w:hAnsi="Arial" w:cs="Arial"/>
                      <w:sz w:val="16"/>
                      <w:szCs w:val="16"/>
                    </w:rPr>
                  </w:pPr>
                  <w:r w:rsidRPr="00853535">
                    <w:rPr>
                      <w:rFonts w:ascii="Arial" w:hAnsi="Arial" w:cs="Arial"/>
                      <w:sz w:val="16"/>
                      <w:szCs w:val="16"/>
                    </w:rPr>
                    <w:t>2016-17</w:t>
                  </w:r>
                </w:p>
              </w:tc>
              <w:tc>
                <w:tcPr>
                  <w:tcW w:w="910" w:type="dxa"/>
                  <w:tcBorders>
                    <w:top w:val="single" w:sz="4" w:space="0" w:color="000000"/>
                    <w:left w:val="nil"/>
                    <w:bottom w:val="nil"/>
                    <w:right w:val="nil"/>
                  </w:tcBorders>
                  <w:shd w:val="clear" w:color="auto" w:fill="auto"/>
                  <w:vAlign w:val="bottom"/>
                  <w:hideMark/>
                </w:tcPr>
                <w:p w:rsidR="00D9724B" w:rsidRPr="00853535" w:rsidRDefault="00D9724B" w:rsidP="00C122CE">
                  <w:pPr>
                    <w:spacing w:after="0" w:line="240" w:lineRule="auto"/>
                    <w:jc w:val="right"/>
                    <w:rPr>
                      <w:rFonts w:ascii="Arial" w:hAnsi="Arial" w:cs="Arial"/>
                      <w:sz w:val="16"/>
                      <w:szCs w:val="16"/>
                    </w:rPr>
                  </w:pPr>
                  <w:r w:rsidRPr="00853535">
                    <w:rPr>
                      <w:rFonts w:ascii="Arial" w:hAnsi="Arial" w:cs="Arial"/>
                      <w:sz w:val="16"/>
                      <w:szCs w:val="16"/>
                    </w:rPr>
                    <w:t>2017-18</w:t>
                  </w:r>
                </w:p>
              </w:tc>
              <w:tc>
                <w:tcPr>
                  <w:tcW w:w="910" w:type="dxa"/>
                  <w:tcBorders>
                    <w:top w:val="single" w:sz="4" w:space="0" w:color="000000"/>
                    <w:left w:val="nil"/>
                    <w:bottom w:val="nil"/>
                    <w:right w:val="nil"/>
                  </w:tcBorders>
                  <w:shd w:val="clear" w:color="auto" w:fill="auto"/>
                  <w:vAlign w:val="bottom"/>
                  <w:hideMark/>
                </w:tcPr>
                <w:p w:rsidR="00D9724B" w:rsidRPr="00853535" w:rsidRDefault="00D9724B" w:rsidP="00C122CE">
                  <w:pPr>
                    <w:spacing w:after="0" w:line="240" w:lineRule="auto"/>
                    <w:jc w:val="right"/>
                    <w:rPr>
                      <w:rFonts w:ascii="Arial" w:hAnsi="Arial" w:cs="Arial"/>
                      <w:sz w:val="16"/>
                      <w:szCs w:val="16"/>
                    </w:rPr>
                  </w:pPr>
                  <w:r w:rsidRPr="00853535">
                    <w:rPr>
                      <w:rFonts w:ascii="Arial" w:hAnsi="Arial" w:cs="Arial"/>
                      <w:sz w:val="16"/>
                      <w:szCs w:val="16"/>
                    </w:rPr>
                    <w:t>2018-19</w:t>
                  </w:r>
                </w:p>
              </w:tc>
            </w:tr>
            <w:tr w:rsidR="00D9724B" w:rsidRPr="00853535" w:rsidTr="00DF633F">
              <w:trPr>
                <w:trHeight w:val="225"/>
                <w:jc w:val="center"/>
              </w:trPr>
              <w:tc>
                <w:tcPr>
                  <w:tcW w:w="2581" w:type="dxa"/>
                  <w:tcBorders>
                    <w:top w:val="nil"/>
                    <w:left w:val="nil"/>
                    <w:bottom w:val="nil"/>
                    <w:right w:val="nil"/>
                  </w:tcBorders>
                  <w:shd w:val="clear" w:color="auto" w:fill="auto"/>
                  <w:noWrap/>
                  <w:hideMark/>
                </w:tcPr>
                <w:p w:rsidR="00D9724B" w:rsidRPr="00853535" w:rsidRDefault="00D9724B" w:rsidP="00C122CE">
                  <w:pPr>
                    <w:spacing w:after="0" w:line="240" w:lineRule="auto"/>
                    <w:jc w:val="left"/>
                    <w:rPr>
                      <w:rFonts w:ascii="Arial" w:hAnsi="Arial" w:cs="Arial"/>
                      <w:sz w:val="16"/>
                      <w:szCs w:val="16"/>
                    </w:rPr>
                  </w:pPr>
                </w:p>
              </w:tc>
              <w:tc>
                <w:tcPr>
                  <w:tcW w:w="928" w:type="dxa"/>
                  <w:tcBorders>
                    <w:top w:val="nil"/>
                    <w:left w:val="nil"/>
                    <w:bottom w:val="nil"/>
                    <w:right w:val="nil"/>
                  </w:tcBorders>
                  <w:shd w:val="clear" w:color="auto" w:fill="auto"/>
                  <w:vAlign w:val="bottom"/>
                  <w:hideMark/>
                </w:tcPr>
                <w:p w:rsidR="00D9724B" w:rsidRPr="00853535" w:rsidRDefault="00D9724B" w:rsidP="00C122CE">
                  <w:pPr>
                    <w:spacing w:after="0" w:line="240" w:lineRule="auto"/>
                    <w:jc w:val="right"/>
                    <w:rPr>
                      <w:rFonts w:ascii="Arial" w:hAnsi="Arial" w:cs="Arial"/>
                      <w:sz w:val="16"/>
                      <w:szCs w:val="16"/>
                    </w:rPr>
                  </w:pPr>
                  <w:r w:rsidRPr="00853535">
                    <w:rPr>
                      <w:rFonts w:ascii="Arial" w:hAnsi="Arial" w:cs="Arial"/>
                      <w:sz w:val="16"/>
                      <w:szCs w:val="16"/>
                    </w:rPr>
                    <w:t>Estimated</w:t>
                  </w:r>
                </w:p>
              </w:tc>
              <w:tc>
                <w:tcPr>
                  <w:tcW w:w="901" w:type="dxa"/>
                  <w:tcBorders>
                    <w:top w:val="nil"/>
                    <w:left w:val="nil"/>
                    <w:bottom w:val="nil"/>
                    <w:right w:val="nil"/>
                  </w:tcBorders>
                  <w:shd w:val="clear" w:color="000000" w:fill="E6E6E6"/>
                  <w:vAlign w:val="bottom"/>
                  <w:hideMark/>
                </w:tcPr>
                <w:p w:rsidR="00D9724B" w:rsidRPr="00853535" w:rsidRDefault="00D9724B" w:rsidP="00C122CE">
                  <w:pPr>
                    <w:spacing w:after="0" w:line="240" w:lineRule="auto"/>
                    <w:jc w:val="right"/>
                    <w:rPr>
                      <w:rFonts w:ascii="Arial" w:hAnsi="Arial" w:cs="Arial"/>
                      <w:sz w:val="16"/>
                      <w:szCs w:val="16"/>
                    </w:rPr>
                  </w:pPr>
                  <w:r w:rsidRPr="00853535">
                    <w:rPr>
                      <w:rFonts w:ascii="Arial" w:hAnsi="Arial" w:cs="Arial"/>
                      <w:sz w:val="16"/>
                      <w:szCs w:val="16"/>
                    </w:rPr>
                    <w:t>Budget</w:t>
                  </w:r>
                </w:p>
              </w:tc>
              <w:tc>
                <w:tcPr>
                  <w:tcW w:w="910" w:type="dxa"/>
                  <w:tcBorders>
                    <w:top w:val="nil"/>
                    <w:left w:val="nil"/>
                    <w:bottom w:val="nil"/>
                    <w:right w:val="nil"/>
                  </w:tcBorders>
                  <w:shd w:val="clear" w:color="auto" w:fill="auto"/>
                  <w:vAlign w:val="bottom"/>
                  <w:hideMark/>
                </w:tcPr>
                <w:p w:rsidR="00D9724B" w:rsidRPr="00853535" w:rsidRDefault="00D9724B" w:rsidP="00C122CE">
                  <w:pPr>
                    <w:spacing w:after="0" w:line="240" w:lineRule="auto"/>
                    <w:jc w:val="right"/>
                    <w:rPr>
                      <w:rFonts w:ascii="Arial" w:hAnsi="Arial" w:cs="Arial"/>
                      <w:sz w:val="16"/>
                      <w:szCs w:val="16"/>
                    </w:rPr>
                  </w:pPr>
                  <w:r w:rsidRPr="00853535">
                    <w:rPr>
                      <w:rFonts w:ascii="Arial" w:hAnsi="Arial" w:cs="Arial"/>
                      <w:sz w:val="16"/>
                      <w:szCs w:val="16"/>
                    </w:rPr>
                    <w:t>Forward</w:t>
                  </w:r>
                </w:p>
              </w:tc>
              <w:tc>
                <w:tcPr>
                  <w:tcW w:w="910" w:type="dxa"/>
                  <w:tcBorders>
                    <w:top w:val="nil"/>
                    <w:left w:val="nil"/>
                    <w:bottom w:val="nil"/>
                    <w:right w:val="nil"/>
                  </w:tcBorders>
                  <w:shd w:val="clear" w:color="auto" w:fill="auto"/>
                  <w:vAlign w:val="bottom"/>
                  <w:hideMark/>
                </w:tcPr>
                <w:p w:rsidR="00D9724B" w:rsidRPr="00853535" w:rsidRDefault="00D9724B" w:rsidP="00C122CE">
                  <w:pPr>
                    <w:spacing w:after="0" w:line="240" w:lineRule="auto"/>
                    <w:jc w:val="right"/>
                    <w:rPr>
                      <w:rFonts w:ascii="Arial" w:hAnsi="Arial" w:cs="Arial"/>
                      <w:sz w:val="16"/>
                      <w:szCs w:val="16"/>
                    </w:rPr>
                  </w:pPr>
                  <w:r w:rsidRPr="00853535">
                    <w:rPr>
                      <w:rFonts w:ascii="Arial" w:hAnsi="Arial" w:cs="Arial"/>
                      <w:sz w:val="16"/>
                      <w:szCs w:val="16"/>
                    </w:rPr>
                    <w:t>Forward</w:t>
                  </w:r>
                </w:p>
              </w:tc>
              <w:tc>
                <w:tcPr>
                  <w:tcW w:w="910" w:type="dxa"/>
                  <w:tcBorders>
                    <w:top w:val="nil"/>
                    <w:left w:val="nil"/>
                    <w:bottom w:val="nil"/>
                    <w:right w:val="nil"/>
                  </w:tcBorders>
                  <w:shd w:val="clear" w:color="auto" w:fill="auto"/>
                  <w:vAlign w:val="bottom"/>
                  <w:hideMark/>
                </w:tcPr>
                <w:p w:rsidR="00D9724B" w:rsidRPr="00853535" w:rsidRDefault="00D9724B" w:rsidP="00C122CE">
                  <w:pPr>
                    <w:spacing w:after="0" w:line="240" w:lineRule="auto"/>
                    <w:jc w:val="right"/>
                    <w:rPr>
                      <w:rFonts w:ascii="Arial" w:hAnsi="Arial" w:cs="Arial"/>
                      <w:sz w:val="16"/>
                      <w:szCs w:val="16"/>
                    </w:rPr>
                  </w:pPr>
                  <w:r w:rsidRPr="00853535">
                    <w:rPr>
                      <w:rFonts w:ascii="Arial" w:hAnsi="Arial" w:cs="Arial"/>
                      <w:sz w:val="16"/>
                      <w:szCs w:val="16"/>
                    </w:rPr>
                    <w:t>Forward</w:t>
                  </w:r>
                </w:p>
              </w:tc>
            </w:tr>
            <w:tr w:rsidR="00D9724B" w:rsidRPr="00853535" w:rsidTr="00DF633F">
              <w:trPr>
                <w:trHeight w:val="225"/>
                <w:jc w:val="center"/>
              </w:trPr>
              <w:tc>
                <w:tcPr>
                  <w:tcW w:w="2581" w:type="dxa"/>
                  <w:tcBorders>
                    <w:top w:val="nil"/>
                    <w:left w:val="nil"/>
                    <w:bottom w:val="nil"/>
                    <w:right w:val="nil"/>
                  </w:tcBorders>
                  <w:shd w:val="clear" w:color="auto" w:fill="auto"/>
                  <w:noWrap/>
                  <w:hideMark/>
                </w:tcPr>
                <w:p w:rsidR="00D9724B" w:rsidRPr="00853535" w:rsidRDefault="00D9724B" w:rsidP="00C122CE">
                  <w:pPr>
                    <w:spacing w:after="0" w:line="240" w:lineRule="auto"/>
                    <w:jc w:val="left"/>
                    <w:rPr>
                      <w:rFonts w:ascii="Arial" w:hAnsi="Arial" w:cs="Arial"/>
                      <w:sz w:val="16"/>
                      <w:szCs w:val="16"/>
                    </w:rPr>
                  </w:pPr>
                </w:p>
              </w:tc>
              <w:tc>
                <w:tcPr>
                  <w:tcW w:w="928" w:type="dxa"/>
                  <w:tcBorders>
                    <w:top w:val="nil"/>
                    <w:left w:val="nil"/>
                    <w:bottom w:val="single" w:sz="4" w:space="0" w:color="auto"/>
                    <w:right w:val="nil"/>
                  </w:tcBorders>
                  <w:shd w:val="clear" w:color="auto" w:fill="auto"/>
                  <w:hideMark/>
                </w:tcPr>
                <w:p w:rsidR="00D9724B" w:rsidRPr="00853535" w:rsidRDefault="00D9724B" w:rsidP="00C122CE">
                  <w:pPr>
                    <w:spacing w:after="0" w:line="240" w:lineRule="auto"/>
                    <w:jc w:val="right"/>
                    <w:rPr>
                      <w:rFonts w:ascii="Arial" w:hAnsi="Arial" w:cs="Arial"/>
                      <w:sz w:val="16"/>
                      <w:szCs w:val="16"/>
                    </w:rPr>
                  </w:pPr>
                  <w:r w:rsidRPr="00853535">
                    <w:rPr>
                      <w:rFonts w:ascii="Arial" w:hAnsi="Arial" w:cs="Arial"/>
                      <w:sz w:val="16"/>
                      <w:szCs w:val="16"/>
                    </w:rPr>
                    <w:t>actual</w:t>
                  </w:r>
                </w:p>
              </w:tc>
              <w:tc>
                <w:tcPr>
                  <w:tcW w:w="901" w:type="dxa"/>
                  <w:tcBorders>
                    <w:top w:val="nil"/>
                    <w:left w:val="nil"/>
                    <w:bottom w:val="single" w:sz="4" w:space="0" w:color="auto"/>
                    <w:right w:val="nil"/>
                  </w:tcBorders>
                  <w:shd w:val="clear" w:color="000000" w:fill="E6E6E6"/>
                  <w:hideMark/>
                </w:tcPr>
                <w:p w:rsidR="00D9724B" w:rsidRPr="00853535" w:rsidRDefault="00D9724B" w:rsidP="00C122CE">
                  <w:pPr>
                    <w:spacing w:after="0" w:line="240" w:lineRule="auto"/>
                    <w:jc w:val="right"/>
                    <w:rPr>
                      <w:rFonts w:ascii="Arial" w:hAnsi="Arial" w:cs="Arial"/>
                      <w:sz w:val="16"/>
                      <w:szCs w:val="16"/>
                    </w:rPr>
                  </w:pPr>
                  <w:r w:rsidRPr="00853535">
                    <w:rPr>
                      <w:rFonts w:ascii="Arial" w:hAnsi="Arial" w:cs="Arial"/>
                      <w:sz w:val="16"/>
                      <w:szCs w:val="16"/>
                    </w:rPr>
                    <w:t> </w:t>
                  </w:r>
                </w:p>
              </w:tc>
              <w:tc>
                <w:tcPr>
                  <w:tcW w:w="910" w:type="dxa"/>
                  <w:tcBorders>
                    <w:top w:val="nil"/>
                    <w:left w:val="nil"/>
                    <w:bottom w:val="single" w:sz="4" w:space="0" w:color="auto"/>
                    <w:right w:val="nil"/>
                  </w:tcBorders>
                  <w:shd w:val="clear" w:color="auto" w:fill="auto"/>
                  <w:hideMark/>
                </w:tcPr>
                <w:p w:rsidR="00D9724B" w:rsidRPr="00853535" w:rsidRDefault="00D9724B" w:rsidP="00C122CE">
                  <w:pPr>
                    <w:spacing w:after="0" w:line="240" w:lineRule="auto"/>
                    <w:jc w:val="right"/>
                    <w:rPr>
                      <w:rFonts w:ascii="Arial" w:hAnsi="Arial" w:cs="Arial"/>
                      <w:sz w:val="16"/>
                      <w:szCs w:val="16"/>
                    </w:rPr>
                  </w:pPr>
                  <w:r w:rsidRPr="00853535">
                    <w:rPr>
                      <w:rFonts w:ascii="Arial" w:hAnsi="Arial" w:cs="Arial"/>
                      <w:sz w:val="16"/>
                      <w:szCs w:val="16"/>
                    </w:rPr>
                    <w:t>estimate</w:t>
                  </w:r>
                </w:p>
              </w:tc>
              <w:tc>
                <w:tcPr>
                  <w:tcW w:w="910" w:type="dxa"/>
                  <w:tcBorders>
                    <w:top w:val="nil"/>
                    <w:left w:val="nil"/>
                    <w:bottom w:val="single" w:sz="4" w:space="0" w:color="auto"/>
                    <w:right w:val="nil"/>
                  </w:tcBorders>
                  <w:shd w:val="clear" w:color="auto" w:fill="auto"/>
                  <w:hideMark/>
                </w:tcPr>
                <w:p w:rsidR="00D9724B" w:rsidRPr="00853535" w:rsidRDefault="00D9724B" w:rsidP="00C122CE">
                  <w:pPr>
                    <w:spacing w:after="0" w:line="240" w:lineRule="auto"/>
                    <w:jc w:val="right"/>
                    <w:rPr>
                      <w:rFonts w:ascii="Arial" w:hAnsi="Arial" w:cs="Arial"/>
                      <w:sz w:val="16"/>
                      <w:szCs w:val="16"/>
                    </w:rPr>
                  </w:pPr>
                  <w:r w:rsidRPr="00853535">
                    <w:rPr>
                      <w:rFonts w:ascii="Arial" w:hAnsi="Arial" w:cs="Arial"/>
                      <w:sz w:val="16"/>
                      <w:szCs w:val="16"/>
                    </w:rPr>
                    <w:t>estimate</w:t>
                  </w:r>
                </w:p>
              </w:tc>
              <w:tc>
                <w:tcPr>
                  <w:tcW w:w="910" w:type="dxa"/>
                  <w:tcBorders>
                    <w:top w:val="nil"/>
                    <w:left w:val="nil"/>
                    <w:bottom w:val="single" w:sz="4" w:space="0" w:color="auto"/>
                    <w:right w:val="nil"/>
                  </w:tcBorders>
                  <w:shd w:val="clear" w:color="auto" w:fill="auto"/>
                  <w:hideMark/>
                </w:tcPr>
                <w:p w:rsidR="00D9724B" w:rsidRPr="00853535" w:rsidRDefault="00D9724B" w:rsidP="00C122CE">
                  <w:pPr>
                    <w:spacing w:after="0" w:line="240" w:lineRule="auto"/>
                    <w:jc w:val="right"/>
                    <w:rPr>
                      <w:rFonts w:ascii="Arial" w:hAnsi="Arial" w:cs="Arial"/>
                      <w:sz w:val="16"/>
                      <w:szCs w:val="16"/>
                    </w:rPr>
                  </w:pPr>
                  <w:r w:rsidRPr="00853535">
                    <w:rPr>
                      <w:rFonts w:ascii="Arial" w:hAnsi="Arial" w:cs="Arial"/>
                      <w:sz w:val="16"/>
                      <w:szCs w:val="16"/>
                    </w:rPr>
                    <w:t>estimate</w:t>
                  </w:r>
                </w:p>
              </w:tc>
            </w:tr>
            <w:tr w:rsidR="00D9724B" w:rsidRPr="00853535" w:rsidTr="00DF633F">
              <w:trPr>
                <w:trHeight w:val="225"/>
                <w:jc w:val="center"/>
              </w:trPr>
              <w:tc>
                <w:tcPr>
                  <w:tcW w:w="2581" w:type="dxa"/>
                  <w:tcBorders>
                    <w:top w:val="nil"/>
                    <w:left w:val="nil"/>
                    <w:bottom w:val="nil"/>
                    <w:right w:val="nil"/>
                  </w:tcBorders>
                  <w:shd w:val="clear" w:color="auto" w:fill="auto"/>
                  <w:noWrap/>
                  <w:vAlign w:val="bottom"/>
                  <w:hideMark/>
                </w:tcPr>
                <w:p w:rsidR="00D9724B" w:rsidRPr="00853535" w:rsidRDefault="00D9724B" w:rsidP="00C122CE">
                  <w:pPr>
                    <w:spacing w:after="0" w:line="240" w:lineRule="auto"/>
                    <w:jc w:val="left"/>
                    <w:rPr>
                      <w:rFonts w:ascii="Arial" w:hAnsi="Arial" w:cs="Arial"/>
                      <w:sz w:val="16"/>
                      <w:szCs w:val="16"/>
                    </w:rPr>
                  </w:pPr>
                  <w:r w:rsidRPr="00853535">
                    <w:rPr>
                      <w:rFonts w:ascii="Arial" w:hAnsi="Arial" w:cs="Arial"/>
                      <w:sz w:val="16"/>
                      <w:szCs w:val="16"/>
                    </w:rPr>
                    <w:t>Number of passport applications</w:t>
                  </w:r>
                </w:p>
              </w:tc>
              <w:tc>
                <w:tcPr>
                  <w:tcW w:w="928" w:type="dxa"/>
                  <w:tcBorders>
                    <w:top w:val="nil"/>
                    <w:left w:val="nil"/>
                    <w:bottom w:val="nil"/>
                    <w:right w:val="nil"/>
                  </w:tcBorders>
                  <w:shd w:val="clear" w:color="auto" w:fill="auto"/>
                  <w:vAlign w:val="bottom"/>
                  <w:hideMark/>
                </w:tcPr>
                <w:p w:rsidR="00D9724B" w:rsidRPr="00853535" w:rsidRDefault="00D9724B" w:rsidP="00C122CE">
                  <w:pPr>
                    <w:spacing w:after="0" w:line="240" w:lineRule="auto"/>
                    <w:jc w:val="right"/>
                    <w:rPr>
                      <w:rFonts w:ascii="Arial" w:hAnsi="Arial" w:cs="Arial"/>
                      <w:sz w:val="16"/>
                      <w:szCs w:val="16"/>
                    </w:rPr>
                  </w:pPr>
                </w:p>
              </w:tc>
              <w:tc>
                <w:tcPr>
                  <w:tcW w:w="901" w:type="dxa"/>
                  <w:tcBorders>
                    <w:top w:val="nil"/>
                    <w:left w:val="nil"/>
                    <w:bottom w:val="nil"/>
                    <w:right w:val="nil"/>
                  </w:tcBorders>
                  <w:shd w:val="clear" w:color="000000" w:fill="E6E6E6"/>
                  <w:vAlign w:val="bottom"/>
                  <w:hideMark/>
                </w:tcPr>
                <w:p w:rsidR="00D9724B" w:rsidRPr="00853535" w:rsidRDefault="00D9724B" w:rsidP="00C122CE">
                  <w:pPr>
                    <w:spacing w:after="0" w:line="240" w:lineRule="auto"/>
                    <w:jc w:val="right"/>
                    <w:rPr>
                      <w:rFonts w:ascii="Arial" w:hAnsi="Arial" w:cs="Arial"/>
                      <w:sz w:val="16"/>
                      <w:szCs w:val="16"/>
                    </w:rPr>
                  </w:pPr>
                  <w:r w:rsidRPr="00853535">
                    <w:rPr>
                      <w:rFonts w:ascii="Arial" w:hAnsi="Arial" w:cs="Arial"/>
                      <w:sz w:val="16"/>
                      <w:szCs w:val="16"/>
                    </w:rPr>
                    <w:t> </w:t>
                  </w:r>
                </w:p>
              </w:tc>
              <w:tc>
                <w:tcPr>
                  <w:tcW w:w="910" w:type="dxa"/>
                  <w:tcBorders>
                    <w:top w:val="nil"/>
                    <w:left w:val="nil"/>
                    <w:bottom w:val="nil"/>
                    <w:right w:val="nil"/>
                  </w:tcBorders>
                  <w:shd w:val="clear" w:color="auto" w:fill="auto"/>
                  <w:vAlign w:val="bottom"/>
                  <w:hideMark/>
                </w:tcPr>
                <w:p w:rsidR="00D9724B" w:rsidRPr="00853535" w:rsidRDefault="00D9724B" w:rsidP="00C122CE">
                  <w:pPr>
                    <w:spacing w:after="0" w:line="240" w:lineRule="auto"/>
                    <w:jc w:val="right"/>
                    <w:rPr>
                      <w:rFonts w:ascii="Arial" w:hAnsi="Arial" w:cs="Arial"/>
                      <w:sz w:val="16"/>
                      <w:szCs w:val="16"/>
                    </w:rPr>
                  </w:pPr>
                </w:p>
              </w:tc>
              <w:tc>
                <w:tcPr>
                  <w:tcW w:w="910" w:type="dxa"/>
                  <w:tcBorders>
                    <w:top w:val="nil"/>
                    <w:left w:val="nil"/>
                    <w:bottom w:val="nil"/>
                    <w:right w:val="nil"/>
                  </w:tcBorders>
                  <w:shd w:val="clear" w:color="auto" w:fill="auto"/>
                  <w:vAlign w:val="bottom"/>
                  <w:hideMark/>
                </w:tcPr>
                <w:p w:rsidR="00D9724B" w:rsidRPr="00853535" w:rsidRDefault="00D9724B" w:rsidP="00C122CE">
                  <w:pPr>
                    <w:spacing w:after="0" w:line="240" w:lineRule="auto"/>
                    <w:jc w:val="right"/>
                    <w:rPr>
                      <w:rFonts w:ascii="Arial" w:hAnsi="Arial" w:cs="Arial"/>
                      <w:sz w:val="16"/>
                      <w:szCs w:val="16"/>
                    </w:rPr>
                  </w:pPr>
                </w:p>
              </w:tc>
              <w:tc>
                <w:tcPr>
                  <w:tcW w:w="910" w:type="dxa"/>
                  <w:tcBorders>
                    <w:top w:val="nil"/>
                    <w:left w:val="nil"/>
                    <w:bottom w:val="nil"/>
                    <w:right w:val="nil"/>
                  </w:tcBorders>
                  <w:shd w:val="clear" w:color="auto" w:fill="auto"/>
                  <w:vAlign w:val="bottom"/>
                  <w:hideMark/>
                </w:tcPr>
                <w:p w:rsidR="00D9724B" w:rsidRPr="00853535" w:rsidRDefault="00D9724B" w:rsidP="00C122CE">
                  <w:pPr>
                    <w:spacing w:after="0" w:line="240" w:lineRule="auto"/>
                    <w:jc w:val="right"/>
                    <w:rPr>
                      <w:rFonts w:ascii="Arial" w:hAnsi="Arial" w:cs="Arial"/>
                      <w:sz w:val="16"/>
                      <w:szCs w:val="16"/>
                    </w:rPr>
                  </w:pPr>
                </w:p>
              </w:tc>
            </w:tr>
            <w:tr w:rsidR="00D9724B" w:rsidRPr="00853535" w:rsidTr="00DF633F">
              <w:trPr>
                <w:trHeight w:val="225"/>
                <w:jc w:val="center"/>
              </w:trPr>
              <w:tc>
                <w:tcPr>
                  <w:tcW w:w="2581" w:type="dxa"/>
                  <w:tcBorders>
                    <w:top w:val="nil"/>
                    <w:left w:val="nil"/>
                    <w:bottom w:val="nil"/>
                    <w:right w:val="nil"/>
                  </w:tcBorders>
                  <w:shd w:val="clear" w:color="auto" w:fill="auto"/>
                  <w:noWrap/>
                  <w:vAlign w:val="bottom"/>
                  <w:hideMark/>
                </w:tcPr>
                <w:p w:rsidR="00D9724B" w:rsidRPr="00853535" w:rsidRDefault="00D9724B" w:rsidP="00C122CE">
                  <w:pPr>
                    <w:spacing w:after="0" w:line="240" w:lineRule="auto"/>
                    <w:jc w:val="left"/>
                    <w:rPr>
                      <w:rFonts w:ascii="Arial" w:hAnsi="Arial" w:cs="Arial"/>
                      <w:sz w:val="16"/>
                      <w:szCs w:val="16"/>
                    </w:rPr>
                  </w:pPr>
                  <w:r w:rsidRPr="00853535">
                    <w:rPr>
                      <w:rFonts w:ascii="Arial" w:hAnsi="Arial" w:cs="Arial"/>
                      <w:sz w:val="16"/>
                      <w:szCs w:val="16"/>
                    </w:rPr>
                    <w:t>received</w:t>
                  </w:r>
                </w:p>
              </w:tc>
              <w:tc>
                <w:tcPr>
                  <w:tcW w:w="928" w:type="dxa"/>
                  <w:tcBorders>
                    <w:top w:val="nil"/>
                    <w:left w:val="nil"/>
                    <w:bottom w:val="nil"/>
                    <w:right w:val="nil"/>
                  </w:tcBorders>
                  <w:shd w:val="clear" w:color="auto" w:fill="auto"/>
                  <w:vAlign w:val="bottom"/>
                  <w:hideMark/>
                </w:tcPr>
                <w:p w:rsidR="00D9724B" w:rsidRPr="00853535" w:rsidRDefault="00D9724B" w:rsidP="00C122CE">
                  <w:pPr>
                    <w:spacing w:after="0" w:line="240" w:lineRule="auto"/>
                    <w:jc w:val="right"/>
                    <w:rPr>
                      <w:rFonts w:ascii="Arial" w:hAnsi="Arial" w:cs="Arial"/>
                      <w:sz w:val="16"/>
                      <w:szCs w:val="16"/>
                    </w:rPr>
                  </w:pPr>
                  <w:r w:rsidRPr="00853535">
                    <w:rPr>
                      <w:rFonts w:ascii="Arial" w:hAnsi="Arial" w:cs="Arial"/>
                      <w:sz w:val="16"/>
                      <w:szCs w:val="16"/>
                    </w:rPr>
                    <w:t xml:space="preserve">12,000 </w:t>
                  </w:r>
                </w:p>
              </w:tc>
              <w:tc>
                <w:tcPr>
                  <w:tcW w:w="901" w:type="dxa"/>
                  <w:tcBorders>
                    <w:top w:val="nil"/>
                    <w:left w:val="nil"/>
                    <w:bottom w:val="nil"/>
                    <w:right w:val="nil"/>
                  </w:tcBorders>
                  <w:shd w:val="clear" w:color="000000" w:fill="E6E6E6"/>
                  <w:vAlign w:val="bottom"/>
                  <w:hideMark/>
                </w:tcPr>
                <w:p w:rsidR="00D9724B" w:rsidRPr="00853535" w:rsidRDefault="00D9724B" w:rsidP="00C122CE">
                  <w:pPr>
                    <w:spacing w:after="0" w:line="240" w:lineRule="auto"/>
                    <w:jc w:val="right"/>
                    <w:rPr>
                      <w:rFonts w:ascii="Arial" w:hAnsi="Arial" w:cs="Arial"/>
                      <w:sz w:val="16"/>
                      <w:szCs w:val="16"/>
                    </w:rPr>
                  </w:pPr>
                  <w:r w:rsidRPr="00853535">
                    <w:rPr>
                      <w:rFonts w:ascii="Arial" w:hAnsi="Arial" w:cs="Arial"/>
                      <w:sz w:val="16"/>
                      <w:szCs w:val="16"/>
                    </w:rPr>
                    <w:t xml:space="preserve">12,000 </w:t>
                  </w:r>
                </w:p>
              </w:tc>
              <w:tc>
                <w:tcPr>
                  <w:tcW w:w="910" w:type="dxa"/>
                  <w:tcBorders>
                    <w:top w:val="nil"/>
                    <w:left w:val="nil"/>
                    <w:bottom w:val="nil"/>
                    <w:right w:val="nil"/>
                  </w:tcBorders>
                  <w:shd w:val="clear" w:color="auto" w:fill="auto"/>
                  <w:vAlign w:val="bottom"/>
                  <w:hideMark/>
                </w:tcPr>
                <w:p w:rsidR="00D9724B" w:rsidRPr="00853535" w:rsidRDefault="00D9724B" w:rsidP="00C122CE">
                  <w:pPr>
                    <w:spacing w:after="0" w:line="240" w:lineRule="auto"/>
                    <w:jc w:val="right"/>
                    <w:rPr>
                      <w:rFonts w:ascii="Arial" w:hAnsi="Arial" w:cs="Arial"/>
                      <w:sz w:val="16"/>
                      <w:szCs w:val="16"/>
                    </w:rPr>
                  </w:pPr>
                  <w:r w:rsidRPr="00853535">
                    <w:rPr>
                      <w:rFonts w:ascii="Arial" w:hAnsi="Arial" w:cs="Arial"/>
                      <w:sz w:val="16"/>
                      <w:szCs w:val="16"/>
                    </w:rPr>
                    <w:t xml:space="preserve">12,000 </w:t>
                  </w:r>
                </w:p>
              </w:tc>
              <w:tc>
                <w:tcPr>
                  <w:tcW w:w="910" w:type="dxa"/>
                  <w:tcBorders>
                    <w:top w:val="nil"/>
                    <w:left w:val="nil"/>
                    <w:bottom w:val="nil"/>
                    <w:right w:val="nil"/>
                  </w:tcBorders>
                  <w:shd w:val="clear" w:color="auto" w:fill="auto"/>
                  <w:vAlign w:val="bottom"/>
                  <w:hideMark/>
                </w:tcPr>
                <w:p w:rsidR="00D9724B" w:rsidRPr="00853535" w:rsidRDefault="00D9724B" w:rsidP="00C122CE">
                  <w:pPr>
                    <w:spacing w:after="0" w:line="240" w:lineRule="auto"/>
                    <w:jc w:val="right"/>
                    <w:rPr>
                      <w:rFonts w:ascii="Arial" w:hAnsi="Arial" w:cs="Arial"/>
                      <w:sz w:val="16"/>
                      <w:szCs w:val="16"/>
                    </w:rPr>
                  </w:pPr>
                  <w:r w:rsidRPr="00853535">
                    <w:rPr>
                      <w:rFonts w:ascii="Arial" w:hAnsi="Arial" w:cs="Arial"/>
                      <w:sz w:val="16"/>
                      <w:szCs w:val="16"/>
                    </w:rPr>
                    <w:t xml:space="preserve">12,000 </w:t>
                  </w:r>
                </w:p>
              </w:tc>
              <w:tc>
                <w:tcPr>
                  <w:tcW w:w="910" w:type="dxa"/>
                  <w:tcBorders>
                    <w:top w:val="nil"/>
                    <w:left w:val="nil"/>
                    <w:bottom w:val="nil"/>
                    <w:right w:val="nil"/>
                  </w:tcBorders>
                  <w:shd w:val="clear" w:color="auto" w:fill="auto"/>
                  <w:vAlign w:val="bottom"/>
                  <w:hideMark/>
                </w:tcPr>
                <w:p w:rsidR="00D9724B" w:rsidRPr="00853535" w:rsidRDefault="00D9724B" w:rsidP="00C122CE">
                  <w:pPr>
                    <w:spacing w:after="0" w:line="240" w:lineRule="auto"/>
                    <w:jc w:val="right"/>
                    <w:rPr>
                      <w:rFonts w:ascii="Arial" w:hAnsi="Arial" w:cs="Arial"/>
                      <w:sz w:val="16"/>
                      <w:szCs w:val="16"/>
                    </w:rPr>
                  </w:pPr>
                  <w:r w:rsidRPr="00853535">
                    <w:rPr>
                      <w:rFonts w:ascii="Arial" w:hAnsi="Arial" w:cs="Arial"/>
                      <w:sz w:val="16"/>
                      <w:szCs w:val="16"/>
                    </w:rPr>
                    <w:t xml:space="preserve">12,000 </w:t>
                  </w:r>
                </w:p>
              </w:tc>
            </w:tr>
            <w:tr w:rsidR="00D9724B" w:rsidRPr="00853535" w:rsidTr="00DF633F">
              <w:trPr>
                <w:trHeight w:val="225"/>
                <w:jc w:val="center"/>
              </w:trPr>
              <w:tc>
                <w:tcPr>
                  <w:tcW w:w="2581" w:type="dxa"/>
                  <w:tcBorders>
                    <w:top w:val="nil"/>
                    <w:left w:val="nil"/>
                    <w:bottom w:val="nil"/>
                    <w:right w:val="nil"/>
                  </w:tcBorders>
                  <w:shd w:val="clear" w:color="auto" w:fill="auto"/>
                  <w:noWrap/>
                  <w:vAlign w:val="bottom"/>
                  <w:hideMark/>
                </w:tcPr>
                <w:p w:rsidR="00D9724B" w:rsidRPr="00853535" w:rsidRDefault="00D9724B" w:rsidP="00C122CE">
                  <w:pPr>
                    <w:spacing w:after="0" w:line="240" w:lineRule="auto"/>
                    <w:jc w:val="left"/>
                    <w:rPr>
                      <w:rFonts w:ascii="Arial" w:hAnsi="Arial" w:cs="Arial"/>
                      <w:sz w:val="16"/>
                      <w:szCs w:val="16"/>
                    </w:rPr>
                  </w:pPr>
                  <w:r w:rsidRPr="00853535">
                    <w:rPr>
                      <w:rFonts w:ascii="Arial" w:hAnsi="Arial" w:cs="Arial"/>
                      <w:sz w:val="16"/>
                      <w:szCs w:val="16"/>
                    </w:rPr>
                    <w:t>Number of notarial acts</w:t>
                  </w:r>
                </w:p>
              </w:tc>
              <w:tc>
                <w:tcPr>
                  <w:tcW w:w="928" w:type="dxa"/>
                  <w:tcBorders>
                    <w:top w:val="nil"/>
                    <w:left w:val="nil"/>
                    <w:bottom w:val="nil"/>
                    <w:right w:val="nil"/>
                  </w:tcBorders>
                  <w:shd w:val="clear" w:color="auto" w:fill="auto"/>
                  <w:vAlign w:val="bottom"/>
                  <w:hideMark/>
                </w:tcPr>
                <w:p w:rsidR="00D9724B" w:rsidRPr="00853535" w:rsidRDefault="00D9724B" w:rsidP="00C122CE">
                  <w:pPr>
                    <w:spacing w:after="0" w:line="240" w:lineRule="auto"/>
                    <w:jc w:val="right"/>
                    <w:rPr>
                      <w:rFonts w:ascii="Arial" w:hAnsi="Arial" w:cs="Arial"/>
                      <w:sz w:val="16"/>
                      <w:szCs w:val="16"/>
                    </w:rPr>
                  </w:pPr>
                  <w:r w:rsidRPr="00853535">
                    <w:rPr>
                      <w:rFonts w:ascii="Arial" w:hAnsi="Arial" w:cs="Arial"/>
                      <w:sz w:val="16"/>
                      <w:szCs w:val="16"/>
                    </w:rPr>
                    <w:t xml:space="preserve">12,750 </w:t>
                  </w:r>
                </w:p>
              </w:tc>
              <w:tc>
                <w:tcPr>
                  <w:tcW w:w="901" w:type="dxa"/>
                  <w:tcBorders>
                    <w:top w:val="nil"/>
                    <w:left w:val="nil"/>
                    <w:bottom w:val="nil"/>
                    <w:right w:val="nil"/>
                  </w:tcBorders>
                  <w:shd w:val="clear" w:color="000000" w:fill="E6E6E6"/>
                  <w:vAlign w:val="bottom"/>
                  <w:hideMark/>
                </w:tcPr>
                <w:p w:rsidR="00D9724B" w:rsidRPr="00853535" w:rsidRDefault="00D9724B" w:rsidP="00C122CE">
                  <w:pPr>
                    <w:spacing w:after="0" w:line="240" w:lineRule="auto"/>
                    <w:jc w:val="right"/>
                    <w:rPr>
                      <w:rFonts w:ascii="Arial" w:hAnsi="Arial" w:cs="Arial"/>
                      <w:sz w:val="16"/>
                      <w:szCs w:val="16"/>
                    </w:rPr>
                  </w:pPr>
                  <w:r w:rsidRPr="00853535">
                    <w:rPr>
                      <w:rFonts w:ascii="Arial" w:hAnsi="Arial" w:cs="Arial"/>
                      <w:sz w:val="16"/>
                      <w:szCs w:val="16"/>
                    </w:rPr>
                    <w:t xml:space="preserve">14,500 </w:t>
                  </w:r>
                </w:p>
              </w:tc>
              <w:tc>
                <w:tcPr>
                  <w:tcW w:w="910" w:type="dxa"/>
                  <w:tcBorders>
                    <w:top w:val="nil"/>
                    <w:left w:val="nil"/>
                    <w:bottom w:val="nil"/>
                    <w:right w:val="nil"/>
                  </w:tcBorders>
                  <w:shd w:val="clear" w:color="auto" w:fill="auto"/>
                  <w:vAlign w:val="bottom"/>
                  <w:hideMark/>
                </w:tcPr>
                <w:p w:rsidR="00D9724B" w:rsidRPr="00853535" w:rsidRDefault="00D9724B" w:rsidP="00C122CE">
                  <w:pPr>
                    <w:spacing w:after="0" w:line="240" w:lineRule="auto"/>
                    <w:jc w:val="right"/>
                    <w:rPr>
                      <w:rFonts w:ascii="Arial" w:hAnsi="Arial" w:cs="Arial"/>
                      <w:sz w:val="16"/>
                      <w:szCs w:val="16"/>
                    </w:rPr>
                  </w:pPr>
                  <w:r w:rsidRPr="00853535">
                    <w:rPr>
                      <w:rFonts w:ascii="Arial" w:hAnsi="Arial" w:cs="Arial"/>
                      <w:sz w:val="16"/>
                      <w:szCs w:val="16"/>
                    </w:rPr>
                    <w:t xml:space="preserve">14,500 </w:t>
                  </w:r>
                </w:p>
              </w:tc>
              <w:tc>
                <w:tcPr>
                  <w:tcW w:w="910" w:type="dxa"/>
                  <w:tcBorders>
                    <w:top w:val="nil"/>
                    <w:left w:val="nil"/>
                    <w:bottom w:val="nil"/>
                    <w:right w:val="nil"/>
                  </w:tcBorders>
                  <w:shd w:val="clear" w:color="auto" w:fill="auto"/>
                  <w:vAlign w:val="bottom"/>
                  <w:hideMark/>
                </w:tcPr>
                <w:p w:rsidR="00D9724B" w:rsidRPr="00853535" w:rsidRDefault="00D9724B" w:rsidP="00C122CE">
                  <w:pPr>
                    <w:spacing w:after="0" w:line="240" w:lineRule="auto"/>
                    <w:jc w:val="right"/>
                    <w:rPr>
                      <w:rFonts w:ascii="Arial" w:hAnsi="Arial" w:cs="Arial"/>
                      <w:sz w:val="16"/>
                      <w:szCs w:val="16"/>
                    </w:rPr>
                  </w:pPr>
                  <w:r w:rsidRPr="00853535">
                    <w:rPr>
                      <w:rFonts w:ascii="Arial" w:hAnsi="Arial" w:cs="Arial"/>
                      <w:sz w:val="16"/>
                      <w:szCs w:val="16"/>
                    </w:rPr>
                    <w:t xml:space="preserve">14,500 </w:t>
                  </w:r>
                </w:p>
              </w:tc>
              <w:tc>
                <w:tcPr>
                  <w:tcW w:w="910" w:type="dxa"/>
                  <w:tcBorders>
                    <w:top w:val="nil"/>
                    <w:left w:val="nil"/>
                    <w:bottom w:val="nil"/>
                    <w:right w:val="nil"/>
                  </w:tcBorders>
                  <w:shd w:val="clear" w:color="auto" w:fill="auto"/>
                  <w:vAlign w:val="bottom"/>
                  <w:hideMark/>
                </w:tcPr>
                <w:p w:rsidR="00D9724B" w:rsidRPr="00853535" w:rsidRDefault="00D9724B" w:rsidP="00C122CE">
                  <w:pPr>
                    <w:spacing w:after="0" w:line="240" w:lineRule="auto"/>
                    <w:jc w:val="right"/>
                    <w:rPr>
                      <w:rFonts w:ascii="Arial" w:hAnsi="Arial" w:cs="Arial"/>
                      <w:sz w:val="16"/>
                      <w:szCs w:val="16"/>
                    </w:rPr>
                  </w:pPr>
                  <w:r w:rsidRPr="00853535">
                    <w:rPr>
                      <w:rFonts w:ascii="Arial" w:hAnsi="Arial" w:cs="Arial"/>
                      <w:sz w:val="16"/>
                      <w:szCs w:val="16"/>
                    </w:rPr>
                    <w:t xml:space="preserve">14,500 </w:t>
                  </w:r>
                </w:p>
              </w:tc>
            </w:tr>
            <w:tr w:rsidR="00D9724B" w:rsidRPr="00853535" w:rsidTr="009E576C">
              <w:trPr>
                <w:trHeight w:val="116"/>
                <w:jc w:val="center"/>
              </w:trPr>
              <w:tc>
                <w:tcPr>
                  <w:tcW w:w="2581" w:type="dxa"/>
                  <w:tcBorders>
                    <w:top w:val="nil"/>
                    <w:left w:val="nil"/>
                    <w:bottom w:val="single" w:sz="4" w:space="0" w:color="auto"/>
                    <w:right w:val="nil"/>
                  </w:tcBorders>
                  <w:shd w:val="clear" w:color="auto" w:fill="auto"/>
                  <w:noWrap/>
                  <w:vAlign w:val="bottom"/>
                </w:tcPr>
                <w:p w:rsidR="00D9724B" w:rsidRPr="00853535" w:rsidRDefault="00D9724B" w:rsidP="00C122CE">
                  <w:pPr>
                    <w:spacing w:after="0" w:line="240" w:lineRule="auto"/>
                    <w:jc w:val="left"/>
                    <w:rPr>
                      <w:rFonts w:ascii="Arial" w:hAnsi="Arial" w:cs="Arial"/>
                      <w:sz w:val="16"/>
                      <w:szCs w:val="16"/>
                    </w:rPr>
                  </w:pPr>
                </w:p>
              </w:tc>
              <w:tc>
                <w:tcPr>
                  <w:tcW w:w="928" w:type="dxa"/>
                  <w:tcBorders>
                    <w:top w:val="nil"/>
                    <w:left w:val="nil"/>
                    <w:bottom w:val="single" w:sz="4" w:space="0" w:color="auto"/>
                    <w:right w:val="nil"/>
                  </w:tcBorders>
                  <w:shd w:val="clear" w:color="auto" w:fill="auto"/>
                  <w:vAlign w:val="bottom"/>
                </w:tcPr>
                <w:p w:rsidR="00D9724B" w:rsidRPr="00853535" w:rsidRDefault="00D9724B" w:rsidP="00C122CE">
                  <w:pPr>
                    <w:spacing w:after="0" w:line="240" w:lineRule="auto"/>
                    <w:jc w:val="right"/>
                    <w:rPr>
                      <w:rFonts w:ascii="Arial" w:hAnsi="Arial" w:cs="Arial"/>
                      <w:sz w:val="16"/>
                      <w:szCs w:val="16"/>
                    </w:rPr>
                  </w:pPr>
                </w:p>
              </w:tc>
              <w:tc>
                <w:tcPr>
                  <w:tcW w:w="901" w:type="dxa"/>
                  <w:tcBorders>
                    <w:top w:val="nil"/>
                    <w:left w:val="nil"/>
                    <w:bottom w:val="single" w:sz="4" w:space="0" w:color="auto"/>
                    <w:right w:val="nil"/>
                  </w:tcBorders>
                  <w:shd w:val="clear" w:color="000000" w:fill="E6E6E6"/>
                  <w:vAlign w:val="bottom"/>
                </w:tcPr>
                <w:p w:rsidR="00D9724B" w:rsidRPr="00853535" w:rsidRDefault="00D9724B" w:rsidP="00C122CE">
                  <w:pPr>
                    <w:spacing w:after="0" w:line="240" w:lineRule="auto"/>
                    <w:jc w:val="right"/>
                    <w:rPr>
                      <w:rFonts w:ascii="Arial" w:hAnsi="Arial" w:cs="Arial"/>
                      <w:sz w:val="16"/>
                      <w:szCs w:val="16"/>
                    </w:rPr>
                  </w:pPr>
                </w:p>
              </w:tc>
              <w:tc>
                <w:tcPr>
                  <w:tcW w:w="910" w:type="dxa"/>
                  <w:tcBorders>
                    <w:top w:val="nil"/>
                    <w:left w:val="nil"/>
                    <w:bottom w:val="single" w:sz="4" w:space="0" w:color="auto"/>
                    <w:right w:val="nil"/>
                  </w:tcBorders>
                  <w:shd w:val="clear" w:color="auto" w:fill="auto"/>
                  <w:vAlign w:val="bottom"/>
                </w:tcPr>
                <w:p w:rsidR="00D9724B" w:rsidRPr="00853535" w:rsidRDefault="00D9724B" w:rsidP="00C122CE">
                  <w:pPr>
                    <w:spacing w:after="0" w:line="240" w:lineRule="auto"/>
                    <w:jc w:val="right"/>
                    <w:rPr>
                      <w:rFonts w:ascii="Arial" w:hAnsi="Arial" w:cs="Arial"/>
                      <w:sz w:val="16"/>
                      <w:szCs w:val="16"/>
                    </w:rPr>
                  </w:pPr>
                </w:p>
              </w:tc>
              <w:tc>
                <w:tcPr>
                  <w:tcW w:w="910" w:type="dxa"/>
                  <w:tcBorders>
                    <w:top w:val="nil"/>
                    <w:left w:val="nil"/>
                    <w:bottom w:val="single" w:sz="4" w:space="0" w:color="auto"/>
                    <w:right w:val="nil"/>
                  </w:tcBorders>
                  <w:shd w:val="clear" w:color="auto" w:fill="auto"/>
                  <w:vAlign w:val="bottom"/>
                </w:tcPr>
                <w:p w:rsidR="00D9724B" w:rsidRPr="00853535" w:rsidRDefault="00D9724B" w:rsidP="00C122CE">
                  <w:pPr>
                    <w:spacing w:after="0" w:line="240" w:lineRule="auto"/>
                    <w:jc w:val="right"/>
                    <w:rPr>
                      <w:rFonts w:ascii="Arial" w:hAnsi="Arial" w:cs="Arial"/>
                      <w:sz w:val="16"/>
                      <w:szCs w:val="16"/>
                    </w:rPr>
                  </w:pPr>
                </w:p>
              </w:tc>
              <w:tc>
                <w:tcPr>
                  <w:tcW w:w="910" w:type="dxa"/>
                  <w:tcBorders>
                    <w:top w:val="nil"/>
                    <w:left w:val="nil"/>
                    <w:bottom w:val="single" w:sz="4" w:space="0" w:color="auto"/>
                    <w:right w:val="nil"/>
                  </w:tcBorders>
                  <w:shd w:val="clear" w:color="auto" w:fill="auto"/>
                  <w:vAlign w:val="bottom"/>
                </w:tcPr>
                <w:p w:rsidR="00D9724B" w:rsidRPr="00853535" w:rsidRDefault="00D9724B" w:rsidP="00C122CE">
                  <w:pPr>
                    <w:spacing w:after="0" w:line="240" w:lineRule="auto"/>
                    <w:jc w:val="right"/>
                    <w:rPr>
                      <w:rFonts w:ascii="Arial" w:hAnsi="Arial" w:cs="Arial"/>
                      <w:sz w:val="16"/>
                      <w:szCs w:val="16"/>
                    </w:rPr>
                  </w:pPr>
                </w:p>
              </w:tc>
            </w:tr>
          </w:tbl>
          <w:p w:rsidR="00A5180A" w:rsidRPr="008E4180" w:rsidRDefault="00A5180A" w:rsidP="00384293"/>
        </w:tc>
      </w:tr>
    </w:tbl>
    <w:p w:rsidR="00A5180A" w:rsidRDefault="00A5180A" w:rsidP="00A51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A5180A" w:rsidTr="00384293">
        <w:tc>
          <w:tcPr>
            <w:tcW w:w="7711" w:type="dxa"/>
          </w:tcPr>
          <w:p w:rsidR="00A5180A" w:rsidRDefault="00A5180A" w:rsidP="00384293">
            <w:pPr>
              <w:pStyle w:val="TableColumnHeadingLeft"/>
            </w:pPr>
            <w:r>
              <w:rPr>
                <w:rFonts w:ascii="Book Antiqua" w:hAnsi="Book Antiqua"/>
                <w:b w:val="0"/>
              </w:rPr>
              <w:br w:type="page"/>
            </w:r>
            <w:r>
              <w:t xml:space="preserve">Programme 2.1 key performance indicators  </w:t>
            </w:r>
          </w:p>
          <w:p w:rsidR="00D9724B" w:rsidRPr="000211D6" w:rsidRDefault="00D9724B" w:rsidP="00D9724B">
            <w:pPr>
              <w:ind w:left="34"/>
            </w:pPr>
            <w:r w:rsidRPr="0005529F">
              <w:t xml:space="preserve">In </w:t>
            </w:r>
            <w:r w:rsidRPr="00893368">
              <w:t>accordance with the Department of Foreign Affairs Passport Client Services Charter</w:t>
            </w:r>
            <w:r>
              <w:t>:</w:t>
            </w:r>
          </w:p>
          <w:p w:rsidR="00D9724B" w:rsidRPr="008D1576" w:rsidRDefault="007B75D4" w:rsidP="00D9724B">
            <w:pPr>
              <w:pStyle w:val="Exampletextbullet"/>
              <w:numPr>
                <w:ilvl w:val="0"/>
                <w:numId w:val="5"/>
              </w:numPr>
              <w:rPr>
                <w:i w:val="0"/>
                <w:color w:val="auto"/>
              </w:rPr>
            </w:pPr>
            <w:r>
              <w:rPr>
                <w:i w:val="0"/>
                <w:color w:val="auto"/>
              </w:rPr>
              <w:t>n</w:t>
            </w:r>
            <w:r w:rsidR="00D9724B" w:rsidRPr="008D1576">
              <w:rPr>
                <w:i w:val="0"/>
                <w:color w:val="auto"/>
              </w:rPr>
              <w:t xml:space="preserve">ormal </w:t>
            </w:r>
            <w:r w:rsidR="00D9724B" w:rsidRPr="00893368">
              <w:rPr>
                <w:i w:val="0"/>
                <w:color w:val="auto"/>
              </w:rPr>
              <w:t>passport applications are scanned within 24 hours – three per cent tolerance</w:t>
            </w:r>
            <w:r>
              <w:rPr>
                <w:i w:val="0"/>
                <w:color w:val="auto"/>
              </w:rPr>
              <w:t>;</w:t>
            </w:r>
            <w:r w:rsidR="00D9724B" w:rsidRPr="008D1576">
              <w:rPr>
                <w:i w:val="0"/>
                <w:color w:val="auto"/>
              </w:rPr>
              <w:t xml:space="preserve"> </w:t>
            </w:r>
          </w:p>
          <w:p w:rsidR="00D9724B" w:rsidRPr="008D1576" w:rsidRDefault="007B75D4" w:rsidP="00D9724B">
            <w:pPr>
              <w:pStyle w:val="Exampletextbullet"/>
              <w:numPr>
                <w:ilvl w:val="0"/>
                <w:numId w:val="5"/>
              </w:numPr>
              <w:rPr>
                <w:i w:val="0"/>
                <w:color w:val="auto"/>
              </w:rPr>
            </w:pPr>
            <w:r>
              <w:rPr>
                <w:i w:val="0"/>
                <w:color w:val="auto"/>
              </w:rPr>
              <w:t>r</w:t>
            </w:r>
            <w:r w:rsidR="00D9724B" w:rsidRPr="008D1576">
              <w:rPr>
                <w:i w:val="0"/>
                <w:color w:val="auto"/>
              </w:rPr>
              <w:t xml:space="preserve">outine </w:t>
            </w:r>
            <w:r w:rsidR="00D9724B" w:rsidRPr="00893368">
              <w:rPr>
                <w:i w:val="0"/>
                <w:color w:val="auto"/>
              </w:rPr>
              <w:t xml:space="preserve">passports are issued </w:t>
            </w:r>
            <w:r w:rsidR="006F3D4B">
              <w:rPr>
                <w:i w:val="0"/>
                <w:color w:val="auto"/>
              </w:rPr>
              <w:t>in a timely and responsive manner</w:t>
            </w:r>
            <w:r>
              <w:rPr>
                <w:i w:val="0"/>
                <w:color w:val="auto"/>
              </w:rPr>
              <w:t>; and</w:t>
            </w:r>
            <w:r w:rsidR="00D9724B" w:rsidRPr="008D1576">
              <w:rPr>
                <w:i w:val="0"/>
                <w:color w:val="auto"/>
              </w:rPr>
              <w:t xml:space="preserve"> </w:t>
            </w:r>
          </w:p>
          <w:p w:rsidR="00D9724B" w:rsidRPr="008D1576" w:rsidRDefault="007B75D4" w:rsidP="00D9724B">
            <w:pPr>
              <w:pStyle w:val="Exampletextbullet"/>
              <w:numPr>
                <w:ilvl w:val="0"/>
                <w:numId w:val="5"/>
              </w:numPr>
              <w:rPr>
                <w:i w:val="0"/>
                <w:color w:val="auto"/>
              </w:rPr>
            </w:pPr>
            <w:r>
              <w:rPr>
                <w:i w:val="0"/>
                <w:color w:val="auto"/>
              </w:rPr>
              <w:t>u</w:t>
            </w:r>
            <w:r w:rsidR="00D9724B" w:rsidRPr="008D1576">
              <w:rPr>
                <w:i w:val="0"/>
                <w:color w:val="auto"/>
              </w:rPr>
              <w:t xml:space="preserve">rgent </w:t>
            </w:r>
            <w:r w:rsidR="00D9724B" w:rsidRPr="00893368">
              <w:rPr>
                <w:i w:val="0"/>
                <w:color w:val="auto"/>
              </w:rPr>
              <w:t>passport issues are dealt with in a timely responsive manner. Where a priority processing fee is paid, the passport is to be provided within two working days</w:t>
            </w:r>
            <w:r w:rsidR="00D9724B" w:rsidRPr="008D1576">
              <w:rPr>
                <w:i w:val="0"/>
                <w:color w:val="auto"/>
              </w:rPr>
              <w:t xml:space="preserve">. </w:t>
            </w:r>
          </w:p>
          <w:p w:rsidR="00D9724B" w:rsidRPr="000211D6" w:rsidRDefault="00D9724B" w:rsidP="00D9724B">
            <w:pPr>
              <w:ind w:left="318" w:hanging="284"/>
            </w:pPr>
            <w:r w:rsidRPr="0005529F">
              <w:t xml:space="preserve">In </w:t>
            </w:r>
            <w:r w:rsidRPr="00893368">
              <w:t>accordance with the Department of Foreign Affairs Consular Services Charter</w:t>
            </w:r>
            <w:r>
              <w:t>:</w:t>
            </w:r>
          </w:p>
          <w:p w:rsidR="00A5180A" w:rsidRDefault="007B75D4" w:rsidP="00D9724B">
            <w:pPr>
              <w:pStyle w:val="Exampletextbullet"/>
              <w:numPr>
                <w:ilvl w:val="0"/>
                <w:numId w:val="5"/>
              </w:numPr>
            </w:pPr>
            <w:r>
              <w:rPr>
                <w:rFonts w:cs="Book Antiqua"/>
                <w:i w:val="0"/>
                <w:color w:val="auto"/>
              </w:rPr>
              <w:t>n</w:t>
            </w:r>
            <w:r w:rsidR="00D9724B" w:rsidRPr="008D1576">
              <w:rPr>
                <w:rFonts w:cs="Book Antiqua"/>
                <w:i w:val="0"/>
                <w:color w:val="auto"/>
              </w:rPr>
              <w:t xml:space="preserve">otarial </w:t>
            </w:r>
            <w:r w:rsidR="00D9724B" w:rsidRPr="00893368">
              <w:rPr>
                <w:rFonts w:cs="Book Antiqua"/>
                <w:i w:val="0"/>
                <w:color w:val="auto"/>
              </w:rPr>
              <w:t>services are to be delivered within three working days of the lodgement of documents from a client</w:t>
            </w:r>
            <w:r w:rsidR="00D9724B" w:rsidRPr="008D1576">
              <w:rPr>
                <w:rFonts w:cs="Book Antiqua"/>
                <w:i w:val="0"/>
                <w:color w:val="auto"/>
              </w:rPr>
              <w:t>.</w:t>
            </w:r>
          </w:p>
        </w:tc>
      </w:tr>
    </w:tbl>
    <w:p w:rsidR="009131E0" w:rsidRDefault="00A5180A" w:rsidP="009131E0">
      <w:pPr>
        <w:pStyle w:val="Heading2"/>
        <w:spacing w:before="0" w:after="120"/>
      </w:pPr>
      <w:r>
        <w:br w:type="page"/>
      </w:r>
      <w:r w:rsidR="009131E0">
        <w:lastRenderedPageBreak/>
        <w:t>Section 3: Explanatory tables and budgeted financial statements</w:t>
      </w:r>
    </w:p>
    <w:p w:rsidR="00065173" w:rsidRDefault="00065173" w:rsidP="00065173">
      <w:r>
        <w:t>Section 3 presents explanatory tables and budgeted financial statements which provide a comprehensive snapshot of entity finances for the 2015-16</w:t>
      </w:r>
      <w:r>
        <w:rPr>
          <w:color w:val="00B050"/>
        </w:rPr>
        <w:t xml:space="preserve"> </w:t>
      </w:r>
      <w:r>
        <w:t>budget year. It explains how budget plans are incorporated into the financial statements and provides further details of the reconciliation between appropriations and programme expenses, movements in administered funds, special accounts and government indigenous expenditure.</w:t>
      </w:r>
    </w:p>
    <w:p w:rsidR="00065173" w:rsidRDefault="00065173" w:rsidP="00065173">
      <w:pPr>
        <w:pStyle w:val="Heading3"/>
      </w:pPr>
      <w:r>
        <w:t>3.1</w:t>
      </w:r>
      <w:r>
        <w:tab/>
        <w:t>Explanatory tables</w:t>
      </w:r>
    </w:p>
    <w:p w:rsidR="00065173" w:rsidRDefault="00065173" w:rsidP="00065173">
      <w:pPr>
        <w:pStyle w:val="Heading4"/>
      </w:pPr>
      <w:r>
        <w:t>3.1.1</w:t>
      </w:r>
      <w:r>
        <w:tab/>
        <w:t>Movement of administered funds between years</w:t>
      </w:r>
    </w:p>
    <w:p w:rsidR="00065173" w:rsidRDefault="00065173" w:rsidP="00065173">
      <w:r>
        <w:t xml:space="preserve">Administered funds can be provided for a specified period, for example under annual Appropriation Acts. Funds not used in the specified period with the agreement of the Finance Minister may be moved to a future year. </w:t>
      </w:r>
    </w:p>
    <w:p w:rsidR="00065173" w:rsidRDefault="00065173" w:rsidP="00065173">
      <w:pPr>
        <w:pStyle w:val="TableHeading"/>
        <w:rPr>
          <w:rFonts w:ascii="Arial Bold" w:hAnsi="Arial Bold"/>
          <w:sz w:val="20"/>
          <w:vertAlign w:val="superscript"/>
        </w:rPr>
      </w:pPr>
      <w:r w:rsidRPr="005C4BEE">
        <w:rPr>
          <w:sz w:val="20"/>
        </w:rPr>
        <w:t>Table 3.1.</w:t>
      </w:r>
      <w:r>
        <w:rPr>
          <w:sz w:val="20"/>
        </w:rPr>
        <w:t>1</w:t>
      </w:r>
      <w:r w:rsidRPr="005C4BEE">
        <w:rPr>
          <w:sz w:val="20"/>
        </w:rPr>
        <w:t xml:space="preserve">: </w:t>
      </w:r>
      <w:r>
        <w:rPr>
          <w:sz w:val="20"/>
        </w:rPr>
        <w:t>Movement of administered funds between years</w:t>
      </w:r>
      <w:r w:rsidRPr="00065173">
        <w:rPr>
          <w:rFonts w:ascii="Arial Bold" w:hAnsi="Arial Bold"/>
          <w:sz w:val="20"/>
          <w:vertAlign w:val="superscript"/>
        </w:rPr>
        <w:t>(a)</w:t>
      </w:r>
    </w:p>
    <w:p w:rsidR="00390443" w:rsidRPr="00390443" w:rsidRDefault="00833238" w:rsidP="00390443">
      <w:pPr>
        <w:pStyle w:val="TableGraphic"/>
      </w:pPr>
      <w:r>
        <w:pict>
          <v:shape id="_x0000_i1078" type="#_x0000_t75" style="width:383.4pt;height:79.5pt">
            <v:imagedata r:id="rId119" o:title=""/>
          </v:shape>
        </w:pict>
      </w:r>
    </w:p>
    <w:p w:rsidR="00065173" w:rsidRPr="009123B7" w:rsidRDefault="00065173" w:rsidP="00F37EE6">
      <w:pPr>
        <w:pStyle w:val="ChartandTableFootnote"/>
        <w:numPr>
          <w:ilvl w:val="0"/>
          <w:numId w:val="30"/>
        </w:numPr>
        <w:ind w:left="284" w:hanging="284"/>
      </w:pPr>
      <w:r>
        <w:t>Figures displayed as a negative (-) represent a decrease in funds and a positive represent an increase in funds.</w:t>
      </w:r>
    </w:p>
    <w:p w:rsidR="00065173" w:rsidRPr="009123B7" w:rsidRDefault="00065173" w:rsidP="00F37EE6">
      <w:pPr>
        <w:pStyle w:val="ChartandTableFootnote"/>
        <w:numPr>
          <w:ilvl w:val="0"/>
          <w:numId w:val="30"/>
        </w:numPr>
        <w:ind w:left="284" w:hanging="284"/>
      </w:pPr>
      <w:r>
        <w:t>The administered funds relating to 2014-15 are reflected in the Department of Foreign Affairs and Trade resource statement.</w:t>
      </w:r>
    </w:p>
    <w:p w:rsidR="00065173" w:rsidRDefault="00065173" w:rsidP="00065173"/>
    <w:p w:rsidR="009131E0" w:rsidRDefault="009131E0" w:rsidP="009131E0">
      <w:pPr>
        <w:pStyle w:val="Heading4"/>
        <w:spacing w:before="0"/>
      </w:pPr>
      <w:r>
        <w:t>3.1.2</w:t>
      </w:r>
      <w:r>
        <w:tab/>
        <w:t>Special accounts</w:t>
      </w:r>
    </w:p>
    <w:p w:rsidR="00065173" w:rsidRDefault="00065173" w:rsidP="00065173">
      <w:r>
        <w:t>Special accounts provide a means to set aside and record amounts used for specified purposes. Special accounts can be created by a Finance Minister’s determination under section 78 of the PGPA</w:t>
      </w:r>
      <w:r w:rsidRPr="00DA28A8">
        <w:t xml:space="preserve"> Act</w:t>
      </w:r>
      <w:r>
        <w:rPr>
          <w:i/>
        </w:rPr>
        <w:t xml:space="preserve"> </w:t>
      </w:r>
      <w:r>
        <w:t>or under separate enabling legislation (section 80 of the PGPA Act refers). Table 3.1.2 shows the expected additions (receipts) and reductions (payments) for each account used by Austrade.</w:t>
      </w:r>
    </w:p>
    <w:p w:rsidR="009131E0" w:rsidRPr="005C4BEE" w:rsidRDefault="004D22AA" w:rsidP="002D7D62">
      <w:pPr>
        <w:pStyle w:val="TableHeading"/>
        <w:rPr>
          <w:sz w:val="20"/>
        </w:rPr>
      </w:pPr>
      <w:r>
        <w:br w:type="page"/>
      </w:r>
      <w:r w:rsidR="009131E0" w:rsidRPr="005C4BEE">
        <w:rPr>
          <w:sz w:val="20"/>
        </w:rPr>
        <w:lastRenderedPageBreak/>
        <w:t>Table 3.1.2: Estimates of special account flows and balances</w:t>
      </w:r>
    </w:p>
    <w:p w:rsidR="009131E0" w:rsidRDefault="00833238" w:rsidP="009131E0">
      <w:pPr>
        <w:pStyle w:val="TableGraphic"/>
      </w:pPr>
      <w:r>
        <w:pict>
          <v:shape id="_x0000_i1079" type="#_x0000_t75" style="width:385.25pt;height:259pt">
            <v:imagedata r:id="rId120" o:title=""/>
          </v:shape>
        </w:pict>
      </w:r>
    </w:p>
    <w:p w:rsidR="00702FAB" w:rsidRPr="009123B7" w:rsidRDefault="009E576C" w:rsidP="00F37EE6">
      <w:pPr>
        <w:pStyle w:val="ChartandTableFootnote"/>
        <w:numPr>
          <w:ilvl w:val="0"/>
          <w:numId w:val="69"/>
        </w:numPr>
        <w:ind w:hanging="720"/>
      </w:pPr>
      <w:r>
        <w:rPr>
          <w:i/>
        </w:rPr>
        <w:t>s</w:t>
      </w:r>
      <w:r w:rsidR="004D22AA" w:rsidRPr="009123B7">
        <w:rPr>
          <w:i/>
        </w:rPr>
        <w:t>20 Financial Management and Accountability Act, 1997 Determination 2006/1</w:t>
      </w:r>
      <w:r w:rsidR="00702FAB" w:rsidRPr="009123B7">
        <w:rPr>
          <w:i/>
        </w:rPr>
        <w:t>5</w:t>
      </w:r>
    </w:p>
    <w:p w:rsidR="00702FAB" w:rsidRPr="009123B7" w:rsidRDefault="009E576C" w:rsidP="00F37EE6">
      <w:pPr>
        <w:pStyle w:val="ChartandTableFootnote"/>
        <w:numPr>
          <w:ilvl w:val="0"/>
          <w:numId w:val="69"/>
        </w:numPr>
        <w:ind w:hanging="720"/>
      </w:pPr>
      <w:r>
        <w:rPr>
          <w:i/>
        </w:rPr>
        <w:t>s</w:t>
      </w:r>
      <w:r w:rsidR="00702FAB" w:rsidRPr="009123B7">
        <w:rPr>
          <w:i/>
        </w:rPr>
        <w:t>20 Financial Management and Accountability Act, 1997 Determination 2008/05</w:t>
      </w:r>
    </w:p>
    <w:p w:rsidR="009131E0" w:rsidRDefault="009131E0" w:rsidP="00702FAB">
      <w:pPr>
        <w:pStyle w:val="ChartandTableFootnote"/>
      </w:pPr>
      <w:r>
        <w:t>(A) = Administered</w:t>
      </w:r>
    </w:p>
    <w:p w:rsidR="009131E0" w:rsidRDefault="009131E0" w:rsidP="009131E0">
      <w:pPr>
        <w:pStyle w:val="ChartandTableFootnote"/>
      </w:pPr>
      <w:r>
        <w:t>(D) = Departmental</w:t>
      </w:r>
    </w:p>
    <w:p w:rsidR="009131E0" w:rsidRDefault="009131E0" w:rsidP="009131E0">
      <w:pPr>
        <w:pStyle w:val="SingleParagraph"/>
      </w:pPr>
    </w:p>
    <w:p w:rsidR="009131E0" w:rsidRDefault="009131E0" w:rsidP="009131E0">
      <w:pPr>
        <w:pStyle w:val="Heading4"/>
      </w:pPr>
      <w:r>
        <w:t>3.1.3</w:t>
      </w:r>
      <w:r>
        <w:tab/>
        <w:t>Australian Government Indigenous expenditure</w:t>
      </w:r>
    </w:p>
    <w:p w:rsidR="009131E0" w:rsidRPr="005C4BEE" w:rsidRDefault="009131E0" w:rsidP="009131E0">
      <w:pPr>
        <w:pStyle w:val="TableHeading"/>
        <w:rPr>
          <w:sz w:val="20"/>
        </w:rPr>
      </w:pPr>
      <w:r w:rsidRPr="005C4BEE">
        <w:rPr>
          <w:sz w:val="20"/>
        </w:rPr>
        <w:t>Table 3.1.3: Au</w:t>
      </w:r>
      <w:r>
        <w:rPr>
          <w:sz w:val="20"/>
        </w:rPr>
        <w:t>stralian Government Indigenous e</w:t>
      </w:r>
      <w:r w:rsidRPr="005C4BEE">
        <w:rPr>
          <w:sz w:val="20"/>
        </w:rPr>
        <w:t>xpenditure (AGIE)</w:t>
      </w:r>
    </w:p>
    <w:p w:rsidR="009131E0" w:rsidRDefault="00833238" w:rsidP="009131E0">
      <w:pPr>
        <w:pStyle w:val="TableGraphic"/>
      </w:pPr>
      <w:r>
        <w:pict>
          <v:shape id="_x0000_i1080" type="#_x0000_t75" style="width:379.65pt;height:128.1pt">
            <v:imagedata r:id="rId121" o:title=""/>
          </v:shape>
        </w:pict>
      </w:r>
    </w:p>
    <w:p w:rsidR="009131E0" w:rsidRDefault="009131E0" w:rsidP="009131E0">
      <w:pPr>
        <w:pStyle w:val="Heading3"/>
      </w:pPr>
      <w:r>
        <w:br w:type="page"/>
      </w:r>
      <w:r>
        <w:lastRenderedPageBreak/>
        <w:t>3.2</w:t>
      </w:r>
      <w:r>
        <w:tab/>
        <w:t>Budgeted financial statements</w:t>
      </w:r>
    </w:p>
    <w:p w:rsidR="009131E0" w:rsidRDefault="009131E0" w:rsidP="009131E0">
      <w:pPr>
        <w:pStyle w:val="Heading4"/>
      </w:pPr>
      <w:r>
        <w:t>3.2.1</w:t>
      </w:r>
      <w:r>
        <w:tab/>
        <w:t>Differences in entity resourcing and financial statements</w:t>
      </w:r>
    </w:p>
    <w:p w:rsidR="00C2034D" w:rsidRDefault="00C2034D" w:rsidP="00C2034D">
      <w:pPr>
        <w:pStyle w:val="ExampleText0"/>
      </w:pPr>
      <w:r w:rsidRPr="005704F7">
        <w:rPr>
          <w:i w:val="0"/>
          <w:color w:val="auto"/>
        </w:rPr>
        <w:t xml:space="preserve">There has been no difference between the resource information presented in the </w:t>
      </w:r>
      <w:r>
        <w:rPr>
          <w:i w:val="0"/>
          <w:color w:val="auto"/>
        </w:rPr>
        <w:t>B</w:t>
      </w:r>
      <w:r w:rsidRPr="005704F7">
        <w:rPr>
          <w:i w:val="0"/>
          <w:color w:val="auto"/>
        </w:rPr>
        <w:t>udget Papers and in Austrade’s Portfolio Budget Statements.</w:t>
      </w:r>
      <w:r>
        <w:t xml:space="preserve"> </w:t>
      </w:r>
    </w:p>
    <w:p w:rsidR="009131E0" w:rsidRDefault="009131E0" w:rsidP="009131E0">
      <w:pPr>
        <w:pStyle w:val="Heading4"/>
      </w:pPr>
      <w:r>
        <w:t>3.2.2</w:t>
      </w:r>
      <w:r>
        <w:tab/>
        <w:t>Analysis of budgeted financial statements</w:t>
      </w:r>
    </w:p>
    <w:p w:rsidR="00C2034D" w:rsidRPr="005D4632" w:rsidRDefault="00C2034D" w:rsidP="00C2034D">
      <w:pPr>
        <w:pStyle w:val="Exampletext"/>
        <w:rPr>
          <w:i w:val="0"/>
          <w:color w:val="auto"/>
        </w:rPr>
      </w:pPr>
      <w:r w:rsidRPr="005D4632">
        <w:rPr>
          <w:i w:val="0"/>
          <w:color w:val="auto"/>
        </w:rPr>
        <w:t>An analysis of Austrade’s budgeted financial statements, as reflected in the departmental financial statements and administered schedules, is provided below.</w:t>
      </w:r>
    </w:p>
    <w:p w:rsidR="00702FAB" w:rsidRPr="00431C90" w:rsidRDefault="00702FAB" w:rsidP="00702FAB">
      <w:pPr>
        <w:pStyle w:val="Exampletext"/>
        <w:rPr>
          <w:rFonts w:ascii="Arial" w:hAnsi="Arial"/>
          <w:b/>
          <w:i w:val="0"/>
          <w:color w:val="auto"/>
        </w:rPr>
      </w:pPr>
      <w:r w:rsidRPr="00431C90">
        <w:rPr>
          <w:rFonts w:ascii="Arial" w:hAnsi="Arial"/>
          <w:b/>
          <w:i w:val="0"/>
          <w:color w:val="auto"/>
        </w:rPr>
        <w:t>Departmental financial statements</w:t>
      </w:r>
    </w:p>
    <w:p w:rsidR="00C2034D" w:rsidRPr="00047317" w:rsidRDefault="00C2034D" w:rsidP="00C2034D">
      <w:pPr>
        <w:pStyle w:val="Exampletext"/>
        <w:rPr>
          <w:i w:val="0"/>
          <w:color w:val="auto"/>
        </w:rPr>
      </w:pPr>
      <w:r w:rsidRPr="00047317">
        <w:rPr>
          <w:i w:val="0"/>
          <w:color w:val="auto"/>
        </w:rPr>
        <w:t xml:space="preserve">The </w:t>
      </w:r>
      <w:r w:rsidR="00431C90">
        <w:rPr>
          <w:i w:val="0"/>
          <w:color w:val="auto"/>
        </w:rPr>
        <w:t>d</w:t>
      </w:r>
      <w:r w:rsidRPr="00047317">
        <w:rPr>
          <w:i w:val="0"/>
          <w:color w:val="auto"/>
        </w:rPr>
        <w:t>epartmental financial statements represent the assets, liabilities, revenues and expenses which are controlled by Austrade. Departmental expenses include employee and supplier expenses and other administrative costs which are incurred by Austrade in undertaking its operations.</w:t>
      </w:r>
    </w:p>
    <w:p w:rsidR="00702FAB" w:rsidRPr="00047317" w:rsidRDefault="00702FAB" w:rsidP="00702FAB">
      <w:pPr>
        <w:pStyle w:val="Exampletext"/>
        <w:rPr>
          <w:rFonts w:ascii="Arial" w:hAnsi="Arial"/>
          <w:b/>
          <w:i w:val="0"/>
          <w:color w:val="auto"/>
        </w:rPr>
      </w:pPr>
      <w:r w:rsidRPr="00047317">
        <w:rPr>
          <w:rFonts w:ascii="Arial" w:hAnsi="Arial"/>
          <w:b/>
          <w:i w:val="0"/>
          <w:color w:val="auto"/>
        </w:rPr>
        <w:t>Budgeted departmental comprehensive income statement</w:t>
      </w:r>
    </w:p>
    <w:p w:rsidR="00C2034D" w:rsidRPr="00047317" w:rsidRDefault="00C2034D" w:rsidP="00C2034D">
      <w:pPr>
        <w:pStyle w:val="Exampletext"/>
        <w:rPr>
          <w:i w:val="0"/>
          <w:color w:val="auto"/>
        </w:rPr>
      </w:pPr>
      <w:r w:rsidRPr="00047317">
        <w:rPr>
          <w:i w:val="0"/>
          <w:color w:val="auto"/>
        </w:rPr>
        <w:t xml:space="preserve">This statement provides estimated actual financial results for </w:t>
      </w:r>
      <w:r>
        <w:rPr>
          <w:i w:val="0"/>
          <w:color w:val="auto"/>
        </w:rPr>
        <w:t>2014-15</w:t>
      </w:r>
      <w:r w:rsidRPr="00047317">
        <w:rPr>
          <w:i w:val="0"/>
          <w:color w:val="auto"/>
        </w:rPr>
        <w:t xml:space="preserve"> and the estimated revenue and expenses for </w:t>
      </w:r>
      <w:r>
        <w:rPr>
          <w:i w:val="0"/>
          <w:color w:val="auto"/>
        </w:rPr>
        <w:t>2015-16</w:t>
      </w:r>
      <w:r w:rsidRPr="00047317">
        <w:rPr>
          <w:i w:val="0"/>
          <w:color w:val="auto"/>
        </w:rPr>
        <w:t xml:space="preserve"> and forward years. </w:t>
      </w:r>
    </w:p>
    <w:p w:rsidR="00C2034D" w:rsidRPr="00D84EA0" w:rsidRDefault="00023CA7" w:rsidP="00C2034D">
      <w:pPr>
        <w:pStyle w:val="Exampletext"/>
        <w:rPr>
          <w:i w:val="0"/>
          <w:color w:val="auto"/>
        </w:rPr>
      </w:pPr>
      <w:r w:rsidRPr="00047317">
        <w:rPr>
          <w:i w:val="0"/>
          <w:color w:val="auto"/>
        </w:rPr>
        <w:t xml:space="preserve">Total </w:t>
      </w:r>
      <w:r w:rsidRPr="00D84EA0">
        <w:rPr>
          <w:i w:val="0"/>
          <w:color w:val="auto"/>
        </w:rPr>
        <w:t xml:space="preserve">income in </w:t>
      </w:r>
      <w:r>
        <w:rPr>
          <w:i w:val="0"/>
          <w:color w:val="auto"/>
        </w:rPr>
        <w:t>2015-16</w:t>
      </w:r>
      <w:r w:rsidRPr="00D84EA0">
        <w:rPr>
          <w:i w:val="0"/>
          <w:color w:val="auto"/>
        </w:rPr>
        <w:t xml:space="preserve"> is estimated to be </w:t>
      </w:r>
      <w:r w:rsidRPr="00EB425F">
        <w:rPr>
          <w:i w:val="0"/>
          <w:color w:val="auto"/>
        </w:rPr>
        <w:t>$</w:t>
      </w:r>
      <w:r>
        <w:rPr>
          <w:i w:val="0"/>
          <w:color w:val="auto"/>
        </w:rPr>
        <w:t>227.3</w:t>
      </w:r>
      <w:r w:rsidRPr="00D84EA0">
        <w:rPr>
          <w:i w:val="0"/>
          <w:color w:val="auto"/>
        </w:rPr>
        <w:t xml:space="preserve"> million, which represents a</w:t>
      </w:r>
      <w:r>
        <w:rPr>
          <w:i w:val="0"/>
          <w:color w:val="auto"/>
        </w:rPr>
        <w:t>n in</w:t>
      </w:r>
      <w:r w:rsidRPr="00D84EA0">
        <w:rPr>
          <w:i w:val="0"/>
          <w:color w:val="auto"/>
        </w:rPr>
        <w:t xml:space="preserve">crease </w:t>
      </w:r>
      <w:r w:rsidRPr="00EB425F">
        <w:rPr>
          <w:i w:val="0"/>
          <w:color w:val="auto"/>
        </w:rPr>
        <w:t>of $</w:t>
      </w:r>
      <w:r>
        <w:rPr>
          <w:i w:val="0"/>
          <w:color w:val="auto"/>
        </w:rPr>
        <w:t>26.8</w:t>
      </w:r>
      <w:r w:rsidRPr="00D84EA0">
        <w:rPr>
          <w:i w:val="0"/>
          <w:color w:val="auto"/>
        </w:rPr>
        <w:t xml:space="preserve"> million in appropriations from the </w:t>
      </w:r>
      <w:r>
        <w:rPr>
          <w:i w:val="0"/>
          <w:color w:val="auto"/>
        </w:rPr>
        <w:t>2014-15 estimated actual shown at Table 3.2.1. The increase is a result of</w:t>
      </w:r>
      <w:r w:rsidRPr="00D84EA0">
        <w:rPr>
          <w:i w:val="0"/>
          <w:color w:val="auto"/>
        </w:rPr>
        <w:t>:</w:t>
      </w:r>
    </w:p>
    <w:p w:rsidR="00C2034D" w:rsidRDefault="00C2034D" w:rsidP="00F37EE6">
      <w:pPr>
        <w:pStyle w:val="Exampletext"/>
        <w:numPr>
          <w:ilvl w:val="0"/>
          <w:numId w:val="31"/>
        </w:numPr>
        <w:rPr>
          <w:i w:val="0"/>
          <w:color w:val="auto"/>
        </w:rPr>
      </w:pPr>
      <w:r w:rsidRPr="008D1576">
        <w:rPr>
          <w:i w:val="0"/>
          <w:color w:val="auto"/>
        </w:rPr>
        <w:t>Free Trade Agreement Promotion – an increase of $12.0 million;</w:t>
      </w:r>
    </w:p>
    <w:p w:rsidR="00C2034D" w:rsidRDefault="00C2034D" w:rsidP="00F37EE6">
      <w:pPr>
        <w:pStyle w:val="Exampletext"/>
        <w:numPr>
          <w:ilvl w:val="0"/>
          <w:numId w:val="31"/>
        </w:numPr>
        <w:rPr>
          <w:i w:val="0"/>
          <w:color w:val="auto"/>
        </w:rPr>
      </w:pPr>
      <w:r>
        <w:rPr>
          <w:i w:val="0"/>
          <w:color w:val="auto"/>
        </w:rPr>
        <w:t xml:space="preserve">Strengthening Australia’s ability to attract foreign investment – an increase of </w:t>
      </w:r>
      <w:r w:rsidR="009E576C">
        <w:rPr>
          <w:i w:val="0"/>
          <w:color w:val="auto"/>
        </w:rPr>
        <w:br/>
      </w:r>
      <w:r>
        <w:rPr>
          <w:i w:val="0"/>
          <w:color w:val="auto"/>
        </w:rPr>
        <w:t>$5.9 million;</w:t>
      </w:r>
    </w:p>
    <w:p w:rsidR="00C2034D" w:rsidRDefault="00C2034D" w:rsidP="00F37EE6">
      <w:pPr>
        <w:pStyle w:val="Exampletext"/>
        <w:numPr>
          <w:ilvl w:val="0"/>
          <w:numId w:val="31"/>
        </w:numPr>
        <w:rPr>
          <w:i w:val="0"/>
          <w:color w:val="auto"/>
        </w:rPr>
      </w:pPr>
      <w:r>
        <w:rPr>
          <w:i w:val="0"/>
          <w:color w:val="auto"/>
        </w:rPr>
        <w:t>Match Australia – continuation and expansion – an increase of $1.1 million;</w:t>
      </w:r>
    </w:p>
    <w:p w:rsidR="00C2034D" w:rsidRDefault="00C2034D" w:rsidP="00F37EE6">
      <w:pPr>
        <w:pStyle w:val="Exampletext"/>
        <w:numPr>
          <w:ilvl w:val="0"/>
          <w:numId w:val="31"/>
        </w:numPr>
        <w:rPr>
          <w:i w:val="0"/>
          <w:color w:val="auto"/>
        </w:rPr>
      </w:pPr>
      <w:r w:rsidRPr="00EC102C">
        <w:rPr>
          <w:color w:val="auto"/>
        </w:rPr>
        <w:t>Australia Week</w:t>
      </w:r>
      <w:r>
        <w:rPr>
          <w:i w:val="0"/>
          <w:color w:val="auto"/>
        </w:rPr>
        <w:t xml:space="preserve"> Events – an increase of $0.8 million;</w:t>
      </w:r>
    </w:p>
    <w:p w:rsidR="00023CA7" w:rsidRPr="00023CA7" w:rsidRDefault="0038538C" w:rsidP="0038538C">
      <w:pPr>
        <w:pStyle w:val="Exampletext"/>
        <w:numPr>
          <w:ilvl w:val="0"/>
          <w:numId w:val="31"/>
        </w:numPr>
        <w:jc w:val="left"/>
        <w:rPr>
          <w:i w:val="0"/>
          <w:color w:val="auto"/>
        </w:rPr>
      </w:pPr>
      <w:r>
        <w:rPr>
          <w:i w:val="0"/>
          <w:color w:val="auto"/>
        </w:rPr>
        <w:t>Developing Northern Australia - p</w:t>
      </w:r>
      <w:r w:rsidR="00023CA7" w:rsidRPr="007F0255">
        <w:rPr>
          <w:i w:val="0"/>
          <w:color w:val="auto"/>
        </w:rPr>
        <w:t xml:space="preserve">ositioning </w:t>
      </w:r>
      <w:r w:rsidR="00023CA7" w:rsidRPr="007A7FFA">
        <w:rPr>
          <w:i w:val="0"/>
          <w:color w:val="auto"/>
        </w:rPr>
        <w:t xml:space="preserve">the </w:t>
      </w:r>
      <w:r>
        <w:rPr>
          <w:i w:val="0"/>
          <w:color w:val="auto"/>
        </w:rPr>
        <w:t>n</w:t>
      </w:r>
      <w:r w:rsidR="00023CA7" w:rsidRPr="007A7FFA">
        <w:rPr>
          <w:i w:val="0"/>
          <w:color w:val="auto"/>
        </w:rPr>
        <w:t xml:space="preserve">orth as a </w:t>
      </w:r>
      <w:r>
        <w:rPr>
          <w:i w:val="0"/>
          <w:color w:val="auto"/>
        </w:rPr>
        <w:t>l</w:t>
      </w:r>
      <w:r w:rsidR="00023CA7" w:rsidRPr="007A7FFA">
        <w:rPr>
          <w:i w:val="0"/>
          <w:color w:val="auto"/>
        </w:rPr>
        <w:t xml:space="preserve">eader in </w:t>
      </w:r>
      <w:r>
        <w:rPr>
          <w:i w:val="0"/>
          <w:color w:val="auto"/>
        </w:rPr>
        <w:t>t</w:t>
      </w:r>
      <w:r w:rsidR="00023CA7" w:rsidRPr="007A7FFA">
        <w:rPr>
          <w:i w:val="0"/>
          <w:color w:val="auto"/>
        </w:rPr>
        <w:t xml:space="preserve">ropical </w:t>
      </w:r>
      <w:r>
        <w:rPr>
          <w:i w:val="0"/>
          <w:color w:val="auto"/>
        </w:rPr>
        <w:t>h</w:t>
      </w:r>
      <w:r w:rsidR="00023CA7" w:rsidRPr="007A7FFA">
        <w:rPr>
          <w:i w:val="0"/>
          <w:color w:val="auto"/>
        </w:rPr>
        <w:t xml:space="preserve">ealth </w:t>
      </w:r>
      <w:r w:rsidR="00023CA7">
        <w:rPr>
          <w:i w:val="0"/>
          <w:color w:val="auto"/>
        </w:rPr>
        <w:t>–</w:t>
      </w:r>
      <w:r w:rsidR="00023CA7" w:rsidRPr="007A7FFA">
        <w:rPr>
          <w:i w:val="0"/>
          <w:color w:val="auto"/>
        </w:rPr>
        <w:t xml:space="preserve"> an </w:t>
      </w:r>
      <w:r w:rsidR="00023CA7">
        <w:rPr>
          <w:i w:val="0"/>
          <w:color w:val="auto"/>
        </w:rPr>
        <w:t>increase of $0.4 million;</w:t>
      </w:r>
    </w:p>
    <w:p w:rsidR="00C2034D" w:rsidRPr="008D1576" w:rsidRDefault="00023CA7" w:rsidP="00F37EE6">
      <w:pPr>
        <w:pStyle w:val="Exampletext"/>
        <w:numPr>
          <w:ilvl w:val="0"/>
          <w:numId w:val="31"/>
        </w:numPr>
        <w:rPr>
          <w:i w:val="0"/>
          <w:color w:val="auto"/>
        </w:rPr>
      </w:pPr>
      <w:r>
        <w:rPr>
          <w:i w:val="0"/>
          <w:color w:val="auto"/>
        </w:rPr>
        <w:t>f</w:t>
      </w:r>
      <w:r w:rsidR="00C2034D" w:rsidRPr="008D1576">
        <w:rPr>
          <w:i w:val="0"/>
          <w:color w:val="auto"/>
        </w:rPr>
        <w:t>oreign exchange variation – an increase of $4.9 million;</w:t>
      </w:r>
    </w:p>
    <w:p w:rsidR="00C2034D" w:rsidRPr="008D1576" w:rsidRDefault="00023CA7" w:rsidP="00F37EE6">
      <w:pPr>
        <w:pStyle w:val="Exampletext"/>
        <w:numPr>
          <w:ilvl w:val="0"/>
          <w:numId w:val="31"/>
        </w:numPr>
        <w:rPr>
          <w:i w:val="0"/>
          <w:color w:val="auto"/>
        </w:rPr>
      </w:pPr>
      <w:r>
        <w:rPr>
          <w:i w:val="0"/>
          <w:color w:val="auto"/>
        </w:rPr>
        <w:t>i</w:t>
      </w:r>
      <w:r w:rsidR="00C2034D" w:rsidRPr="008D1576">
        <w:rPr>
          <w:i w:val="0"/>
          <w:color w:val="auto"/>
        </w:rPr>
        <w:t xml:space="preserve">ndexation adjustment – an increase of $0.3 million; </w:t>
      </w:r>
      <w:r>
        <w:rPr>
          <w:i w:val="0"/>
          <w:color w:val="auto"/>
        </w:rPr>
        <w:t>and</w:t>
      </w:r>
    </w:p>
    <w:p w:rsidR="00C2034D" w:rsidRPr="008D1576" w:rsidRDefault="00023CA7" w:rsidP="00F37EE6">
      <w:pPr>
        <w:pStyle w:val="Exampletext"/>
        <w:numPr>
          <w:ilvl w:val="0"/>
          <w:numId w:val="31"/>
        </w:numPr>
        <w:rPr>
          <w:i w:val="0"/>
          <w:color w:val="auto"/>
        </w:rPr>
      </w:pPr>
      <w:r>
        <w:rPr>
          <w:i w:val="0"/>
          <w:color w:val="auto"/>
        </w:rPr>
        <w:t>m</w:t>
      </w:r>
      <w:r w:rsidR="00C2034D" w:rsidRPr="008D1576">
        <w:rPr>
          <w:i w:val="0"/>
          <w:color w:val="auto"/>
        </w:rPr>
        <w:t xml:space="preserve">easures and parameters adjustments in prior budget rounds – an increase of $1.9 million. </w:t>
      </w:r>
    </w:p>
    <w:p w:rsidR="00702FAB" w:rsidRPr="008D1576" w:rsidRDefault="00702FAB" w:rsidP="00702FAB">
      <w:pPr>
        <w:pStyle w:val="Exampletext"/>
        <w:rPr>
          <w:i w:val="0"/>
          <w:color w:val="auto"/>
        </w:rPr>
      </w:pPr>
      <w:r w:rsidRPr="008D1576">
        <w:rPr>
          <w:i w:val="0"/>
          <w:color w:val="auto"/>
        </w:rPr>
        <w:lastRenderedPageBreak/>
        <w:t>Offset by:</w:t>
      </w:r>
    </w:p>
    <w:p w:rsidR="00702FAB" w:rsidRPr="008D1576" w:rsidRDefault="00431C90" w:rsidP="00F37EE6">
      <w:pPr>
        <w:pStyle w:val="Exampletext"/>
        <w:numPr>
          <w:ilvl w:val="0"/>
          <w:numId w:val="31"/>
        </w:numPr>
        <w:rPr>
          <w:i w:val="0"/>
          <w:color w:val="auto"/>
        </w:rPr>
      </w:pPr>
      <w:r>
        <w:rPr>
          <w:i w:val="0"/>
          <w:color w:val="auto"/>
        </w:rPr>
        <w:t>o</w:t>
      </w:r>
      <w:r w:rsidR="00702FAB" w:rsidRPr="008D1576">
        <w:rPr>
          <w:i w:val="0"/>
          <w:color w:val="auto"/>
        </w:rPr>
        <w:t>ne-off severance funding in 2014-15 – a decrease of $0.4 million.</w:t>
      </w:r>
    </w:p>
    <w:p w:rsidR="00C2034D" w:rsidRPr="00D84EA0" w:rsidRDefault="00C2034D" w:rsidP="00C2034D">
      <w:pPr>
        <w:pStyle w:val="Exampletext"/>
        <w:rPr>
          <w:i w:val="0"/>
          <w:color w:val="auto"/>
        </w:rPr>
      </w:pPr>
      <w:r w:rsidRPr="00D84EA0">
        <w:rPr>
          <w:i w:val="0"/>
          <w:color w:val="auto"/>
        </w:rPr>
        <w:t xml:space="preserve">Austrade is receiving </w:t>
      </w:r>
      <w:r w:rsidRPr="00295338">
        <w:rPr>
          <w:i w:val="0"/>
          <w:color w:val="000000"/>
        </w:rPr>
        <w:t xml:space="preserve">funding of </w:t>
      </w:r>
      <w:r w:rsidRPr="00D14AB6">
        <w:rPr>
          <w:i w:val="0"/>
          <w:color w:val="000000"/>
        </w:rPr>
        <w:t>$16</w:t>
      </w:r>
      <w:r>
        <w:rPr>
          <w:i w:val="0"/>
          <w:color w:val="000000"/>
        </w:rPr>
        <w:t>.9</w:t>
      </w:r>
      <w:r w:rsidRPr="00295338">
        <w:rPr>
          <w:i w:val="0"/>
          <w:color w:val="000000"/>
        </w:rPr>
        <w:t xml:space="preserve"> million </w:t>
      </w:r>
      <w:r w:rsidRPr="00D84EA0">
        <w:rPr>
          <w:i w:val="0"/>
          <w:color w:val="auto"/>
        </w:rPr>
        <w:t xml:space="preserve">to fund the </w:t>
      </w:r>
      <w:r w:rsidR="0062706D">
        <w:rPr>
          <w:i w:val="0"/>
          <w:color w:val="auto"/>
        </w:rPr>
        <w:t>department’s capital expenditure</w:t>
      </w:r>
      <w:r w:rsidRPr="008E1D92">
        <w:rPr>
          <w:i w:val="0"/>
          <w:color w:val="auto"/>
        </w:rPr>
        <w:t xml:space="preserve"> which is treated as an equity injection. </w:t>
      </w:r>
    </w:p>
    <w:p w:rsidR="00C2034D" w:rsidRPr="00D84EA0" w:rsidRDefault="00C2034D" w:rsidP="00C2034D">
      <w:pPr>
        <w:pStyle w:val="Exampletext"/>
        <w:rPr>
          <w:i w:val="0"/>
          <w:color w:val="auto"/>
        </w:rPr>
      </w:pPr>
      <w:r w:rsidRPr="00D84EA0">
        <w:rPr>
          <w:i w:val="0"/>
          <w:color w:val="auto"/>
        </w:rPr>
        <w:t xml:space="preserve">Total estimated expenses for </w:t>
      </w:r>
      <w:r>
        <w:rPr>
          <w:i w:val="0"/>
          <w:color w:val="auto"/>
        </w:rPr>
        <w:t>2015-16</w:t>
      </w:r>
      <w:r w:rsidRPr="00D84EA0">
        <w:rPr>
          <w:i w:val="0"/>
          <w:color w:val="auto"/>
        </w:rPr>
        <w:t xml:space="preserve"> have </w:t>
      </w:r>
      <w:r>
        <w:rPr>
          <w:i w:val="0"/>
          <w:color w:val="auto"/>
        </w:rPr>
        <w:t>increased</w:t>
      </w:r>
      <w:r w:rsidRPr="00295338">
        <w:rPr>
          <w:i w:val="0"/>
          <w:color w:val="000000"/>
        </w:rPr>
        <w:t xml:space="preserve"> </w:t>
      </w:r>
      <w:r w:rsidRPr="00D14AB6">
        <w:rPr>
          <w:i w:val="0"/>
          <w:color w:val="000000"/>
        </w:rPr>
        <w:t>by $</w:t>
      </w:r>
      <w:r>
        <w:rPr>
          <w:i w:val="0"/>
          <w:color w:val="000000"/>
        </w:rPr>
        <w:t>27.</w:t>
      </w:r>
      <w:r w:rsidR="00023CA7">
        <w:rPr>
          <w:i w:val="0"/>
          <w:color w:val="000000"/>
        </w:rPr>
        <w:t>6</w:t>
      </w:r>
      <w:r w:rsidRPr="00295338">
        <w:rPr>
          <w:i w:val="0"/>
          <w:color w:val="000000"/>
        </w:rPr>
        <w:t xml:space="preserve"> million </w:t>
      </w:r>
      <w:r w:rsidRPr="00D84EA0">
        <w:rPr>
          <w:i w:val="0"/>
          <w:color w:val="auto"/>
        </w:rPr>
        <w:t xml:space="preserve">to reflect the </w:t>
      </w:r>
      <w:r>
        <w:rPr>
          <w:i w:val="0"/>
          <w:color w:val="auto"/>
        </w:rPr>
        <w:t>increase in income</w:t>
      </w:r>
      <w:r w:rsidRPr="00D84EA0">
        <w:rPr>
          <w:i w:val="0"/>
          <w:color w:val="auto"/>
        </w:rPr>
        <w:t>.</w:t>
      </w:r>
    </w:p>
    <w:p w:rsidR="00702FAB" w:rsidRPr="00047317" w:rsidRDefault="00702FAB" w:rsidP="00702FAB">
      <w:pPr>
        <w:pStyle w:val="Exampletext"/>
        <w:rPr>
          <w:rFonts w:ascii="Arial" w:hAnsi="Arial"/>
          <w:b/>
          <w:i w:val="0"/>
          <w:color w:val="auto"/>
        </w:rPr>
      </w:pPr>
      <w:r w:rsidRPr="00047317">
        <w:rPr>
          <w:rFonts w:ascii="Arial" w:hAnsi="Arial"/>
          <w:b/>
          <w:i w:val="0"/>
          <w:color w:val="auto"/>
        </w:rPr>
        <w:t>Budgeted departmental balance sheet</w:t>
      </w:r>
    </w:p>
    <w:p w:rsidR="00702FAB" w:rsidRPr="00BB0C57" w:rsidRDefault="00702FAB" w:rsidP="00702FAB">
      <w:pPr>
        <w:pStyle w:val="Exampletext"/>
        <w:rPr>
          <w:i w:val="0"/>
          <w:color w:val="auto"/>
          <w:highlight w:val="yellow"/>
        </w:rPr>
      </w:pPr>
      <w:r w:rsidRPr="00047317">
        <w:rPr>
          <w:i w:val="0"/>
          <w:color w:val="auto"/>
        </w:rPr>
        <w:t xml:space="preserve">This statement discloses the estimated end of year financial position for Austrade. Austrade’s </w:t>
      </w:r>
      <w:r w:rsidRPr="00D84EA0">
        <w:rPr>
          <w:i w:val="0"/>
          <w:color w:val="auto"/>
        </w:rPr>
        <w:t xml:space="preserve">budgeted net asset position at the end of </w:t>
      </w:r>
      <w:r>
        <w:rPr>
          <w:i w:val="0"/>
          <w:color w:val="auto"/>
        </w:rPr>
        <w:t>2015-16</w:t>
      </w:r>
      <w:r w:rsidRPr="00D84EA0">
        <w:rPr>
          <w:i w:val="0"/>
          <w:color w:val="auto"/>
        </w:rPr>
        <w:t xml:space="preserve"> </w:t>
      </w:r>
      <w:r w:rsidRPr="00AD349D">
        <w:rPr>
          <w:i w:val="0"/>
          <w:color w:val="auto"/>
        </w:rPr>
        <w:t>of $</w:t>
      </w:r>
      <w:r>
        <w:rPr>
          <w:i w:val="0"/>
          <w:color w:val="auto"/>
        </w:rPr>
        <w:t>60.6</w:t>
      </w:r>
      <w:r w:rsidRPr="00D84EA0">
        <w:rPr>
          <w:i w:val="0"/>
          <w:color w:val="auto"/>
        </w:rPr>
        <w:t xml:space="preserve"> million represents </w:t>
      </w:r>
      <w:r>
        <w:rPr>
          <w:i w:val="0"/>
          <w:color w:val="auto"/>
        </w:rPr>
        <w:t>an in</w:t>
      </w:r>
      <w:r w:rsidRPr="00AD349D">
        <w:rPr>
          <w:i w:val="0"/>
          <w:color w:val="auto"/>
        </w:rPr>
        <w:t>crease of $</w:t>
      </w:r>
      <w:r>
        <w:rPr>
          <w:i w:val="0"/>
          <w:color w:val="auto"/>
        </w:rPr>
        <w:t>0.3</w:t>
      </w:r>
      <w:r w:rsidRPr="00AD349D">
        <w:rPr>
          <w:i w:val="0"/>
          <w:color w:val="auto"/>
        </w:rPr>
        <w:t xml:space="preserve"> million</w:t>
      </w:r>
      <w:r w:rsidRPr="00D84EA0">
        <w:rPr>
          <w:i w:val="0"/>
          <w:color w:val="auto"/>
        </w:rPr>
        <w:t xml:space="preserve"> from the </w:t>
      </w:r>
      <w:r>
        <w:rPr>
          <w:i w:val="0"/>
          <w:color w:val="auto"/>
        </w:rPr>
        <w:t>2014-15</w:t>
      </w:r>
      <w:r w:rsidRPr="00D84EA0">
        <w:rPr>
          <w:i w:val="0"/>
          <w:color w:val="auto"/>
        </w:rPr>
        <w:t xml:space="preserve"> estimated actual in table 3.2.2 due to the variation </w:t>
      </w:r>
      <w:r>
        <w:rPr>
          <w:i w:val="0"/>
          <w:color w:val="auto"/>
        </w:rPr>
        <w:t>among</w:t>
      </w:r>
      <w:r w:rsidRPr="00D446FA">
        <w:rPr>
          <w:i w:val="0"/>
          <w:color w:val="auto"/>
        </w:rPr>
        <w:t xml:space="preserve"> capital program funding ($</w:t>
      </w:r>
      <w:r>
        <w:rPr>
          <w:i w:val="0"/>
          <w:color w:val="auto"/>
        </w:rPr>
        <w:t>16.9</w:t>
      </w:r>
      <w:r w:rsidRPr="00D84EA0">
        <w:rPr>
          <w:i w:val="0"/>
          <w:color w:val="auto"/>
        </w:rPr>
        <w:t xml:space="preserve"> million</w:t>
      </w:r>
      <w:r>
        <w:rPr>
          <w:i w:val="0"/>
          <w:color w:val="auto"/>
        </w:rPr>
        <w:t>),</w:t>
      </w:r>
      <w:r w:rsidRPr="00D84EA0">
        <w:rPr>
          <w:i w:val="0"/>
          <w:color w:val="auto"/>
        </w:rPr>
        <w:t xml:space="preserve"> estimated depreciation expense ($</w:t>
      </w:r>
      <w:r>
        <w:rPr>
          <w:i w:val="0"/>
          <w:color w:val="auto"/>
        </w:rPr>
        <w:t>17.5 million) and estimated revaluation surplus (</w:t>
      </w:r>
      <w:r w:rsidR="00431C90">
        <w:rPr>
          <w:i w:val="0"/>
          <w:color w:val="auto"/>
        </w:rPr>
        <w:t>$</w:t>
      </w:r>
      <w:r>
        <w:rPr>
          <w:i w:val="0"/>
          <w:color w:val="auto"/>
        </w:rPr>
        <w:t>0.9 million).</w:t>
      </w:r>
    </w:p>
    <w:p w:rsidR="00702FAB" w:rsidRPr="00047317" w:rsidRDefault="00702FAB" w:rsidP="00702FAB">
      <w:pPr>
        <w:pStyle w:val="Exampletext"/>
        <w:rPr>
          <w:rFonts w:ascii="Arial" w:hAnsi="Arial"/>
          <w:b/>
          <w:i w:val="0"/>
          <w:color w:val="auto"/>
        </w:rPr>
      </w:pPr>
      <w:r w:rsidRPr="00047317">
        <w:rPr>
          <w:rFonts w:ascii="Arial" w:hAnsi="Arial"/>
          <w:b/>
          <w:i w:val="0"/>
          <w:color w:val="auto"/>
        </w:rPr>
        <w:t>Departmental statement of changes in equity — summary of movement</w:t>
      </w:r>
    </w:p>
    <w:p w:rsidR="00C2034D" w:rsidRPr="00D84EA0" w:rsidRDefault="00C2034D" w:rsidP="00C2034D">
      <w:pPr>
        <w:pStyle w:val="Exampletext"/>
        <w:rPr>
          <w:i w:val="0"/>
          <w:color w:val="auto"/>
        </w:rPr>
      </w:pPr>
      <w:r w:rsidRPr="00047317">
        <w:rPr>
          <w:i w:val="0"/>
          <w:color w:val="auto"/>
        </w:rPr>
        <w:t xml:space="preserve">This statement shows changes in equity resulting from the net impact of movements in accumulated results, </w:t>
      </w:r>
      <w:r w:rsidRPr="00D84EA0">
        <w:rPr>
          <w:i w:val="0"/>
          <w:color w:val="auto"/>
        </w:rPr>
        <w:t>assets revaluation and other reserves, and contributed equity.</w:t>
      </w:r>
    </w:p>
    <w:p w:rsidR="00C2034D" w:rsidRPr="00D84EA0" w:rsidRDefault="00C2034D" w:rsidP="00C2034D">
      <w:pPr>
        <w:pStyle w:val="Exampletext"/>
        <w:rPr>
          <w:i w:val="0"/>
          <w:color w:val="auto"/>
        </w:rPr>
      </w:pPr>
      <w:r w:rsidRPr="00D84EA0">
        <w:rPr>
          <w:i w:val="0"/>
          <w:color w:val="auto"/>
        </w:rPr>
        <w:t xml:space="preserve">Total equity at the end of </w:t>
      </w:r>
      <w:r>
        <w:rPr>
          <w:i w:val="0"/>
          <w:color w:val="auto"/>
        </w:rPr>
        <w:t>2015-16</w:t>
      </w:r>
      <w:r w:rsidRPr="00D84EA0">
        <w:rPr>
          <w:i w:val="0"/>
          <w:color w:val="auto"/>
        </w:rPr>
        <w:t xml:space="preserve"> </w:t>
      </w:r>
      <w:r>
        <w:rPr>
          <w:i w:val="0"/>
          <w:color w:val="auto"/>
        </w:rPr>
        <w:t>is estimated to be $60.6</w:t>
      </w:r>
      <w:r w:rsidRPr="00D446FA">
        <w:rPr>
          <w:i w:val="0"/>
          <w:color w:val="auto"/>
        </w:rPr>
        <w:t xml:space="preserve"> million, a</w:t>
      </w:r>
      <w:r>
        <w:rPr>
          <w:i w:val="0"/>
          <w:color w:val="auto"/>
        </w:rPr>
        <w:t>n in</w:t>
      </w:r>
      <w:r w:rsidRPr="00D446FA">
        <w:rPr>
          <w:i w:val="0"/>
          <w:color w:val="auto"/>
        </w:rPr>
        <w:t xml:space="preserve">crease of </w:t>
      </w:r>
      <w:r w:rsidR="009E576C">
        <w:rPr>
          <w:i w:val="0"/>
          <w:color w:val="auto"/>
        </w:rPr>
        <w:br/>
      </w:r>
      <w:r w:rsidRPr="00D446FA">
        <w:rPr>
          <w:i w:val="0"/>
          <w:color w:val="auto"/>
        </w:rPr>
        <w:t>$</w:t>
      </w:r>
      <w:r>
        <w:rPr>
          <w:i w:val="0"/>
          <w:color w:val="auto"/>
        </w:rPr>
        <w:t>0.3</w:t>
      </w:r>
      <w:r w:rsidRPr="00D446FA">
        <w:rPr>
          <w:i w:val="0"/>
          <w:color w:val="auto"/>
        </w:rPr>
        <w:t xml:space="preserve"> million due to the variation </w:t>
      </w:r>
      <w:r>
        <w:rPr>
          <w:i w:val="0"/>
          <w:color w:val="auto"/>
        </w:rPr>
        <w:t>among</w:t>
      </w:r>
      <w:r w:rsidRPr="00D446FA">
        <w:rPr>
          <w:i w:val="0"/>
          <w:color w:val="auto"/>
        </w:rPr>
        <w:t xml:space="preserve"> capital program funding ($</w:t>
      </w:r>
      <w:r>
        <w:rPr>
          <w:i w:val="0"/>
          <w:color w:val="auto"/>
        </w:rPr>
        <w:t>16.9</w:t>
      </w:r>
      <w:r w:rsidRPr="00D84EA0">
        <w:rPr>
          <w:i w:val="0"/>
          <w:color w:val="auto"/>
        </w:rPr>
        <w:t xml:space="preserve"> million</w:t>
      </w:r>
      <w:r>
        <w:rPr>
          <w:i w:val="0"/>
          <w:color w:val="auto"/>
        </w:rPr>
        <w:t>),</w:t>
      </w:r>
      <w:r w:rsidRPr="00D84EA0">
        <w:rPr>
          <w:i w:val="0"/>
          <w:color w:val="auto"/>
        </w:rPr>
        <w:t xml:space="preserve"> estimated depreciation expense ($</w:t>
      </w:r>
      <w:r>
        <w:rPr>
          <w:i w:val="0"/>
          <w:color w:val="auto"/>
        </w:rPr>
        <w:t xml:space="preserve">17.5 million) and estimated revaluation surplus </w:t>
      </w:r>
      <w:r w:rsidR="009E576C">
        <w:rPr>
          <w:i w:val="0"/>
          <w:color w:val="auto"/>
        </w:rPr>
        <w:br/>
      </w:r>
      <w:r>
        <w:rPr>
          <w:i w:val="0"/>
          <w:color w:val="auto"/>
        </w:rPr>
        <w:t>(</w:t>
      </w:r>
      <w:r w:rsidR="00431C90">
        <w:rPr>
          <w:i w:val="0"/>
          <w:color w:val="auto"/>
        </w:rPr>
        <w:t>$</w:t>
      </w:r>
      <w:r>
        <w:rPr>
          <w:i w:val="0"/>
          <w:color w:val="auto"/>
        </w:rPr>
        <w:t>0.9 million).</w:t>
      </w:r>
    </w:p>
    <w:p w:rsidR="00702FAB" w:rsidRPr="00047317" w:rsidRDefault="00702FAB" w:rsidP="00702FAB">
      <w:pPr>
        <w:pStyle w:val="Exampletext"/>
        <w:rPr>
          <w:rFonts w:ascii="Arial" w:hAnsi="Arial"/>
          <w:b/>
          <w:i w:val="0"/>
          <w:color w:val="auto"/>
        </w:rPr>
      </w:pPr>
      <w:r w:rsidRPr="00047317">
        <w:rPr>
          <w:rFonts w:ascii="Arial" w:hAnsi="Arial"/>
          <w:b/>
          <w:i w:val="0"/>
          <w:color w:val="auto"/>
        </w:rPr>
        <w:t>Budgeted departmental statement of cash flows</w:t>
      </w:r>
    </w:p>
    <w:p w:rsidR="00702FAB" w:rsidRPr="00047317" w:rsidRDefault="00C2034D" w:rsidP="00702FAB">
      <w:pPr>
        <w:pStyle w:val="Exampletext"/>
        <w:rPr>
          <w:i w:val="0"/>
          <w:color w:val="auto"/>
        </w:rPr>
      </w:pPr>
      <w:r w:rsidRPr="00047317">
        <w:rPr>
          <w:i w:val="0"/>
          <w:color w:val="auto"/>
        </w:rPr>
        <w:t xml:space="preserve">This statement shows the extent and nature of cash flows as a result of Austrade’s operating, investing and financing activities. Austrade’s cash balance at the end of </w:t>
      </w:r>
      <w:r>
        <w:rPr>
          <w:i w:val="0"/>
          <w:color w:val="auto"/>
        </w:rPr>
        <w:t>2015-16</w:t>
      </w:r>
      <w:r w:rsidRPr="00047317">
        <w:rPr>
          <w:i w:val="0"/>
          <w:color w:val="auto"/>
        </w:rPr>
        <w:t xml:space="preserve"> is estimated to </w:t>
      </w:r>
      <w:r w:rsidRPr="00EF5BBB">
        <w:rPr>
          <w:i w:val="0"/>
          <w:color w:val="auto"/>
        </w:rPr>
        <w:t>be $5.5 million</w:t>
      </w:r>
      <w:r w:rsidR="009E576C">
        <w:rPr>
          <w:i w:val="0"/>
          <w:color w:val="auto"/>
        </w:rPr>
        <w:t>.</w:t>
      </w:r>
    </w:p>
    <w:p w:rsidR="00702FAB" w:rsidRPr="00047317" w:rsidRDefault="00702FAB" w:rsidP="00702FAB">
      <w:pPr>
        <w:pStyle w:val="Exampletext"/>
        <w:rPr>
          <w:rFonts w:ascii="Arial" w:hAnsi="Arial"/>
          <w:b/>
          <w:i w:val="0"/>
          <w:color w:val="auto"/>
        </w:rPr>
      </w:pPr>
      <w:r w:rsidRPr="00047317">
        <w:rPr>
          <w:rFonts w:ascii="Arial" w:hAnsi="Arial"/>
          <w:b/>
          <w:i w:val="0"/>
          <w:color w:val="auto"/>
        </w:rPr>
        <w:t>Departmental capital budget statement</w:t>
      </w:r>
    </w:p>
    <w:p w:rsidR="00702FAB" w:rsidRPr="00047317" w:rsidRDefault="00C2034D" w:rsidP="00702FAB">
      <w:pPr>
        <w:pStyle w:val="Exampletext"/>
        <w:rPr>
          <w:i w:val="0"/>
          <w:color w:val="auto"/>
        </w:rPr>
      </w:pPr>
      <w:r w:rsidRPr="00047317">
        <w:rPr>
          <w:i w:val="0"/>
          <w:color w:val="auto"/>
        </w:rPr>
        <w:t>This statement shows all planned departmental capital expenditure on non-financial assets, whether funded through capital appropriations, additional equity, borrowings, or funds from internal sources.</w:t>
      </w:r>
    </w:p>
    <w:p w:rsidR="00702FAB" w:rsidRPr="00047317" w:rsidRDefault="00702FAB" w:rsidP="00702FAB">
      <w:pPr>
        <w:pStyle w:val="Exampletext"/>
        <w:rPr>
          <w:rFonts w:ascii="Arial" w:hAnsi="Arial"/>
          <w:b/>
          <w:i w:val="0"/>
          <w:color w:val="auto"/>
        </w:rPr>
      </w:pPr>
      <w:r w:rsidRPr="00047317">
        <w:rPr>
          <w:rFonts w:ascii="Arial" w:hAnsi="Arial"/>
          <w:b/>
          <w:i w:val="0"/>
          <w:color w:val="auto"/>
        </w:rPr>
        <w:t>Departmental statement of asset movements</w:t>
      </w:r>
    </w:p>
    <w:p w:rsidR="00702FAB" w:rsidRDefault="00C2034D" w:rsidP="00702FAB">
      <w:pPr>
        <w:pStyle w:val="Exampletext"/>
        <w:rPr>
          <w:i w:val="0"/>
          <w:color w:val="auto"/>
        </w:rPr>
      </w:pPr>
      <w:r w:rsidRPr="00047317">
        <w:rPr>
          <w:i w:val="0"/>
          <w:color w:val="auto"/>
        </w:rPr>
        <w:t>This statement shows budgeted acquisitions and disposals of non-financial assets during the budget year.</w:t>
      </w:r>
    </w:p>
    <w:p w:rsidR="00023CA7" w:rsidRDefault="00023CA7" w:rsidP="00702FAB">
      <w:pPr>
        <w:pStyle w:val="Exampletext"/>
        <w:rPr>
          <w:i w:val="0"/>
          <w:color w:val="auto"/>
        </w:rPr>
      </w:pPr>
    </w:p>
    <w:p w:rsidR="00702FAB" w:rsidRPr="00047317" w:rsidRDefault="00702FAB" w:rsidP="00702FAB">
      <w:pPr>
        <w:pStyle w:val="Exampletext"/>
        <w:rPr>
          <w:rFonts w:ascii="Arial" w:hAnsi="Arial"/>
          <w:b/>
          <w:i w:val="0"/>
          <w:color w:val="auto"/>
          <w:sz w:val="22"/>
        </w:rPr>
      </w:pPr>
      <w:r w:rsidRPr="00047317">
        <w:rPr>
          <w:rFonts w:ascii="Arial" w:hAnsi="Arial"/>
          <w:b/>
          <w:i w:val="0"/>
          <w:color w:val="auto"/>
          <w:sz w:val="22"/>
        </w:rPr>
        <w:lastRenderedPageBreak/>
        <w:t>Schedule of administered activity</w:t>
      </w:r>
    </w:p>
    <w:p w:rsidR="00702FAB" w:rsidRPr="00047317" w:rsidRDefault="00C2034D" w:rsidP="00702FAB">
      <w:pPr>
        <w:pStyle w:val="Exampletext"/>
        <w:rPr>
          <w:i w:val="0"/>
          <w:color w:val="auto"/>
        </w:rPr>
      </w:pPr>
      <w:r w:rsidRPr="00047317">
        <w:rPr>
          <w:i w:val="0"/>
          <w:color w:val="auto"/>
        </w:rPr>
        <w:t>Details of transactions administered by Austrade on behalf of the Government are shown in the following schedules to the financial statements.</w:t>
      </w:r>
    </w:p>
    <w:p w:rsidR="00702FAB" w:rsidRPr="00047317" w:rsidRDefault="00702FAB" w:rsidP="00431C90">
      <w:pPr>
        <w:pStyle w:val="Exampletext"/>
        <w:jc w:val="left"/>
        <w:rPr>
          <w:rFonts w:ascii="Arial" w:hAnsi="Arial"/>
          <w:b/>
          <w:i w:val="0"/>
          <w:color w:val="auto"/>
        </w:rPr>
      </w:pPr>
      <w:r w:rsidRPr="00047317">
        <w:rPr>
          <w:rFonts w:ascii="Arial" w:hAnsi="Arial"/>
          <w:b/>
          <w:i w:val="0"/>
          <w:color w:val="auto"/>
        </w:rPr>
        <w:t>Schedule of budgeted income and expenses administered on behalf of Government</w:t>
      </w:r>
    </w:p>
    <w:p w:rsidR="00C2034D" w:rsidRPr="00047317" w:rsidRDefault="00C2034D" w:rsidP="00C2034D">
      <w:pPr>
        <w:pStyle w:val="Exampletext"/>
        <w:rPr>
          <w:i w:val="0"/>
          <w:color w:val="auto"/>
        </w:rPr>
      </w:pPr>
      <w:r w:rsidRPr="00047317">
        <w:rPr>
          <w:i w:val="0"/>
          <w:color w:val="auto"/>
        </w:rPr>
        <w:t>This schedule discloses revenue and expenses administered on behalf of the Government.</w:t>
      </w:r>
    </w:p>
    <w:p w:rsidR="00702FAB" w:rsidRDefault="00023CA7" w:rsidP="00C2034D">
      <w:pPr>
        <w:pStyle w:val="Exampletext"/>
        <w:rPr>
          <w:i w:val="0"/>
          <w:color w:val="auto"/>
        </w:rPr>
      </w:pPr>
      <w:r w:rsidRPr="00047317">
        <w:rPr>
          <w:i w:val="0"/>
          <w:color w:val="auto"/>
        </w:rPr>
        <w:t>Administered expenses of $</w:t>
      </w:r>
      <w:r>
        <w:rPr>
          <w:i w:val="0"/>
          <w:color w:val="auto"/>
        </w:rPr>
        <w:t>145.3</w:t>
      </w:r>
      <w:r w:rsidRPr="00047317">
        <w:rPr>
          <w:i w:val="0"/>
          <w:color w:val="auto"/>
        </w:rPr>
        <w:t xml:space="preserve"> million for </w:t>
      </w:r>
      <w:r>
        <w:rPr>
          <w:i w:val="0"/>
          <w:color w:val="auto"/>
        </w:rPr>
        <w:t>2015-16 relate to the EMDG s</w:t>
      </w:r>
      <w:r w:rsidRPr="00047317">
        <w:rPr>
          <w:i w:val="0"/>
          <w:color w:val="auto"/>
        </w:rPr>
        <w:t>cheme</w:t>
      </w:r>
      <w:r>
        <w:rPr>
          <w:i w:val="0"/>
          <w:color w:val="auto"/>
        </w:rPr>
        <w:t xml:space="preserve"> ($137.9 million), ABE plan ($0.6 </w:t>
      </w:r>
      <w:r w:rsidRPr="00D446FA">
        <w:rPr>
          <w:i w:val="0"/>
          <w:color w:val="auto"/>
        </w:rPr>
        <w:t>million)</w:t>
      </w:r>
      <w:r>
        <w:rPr>
          <w:i w:val="0"/>
          <w:color w:val="auto"/>
        </w:rPr>
        <w:t xml:space="preserve">, FTA Promotion ($1.4 million), </w:t>
      </w:r>
      <w:r w:rsidR="0038538C">
        <w:rPr>
          <w:i w:val="0"/>
          <w:color w:val="auto"/>
        </w:rPr>
        <w:t>Developing Northern Australia - positioning the north as a leader in tropical h</w:t>
      </w:r>
      <w:r>
        <w:rPr>
          <w:i w:val="0"/>
          <w:color w:val="auto"/>
        </w:rPr>
        <w:t>ealth ($1.0 million) and TRTP grants ($4.4 million)</w:t>
      </w:r>
      <w:r w:rsidRPr="00D446FA">
        <w:rPr>
          <w:i w:val="0"/>
          <w:color w:val="auto"/>
        </w:rPr>
        <w:t xml:space="preserve">. </w:t>
      </w:r>
      <w:r>
        <w:rPr>
          <w:i w:val="0"/>
          <w:color w:val="auto"/>
        </w:rPr>
        <w:t>The EMDG s</w:t>
      </w:r>
      <w:r w:rsidRPr="00D446FA">
        <w:rPr>
          <w:i w:val="0"/>
          <w:color w:val="auto"/>
        </w:rPr>
        <w:t>cheme is comprised of $</w:t>
      </w:r>
      <w:r>
        <w:rPr>
          <w:i w:val="0"/>
          <w:color w:val="auto"/>
        </w:rPr>
        <w:t>131.0</w:t>
      </w:r>
      <w:r w:rsidRPr="00D446FA">
        <w:rPr>
          <w:i w:val="0"/>
          <w:color w:val="auto"/>
        </w:rPr>
        <w:t xml:space="preserve"> milli</w:t>
      </w:r>
      <w:r>
        <w:rPr>
          <w:i w:val="0"/>
          <w:color w:val="auto"/>
        </w:rPr>
        <w:t>on in grant expenditure and $6.9</w:t>
      </w:r>
      <w:r w:rsidRPr="00D446FA">
        <w:rPr>
          <w:i w:val="0"/>
          <w:color w:val="auto"/>
        </w:rPr>
        <w:t xml:space="preserve"> million in expenditure for the costs of administration on behalf of the Government</w:t>
      </w:r>
      <w:r>
        <w:rPr>
          <w:i w:val="0"/>
          <w:color w:val="auto"/>
        </w:rPr>
        <w:t xml:space="preserve">. The ABE plan, FTA Promotion, </w:t>
      </w:r>
      <w:r w:rsidR="0002613F">
        <w:rPr>
          <w:i w:val="0"/>
          <w:color w:val="auto"/>
        </w:rPr>
        <w:t>Developing Northern Australia - positioning the north as a leader in tropical health</w:t>
      </w:r>
      <w:r>
        <w:rPr>
          <w:i w:val="0"/>
          <w:color w:val="auto"/>
        </w:rPr>
        <w:t xml:space="preserve"> and TRTP are comprised of grants expenditure only</w:t>
      </w:r>
      <w:r w:rsidRPr="00D446FA">
        <w:rPr>
          <w:i w:val="0"/>
          <w:color w:val="auto"/>
        </w:rPr>
        <w:t>.</w:t>
      </w:r>
      <w:r w:rsidR="00C2034D">
        <w:rPr>
          <w:i w:val="0"/>
          <w:color w:val="auto"/>
        </w:rPr>
        <w:t xml:space="preserve"> </w:t>
      </w:r>
      <w:r w:rsidR="00702FAB">
        <w:rPr>
          <w:i w:val="0"/>
          <w:color w:val="auto"/>
        </w:rPr>
        <w:t xml:space="preserve"> </w:t>
      </w:r>
    </w:p>
    <w:p w:rsidR="00431C90" w:rsidRPr="00431C90" w:rsidRDefault="00702FAB" w:rsidP="00431C90">
      <w:pPr>
        <w:pStyle w:val="Exampletext"/>
        <w:jc w:val="left"/>
        <w:rPr>
          <w:rFonts w:ascii="Arial" w:hAnsi="Arial"/>
          <w:b/>
          <w:i w:val="0"/>
          <w:color w:val="auto"/>
        </w:rPr>
      </w:pPr>
      <w:r w:rsidRPr="00047317">
        <w:rPr>
          <w:rFonts w:ascii="Arial" w:hAnsi="Arial"/>
          <w:b/>
          <w:i w:val="0"/>
          <w:color w:val="auto"/>
        </w:rPr>
        <w:t>Schedule of budgeted assets and liabilities administered on behalf of Government</w:t>
      </w:r>
    </w:p>
    <w:p w:rsidR="00C2034D" w:rsidRPr="00047317" w:rsidRDefault="00C2034D" w:rsidP="00C2034D">
      <w:pPr>
        <w:pStyle w:val="Exampletext"/>
        <w:rPr>
          <w:i w:val="0"/>
          <w:color w:val="auto"/>
        </w:rPr>
      </w:pPr>
      <w:r w:rsidRPr="00047317">
        <w:rPr>
          <w:i w:val="0"/>
          <w:color w:val="auto"/>
        </w:rPr>
        <w:t>This schedule identifies the assets and liabilities administered on behalf of the Government.</w:t>
      </w:r>
    </w:p>
    <w:p w:rsidR="00702FAB" w:rsidRPr="00D84EA0" w:rsidRDefault="00C2034D" w:rsidP="00C2034D">
      <w:pPr>
        <w:pStyle w:val="Exampletext"/>
        <w:rPr>
          <w:i w:val="0"/>
          <w:color w:val="auto"/>
        </w:rPr>
      </w:pPr>
      <w:r w:rsidRPr="00D446FA">
        <w:rPr>
          <w:i w:val="0"/>
          <w:color w:val="auto"/>
        </w:rPr>
        <w:t xml:space="preserve">Total administered assets and liabilities for </w:t>
      </w:r>
      <w:r>
        <w:rPr>
          <w:i w:val="0"/>
          <w:color w:val="auto"/>
        </w:rPr>
        <w:t>2015-16</w:t>
      </w:r>
      <w:r w:rsidRPr="00D446FA">
        <w:rPr>
          <w:i w:val="0"/>
          <w:color w:val="auto"/>
        </w:rPr>
        <w:t xml:space="preserve"> are estimated at $0.1 million and $</w:t>
      </w:r>
      <w:r>
        <w:rPr>
          <w:i w:val="0"/>
          <w:color w:val="auto"/>
        </w:rPr>
        <w:t>9.0</w:t>
      </w:r>
      <w:r w:rsidRPr="00D84EA0">
        <w:rPr>
          <w:i w:val="0"/>
          <w:color w:val="auto"/>
        </w:rPr>
        <w:t xml:space="preserve"> million respectively.</w:t>
      </w:r>
    </w:p>
    <w:p w:rsidR="00702FAB" w:rsidRPr="00047317" w:rsidRDefault="00702FAB" w:rsidP="00702FAB">
      <w:pPr>
        <w:pStyle w:val="Exampletext"/>
        <w:rPr>
          <w:rFonts w:ascii="Arial" w:hAnsi="Arial"/>
          <w:b/>
          <w:i w:val="0"/>
          <w:color w:val="auto"/>
        </w:rPr>
      </w:pPr>
      <w:r w:rsidRPr="00047317">
        <w:rPr>
          <w:rFonts w:ascii="Arial" w:hAnsi="Arial"/>
          <w:b/>
          <w:i w:val="0"/>
          <w:color w:val="auto"/>
        </w:rPr>
        <w:t>Schedule of budgeted administered cash flows</w:t>
      </w:r>
    </w:p>
    <w:p w:rsidR="009131E0" w:rsidRDefault="00C2034D" w:rsidP="00DD3834">
      <w:pPr>
        <w:pStyle w:val="Heading4"/>
        <w:spacing w:before="0"/>
      </w:pPr>
      <w:r w:rsidRPr="00C2034D">
        <w:rPr>
          <w:rFonts w:ascii="Book Antiqua" w:hAnsi="Book Antiqua"/>
          <w:b w:val="0"/>
          <w:sz w:val="20"/>
        </w:rPr>
        <w:t>This schedule shows cash flows administered on behalf of the Government. All cash received is expected to be expended on the relevant programs.</w:t>
      </w:r>
      <w:r w:rsidR="009131E0" w:rsidRPr="00C2034D">
        <w:rPr>
          <w:rFonts w:ascii="Book Antiqua" w:hAnsi="Book Antiqua"/>
          <w:b w:val="0"/>
          <w:sz w:val="20"/>
        </w:rPr>
        <w:br w:type="page"/>
      </w:r>
      <w:r w:rsidR="009131E0">
        <w:lastRenderedPageBreak/>
        <w:t>3.2.3</w:t>
      </w:r>
      <w:r w:rsidR="009131E0">
        <w:tab/>
        <w:t>Budgeted financial statements tables</w:t>
      </w:r>
    </w:p>
    <w:p w:rsidR="009131E0" w:rsidRPr="002402D8" w:rsidRDefault="009131E0" w:rsidP="009131E0">
      <w:pPr>
        <w:pStyle w:val="TableHeading"/>
        <w:rPr>
          <w:snapToGrid w:val="0"/>
          <w:sz w:val="20"/>
        </w:rPr>
      </w:pPr>
      <w:r w:rsidRPr="002402D8">
        <w:rPr>
          <w:sz w:val="20"/>
        </w:rPr>
        <w:t xml:space="preserve">Table 3.2.1: Comprehensive income statement (showing net cost of services) </w:t>
      </w:r>
      <w:r w:rsidRPr="002402D8">
        <w:rPr>
          <w:snapToGrid w:val="0"/>
          <w:sz w:val="20"/>
        </w:rPr>
        <w:t>for the period ended 30 June</w:t>
      </w:r>
    </w:p>
    <w:p w:rsidR="009131E0" w:rsidRPr="00F626C2" w:rsidRDefault="00833238" w:rsidP="009131E0">
      <w:pPr>
        <w:pStyle w:val="TableGraphic"/>
      </w:pPr>
      <w:r>
        <w:pict>
          <v:shape id="_x0000_i1081" type="#_x0000_t75" style="width:383.4pt;height:351.6pt">
            <v:imagedata r:id="rId122" o:title=""/>
          </v:shape>
        </w:pict>
      </w:r>
    </w:p>
    <w:p w:rsidR="00C2034D" w:rsidRPr="00522B70" w:rsidRDefault="00C2034D" w:rsidP="00C2034D">
      <w:pPr>
        <w:pStyle w:val="TableGraphic"/>
        <w:rPr>
          <w:i/>
        </w:rPr>
      </w:pPr>
      <w:r w:rsidRPr="00522B70">
        <w:rPr>
          <w:i/>
        </w:rPr>
        <w:t xml:space="preserve">Table continued on the following page. </w:t>
      </w:r>
    </w:p>
    <w:p w:rsidR="009131E0" w:rsidRPr="008F6F29" w:rsidRDefault="002402D8" w:rsidP="00DD3834">
      <w:pPr>
        <w:pStyle w:val="TableHeading"/>
        <w:spacing w:before="0"/>
        <w:rPr>
          <w:snapToGrid w:val="0"/>
          <w:sz w:val="20"/>
        </w:rPr>
      </w:pPr>
      <w:r>
        <w:rPr>
          <w:i/>
          <w:color w:val="FF0000"/>
        </w:rPr>
        <w:br w:type="page"/>
      </w:r>
      <w:r w:rsidRPr="002402D8">
        <w:rPr>
          <w:sz w:val="20"/>
        </w:rPr>
        <w:lastRenderedPageBreak/>
        <w:t xml:space="preserve">Table 3.2.1: Comprehensive income statement (showing net cost of services) </w:t>
      </w:r>
      <w:r w:rsidRPr="002402D8">
        <w:rPr>
          <w:snapToGrid w:val="0"/>
          <w:sz w:val="20"/>
        </w:rPr>
        <w:t>for the p</w:t>
      </w:r>
      <w:r w:rsidR="008F6F29">
        <w:rPr>
          <w:snapToGrid w:val="0"/>
          <w:sz w:val="20"/>
        </w:rPr>
        <w:t>eriod ended 30 June (continued)</w:t>
      </w:r>
    </w:p>
    <w:p w:rsidR="009131E0" w:rsidRPr="00A965CD" w:rsidRDefault="00833238" w:rsidP="009131E0">
      <w:pPr>
        <w:pStyle w:val="TableGraphic"/>
      </w:pPr>
      <w:r>
        <w:pict>
          <v:shape id="_x0000_i1082" type="#_x0000_t75" style="width:384.3pt;height:156.15pt">
            <v:imagedata r:id="rId123" o:title=""/>
          </v:shape>
        </w:pict>
      </w:r>
    </w:p>
    <w:p w:rsidR="002402D8" w:rsidRDefault="002402D8" w:rsidP="00F37EE6">
      <w:pPr>
        <w:pStyle w:val="ChartandTableFootnoteAlpha"/>
        <w:numPr>
          <w:ilvl w:val="0"/>
          <w:numId w:val="32"/>
        </w:numPr>
      </w:pPr>
      <w:r w:rsidRPr="000A1C0E">
        <w:t>From 2010-11, the Government introduced net cash appropriation arrangements where Bill 1 revenue appropriations for the depreciation/</w:t>
      </w:r>
      <w:r>
        <w:t xml:space="preserve">amortisation expenses of </w:t>
      </w:r>
      <w:r w:rsidR="009E576C">
        <w:t>Commonwealth entities (and select corporate Commonwealth entities)</w:t>
      </w:r>
      <w:r w:rsidRPr="000A1C0E">
        <w:t xml:space="preserve"> were replaced with a separate capital budget (the Departmental Capital Budget, or DCB) provided through Bill 1 equity appropriations. For information regarding DCBs, please refer to Table 3.2.5 Departmental Capital Budget Statement</w:t>
      </w:r>
      <w:r>
        <w:t>.</w:t>
      </w:r>
    </w:p>
    <w:p w:rsidR="009131E0" w:rsidRDefault="009131E0" w:rsidP="002402D8">
      <w:pPr>
        <w:pStyle w:val="ChartandTableFootnoteAlpha"/>
        <w:numPr>
          <w:ilvl w:val="0"/>
          <w:numId w:val="0"/>
        </w:numPr>
      </w:pPr>
      <w:r w:rsidRPr="00E4582E">
        <w:t>Prepared on Australian Accounting Standards basis</w:t>
      </w:r>
      <w:r>
        <w:t>.</w:t>
      </w:r>
    </w:p>
    <w:p w:rsidR="009131E0" w:rsidRDefault="009131E0" w:rsidP="009131E0">
      <w:pPr>
        <w:pStyle w:val="Source"/>
      </w:pPr>
    </w:p>
    <w:p w:rsidR="009131E0" w:rsidRPr="008F6F29" w:rsidRDefault="009131E0" w:rsidP="00DD3834">
      <w:pPr>
        <w:pStyle w:val="TableHeading"/>
        <w:spacing w:before="0"/>
        <w:rPr>
          <w:sz w:val="20"/>
        </w:rPr>
      </w:pPr>
      <w:r>
        <w:br w:type="page"/>
      </w:r>
      <w:r w:rsidRPr="008F6F29">
        <w:rPr>
          <w:sz w:val="20"/>
        </w:rPr>
        <w:lastRenderedPageBreak/>
        <w:t>Table 3.2.2: Budgeted departmental balance sheet (as at 30 June)</w:t>
      </w:r>
    </w:p>
    <w:p w:rsidR="009131E0" w:rsidRPr="00F626C2" w:rsidRDefault="00833238" w:rsidP="009131E0">
      <w:pPr>
        <w:pStyle w:val="TableGraphic"/>
      </w:pPr>
      <w:r>
        <w:pict>
          <v:shape id="_x0000_i1083" type="#_x0000_t75" style="width:383.4pt;height:397.4pt">
            <v:imagedata r:id="rId124" o:title=""/>
          </v:shape>
        </w:pict>
      </w:r>
    </w:p>
    <w:p w:rsidR="009131E0" w:rsidRDefault="009131E0" w:rsidP="009131E0">
      <w:pPr>
        <w:pStyle w:val="ChartandTableFootnote"/>
      </w:pPr>
      <w:r w:rsidRPr="00E4582E">
        <w:t>*</w:t>
      </w:r>
      <w:r w:rsidR="006A2EB3">
        <w:t>‘</w:t>
      </w:r>
      <w:r w:rsidRPr="00F626C2">
        <w:t>E</w:t>
      </w:r>
      <w:r>
        <w:t>quity’</w:t>
      </w:r>
      <w:r w:rsidRPr="00E4582E">
        <w:t xml:space="preserve"> is the residual interest in assets after deduction of liabilities.</w:t>
      </w:r>
    </w:p>
    <w:p w:rsidR="009131E0" w:rsidRDefault="009131E0" w:rsidP="009131E0">
      <w:pPr>
        <w:pStyle w:val="Source"/>
      </w:pPr>
      <w:r>
        <w:t>Prepared on Australian Accounting Standards basis.</w:t>
      </w:r>
    </w:p>
    <w:p w:rsidR="009131E0" w:rsidRDefault="009131E0" w:rsidP="009131E0">
      <w:pPr>
        <w:pStyle w:val="NoSpacing"/>
      </w:pPr>
    </w:p>
    <w:p w:rsidR="009131E0" w:rsidRPr="008F6F29" w:rsidRDefault="009131E0" w:rsidP="00DD3834">
      <w:pPr>
        <w:pStyle w:val="TableHeading"/>
        <w:spacing w:before="0"/>
        <w:rPr>
          <w:sz w:val="20"/>
        </w:rPr>
      </w:pPr>
      <w:r>
        <w:br w:type="page"/>
      </w:r>
      <w:r w:rsidRPr="008F6F29">
        <w:rPr>
          <w:sz w:val="20"/>
        </w:rPr>
        <w:lastRenderedPageBreak/>
        <w:t>Table 3.2.3: Departmental statement of changes in equity — summary of movement (Budget year 2015-16)</w:t>
      </w:r>
    </w:p>
    <w:p w:rsidR="009131E0" w:rsidRPr="008F6F29" w:rsidRDefault="00833238" w:rsidP="009131E0">
      <w:pPr>
        <w:pStyle w:val="TableGraphic"/>
      </w:pPr>
      <w:r>
        <w:pict>
          <v:shape id="_x0000_i1084" type="#_x0000_t75" style="width:385.25pt;height:225.35pt">
            <v:imagedata r:id="rId125" o:title=""/>
          </v:shape>
        </w:pict>
      </w:r>
    </w:p>
    <w:p w:rsidR="009131E0" w:rsidRDefault="009131E0" w:rsidP="009131E0">
      <w:pPr>
        <w:pStyle w:val="Source"/>
      </w:pPr>
      <w:r>
        <w:t>Prepared on Australian Accounting Standards basis.</w:t>
      </w:r>
    </w:p>
    <w:p w:rsidR="009131E0" w:rsidRDefault="009131E0" w:rsidP="009131E0">
      <w:pPr>
        <w:pStyle w:val="NoSpacing"/>
      </w:pPr>
    </w:p>
    <w:p w:rsidR="009131E0" w:rsidRPr="00057600" w:rsidRDefault="009131E0" w:rsidP="00DD3834">
      <w:pPr>
        <w:pStyle w:val="TableHeading"/>
        <w:spacing w:before="0"/>
        <w:rPr>
          <w:sz w:val="20"/>
        </w:rPr>
      </w:pPr>
      <w:r>
        <w:br w:type="page"/>
      </w:r>
      <w:r w:rsidRPr="00057600">
        <w:rPr>
          <w:sz w:val="20"/>
        </w:rPr>
        <w:lastRenderedPageBreak/>
        <w:t>Table 3.2.4: Budgeted departmental statement of cash flows (for the period ended 30 June)</w:t>
      </w:r>
    </w:p>
    <w:p w:rsidR="009131E0" w:rsidRPr="00F10305" w:rsidRDefault="00833238" w:rsidP="009131E0">
      <w:pPr>
        <w:pStyle w:val="TableGraphic"/>
      </w:pPr>
      <w:r>
        <w:pict>
          <v:shape id="_x0000_i1085" type="#_x0000_t75" style="width:383.4pt;height:472.2pt">
            <v:imagedata r:id="rId126" o:title=""/>
          </v:shape>
        </w:pict>
      </w:r>
    </w:p>
    <w:p w:rsidR="009131E0" w:rsidRDefault="009131E0" w:rsidP="009131E0">
      <w:pPr>
        <w:pStyle w:val="Source"/>
      </w:pPr>
      <w:r>
        <w:t>Prepared on Australian Accounting Standards basis.</w:t>
      </w:r>
    </w:p>
    <w:p w:rsidR="009131E0" w:rsidRDefault="009131E0" w:rsidP="009131E0">
      <w:pPr>
        <w:pStyle w:val="NoSpacing"/>
      </w:pPr>
    </w:p>
    <w:p w:rsidR="009131E0" w:rsidRPr="00833377" w:rsidRDefault="009131E0" w:rsidP="00DD3834">
      <w:pPr>
        <w:pStyle w:val="TableHeading"/>
        <w:spacing w:before="0"/>
        <w:rPr>
          <w:sz w:val="20"/>
        </w:rPr>
      </w:pPr>
      <w:r>
        <w:br w:type="page"/>
      </w:r>
      <w:r w:rsidRPr="00833377">
        <w:rPr>
          <w:sz w:val="20"/>
        </w:rPr>
        <w:lastRenderedPageBreak/>
        <w:t>Table 3.2.5: Departmental capital budget statement (for the period ended 30 June)</w:t>
      </w:r>
    </w:p>
    <w:p w:rsidR="009131E0" w:rsidRPr="00F10305" w:rsidRDefault="00833238" w:rsidP="009131E0">
      <w:pPr>
        <w:pStyle w:val="TableGraphic"/>
      </w:pPr>
      <w:r>
        <w:pict>
          <v:shape id="_x0000_i1086" type="#_x0000_t75" style="width:383.4pt;height:273.05pt">
            <v:imagedata r:id="rId127" o:title=""/>
          </v:shape>
        </w:pict>
      </w:r>
    </w:p>
    <w:p w:rsidR="009131E0" w:rsidRDefault="009131E0" w:rsidP="00F37EE6">
      <w:pPr>
        <w:pStyle w:val="ChartandTableFootnoteAlpha"/>
        <w:numPr>
          <w:ilvl w:val="0"/>
          <w:numId w:val="33"/>
        </w:numPr>
      </w:pPr>
      <w:r>
        <w:t>Includes both current Bill 2 and prior Act 2/4/6 appropriations and special capital appropriations.</w:t>
      </w:r>
    </w:p>
    <w:p w:rsidR="008B479E" w:rsidRDefault="008B479E" w:rsidP="00702FAB">
      <w:pPr>
        <w:pStyle w:val="ChartandTableFootnoteAlpha"/>
        <w:numPr>
          <w:ilvl w:val="0"/>
          <w:numId w:val="13"/>
        </w:numPr>
      </w:pPr>
      <w:r>
        <w:t>Includes purchases from current and previous years’ Departmental Capital Budgets (DCBs).</w:t>
      </w:r>
    </w:p>
    <w:p w:rsidR="009131E0" w:rsidRDefault="00833377" w:rsidP="00702FAB">
      <w:pPr>
        <w:pStyle w:val="ChartandTableFootnoteAlpha"/>
        <w:numPr>
          <w:ilvl w:val="0"/>
          <w:numId w:val="13"/>
        </w:numPr>
      </w:pPr>
      <w:r>
        <w:t>Includes $3.0m reallocated from departmental to DCB.</w:t>
      </w:r>
    </w:p>
    <w:p w:rsidR="00833377" w:rsidRDefault="00833377" w:rsidP="00833377">
      <w:pPr>
        <w:pStyle w:val="ChartandTableFootnoteAlpha"/>
        <w:numPr>
          <w:ilvl w:val="0"/>
          <w:numId w:val="0"/>
        </w:numPr>
      </w:pPr>
      <w:r>
        <w:t>Prepared on Australian Accounting Standards basis.</w:t>
      </w:r>
    </w:p>
    <w:p w:rsidR="009131E0" w:rsidRDefault="009131E0" w:rsidP="009131E0">
      <w:pPr>
        <w:pStyle w:val="NoSpacing"/>
      </w:pPr>
    </w:p>
    <w:p w:rsidR="009131E0" w:rsidRDefault="009131E0" w:rsidP="009131E0">
      <w:pPr>
        <w:pStyle w:val="ExampleText0"/>
        <w:sectPr w:rsidR="009131E0" w:rsidSect="000A24C4">
          <w:headerReference w:type="even" r:id="rId128"/>
          <w:headerReference w:type="default" r:id="rId129"/>
          <w:footerReference w:type="even" r:id="rId130"/>
          <w:footerReference w:type="default" r:id="rId131"/>
          <w:headerReference w:type="first" r:id="rId132"/>
          <w:footerReference w:type="first" r:id="rId133"/>
          <w:type w:val="oddPage"/>
          <w:pgSz w:w="11906" w:h="16838" w:code="9"/>
          <w:pgMar w:top="2466" w:right="2098" w:bottom="2466" w:left="2098" w:header="1899" w:footer="1899" w:gutter="0"/>
          <w:cols w:space="708"/>
          <w:titlePg/>
          <w:docGrid w:linePitch="360"/>
        </w:sectPr>
      </w:pPr>
    </w:p>
    <w:p w:rsidR="009131E0" w:rsidRPr="00F44B1C" w:rsidRDefault="009131E0" w:rsidP="009131E0">
      <w:pPr>
        <w:pStyle w:val="TableHeading"/>
        <w:spacing w:after="0"/>
        <w:rPr>
          <w:sz w:val="20"/>
        </w:rPr>
      </w:pPr>
      <w:r w:rsidRPr="00F44B1C">
        <w:rPr>
          <w:sz w:val="20"/>
        </w:rPr>
        <w:lastRenderedPageBreak/>
        <w:t>Table 3.2.6: Statement of asset movements (Budget year 2015</w:t>
      </w:r>
      <w:r w:rsidRPr="00F44B1C">
        <w:rPr>
          <w:sz w:val="20"/>
        </w:rPr>
        <w:noBreakHyphen/>
        <w:t>16)</w:t>
      </w:r>
    </w:p>
    <w:p w:rsidR="009131E0" w:rsidRPr="00F10305" w:rsidRDefault="00833238" w:rsidP="009131E0">
      <w:pPr>
        <w:pStyle w:val="TableGraphic"/>
      </w:pPr>
      <w:r>
        <w:pict>
          <v:shape id="_x0000_i1087" type="#_x0000_t75" style="width:381.5pt;height:294.55pt">
            <v:imagedata r:id="rId134" o:title=""/>
          </v:shape>
        </w:pict>
      </w:r>
    </w:p>
    <w:p w:rsidR="009131E0" w:rsidRDefault="009131E0" w:rsidP="00F37EE6">
      <w:pPr>
        <w:pStyle w:val="ChartandTableFootnoteAlpha"/>
        <w:numPr>
          <w:ilvl w:val="0"/>
          <w:numId w:val="34"/>
        </w:numPr>
      </w:pPr>
      <w:r>
        <w:t xml:space="preserve">‘Appropriation equity’ refers to equity injections appropriations provided through </w:t>
      </w:r>
      <w:r w:rsidRPr="008B479E">
        <w:rPr>
          <w:i/>
        </w:rPr>
        <w:t>Appropriation Bill (No. 2) 2015-16</w:t>
      </w:r>
      <w:r>
        <w:t>.</w:t>
      </w:r>
    </w:p>
    <w:p w:rsidR="009131E0" w:rsidRDefault="009131E0" w:rsidP="00702FAB">
      <w:pPr>
        <w:pStyle w:val="ChartandTableFootnoteAlpha"/>
        <w:numPr>
          <w:ilvl w:val="0"/>
          <w:numId w:val="14"/>
        </w:numPr>
      </w:pPr>
      <w:r>
        <w:t xml:space="preserve">‘Appropriation ordinary annual services’ refers to funding provided through </w:t>
      </w:r>
      <w:r w:rsidRPr="0041290C">
        <w:rPr>
          <w:i/>
        </w:rPr>
        <w:t>Appropriation Bill (No. 1) 2015-16</w:t>
      </w:r>
      <w:r>
        <w:t xml:space="preserve"> for depreciation/amortisation expenses, DCBs or other operational expenses.</w:t>
      </w:r>
    </w:p>
    <w:p w:rsidR="009131E0" w:rsidRDefault="00057600" w:rsidP="00702FAB">
      <w:pPr>
        <w:pStyle w:val="ChartandTableFootnoteAlpha"/>
        <w:numPr>
          <w:ilvl w:val="0"/>
          <w:numId w:val="14"/>
        </w:numPr>
      </w:pPr>
      <w:r>
        <w:t>Revaluation</w:t>
      </w:r>
      <w:r w:rsidR="00A87ABE">
        <w:t>/fair movements</w:t>
      </w:r>
      <w:r w:rsidR="009131E0">
        <w:t xml:space="preserve">. </w:t>
      </w:r>
    </w:p>
    <w:p w:rsidR="00C32654" w:rsidRDefault="009131E0" w:rsidP="009131E0">
      <w:pPr>
        <w:pStyle w:val="Source"/>
      </w:pPr>
      <w:r w:rsidRPr="003458E0">
        <w:t>Prepared on Australian Accounting Standards basis.</w:t>
      </w:r>
    </w:p>
    <w:p w:rsidR="009131E0" w:rsidRPr="00A87ABE" w:rsidRDefault="00C32654" w:rsidP="003A3A68">
      <w:pPr>
        <w:pStyle w:val="TableHeadingcontinued"/>
        <w:spacing w:before="0"/>
      </w:pPr>
      <w:r>
        <w:br w:type="page"/>
      </w:r>
      <w:r w:rsidR="009131E0" w:rsidRPr="00A87ABE">
        <w:lastRenderedPageBreak/>
        <w:t>Table 3.2.7: Schedule of budgeted income and expenses administered on behalf of Government (for the period ended 30 June)</w:t>
      </w:r>
    </w:p>
    <w:p w:rsidR="009131E0" w:rsidRPr="00F10305" w:rsidRDefault="00833238" w:rsidP="009131E0">
      <w:pPr>
        <w:pStyle w:val="TableGraphic"/>
      </w:pPr>
      <w:r>
        <w:pict>
          <v:shape id="_x0000_i1088" type="#_x0000_t75" style="width:383.4pt;height:237.5pt">
            <v:imagedata r:id="rId135" o:title=""/>
          </v:shape>
        </w:pict>
      </w:r>
    </w:p>
    <w:p w:rsidR="00A87ABE" w:rsidRDefault="00A87ABE" w:rsidP="00A87ABE">
      <w:pPr>
        <w:pStyle w:val="Source"/>
      </w:pPr>
      <w:r w:rsidRPr="00E4582E">
        <w:t>Prepared on Australian Accounting Standards basis</w:t>
      </w:r>
      <w:r>
        <w:t>.</w:t>
      </w:r>
    </w:p>
    <w:p w:rsidR="009131E0" w:rsidRDefault="00A87ABE" w:rsidP="00A44AA4">
      <w:pPr>
        <w:pStyle w:val="TableHeadingcontinued"/>
        <w:spacing w:before="0"/>
      </w:pPr>
      <w:r>
        <w:br w:type="page"/>
      </w:r>
      <w:r w:rsidRPr="00D30CBA">
        <w:lastRenderedPageBreak/>
        <w:t>Table 3.2.</w:t>
      </w:r>
      <w:r>
        <w:t>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p w:rsidR="009131E0" w:rsidRPr="0044552A" w:rsidRDefault="00833238" w:rsidP="009131E0">
      <w:pPr>
        <w:pStyle w:val="TableGraphic"/>
      </w:pPr>
      <w:r>
        <w:pict>
          <v:shape id="_x0000_i1089" type="#_x0000_t75" style="width:383.4pt;height:259.95pt">
            <v:imagedata r:id="rId136" o:title=""/>
          </v:shape>
        </w:pict>
      </w:r>
    </w:p>
    <w:p w:rsidR="009131E0" w:rsidRDefault="009131E0" w:rsidP="009131E0">
      <w:pPr>
        <w:pStyle w:val="Source"/>
      </w:pPr>
      <w:r w:rsidRPr="00E4582E">
        <w:t>Prepared on Australian Accounting Standards basis</w:t>
      </w:r>
      <w:r>
        <w:t>.</w:t>
      </w:r>
    </w:p>
    <w:p w:rsidR="009131E0" w:rsidRDefault="009131E0" w:rsidP="009131E0">
      <w:pPr>
        <w:pStyle w:val="SingleParagraph"/>
      </w:pPr>
    </w:p>
    <w:p w:rsidR="009131E0" w:rsidRPr="00A87ABE" w:rsidRDefault="009131E0" w:rsidP="00A44AA4">
      <w:pPr>
        <w:pStyle w:val="TableHeading"/>
        <w:spacing w:before="0"/>
        <w:rPr>
          <w:sz w:val="20"/>
        </w:rPr>
      </w:pPr>
      <w:r>
        <w:br w:type="page"/>
      </w:r>
      <w:r w:rsidRPr="00A87ABE">
        <w:rPr>
          <w:sz w:val="20"/>
        </w:rPr>
        <w:lastRenderedPageBreak/>
        <w:t>Table 3.2.9: Schedule of budgeted administered cash flows (for the period ended 30 June)</w:t>
      </w:r>
    </w:p>
    <w:p w:rsidR="009131E0" w:rsidRPr="0044552A" w:rsidRDefault="00833238" w:rsidP="009131E0">
      <w:pPr>
        <w:pStyle w:val="TableGraphic"/>
      </w:pPr>
      <w:r>
        <w:pict>
          <v:shape id="_x0000_i1090" type="#_x0000_t75" style="width:383.4pt;height:271.15pt">
            <v:imagedata r:id="rId137" o:title=""/>
          </v:shape>
        </w:pict>
      </w:r>
    </w:p>
    <w:p w:rsidR="009131E0" w:rsidRDefault="009131E0" w:rsidP="009131E0">
      <w:pPr>
        <w:pStyle w:val="Source"/>
      </w:pPr>
      <w:r>
        <w:t>Prepared on Australian Accounting Standards basis.</w:t>
      </w:r>
    </w:p>
    <w:p w:rsidR="00A87ABE" w:rsidRDefault="009131E0" w:rsidP="00A44AA4">
      <w:pPr>
        <w:pStyle w:val="Heading4"/>
        <w:spacing w:before="0"/>
      </w:pPr>
      <w:r>
        <w:br w:type="page"/>
      </w:r>
      <w:r w:rsidR="00A87ABE">
        <w:lastRenderedPageBreak/>
        <w:t>3.2.3</w:t>
      </w:r>
      <w:r w:rsidR="00A87ABE">
        <w:tab/>
        <w:t>Notes to the Financial Statements</w:t>
      </w:r>
    </w:p>
    <w:p w:rsidR="00490A54" w:rsidRPr="00DD6DEF" w:rsidRDefault="00490A54" w:rsidP="00490A54">
      <w:pPr>
        <w:pStyle w:val="Exampletext"/>
        <w:rPr>
          <w:i w:val="0"/>
          <w:color w:val="auto"/>
        </w:rPr>
      </w:pPr>
      <w:r w:rsidRPr="00DD6DEF">
        <w:rPr>
          <w:i w:val="0"/>
          <w:color w:val="auto"/>
        </w:rPr>
        <w:t xml:space="preserve">Austrade’s budgeted statements are prepared on an Australian Equivalents to International Financial </w:t>
      </w:r>
      <w:r w:rsidR="001076E7">
        <w:rPr>
          <w:i w:val="0"/>
          <w:color w:val="auto"/>
        </w:rPr>
        <w:t xml:space="preserve">Reporting </w:t>
      </w:r>
      <w:r w:rsidRPr="00DD6DEF">
        <w:rPr>
          <w:i w:val="0"/>
          <w:color w:val="auto"/>
        </w:rPr>
        <w:t xml:space="preserve">Standards (AEIFRS) basis. </w:t>
      </w:r>
    </w:p>
    <w:p w:rsidR="00490A54" w:rsidRPr="00DD6DEF" w:rsidRDefault="00490A54" w:rsidP="00490A54">
      <w:pPr>
        <w:pStyle w:val="Exampletext"/>
        <w:rPr>
          <w:i w:val="0"/>
          <w:color w:val="auto"/>
        </w:rPr>
      </w:pPr>
      <w:r w:rsidRPr="00DD6DEF">
        <w:rPr>
          <w:i w:val="0"/>
          <w:color w:val="auto"/>
        </w:rPr>
        <w:t>Under the Government’s budgeting framework, transactions that agencies control (departmental transactions) are separately budgeted for and reported on from transactions that agencies do not have control over (administered transactions). This ensures that agencies are only held fully accountable for the transactions over which they have control.</w:t>
      </w:r>
    </w:p>
    <w:p w:rsidR="00A87ABE" w:rsidRPr="00DD6DEF" w:rsidRDefault="00A87ABE" w:rsidP="00A87ABE">
      <w:pPr>
        <w:pStyle w:val="Exampletext"/>
        <w:rPr>
          <w:rFonts w:ascii="Arial" w:hAnsi="Arial"/>
          <w:b/>
          <w:i w:val="0"/>
          <w:color w:val="auto"/>
        </w:rPr>
      </w:pPr>
      <w:r w:rsidRPr="00DD6DEF">
        <w:rPr>
          <w:rFonts w:ascii="Arial" w:hAnsi="Arial"/>
          <w:b/>
          <w:i w:val="0"/>
          <w:color w:val="auto"/>
        </w:rPr>
        <w:t>Departmental</w:t>
      </w:r>
    </w:p>
    <w:p w:rsidR="00490A54" w:rsidRPr="00DD6DEF" w:rsidRDefault="00490A54" w:rsidP="00490A54">
      <w:pPr>
        <w:pStyle w:val="Exampletext"/>
        <w:rPr>
          <w:i w:val="0"/>
          <w:color w:val="auto"/>
        </w:rPr>
      </w:pPr>
      <w:r w:rsidRPr="00DD6DEF">
        <w:rPr>
          <w:i w:val="0"/>
          <w:color w:val="auto"/>
        </w:rPr>
        <w:t>Departmental assets, liabilities, revenues and expenses in relation to an agency or authority are those which are controlled by the agency. Departmental expenses include employee and supplier expenses and other administrative costs which are incurred by the agency in providing its goods and services.</w:t>
      </w:r>
    </w:p>
    <w:p w:rsidR="00A87ABE" w:rsidRPr="00DD6DEF" w:rsidRDefault="00A87ABE" w:rsidP="00A87ABE">
      <w:pPr>
        <w:pStyle w:val="Exampletext"/>
        <w:rPr>
          <w:rFonts w:ascii="Arial" w:hAnsi="Arial"/>
          <w:b/>
          <w:i w:val="0"/>
          <w:color w:val="auto"/>
        </w:rPr>
      </w:pPr>
      <w:r w:rsidRPr="00DD6DEF">
        <w:rPr>
          <w:rFonts w:ascii="Arial" w:hAnsi="Arial"/>
          <w:b/>
          <w:i w:val="0"/>
          <w:color w:val="auto"/>
        </w:rPr>
        <w:t>Administered</w:t>
      </w:r>
    </w:p>
    <w:p w:rsidR="00204CBB" w:rsidRDefault="00490A54" w:rsidP="00490A54">
      <w:pPr>
        <w:pStyle w:val="Exampletext"/>
        <w:rPr>
          <w:i w:val="0"/>
          <w:color w:val="auto"/>
        </w:rPr>
        <w:sectPr w:rsidR="00204CBB" w:rsidSect="00982444">
          <w:headerReference w:type="even" r:id="rId138"/>
          <w:headerReference w:type="default" r:id="rId139"/>
          <w:headerReference w:type="first" r:id="rId140"/>
          <w:footerReference w:type="first" r:id="rId141"/>
          <w:pgSz w:w="11906" w:h="16838" w:code="9"/>
          <w:pgMar w:top="2466" w:right="2098" w:bottom="2466" w:left="2098" w:header="1899" w:footer="1899" w:gutter="0"/>
          <w:cols w:space="708"/>
          <w:titlePg/>
          <w:docGrid w:linePitch="360"/>
        </w:sectPr>
      </w:pPr>
      <w:r w:rsidRPr="00DD6DEF">
        <w:rPr>
          <w:i w:val="0"/>
          <w:color w:val="auto"/>
        </w:rPr>
        <w:t>Administered items are revenues, expenses, assets and liabilities which are managed by an agency or authority on behalf of the Government according to set Government directions. Administered expenses include subsidies, grants and personal benefit payments and administered revenues include taxes, fees, fin</w:t>
      </w:r>
      <w:r>
        <w:rPr>
          <w:i w:val="0"/>
          <w:color w:val="auto"/>
        </w:rPr>
        <w:t>es and excises.</w:t>
      </w:r>
    </w:p>
    <w:p w:rsidR="00490A54" w:rsidRPr="000C3B86" w:rsidRDefault="00490A54" w:rsidP="00490A54">
      <w:pPr>
        <w:pStyle w:val="Exampletext"/>
      </w:pPr>
      <w:r w:rsidRPr="000C3B86">
        <w:lastRenderedPageBreak/>
        <w:t xml:space="preserve"> </w:t>
      </w:r>
    </w:p>
    <w:p w:rsidR="009131E0" w:rsidRDefault="009131E0" w:rsidP="00A87ABE">
      <w:pPr>
        <w:pStyle w:val="TableHeading"/>
        <w:sectPr w:rsidR="009131E0" w:rsidSect="00982444">
          <w:headerReference w:type="first" r:id="rId142"/>
          <w:footerReference w:type="first" r:id="rId143"/>
          <w:pgSz w:w="11906" w:h="16838" w:code="9"/>
          <w:pgMar w:top="2466" w:right="2098" w:bottom="2466" w:left="2098" w:header="1899" w:footer="1899" w:gutter="0"/>
          <w:cols w:space="708"/>
          <w:titlePg/>
          <w:docGrid w:linePitch="360"/>
        </w:sectPr>
      </w:pPr>
    </w:p>
    <w:p w:rsidR="00F66D1D" w:rsidRDefault="00F66D1D" w:rsidP="009131E0">
      <w:pPr>
        <w:pStyle w:val="Department"/>
        <w:spacing w:before="1320"/>
        <w:sectPr w:rsidR="00F66D1D" w:rsidSect="009131E0">
          <w:footerReference w:type="even" r:id="rId144"/>
          <w:headerReference w:type="first" r:id="rId145"/>
          <w:footerReference w:type="first" r:id="rId146"/>
          <w:pgSz w:w="11906" w:h="16838" w:code="9"/>
          <w:pgMar w:top="2466" w:right="2098" w:bottom="2466" w:left="2098" w:header="1899" w:footer="1899" w:gutter="0"/>
          <w:cols w:space="708"/>
          <w:titlePg/>
          <w:docGrid w:linePitch="360"/>
        </w:sectPr>
      </w:pPr>
    </w:p>
    <w:p w:rsidR="009131E0" w:rsidRDefault="00751C9E" w:rsidP="009131E0">
      <w:pPr>
        <w:pStyle w:val="Department"/>
        <w:spacing w:before="1320"/>
      </w:pPr>
      <w:r>
        <w:lastRenderedPageBreak/>
        <w:t>Australian Centre for International Agricultural Research (ACIAR)</w:t>
      </w:r>
    </w:p>
    <w:p w:rsidR="00A87ABE" w:rsidRDefault="009131E0" w:rsidP="00A87ABE">
      <w:pPr>
        <w:pStyle w:val="DepartmentSubtitle"/>
        <w:spacing w:before="2080"/>
      </w:pPr>
      <w:r>
        <w:t xml:space="preserve">Entity resources and planned </w:t>
      </w:r>
      <w:r w:rsidR="00A87ABE">
        <w:t>performance</w:t>
      </w:r>
    </w:p>
    <w:p w:rsidR="009131E0" w:rsidRDefault="009131E0" w:rsidP="009131E0">
      <w:pPr>
        <w:pStyle w:val="DepartmentSubtitle"/>
        <w:spacing w:before="2080"/>
      </w:pPr>
    </w:p>
    <w:p w:rsidR="00531430" w:rsidRDefault="00531430" w:rsidP="009131E0">
      <w:pPr>
        <w:sectPr w:rsidR="00531430" w:rsidSect="009131E0">
          <w:pgSz w:w="11906" w:h="16838" w:code="9"/>
          <w:pgMar w:top="2466" w:right="2098" w:bottom="2466" w:left="2098" w:header="1899" w:footer="1899" w:gutter="0"/>
          <w:cols w:space="708"/>
          <w:titlePg/>
          <w:docGrid w:linePitch="360"/>
        </w:sectPr>
      </w:pPr>
    </w:p>
    <w:p w:rsidR="009131E0" w:rsidRDefault="009131E0" w:rsidP="009131E0">
      <w:pPr>
        <w:sectPr w:rsidR="009131E0" w:rsidSect="009131E0">
          <w:pgSz w:w="11906" w:h="16838" w:code="9"/>
          <w:pgMar w:top="2466" w:right="2098" w:bottom="2466" w:left="2098" w:header="1899" w:footer="1899" w:gutter="0"/>
          <w:cols w:space="708"/>
          <w:titlePg/>
          <w:docGrid w:linePitch="360"/>
        </w:sectPr>
      </w:pPr>
    </w:p>
    <w:p w:rsidR="009131E0" w:rsidRDefault="009131E0" w:rsidP="009131E0">
      <w:pPr>
        <w:pStyle w:val="ContentsHeading"/>
      </w:pPr>
      <w:r>
        <w:lastRenderedPageBreak/>
        <w:t xml:space="preserve">Australian Centre for International </w:t>
      </w:r>
      <w:r w:rsidR="007D00B2">
        <w:t>Agricultural Research (ACIAR)</w:t>
      </w:r>
    </w:p>
    <w:p w:rsidR="009131E0" w:rsidRDefault="009131E0" w:rsidP="009131E0">
      <w:pPr>
        <w:pStyle w:val="TOC3"/>
        <w:rPr>
          <w:rFonts w:ascii="Times New Roman" w:hAnsi="Times New Roman"/>
          <w:b w:val="0"/>
          <w:noProof/>
          <w:sz w:val="24"/>
          <w:szCs w:val="24"/>
        </w:rPr>
      </w:pPr>
      <w:r>
        <w:rPr>
          <w:noProof/>
        </w:rPr>
        <w:t>Section 1: Entity overview and resources</w:t>
      </w:r>
      <w:r>
        <w:rPr>
          <w:noProof/>
        </w:rPr>
        <w:tab/>
      </w:r>
      <w:r w:rsidR="00CF4401">
        <w:rPr>
          <w:noProof/>
        </w:rPr>
        <w:t>1</w:t>
      </w:r>
      <w:r w:rsidR="00CC2E60">
        <w:rPr>
          <w:noProof/>
        </w:rPr>
        <w:t>25</w:t>
      </w:r>
    </w:p>
    <w:p w:rsidR="009131E0" w:rsidRDefault="009131E0" w:rsidP="009131E0">
      <w:pPr>
        <w:pStyle w:val="TOC4"/>
        <w:tabs>
          <w:tab w:val="left" w:pos="800"/>
        </w:tabs>
        <w:rPr>
          <w:rFonts w:ascii="Times New Roman" w:hAnsi="Times New Roman"/>
          <w:noProof/>
          <w:sz w:val="24"/>
          <w:szCs w:val="24"/>
        </w:rPr>
      </w:pPr>
      <w:r>
        <w:rPr>
          <w:noProof/>
        </w:rPr>
        <w:t>1.1</w:t>
      </w:r>
      <w:r>
        <w:rPr>
          <w:rFonts w:ascii="Times New Roman" w:hAnsi="Times New Roman"/>
          <w:noProof/>
          <w:sz w:val="24"/>
          <w:szCs w:val="24"/>
        </w:rPr>
        <w:tab/>
      </w:r>
      <w:r>
        <w:rPr>
          <w:noProof/>
        </w:rPr>
        <w:t>Strategic direction statement</w:t>
      </w:r>
      <w:r>
        <w:rPr>
          <w:noProof/>
        </w:rPr>
        <w:tab/>
      </w:r>
      <w:r w:rsidR="00CF4401">
        <w:rPr>
          <w:noProof/>
        </w:rPr>
        <w:t>1</w:t>
      </w:r>
      <w:r w:rsidR="00CC2E60">
        <w:rPr>
          <w:noProof/>
        </w:rPr>
        <w:t>25</w:t>
      </w:r>
    </w:p>
    <w:p w:rsidR="009131E0" w:rsidRDefault="009131E0" w:rsidP="009131E0">
      <w:pPr>
        <w:pStyle w:val="TOC4"/>
        <w:tabs>
          <w:tab w:val="left" w:pos="800"/>
        </w:tabs>
        <w:rPr>
          <w:rFonts w:ascii="Times New Roman" w:hAnsi="Times New Roman"/>
          <w:noProof/>
          <w:sz w:val="24"/>
          <w:szCs w:val="24"/>
        </w:rPr>
      </w:pPr>
      <w:r>
        <w:rPr>
          <w:noProof/>
        </w:rPr>
        <w:t>1.2</w:t>
      </w:r>
      <w:r>
        <w:rPr>
          <w:rFonts w:ascii="Times New Roman" w:hAnsi="Times New Roman"/>
          <w:noProof/>
          <w:sz w:val="24"/>
          <w:szCs w:val="24"/>
        </w:rPr>
        <w:tab/>
      </w:r>
      <w:r>
        <w:rPr>
          <w:noProof/>
        </w:rPr>
        <w:t>Entity resource statement</w:t>
      </w:r>
      <w:r>
        <w:rPr>
          <w:noProof/>
        </w:rPr>
        <w:tab/>
      </w:r>
      <w:r w:rsidR="00CF4401">
        <w:rPr>
          <w:noProof/>
        </w:rPr>
        <w:t>12</w:t>
      </w:r>
      <w:r w:rsidR="00CC2E60">
        <w:rPr>
          <w:noProof/>
        </w:rPr>
        <w:t>7</w:t>
      </w:r>
    </w:p>
    <w:p w:rsidR="009131E0" w:rsidRDefault="009131E0" w:rsidP="009131E0">
      <w:pPr>
        <w:pStyle w:val="TOC4"/>
        <w:tabs>
          <w:tab w:val="left" w:pos="800"/>
        </w:tabs>
        <w:rPr>
          <w:noProof/>
        </w:rPr>
      </w:pPr>
      <w:r>
        <w:rPr>
          <w:noProof/>
        </w:rPr>
        <w:t>1.3</w:t>
      </w:r>
      <w:r>
        <w:rPr>
          <w:rFonts w:ascii="Times New Roman" w:hAnsi="Times New Roman"/>
          <w:noProof/>
          <w:sz w:val="24"/>
          <w:szCs w:val="24"/>
        </w:rPr>
        <w:tab/>
      </w:r>
      <w:r>
        <w:rPr>
          <w:noProof/>
        </w:rPr>
        <w:t>Budget measures</w:t>
      </w:r>
      <w:r>
        <w:rPr>
          <w:noProof/>
        </w:rPr>
        <w:tab/>
      </w:r>
      <w:r w:rsidR="00CF4401">
        <w:rPr>
          <w:noProof/>
        </w:rPr>
        <w:t>12</w:t>
      </w:r>
      <w:r w:rsidR="00CC2E60">
        <w:rPr>
          <w:noProof/>
        </w:rPr>
        <w:t>8</w:t>
      </w:r>
    </w:p>
    <w:p w:rsidR="009131E0" w:rsidRDefault="009131E0" w:rsidP="009131E0">
      <w:pPr>
        <w:pStyle w:val="TOC3"/>
        <w:rPr>
          <w:rFonts w:ascii="Times New Roman" w:hAnsi="Times New Roman"/>
          <w:b w:val="0"/>
          <w:noProof/>
          <w:sz w:val="24"/>
          <w:szCs w:val="24"/>
        </w:rPr>
      </w:pPr>
      <w:r>
        <w:rPr>
          <w:noProof/>
        </w:rPr>
        <w:t>Section 2: Outcomes and planned performance</w:t>
      </w:r>
      <w:r>
        <w:rPr>
          <w:noProof/>
        </w:rPr>
        <w:tab/>
      </w:r>
      <w:r w:rsidR="00CC2E60">
        <w:rPr>
          <w:noProof/>
        </w:rPr>
        <w:t>129</w:t>
      </w:r>
    </w:p>
    <w:p w:rsidR="009131E0" w:rsidRDefault="009131E0" w:rsidP="009131E0">
      <w:pPr>
        <w:pStyle w:val="TOC4"/>
        <w:tabs>
          <w:tab w:val="left" w:pos="800"/>
        </w:tabs>
        <w:rPr>
          <w:rFonts w:ascii="Times New Roman" w:hAnsi="Times New Roman"/>
          <w:noProof/>
          <w:sz w:val="24"/>
          <w:szCs w:val="24"/>
        </w:rPr>
      </w:pPr>
      <w:r>
        <w:rPr>
          <w:noProof/>
        </w:rPr>
        <w:t>2.1</w:t>
      </w:r>
      <w:r>
        <w:rPr>
          <w:rFonts w:ascii="Times New Roman" w:hAnsi="Times New Roman"/>
          <w:noProof/>
          <w:sz w:val="24"/>
          <w:szCs w:val="24"/>
        </w:rPr>
        <w:tab/>
      </w:r>
      <w:r>
        <w:rPr>
          <w:noProof/>
        </w:rPr>
        <w:t>Outcomes and performance information</w:t>
      </w:r>
      <w:r>
        <w:rPr>
          <w:noProof/>
        </w:rPr>
        <w:tab/>
      </w:r>
      <w:r w:rsidR="00CC2E60">
        <w:rPr>
          <w:noProof/>
        </w:rPr>
        <w:t>129</w:t>
      </w:r>
    </w:p>
    <w:p w:rsidR="009131E0" w:rsidRDefault="009131E0" w:rsidP="009131E0">
      <w:pPr>
        <w:pStyle w:val="TOC3"/>
        <w:rPr>
          <w:rFonts w:ascii="Times New Roman" w:hAnsi="Times New Roman"/>
          <w:b w:val="0"/>
          <w:noProof/>
          <w:sz w:val="24"/>
          <w:szCs w:val="24"/>
        </w:rPr>
      </w:pPr>
      <w:r>
        <w:rPr>
          <w:noProof/>
        </w:rPr>
        <w:t>Section 3: Explanatory tables and budgeted financial statements</w:t>
      </w:r>
      <w:r>
        <w:rPr>
          <w:noProof/>
        </w:rPr>
        <w:tab/>
      </w:r>
      <w:r w:rsidR="00CF4401">
        <w:rPr>
          <w:noProof/>
        </w:rPr>
        <w:t>1</w:t>
      </w:r>
      <w:r w:rsidR="00CC2E60">
        <w:rPr>
          <w:noProof/>
        </w:rPr>
        <w:t>33</w:t>
      </w:r>
    </w:p>
    <w:p w:rsidR="009131E0" w:rsidRDefault="009131E0" w:rsidP="009131E0">
      <w:pPr>
        <w:pStyle w:val="TOC4"/>
        <w:tabs>
          <w:tab w:val="left" w:pos="800"/>
        </w:tabs>
        <w:rPr>
          <w:noProof/>
        </w:rPr>
      </w:pPr>
      <w:r>
        <w:rPr>
          <w:noProof/>
        </w:rPr>
        <w:t>3.1</w:t>
      </w:r>
      <w:r>
        <w:rPr>
          <w:rFonts w:ascii="Times New Roman" w:hAnsi="Times New Roman"/>
          <w:noProof/>
          <w:sz w:val="24"/>
          <w:szCs w:val="24"/>
        </w:rPr>
        <w:tab/>
      </w:r>
      <w:r>
        <w:rPr>
          <w:noProof/>
        </w:rPr>
        <w:t>Explanatory tables</w:t>
      </w:r>
      <w:r>
        <w:rPr>
          <w:noProof/>
        </w:rPr>
        <w:tab/>
      </w:r>
      <w:r w:rsidR="00CF4401">
        <w:rPr>
          <w:noProof/>
        </w:rPr>
        <w:t>1</w:t>
      </w:r>
      <w:r w:rsidR="00CC2E60">
        <w:rPr>
          <w:noProof/>
        </w:rPr>
        <w:t>33</w:t>
      </w:r>
    </w:p>
    <w:p w:rsidR="009131E0" w:rsidRDefault="009131E0" w:rsidP="009131E0">
      <w:pPr>
        <w:pStyle w:val="TOC4"/>
        <w:tabs>
          <w:tab w:val="left" w:pos="800"/>
        </w:tabs>
        <w:rPr>
          <w:noProof/>
        </w:rPr>
      </w:pPr>
      <w:r>
        <w:rPr>
          <w:noProof/>
        </w:rPr>
        <w:t>3.2</w:t>
      </w:r>
      <w:r>
        <w:rPr>
          <w:rFonts w:ascii="Times New Roman" w:hAnsi="Times New Roman"/>
          <w:noProof/>
          <w:sz w:val="24"/>
          <w:szCs w:val="24"/>
        </w:rPr>
        <w:tab/>
      </w:r>
      <w:r>
        <w:rPr>
          <w:noProof/>
        </w:rPr>
        <w:t>Budgeted financial statements</w:t>
      </w:r>
      <w:r>
        <w:rPr>
          <w:noProof/>
        </w:rPr>
        <w:tab/>
      </w:r>
      <w:r w:rsidR="00CF4401">
        <w:rPr>
          <w:noProof/>
        </w:rPr>
        <w:t>1</w:t>
      </w:r>
      <w:r w:rsidR="00CC2E60">
        <w:rPr>
          <w:noProof/>
        </w:rPr>
        <w:t>34</w:t>
      </w:r>
    </w:p>
    <w:p w:rsidR="009131E0" w:rsidRPr="008B5AFD" w:rsidRDefault="009131E0" w:rsidP="009131E0"/>
    <w:p w:rsidR="009131E0" w:rsidRDefault="009131E0" w:rsidP="009131E0">
      <w:pPr>
        <w:sectPr w:rsidR="009131E0" w:rsidSect="00AA27AA">
          <w:footerReference w:type="first" r:id="rId147"/>
          <w:type w:val="oddPage"/>
          <w:pgSz w:w="11906" w:h="16838" w:code="9"/>
          <w:pgMar w:top="2466" w:right="2098" w:bottom="2466" w:left="2098" w:header="1899" w:footer="1899" w:gutter="0"/>
          <w:cols w:space="708"/>
          <w:titlePg/>
          <w:docGrid w:linePitch="360"/>
        </w:sectPr>
      </w:pPr>
    </w:p>
    <w:p w:rsidR="009131E0" w:rsidRDefault="007D00B2" w:rsidP="009131E0">
      <w:pPr>
        <w:pStyle w:val="Heading1"/>
      </w:pPr>
      <w:r>
        <w:lastRenderedPageBreak/>
        <w:t>Australian Centre for International Agricultural Research (ACIAR)</w:t>
      </w:r>
    </w:p>
    <w:p w:rsidR="009131E0" w:rsidRDefault="009131E0" w:rsidP="009131E0">
      <w:pPr>
        <w:pStyle w:val="Heading2"/>
      </w:pPr>
      <w:r>
        <w:t>Section 1: Entity overview and resources</w:t>
      </w:r>
    </w:p>
    <w:p w:rsidR="009131E0" w:rsidRDefault="009131E0" w:rsidP="009131E0">
      <w:pPr>
        <w:pStyle w:val="Heading3"/>
      </w:pPr>
      <w:r>
        <w:t>1.1</w:t>
      </w:r>
      <w:r>
        <w:tab/>
        <w:t>Strategic direction statement</w:t>
      </w:r>
    </w:p>
    <w:p w:rsidR="00F06614" w:rsidRPr="008D11E2" w:rsidRDefault="00F06614" w:rsidP="00F06614">
      <w:pPr>
        <w:rPr>
          <w:rFonts w:cs="Arial"/>
        </w:rPr>
      </w:pPr>
      <w:r w:rsidRPr="008D11E2">
        <w:rPr>
          <w:rFonts w:cs="Arial"/>
        </w:rPr>
        <w:t>ACIAR works to improve the productivity and profitability of agricultural systems in countries of the Asia–Pacific region and Indian Ocean rim, through international agricultural research partnerships. In a whole</w:t>
      </w:r>
      <w:r w:rsidR="00DD768F">
        <w:rPr>
          <w:rFonts w:cs="Arial"/>
        </w:rPr>
        <w:t xml:space="preserve"> </w:t>
      </w:r>
      <w:r w:rsidRPr="008D11E2">
        <w:rPr>
          <w:rFonts w:cs="Arial"/>
        </w:rPr>
        <w:t>of</w:t>
      </w:r>
      <w:r w:rsidR="00DD768F">
        <w:rPr>
          <w:rFonts w:cs="Arial"/>
        </w:rPr>
        <w:t xml:space="preserve"> </w:t>
      </w:r>
      <w:r w:rsidRPr="008D11E2">
        <w:rPr>
          <w:rFonts w:cs="Arial"/>
        </w:rPr>
        <w:t xml:space="preserve">government context, ACIAR’s research agenda underpins the Government’s overarching development policy, </w:t>
      </w:r>
      <w:r w:rsidRPr="00114D8E">
        <w:rPr>
          <w:rFonts w:cs="Arial"/>
          <w:i/>
        </w:rPr>
        <w:t>Australian aid: promoting prosperity, reducing poverty, enhancing stability</w:t>
      </w:r>
      <w:r w:rsidRPr="008D11E2">
        <w:rPr>
          <w:rFonts w:cs="Arial"/>
        </w:rPr>
        <w:t xml:space="preserve"> and aligns with key sectoral priorities outlined in the </w:t>
      </w:r>
      <w:r w:rsidRPr="00114D8E">
        <w:rPr>
          <w:rFonts w:cs="Arial"/>
          <w:i/>
        </w:rPr>
        <w:t>Strategy for Australia’s aid investments in agriculture, fisheries and water</w:t>
      </w:r>
      <w:r w:rsidRPr="008D11E2">
        <w:rPr>
          <w:rFonts w:cs="Arial"/>
        </w:rPr>
        <w:t xml:space="preserve">. </w:t>
      </w:r>
    </w:p>
    <w:p w:rsidR="00F06614" w:rsidRPr="008D11E2" w:rsidRDefault="00F06614" w:rsidP="00F06614">
      <w:pPr>
        <w:rPr>
          <w:rFonts w:cs="Arial"/>
        </w:rPr>
      </w:pPr>
      <w:r w:rsidRPr="008D11E2">
        <w:rPr>
          <w:rFonts w:cs="Arial"/>
        </w:rPr>
        <w:t xml:space="preserve">ACIAR will generate new technologies, new knowledge, greater capability and better decision-making through these research partnerships. By focusing on impact pathways, ACIAR will deliver benefits to farmers and consumers in developing countries and Australia. </w:t>
      </w:r>
    </w:p>
    <w:p w:rsidR="00F06614" w:rsidRPr="008D11E2" w:rsidRDefault="00F06614" w:rsidP="00F06614">
      <w:pPr>
        <w:rPr>
          <w:rFonts w:cs="Arial"/>
        </w:rPr>
      </w:pPr>
      <w:r w:rsidRPr="008D11E2">
        <w:rPr>
          <w:rFonts w:cs="Arial"/>
        </w:rPr>
        <w:t xml:space="preserve">ACIAR puts Australia’s agricultural innovation system to work to reduce poverty and contribute to the long-term economic prosperity of developing countries. This work contributes to stronger economies and to poverty alleviation, and is central to Australia’s aid agenda. </w:t>
      </w:r>
      <w:r w:rsidRPr="00F06614">
        <w:rPr>
          <w:rFonts w:eastAsia="Calibri" w:cs="Arial"/>
          <w:lang w:eastAsia="en-US"/>
        </w:rPr>
        <w:t xml:space="preserve">ACIAR contributes to economic diplomacy through improving agricultural competitiveness and sustainability, increasing value chain efficiency and effectiveness, and overcoming regulatory impediments in relation to both domestic and international markets. </w:t>
      </w:r>
    </w:p>
    <w:p w:rsidR="00F06614" w:rsidRPr="008D11E2" w:rsidRDefault="00F06614" w:rsidP="00F06614">
      <w:pPr>
        <w:rPr>
          <w:rFonts w:cs="Arial"/>
        </w:rPr>
      </w:pPr>
      <w:r w:rsidRPr="008D11E2">
        <w:rPr>
          <w:rFonts w:cs="Arial"/>
        </w:rPr>
        <w:t>Stronger economies in our region assist Australian exporters and investors to access and profit from foreign markets. Support for more-productive, market-led agricultural systems, that engage smallholder farmers, encourages developing countries to effectively tap into new market opportunities. In these ways, ACIAR works towards a future of shared prosperity. Importantly, ACIAR’s support to international research partnerships increases the numbers of skilled professionals at research, extension and farm levels which then builds the potential for sustained agricultural innovation in the region, an essential element for economic growth and development.</w:t>
      </w:r>
    </w:p>
    <w:p w:rsidR="00F06614" w:rsidRPr="008D11E2" w:rsidRDefault="00F06614" w:rsidP="00F06614">
      <w:pPr>
        <w:rPr>
          <w:rFonts w:cs="Arial"/>
        </w:rPr>
      </w:pPr>
      <w:r w:rsidRPr="008D11E2">
        <w:rPr>
          <w:rFonts w:cs="Arial"/>
        </w:rPr>
        <w:t xml:space="preserve">ACIAR will continue to focus research on four areas: crops; livestock and fisheries; natural resources and forestry; and socioeconomics and policy, with a stronger focus across all four on developing market opportunities for smallholder farmers. ACIAR will implement interdisciplinary research approaches between these focal areas and address key issues, such as gender inequality, that cut across these focal areas. The research will tackle gender inequality in the design, delivery and impacts of our </w:t>
      </w:r>
      <w:r w:rsidRPr="008D11E2">
        <w:rPr>
          <w:rFonts w:cs="Arial"/>
        </w:rPr>
        <w:lastRenderedPageBreak/>
        <w:t xml:space="preserve">projects. We will maintain our core mandate of producing excellent research, and work through others to achieve up-scaling (institutional development) and out-scaling (broader development). </w:t>
      </w:r>
    </w:p>
    <w:p w:rsidR="00F06614" w:rsidRPr="00F06614" w:rsidRDefault="00F06614" w:rsidP="00F06614">
      <w:pPr>
        <w:rPr>
          <w:rFonts w:eastAsia="Calibri" w:cs="Arial"/>
          <w:lang w:eastAsia="en-US"/>
        </w:rPr>
      </w:pPr>
      <w:r w:rsidRPr="008D11E2">
        <w:rPr>
          <w:rFonts w:cs="Arial"/>
        </w:rPr>
        <w:t xml:space="preserve">ACIAR will continue to deepen the existing partnerships and explore new and more diverse partnerships. Australian aid will become more innovative and catalytic, particularly through leveraging private sector partnerships and investment, and ACIAR will continue a greater emphasis on the private sector, and new, innovative </w:t>
      </w:r>
      <w:r w:rsidRPr="00681DB7">
        <w:rPr>
          <w:rFonts w:cs="Arial"/>
        </w:rPr>
        <w:t xml:space="preserve">partnerships with emerging economies. In Australia, ACIAR will move towards more strategic institutional partnerships, and a more programmatic approach in delivery. </w:t>
      </w:r>
      <w:r w:rsidRPr="00F06614">
        <w:rPr>
          <w:rFonts w:eastAsia="Calibri" w:cs="Arial"/>
          <w:lang w:eastAsia="en-US"/>
        </w:rPr>
        <w:t xml:space="preserve">ACIAR’s partnership model will also adapt to the increasing skills and expertise in some of our partner countries. In Australia, ACIAR will seek to increase our partnership base and support efforts to increase the involvement of young professionals in international agricultural research. In developing countries, ACIAR will continue to develop new partnership models increasing regional collaborations and approaches and developing greater collaboration with the commercial sector. </w:t>
      </w:r>
    </w:p>
    <w:p w:rsidR="00F06614" w:rsidRPr="008D11E2" w:rsidRDefault="00F06614" w:rsidP="00F06614">
      <w:pPr>
        <w:rPr>
          <w:rFonts w:cs="Arial"/>
        </w:rPr>
      </w:pPr>
      <w:r w:rsidRPr="00681DB7">
        <w:rPr>
          <w:rFonts w:cs="Arial"/>
        </w:rPr>
        <w:t>In 2015-16 in line with the re</w:t>
      </w:r>
      <w:r w:rsidR="00C82824">
        <w:rPr>
          <w:rFonts w:cs="Arial"/>
        </w:rPr>
        <w:t>focusing</w:t>
      </w:r>
      <w:r w:rsidRPr="00681DB7">
        <w:rPr>
          <w:rFonts w:cs="Arial"/>
        </w:rPr>
        <w:t xml:space="preserve"> of the Australian</w:t>
      </w:r>
      <w:r w:rsidRPr="008D11E2">
        <w:rPr>
          <w:rFonts w:cs="Arial"/>
        </w:rPr>
        <w:t xml:space="preserve"> aid program, ACIAR will increase funding to the Pacific region, particularly PNG. In Fiji, strengthened development cooperation with Australia will open opportunities for ACIAR to broaden collaboration aimed at sustainable economic development. </w:t>
      </w:r>
    </w:p>
    <w:p w:rsidR="00F06614" w:rsidRPr="005D5510" w:rsidRDefault="00F06614" w:rsidP="00F06614">
      <w:pPr>
        <w:rPr>
          <w:rFonts w:cs="Arial"/>
        </w:rPr>
      </w:pPr>
      <w:r w:rsidRPr="005D5510">
        <w:rPr>
          <w:rFonts w:cs="Arial"/>
        </w:rPr>
        <w:t xml:space="preserve">ACIAR will also increase funding to East Asia, working with DFAT to take advantage of emerging opportunities to develop agricultural programs in the region.  In Timor Leste, ACIAR will continue to work with DFAT to identify ways of building on the successes of Seeds of Life to further increase the opportunity for economic growth and linkages with the private sector. </w:t>
      </w:r>
    </w:p>
    <w:p w:rsidR="00F06614" w:rsidRPr="005D5510" w:rsidRDefault="00F06614" w:rsidP="00F06614">
      <w:pPr>
        <w:rPr>
          <w:rFonts w:cs="Arial"/>
        </w:rPr>
      </w:pPr>
      <w:r w:rsidRPr="005D5510">
        <w:rPr>
          <w:rFonts w:cs="Arial"/>
        </w:rPr>
        <w:t xml:space="preserve">In West and South Asia, we will reduce slightly our engagement and monitor the security situation in Afghanistan that will define the future of our engagement in that country. We will continue our engagement in Africa in line with both the priorities of the Australian aid program and the targets established in ACIAR’s Strategic Plan but in that process consolidate our work with regional research organisations. </w:t>
      </w:r>
    </w:p>
    <w:p w:rsidR="00F06614" w:rsidRDefault="00F06614" w:rsidP="00F06614">
      <w:pPr>
        <w:rPr>
          <w:rFonts w:cs="Arial"/>
        </w:rPr>
      </w:pPr>
      <w:r w:rsidRPr="005D5510">
        <w:rPr>
          <w:rFonts w:cs="Arial"/>
        </w:rPr>
        <w:t>On a global level, ACIAR will monitor the development of the ASEAN zone economic cooperation by 2015, which will see pressures for cooperation on cross border issues which intersect with ACIAR’s interests, such as biosecurity, agrifood chains and food safety. ACIAR will continue to engage in the CGIAR (formerly ‘</w:t>
      </w:r>
      <w:r>
        <w:rPr>
          <w:rFonts w:cs="Arial"/>
        </w:rPr>
        <w:t>t</w:t>
      </w:r>
      <w:r w:rsidRPr="005D5510">
        <w:rPr>
          <w:rFonts w:cs="Arial"/>
        </w:rPr>
        <w:t xml:space="preserve">he Consultative </w:t>
      </w:r>
      <w:r>
        <w:rPr>
          <w:rFonts w:cs="Arial"/>
        </w:rPr>
        <w:t>G</w:t>
      </w:r>
      <w:r w:rsidRPr="005D5510">
        <w:rPr>
          <w:rFonts w:cs="Arial"/>
        </w:rPr>
        <w:t>roup on International Agricultural Research’) reform and</w:t>
      </w:r>
      <w:r w:rsidRPr="008D11E2">
        <w:rPr>
          <w:rFonts w:cs="Arial"/>
        </w:rPr>
        <w:t xml:space="preserve"> positively influence its future directions.</w:t>
      </w:r>
    </w:p>
    <w:p w:rsidR="009131E0" w:rsidRDefault="009131E0" w:rsidP="00A44AA4">
      <w:pPr>
        <w:pStyle w:val="Heading3"/>
        <w:spacing w:before="0"/>
      </w:pPr>
      <w:r>
        <w:br w:type="page"/>
      </w:r>
      <w:r>
        <w:lastRenderedPageBreak/>
        <w:t>1.2</w:t>
      </w:r>
      <w:r>
        <w:tab/>
        <w:t>Entity resource statement</w:t>
      </w:r>
    </w:p>
    <w:p w:rsidR="00D86C56" w:rsidRPr="008D11E2" w:rsidRDefault="00D86C56" w:rsidP="00D86C56">
      <w:r w:rsidRPr="008D11E2">
        <w:t>Table 1.1 shows the total resources from all sources. The table summarises how resources will be applied by outcome and by administered and departmental classification.</w:t>
      </w:r>
    </w:p>
    <w:p w:rsidR="009131E0" w:rsidRDefault="009131E0" w:rsidP="009131E0">
      <w:pPr>
        <w:pStyle w:val="TableHeading"/>
        <w:rPr>
          <w:sz w:val="20"/>
        </w:rPr>
      </w:pPr>
      <w:r w:rsidRPr="005C4BEE">
        <w:rPr>
          <w:sz w:val="20"/>
        </w:rPr>
        <w:t xml:space="preserve">Table 1.1: </w:t>
      </w:r>
      <w:r w:rsidR="00D86C56">
        <w:rPr>
          <w:sz w:val="20"/>
        </w:rPr>
        <w:t xml:space="preserve">ACIAR </w:t>
      </w:r>
      <w:r w:rsidRPr="005C4BEE">
        <w:rPr>
          <w:sz w:val="20"/>
        </w:rPr>
        <w:t>resource statement — Budget</w:t>
      </w:r>
      <w:r>
        <w:rPr>
          <w:sz w:val="20"/>
        </w:rPr>
        <w:t xml:space="preserve"> e</w:t>
      </w:r>
      <w:r w:rsidRPr="005C4BEE">
        <w:rPr>
          <w:sz w:val="20"/>
        </w:rPr>
        <w:t xml:space="preserve">stimates for </w:t>
      </w:r>
      <w:r>
        <w:rPr>
          <w:sz w:val="20"/>
        </w:rPr>
        <w:t>2015</w:t>
      </w:r>
      <w:r>
        <w:rPr>
          <w:sz w:val="20"/>
        </w:rPr>
        <w:noBreakHyphen/>
        <w:t>16</w:t>
      </w:r>
      <w:r w:rsidRPr="005C4BEE">
        <w:rPr>
          <w:sz w:val="20"/>
        </w:rPr>
        <w:t xml:space="preserve"> as at Budget May </w:t>
      </w:r>
      <w:r>
        <w:rPr>
          <w:sz w:val="20"/>
        </w:rPr>
        <w:t>2015</w:t>
      </w:r>
    </w:p>
    <w:p w:rsidR="009131E0" w:rsidRDefault="00833238" w:rsidP="002C7836">
      <w:pPr>
        <w:pStyle w:val="TableGraphic"/>
      </w:pPr>
      <w:r>
        <w:pict>
          <v:shape id="_x0000_i1091" type="#_x0000_t75" style="width:384.3pt;height:358.15pt">
            <v:imagedata r:id="rId148" o:title=""/>
          </v:shape>
        </w:pict>
      </w:r>
    </w:p>
    <w:p w:rsidR="009131E0" w:rsidRPr="00D900B8" w:rsidRDefault="009131E0" w:rsidP="00F37EE6">
      <w:pPr>
        <w:pStyle w:val="ChartandTableFootnote"/>
        <w:numPr>
          <w:ilvl w:val="0"/>
          <w:numId w:val="17"/>
        </w:numPr>
        <w:tabs>
          <w:tab w:val="clear" w:pos="284"/>
        </w:tabs>
        <w:ind w:left="284" w:hanging="284"/>
      </w:pPr>
      <w:r w:rsidRPr="00D900B8">
        <w:rPr>
          <w:i/>
        </w:rPr>
        <w:t>Appropriation Bill (No. 1) 2015-16</w:t>
      </w:r>
      <w:r w:rsidRPr="00D900B8">
        <w:t>.</w:t>
      </w:r>
    </w:p>
    <w:p w:rsidR="009131E0" w:rsidRPr="007C4CCE" w:rsidRDefault="009131E0" w:rsidP="00F37EE6">
      <w:pPr>
        <w:pStyle w:val="ChartandTableFootnote"/>
        <w:numPr>
          <w:ilvl w:val="0"/>
          <w:numId w:val="17"/>
        </w:numPr>
        <w:tabs>
          <w:tab w:val="clear" w:pos="284"/>
        </w:tabs>
        <w:ind w:left="284" w:hanging="284"/>
      </w:pPr>
      <w:r w:rsidRPr="007C4CCE">
        <w:t xml:space="preserve">Estimated adjusted balance carried forward from previous year. </w:t>
      </w:r>
    </w:p>
    <w:p w:rsidR="009131E0" w:rsidRPr="008015A7" w:rsidRDefault="009131E0" w:rsidP="00F37EE6">
      <w:pPr>
        <w:pStyle w:val="ChartandTableFootnote"/>
        <w:numPr>
          <w:ilvl w:val="0"/>
          <w:numId w:val="17"/>
        </w:numPr>
        <w:tabs>
          <w:tab w:val="clear" w:pos="284"/>
        </w:tabs>
        <w:ind w:left="284" w:hanging="284"/>
      </w:pPr>
      <w:r w:rsidRPr="008015A7">
        <w:t>Includes an amount of $</w:t>
      </w:r>
      <w:r w:rsidR="00D900B8">
        <w:t>0.248</w:t>
      </w:r>
      <w:r w:rsidRPr="008015A7">
        <w:t xml:space="preserve"> for the Departmental Capital Budget (refer to Table 3.2.5 for further details). For accounting purposes this amount has been designated as ‘contributions by owners’. </w:t>
      </w:r>
    </w:p>
    <w:p w:rsidR="009131E0" w:rsidRDefault="009131E0" w:rsidP="00F37EE6">
      <w:pPr>
        <w:pStyle w:val="ChartandTableFootnote"/>
        <w:numPr>
          <w:ilvl w:val="0"/>
          <w:numId w:val="17"/>
        </w:numPr>
        <w:tabs>
          <w:tab w:val="clear" w:pos="284"/>
        </w:tabs>
        <w:ind w:left="284" w:hanging="284"/>
      </w:pPr>
      <w:r w:rsidRPr="00896FF4">
        <w:t xml:space="preserve">Estimated Retained revenue </w:t>
      </w:r>
      <w:r>
        <w:t>receipts under section 74 of the PGPA Act</w:t>
      </w:r>
      <w:r w:rsidRPr="00896FF4">
        <w:t xml:space="preserve">. </w:t>
      </w:r>
    </w:p>
    <w:p w:rsidR="009131E0" w:rsidRPr="00D900B8" w:rsidRDefault="009131E0" w:rsidP="00F37EE6">
      <w:pPr>
        <w:pStyle w:val="ChartandTableFootnote"/>
        <w:numPr>
          <w:ilvl w:val="0"/>
          <w:numId w:val="17"/>
        </w:numPr>
        <w:tabs>
          <w:tab w:val="clear" w:pos="284"/>
        </w:tabs>
        <w:ind w:left="284" w:hanging="284"/>
      </w:pPr>
      <w:r w:rsidRPr="00D900B8">
        <w:rPr>
          <w:i/>
        </w:rPr>
        <w:t>Appropriation Bill (No. 2) 2015-16</w:t>
      </w:r>
      <w:r w:rsidRPr="00D900B8">
        <w:t xml:space="preserve">. </w:t>
      </w:r>
    </w:p>
    <w:p w:rsidR="009131E0" w:rsidRDefault="009131E0" w:rsidP="00F37EE6">
      <w:pPr>
        <w:pStyle w:val="ChartandTableFootnote"/>
        <w:numPr>
          <w:ilvl w:val="0"/>
          <w:numId w:val="17"/>
        </w:numPr>
        <w:tabs>
          <w:tab w:val="clear" w:pos="284"/>
        </w:tabs>
        <w:ind w:left="284" w:hanging="284"/>
      </w:pPr>
      <w:r>
        <w:t xml:space="preserve">Estimated opening balance for special accounts (less ‘Special Public Money’ held in accounts like </w:t>
      </w:r>
      <w:r>
        <w:rPr>
          <w:i/>
        </w:rPr>
        <w:t>Other Trust Monies</w:t>
      </w:r>
      <w:r>
        <w:t xml:space="preserve"> accounts (OTM), </w:t>
      </w:r>
      <w:r>
        <w:rPr>
          <w:i/>
        </w:rPr>
        <w:t>Services for other Government and Non-agency Bodies</w:t>
      </w:r>
      <w:r>
        <w:t xml:space="preserve"> accounts (SOG), or </w:t>
      </w:r>
      <w:r>
        <w:rPr>
          <w:i/>
        </w:rPr>
        <w:t>Services for Other Entities and Trust Moneys</w:t>
      </w:r>
      <w:r>
        <w:t xml:space="preserve"> accounts (SOETM)). For further information on special accounts, see Table 3.1.2.</w:t>
      </w:r>
    </w:p>
    <w:p w:rsidR="009131E0" w:rsidRPr="00C8049D" w:rsidRDefault="009131E0" w:rsidP="009131E0">
      <w:pPr>
        <w:pStyle w:val="ChartandTableFootnote"/>
        <w:keepNext w:val="0"/>
      </w:pPr>
      <w:r w:rsidRPr="00C8049D">
        <w:t>Reader note: All figures are GST exclusive.</w:t>
      </w:r>
    </w:p>
    <w:p w:rsidR="0068269C" w:rsidRPr="008D11E2" w:rsidRDefault="009131E0" w:rsidP="00A44AA4">
      <w:pPr>
        <w:pStyle w:val="Heading3"/>
        <w:spacing w:before="0"/>
      </w:pPr>
      <w:r>
        <w:br w:type="page"/>
      </w:r>
      <w:r w:rsidR="0068269C" w:rsidRPr="008D11E2">
        <w:lastRenderedPageBreak/>
        <w:t>1.3</w:t>
      </w:r>
      <w:r w:rsidR="0068269C" w:rsidRPr="008D11E2">
        <w:tab/>
        <w:t>Budget measures</w:t>
      </w:r>
    </w:p>
    <w:p w:rsidR="0068269C" w:rsidRPr="008D11E2" w:rsidRDefault="0068269C" w:rsidP="0068269C">
      <w:r>
        <w:t>ACIAR has no new budget m</w:t>
      </w:r>
      <w:r w:rsidRPr="008D11E2">
        <w:t xml:space="preserve">easures. </w:t>
      </w:r>
    </w:p>
    <w:p w:rsidR="00C1171F" w:rsidRDefault="00C1171F" w:rsidP="00C1171F">
      <w:pPr>
        <w:pStyle w:val="Heading3"/>
      </w:pPr>
    </w:p>
    <w:p w:rsidR="009131E0" w:rsidRDefault="0068269C" w:rsidP="00A44AA4">
      <w:pPr>
        <w:pStyle w:val="Heading2"/>
        <w:spacing w:before="0"/>
      </w:pPr>
      <w:r>
        <w:br w:type="page"/>
      </w:r>
      <w:r w:rsidR="009131E0">
        <w:lastRenderedPageBreak/>
        <w:t>Section 2: Outcomes and planned performance</w:t>
      </w:r>
    </w:p>
    <w:p w:rsidR="009131E0" w:rsidRDefault="009131E0" w:rsidP="009131E0">
      <w:pPr>
        <w:pStyle w:val="Heading3"/>
      </w:pPr>
      <w:r>
        <w:t>2.1</w:t>
      </w:r>
      <w:r>
        <w:tab/>
        <w:t>Outcomes and performance information</w:t>
      </w:r>
    </w:p>
    <w:p w:rsidR="008128E6" w:rsidRPr="008D11E2" w:rsidRDefault="008128E6" w:rsidP="008128E6">
      <w:r w:rsidRPr="008D11E2">
        <w:t>Government outcomes are the intended results, impacts or consequences of actions by the Government on the Australian community. Commonwealth programmes are the primary vehicle by which government entities achieve the intended results of their outcome statements. Entities are required to identify the programmes which contribute to government outcomes over the Budget and forward years.</w:t>
      </w:r>
    </w:p>
    <w:p w:rsidR="00D86C56" w:rsidRPr="008D11E2" w:rsidRDefault="008128E6" w:rsidP="00D86C56">
      <w:r>
        <w:t>ACIAR’s outcome</w:t>
      </w:r>
      <w:r w:rsidRPr="008D11E2">
        <w:t xml:space="preserve"> is described below together with its related programme, specifying the performance indicators and targets used to assess and monitor the performance of ACIAR in achieving government outcomes.</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97"/>
      </w:tblGrid>
      <w:tr w:rsidR="00D86C56" w:rsidRPr="008D11E2" w:rsidTr="00C102DA">
        <w:tc>
          <w:tcPr>
            <w:tcW w:w="7797" w:type="dxa"/>
            <w:shd w:val="clear" w:color="auto" w:fill="E6E6E6"/>
          </w:tcPr>
          <w:p w:rsidR="00D86C56" w:rsidRPr="00114D8E" w:rsidRDefault="008128E6" w:rsidP="00C102DA">
            <w:pPr>
              <w:pStyle w:val="TableColumnHeadingLeft"/>
            </w:pPr>
            <w:r w:rsidRPr="008D11E2">
              <w:t xml:space="preserve">Outcome 1: </w:t>
            </w:r>
            <w:r w:rsidRPr="00114D8E">
              <w:t>To achieve more productive and sustainable agricultural systems for the benefit of developing countries and Australia through international agricultural research and training partnerships</w:t>
            </w:r>
          </w:p>
        </w:tc>
      </w:tr>
    </w:tbl>
    <w:p w:rsidR="00D86C56" w:rsidRPr="008D11E2" w:rsidRDefault="00D86C56" w:rsidP="00D86C56">
      <w:pPr>
        <w:pStyle w:val="NoSpacing"/>
      </w:pPr>
    </w:p>
    <w:p w:rsidR="00D86C56" w:rsidRPr="008D11E2" w:rsidRDefault="00D86C56" w:rsidP="00D86C56">
      <w:pPr>
        <w:pStyle w:val="Heading4"/>
      </w:pPr>
      <w:r w:rsidRPr="008D11E2">
        <w:t>Outcome 1 strategy</w:t>
      </w:r>
    </w:p>
    <w:p w:rsidR="008128E6" w:rsidRPr="008D11E2" w:rsidRDefault="008128E6" w:rsidP="008128E6">
      <w:pPr>
        <w:spacing w:after="120"/>
      </w:pPr>
      <w:r w:rsidRPr="008D11E2">
        <w:t xml:space="preserve">To achieve more productive and sustainable agricultural systems for the benefit of developing countries and Australia through international agricultural research and training partnerships ACIAR will: </w:t>
      </w:r>
    </w:p>
    <w:p w:rsidR="008128E6" w:rsidRPr="008D11E2" w:rsidRDefault="008128E6" w:rsidP="00F37EE6">
      <w:pPr>
        <w:numPr>
          <w:ilvl w:val="0"/>
          <w:numId w:val="16"/>
        </w:numPr>
        <w:spacing w:after="120"/>
        <w:ind w:left="567" w:hanging="357"/>
      </w:pPr>
      <w:r w:rsidRPr="008D11E2">
        <w:t xml:space="preserve">concentrate efforts in developing countries of Asia and the Pacific, while also engaging in high-payoff partnerships in other regions in support of Australia’s foreign policy objectives; </w:t>
      </w:r>
    </w:p>
    <w:p w:rsidR="008128E6" w:rsidRPr="008D11E2" w:rsidRDefault="008128E6" w:rsidP="00F37EE6">
      <w:pPr>
        <w:numPr>
          <w:ilvl w:val="0"/>
          <w:numId w:val="16"/>
        </w:numPr>
        <w:spacing w:after="120"/>
        <w:ind w:left="567" w:hanging="357"/>
      </w:pPr>
      <w:r w:rsidRPr="008D11E2">
        <w:t>work through bilateral (at least 70%) and multilateral (up to 30%) modalities;</w:t>
      </w:r>
    </w:p>
    <w:p w:rsidR="008128E6" w:rsidRPr="008D11E2" w:rsidRDefault="008128E6" w:rsidP="00F37EE6">
      <w:pPr>
        <w:numPr>
          <w:ilvl w:val="0"/>
          <w:numId w:val="16"/>
        </w:numPr>
        <w:spacing w:after="120"/>
        <w:ind w:left="567" w:hanging="357"/>
      </w:pPr>
      <w:r w:rsidRPr="008D11E2">
        <w:t>generate new technologies, new knowledge, greater capability and better decision-making from our research partnerships;</w:t>
      </w:r>
    </w:p>
    <w:p w:rsidR="008128E6" w:rsidRPr="008D11E2" w:rsidRDefault="008128E6" w:rsidP="00F37EE6">
      <w:pPr>
        <w:numPr>
          <w:ilvl w:val="0"/>
          <w:numId w:val="16"/>
        </w:numPr>
        <w:spacing w:after="120"/>
        <w:ind w:left="567" w:hanging="357"/>
      </w:pPr>
      <w:r w:rsidRPr="008D11E2">
        <w:t>focus research on four areas: crops; livestock and fisheries; natural resources and forestry; and socioeconomics and policy;</w:t>
      </w:r>
    </w:p>
    <w:p w:rsidR="008128E6" w:rsidRPr="008D11E2" w:rsidRDefault="008128E6" w:rsidP="00F37EE6">
      <w:pPr>
        <w:numPr>
          <w:ilvl w:val="0"/>
          <w:numId w:val="16"/>
        </w:numPr>
        <w:spacing w:after="120"/>
        <w:ind w:left="567" w:hanging="357"/>
      </w:pPr>
      <w:r w:rsidRPr="008D11E2">
        <w:t>develop a stronger focus on developing market opportunities for smallholder farmers;</w:t>
      </w:r>
    </w:p>
    <w:p w:rsidR="008128E6" w:rsidRPr="008D11E2" w:rsidRDefault="008128E6" w:rsidP="00F37EE6">
      <w:pPr>
        <w:numPr>
          <w:ilvl w:val="0"/>
          <w:numId w:val="16"/>
        </w:numPr>
        <w:spacing w:after="120"/>
        <w:ind w:left="567" w:hanging="357"/>
      </w:pPr>
      <w:r w:rsidRPr="008D11E2">
        <w:t>implement cross-disciplinary and interdisciplinary research approaches;</w:t>
      </w:r>
    </w:p>
    <w:p w:rsidR="008128E6" w:rsidRPr="008D11E2" w:rsidRDefault="008128E6" w:rsidP="00F37EE6">
      <w:pPr>
        <w:numPr>
          <w:ilvl w:val="0"/>
          <w:numId w:val="16"/>
        </w:numPr>
        <w:spacing w:after="120"/>
        <w:ind w:left="567" w:hanging="357"/>
      </w:pPr>
      <w:r w:rsidRPr="008D11E2">
        <w:t>tackle gender inequality, in the design, delivery and impacts of projects;</w:t>
      </w:r>
    </w:p>
    <w:p w:rsidR="008128E6" w:rsidRPr="008D11E2" w:rsidRDefault="008128E6" w:rsidP="00F37EE6">
      <w:pPr>
        <w:numPr>
          <w:ilvl w:val="0"/>
          <w:numId w:val="16"/>
        </w:numPr>
        <w:spacing w:after="120"/>
        <w:ind w:left="567" w:hanging="357"/>
      </w:pPr>
      <w:r w:rsidRPr="008D11E2">
        <w:t>maintain our core mandate of producing excellent research, and work through others to achieve up-scaling and broader development;</w:t>
      </w:r>
    </w:p>
    <w:p w:rsidR="008128E6" w:rsidRPr="008D11E2" w:rsidRDefault="008128E6" w:rsidP="00F37EE6">
      <w:pPr>
        <w:numPr>
          <w:ilvl w:val="0"/>
          <w:numId w:val="16"/>
        </w:numPr>
        <w:spacing w:after="120"/>
        <w:ind w:left="567" w:hanging="357"/>
      </w:pPr>
      <w:r w:rsidRPr="008D11E2">
        <w:t>deepen our existing partnerships and explore new and more diverse partnerships, with greater emphasis on the private sector and non-government organisations, and new, innovative partnerships with emerging economies; and</w:t>
      </w:r>
    </w:p>
    <w:p w:rsidR="008128E6" w:rsidRPr="008D11E2" w:rsidRDefault="008128E6" w:rsidP="00F37EE6">
      <w:pPr>
        <w:numPr>
          <w:ilvl w:val="0"/>
          <w:numId w:val="16"/>
        </w:numPr>
        <w:spacing w:after="120"/>
        <w:ind w:left="567" w:hanging="357"/>
      </w:pPr>
      <w:r w:rsidRPr="008D11E2">
        <w:lastRenderedPageBreak/>
        <w:t xml:space="preserve">move towards more-strategic institutional partnerships, and a more programmatic approach in delivery. </w:t>
      </w:r>
    </w:p>
    <w:p w:rsidR="00375002" w:rsidRDefault="00375002" w:rsidP="009131E0">
      <w:pPr>
        <w:pStyle w:val="Heading5"/>
      </w:pPr>
    </w:p>
    <w:p w:rsidR="009131E0" w:rsidRPr="00277DC0" w:rsidRDefault="009131E0" w:rsidP="009131E0">
      <w:pPr>
        <w:pStyle w:val="Heading5"/>
        <w:rPr>
          <w:sz w:val="22"/>
          <w:szCs w:val="22"/>
        </w:rPr>
      </w:pPr>
      <w:r w:rsidRPr="00277DC0">
        <w:rPr>
          <w:sz w:val="22"/>
          <w:szCs w:val="22"/>
        </w:rPr>
        <w:t>Outcome expense statement</w:t>
      </w:r>
    </w:p>
    <w:p w:rsidR="00D86C56" w:rsidRPr="008D11E2" w:rsidRDefault="00D86C56" w:rsidP="00D86C56">
      <w:r w:rsidRPr="008D11E2">
        <w:t xml:space="preserve">Table 2.1 provides an overview of the total expenses for </w:t>
      </w:r>
      <w:r>
        <w:t>O</w:t>
      </w:r>
      <w:r w:rsidRPr="008D11E2">
        <w:t>utcome 1</w:t>
      </w:r>
      <w:r>
        <w:t xml:space="preserve">, </w:t>
      </w:r>
      <w:r w:rsidRPr="008D11E2">
        <w:t>by programme.</w:t>
      </w:r>
    </w:p>
    <w:p w:rsidR="009131E0" w:rsidRPr="005C4BEE" w:rsidRDefault="009131E0" w:rsidP="009131E0">
      <w:pPr>
        <w:pStyle w:val="TableHeading"/>
        <w:rPr>
          <w:sz w:val="20"/>
        </w:rPr>
      </w:pPr>
      <w:r w:rsidRPr="005C4BEE">
        <w:rPr>
          <w:sz w:val="20"/>
        </w:rPr>
        <w:t>Table 2.1: Budgeted expenses for Outcome 1</w:t>
      </w:r>
    </w:p>
    <w:p w:rsidR="009131E0" w:rsidRDefault="00833238" w:rsidP="009131E0">
      <w:pPr>
        <w:pStyle w:val="TableGraphic"/>
      </w:pPr>
      <w:r>
        <w:pict>
          <v:shape id="_x0000_i1092" type="#_x0000_t75" style="width:386.2pt;height:278.65pt">
            <v:imagedata r:id="rId149" o:title=""/>
          </v:shape>
        </w:pict>
      </w:r>
    </w:p>
    <w:p w:rsidR="009131E0" w:rsidRDefault="009131E0" w:rsidP="00F37EE6">
      <w:pPr>
        <w:pStyle w:val="ChartandTableFootnote"/>
        <w:numPr>
          <w:ilvl w:val="0"/>
          <w:numId w:val="18"/>
        </w:numPr>
        <w:ind w:left="284" w:hanging="284"/>
      </w:pPr>
      <w:r w:rsidRPr="004E2825">
        <w:t xml:space="preserve">Departmental </w:t>
      </w:r>
      <w:r w:rsidR="00DD768F">
        <w:t>a</w:t>
      </w:r>
      <w:r w:rsidRPr="004E2825">
        <w:t xml:space="preserve">ppropriation combines </w:t>
      </w:r>
      <w:r>
        <w:t>‘</w:t>
      </w:r>
      <w:r w:rsidRPr="004E2825">
        <w:t>Ordinary annual services (Appropriation Bill No. 1)</w:t>
      </w:r>
      <w:r>
        <w:t>’</w:t>
      </w:r>
      <w:r w:rsidRPr="004E2825">
        <w:t xml:space="preserve"> and </w:t>
      </w:r>
      <w:r>
        <w:t>‘</w:t>
      </w:r>
      <w:r w:rsidRPr="004E2825">
        <w:t>Revenue from independent sources (s</w:t>
      </w:r>
      <w:r>
        <w:t> 74).</w:t>
      </w:r>
    </w:p>
    <w:p w:rsidR="009131E0" w:rsidRPr="004E2825" w:rsidRDefault="009131E0" w:rsidP="00F37EE6">
      <w:pPr>
        <w:pStyle w:val="ChartandTableFootnote"/>
        <w:numPr>
          <w:ilvl w:val="0"/>
          <w:numId w:val="18"/>
        </w:numPr>
        <w:ind w:left="284" w:hanging="284"/>
      </w:pPr>
      <w:r w:rsidRPr="006D62BE">
        <w:t xml:space="preserve">Expenses not requiring </w:t>
      </w:r>
      <w:r>
        <w:t>a</w:t>
      </w:r>
      <w:r w:rsidRPr="006D62BE">
        <w:t>ppropriat</w:t>
      </w:r>
      <w:r>
        <w:t>ion in the Budget year are made up of depreciation expenses</w:t>
      </w:r>
      <w:r w:rsidRPr="006D62BE">
        <w:t>, amortisation</w:t>
      </w:r>
      <w:r w:rsidR="00534DEA">
        <w:t xml:space="preserve"> expenses and</w:t>
      </w:r>
      <w:r>
        <w:t xml:space="preserve"> audit fees</w:t>
      </w:r>
      <w:r w:rsidR="00534DEA">
        <w:t>.</w:t>
      </w:r>
    </w:p>
    <w:p w:rsidR="009131E0" w:rsidRDefault="009131E0" w:rsidP="009131E0">
      <w:pPr>
        <w:pStyle w:val="Source"/>
      </w:pPr>
      <w:r w:rsidRPr="002329C3">
        <w:t>Note: Departmental appropriation splits and totals are indicative estimates and may change in the course of the budget year as government priorities change.</w:t>
      </w:r>
    </w:p>
    <w:p w:rsidR="009131E0" w:rsidRDefault="009131E0" w:rsidP="009131E0">
      <w:pPr>
        <w:pStyle w:val="NoSpacing"/>
      </w:pPr>
    </w:p>
    <w:p w:rsidR="009131E0" w:rsidRDefault="009131E0" w:rsidP="00A44AA4">
      <w:pPr>
        <w:pStyle w:val="Heading4"/>
        <w:spacing w:before="0"/>
        <w:rPr>
          <w:rFonts w:ascii="Book Antiqua" w:hAnsi="Book Antiqua"/>
          <w:i/>
          <w:color w:val="FF0000"/>
        </w:rPr>
      </w:pPr>
      <w:r>
        <w:br w:type="page"/>
      </w:r>
      <w:r w:rsidR="00B26E12">
        <w:lastRenderedPageBreak/>
        <w:t>Contributions to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713"/>
      </w:tblGrid>
      <w:tr w:rsidR="00B26E12" w:rsidRPr="008D11E2" w:rsidTr="00C102DA">
        <w:tc>
          <w:tcPr>
            <w:tcW w:w="7713" w:type="dxa"/>
            <w:shd w:val="clear" w:color="auto" w:fill="E6E6E6"/>
          </w:tcPr>
          <w:p w:rsidR="00B26E12" w:rsidRPr="008D11E2" w:rsidRDefault="00B26E12" w:rsidP="00C102DA">
            <w:pPr>
              <w:pStyle w:val="TableColumnHeadingLeft"/>
            </w:pPr>
            <w:r w:rsidRPr="008D11E2">
              <w:t>Programme 1: International agricultural research for development for more productive and sustainable agriculture</w:t>
            </w:r>
          </w:p>
        </w:tc>
      </w:tr>
    </w:tbl>
    <w:p w:rsidR="00B26E12" w:rsidRPr="008D11E2" w:rsidRDefault="00B26E12" w:rsidP="00B26E12">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B26E12" w:rsidRPr="008D11E2" w:rsidTr="00C102DA">
        <w:tc>
          <w:tcPr>
            <w:tcW w:w="7711" w:type="dxa"/>
            <w:shd w:val="clear" w:color="auto" w:fill="auto"/>
          </w:tcPr>
          <w:p w:rsidR="00B26E12" w:rsidRPr="008D11E2" w:rsidRDefault="00B26E12" w:rsidP="00C102DA">
            <w:pPr>
              <w:pStyle w:val="TableColumnHeadingLeft"/>
              <w:jc w:val="both"/>
            </w:pPr>
            <w:r w:rsidRPr="008D11E2">
              <w:t>Programme objective</w:t>
            </w:r>
          </w:p>
          <w:p w:rsidR="00B26E12" w:rsidRPr="004D0745" w:rsidRDefault="00927200" w:rsidP="00C102DA">
            <w:pPr>
              <w:pStyle w:val="TableColumnHeadingLeft"/>
              <w:jc w:val="both"/>
              <w:rPr>
                <w:rFonts w:ascii="Book Antiqua" w:hAnsi="Book Antiqua"/>
                <w:b w:val="0"/>
                <w:i/>
              </w:rPr>
            </w:pPr>
            <w:r w:rsidRPr="004D0745">
              <w:rPr>
                <w:rFonts w:ascii="Book Antiqua" w:hAnsi="Book Antiqua"/>
                <w:b w:val="0"/>
              </w:rPr>
              <w:t>ACIAR has the single administered programme of international agricultural research for development for more productive and sustainable agriculture, delivered through a number of initiatives aligning closely with the Australian aid policy. The objective of the Programme is to contribute to economic diplomacy through improving agricultural competitiveness and sustainability, increasing value chain efficiency and effectiveness, and alleviating regulatory impediments in relation to both domestic and international markets.</w:t>
            </w:r>
          </w:p>
        </w:tc>
      </w:tr>
    </w:tbl>
    <w:p w:rsidR="00B26E12" w:rsidRDefault="00B26E12" w:rsidP="00B26E12">
      <w:pPr>
        <w:pStyle w:val="SingleParagraph"/>
      </w:pPr>
    </w:p>
    <w:tbl>
      <w:tblPr>
        <w:tblW w:w="77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3"/>
      </w:tblGrid>
      <w:tr w:rsidR="00B26E12" w:rsidRPr="00A93201" w:rsidTr="00927200">
        <w:trPr>
          <w:trHeight w:val="1469"/>
        </w:trPr>
        <w:tc>
          <w:tcPr>
            <w:tcW w:w="7723" w:type="dxa"/>
            <w:shd w:val="clear" w:color="auto" w:fill="auto"/>
          </w:tcPr>
          <w:p w:rsidR="00B26E12" w:rsidRPr="00B26E12" w:rsidRDefault="00B26E12" w:rsidP="00C102DA">
            <w:pPr>
              <w:pStyle w:val="TableColumnHeadingLeft"/>
              <w:rPr>
                <w:color w:val="000000"/>
              </w:rPr>
            </w:pPr>
            <w:r w:rsidRPr="00B26E12">
              <w:rPr>
                <w:color w:val="000000"/>
              </w:rPr>
              <w:t>Programme expenses</w:t>
            </w:r>
          </w:p>
          <w:p w:rsidR="00B26E12" w:rsidRPr="00B26E12" w:rsidRDefault="00927200" w:rsidP="0010432E">
            <w:pPr>
              <w:pStyle w:val="TableColumnHeadingLeft"/>
              <w:jc w:val="both"/>
              <w:rPr>
                <w:b w:val="0"/>
                <w:color w:val="000000"/>
              </w:rPr>
            </w:pPr>
            <w:r w:rsidRPr="004D0745">
              <w:rPr>
                <w:rFonts w:ascii="Book Antiqua" w:hAnsi="Book Antiqua"/>
                <w:b w:val="0"/>
              </w:rPr>
              <w:t>Aligned to the broader aid program, ACIAR will refocus partnerships towards the Indo Pacific region, with modest increase in percentage allocations of budget</w:t>
            </w:r>
            <w:r>
              <w:rPr>
                <w:rFonts w:ascii="Book Antiqua" w:hAnsi="Book Antiqua"/>
                <w:b w:val="0"/>
              </w:rPr>
              <w:t xml:space="preserve"> made to Pacific and East Asia.</w:t>
            </w:r>
            <w:r w:rsidRPr="004D0745">
              <w:rPr>
                <w:rFonts w:ascii="Book Antiqua" w:hAnsi="Book Antiqua"/>
                <w:b w:val="0"/>
              </w:rPr>
              <w:t xml:space="preserve"> The programme in Sub Saharan Africa will target countries in the continent’s east and south</w:t>
            </w:r>
            <w:r w:rsidRPr="00B52D38">
              <w:rPr>
                <w:rFonts w:ascii="Book Antiqua" w:hAnsi="Book Antiqua"/>
                <w:b w:val="0"/>
              </w:rPr>
              <w:t>.</w:t>
            </w:r>
          </w:p>
        </w:tc>
      </w:tr>
    </w:tbl>
    <w:p w:rsidR="009131E0" w:rsidRDefault="009131E0" w:rsidP="009131E0">
      <w:pPr>
        <w:pStyle w:val="NoSpacing"/>
      </w:pPr>
    </w:p>
    <w:p w:rsidR="009131E0" w:rsidRDefault="00833238" w:rsidP="009131E0">
      <w:pPr>
        <w:pStyle w:val="TableGraphic"/>
      </w:pPr>
      <w:r>
        <w:pict>
          <v:shape id="_x0000_i1093" type="#_x0000_t75" style="width:387.1pt;height:149.6pt">
            <v:imagedata r:id="rId150" o:title=""/>
          </v:shape>
        </w:pict>
      </w:r>
    </w:p>
    <w:p w:rsidR="009131E0" w:rsidRPr="00D02EF1" w:rsidRDefault="009131E0" w:rsidP="00F37EE6">
      <w:pPr>
        <w:pStyle w:val="ChartandTableFootnote"/>
        <w:numPr>
          <w:ilvl w:val="0"/>
          <w:numId w:val="19"/>
        </w:numPr>
        <w:ind w:left="284" w:hanging="284"/>
      </w:pPr>
      <w:r w:rsidRPr="006D62BE">
        <w:t>Expenses not requiring appropriat</w:t>
      </w:r>
      <w:r>
        <w:t>ion in the Budget year are made up of depreciation expenses</w:t>
      </w:r>
      <w:r w:rsidRPr="006D62BE">
        <w:t>, amortisation</w:t>
      </w:r>
      <w:r>
        <w:t xml:space="preserve"> expenses,</w:t>
      </w:r>
      <w:r w:rsidRPr="006D62BE">
        <w:t xml:space="preserve"> make</w:t>
      </w:r>
      <w:r>
        <w:t>-g</w:t>
      </w:r>
      <w:r w:rsidRPr="006D62BE">
        <w:t>ood expense</w:t>
      </w:r>
      <w:r w:rsidR="00B26E12">
        <w:t>s and</w:t>
      </w:r>
      <w:r>
        <w:t xml:space="preserve"> audit fees</w:t>
      </w:r>
      <w:r w:rsidRPr="006D62BE">
        <w:t>.</w:t>
      </w:r>
    </w:p>
    <w:p w:rsidR="009131E0" w:rsidRDefault="009131E0" w:rsidP="009131E0">
      <w:pPr>
        <w:pStyle w:val="NoSpacing"/>
      </w:pPr>
    </w:p>
    <w:p w:rsidR="009131E0" w:rsidRDefault="009131E0" w:rsidP="00F66D1D">
      <w:pPr>
        <w:pStyle w:val="SingleParagraph"/>
        <w:spacing w:line="20" w:lineRule="exac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B26E12" w:rsidRPr="00A93201" w:rsidTr="00C102DA">
        <w:tc>
          <w:tcPr>
            <w:tcW w:w="7711" w:type="dxa"/>
            <w:shd w:val="clear" w:color="auto" w:fill="auto"/>
          </w:tcPr>
          <w:p w:rsidR="00B26E12" w:rsidRPr="00A93201" w:rsidRDefault="00B26E12" w:rsidP="00C102DA">
            <w:pPr>
              <w:pStyle w:val="TableColumnHeadingLeft"/>
              <w:jc w:val="both"/>
            </w:pPr>
            <w:r w:rsidRPr="00A93201">
              <w:t xml:space="preserve">Programme 1 deliverables </w:t>
            </w:r>
          </w:p>
          <w:p w:rsidR="00B450CF" w:rsidRPr="005060A4" w:rsidRDefault="00B450CF" w:rsidP="00B450CF">
            <w:pPr>
              <w:pStyle w:val="TableTextLeft"/>
              <w:rPr>
                <w:rFonts w:ascii="Book Antiqua" w:hAnsi="Book Antiqua" w:cs="Arial"/>
                <w:sz w:val="20"/>
              </w:rPr>
            </w:pPr>
            <w:r w:rsidRPr="005060A4">
              <w:rPr>
                <w:rFonts w:ascii="Book Antiqua" w:hAnsi="Book Antiqua" w:cs="Arial"/>
                <w:sz w:val="20"/>
              </w:rPr>
              <w:t>Through diverse research partnerships and both individual and institutional capacity building, ACIAR will deliver:</w:t>
            </w:r>
          </w:p>
          <w:p w:rsidR="00B450CF" w:rsidRPr="005060A4" w:rsidRDefault="00B450CF" w:rsidP="00F37EE6">
            <w:pPr>
              <w:pStyle w:val="TableTextLeft"/>
              <w:numPr>
                <w:ilvl w:val="0"/>
                <w:numId w:val="20"/>
              </w:numPr>
              <w:ind w:left="601" w:hanging="241"/>
              <w:rPr>
                <w:rFonts w:ascii="Book Antiqua" w:hAnsi="Book Antiqua" w:cs="Arial"/>
                <w:sz w:val="20"/>
              </w:rPr>
            </w:pPr>
            <w:r w:rsidRPr="005060A4">
              <w:rPr>
                <w:rFonts w:ascii="Book Antiqua" w:hAnsi="Book Antiqua" w:cs="Arial"/>
                <w:sz w:val="20"/>
              </w:rPr>
              <w:t>increased availability of and access to meat, fish, milk, grains, fruits and vegetables</w:t>
            </w:r>
            <w:r>
              <w:rPr>
                <w:rFonts w:ascii="Book Antiqua" w:hAnsi="Book Antiqua" w:cs="Arial"/>
                <w:sz w:val="20"/>
              </w:rPr>
              <w:t>;</w:t>
            </w:r>
            <w:r w:rsidRPr="005060A4">
              <w:rPr>
                <w:rFonts w:ascii="Book Antiqua" w:hAnsi="Book Antiqua" w:cs="Arial"/>
                <w:sz w:val="20"/>
              </w:rPr>
              <w:t xml:space="preserve"> </w:t>
            </w:r>
          </w:p>
          <w:p w:rsidR="00B450CF" w:rsidRPr="005060A4" w:rsidRDefault="00B450CF" w:rsidP="00F37EE6">
            <w:pPr>
              <w:pStyle w:val="TableTextLeft"/>
              <w:numPr>
                <w:ilvl w:val="0"/>
                <w:numId w:val="20"/>
              </w:numPr>
              <w:rPr>
                <w:rFonts w:ascii="Book Antiqua" w:hAnsi="Book Antiqua" w:cs="Arial"/>
                <w:sz w:val="20"/>
              </w:rPr>
            </w:pPr>
            <w:r w:rsidRPr="005060A4">
              <w:rPr>
                <w:rFonts w:ascii="Book Antiqua" w:hAnsi="Book Antiqua" w:cs="Arial"/>
                <w:sz w:val="20"/>
              </w:rPr>
              <w:t>reduced postharvest losses</w:t>
            </w:r>
            <w:r>
              <w:rPr>
                <w:rFonts w:ascii="Book Antiqua" w:hAnsi="Book Antiqua" w:cs="Arial"/>
                <w:sz w:val="20"/>
              </w:rPr>
              <w:t>;</w:t>
            </w:r>
            <w:r w:rsidRPr="005060A4">
              <w:rPr>
                <w:rFonts w:ascii="Book Antiqua" w:hAnsi="Book Antiqua" w:cs="Arial"/>
                <w:sz w:val="20"/>
              </w:rPr>
              <w:t xml:space="preserve"> </w:t>
            </w:r>
          </w:p>
          <w:p w:rsidR="00B450CF" w:rsidRPr="005060A4" w:rsidRDefault="00B450CF" w:rsidP="00F37EE6">
            <w:pPr>
              <w:pStyle w:val="TableTextLeft"/>
              <w:numPr>
                <w:ilvl w:val="0"/>
                <w:numId w:val="20"/>
              </w:numPr>
              <w:rPr>
                <w:rFonts w:ascii="Book Antiqua" w:hAnsi="Book Antiqua" w:cs="Arial"/>
                <w:sz w:val="20"/>
              </w:rPr>
            </w:pPr>
            <w:r w:rsidRPr="005060A4">
              <w:rPr>
                <w:rFonts w:ascii="Book Antiqua" w:hAnsi="Book Antiqua" w:cs="Arial"/>
                <w:sz w:val="20"/>
              </w:rPr>
              <w:t>improved nutritional quality and diversity of diets</w:t>
            </w:r>
            <w:r>
              <w:rPr>
                <w:rFonts w:ascii="Book Antiqua" w:hAnsi="Book Antiqua" w:cs="Arial"/>
                <w:sz w:val="20"/>
              </w:rPr>
              <w:t>;</w:t>
            </w:r>
            <w:r w:rsidRPr="005060A4">
              <w:rPr>
                <w:rFonts w:ascii="Book Antiqua" w:hAnsi="Book Antiqua" w:cs="Arial"/>
                <w:sz w:val="20"/>
              </w:rPr>
              <w:t xml:space="preserve"> </w:t>
            </w:r>
          </w:p>
          <w:p w:rsidR="00B450CF" w:rsidRPr="005060A4" w:rsidRDefault="00B450CF" w:rsidP="00F37EE6">
            <w:pPr>
              <w:pStyle w:val="TableTextLeft"/>
              <w:numPr>
                <w:ilvl w:val="0"/>
                <w:numId w:val="20"/>
              </w:numPr>
              <w:ind w:left="601" w:hanging="241"/>
              <w:rPr>
                <w:rFonts w:ascii="Book Antiqua" w:hAnsi="Book Antiqua" w:cs="Arial"/>
                <w:sz w:val="20"/>
              </w:rPr>
            </w:pPr>
            <w:r w:rsidRPr="005060A4">
              <w:rPr>
                <w:rFonts w:ascii="Book Antiqua" w:hAnsi="Book Antiqua" w:cs="Arial"/>
                <w:sz w:val="20"/>
              </w:rPr>
              <w:t>increased productivity, quality and market access for smallholder agriculture, aquaculture and forestry products</w:t>
            </w:r>
            <w:r>
              <w:rPr>
                <w:rFonts w:ascii="Book Antiqua" w:hAnsi="Book Antiqua" w:cs="Arial"/>
                <w:sz w:val="20"/>
              </w:rPr>
              <w:t>;</w:t>
            </w:r>
            <w:r w:rsidRPr="005060A4">
              <w:rPr>
                <w:rFonts w:ascii="Book Antiqua" w:hAnsi="Book Antiqua" w:cs="Arial"/>
                <w:sz w:val="20"/>
              </w:rPr>
              <w:t xml:space="preserve"> </w:t>
            </w:r>
          </w:p>
          <w:p w:rsidR="00B450CF" w:rsidRPr="005060A4" w:rsidRDefault="00B450CF" w:rsidP="00F37EE6">
            <w:pPr>
              <w:pStyle w:val="TableTextLeft"/>
              <w:numPr>
                <w:ilvl w:val="0"/>
                <w:numId w:val="20"/>
              </w:numPr>
              <w:rPr>
                <w:rFonts w:ascii="Book Antiqua" w:hAnsi="Book Antiqua" w:cs="Arial"/>
                <w:sz w:val="20"/>
              </w:rPr>
            </w:pPr>
            <w:r w:rsidRPr="005060A4">
              <w:rPr>
                <w:rFonts w:ascii="Book Antiqua" w:hAnsi="Book Antiqua" w:cs="Arial"/>
                <w:sz w:val="20"/>
              </w:rPr>
              <w:t>greater resilience and diversity of production systems</w:t>
            </w:r>
            <w:r>
              <w:rPr>
                <w:rFonts w:ascii="Book Antiqua" w:hAnsi="Book Antiqua" w:cs="Arial"/>
                <w:sz w:val="20"/>
              </w:rPr>
              <w:t>; and</w:t>
            </w:r>
            <w:r w:rsidRPr="005060A4">
              <w:rPr>
                <w:rFonts w:ascii="Book Antiqua" w:hAnsi="Book Antiqua" w:cs="Arial"/>
                <w:sz w:val="20"/>
              </w:rPr>
              <w:t xml:space="preserve"> </w:t>
            </w:r>
          </w:p>
          <w:p w:rsidR="00B26E12" w:rsidRPr="00A93201" w:rsidRDefault="00B450CF" w:rsidP="00F37EE6">
            <w:pPr>
              <w:pStyle w:val="TableTextLeft"/>
              <w:numPr>
                <w:ilvl w:val="0"/>
                <w:numId w:val="20"/>
              </w:numPr>
            </w:pPr>
            <w:r w:rsidRPr="005060A4">
              <w:rPr>
                <w:rFonts w:ascii="Book Antiqua" w:hAnsi="Book Antiqua" w:cs="Arial"/>
                <w:sz w:val="20"/>
              </w:rPr>
              <w:t>strengthened plant and animal biosecurity</w:t>
            </w:r>
            <w:r>
              <w:rPr>
                <w:rFonts w:ascii="Book Antiqua" w:hAnsi="Book Antiqua" w:cs="Arial"/>
                <w:sz w:val="20"/>
              </w:rPr>
              <w:t>.</w:t>
            </w:r>
            <w:r w:rsidR="00B26E12" w:rsidRPr="00001BFF">
              <w:rPr>
                <w:rFonts w:cs="Arial"/>
                <w:i/>
                <w:sz w:val="20"/>
              </w:rPr>
              <w:t xml:space="preserve"> </w:t>
            </w:r>
          </w:p>
        </w:tc>
      </w:tr>
    </w:tbl>
    <w:p w:rsidR="00B26E12" w:rsidRPr="00A93201" w:rsidRDefault="00B26E12" w:rsidP="00B26E12">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B26E12" w:rsidRPr="00A93201" w:rsidTr="00C102DA">
        <w:tc>
          <w:tcPr>
            <w:tcW w:w="7711" w:type="dxa"/>
            <w:shd w:val="clear" w:color="auto" w:fill="auto"/>
          </w:tcPr>
          <w:p w:rsidR="00B26E12" w:rsidRPr="00A93201" w:rsidRDefault="00B26E12" w:rsidP="00C102DA">
            <w:pPr>
              <w:pStyle w:val="TableColumnHeadingLeft"/>
            </w:pPr>
            <w:r w:rsidRPr="00A93201">
              <w:rPr>
                <w:rFonts w:ascii="Book Antiqua" w:hAnsi="Book Antiqua"/>
                <w:b w:val="0"/>
              </w:rPr>
              <w:br w:type="page"/>
            </w:r>
            <w:r w:rsidRPr="00A93201">
              <w:t>Programme 1 key performance indicators</w:t>
            </w:r>
          </w:p>
          <w:p w:rsidR="00B450CF" w:rsidRPr="005060A4" w:rsidRDefault="00B450CF" w:rsidP="00B450CF">
            <w:pPr>
              <w:pStyle w:val="TableTextLeft"/>
              <w:rPr>
                <w:rFonts w:ascii="Book Antiqua" w:hAnsi="Book Antiqua" w:cs="Arial"/>
                <w:sz w:val="20"/>
              </w:rPr>
            </w:pPr>
            <w:r w:rsidRPr="005060A4">
              <w:rPr>
                <w:rFonts w:ascii="Book Antiqua" w:hAnsi="Book Antiqua" w:cs="Arial"/>
                <w:sz w:val="20"/>
              </w:rPr>
              <w:t xml:space="preserve">ACIAR will improve agricultural competitiveness and sustainability, increase value chain efficiency and effectiveness, and alleviate regulatory impediments in relation to both domestic and international markets. These performance indicators will be measured through monitoring and evaluation of project outputs, analysis of the adoption of project outcomes and through an ongoing impact assessment programme. These will be delivered by generating: </w:t>
            </w:r>
          </w:p>
          <w:p w:rsidR="00B450CF" w:rsidRPr="005060A4" w:rsidRDefault="00B450CF" w:rsidP="00F37EE6">
            <w:pPr>
              <w:pStyle w:val="TableTextLeft"/>
              <w:numPr>
                <w:ilvl w:val="0"/>
                <w:numId w:val="21"/>
              </w:numPr>
              <w:ind w:left="601" w:hanging="241"/>
              <w:rPr>
                <w:rFonts w:ascii="Book Antiqua" w:hAnsi="Book Antiqua" w:cs="Arial"/>
                <w:sz w:val="20"/>
              </w:rPr>
            </w:pPr>
            <w:r w:rsidRPr="005060A4">
              <w:rPr>
                <w:rFonts w:ascii="Book Antiqua" w:hAnsi="Book Antiqua" w:cs="Arial"/>
                <w:sz w:val="20"/>
              </w:rPr>
              <w:t>new technologies that enhance agricultural productivity, food sufficiency, diversification and health and nutrition</w:t>
            </w:r>
            <w:r>
              <w:rPr>
                <w:rFonts w:ascii="Book Antiqua" w:hAnsi="Book Antiqua" w:cs="Arial"/>
                <w:sz w:val="20"/>
              </w:rPr>
              <w:t>;</w:t>
            </w:r>
          </w:p>
          <w:p w:rsidR="00B450CF" w:rsidRPr="005060A4" w:rsidRDefault="00B450CF" w:rsidP="00F37EE6">
            <w:pPr>
              <w:pStyle w:val="TableTextLeft"/>
              <w:numPr>
                <w:ilvl w:val="0"/>
                <w:numId w:val="21"/>
              </w:numPr>
              <w:ind w:left="601" w:hanging="241"/>
              <w:rPr>
                <w:rFonts w:ascii="Book Antiqua" w:hAnsi="Book Antiqua" w:cs="Arial"/>
                <w:sz w:val="20"/>
              </w:rPr>
            </w:pPr>
            <w:r w:rsidRPr="005060A4">
              <w:rPr>
                <w:rFonts w:ascii="Book Antiqua" w:hAnsi="Book Antiqua" w:cs="Arial"/>
                <w:sz w:val="20"/>
              </w:rPr>
              <w:t>new knowledge that improves agricultural productivity and management systems and enhances market opportunities</w:t>
            </w:r>
            <w:r>
              <w:rPr>
                <w:rFonts w:ascii="Book Antiqua" w:hAnsi="Book Antiqua" w:cs="Arial"/>
                <w:sz w:val="20"/>
              </w:rPr>
              <w:t>;</w:t>
            </w:r>
          </w:p>
          <w:p w:rsidR="00B450CF" w:rsidRPr="005060A4" w:rsidRDefault="00B450CF" w:rsidP="00F37EE6">
            <w:pPr>
              <w:pStyle w:val="TableTextLeft"/>
              <w:numPr>
                <w:ilvl w:val="0"/>
                <w:numId w:val="21"/>
              </w:numPr>
              <w:ind w:left="601" w:hanging="241"/>
              <w:rPr>
                <w:rFonts w:ascii="Book Antiqua" w:hAnsi="Book Antiqua" w:cs="Arial"/>
                <w:sz w:val="20"/>
              </w:rPr>
            </w:pPr>
            <w:r w:rsidRPr="005060A4">
              <w:rPr>
                <w:rFonts w:ascii="Book Antiqua" w:hAnsi="Book Antiqua" w:cs="Arial"/>
                <w:sz w:val="20"/>
              </w:rPr>
              <w:t>greater capability for scientific excellence, agricultural innovation and agribusiness development among researchers, research institutions, policy makers and development partners</w:t>
            </w:r>
            <w:r>
              <w:rPr>
                <w:rFonts w:ascii="Book Antiqua" w:hAnsi="Book Antiqua" w:cs="Arial"/>
                <w:sz w:val="20"/>
              </w:rPr>
              <w:t>; and</w:t>
            </w:r>
          </w:p>
          <w:p w:rsidR="00B26E12" w:rsidRPr="00A93201" w:rsidRDefault="00B450CF" w:rsidP="00F37EE6">
            <w:pPr>
              <w:pStyle w:val="TableTextLeft"/>
              <w:numPr>
                <w:ilvl w:val="0"/>
                <w:numId w:val="21"/>
              </w:numPr>
              <w:ind w:left="601" w:hanging="241"/>
            </w:pPr>
            <w:r w:rsidRPr="005060A4">
              <w:rPr>
                <w:rFonts w:ascii="Book Antiqua" w:hAnsi="Book Antiqua" w:cs="Arial"/>
                <w:sz w:val="20"/>
              </w:rPr>
              <w:t>better decision-making within research and policy institutions to support agricultural innovation and agribusiness development.</w:t>
            </w:r>
          </w:p>
        </w:tc>
      </w:tr>
    </w:tbl>
    <w:p w:rsidR="009131E0" w:rsidRDefault="009131E0" w:rsidP="00A44AA4">
      <w:pPr>
        <w:pStyle w:val="Heading2"/>
        <w:spacing w:before="0" w:after="120"/>
      </w:pPr>
      <w:r>
        <w:br w:type="page"/>
      </w:r>
      <w:r>
        <w:lastRenderedPageBreak/>
        <w:t>Section 3: Explanatory tables and budgeted financial statements</w:t>
      </w:r>
    </w:p>
    <w:p w:rsidR="009131E0" w:rsidRDefault="00B450CF" w:rsidP="009131E0">
      <w:r w:rsidRPr="00A93201">
        <w:t xml:space="preserve">Section 3 presents explanatory tables and budgeted financial statements which provide a comprehensive snapshot of entity finances for the 2015-16 </w:t>
      </w:r>
      <w:r>
        <w:t>B</w:t>
      </w:r>
      <w:r w:rsidRPr="00A93201">
        <w:t>udget year. It explains how budget plans are incorporated into the financial statements and provides further details of the reconciliation between appropriations and programme expenses, movements in administered funds</w:t>
      </w:r>
      <w:r>
        <w:t xml:space="preserve"> and </w:t>
      </w:r>
      <w:r w:rsidRPr="00A93201">
        <w:t>special accounts.</w:t>
      </w:r>
    </w:p>
    <w:p w:rsidR="009131E0" w:rsidRDefault="009131E0" w:rsidP="009131E0">
      <w:pPr>
        <w:pStyle w:val="Heading3"/>
      </w:pPr>
      <w:r>
        <w:t>3.1</w:t>
      </w:r>
      <w:r>
        <w:tab/>
        <w:t>Explanatory tables</w:t>
      </w:r>
    </w:p>
    <w:p w:rsidR="009131E0" w:rsidRDefault="009131E0" w:rsidP="009131E0">
      <w:pPr>
        <w:pStyle w:val="Heading4"/>
      </w:pPr>
      <w:r>
        <w:t>3.1.1</w:t>
      </w:r>
      <w:r>
        <w:tab/>
        <w:t>Movement of administered funds between years</w:t>
      </w:r>
    </w:p>
    <w:p w:rsidR="00B450CF" w:rsidRPr="00A93201" w:rsidRDefault="00B450CF" w:rsidP="00B450CF">
      <w:r w:rsidRPr="00A93201">
        <w:t xml:space="preserve">Administered funds can be provided for a specified period, for example under annual Appropriation Acts. Funds not used in the specified period with the agreement of the Finance Minister may be moved to a future year. </w:t>
      </w:r>
    </w:p>
    <w:p w:rsidR="009131E0" w:rsidRDefault="00B450CF" w:rsidP="00B450CF">
      <w:r w:rsidRPr="00A93201">
        <w:t>There ha</w:t>
      </w:r>
      <w:r>
        <w:t>s</w:t>
      </w:r>
      <w:r w:rsidRPr="00A93201">
        <w:t xml:space="preserve"> been no movement of administered funds between years for ACIAR since the 2014-15 Budget</w:t>
      </w:r>
      <w:r>
        <w:t>.</w:t>
      </w:r>
      <w:r w:rsidR="009131E0">
        <w:t xml:space="preserve"> </w:t>
      </w:r>
    </w:p>
    <w:p w:rsidR="009131E0" w:rsidRDefault="009131E0" w:rsidP="009131E0">
      <w:pPr>
        <w:pStyle w:val="Heading4"/>
        <w:spacing w:before="0"/>
      </w:pPr>
      <w:r>
        <w:t>3.1.2</w:t>
      </w:r>
      <w:r>
        <w:tab/>
        <w:t>Special accounts</w:t>
      </w:r>
    </w:p>
    <w:p w:rsidR="00450CA2" w:rsidRPr="00A93201" w:rsidRDefault="00B450CF" w:rsidP="00450CA2">
      <w:r w:rsidRPr="00A93201">
        <w:t>Special accounts provide a means to set aside and record amounts used for specified purposes. Special accounts can be created by a Finance Minister’s determination under section 78 of the PGPA Act</w:t>
      </w:r>
      <w:r w:rsidRPr="00A93201">
        <w:rPr>
          <w:i/>
        </w:rPr>
        <w:t xml:space="preserve"> </w:t>
      </w:r>
      <w:r w:rsidRPr="00A93201">
        <w:t>or under separate enabling legislation (section 80 of the PGPA Act refers). Table 3.1.2 shows the expected additions (receipts) and reductions (payments) for ACIAR</w:t>
      </w:r>
      <w:r>
        <w:t>’s special account</w:t>
      </w:r>
      <w:r w:rsidRPr="00A93201">
        <w:t>.</w:t>
      </w:r>
    </w:p>
    <w:p w:rsidR="009131E0" w:rsidRPr="005C4BEE" w:rsidRDefault="009131E0" w:rsidP="009131E0">
      <w:pPr>
        <w:pStyle w:val="TableHeading"/>
        <w:rPr>
          <w:sz w:val="20"/>
        </w:rPr>
      </w:pPr>
      <w:r w:rsidRPr="005C4BEE">
        <w:rPr>
          <w:sz w:val="20"/>
        </w:rPr>
        <w:t>Table 3.1.2: Estimates of special account flows and balances</w:t>
      </w:r>
    </w:p>
    <w:p w:rsidR="009131E0" w:rsidRDefault="00833238" w:rsidP="009131E0">
      <w:pPr>
        <w:pStyle w:val="TableGraphic"/>
      </w:pPr>
      <w:r>
        <w:pict>
          <v:shape id="_x0000_i1094" type="#_x0000_t75" style="width:386.2pt;height:127.15pt">
            <v:imagedata r:id="rId151" o:title=""/>
          </v:shape>
        </w:pict>
      </w:r>
    </w:p>
    <w:p w:rsidR="009131E0" w:rsidRDefault="009131E0" w:rsidP="009131E0">
      <w:pPr>
        <w:pStyle w:val="ChartandTableFootnote"/>
      </w:pPr>
      <w:r>
        <w:t>(A) = Administered</w:t>
      </w:r>
    </w:p>
    <w:p w:rsidR="009131E0" w:rsidRDefault="009131E0" w:rsidP="00A44AA4">
      <w:pPr>
        <w:pStyle w:val="Heading3"/>
        <w:spacing w:before="0"/>
      </w:pPr>
      <w:r>
        <w:br w:type="page"/>
      </w:r>
      <w:r>
        <w:lastRenderedPageBreak/>
        <w:t>3.2</w:t>
      </w:r>
      <w:r>
        <w:tab/>
        <w:t>Budgeted financial statements</w:t>
      </w:r>
    </w:p>
    <w:p w:rsidR="002E4C7B" w:rsidRPr="002E4C7B" w:rsidRDefault="002E4C7B" w:rsidP="002E4C7B">
      <w:pPr>
        <w:pStyle w:val="Heading3"/>
        <w:rPr>
          <w:smallCaps w:val="0"/>
          <w:sz w:val="20"/>
        </w:rPr>
      </w:pPr>
      <w:r w:rsidRPr="002E4C7B">
        <w:rPr>
          <w:sz w:val="20"/>
        </w:rPr>
        <w:t>3.2.1</w:t>
      </w:r>
      <w:r w:rsidRPr="002E4C7B">
        <w:rPr>
          <w:sz w:val="20"/>
        </w:rPr>
        <w:tab/>
      </w:r>
      <w:r w:rsidRPr="002E4C7B">
        <w:rPr>
          <w:smallCaps w:val="0"/>
          <w:sz w:val="20"/>
        </w:rPr>
        <w:t>Budgeted financial statements tables</w:t>
      </w:r>
    </w:p>
    <w:p w:rsidR="009131E0" w:rsidRPr="00450CA2" w:rsidRDefault="009131E0" w:rsidP="009131E0">
      <w:pPr>
        <w:pStyle w:val="TableHeading"/>
        <w:rPr>
          <w:snapToGrid w:val="0"/>
          <w:sz w:val="20"/>
        </w:rPr>
      </w:pPr>
      <w:r w:rsidRPr="00450CA2">
        <w:rPr>
          <w:sz w:val="20"/>
        </w:rPr>
        <w:t xml:space="preserve">Table 3.2.1: Comprehensive income statement (showing net cost of services) </w:t>
      </w:r>
      <w:r w:rsidRPr="00450CA2">
        <w:rPr>
          <w:snapToGrid w:val="0"/>
          <w:sz w:val="20"/>
        </w:rPr>
        <w:t>for the period ended 30 June</w:t>
      </w:r>
    </w:p>
    <w:p w:rsidR="00450CA2" w:rsidRDefault="00833238" w:rsidP="009131E0">
      <w:pPr>
        <w:pStyle w:val="TableGraphic"/>
      </w:pPr>
      <w:r>
        <w:pict>
          <v:shape id="_x0000_i1095" type="#_x0000_t75" style="width:385.25pt;height:307.65pt">
            <v:imagedata r:id="rId152" o:title=""/>
          </v:shape>
        </w:pict>
      </w:r>
    </w:p>
    <w:p w:rsidR="00B450CF" w:rsidRDefault="00B450CF" w:rsidP="009131E0">
      <w:pPr>
        <w:pStyle w:val="TableGraphic"/>
        <w:rPr>
          <w:i/>
        </w:rPr>
      </w:pPr>
      <w:r w:rsidRPr="002F7A59">
        <w:rPr>
          <w:i/>
        </w:rPr>
        <w:t>Table continued on the following page.</w:t>
      </w:r>
    </w:p>
    <w:p w:rsidR="009131E0" w:rsidRPr="00B450CF" w:rsidRDefault="00450CA2" w:rsidP="00A44AA4">
      <w:pPr>
        <w:pStyle w:val="TableHeading"/>
        <w:spacing w:before="0"/>
        <w:rPr>
          <w:snapToGrid w:val="0"/>
          <w:sz w:val="20"/>
        </w:rPr>
      </w:pPr>
      <w:r>
        <w:br w:type="page"/>
      </w:r>
      <w:r w:rsidR="00B450CF" w:rsidRPr="00450CA2">
        <w:rPr>
          <w:sz w:val="20"/>
        </w:rPr>
        <w:lastRenderedPageBreak/>
        <w:t xml:space="preserve">Table 3.2.1: Comprehensive income statement (showing net cost of services) </w:t>
      </w:r>
      <w:r w:rsidR="00B450CF">
        <w:rPr>
          <w:snapToGrid w:val="0"/>
          <w:sz w:val="20"/>
        </w:rPr>
        <w:t>for the period ended 30 June (continued)</w:t>
      </w:r>
    </w:p>
    <w:p w:rsidR="009131E0" w:rsidRPr="00A965CD" w:rsidRDefault="00833238" w:rsidP="009131E0">
      <w:pPr>
        <w:pStyle w:val="TableGraphic"/>
      </w:pPr>
      <w:r>
        <w:pict>
          <v:shape id="_x0000_i1096" type="#_x0000_t75" style="width:385.25pt;height:167.4pt">
            <v:imagedata r:id="rId153" o:title=""/>
          </v:shape>
        </w:pict>
      </w:r>
    </w:p>
    <w:p w:rsidR="00450CA2" w:rsidRPr="00450CA2" w:rsidRDefault="00450CA2" w:rsidP="00450CA2">
      <w:pPr>
        <w:spacing w:after="0" w:line="240" w:lineRule="auto"/>
        <w:rPr>
          <w:rFonts w:ascii="Arial" w:hAnsi="Arial" w:cs="Arial"/>
          <w:color w:val="000000"/>
          <w:sz w:val="16"/>
          <w:szCs w:val="16"/>
        </w:rPr>
      </w:pPr>
      <w:r w:rsidRPr="00450CA2">
        <w:rPr>
          <w:rFonts w:ascii="Arial" w:hAnsi="Arial" w:cs="Arial"/>
          <w:color w:val="000000"/>
          <w:sz w:val="16"/>
          <w:szCs w:val="16"/>
        </w:rPr>
        <w:t>(a) 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3.2.5 Departmental Capital Budget Statement.</w:t>
      </w:r>
    </w:p>
    <w:p w:rsidR="009131E0" w:rsidRDefault="009131E0" w:rsidP="009131E0">
      <w:pPr>
        <w:pStyle w:val="Source"/>
      </w:pPr>
      <w:r w:rsidRPr="00E4582E">
        <w:t>Prepared on Australian Accounting Standards basis</w:t>
      </w:r>
      <w:r>
        <w:t>.</w:t>
      </w:r>
    </w:p>
    <w:p w:rsidR="009131E0" w:rsidRDefault="009131E0" w:rsidP="009131E0">
      <w:pPr>
        <w:pStyle w:val="Source"/>
      </w:pPr>
    </w:p>
    <w:p w:rsidR="009131E0" w:rsidRPr="00354B90" w:rsidRDefault="009131E0" w:rsidP="00A44AA4">
      <w:pPr>
        <w:pStyle w:val="TableHeading"/>
        <w:spacing w:before="0"/>
        <w:rPr>
          <w:sz w:val="20"/>
        </w:rPr>
      </w:pPr>
      <w:r>
        <w:br w:type="page"/>
      </w:r>
      <w:r w:rsidRPr="00354B90">
        <w:rPr>
          <w:sz w:val="20"/>
        </w:rPr>
        <w:lastRenderedPageBreak/>
        <w:t>Table 3.2.2: Budgeted departmental balance sheet (as at 30 June)</w:t>
      </w:r>
    </w:p>
    <w:p w:rsidR="009131E0" w:rsidRPr="00F626C2" w:rsidRDefault="00833238" w:rsidP="009131E0">
      <w:pPr>
        <w:pStyle w:val="TableGraphic"/>
      </w:pPr>
      <w:r>
        <w:pict>
          <v:shape id="_x0000_i1097" type="#_x0000_t75" style="width:384.3pt;height:373.1pt">
            <v:imagedata r:id="rId154" o:title=""/>
          </v:shape>
        </w:pict>
      </w:r>
    </w:p>
    <w:p w:rsidR="009131E0" w:rsidRDefault="006A2EB3" w:rsidP="009131E0">
      <w:pPr>
        <w:pStyle w:val="ChartandTableFootnote"/>
      </w:pPr>
      <w:r w:rsidRPr="00E4582E">
        <w:t>*</w:t>
      </w:r>
      <w:r>
        <w:t>‘</w:t>
      </w:r>
      <w:r w:rsidRPr="00F626C2">
        <w:t>E</w:t>
      </w:r>
      <w:r>
        <w:t>quity’</w:t>
      </w:r>
      <w:r w:rsidR="009131E0" w:rsidRPr="00E4582E">
        <w:t xml:space="preserve"> is the residual interest in assets after deduction of liabilities.</w:t>
      </w:r>
    </w:p>
    <w:p w:rsidR="009131E0" w:rsidRDefault="009131E0" w:rsidP="009131E0">
      <w:pPr>
        <w:pStyle w:val="Source"/>
      </w:pPr>
      <w:r>
        <w:t>Prepared on Australian Accounting Standards basis.</w:t>
      </w:r>
      <w:r w:rsidR="006A2EB3">
        <w:t xml:space="preserve"> </w:t>
      </w:r>
    </w:p>
    <w:p w:rsidR="009131E0" w:rsidRDefault="009131E0" w:rsidP="009131E0">
      <w:pPr>
        <w:pStyle w:val="NoSpacing"/>
      </w:pPr>
    </w:p>
    <w:p w:rsidR="009131E0" w:rsidRPr="00354B90" w:rsidRDefault="009131E0" w:rsidP="00A44AA4">
      <w:pPr>
        <w:pStyle w:val="TableHeading"/>
        <w:spacing w:before="0"/>
        <w:rPr>
          <w:sz w:val="20"/>
        </w:rPr>
      </w:pPr>
      <w:r>
        <w:br w:type="page"/>
      </w:r>
      <w:r w:rsidRPr="00354B90">
        <w:rPr>
          <w:sz w:val="20"/>
        </w:rPr>
        <w:lastRenderedPageBreak/>
        <w:t>Table 3.2.3: Departmental statement of changes in equity — summary of movement (Budget year 2015-16)</w:t>
      </w:r>
    </w:p>
    <w:p w:rsidR="00354B90" w:rsidRDefault="00833238" w:rsidP="009A3612">
      <w:pPr>
        <w:pStyle w:val="TableGraphic"/>
      </w:pPr>
      <w:r>
        <w:pict>
          <v:shape id="_x0000_i1098" type="#_x0000_t75" style="width:386.2pt;height:241.25pt">
            <v:imagedata r:id="rId155" o:title=""/>
          </v:shape>
        </w:pict>
      </w:r>
    </w:p>
    <w:p w:rsidR="009131E0" w:rsidRDefault="009131E0" w:rsidP="009131E0">
      <w:pPr>
        <w:pStyle w:val="Source"/>
      </w:pPr>
      <w:r>
        <w:t>Prepared on Australian Accounting Standards basis.</w:t>
      </w:r>
    </w:p>
    <w:p w:rsidR="009131E0" w:rsidRDefault="009131E0" w:rsidP="009131E0">
      <w:pPr>
        <w:pStyle w:val="NoSpacing"/>
      </w:pPr>
    </w:p>
    <w:p w:rsidR="009131E0" w:rsidRPr="00354B90" w:rsidRDefault="009131E0" w:rsidP="00A44AA4">
      <w:pPr>
        <w:pStyle w:val="TableHeading"/>
        <w:spacing w:before="0"/>
        <w:rPr>
          <w:sz w:val="20"/>
        </w:rPr>
      </w:pPr>
      <w:r>
        <w:br w:type="page"/>
      </w:r>
      <w:r w:rsidRPr="00354B90">
        <w:rPr>
          <w:sz w:val="20"/>
        </w:rPr>
        <w:lastRenderedPageBreak/>
        <w:t>Table 3.2.4: Budgeted departmental statement of cash flows (for the period ended 30 June)</w:t>
      </w:r>
    </w:p>
    <w:p w:rsidR="009131E0" w:rsidRPr="0061675B" w:rsidRDefault="00833238" w:rsidP="009A3612">
      <w:pPr>
        <w:pStyle w:val="TableGraphic"/>
      </w:pPr>
      <w:r>
        <w:pict>
          <v:shape id="_x0000_i1099" type="#_x0000_t75" style="width:384.3pt;height:406.75pt">
            <v:imagedata r:id="rId156" o:title=""/>
          </v:shape>
        </w:pict>
      </w:r>
    </w:p>
    <w:p w:rsidR="009131E0" w:rsidRDefault="009131E0" w:rsidP="009131E0">
      <w:pPr>
        <w:pStyle w:val="Source"/>
      </w:pPr>
      <w:r>
        <w:t>Prepared on Australian Accounting Standards basis.</w:t>
      </w:r>
    </w:p>
    <w:p w:rsidR="009131E0" w:rsidRDefault="009131E0" w:rsidP="009131E0">
      <w:pPr>
        <w:pStyle w:val="NoSpacing"/>
      </w:pPr>
    </w:p>
    <w:p w:rsidR="009131E0" w:rsidRPr="009A3612" w:rsidRDefault="009131E0" w:rsidP="00A44AA4">
      <w:pPr>
        <w:pStyle w:val="TableHeading"/>
        <w:spacing w:before="0"/>
        <w:rPr>
          <w:sz w:val="20"/>
        </w:rPr>
      </w:pPr>
      <w:r>
        <w:br w:type="page"/>
      </w:r>
      <w:r w:rsidRPr="009A3612">
        <w:rPr>
          <w:sz w:val="20"/>
        </w:rPr>
        <w:lastRenderedPageBreak/>
        <w:t>Table 3.2.5: Departmental capital budget statement (for the period ended 30 June)</w:t>
      </w:r>
    </w:p>
    <w:p w:rsidR="009131E0" w:rsidRPr="00F10305" w:rsidRDefault="00833238" w:rsidP="009131E0">
      <w:pPr>
        <w:pStyle w:val="TableGraphic"/>
      </w:pPr>
      <w:r>
        <w:pict>
          <v:shape id="_x0000_i1100" type="#_x0000_t75" style="width:384.3pt;height:262.75pt">
            <v:imagedata r:id="rId157" o:title=""/>
          </v:shape>
        </w:pict>
      </w:r>
    </w:p>
    <w:p w:rsidR="009131E0" w:rsidRDefault="009131E0" w:rsidP="00F37EE6">
      <w:pPr>
        <w:pStyle w:val="ChartandTableFootnoteAlpha"/>
        <w:numPr>
          <w:ilvl w:val="0"/>
          <w:numId w:val="22"/>
        </w:numPr>
      </w:pPr>
      <w:r>
        <w:t>Includes both current Bill 2 and prior Act 2/4/6 appropriations and special capital appropriations.</w:t>
      </w:r>
    </w:p>
    <w:p w:rsidR="009131E0" w:rsidRDefault="009131E0" w:rsidP="00702FAB">
      <w:pPr>
        <w:pStyle w:val="ChartandTableFootnoteAlpha"/>
        <w:numPr>
          <w:ilvl w:val="0"/>
          <w:numId w:val="13"/>
        </w:numPr>
      </w:pPr>
      <w:r>
        <w:t>Does not include annual finance lease costs. Includes purchases from current and previous years’ Departmental Capital Budgets (DCBs).</w:t>
      </w:r>
    </w:p>
    <w:p w:rsidR="009131E0" w:rsidRDefault="009131E0" w:rsidP="009131E0">
      <w:pPr>
        <w:pStyle w:val="Source"/>
      </w:pPr>
      <w:r>
        <w:t>Prepared on Australian Accounting Standards basis.</w:t>
      </w:r>
    </w:p>
    <w:p w:rsidR="009131E0" w:rsidRDefault="009131E0" w:rsidP="009131E0">
      <w:pPr>
        <w:pStyle w:val="NoSpacing"/>
      </w:pPr>
    </w:p>
    <w:p w:rsidR="009131E0" w:rsidRDefault="009131E0" w:rsidP="009131E0">
      <w:pPr>
        <w:pStyle w:val="ExampleText0"/>
        <w:sectPr w:rsidR="009131E0" w:rsidSect="000A24C4">
          <w:headerReference w:type="even" r:id="rId158"/>
          <w:headerReference w:type="default" r:id="rId159"/>
          <w:headerReference w:type="first" r:id="rId160"/>
          <w:footerReference w:type="first" r:id="rId161"/>
          <w:type w:val="oddPage"/>
          <w:pgSz w:w="11906" w:h="16838" w:code="9"/>
          <w:pgMar w:top="2466" w:right="2098" w:bottom="2466" w:left="2098" w:header="1899" w:footer="1899" w:gutter="0"/>
          <w:cols w:space="708"/>
          <w:titlePg/>
          <w:docGrid w:linePitch="360"/>
        </w:sectPr>
      </w:pPr>
    </w:p>
    <w:p w:rsidR="009131E0" w:rsidRPr="002E4C7B" w:rsidRDefault="009131E0" w:rsidP="00A44AA4">
      <w:pPr>
        <w:pStyle w:val="TableHeading"/>
        <w:spacing w:before="0" w:after="0"/>
        <w:rPr>
          <w:sz w:val="20"/>
        </w:rPr>
      </w:pPr>
      <w:r w:rsidRPr="002E4C7B">
        <w:rPr>
          <w:sz w:val="20"/>
        </w:rPr>
        <w:lastRenderedPageBreak/>
        <w:t>Table 3.2.6: Statement of asset movements (Budget year 2015</w:t>
      </w:r>
      <w:r w:rsidRPr="002E4C7B">
        <w:rPr>
          <w:sz w:val="20"/>
        </w:rPr>
        <w:noBreakHyphen/>
        <w:t>16)</w:t>
      </w:r>
    </w:p>
    <w:p w:rsidR="009131E0" w:rsidRPr="00F10305" w:rsidRDefault="00833238" w:rsidP="009131E0">
      <w:pPr>
        <w:pStyle w:val="TableGraphic"/>
      </w:pPr>
      <w:r>
        <w:pict>
          <v:shape id="_x0000_i1101" type="#_x0000_t75" style="width:387.1pt;height:290.8pt">
            <v:imagedata r:id="rId162" o:title=""/>
          </v:shape>
        </w:pict>
      </w:r>
    </w:p>
    <w:p w:rsidR="009131E0" w:rsidRDefault="009131E0" w:rsidP="00F37EE6">
      <w:pPr>
        <w:pStyle w:val="ChartandTableFootnoteAlpha"/>
        <w:numPr>
          <w:ilvl w:val="0"/>
          <w:numId w:val="23"/>
        </w:numPr>
        <w:ind w:right="-87"/>
      </w:pPr>
      <w:r>
        <w:t xml:space="preserve">‘Appropriation equity’ refers to equity injections appropriations provided through </w:t>
      </w:r>
      <w:r w:rsidRPr="00480341">
        <w:rPr>
          <w:i/>
        </w:rPr>
        <w:t>Appropriation Bill (No. 2) 2015-16</w:t>
      </w:r>
      <w:r>
        <w:t>, including CDABs.</w:t>
      </w:r>
    </w:p>
    <w:p w:rsidR="009131E0" w:rsidRDefault="009131E0" w:rsidP="00140FFE">
      <w:pPr>
        <w:pStyle w:val="ChartandTableFootnoteAlpha"/>
        <w:numPr>
          <w:ilvl w:val="0"/>
          <w:numId w:val="14"/>
        </w:numPr>
        <w:ind w:right="-87"/>
      </w:pPr>
      <w:r>
        <w:t xml:space="preserve">‘Appropriation ordinary annual services’ refers to funding provided through </w:t>
      </w:r>
      <w:r w:rsidRPr="00480341">
        <w:rPr>
          <w:i/>
        </w:rPr>
        <w:t xml:space="preserve">Appropriation Bill (No. 1) </w:t>
      </w:r>
      <w:r w:rsidR="00140FFE" w:rsidRPr="00480341">
        <w:rPr>
          <w:i/>
        </w:rPr>
        <w:br/>
      </w:r>
      <w:r w:rsidRPr="00480341">
        <w:rPr>
          <w:i/>
        </w:rPr>
        <w:t>2015-16</w:t>
      </w:r>
      <w:r>
        <w:t xml:space="preserve"> for depreciation/amortisation expenses, DCBs or other operational expenses.</w:t>
      </w:r>
    </w:p>
    <w:p w:rsidR="009131E0" w:rsidRPr="002B7D6F" w:rsidRDefault="009131E0" w:rsidP="00E30541">
      <w:pPr>
        <w:pStyle w:val="Source"/>
        <w:ind w:right="764"/>
      </w:pPr>
      <w:r w:rsidRPr="003458E0">
        <w:t>Prepared on Australian Accounting Standards basis.</w:t>
      </w:r>
    </w:p>
    <w:p w:rsidR="009131E0" w:rsidRPr="002B7D6F" w:rsidRDefault="009131E0" w:rsidP="009131E0">
      <w:pPr>
        <w:sectPr w:rsidR="009131E0" w:rsidRPr="002B7D6F" w:rsidSect="00A44AA4">
          <w:headerReference w:type="even" r:id="rId163"/>
          <w:headerReference w:type="default" r:id="rId164"/>
          <w:headerReference w:type="first" r:id="rId165"/>
          <w:pgSz w:w="11906" w:h="16838" w:code="9"/>
          <w:pgMar w:top="2466" w:right="2098" w:bottom="2466" w:left="2098" w:header="1899" w:footer="1899" w:gutter="0"/>
          <w:cols w:space="708"/>
          <w:titlePg/>
          <w:docGrid w:linePitch="360"/>
        </w:sectPr>
      </w:pPr>
    </w:p>
    <w:p w:rsidR="009131E0" w:rsidRPr="002E4C7B" w:rsidRDefault="009131E0" w:rsidP="00A44AA4">
      <w:pPr>
        <w:pStyle w:val="TableHeading"/>
        <w:spacing w:before="0"/>
        <w:rPr>
          <w:sz w:val="20"/>
        </w:rPr>
      </w:pPr>
      <w:r w:rsidRPr="002E4C7B">
        <w:rPr>
          <w:sz w:val="20"/>
        </w:rPr>
        <w:lastRenderedPageBreak/>
        <w:t>Table 3.2.7: Schedule of budgeted income and expenses administered on behalf of Government (for the period ended 30 June)</w:t>
      </w:r>
    </w:p>
    <w:p w:rsidR="009131E0" w:rsidRPr="00F10305" w:rsidRDefault="00833238" w:rsidP="009131E0">
      <w:pPr>
        <w:pStyle w:val="TableGraphic"/>
      </w:pPr>
      <w:r>
        <w:pict>
          <v:shape id="_x0000_i1102" type="#_x0000_t75" style="width:384.3pt;height:274.9pt">
            <v:imagedata r:id="rId166" o:title=""/>
          </v:shape>
        </w:pict>
      </w:r>
    </w:p>
    <w:p w:rsidR="009131E0" w:rsidRDefault="009131E0" w:rsidP="009131E0">
      <w:pPr>
        <w:pStyle w:val="Source"/>
      </w:pPr>
      <w:r w:rsidRPr="00E4582E">
        <w:t>Prepared on Australian Accounting Standards basis</w:t>
      </w:r>
      <w:r>
        <w:t>.</w:t>
      </w:r>
    </w:p>
    <w:p w:rsidR="009131E0" w:rsidRDefault="009131E0" w:rsidP="009131E0">
      <w:pPr>
        <w:pStyle w:val="NoSpacing"/>
      </w:pPr>
    </w:p>
    <w:p w:rsidR="009131E0" w:rsidRPr="002E4C7B" w:rsidRDefault="009131E0" w:rsidP="00A44AA4">
      <w:pPr>
        <w:pStyle w:val="TableHeading"/>
        <w:spacing w:before="0"/>
        <w:rPr>
          <w:sz w:val="20"/>
        </w:rPr>
      </w:pPr>
      <w:r>
        <w:br w:type="page"/>
      </w:r>
      <w:r w:rsidRPr="002E4C7B">
        <w:rPr>
          <w:sz w:val="20"/>
        </w:rPr>
        <w:lastRenderedPageBreak/>
        <w:t>Table 3.2.8: Schedule of budgeted assets and liabilities administered on behalf of Government (as at 30 June)</w:t>
      </w:r>
    </w:p>
    <w:p w:rsidR="009131E0" w:rsidRDefault="00833238" w:rsidP="009131E0">
      <w:pPr>
        <w:pStyle w:val="TableGraphic"/>
        <w:rPr>
          <w:rFonts w:ascii="Times New Roman" w:hAnsi="Times New Roman"/>
        </w:rPr>
      </w:pPr>
      <w:r>
        <w:pict>
          <v:shape id="_x0000_i1103" type="#_x0000_t75" style="width:384.3pt;height:259.95pt">
            <v:imagedata r:id="rId167" o:title=""/>
          </v:shape>
        </w:pict>
      </w:r>
    </w:p>
    <w:p w:rsidR="009131E0" w:rsidRDefault="009131E0" w:rsidP="009131E0">
      <w:pPr>
        <w:pStyle w:val="Source"/>
      </w:pPr>
      <w:r w:rsidRPr="00E4582E">
        <w:t>Prepared on Australian Accounting Standards basis</w:t>
      </w:r>
      <w:r>
        <w:t>.</w:t>
      </w:r>
    </w:p>
    <w:p w:rsidR="009131E0" w:rsidRDefault="009131E0" w:rsidP="009131E0">
      <w:pPr>
        <w:pStyle w:val="SingleParagraph"/>
      </w:pPr>
    </w:p>
    <w:p w:rsidR="009131E0" w:rsidRPr="002E4C7B" w:rsidRDefault="009131E0" w:rsidP="009131E0">
      <w:pPr>
        <w:pStyle w:val="TableHeading"/>
        <w:rPr>
          <w:sz w:val="20"/>
        </w:rPr>
      </w:pPr>
      <w:r>
        <w:br w:type="page"/>
      </w:r>
      <w:r w:rsidRPr="002E4C7B">
        <w:rPr>
          <w:sz w:val="20"/>
        </w:rPr>
        <w:lastRenderedPageBreak/>
        <w:t>Table 3.2.9: Schedule of budgeted administered cash flows (for the period ended 30 June)</w:t>
      </w:r>
    </w:p>
    <w:p w:rsidR="009131E0" w:rsidRPr="0044552A" w:rsidRDefault="00833238" w:rsidP="009131E0">
      <w:pPr>
        <w:pStyle w:val="TableGraphic"/>
      </w:pPr>
      <w:r>
        <w:pict>
          <v:shape id="_x0000_i1104" type="#_x0000_t75" style="width:384.3pt;height:304.85pt">
            <v:imagedata r:id="rId168" o:title=""/>
          </v:shape>
        </w:pict>
      </w:r>
    </w:p>
    <w:p w:rsidR="009131E0" w:rsidRDefault="009131E0" w:rsidP="009131E0">
      <w:pPr>
        <w:pStyle w:val="Source"/>
      </w:pPr>
      <w:r>
        <w:t>Prepared on Australian Accounting Standards basis.</w:t>
      </w:r>
    </w:p>
    <w:p w:rsidR="009131E0" w:rsidRPr="00B93884" w:rsidRDefault="009131E0" w:rsidP="009131E0">
      <w:pPr>
        <w:pStyle w:val="ExampleText0"/>
        <w:sectPr w:rsidR="009131E0" w:rsidRPr="00B93884" w:rsidSect="00A44AA4">
          <w:headerReference w:type="even" r:id="rId169"/>
          <w:headerReference w:type="default" r:id="rId170"/>
          <w:footerReference w:type="even" r:id="rId171"/>
          <w:footerReference w:type="default" r:id="rId172"/>
          <w:headerReference w:type="first" r:id="rId173"/>
          <w:footerReference w:type="first" r:id="rId174"/>
          <w:pgSz w:w="11906" w:h="16838" w:code="9"/>
          <w:pgMar w:top="2466" w:right="2098" w:bottom="2466" w:left="2098" w:header="1899" w:footer="1899" w:gutter="0"/>
          <w:cols w:space="708"/>
          <w:titlePg/>
          <w:docGrid w:linePitch="360"/>
        </w:sectPr>
      </w:pPr>
    </w:p>
    <w:p w:rsidR="009131E0" w:rsidRDefault="009131E0" w:rsidP="009131E0">
      <w:pPr>
        <w:pStyle w:val="Heading4"/>
      </w:pPr>
      <w:r>
        <w:lastRenderedPageBreak/>
        <w:t>3.2.</w:t>
      </w:r>
      <w:r w:rsidR="002E4C7B">
        <w:t>2</w:t>
      </w:r>
      <w:r>
        <w:tab/>
        <w:t>Notes to the financial statements</w:t>
      </w:r>
    </w:p>
    <w:p w:rsidR="00254129" w:rsidRPr="00C61232" w:rsidRDefault="00254129" w:rsidP="00254129">
      <w:pPr>
        <w:rPr>
          <w:rFonts w:ascii="Arial" w:hAnsi="Arial" w:cs="Arial"/>
          <w:b/>
        </w:rPr>
      </w:pPr>
      <w:r w:rsidRPr="00C61232">
        <w:rPr>
          <w:rFonts w:ascii="Arial" w:hAnsi="Arial" w:cs="Arial"/>
          <w:b/>
        </w:rPr>
        <w:t>Departmental financial statements and schedule of administered activity</w:t>
      </w:r>
    </w:p>
    <w:p w:rsidR="00CB2908" w:rsidRDefault="00CB2908" w:rsidP="00CB2908">
      <w:r>
        <w:t>Under the Australian Government’s budgeting framework, and consistent with Australian Accounting Standards, transactions that agencies control (departmental transactions) are budgeted for, and reported on, separately to transactions which agencies do not have control over (administered transactions). This ensures that agencies are only held fully accountable for the transactions over which they have control.</w:t>
      </w:r>
    </w:p>
    <w:p w:rsidR="00CB2908" w:rsidRDefault="00CB2908" w:rsidP="00CB2908">
      <w:pPr>
        <w:pStyle w:val="Bullet"/>
      </w:pPr>
      <w:r>
        <w:t>Departmental items are those assets, liabilities, revenues and expenses in relation to an agency or authority that are controlled by the agency. Departmental expenses include employee and supplier expenses and other administrative costs, which are incurred by the agency in providing its goods and services.</w:t>
      </w:r>
    </w:p>
    <w:p w:rsidR="00254129" w:rsidRDefault="00CB2908" w:rsidP="00CB2908">
      <w:pPr>
        <w:pStyle w:val="Bullet"/>
      </w:pPr>
      <w:r>
        <w:t>Administered items are revenues, expenses, assets and liabilities that are managed by an agency or authority on behalf of the Government according to set government directions. Administered expenses include subsidies, grants and personal benefit payments and administered revenues include taxes, fees, fines and excises.</w:t>
      </w:r>
    </w:p>
    <w:p w:rsidR="00254129" w:rsidRPr="00A85BD3" w:rsidRDefault="00254129" w:rsidP="00254129">
      <w:pPr>
        <w:pStyle w:val="Heading5"/>
      </w:pPr>
      <w:r w:rsidRPr="00A85BD3">
        <w:t>Appropriations in the budgeting framework</w:t>
      </w:r>
    </w:p>
    <w:p w:rsidR="00CB2908" w:rsidRDefault="00CB2908" w:rsidP="00CB2908">
      <w:r>
        <w:t>Under the Australian Government’s budgeting framework, separate annual appropriations are provided for:</w:t>
      </w:r>
    </w:p>
    <w:p w:rsidR="00CB2908" w:rsidRDefault="00CB2908" w:rsidP="00CB2908">
      <w:pPr>
        <w:pStyle w:val="Bullet"/>
      </w:pPr>
      <w:r>
        <w:t>departmental appropriations: representing the Government’s funding for agency programs;</w:t>
      </w:r>
    </w:p>
    <w:p w:rsidR="00CB2908" w:rsidRDefault="00CB2908" w:rsidP="00CB2908">
      <w:pPr>
        <w:pStyle w:val="Bullet"/>
      </w:pPr>
      <w:r>
        <w:t>departmental capital budget appropriations: representing the Government’s funding through additional equity for the replacement of existing agency assets as they reach the end of their useful life;</w:t>
      </w:r>
    </w:p>
    <w:p w:rsidR="00CB2908" w:rsidRDefault="00CB2908" w:rsidP="00CB2908">
      <w:pPr>
        <w:pStyle w:val="Bullet"/>
      </w:pPr>
      <w:r>
        <w:t>departmental capital appropriations: for new investments by the Government through additional equity; and</w:t>
      </w:r>
    </w:p>
    <w:p w:rsidR="00254129" w:rsidRDefault="00CB2908" w:rsidP="00CB2908">
      <w:pPr>
        <w:pStyle w:val="Bullet"/>
      </w:pPr>
      <w:r>
        <w:t>administered expense appropriations: for the estimated administered expenses relating to specific programs.</w:t>
      </w:r>
    </w:p>
    <w:p w:rsidR="00254129" w:rsidRPr="00A85BD3" w:rsidRDefault="00254129" w:rsidP="00254129">
      <w:pPr>
        <w:pStyle w:val="Heading5"/>
      </w:pPr>
      <w:r w:rsidRPr="00A85BD3">
        <w:t xml:space="preserve">Asset </w:t>
      </w:r>
      <w:r>
        <w:t>v</w:t>
      </w:r>
      <w:r w:rsidRPr="00A85BD3">
        <w:t>aluation</w:t>
      </w:r>
    </w:p>
    <w:p w:rsidR="00254129" w:rsidRPr="00395768" w:rsidRDefault="00254129" w:rsidP="00254129">
      <w:pPr>
        <w:rPr>
          <w:rFonts w:ascii="Times New Roman" w:hAnsi="Times New Roman"/>
          <w:sz w:val="24"/>
          <w:szCs w:val="24"/>
        </w:rPr>
      </w:pPr>
      <w:r>
        <w:t>In accordance with current Australian accounting standards and the Finance Minister’s Orders, the Agency’s assets are carried at fair value.</w:t>
      </w:r>
    </w:p>
    <w:p w:rsidR="009131E0" w:rsidRDefault="009131E0" w:rsidP="00C41D55">
      <w:pPr>
        <w:pStyle w:val="Exampletext"/>
        <w:sectPr w:rsidR="009131E0" w:rsidSect="00982444">
          <w:headerReference w:type="first" r:id="rId175"/>
          <w:footerReference w:type="first" r:id="rId176"/>
          <w:pgSz w:w="11906" w:h="16838" w:code="9"/>
          <w:pgMar w:top="2466" w:right="2098" w:bottom="2466" w:left="2098" w:header="1899" w:footer="1899" w:gutter="0"/>
          <w:cols w:space="708"/>
          <w:titlePg/>
          <w:docGrid w:linePitch="360"/>
        </w:sectPr>
      </w:pPr>
    </w:p>
    <w:p w:rsidR="00204CBB" w:rsidRDefault="00204CBB" w:rsidP="009131E0">
      <w:pPr>
        <w:pStyle w:val="Department"/>
        <w:spacing w:before="1320"/>
        <w:sectPr w:rsidR="00204CBB" w:rsidSect="009131E0">
          <w:headerReference w:type="first" r:id="rId177"/>
          <w:footerReference w:type="first" r:id="rId178"/>
          <w:pgSz w:w="11906" w:h="16838" w:code="9"/>
          <w:pgMar w:top="2466" w:right="2098" w:bottom="2466" w:left="2098" w:header="1899" w:footer="1899" w:gutter="0"/>
          <w:cols w:space="708"/>
          <w:titlePg/>
          <w:docGrid w:linePitch="360"/>
        </w:sectPr>
      </w:pPr>
    </w:p>
    <w:p w:rsidR="00F66D1D" w:rsidRDefault="00F66D1D" w:rsidP="009131E0">
      <w:pPr>
        <w:pStyle w:val="Department"/>
        <w:spacing w:before="1320"/>
        <w:sectPr w:rsidR="00F66D1D" w:rsidSect="009131E0">
          <w:pgSz w:w="11906" w:h="16838" w:code="9"/>
          <w:pgMar w:top="2466" w:right="2098" w:bottom="2466" w:left="2098" w:header="1899" w:footer="1899" w:gutter="0"/>
          <w:cols w:space="708"/>
          <w:titlePg/>
          <w:docGrid w:linePitch="360"/>
        </w:sectPr>
      </w:pPr>
    </w:p>
    <w:p w:rsidR="009131E0" w:rsidRDefault="007D00B2" w:rsidP="009131E0">
      <w:pPr>
        <w:pStyle w:val="Department"/>
        <w:spacing w:before="1320"/>
      </w:pPr>
      <w:r>
        <w:lastRenderedPageBreak/>
        <w:t>Australian Secret Intelligence Service (ASIS)</w:t>
      </w:r>
    </w:p>
    <w:p w:rsidR="009131E0" w:rsidRDefault="009131E0" w:rsidP="009131E0">
      <w:pPr>
        <w:pStyle w:val="DepartmentSubtitle"/>
        <w:spacing w:before="2080"/>
      </w:pPr>
      <w:r>
        <w:t>Entity resources and planned performance</w:t>
      </w:r>
    </w:p>
    <w:p w:rsidR="00EE508C" w:rsidRDefault="00EE508C" w:rsidP="009131E0">
      <w:pPr>
        <w:sectPr w:rsidR="00EE508C" w:rsidSect="009131E0">
          <w:pgSz w:w="11906" w:h="16838" w:code="9"/>
          <w:pgMar w:top="2466" w:right="2098" w:bottom="2466" w:left="2098" w:header="1899" w:footer="1899" w:gutter="0"/>
          <w:cols w:space="708"/>
          <w:titlePg/>
          <w:docGrid w:linePitch="360"/>
        </w:sectPr>
      </w:pPr>
    </w:p>
    <w:p w:rsidR="009131E0" w:rsidRDefault="009131E0" w:rsidP="009131E0">
      <w:pPr>
        <w:sectPr w:rsidR="009131E0" w:rsidSect="009131E0">
          <w:pgSz w:w="11906" w:h="16838" w:code="9"/>
          <w:pgMar w:top="2466" w:right="2098" w:bottom="2466" w:left="2098" w:header="1899" w:footer="1899" w:gutter="0"/>
          <w:cols w:space="708"/>
          <w:titlePg/>
          <w:docGrid w:linePitch="360"/>
        </w:sectPr>
      </w:pPr>
    </w:p>
    <w:p w:rsidR="009131E0" w:rsidRDefault="007D00B2" w:rsidP="009131E0">
      <w:pPr>
        <w:pStyle w:val="ContentsHeading"/>
      </w:pPr>
      <w:r>
        <w:lastRenderedPageBreak/>
        <w:t>Australian Secret Intelligence Service</w:t>
      </w:r>
      <w:r w:rsidR="009131E0">
        <w:br/>
        <w:t>(</w:t>
      </w:r>
      <w:r>
        <w:t>ASIS</w:t>
      </w:r>
      <w:r w:rsidR="009131E0">
        <w:t>)</w:t>
      </w:r>
    </w:p>
    <w:p w:rsidR="009131E0" w:rsidRDefault="009131E0" w:rsidP="009131E0">
      <w:pPr>
        <w:pStyle w:val="TOC3"/>
        <w:rPr>
          <w:rFonts w:ascii="Times New Roman" w:hAnsi="Times New Roman"/>
          <w:b w:val="0"/>
          <w:noProof/>
          <w:sz w:val="24"/>
          <w:szCs w:val="24"/>
        </w:rPr>
      </w:pPr>
      <w:r>
        <w:rPr>
          <w:noProof/>
        </w:rPr>
        <w:t>Section 1: Entity overview and resources</w:t>
      </w:r>
      <w:r>
        <w:rPr>
          <w:noProof/>
        </w:rPr>
        <w:tab/>
      </w:r>
      <w:r w:rsidR="00CC2E60">
        <w:rPr>
          <w:noProof/>
        </w:rPr>
        <w:t>151</w:t>
      </w:r>
    </w:p>
    <w:p w:rsidR="009131E0" w:rsidRDefault="009131E0" w:rsidP="009131E0">
      <w:pPr>
        <w:pStyle w:val="TOC4"/>
        <w:tabs>
          <w:tab w:val="left" w:pos="800"/>
        </w:tabs>
        <w:rPr>
          <w:rFonts w:ascii="Times New Roman" w:hAnsi="Times New Roman"/>
          <w:noProof/>
          <w:sz w:val="24"/>
          <w:szCs w:val="24"/>
        </w:rPr>
      </w:pPr>
      <w:r>
        <w:rPr>
          <w:noProof/>
        </w:rPr>
        <w:t>1.1</w:t>
      </w:r>
      <w:r>
        <w:rPr>
          <w:rFonts w:ascii="Times New Roman" w:hAnsi="Times New Roman"/>
          <w:noProof/>
          <w:sz w:val="24"/>
          <w:szCs w:val="24"/>
        </w:rPr>
        <w:tab/>
      </w:r>
      <w:r>
        <w:rPr>
          <w:noProof/>
        </w:rPr>
        <w:t>Strategic direction statement</w:t>
      </w:r>
      <w:r>
        <w:rPr>
          <w:noProof/>
        </w:rPr>
        <w:tab/>
      </w:r>
      <w:r w:rsidR="00CC2E60">
        <w:rPr>
          <w:noProof/>
        </w:rPr>
        <w:t>151</w:t>
      </w:r>
    </w:p>
    <w:p w:rsidR="009131E0" w:rsidRDefault="009131E0" w:rsidP="009131E0">
      <w:pPr>
        <w:pStyle w:val="TOC4"/>
        <w:tabs>
          <w:tab w:val="left" w:pos="800"/>
        </w:tabs>
        <w:rPr>
          <w:rFonts w:ascii="Times New Roman" w:hAnsi="Times New Roman"/>
          <w:noProof/>
          <w:sz w:val="24"/>
          <w:szCs w:val="24"/>
        </w:rPr>
      </w:pPr>
      <w:r>
        <w:rPr>
          <w:noProof/>
        </w:rPr>
        <w:t>1.2</w:t>
      </w:r>
      <w:r>
        <w:rPr>
          <w:rFonts w:ascii="Times New Roman" w:hAnsi="Times New Roman"/>
          <w:noProof/>
          <w:sz w:val="24"/>
          <w:szCs w:val="24"/>
        </w:rPr>
        <w:tab/>
      </w:r>
      <w:r>
        <w:rPr>
          <w:noProof/>
        </w:rPr>
        <w:t>Entity resource statement</w:t>
      </w:r>
      <w:r>
        <w:rPr>
          <w:noProof/>
        </w:rPr>
        <w:tab/>
      </w:r>
      <w:r w:rsidR="0042375D">
        <w:rPr>
          <w:noProof/>
        </w:rPr>
        <w:t>1</w:t>
      </w:r>
      <w:r w:rsidR="00CC2E60">
        <w:rPr>
          <w:noProof/>
        </w:rPr>
        <w:t>52</w:t>
      </w:r>
    </w:p>
    <w:p w:rsidR="009131E0" w:rsidRDefault="009131E0" w:rsidP="009131E0">
      <w:pPr>
        <w:pStyle w:val="TOC4"/>
        <w:tabs>
          <w:tab w:val="left" w:pos="800"/>
        </w:tabs>
        <w:rPr>
          <w:noProof/>
        </w:rPr>
      </w:pPr>
      <w:r>
        <w:rPr>
          <w:noProof/>
        </w:rPr>
        <w:t>1.3</w:t>
      </w:r>
      <w:r>
        <w:rPr>
          <w:rFonts w:ascii="Times New Roman" w:hAnsi="Times New Roman"/>
          <w:noProof/>
          <w:sz w:val="24"/>
          <w:szCs w:val="24"/>
        </w:rPr>
        <w:tab/>
      </w:r>
      <w:r>
        <w:rPr>
          <w:noProof/>
        </w:rPr>
        <w:t>Budget measures</w:t>
      </w:r>
      <w:r>
        <w:rPr>
          <w:noProof/>
        </w:rPr>
        <w:tab/>
      </w:r>
      <w:r w:rsidR="0042375D">
        <w:rPr>
          <w:noProof/>
        </w:rPr>
        <w:t>1</w:t>
      </w:r>
      <w:r w:rsidR="00CC2E60">
        <w:rPr>
          <w:noProof/>
        </w:rPr>
        <w:t>53</w:t>
      </w:r>
    </w:p>
    <w:p w:rsidR="009131E0" w:rsidRDefault="009131E0" w:rsidP="009131E0">
      <w:pPr>
        <w:pStyle w:val="TOC3"/>
        <w:rPr>
          <w:rFonts w:ascii="Times New Roman" w:hAnsi="Times New Roman"/>
          <w:b w:val="0"/>
          <w:noProof/>
          <w:sz w:val="24"/>
          <w:szCs w:val="24"/>
        </w:rPr>
      </w:pPr>
      <w:r>
        <w:rPr>
          <w:noProof/>
        </w:rPr>
        <w:t>Section 2: Outcomes and planned performance</w:t>
      </w:r>
      <w:r>
        <w:rPr>
          <w:noProof/>
        </w:rPr>
        <w:tab/>
      </w:r>
      <w:r w:rsidR="0042375D">
        <w:rPr>
          <w:noProof/>
        </w:rPr>
        <w:t>1</w:t>
      </w:r>
      <w:r w:rsidR="00CC2E60">
        <w:rPr>
          <w:noProof/>
        </w:rPr>
        <w:t>54</w:t>
      </w:r>
    </w:p>
    <w:p w:rsidR="009131E0" w:rsidRDefault="009131E0" w:rsidP="009131E0">
      <w:pPr>
        <w:pStyle w:val="TOC4"/>
        <w:tabs>
          <w:tab w:val="left" w:pos="800"/>
        </w:tabs>
        <w:rPr>
          <w:rFonts w:ascii="Times New Roman" w:hAnsi="Times New Roman"/>
          <w:noProof/>
          <w:sz w:val="24"/>
          <w:szCs w:val="24"/>
        </w:rPr>
      </w:pPr>
      <w:r>
        <w:rPr>
          <w:noProof/>
        </w:rPr>
        <w:t>2.1</w:t>
      </w:r>
      <w:r>
        <w:rPr>
          <w:rFonts w:ascii="Times New Roman" w:hAnsi="Times New Roman"/>
          <w:noProof/>
          <w:sz w:val="24"/>
          <w:szCs w:val="24"/>
        </w:rPr>
        <w:tab/>
      </w:r>
      <w:r>
        <w:rPr>
          <w:noProof/>
        </w:rPr>
        <w:t>Outcomes and performance information</w:t>
      </w:r>
      <w:r>
        <w:rPr>
          <w:noProof/>
        </w:rPr>
        <w:tab/>
      </w:r>
      <w:r w:rsidR="0042375D">
        <w:rPr>
          <w:noProof/>
        </w:rPr>
        <w:t>1</w:t>
      </w:r>
      <w:r w:rsidR="00CC2E60">
        <w:rPr>
          <w:noProof/>
        </w:rPr>
        <w:t>54</w:t>
      </w:r>
    </w:p>
    <w:p w:rsidR="009131E0" w:rsidRDefault="009131E0" w:rsidP="009131E0">
      <w:pPr>
        <w:pStyle w:val="TOC3"/>
        <w:rPr>
          <w:rFonts w:ascii="Times New Roman" w:hAnsi="Times New Roman"/>
          <w:b w:val="0"/>
          <w:noProof/>
          <w:sz w:val="24"/>
          <w:szCs w:val="24"/>
        </w:rPr>
      </w:pPr>
      <w:r>
        <w:rPr>
          <w:noProof/>
        </w:rPr>
        <w:t xml:space="preserve">Section 3: </w:t>
      </w:r>
      <w:r w:rsidR="00DD1923">
        <w:rPr>
          <w:noProof/>
        </w:rPr>
        <w:t>B</w:t>
      </w:r>
      <w:r>
        <w:rPr>
          <w:noProof/>
        </w:rPr>
        <w:t>udgeted financial statements</w:t>
      </w:r>
      <w:r>
        <w:rPr>
          <w:noProof/>
        </w:rPr>
        <w:tab/>
      </w:r>
      <w:r w:rsidR="0042375D">
        <w:rPr>
          <w:noProof/>
        </w:rPr>
        <w:t>15</w:t>
      </w:r>
      <w:r w:rsidR="00CC2E60">
        <w:rPr>
          <w:noProof/>
        </w:rPr>
        <w:t>8</w:t>
      </w:r>
    </w:p>
    <w:p w:rsidR="00CC2E60" w:rsidRPr="00CC2E60" w:rsidRDefault="009131E0" w:rsidP="00CC2E60">
      <w:pPr>
        <w:pStyle w:val="TOC4"/>
        <w:tabs>
          <w:tab w:val="left" w:pos="800"/>
        </w:tabs>
        <w:rPr>
          <w:noProof/>
        </w:rPr>
      </w:pPr>
      <w:r>
        <w:rPr>
          <w:noProof/>
        </w:rPr>
        <w:t>3.2</w:t>
      </w:r>
      <w:r>
        <w:rPr>
          <w:rFonts w:ascii="Times New Roman" w:hAnsi="Times New Roman"/>
          <w:noProof/>
          <w:sz w:val="24"/>
          <w:szCs w:val="24"/>
        </w:rPr>
        <w:tab/>
      </w:r>
      <w:r>
        <w:rPr>
          <w:noProof/>
        </w:rPr>
        <w:t>Budgeted financial statements</w:t>
      </w:r>
      <w:r>
        <w:rPr>
          <w:noProof/>
        </w:rPr>
        <w:tab/>
      </w:r>
      <w:r w:rsidR="0042375D">
        <w:rPr>
          <w:noProof/>
        </w:rPr>
        <w:t>15</w:t>
      </w:r>
      <w:r w:rsidR="00CC2E60">
        <w:rPr>
          <w:noProof/>
        </w:rPr>
        <w:t>9</w:t>
      </w:r>
    </w:p>
    <w:p w:rsidR="009131E0" w:rsidRPr="008B5AFD" w:rsidRDefault="009131E0" w:rsidP="009131E0"/>
    <w:p w:rsidR="009131E0" w:rsidRDefault="009131E0" w:rsidP="009131E0">
      <w:pPr>
        <w:sectPr w:rsidR="009131E0" w:rsidSect="00AA27AA">
          <w:footerReference w:type="first" r:id="rId179"/>
          <w:type w:val="oddPage"/>
          <w:pgSz w:w="11906" w:h="16838" w:code="9"/>
          <w:pgMar w:top="2466" w:right="2098" w:bottom="2466" w:left="2098" w:header="1899" w:footer="1899" w:gutter="0"/>
          <w:cols w:space="708"/>
          <w:titlePg/>
          <w:docGrid w:linePitch="360"/>
        </w:sectPr>
      </w:pPr>
    </w:p>
    <w:p w:rsidR="009131E0" w:rsidRDefault="007D00B2" w:rsidP="009A0AD3">
      <w:pPr>
        <w:pStyle w:val="Heading1"/>
        <w:jc w:val="both"/>
      </w:pPr>
      <w:r>
        <w:lastRenderedPageBreak/>
        <w:t>Australian Secret Intelligence Service</w:t>
      </w:r>
      <w:r w:rsidR="009131E0">
        <w:t xml:space="preserve"> (</w:t>
      </w:r>
      <w:r>
        <w:t>ASIS</w:t>
      </w:r>
      <w:r w:rsidR="009131E0">
        <w:t>)</w:t>
      </w:r>
    </w:p>
    <w:p w:rsidR="009131E0" w:rsidRDefault="009131E0" w:rsidP="009131E0">
      <w:pPr>
        <w:pStyle w:val="Heading2"/>
      </w:pPr>
      <w:r>
        <w:t>Section 1: Entity overview and resources</w:t>
      </w:r>
    </w:p>
    <w:p w:rsidR="009131E0" w:rsidRDefault="009131E0" w:rsidP="009131E0">
      <w:pPr>
        <w:pStyle w:val="Heading3"/>
      </w:pPr>
      <w:r>
        <w:t>1.1</w:t>
      </w:r>
      <w:r>
        <w:tab/>
        <w:t>Strategic direction statement</w:t>
      </w:r>
    </w:p>
    <w:p w:rsidR="00E564BF" w:rsidRDefault="00E564BF" w:rsidP="00E564BF">
      <w:pPr>
        <w:pStyle w:val="Exampletext"/>
        <w:rPr>
          <w:i w:val="0"/>
          <w:color w:val="auto"/>
        </w:rPr>
      </w:pPr>
      <w:r>
        <w:rPr>
          <w:i w:val="0"/>
          <w:color w:val="auto"/>
        </w:rPr>
        <w:t xml:space="preserve">In 2015-16 the Australian Secret Intelligence Service (ASIS) will continue to enhance Government understanding of the overseas environment affecting Australia’s vital interests.  ASIS will take appropriate action, consistent with applicable legislation, to protect and promote Australia’s vital interests through the provision of unique foreign intelligence services as directed by the Government. </w:t>
      </w:r>
    </w:p>
    <w:p w:rsidR="00E564BF" w:rsidRDefault="00E564BF" w:rsidP="00E564BF">
      <w:r>
        <w:t>The primary functions of ASIS are:</w:t>
      </w:r>
    </w:p>
    <w:p w:rsidR="00E564BF" w:rsidRDefault="00E564BF" w:rsidP="00E564BF">
      <w:pPr>
        <w:ind w:left="540" w:hanging="540"/>
      </w:pPr>
      <w:r>
        <w:t>(a)</w:t>
      </w:r>
      <w:r>
        <w:tab/>
        <w:t>to obtain, in accordance with the Government’s requirements, intelligence about the capabilities, intentions or activities of people or organisations outside Australia;</w:t>
      </w:r>
    </w:p>
    <w:p w:rsidR="00E564BF" w:rsidRDefault="00E564BF" w:rsidP="00E564BF">
      <w:pPr>
        <w:ind w:left="540" w:hanging="540"/>
      </w:pPr>
      <w:r>
        <w:t>(b)</w:t>
      </w:r>
      <w:r>
        <w:tab/>
        <w:t>to communicate, in accordance with the Government’s requirements, such intelligence;</w:t>
      </w:r>
    </w:p>
    <w:p w:rsidR="00E564BF" w:rsidRDefault="00E564BF" w:rsidP="00E564BF">
      <w:pPr>
        <w:ind w:left="540" w:hanging="540"/>
      </w:pPr>
      <w:r>
        <w:t>(c)</w:t>
      </w:r>
      <w:r>
        <w:tab/>
        <w:t>to conduct counter-intelligence activities;</w:t>
      </w:r>
    </w:p>
    <w:p w:rsidR="00E564BF" w:rsidRDefault="00E564BF" w:rsidP="00E564BF">
      <w:pPr>
        <w:ind w:left="540" w:hanging="540"/>
      </w:pPr>
      <w:r>
        <w:t>(d)</w:t>
      </w:r>
      <w:r>
        <w:tab/>
        <w:t>to liaise with intelligence or security services, or other authorities, of other countries; and</w:t>
      </w:r>
    </w:p>
    <w:p w:rsidR="00E564BF" w:rsidRDefault="00E564BF" w:rsidP="00E564BF">
      <w:pPr>
        <w:ind w:left="540" w:hanging="540"/>
      </w:pPr>
      <w:r>
        <w:t>(e)</w:t>
      </w:r>
      <w:r>
        <w:tab/>
        <w:t>to undertake such other activities as the responsible Minister directs relating to the capabilities, intentions or activities of people or organisations outside Australia.</w:t>
      </w:r>
    </w:p>
    <w:p w:rsidR="009131E0" w:rsidRDefault="009131E0" w:rsidP="00A44AA4">
      <w:pPr>
        <w:pStyle w:val="Heading3"/>
        <w:spacing w:before="0"/>
      </w:pPr>
      <w:r>
        <w:br w:type="page"/>
      </w:r>
      <w:r>
        <w:lastRenderedPageBreak/>
        <w:t>1.2</w:t>
      </w:r>
      <w:r>
        <w:tab/>
        <w:t>Entity resource statement</w:t>
      </w:r>
    </w:p>
    <w:p w:rsidR="00E564BF" w:rsidRDefault="00E564BF" w:rsidP="00E564BF">
      <w:r>
        <w:t>Table 1.1 shows the total resources from all sources. The table summarises how resources will be applied by outcome and by departmental classification.</w:t>
      </w:r>
    </w:p>
    <w:p w:rsidR="009131E0" w:rsidRDefault="009131E0" w:rsidP="009131E0">
      <w:pPr>
        <w:pStyle w:val="TableHeading"/>
        <w:rPr>
          <w:sz w:val="20"/>
        </w:rPr>
      </w:pPr>
      <w:r w:rsidRPr="005C4BEE">
        <w:rPr>
          <w:sz w:val="20"/>
        </w:rPr>
        <w:t xml:space="preserve">Table 1.1: </w:t>
      </w:r>
      <w:r w:rsidR="00E564BF">
        <w:rPr>
          <w:sz w:val="20"/>
        </w:rPr>
        <w:t xml:space="preserve">ASIS </w:t>
      </w:r>
      <w:r w:rsidRPr="005C4BEE">
        <w:rPr>
          <w:sz w:val="20"/>
        </w:rPr>
        <w:t>resource statement — Budget</w:t>
      </w:r>
      <w:r>
        <w:rPr>
          <w:sz w:val="20"/>
        </w:rPr>
        <w:t xml:space="preserve"> e</w:t>
      </w:r>
      <w:r w:rsidRPr="005C4BEE">
        <w:rPr>
          <w:sz w:val="20"/>
        </w:rPr>
        <w:t xml:space="preserve">stimates for </w:t>
      </w:r>
      <w:r>
        <w:rPr>
          <w:sz w:val="20"/>
        </w:rPr>
        <w:t>2015</w:t>
      </w:r>
      <w:r>
        <w:rPr>
          <w:sz w:val="20"/>
        </w:rPr>
        <w:noBreakHyphen/>
        <w:t>16</w:t>
      </w:r>
      <w:r w:rsidRPr="005C4BEE">
        <w:rPr>
          <w:sz w:val="20"/>
        </w:rPr>
        <w:t xml:space="preserve"> as at Budget May </w:t>
      </w:r>
      <w:r>
        <w:rPr>
          <w:sz w:val="20"/>
        </w:rPr>
        <w:t>2015</w:t>
      </w:r>
    </w:p>
    <w:p w:rsidR="009131E0" w:rsidRDefault="00833238" w:rsidP="009131E0">
      <w:pPr>
        <w:pStyle w:val="TableGraphic"/>
      </w:pPr>
      <w:r>
        <w:pict>
          <v:shape id="_x0000_i1105" type="#_x0000_t75" style="width:387.1pt;height:232.85pt">
            <v:imagedata r:id="rId180" o:title=""/>
          </v:shape>
        </w:pict>
      </w:r>
    </w:p>
    <w:p w:rsidR="00E564BF" w:rsidRDefault="00E564BF" w:rsidP="00F37EE6">
      <w:pPr>
        <w:pStyle w:val="ChartandTableFootnote"/>
        <w:numPr>
          <w:ilvl w:val="0"/>
          <w:numId w:val="35"/>
        </w:numPr>
        <w:ind w:hanging="720"/>
      </w:pPr>
      <w:r w:rsidRPr="003149D2">
        <w:rPr>
          <w:i/>
        </w:rPr>
        <w:t>Appropriation Bill (No. 1) 2015-16</w:t>
      </w:r>
      <w:r>
        <w:t>.</w:t>
      </w:r>
    </w:p>
    <w:p w:rsidR="00E564BF" w:rsidRDefault="00E564BF" w:rsidP="00F37EE6">
      <w:pPr>
        <w:pStyle w:val="ChartandTableFootnote"/>
        <w:numPr>
          <w:ilvl w:val="0"/>
          <w:numId w:val="35"/>
        </w:numPr>
        <w:ind w:left="284" w:hanging="284"/>
      </w:pPr>
      <w:r>
        <w:t xml:space="preserve">Estimated adjusted balance carried forward from previous year. </w:t>
      </w:r>
    </w:p>
    <w:p w:rsidR="00E564BF" w:rsidRDefault="00E564BF" w:rsidP="00F37EE6">
      <w:pPr>
        <w:pStyle w:val="ChartandTableFootnote"/>
        <w:numPr>
          <w:ilvl w:val="0"/>
          <w:numId w:val="35"/>
        </w:numPr>
        <w:ind w:left="284" w:hanging="284"/>
        <w:jc w:val="left"/>
      </w:pPr>
      <w:r>
        <w:t xml:space="preserve">Includes an amount for the Departmental Capital Budget. For accounting purposes this amount                   has been designated as ‘contributions by owners’. </w:t>
      </w:r>
    </w:p>
    <w:p w:rsidR="00E564BF" w:rsidRDefault="00E564BF" w:rsidP="00F37EE6">
      <w:pPr>
        <w:pStyle w:val="ChartandTableFootnote"/>
        <w:numPr>
          <w:ilvl w:val="0"/>
          <w:numId w:val="35"/>
        </w:numPr>
        <w:ind w:left="284" w:hanging="284"/>
      </w:pPr>
      <w:r>
        <w:t xml:space="preserve">Estimated Retained revenue receipts under section 74 of the PGPA Act. </w:t>
      </w:r>
    </w:p>
    <w:p w:rsidR="00E564BF" w:rsidRPr="00E564BF" w:rsidRDefault="00E564BF" w:rsidP="00F37EE6">
      <w:pPr>
        <w:pStyle w:val="ChartandTableFootnote"/>
        <w:numPr>
          <w:ilvl w:val="0"/>
          <w:numId w:val="35"/>
        </w:numPr>
        <w:ind w:left="284" w:hanging="284"/>
      </w:pPr>
      <w:r w:rsidRPr="00E564BF">
        <w:rPr>
          <w:i/>
        </w:rPr>
        <w:t>Appropriation Bill (No. 2) 2015-16</w:t>
      </w:r>
      <w:r w:rsidRPr="00E564BF">
        <w:t xml:space="preserve">. </w:t>
      </w:r>
    </w:p>
    <w:p w:rsidR="00E564BF" w:rsidRDefault="00E564BF" w:rsidP="00E564BF">
      <w:pPr>
        <w:pStyle w:val="ChartandTableFootnote"/>
        <w:keepNext w:val="0"/>
      </w:pPr>
      <w:r>
        <w:t>Reader note: All figures are GST exclusive.</w:t>
      </w:r>
    </w:p>
    <w:p w:rsidR="009131E0" w:rsidRDefault="009131E0" w:rsidP="00A44AA4">
      <w:pPr>
        <w:pStyle w:val="Heading3"/>
        <w:spacing w:before="0"/>
      </w:pPr>
      <w:r>
        <w:br w:type="page"/>
      </w:r>
      <w:r>
        <w:lastRenderedPageBreak/>
        <w:t>1.3</w:t>
      </w:r>
      <w:r>
        <w:tab/>
        <w:t>Budget measures</w:t>
      </w:r>
    </w:p>
    <w:p w:rsidR="00093E42" w:rsidRDefault="00093E42" w:rsidP="00093E42">
      <w:r>
        <w:t xml:space="preserve">Budget measures in Part 1 relating to ASIS are detailed in Budget Paper No. 2 and are summarised below. </w:t>
      </w:r>
    </w:p>
    <w:p w:rsidR="009131E0" w:rsidRPr="00093E42" w:rsidRDefault="009131E0" w:rsidP="009131E0">
      <w:pPr>
        <w:pStyle w:val="TableHeading"/>
        <w:rPr>
          <w:sz w:val="20"/>
        </w:rPr>
      </w:pPr>
      <w:r w:rsidRPr="00093E42">
        <w:rPr>
          <w:sz w:val="20"/>
        </w:rPr>
        <w:t>Table 1.2: Entity 2015</w:t>
      </w:r>
      <w:r w:rsidRPr="00093E42">
        <w:rPr>
          <w:sz w:val="20"/>
        </w:rPr>
        <w:noBreakHyphen/>
        <w:t>16 Budget measures</w:t>
      </w:r>
    </w:p>
    <w:p w:rsidR="009131E0" w:rsidRPr="005C4BEE" w:rsidRDefault="009131E0" w:rsidP="009131E0">
      <w:pPr>
        <w:pStyle w:val="TableHeadingcontinued"/>
      </w:pPr>
      <w:r w:rsidRPr="005C4BEE">
        <w:t xml:space="preserve">Part 1: Measures announced since the </w:t>
      </w:r>
      <w:r>
        <w:t>2014</w:t>
      </w:r>
      <w:r>
        <w:noBreakHyphen/>
        <w:t>15</w:t>
      </w:r>
      <w:r w:rsidRPr="005C4BEE">
        <w:t xml:space="preserve"> M</w:t>
      </w:r>
      <w:r>
        <w:t>id-Year Economic and Fiscal Outlook (MYEFO)</w:t>
      </w:r>
    </w:p>
    <w:p w:rsidR="009131E0" w:rsidRDefault="00833238" w:rsidP="009131E0">
      <w:pPr>
        <w:pStyle w:val="TableGraphic"/>
      </w:pPr>
      <w:r>
        <w:pict>
          <v:shape id="_x0000_i1106" type="#_x0000_t75" style="width:384.3pt;height:225.35pt">
            <v:imagedata r:id="rId181" o:title=""/>
          </v:shape>
        </w:pict>
      </w:r>
    </w:p>
    <w:p w:rsidR="00093E42" w:rsidRDefault="009131E0" w:rsidP="00093E42">
      <w:pPr>
        <w:pStyle w:val="Source"/>
      </w:pPr>
      <w:r w:rsidRPr="002B779E">
        <w:t>Pr</w:t>
      </w:r>
      <w:r>
        <w:t>epared on a Government Finance</w:t>
      </w:r>
      <w:r w:rsidRPr="002B779E">
        <w:t xml:space="preserve"> Statistics </w:t>
      </w:r>
      <w:r>
        <w:t xml:space="preserve">(fiscal) </w:t>
      </w:r>
      <w:r w:rsidRPr="002B779E">
        <w:t>basis</w:t>
      </w:r>
      <w:r w:rsidR="00093E42">
        <w:t>.</w:t>
      </w:r>
    </w:p>
    <w:p w:rsidR="009131E0" w:rsidRDefault="00093E42" w:rsidP="00A44AA4">
      <w:pPr>
        <w:pStyle w:val="Heading2"/>
        <w:spacing w:before="0"/>
      </w:pPr>
      <w:r>
        <w:br w:type="page"/>
      </w:r>
      <w:r w:rsidR="009131E0">
        <w:lastRenderedPageBreak/>
        <w:t>Section 2: Outcomes and planned performance</w:t>
      </w:r>
    </w:p>
    <w:p w:rsidR="009131E0" w:rsidRDefault="009131E0" w:rsidP="009131E0">
      <w:pPr>
        <w:pStyle w:val="Heading3"/>
      </w:pPr>
      <w:r>
        <w:t>2.1</w:t>
      </w:r>
      <w:r>
        <w:tab/>
        <w:t>Outcomes and performance information</w:t>
      </w:r>
    </w:p>
    <w:p w:rsidR="00093E42" w:rsidRDefault="00093E42" w:rsidP="006921FC">
      <w:r>
        <w:t>Government outcomes are the intended results, impacts or consequences of actions by the Government on the Australian community. Commonwealth programmes are the primary vehicle by which Government entities achieve the intended results of their outcome statements. Entities are required to identify the programmes which contribute to Government outcomes over the Budget and forward years.</w:t>
      </w:r>
    </w:p>
    <w:p w:rsidR="00093E42" w:rsidRDefault="00093E42" w:rsidP="00093E42">
      <w:r>
        <w:t>Each outcome is described below together with its related programmes, specifying the performance indicators and targets used to assess and monitor the performance of ASIS in achieving Government outcomes.</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61"/>
      </w:tblGrid>
      <w:tr w:rsidR="00093E42" w:rsidTr="0017767A">
        <w:trPr>
          <w:trHeight w:val="1125"/>
        </w:trPr>
        <w:tc>
          <w:tcPr>
            <w:tcW w:w="7761" w:type="dxa"/>
            <w:shd w:val="clear" w:color="auto" w:fill="E6E6E6"/>
          </w:tcPr>
          <w:p w:rsidR="00093E42" w:rsidRDefault="00093E42" w:rsidP="006921FC">
            <w:pPr>
              <w:pStyle w:val="TableColumnHeadingLeft"/>
            </w:pPr>
            <w:r>
              <w:t xml:space="preserve">Outcome 1: Enhanced understanding for the Government of the overseas environment affecting Australia’s interests through the provision of covert intelligence services about the capabilities, intentions or activities of people or </w:t>
            </w:r>
            <w:r w:rsidR="0017767A">
              <w:t>organisations outside Australia</w:t>
            </w:r>
          </w:p>
        </w:tc>
      </w:tr>
    </w:tbl>
    <w:p w:rsidR="00093E42" w:rsidRDefault="00093E42" w:rsidP="00093E42">
      <w:pPr>
        <w:pStyle w:val="NoSpacing"/>
      </w:pPr>
    </w:p>
    <w:p w:rsidR="00093E42" w:rsidRDefault="00093E42" w:rsidP="00093E42">
      <w:pPr>
        <w:pStyle w:val="Heading4"/>
      </w:pPr>
      <w:r>
        <w:t>Outcome 1 strategy</w:t>
      </w:r>
    </w:p>
    <w:p w:rsidR="00093E42" w:rsidRDefault="00093E42" w:rsidP="00F37EE6">
      <w:pPr>
        <w:pStyle w:val="Exampletextbullet"/>
        <w:numPr>
          <w:ilvl w:val="0"/>
          <w:numId w:val="36"/>
        </w:numPr>
        <w:tabs>
          <w:tab w:val="left" w:pos="142"/>
        </w:tabs>
        <w:ind w:left="567" w:hanging="425"/>
        <w:rPr>
          <w:color w:val="auto"/>
        </w:rPr>
      </w:pPr>
      <w:r>
        <w:rPr>
          <w:rFonts w:cs="Arial"/>
          <w:i w:val="0"/>
          <w:color w:val="auto"/>
        </w:rPr>
        <w:t>Enhanced understanding for the Government of the overseas environment affecting Australia’s interests through the provision of covert intelligence services about the capabilities, intentions or activities of people or organisations outside Australia.</w:t>
      </w:r>
    </w:p>
    <w:p w:rsidR="00691B2D" w:rsidRDefault="00691B2D" w:rsidP="009131E0">
      <w:pPr>
        <w:pStyle w:val="Heading5"/>
      </w:pPr>
    </w:p>
    <w:p w:rsidR="009131E0" w:rsidRDefault="00641088" w:rsidP="00A44AA4">
      <w:pPr>
        <w:pStyle w:val="Heading5"/>
      </w:pPr>
      <w:r>
        <w:br w:type="page"/>
      </w:r>
      <w:r w:rsidR="009131E0">
        <w:lastRenderedPageBreak/>
        <w:t>Outcome expense statement</w:t>
      </w:r>
    </w:p>
    <w:p w:rsidR="009131E0" w:rsidRDefault="009131E0" w:rsidP="009131E0">
      <w:r>
        <w:t xml:space="preserve">Table 2.1 provides an overview of the total expenses for </w:t>
      </w:r>
      <w:r w:rsidR="00093E42">
        <w:t xml:space="preserve">Outcome 1 </w:t>
      </w:r>
      <w:r>
        <w:t>by programme.</w:t>
      </w:r>
    </w:p>
    <w:p w:rsidR="009131E0" w:rsidRPr="005C4BEE" w:rsidRDefault="009131E0" w:rsidP="009131E0">
      <w:pPr>
        <w:pStyle w:val="TableHeading"/>
        <w:rPr>
          <w:sz w:val="20"/>
        </w:rPr>
      </w:pPr>
      <w:r w:rsidRPr="005C4BEE">
        <w:rPr>
          <w:sz w:val="20"/>
        </w:rPr>
        <w:t>Table 2.1: Budgeted expenses for Outcome 1</w:t>
      </w:r>
    </w:p>
    <w:p w:rsidR="009131E0" w:rsidRDefault="00833238" w:rsidP="009131E0">
      <w:pPr>
        <w:pStyle w:val="TableGraphic"/>
      </w:pPr>
      <w:r>
        <w:pict>
          <v:shape id="_x0000_i1107" type="#_x0000_t75" style="width:382.45pt;height:256.2pt">
            <v:imagedata r:id="rId182" o:title=""/>
          </v:shape>
        </w:pict>
      </w:r>
    </w:p>
    <w:p w:rsidR="00093E42" w:rsidRDefault="00093E42" w:rsidP="00F37EE6">
      <w:pPr>
        <w:pStyle w:val="ChartandTableFootnote"/>
        <w:numPr>
          <w:ilvl w:val="0"/>
          <w:numId w:val="37"/>
        </w:numPr>
        <w:ind w:left="284" w:hanging="284"/>
      </w:pPr>
      <w:r>
        <w:t>Departmental Appropriation combines ‘Ordinary annual services (Appropriation Bill No. 1)’ and ‘Revenue from independent sources (s 74)’.</w:t>
      </w:r>
    </w:p>
    <w:p w:rsidR="00093E42" w:rsidRDefault="00093E42" w:rsidP="00F37EE6">
      <w:pPr>
        <w:pStyle w:val="ChartandTableFootnote"/>
        <w:numPr>
          <w:ilvl w:val="0"/>
          <w:numId w:val="37"/>
        </w:numPr>
        <w:ind w:left="284" w:hanging="284"/>
      </w:pPr>
      <w:r>
        <w:t>Expenses not requiring appropriation in the Budget year is made up of depreciation expense.</w:t>
      </w:r>
    </w:p>
    <w:p w:rsidR="00093E42" w:rsidRDefault="00093E42" w:rsidP="00093E42">
      <w:pPr>
        <w:pStyle w:val="Source"/>
      </w:pPr>
      <w:r>
        <w:t>Note: Departmental appropriation splits and totals are indicative estimates and may change in the course of the budget year as Government priorities change.</w:t>
      </w:r>
    </w:p>
    <w:p w:rsidR="009131E0" w:rsidRDefault="009131E0" w:rsidP="009131E0">
      <w:pPr>
        <w:pStyle w:val="NoSpacing"/>
      </w:pPr>
    </w:p>
    <w:p w:rsidR="009131E0" w:rsidRDefault="009131E0" w:rsidP="00A44AA4">
      <w:pPr>
        <w:pStyle w:val="Heading4"/>
        <w:spacing w:before="0"/>
        <w:rPr>
          <w:rFonts w:ascii="Book Antiqua" w:hAnsi="Book Antiqua"/>
          <w:i/>
          <w:color w:val="FF0000"/>
        </w:rPr>
      </w:pPr>
      <w:r>
        <w:br w:type="page"/>
      </w:r>
      <w:r>
        <w:lastRenderedPageBreak/>
        <w:t xml:space="preserve">Contributions to Outcome 1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713"/>
      </w:tblGrid>
      <w:tr w:rsidR="00264F93" w:rsidTr="006921FC">
        <w:tc>
          <w:tcPr>
            <w:tcW w:w="7713" w:type="dxa"/>
            <w:shd w:val="clear" w:color="auto" w:fill="E6E6E6"/>
          </w:tcPr>
          <w:p w:rsidR="00264F93" w:rsidRDefault="00264F93" w:rsidP="006921FC">
            <w:pPr>
              <w:pStyle w:val="TableColumnHeadingLeft"/>
            </w:pPr>
            <w:r>
              <w:t xml:space="preserve">Programme 1.1: Secret Intelligence  </w:t>
            </w:r>
          </w:p>
        </w:tc>
      </w:tr>
    </w:tbl>
    <w:p w:rsidR="00264F93" w:rsidRDefault="00264F93" w:rsidP="00264F93">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tblGrid>
      <w:tr w:rsidR="00264F93" w:rsidTr="005D1F57">
        <w:tc>
          <w:tcPr>
            <w:tcW w:w="7655" w:type="dxa"/>
          </w:tcPr>
          <w:p w:rsidR="00264F93" w:rsidRDefault="00264F93" w:rsidP="006921FC">
            <w:pPr>
              <w:pStyle w:val="TableColumnHeadingLeft"/>
            </w:pPr>
            <w:r>
              <w:t>Programme objective</w:t>
            </w:r>
          </w:p>
          <w:p w:rsidR="00264F93" w:rsidRDefault="00264F93" w:rsidP="006921FC">
            <w:pPr>
              <w:pStyle w:val="Exampletextbullet"/>
              <w:numPr>
                <w:ilvl w:val="0"/>
                <w:numId w:val="5"/>
              </w:numPr>
              <w:rPr>
                <w:color w:val="auto"/>
              </w:rPr>
            </w:pPr>
            <w:r>
              <w:rPr>
                <w:i w:val="0"/>
                <w:color w:val="auto"/>
              </w:rPr>
              <w:t>Secret Intelligence</w:t>
            </w:r>
          </w:p>
        </w:tc>
      </w:tr>
    </w:tbl>
    <w:p w:rsidR="00264F93" w:rsidRDefault="00264F93" w:rsidP="00264F93">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tblGrid>
      <w:tr w:rsidR="00264F93" w:rsidTr="005D1F57">
        <w:tc>
          <w:tcPr>
            <w:tcW w:w="7655" w:type="dxa"/>
          </w:tcPr>
          <w:p w:rsidR="00264F93" w:rsidRDefault="00264F93" w:rsidP="006921FC">
            <w:pPr>
              <w:pStyle w:val="TableColumnHeadingLeft"/>
              <w:jc w:val="both"/>
            </w:pPr>
            <w:r>
              <w:t>Programme expenses</w:t>
            </w:r>
          </w:p>
          <w:p w:rsidR="00264F93" w:rsidRDefault="00264F93" w:rsidP="006921FC">
            <w:pPr>
              <w:pStyle w:val="Exampletextbullet"/>
              <w:numPr>
                <w:ilvl w:val="0"/>
                <w:numId w:val="5"/>
              </w:numPr>
            </w:pPr>
            <w:r>
              <w:rPr>
                <w:i w:val="0"/>
                <w:color w:val="auto"/>
              </w:rPr>
              <w:t>All variations to programme 1.1 are a result of measures and other adjustments as provided by the Government.</w:t>
            </w:r>
            <w:r>
              <w:t xml:space="preserve">  </w:t>
            </w:r>
          </w:p>
        </w:tc>
      </w:tr>
    </w:tbl>
    <w:p w:rsidR="00264F93" w:rsidRDefault="00264F93" w:rsidP="00264F93">
      <w:pPr>
        <w:pStyle w:val="NoSpacing"/>
      </w:pPr>
    </w:p>
    <w:p w:rsidR="00264F93" w:rsidRDefault="00833238" w:rsidP="00264F93">
      <w:pPr>
        <w:pStyle w:val="TableGraphic"/>
      </w:pPr>
      <w:r>
        <w:rPr>
          <w:noProof/>
        </w:rPr>
        <w:pict>
          <v:shape id="_x0000_i1108" type="#_x0000_t75" style="width:384.3pt;height:93.5pt">
            <v:imagedata r:id="rId183" o:title=""/>
          </v:shape>
        </w:pict>
      </w:r>
    </w:p>
    <w:p w:rsidR="00264F93" w:rsidRDefault="00264F93" w:rsidP="00F37EE6">
      <w:pPr>
        <w:pStyle w:val="ChartandTableFootnote"/>
        <w:numPr>
          <w:ilvl w:val="0"/>
          <w:numId w:val="38"/>
        </w:numPr>
        <w:ind w:hanging="720"/>
      </w:pPr>
      <w:r>
        <w:t>Expenses not requiring appropriation in the Budget year is made up of depreciation expense.</w:t>
      </w:r>
    </w:p>
    <w:p w:rsidR="00264F93" w:rsidRDefault="00264F93" w:rsidP="00264F93">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2"/>
      </w:tblGrid>
      <w:tr w:rsidR="00264F93" w:rsidTr="006921FC">
        <w:tc>
          <w:tcPr>
            <w:tcW w:w="7592" w:type="dxa"/>
          </w:tcPr>
          <w:p w:rsidR="00264F93" w:rsidRDefault="00264F93" w:rsidP="006921FC">
            <w:pPr>
              <w:pStyle w:val="TableColumnHeadingLeft"/>
              <w:jc w:val="both"/>
            </w:pPr>
            <w:r>
              <w:t xml:space="preserve">Programme 1.1 deliverables </w:t>
            </w:r>
          </w:p>
          <w:p w:rsidR="00264F93" w:rsidRDefault="00264F93" w:rsidP="006921FC">
            <w:pPr>
              <w:pStyle w:val="Exampletextbullet"/>
              <w:numPr>
                <w:ilvl w:val="0"/>
                <w:numId w:val="5"/>
              </w:numPr>
            </w:pPr>
            <w:r>
              <w:rPr>
                <w:i w:val="0"/>
                <w:color w:val="auto"/>
              </w:rPr>
              <w:t>Secret Intelligence</w:t>
            </w:r>
          </w:p>
        </w:tc>
      </w:tr>
    </w:tbl>
    <w:p w:rsidR="00264F93" w:rsidRDefault="00264F93" w:rsidP="00264F93">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2"/>
      </w:tblGrid>
      <w:tr w:rsidR="00264F93" w:rsidTr="006921FC">
        <w:tc>
          <w:tcPr>
            <w:tcW w:w="7592" w:type="dxa"/>
          </w:tcPr>
          <w:p w:rsidR="00264F93" w:rsidRDefault="00264F93" w:rsidP="006921FC">
            <w:pPr>
              <w:pStyle w:val="TableColumnHeadingLeft"/>
            </w:pPr>
            <w:r>
              <w:rPr>
                <w:rFonts w:ascii="Book Antiqua" w:hAnsi="Book Antiqua"/>
                <w:b w:val="0"/>
              </w:rPr>
              <w:br w:type="page"/>
            </w:r>
            <w:r>
              <w:t xml:space="preserve">Programme 1.1 key performance indicators </w:t>
            </w:r>
          </w:p>
          <w:p w:rsidR="00264F93" w:rsidRDefault="00264F93" w:rsidP="006921FC">
            <w:pPr>
              <w:pStyle w:val="Exampletextbullet"/>
              <w:numPr>
                <w:ilvl w:val="0"/>
                <w:numId w:val="5"/>
              </w:numPr>
            </w:pPr>
            <w:r>
              <w:rPr>
                <w:i w:val="0"/>
                <w:color w:val="auto"/>
              </w:rPr>
              <w:t>The overall achievement of the performance measures for this programme for ASIS is assessed by reference to the customers for ASIS services.  This is done continuously and is also the subject of comprehensive annual internal and external assessment, the results of which are reported to the Government.  The assessment of performance includes both qualitative and quantitative analysis.  Details of this process are not divulged in the interests of national security.</w:t>
            </w:r>
            <w:r>
              <w:t xml:space="preserve"> </w:t>
            </w:r>
          </w:p>
        </w:tc>
      </w:tr>
    </w:tbl>
    <w:p w:rsidR="009131E0" w:rsidRDefault="009131E0" w:rsidP="00F66D1D">
      <w:pPr>
        <w:pStyle w:val="SingleParagraph"/>
        <w:spacing w:line="20" w:lineRule="exact"/>
      </w:pPr>
      <w: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701"/>
      </w:tblGrid>
      <w:tr w:rsidR="00264F93" w:rsidTr="00E41CC6">
        <w:trPr>
          <w:trHeight w:val="360"/>
        </w:trPr>
        <w:tc>
          <w:tcPr>
            <w:tcW w:w="7701" w:type="dxa"/>
            <w:shd w:val="clear" w:color="auto" w:fill="E6E6E6"/>
          </w:tcPr>
          <w:p w:rsidR="00264F93" w:rsidRDefault="00264F93" w:rsidP="006921FC">
            <w:pPr>
              <w:pStyle w:val="TableColumnHeadingLeft"/>
            </w:pPr>
            <w:r>
              <w:rPr>
                <w:rFonts w:ascii="Book Antiqua" w:hAnsi="Book Antiqua"/>
                <w:b w:val="0"/>
              </w:rPr>
              <w:br w:type="page"/>
            </w:r>
            <w:r>
              <w:rPr>
                <w:rFonts w:ascii="Book Antiqua" w:hAnsi="Book Antiqua"/>
                <w:b w:val="0"/>
              </w:rPr>
              <w:br w:type="page"/>
            </w:r>
            <w:r>
              <w:rPr>
                <w:rFonts w:ascii="Book Antiqua" w:hAnsi="Book Antiqua"/>
                <w:b w:val="0"/>
              </w:rPr>
              <w:br w:type="page"/>
            </w:r>
            <w:r>
              <w:br w:type="page"/>
              <w:t xml:space="preserve">Programme 1.2: Other Services </w:t>
            </w:r>
          </w:p>
        </w:tc>
      </w:tr>
    </w:tbl>
    <w:p w:rsidR="00264F93" w:rsidRDefault="00264F93" w:rsidP="00264F93">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6"/>
      </w:tblGrid>
      <w:tr w:rsidR="00264F93" w:rsidTr="00E41CC6">
        <w:trPr>
          <w:trHeight w:val="945"/>
        </w:trPr>
        <w:tc>
          <w:tcPr>
            <w:tcW w:w="7696" w:type="dxa"/>
          </w:tcPr>
          <w:p w:rsidR="00264F93" w:rsidRDefault="00264F93" w:rsidP="006921FC">
            <w:pPr>
              <w:pStyle w:val="TableColumnHeadingLeft"/>
            </w:pPr>
            <w:r>
              <w:t>Programme objective</w:t>
            </w:r>
          </w:p>
          <w:p w:rsidR="00264F93" w:rsidRDefault="00264F93" w:rsidP="006921FC">
            <w:pPr>
              <w:pStyle w:val="Exampletextbullet"/>
              <w:numPr>
                <w:ilvl w:val="0"/>
                <w:numId w:val="5"/>
              </w:numPr>
            </w:pPr>
            <w:r>
              <w:rPr>
                <w:i w:val="0"/>
                <w:color w:val="auto"/>
              </w:rPr>
              <w:t xml:space="preserve">Other Services </w:t>
            </w:r>
          </w:p>
        </w:tc>
      </w:tr>
    </w:tbl>
    <w:p w:rsidR="00264F93" w:rsidRDefault="00264F93" w:rsidP="00264F93">
      <w:pPr>
        <w:spacing w:after="0"/>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0"/>
      </w:tblGrid>
      <w:tr w:rsidR="00264F93" w:rsidTr="00E41CC6">
        <w:trPr>
          <w:trHeight w:val="1245"/>
        </w:trPr>
        <w:tc>
          <w:tcPr>
            <w:tcW w:w="7700" w:type="dxa"/>
          </w:tcPr>
          <w:p w:rsidR="00264F93" w:rsidRDefault="00264F93" w:rsidP="006921FC">
            <w:pPr>
              <w:pStyle w:val="TableColumnHeadingLeft"/>
              <w:jc w:val="both"/>
            </w:pPr>
            <w:r>
              <w:t>Programme expenses</w:t>
            </w:r>
          </w:p>
          <w:p w:rsidR="00264F93" w:rsidRDefault="00264F93" w:rsidP="006921FC">
            <w:pPr>
              <w:pStyle w:val="Exampletextbullet"/>
              <w:numPr>
                <w:ilvl w:val="0"/>
                <w:numId w:val="5"/>
              </w:numPr>
            </w:pPr>
            <w:r>
              <w:rPr>
                <w:i w:val="0"/>
                <w:color w:val="auto"/>
              </w:rPr>
              <w:t>All variations to programme 1.2 are a result of measures and other adjustments as provided by the Government.</w:t>
            </w:r>
            <w:r>
              <w:t xml:space="preserve">  </w:t>
            </w:r>
          </w:p>
        </w:tc>
      </w:tr>
    </w:tbl>
    <w:p w:rsidR="00264F93" w:rsidRDefault="00264F93" w:rsidP="00264F93">
      <w:pPr>
        <w:pStyle w:val="SingleParagraph"/>
      </w:pPr>
    </w:p>
    <w:p w:rsidR="00264F93" w:rsidRDefault="00264F93" w:rsidP="00264F93">
      <w:pPr>
        <w:spacing w:after="0" w:line="240" w:lineRule="auto"/>
        <w:jc w:val="left"/>
      </w:pPr>
    </w:p>
    <w:p w:rsidR="00264F93" w:rsidRDefault="00833238" w:rsidP="00264F93">
      <w:pPr>
        <w:spacing w:after="0" w:line="240" w:lineRule="auto"/>
        <w:jc w:val="left"/>
      </w:pPr>
      <w:r>
        <w:pict>
          <v:shape id="_x0000_i1109" type="#_x0000_t75" style="width:384.3pt;height:93.5pt">
            <v:imagedata r:id="rId184" o:title=""/>
          </v:shape>
        </w:pict>
      </w:r>
      <w:r w:rsidR="00264F93">
        <w:rPr>
          <w:rFonts w:ascii="Arial" w:hAnsi="Arial" w:cs="Arial"/>
          <w:sz w:val="16"/>
          <w:szCs w:val="16"/>
        </w:rPr>
        <w:t xml:space="preserve">(a) </w:t>
      </w:r>
      <w:r w:rsidR="00264F93">
        <w:rPr>
          <w:rFonts w:ascii="Arial" w:hAnsi="Arial"/>
          <w:sz w:val="16"/>
        </w:rPr>
        <w:t>Expenses not requiring appropriation in the Budget year is made up of depreciation expense</w:t>
      </w:r>
      <w:r w:rsidR="00264F93">
        <w:t>.</w:t>
      </w:r>
    </w:p>
    <w:p w:rsidR="00264F93" w:rsidRDefault="00264F93" w:rsidP="00264F93">
      <w:pPr>
        <w:spacing w:after="0" w:line="240" w:lineRule="auto"/>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tblGrid>
      <w:tr w:rsidR="00264F93" w:rsidTr="00123F8C">
        <w:tc>
          <w:tcPr>
            <w:tcW w:w="7655" w:type="dxa"/>
          </w:tcPr>
          <w:p w:rsidR="00264F93" w:rsidRDefault="00264F93" w:rsidP="006921FC">
            <w:pPr>
              <w:pStyle w:val="TableColumnHeadingLeft"/>
              <w:jc w:val="both"/>
            </w:pPr>
            <w:r>
              <w:t xml:space="preserve">Programme 1.2 deliverables </w:t>
            </w:r>
          </w:p>
          <w:p w:rsidR="00264F93" w:rsidRDefault="00264F93" w:rsidP="006921FC">
            <w:pPr>
              <w:pStyle w:val="Exampletextbullet"/>
              <w:numPr>
                <w:ilvl w:val="0"/>
                <w:numId w:val="5"/>
              </w:numPr>
            </w:pPr>
            <w:r>
              <w:rPr>
                <w:i w:val="0"/>
                <w:color w:val="auto"/>
              </w:rPr>
              <w:t>Other Services</w:t>
            </w:r>
            <w:r>
              <w:t xml:space="preserve"> </w:t>
            </w:r>
          </w:p>
        </w:tc>
      </w:tr>
    </w:tbl>
    <w:p w:rsidR="00264F93" w:rsidRDefault="00264F93" w:rsidP="00264F93">
      <w:pPr>
        <w:spacing w:after="0" w:line="240" w:lineRule="auto"/>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tblGrid>
      <w:tr w:rsidR="00264F93" w:rsidTr="005D1F57">
        <w:tc>
          <w:tcPr>
            <w:tcW w:w="7655" w:type="dxa"/>
          </w:tcPr>
          <w:p w:rsidR="00264F93" w:rsidRDefault="00264F93" w:rsidP="006921FC">
            <w:pPr>
              <w:pStyle w:val="TableColumnHeadingLeft"/>
            </w:pPr>
            <w:r>
              <w:rPr>
                <w:rFonts w:ascii="Book Antiqua" w:hAnsi="Book Antiqua"/>
                <w:b w:val="0"/>
              </w:rPr>
              <w:br w:type="page"/>
            </w:r>
            <w:r>
              <w:t xml:space="preserve">Programme 1.2 key performance indicators </w:t>
            </w:r>
          </w:p>
          <w:p w:rsidR="00264F93" w:rsidRDefault="00264F93" w:rsidP="006921FC">
            <w:pPr>
              <w:pStyle w:val="Exampletextbullet"/>
              <w:numPr>
                <w:ilvl w:val="0"/>
                <w:numId w:val="5"/>
              </w:numPr>
            </w:pPr>
            <w:r>
              <w:rPr>
                <w:i w:val="0"/>
                <w:color w:val="auto"/>
              </w:rPr>
              <w:t>The overall achievement of the performance measures for this programme for ASIS is assessed by reference to the customers for ASIS services.  This is done continuously and is also the subject of comprehensive annual internal and external assessment, the results of which are reported to the Government.  The assessment of performance includes both qualitative and quantitative analysis.  Details of this process are not divulged in the interests of national security.</w:t>
            </w:r>
          </w:p>
        </w:tc>
      </w:tr>
    </w:tbl>
    <w:p w:rsidR="009131E0" w:rsidRDefault="009131E0" w:rsidP="00F66D1D">
      <w:pPr>
        <w:pStyle w:val="SingleParagraph"/>
        <w:spacing w:line="20" w:lineRule="exact"/>
      </w:pPr>
      <w:r>
        <w:br w:type="page"/>
      </w:r>
    </w:p>
    <w:p w:rsidR="009131E0" w:rsidRDefault="009131E0" w:rsidP="00A44AA4">
      <w:pPr>
        <w:pStyle w:val="Heading2"/>
        <w:spacing w:before="0" w:after="120"/>
      </w:pPr>
      <w:r>
        <w:t xml:space="preserve">Section 3: </w:t>
      </w:r>
      <w:r w:rsidR="001A40A3">
        <w:t>B</w:t>
      </w:r>
      <w:r>
        <w:t>udgeted financial statements</w:t>
      </w:r>
    </w:p>
    <w:p w:rsidR="00264F93" w:rsidRDefault="00264F93" w:rsidP="00264F93">
      <w:r>
        <w:t>Section 3 presents budgeted financial statements which provide a comprehensive snapshot of entity finances for the 2015-16</w:t>
      </w:r>
      <w:r>
        <w:rPr>
          <w:color w:val="00B050"/>
        </w:rPr>
        <w:t xml:space="preserve"> </w:t>
      </w:r>
      <w:r>
        <w:t>budget year. It explains how budget plans are incorporated into the financial statements and provides further details of the reconciliation between appropriations and programme expenses.</w:t>
      </w:r>
    </w:p>
    <w:p w:rsidR="00264F93" w:rsidRDefault="00264F93" w:rsidP="00A44AA4">
      <w:pPr>
        <w:pStyle w:val="Heading3"/>
        <w:spacing w:before="0"/>
      </w:pPr>
      <w:r>
        <w:br w:type="page"/>
      </w:r>
      <w:r>
        <w:lastRenderedPageBreak/>
        <w:t>3.2</w:t>
      </w:r>
      <w:r>
        <w:tab/>
        <w:t>Budgeted financial statements</w:t>
      </w:r>
    </w:p>
    <w:p w:rsidR="00264F93" w:rsidRDefault="00264F93" w:rsidP="00264F93">
      <w:pPr>
        <w:pStyle w:val="Heading4"/>
      </w:pPr>
      <w:r>
        <w:t>3.2.3</w:t>
      </w:r>
      <w:r>
        <w:tab/>
        <w:t>Budgeted financial statements tables</w:t>
      </w:r>
    </w:p>
    <w:p w:rsidR="00264F93" w:rsidRPr="00264F93" w:rsidRDefault="00264F93" w:rsidP="00264F93">
      <w:pPr>
        <w:pStyle w:val="TableHeading"/>
        <w:rPr>
          <w:snapToGrid w:val="0"/>
          <w:sz w:val="20"/>
        </w:rPr>
      </w:pPr>
      <w:r w:rsidRPr="00264F93">
        <w:rPr>
          <w:sz w:val="20"/>
        </w:rPr>
        <w:t xml:space="preserve">Table 3.2.1: Comprehensive income statement (showing net cost of services) </w:t>
      </w:r>
      <w:r w:rsidRPr="00264F93">
        <w:rPr>
          <w:snapToGrid w:val="0"/>
          <w:sz w:val="20"/>
        </w:rPr>
        <w:t>for the period ended 30 June</w:t>
      </w:r>
    </w:p>
    <w:p w:rsidR="00264F93" w:rsidRDefault="00833238" w:rsidP="00264F93">
      <w:pPr>
        <w:pStyle w:val="TableGraphic"/>
      </w:pPr>
      <w:r>
        <w:pict>
          <v:shape id="_x0000_i1110" type="#_x0000_t75" style="width:374.05pt;height:472.2pt">
            <v:imagedata r:id="rId185" o:title=""/>
          </v:shape>
        </w:pict>
      </w:r>
    </w:p>
    <w:p w:rsidR="00264F93" w:rsidRDefault="00264F93" w:rsidP="00F37EE6">
      <w:pPr>
        <w:pStyle w:val="Source"/>
        <w:numPr>
          <w:ilvl w:val="0"/>
          <w:numId w:val="39"/>
        </w:numPr>
        <w:ind w:left="284" w:hanging="284"/>
      </w:pPr>
      <w: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w:t>
      </w:r>
    </w:p>
    <w:p w:rsidR="00264F93" w:rsidRDefault="00264F93" w:rsidP="00264F93">
      <w:pPr>
        <w:pStyle w:val="Source"/>
      </w:pPr>
      <w:r>
        <w:t>Prepared on Australian Accounting Standards basis.</w:t>
      </w:r>
    </w:p>
    <w:p w:rsidR="00264F93" w:rsidRPr="00264F93" w:rsidRDefault="00264F93" w:rsidP="00A44AA4">
      <w:pPr>
        <w:pStyle w:val="TableHeading"/>
        <w:spacing w:before="0"/>
        <w:rPr>
          <w:sz w:val="20"/>
        </w:rPr>
      </w:pPr>
      <w:r>
        <w:br w:type="page"/>
      </w:r>
      <w:r w:rsidRPr="00264F93">
        <w:rPr>
          <w:sz w:val="20"/>
        </w:rPr>
        <w:lastRenderedPageBreak/>
        <w:t>Table 3.2.2: Budgeted departmental balance sheet (as at 30 June)</w:t>
      </w:r>
    </w:p>
    <w:p w:rsidR="00264F93" w:rsidRDefault="00833238" w:rsidP="00264F93">
      <w:pPr>
        <w:pStyle w:val="TableGraphic"/>
      </w:pPr>
      <w:r>
        <w:pict>
          <v:shape id="_x0000_i1111" type="#_x0000_t75" style="width:383.4pt;height:290.8pt">
            <v:imagedata r:id="rId186" o:title=""/>
          </v:shape>
        </w:pict>
      </w:r>
    </w:p>
    <w:p w:rsidR="00264F93" w:rsidRDefault="00264F93" w:rsidP="00264F93">
      <w:pPr>
        <w:pStyle w:val="ChartandTableFootnote"/>
      </w:pPr>
      <w:r>
        <w:t>*</w:t>
      </w:r>
      <w:r>
        <w:tab/>
        <w:t>‘Equity’ is the residual interest in assets after deduction of liabilities.</w:t>
      </w:r>
    </w:p>
    <w:p w:rsidR="00264F93" w:rsidRDefault="00264F93" w:rsidP="00264F93">
      <w:pPr>
        <w:pStyle w:val="Source"/>
      </w:pPr>
      <w:r>
        <w:t>Prepared on Australian Accounting Standards basis.</w:t>
      </w:r>
    </w:p>
    <w:p w:rsidR="00264F93" w:rsidRDefault="00264F93" w:rsidP="00264F93">
      <w:pPr>
        <w:pStyle w:val="NoSpacing"/>
      </w:pPr>
    </w:p>
    <w:p w:rsidR="00264F93" w:rsidRPr="00264F93" w:rsidRDefault="00264F93" w:rsidP="00A44AA4">
      <w:pPr>
        <w:pStyle w:val="TableHeading"/>
        <w:spacing w:before="0"/>
        <w:rPr>
          <w:sz w:val="20"/>
        </w:rPr>
      </w:pPr>
      <w:r>
        <w:br w:type="page"/>
      </w:r>
      <w:r w:rsidRPr="00264F93">
        <w:rPr>
          <w:sz w:val="20"/>
        </w:rPr>
        <w:lastRenderedPageBreak/>
        <w:t>Table 3.2.3: Departmental statement of changes in equity — summary of movement (Budget year 2015-16)</w:t>
      </w:r>
    </w:p>
    <w:p w:rsidR="00264F93" w:rsidRPr="00264F93" w:rsidRDefault="00833238" w:rsidP="00264F93">
      <w:pPr>
        <w:pStyle w:val="TableGraphic"/>
        <w:rPr>
          <w:i/>
          <w:color w:val="FF0000"/>
        </w:rPr>
      </w:pPr>
      <w:r>
        <w:pict>
          <v:shape id="_x0000_i1112" type="#_x0000_t75" style="width:382.45pt;height:297.35pt">
            <v:imagedata r:id="rId187" o:title=""/>
          </v:shape>
        </w:pict>
      </w:r>
    </w:p>
    <w:p w:rsidR="00264F93" w:rsidRDefault="00264F93" w:rsidP="00264F93">
      <w:pPr>
        <w:pStyle w:val="Source"/>
      </w:pPr>
      <w:r>
        <w:t>Prepared on Australian Accounting Standards basis.</w:t>
      </w:r>
    </w:p>
    <w:p w:rsidR="00264F93" w:rsidRDefault="00264F93" w:rsidP="00264F93">
      <w:pPr>
        <w:pStyle w:val="NoSpacing"/>
      </w:pPr>
    </w:p>
    <w:p w:rsidR="00264F93" w:rsidRPr="00264F93" w:rsidRDefault="00264F93" w:rsidP="00A44AA4">
      <w:pPr>
        <w:pStyle w:val="TableHeading"/>
        <w:spacing w:before="0"/>
        <w:rPr>
          <w:sz w:val="20"/>
        </w:rPr>
      </w:pPr>
      <w:r>
        <w:br w:type="page"/>
      </w:r>
      <w:r w:rsidRPr="00264F93">
        <w:rPr>
          <w:sz w:val="20"/>
        </w:rPr>
        <w:lastRenderedPageBreak/>
        <w:t>Table 3.2.4: Budgeted departmental statement of cash flows (for the period ended 30 June)</w:t>
      </w:r>
    </w:p>
    <w:p w:rsidR="00264F93" w:rsidRDefault="00833238" w:rsidP="00264F93">
      <w:pPr>
        <w:pStyle w:val="TableGraphic"/>
      </w:pPr>
      <w:r>
        <w:pict>
          <v:shape id="_x0000_i1113" type="#_x0000_t75" style="width:383.4pt;height:449.75pt">
            <v:imagedata r:id="rId188" o:title=""/>
          </v:shape>
        </w:pict>
      </w:r>
    </w:p>
    <w:p w:rsidR="00264F93" w:rsidRDefault="00264F93" w:rsidP="00264F93">
      <w:pPr>
        <w:pStyle w:val="Source"/>
      </w:pPr>
      <w:r>
        <w:t>Prepared on Australian Accounting Standards basis.</w:t>
      </w:r>
    </w:p>
    <w:p w:rsidR="00264F93" w:rsidRDefault="00264F93" w:rsidP="00264F93">
      <w:pPr>
        <w:pStyle w:val="NoSpacing"/>
      </w:pPr>
    </w:p>
    <w:p w:rsidR="00264F93" w:rsidRDefault="00264F93" w:rsidP="00F66D1D">
      <w:pPr>
        <w:pStyle w:val="TableHeading"/>
        <w:spacing w:before="0"/>
      </w:pPr>
      <w:r>
        <w:br w:type="page"/>
      </w:r>
      <w:r>
        <w:lastRenderedPageBreak/>
        <w:t>3.2.4</w:t>
      </w:r>
      <w:r>
        <w:tab/>
        <w:t>Notes to the financial statements</w:t>
      </w:r>
    </w:p>
    <w:p w:rsidR="00A5388A" w:rsidRDefault="00264F93" w:rsidP="00264F93">
      <w:pPr>
        <w:pStyle w:val="Exampletext"/>
        <w:rPr>
          <w:i w:val="0"/>
          <w:color w:val="auto"/>
        </w:rPr>
      </w:pPr>
      <w:r>
        <w:rPr>
          <w:i w:val="0"/>
          <w:color w:val="auto"/>
        </w:rPr>
        <w:t>Under the Australian Government’s budgeting framework, and consistent with Australian Accounting Standards, ASIS controls all the entity’s transactions.  ASIS is fully accountable for assets, liabilities, revenues and expenses in relation to the entity. ASIS has no administered transactions.</w:t>
      </w:r>
    </w:p>
    <w:p w:rsidR="00A5388A" w:rsidRDefault="00A5388A" w:rsidP="00264F93">
      <w:pPr>
        <w:pStyle w:val="Exampletext"/>
        <w:rPr>
          <w:i w:val="0"/>
          <w:color w:val="auto"/>
        </w:rPr>
        <w:sectPr w:rsidR="00A5388A" w:rsidSect="00264F93">
          <w:headerReference w:type="even" r:id="rId189"/>
          <w:headerReference w:type="default" r:id="rId190"/>
          <w:footerReference w:type="first" r:id="rId191"/>
          <w:type w:val="oddPage"/>
          <w:pgSz w:w="11906" w:h="16838" w:code="9"/>
          <w:pgMar w:top="2466" w:right="2098" w:bottom="2466" w:left="2098" w:header="1899" w:footer="1899" w:gutter="0"/>
          <w:cols w:space="708"/>
          <w:titlePg/>
          <w:docGrid w:linePitch="360"/>
        </w:sectPr>
      </w:pPr>
    </w:p>
    <w:p w:rsidR="00264F93" w:rsidRDefault="00264F93" w:rsidP="00264F93">
      <w:pPr>
        <w:pStyle w:val="Exampletext"/>
        <w:rPr>
          <w:i w:val="0"/>
          <w:color w:val="auto"/>
        </w:rPr>
      </w:pPr>
    </w:p>
    <w:p w:rsidR="009131E0" w:rsidRDefault="009131E0" w:rsidP="00264F93">
      <w:pPr>
        <w:pStyle w:val="Exampletext"/>
        <w:sectPr w:rsidR="009131E0" w:rsidSect="00A5388A">
          <w:footerReference w:type="first" r:id="rId192"/>
          <w:pgSz w:w="11906" w:h="16838" w:code="9"/>
          <w:pgMar w:top="2466" w:right="2098" w:bottom="2466" w:left="2098" w:header="1899" w:footer="1899" w:gutter="0"/>
          <w:cols w:space="708"/>
          <w:titlePg/>
          <w:docGrid w:linePitch="360"/>
        </w:sectPr>
      </w:pPr>
    </w:p>
    <w:p w:rsidR="009131E0" w:rsidRDefault="007D00B2" w:rsidP="009131E0">
      <w:pPr>
        <w:pStyle w:val="Department"/>
        <w:spacing w:before="1320"/>
      </w:pPr>
      <w:r>
        <w:lastRenderedPageBreak/>
        <w:t>Tourism Australia</w:t>
      </w:r>
    </w:p>
    <w:p w:rsidR="009131E0" w:rsidRDefault="009131E0" w:rsidP="009131E0">
      <w:pPr>
        <w:pStyle w:val="DepartmentSubtitle"/>
        <w:spacing w:before="2080"/>
      </w:pPr>
      <w:r>
        <w:t>Entity resources and planned performance</w:t>
      </w:r>
    </w:p>
    <w:p w:rsidR="009131E0" w:rsidRDefault="009131E0" w:rsidP="009131E0">
      <w:pPr>
        <w:sectPr w:rsidR="009131E0" w:rsidSect="009131E0">
          <w:footerReference w:type="first" r:id="rId193"/>
          <w:pgSz w:w="11906" w:h="16838" w:code="9"/>
          <w:pgMar w:top="2466" w:right="2098" w:bottom="2466" w:left="2098" w:header="1899" w:footer="1899" w:gutter="0"/>
          <w:cols w:space="708"/>
          <w:titlePg/>
          <w:docGrid w:linePitch="360"/>
        </w:sectPr>
      </w:pPr>
    </w:p>
    <w:p w:rsidR="009131E0" w:rsidRDefault="007D00B2" w:rsidP="009131E0">
      <w:pPr>
        <w:pStyle w:val="ContentsHeading"/>
      </w:pPr>
      <w:r>
        <w:lastRenderedPageBreak/>
        <w:t>Tourism Australia</w:t>
      </w:r>
    </w:p>
    <w:p w:rsidR="009131E0" w:rsidRDefault="009131E0" w:rsidP="009131E0">
      <w:pPr>
        <w:pStyle w:val="TOC3"/>
        <w:rPr>
          <w:rFonts w:ascii="Times New Roman" w:hAnsi="Times New Roman"/>
          <w:b w:val="0"/>
          <w:noProof/>
          <w:sz w:val="24"/>
          <w:szCs w:val="24"/>
        </w:rPr>
      </w:pPr>
      <w:r>
        <w:rPr>
          <w:noProof/>
        </w:rPr>
        <w:t>Section 1: Entity overview and resources</w:t>
      </w:r>
      <w:r>
        <w:rPr>
          <w:noProof/>
        </w:rPr>
        <w:tab/>
      </w:r>
      <w:r w:rsidR="00C24FBA">
        <w:rPr>
          <w:noProof/>
        </w:rPr>
        <w:t>16</w:t>
      </w:r>
      <w:r w:rsidR="00CC2E60">
        <w:rPr>
          <w:noProof/>
        </w:rPr>
        <w:t>9</w:t>
      </w:r>
    </w:p>
    <w:p w:rsidR="009131E0" w:rsidRDefault="009131E0" w:rsidP="009131E0">
      <w:pPr>
        <w:pStyle w:val="TOC4"/>
        <w:tabs>
          <w:tab w:val="left" w:pos="800"/>
        </w:tabs>
        <w:rPr>
          <w:rFonts w:ascii="Times New Roman" w:hAnsi="Times New Roman"/>
          <w:noProof/>
          <w:sz w:val="24"/>
          <w:szCs w:val="24"/>
        </w:rPr>
      </w:pPr>
      <w:r>
        <w:rPr>
          <w:noProof/>
        </w:rPr>
        <w:t>1.1</w:t>
      </w:r>
      <w:r>
        <w:rPr>
          <w:rFonts w:ascii="Times New Roman" w:hAnsi="Times New Roman"/>
          <w:noProof/>
          <w:sz w:val="24"/>
          <w:szCs w:val="24"/>
        </w:rPr>
        <w:tab/>
      </w:r>
      <w:r>
        <w:rPr>
          <w:noProof/>
        </w:rPr>
        <w:t>Strategic direction statement</w:t>
      </w:r>
      <w:r>
        <w:rPr>
          <w:noProof/>
        </w:rPr>
        <w:tab/>
      </w:r>
      <w:r w:rsidR="00C24FBA">
        <w:rPr>
          <w:noProof/>
        </w:rPr>
        <w:t>16</w:t>
      </w:r>
      <w:r w:rsidR="00CC2E60">
        <w:rPr>
          <w:noProof/>
        </w:rPr>
        <w:t>9</w:t>
      </w:r>
    </w:p>
    <w:p w:rsidR="009131E0" w:rsidRDefault="009131E0" w:rsidP="009131E0">
      <w:pPr>
        <w:pStyle w:val="TOC4"/>
        <w:tabs>
          <w:tab w:val="left" w:pos="800"/>
        </w:tabs>
        <w:rPr>
          <w:rFonts w:ascii="Times New Roman" w:hAnsi="Times New Roman"/>
          <w:noProof/>
          <w:sz w:val="24"/>
          <w:szCs w:val="24"/>
        </w:rPr>
      </w:pPr>
      <w:r>
        <w:rPr>
          <w:noProof/>
        </w:rPr>
        <w:t>1.2</w:t>
      </w:r>
      <w:r>
        <w:rPr>
          <w:rFonts w:ascii="Times New Roman" w:hAnsi="Times New Roman"/>
          <w:noProof/>
          <w:sz w:val="24"/>
          <w:szCs w:val="24"/>
        </w:rPr>
        <w:tab/>
      </w:r>
      <w:r>
        <w:rPr>
          <w:noProof/>
        </w:rPr>
        <w:t>Entity resource statement</w:t>
      </w:r>
      <w:r>
        <w:rPr>
          <w:noProof/>
        </w:rPr>
        <w:tab/>
      </w:r>
      <w:r w:rsidR="00C24FBA">
        <w:rPr>
          <w:noProof/>
        </w:rPr>
        <w:t>1</w:t>
      </w:r>
      <w:r w:rsidR="00CC2E60">
        <w:rPr>
          <w:noProof/>
        </w:rPr>
        <w:t>72</w:t>
      </w:r>
    </w:p>
    <w:p w:rsidR="009131E0" w:rsidRDefault="009131E0" w:rsidP="009131E0">
      <w:pPr>
        <w:pStyle w:val="TOC4"/>
        <w:tabs>
          <w:tab w:val="left" w:pos="800"/>
        </w:tabs>
        <w:rPr>
          <w:noProof/>
        </w:rPr>
      </w:pPr>
      <w:r>
        <w:rPr>
          <w:noProof/>
        </w:rPr>
        <w:t>1.3</w:t>
      </w:r>
      <w:r>
        <w:rPr>
          <w:rFonts w:ascii="Times New Roman" w:hAnsi="Times New Roman"/>
          <w:noProof/>
          <w:sz w:val="24"/>
          <w:szCs w:val="24"/>
        </w:rPr>
        <w:tab/>
      </w:r>
      <w:r>
        <w:rPr>
          <w:noProof/>
        </w:rPr>
        <w:t>Budget measures</w:t>
      </w:r>
      <w:r>
        <w:rPr>
          <w:noProof/>
        </w:rPr>
        <w:tab/>
      </w:r>
      <w:r w:rsidR="00C24FBA">
        <w:rPr>
          <w:noProof/>
        </w:rPr>
        <w:t>1</w:t>
      </w:r>
      <w:r w:rsidR="00CC2E60">
        <w:rPr>
          <w:noProof/>
        </w:rPr>
        <w:t>73</w:t>
      </w:r>
    </w:p>
    <w:p w:rsidR="009131E0" w:rsidRDefault="009131E0" w:rsidP="009131E0">
      <w:pPr>
        <w:pStyle w:val="TOC3"/>
        <w:rPr>
          <w:rFonts w:ascii="Times New Roman" w:hAnsi="Times New Roman"/>
          <w:b w:val="0"/>
          <w:noProof/>
          <w:sz w:val="24"/>
          <w:szCs w:val="24"/>
        </w:rPr>
      </w:pPr>
      <w:r>
        <w:rPr>
          <w:noProof/>
        </w:rPr>
        <w:t>Section 2: Outcomes and planned performance</w:t>
      </w:r>
      <w:r>
        <w:rPr>
          <w:noProof/>
        </w:rPr>
        <w:tab/>
      </w:r>
      <w:r w:rsidR="00C24FBA">
        <w:rPr>
          <w:noProof/>
        </w:rPr>
        <w:t>1</w:t>
      </w:r>
      <w:r w:rsidR="00CC2E60">
        <w:rPr>
          <w:noProof/>
        </w:rPr>
        <w:t>74</w:t>
      </w:r>
    </w:p>
    <w:p w:rsidR="009131E0" w:rsidRDefault="009131E0" w:rsidP="009131E0">
      <w:pPr>
        <w:pStyle w:val="TOC4"/>
        <w:tabs>
          <w:tab w:val="left" w:pos="800"/>
        </w:tabs>
        <w:rPr>
          <w:rFonts w:ascii="Times New Roman" w:hAnsi="Times New Roman"/>
          <w:noProof/>
          <w:sz w:val="24"/>
          <w:szCs w:val="24"/>
        </w:rPr>
      </w:pPr>
      <w:r>
        <w:rPr>
          <w:noProof/>
        </w:rPr>
        <w:t>2.1</w:t>
      </w:r>
      <w:r>
        <w:rPr>
          <w:rFonts w:ascii="Times New Roman" w:hAnsi="Times New Roman"/>
          <w:noProof/>
          <w:sz w:val="24"/>
          <w:szCs w:val="24"/>
        </w:rPr>
        <w:tab/>
      </w:r>
      <w:r>
        <w:rPr>
          <w:noProof/>
        </w:rPr>
        <w:t>Outcomes and performance information</w:t>
      </w:r>
      <w:r>
        <w:rPr>
          <w:noProof/>
        </w:rPr>
        <w:tab/>
      </w:r>
      <w:r w:rsidR="00C24FBA">
        <w:rPr>
          <w:noProof/>
        </w:rPr>
        <w:t>1</w:t>
      </w:r>
      <w:r w:rsidR="00CC2E60">
        <w:rPr>
          <w:noProof/>
        </w:rPr>
        <w:t>74</w:t>
      </w:r>
    </w:p>
    <w:p w:rsidR="009131E0" w:rsidRDefault="009131E0" w:rsidP="009131E0">
      <w:pPr>
        <w:pStyle w:val="TOC3"/>
        <w:rPr>
          <w:rFonts w:ascii="Times New Roman" w:hAnsi="Times New Roman"/>
          <w:b w:val="0"/>
          <w:noProof/>
          <w:sz w:val="24"/>
          <w:szCs w:val="24"/>
        </w:rPr>
      </w:pPr>
      <w:r>
        <w:rPr>
          <w:noProof/>
        </w:rPr>
        <w:t>Section 3: Explanatory tables and budgeted financial statements</w:t>
      </w:r>
      <w:r>
        <w:rPr>
          <w:noProof/>
        </w:rPr>
        <w:tab/>
      </w:r>
      <w:r w:rsidR="00C24FBA">
        <w:rPr>
          <w:noProof/>
        </w:rPr>
        <w:t>1</w:t>
      </w:r>
      <w:r w:rsidR="00CC2E60">
        <w:rPr>
          <w:noProof/>
        </w:rPr>
        <w:t>82</w:t>
      </w:r>
    </w:p>
    <w:p w:rsidR="009131E0" w:rsidRDefault="009131E0" w:rsidP="009131E0">
      <w:pPr>
        <w:pStyle w:val="TOC4"/>
        <w:tabs>
          <w:tab w:val="left" w:pos="800"/>
        </w:tabs>
        <w:rPr>
          <w:noProof/>
        </w:rPr>
      </w:pPr>
      <w:r>
        <w:rPr>
          <w:noProof/>
        </w:rPr>
        <w:t>3.1</w:t>
      </w:r>
      <w:r>
        <w:rPr>
          <w:rFonts w:ascii="Times New Roman" w:hAnsi="Times New Roman"/>
          <w:noProof/>
          <w:sz w:val="24"/>
          <w:szCs w:val="24"/>
        </w:rPr>
        <w:tab/>
      </w:r>
      <w:r>
        <w:rPr>
          <w:noProof/>
        </w:rPr>
        <w:t>Explanatory tables</w:t>
      </w:r>
      <w:r>
        <w:rPr>
          <w:noProof/>
        </w:rPr>
        <w:tab/>
      </w:r>
      <w:r w:rsidR="00C24FBA">
        <w:rPr>
          <w:noProof/>
        </w:rPr>
        <w:t>1</w:t>
      </w:r>
      <w:r w:rsidR="00CC2E60">
        <w:rPr>
          <w:noProof/>
        </w:rPr>
        <w:t>82</w:t>
      </w:r>
    </w:p>
    <w:p w:rsidR="009131E0" w:rsidRDefault="009131E0" w:rsidP="009131E0">
      <w:pPr>
        <w:pStyle w:val="TOC4"/>
        <w:tabs>
          <w:tab w:val="left" w:pos="800"/>
        </w:tabs>
        <w:rPr>
          <w:noProof/>
        </w:rPr>
      </w:pPr>
      <w:r>
        <w:rPr>
          <w:noProof/>
        </w:rPr>
        <w:t>3.2</w:t>
      </w:r>
      <w:r>
        <w:rPr>
          <w:rFonts w:ascii="Times New Roman" w:hAnsi="Times New Roman"/>
          <w:noProof/>
          <w:sz w:val="24"/>
          <w:szCs w:val="24"/>
        </w:rPr>
        <w:tab/>
      </w:r>
      <w:r>
        <w:rPr>
          <w:noProof/>
        </w:rPr>
        <w:t>Budgeted financial statements</w:t>
      </w:r>
      <w:r>
        <w:rPr>
          <w:noProof/>
        </w:rPr>
        <w:tab/>
      </w:r>
      <w:r w:rsidR="00C24FBA">
        <w:rPr>
          <w:noProof/>
        </w:rPr>
        <w:t>1</w:t>
      </w:r>
      <w:r w:rsidR="00CC2E60">
        <w:rPr>
          <w:noProof/>
        </w:rPr>
        <w:t>83</w:t>
      </w:r>
    </w:p>
    <w:p w:rsidR="009131E0" w:rsidRPr="008B5AFD" w:rsidRDefault="009131E0" w:rsidP="009131E0"/>
    <w:p w:rsidR="009131E0" w:rsidRDefault="009131E0" w:rsidP="009131E0">
      <w:pPr>
        <w:sectPr w:rsidR="009131E0" w:rsidSect="00AA27AA">
          <w:footerReference w:type="first" r:id="rId194"/>
          <w:type w:val="oddPage"/>
          <w:pgSz w:w="11906" w:h="16838" w:code="9"/>
          <w:pgMar w:top="2466" w:right="2098" w:bottom="2466" w:left="2098" w:header="1899" w:footer="1899" w:gutter="0"/>
          <w:cols w:space="708"/>
          <w:titlePg/>
          <w:docGrid w:linePitch="360"/>
        </w:sectPr>
      </w:pPr>
    </w:p>
    <w:p w:rsidR="009131E0" w:rsidRDefault="007D00B2" w:rsidP="009131E0">
      <w:pPr>
        <w:pStyle w:val="Heading1"/>
      </w:pPr>
      <w:r>
        <w:lastRenderedPageBreak/>
        <w:t>Tourism Australia</w:t>
      </w:r>
    </w:p>
    <w:p w:rsidR="009131E0" w:rsidRDefault="009131E0" w:rsidP="009131E0">
      <w:pPr>
        <w:pStyle w:val="Heading2"/>
      </w:pPr>
      <w:r>
        <w:t>Section 1: Entity overview and resources</w:t>
      </w:r>
    </w:p>
    <w:p w:rsidR="009131E0" w:rsidRDefault="009131E0" w:rsidP="009131E0">
      <w:pPr>
        <w:pStyle w:val="Heading3"/>
      </w:pPr>
      <w:r>
        <w:t>1.1</w:t>
      </w:r>
      <w:r>
        <w:tab/>
        <w:t>Strategic direction statement</w:t>
      </w:r>
    </w:p>
    <w:p w:rsidR="003D0BF9" w:rsidRPr="00201428" w:rsidRDefault="003D0BF9" w:rsidP="003D0BF9">
      <w:pPr>
        <w:rPr>
          <w:color w:val="000000"/>
        </w:rPr>
      </w:pPr>
      <w:r w:rsidRPr="00201428">
        <w:rPr>
          <w:color w:val="000000"/>
        </w:rPr>
        <w:t>As Australia’s national tourism marketing organisation, Tourism Australia’s key contribution to Australia’s economy in 2015-16 will be to increase international leisure and business events visitation by promoting Australia as a compelling tourism destination. This will be undertaken through partnership marketing that targets consumers in key international markets, and working with distribution partners to convert Australia’s appeal into more visits.</w:t>
      </w:r>
    </w:p>
    <w:p w:rsidR="003D0BF9" w:rsidRPr="00201428" w:rsidRDefault="003D0BF9" w:rsidP="003D0BF9">
      <w:pPr>
        <w:rPr>
          <w:i/>
          <w:color w:val="000000"/>
        </w:rPr>
      </w:pPr>
      <w:r w:rsidRPr="00201428">
        <w:rPr>
          <w:i/>
          <w:color w:val="000000"/>
        </w:rPr>
        <w:t>Australian tourism industry outlook</w:t>
      </w:r>
    </w:p>
    <w:p w:rsidR="003D0BF9" w:rsidRPr="00201428" w:rsidRDefault="003D0BF9" w:rsidP="003D0BF9">
      <w:pPr>
        <w:rPr>
          <w:color w:val="000000"/>
        </w:rPr>
      </w:pPr>
      <w:r w:rsidRPr="00201428">
        <w:rPr>
          <w:color w:val="000000"/>
        </w:rPr>
        <w:t xml:space="preserve">Tourism Australia anticipates a stable environment for inbound tourism in 2015-16, with global GDP growth forecast to trend at around 3 percent (Tourism Research Australia). Economic growth in Asia’s economies is expected to ease slightly, while </w:t>
      </w:r>
      <w:r>
        <w:rPr>
          <w:color w:val="000000"/>
        </w:rPr>
        <w:t xml:space="preserve">economic conditions in </w:t>
      </w:r>
      <w:r w:rsidRPr="00201428">
        <w:rPr>
          <w:color w:val="000000"/>
        </w:rPr>
        <w:t>the USA</w:t>
      </w:r>
      <w:r>
        <w:rPr>
          <w:color w:val="000000"/>
        </w:rPr>
        <w:t xml:space="preserve"> and</w:t>
      </w:r>
      <w:r w:rsidRPr="00201428">
        <w:rPr>
          <w:color w:val="000000"/>
        </w:rPr>
        <w:t xml:space="preserve"> Western Europe are </w:t>
      </w:r>
      <w:r>
        <w:rPr>
          <w:color w:val="000000"/>
        </w:rPr>
        <w:t>expected</w:t>
      </w:r>
      <w:r w:rsidRPr="00201428">
        <w:rPr>
          <w:color w:val="000000"/>
        </w:rPr>
        <w:t xml:space="preserve"> to i</w:t>
      </w:r>
      <w:r>
        <w:rPr>
          <w:color w:val="000000"/>
        </w:rPr>
        <w:t>mprove</w:t>
      </w:r>
      <w:r w:rsidRPr="00201428">
        <w:rPr>
          <w:color w:val="000000"/>
        </w:rPr>
        <w:t xml:space="preserve"> mode</w:t>
      </w:r>
      <w:r>
        <w:rPr>
          <w:color w:val="000000"/>
        </w:rPr>
        <w:t>rately</w:t>
      </w:r>
      <w:r w:rsidRPr="00201428">
        <w:rPr>
          <w:color w:val="000000"/>
        </w:rPr>
        <w:t xml:space="preserve">. </w:t>
      </w:r>
    </w:p>
    <w:p w:rsidR="003D0BF9" w:rsidRPr="00201428" w:rsidRDefault="003D0BF9" w:rsidP="003D0BF9">
      <w:pPr>
        <w:rPr>
          <w:color w:val="000000"/>
        </w:rPr>
      </w:pPr>
      <w:r w:rsidRPr="00201428">
        <w:rPr>
          <w:color w:val="000000"/>
        </w:rPr>
        <w:t xml:space="preserve">Australia continues to be rated as one of the most desired tourism destinations in the world (Future Brand, 2014). Demand for travel to Australia is </w:t>
      </w:r>
      <w:r>
        <w:rPr>
          <w:color w:val="000000"/>
        </w:rPr>
        <w:t>expected to grow</w:t>
      </w:r>
      <w:r w:rsidRPr="00201428">
        <w:rPr>
          <w:color w:val="000000"/>
        </w:rPr>
        <w:t xml:space="preserve"> during 2015-16, with international inbound visitors increasing by 5 percent to 7.3 million visitors (Tourism Forecasting Committee, 2014).</w:t>
      </w:r>
    </w:p>
    <w:p w:rsidR="003D0BF9" w:rsidRPr="00201428" w:rsidRDefault="003D0BF9" w:rsidP="003D0BF9">
      <w:pPr>
        <w:rPr>
          <w:color w:val="000000"/>
        </w:rPr>
      </w:pPr>
      <w:r w:rsidRPr="00201428">
        <w:rPr>
          <w:color w:val="000000"/>
        </w:rPr>
        <w:t xml:space="preserve">While Australia’s tourism brand is strong, competition is significant with more than 190 countries competing aggressively for the global tourism dollar. Tourism Australia will </w:t>
      </w:r>
      <w:r>
        <w:rPr>
          <w:color w:val="000000"/>
        </w:rPr>
        <w:t xml:space="preserve">respond to this increasing </w:t>
      </w:r>
      <w:r w:rsidRPr="00201428">
        <w:rPr>
          <w:color w:val="000000"/>
        </w:rPr>
        <w:t xml:space="preserve">competition by focusing on Australia’s competitive advantages – its spectacular natural beauty, pristine environment, friendly and welcoming people and world class food and wine. </w:t>
      </w:r>
    </w:p>
    <w:p w:rsidR="003D0BF9" w:rsidRPr="00201428" w:rsidRDefault="003D0BF9" w:rsidP="003D0BF9">
      <w:pPr>
        <w:rPr>
          <w:i/>
          <w:color w:val="000000"/>
        </w:rPr>
      </w:pPr>
      <w:r w:rsidRPr="00201428">
        <w:rPr>
          <w:i/>
          <w:color w:val="000000"/>
        </w:rPr>
        <w:t xml:space="preserve">Tourism 2020 </w:t>
      </w:r>
    </w:p>
    <w:p w:rsidR="003D0BF9" w:rsidRPr="00201428" w:rsidRDefault="0009791B" w:rsidP="003D0BF9">
      <w:pPr>
        <w:rPr>
          <w:color w:val="000000"/>
        </w:rPr>
      </w:pPr>
      <w:r w:rsidRPr="00C94E7A">
        <w:rPr>
          <w:i/>
          <w:color w:val="000000"/>
        </w:rPr>
        <w:t>Tourism 2020</w:t>
      </w:r>
      <w:r>
        <w:rPr>
          <w:color w:val="000000"/>
        </w:rPr>
        <w:t xml:space="preserve"> is a whole of </w:t>
      </w:r>
      <w:r w:rsidR="003D0BF9" w:rsidRPr="00201428">
        <w:rPr>
          <w:color w:val="000000"/>
        </w:rPr>
        <w:t xml:space="preserve">government and industry long-term strategy to build the resilience and competitiveness of Australia’s tourism industry and grow its economic contribution to Australia’s economy. It focuses on improving the industry’s global performance and competitiveness by pursuing </w:t>
      </w:r>
      <w:r w:rsidR="003D0BF9">
        <w:rPr>
          <w:color w:val="000000"/>
        </w:rPr>
        <w:t>the strongest</w:t>
      </w:r>
      <w:r w:rsidR="003D0BF9" w:rsidRPr="00201428">
        <w:rPr>
          <w:color w:val="000000"/>
        </w:rPr>
        <w:t xml:space="preserve"> opportunities for growth and </w:t>
      </w:r>
      <w:r w:rsidR="003D0BF9">
        <w:rPr>
          <w:color w:val="000000"/>
        </w:rPr>
        <w:t>a</w:t>
      </w:r>
      <w:r w:rsidR="003D0BF9" w:rsidRPr="00201428">
        <w:rPr>
          <w:color w:val="000000"/>
        </w:rPr>
        <w:t xml:space="preserve">ddressing supply-side factors. </w:t>
      </w:r>
    </w:p>
    <w:p w:rsidR="003D0BF9" w:rsidRPr="00201428" w:rsidRDefault="003D0BF9" w:rsidP="003D0BF9">
      <w:pPr>
        <w:rPr>
          <w:color w:val="000000"/>
        </w:rPr>
      </w:pPr>
      <w:r w:rsidRPr="00201428">
        <w:rPr>
          <w:color w:val="000000"/>
        </w:rPr>
        <w:t xml:space="preserve">Under </w:t>
      </w:r>
      <w:r w:rsidRPr="00C94E7A">
        <w:rPr>
          <w:i/>
          <w:color w:val="000000"/>
        </w:rPr>
        <w:t>Tourism 2020</w:t>
      </w:r>
      <w:r>
        <w:rPr>
          <w:color w:val="000000"/>
        </w:rPr>
        <w:t>,</w:t>
      </w:r>
      <w:r w:rsidRPr="00201428">
        <w:rPr>
          <w:color w:val="000000"/>
        </w:rPr>
        <w:t xml:space="preserve"> Tourism Australia has primary carriage of </w:t>
      </w:r>
      <w:r>
        <w:rPr>
          <w:color w:val="000000"/>
        </w:rPr>
        <w:t xml:space="preserve">international tourism </w:t>
      </w:r>
      <w:r w:rsidRPr="00201428">
        <w:rPr>
          <w:color w:val="000000"/>
        </w:rPr>
        <w:t xml:space="preserve">marketing and distribution </w:t>
      </w:r>
      <w:r>
        <w:rPr>
          <w:color w:val="000000"/>
        </w:rPr>
        <w:t>and works with ot</w:t>
      </w:r>
      <w:r w:rsidRPr="00201428">
        <w:rPr>
          <w:color w:val="000000"/>
        </w:rPr>
        <w:t xml:space="preserve">her Australian government agencies </w:t>
      </w:r>
      <w:r>
        <w:rPr>
          <w:color w:val="000000"/>
        </w:rPr>
        <w:t>to support</w:t>
      </w:r>
      <w:r w:rsidRPr="00201428">
        <w:rPr>
          <w:color w:val="000000"/>
        </w:rPr>
        <w:t xml:space="preserve"> aviation development and </w:t>
      </w:r>
      <w:r>
        <w:rPr>
          <w:color w:val="000000"/>
        </w:rPr>
        <w:t xml:space="preserve">to attract </w:t>
      </w:r>
      <w:r w:rsidRPr="00201428">
        <w:rPr>
          <w:color w:val="000000"/>
        </w:rPr>
        <w:t>investment</w:t>
      </w:r>
      <w:r>
        <w:rPr>
          <w:color w:val="000000"/>
        </w:rPr>
        <w:t>.</w:t>
      </w:r>
    </w:p>
    <w:p w:rsidR="003D0BF9" w:rsidRPr="00201428" w:rsidRDefault="003D0BF9" w:rsidP="003D0BF9">
      <w:pPr>
        <w:rPr>
          <w:i/>
          <w:color w:val="000000"/>
        </w:rPr>
      </w:pPr>
      <w:r w:rsidRPr="00201428">
        <w:rPr>
          <w:i/>
          <w:color w:val="000000"/>
        </w:rPr>
        <w:lastRenderedPageBreak/>
        <w:t>Objectives 2015-16</w:t>
      </w:r>
    </w:p>
    <w:p w:rsidR="003D0BF9" w:rsidRPr="00201428" w:rsidRDefault="003D0BF9" w:rsidP="003D0BF9">
      <w:pPr>
        <w:spacing w:after="0"/>
        <w:rPr>
          <w:color w:val="000000"/>
        </w:rPr>
      </w:pPr>
      <w:r w:rsidRPr="00201428">
        <w:rPr>
          <w:color w:val="000000"/>
        </w:rPr>
        <w:t xml:space="preserve">Tourism Australia works with industry and all levels of government across Australia to maximise the economic contribution of Australian tourism. The industry has set a goal to increase overnight tourism expenditure from $70 billion in 2009 to more than $115 billion in 2020. To achieve this, Tourism Australia will focus on the following in 2015-16: </w:t>
      </w:r>
    </w:p>
    <w:p w:rsidR="003D0BF9" w:rsidRDefault="00787B77" w:rsidP="00F37EE6">
      <w:pPr>
        <w:pStyle w:val="ListParagraph"/>
        <w:numPr>
          <w:ilvl w:val="0"/>
          <w:numId w:val="40"/>
        </w:numPr>
        <w:spacing w:after="0" w:line="240" w:lineRule="auto"/>
        <w:ind w:left="547"/>
        <w:rPr>
          <w:rFonts w:ascii="Book Antiqua" w:hAnsi="Book Antiqua"/>
          <w:color w:val="000000"/>
          <w:sz w:val="20"/>
          <w:szCs w:val="20"/>
        </w:rPr>
      </w:pPr>
      <w:r>
        <w:rPr>
          <w:rFonts w:ascii="Book Antiqua" w:hAnsi="Book Antiqua"/>
          <w:color w:val="000000"/>
          <w:sz w:val="20"/>
          <w:szCs w:val="20"/>
        </w:rPr>
        <w:t>c</w:t>
      </w:r>
      <w:r w:rsidR="003D0BF9" w:rsidRPr="00201428">
        <w:rPr>
          <w:rFonts w:ascii="Book Antiqua" w:hAnsi="Book Antiqua"/>
          <w:color w:val="000000"/>
          <w:sz w:val="20"/>
          <w:szCs w:val="20"/>
        </w:rPr>
        <w:t>ontinuin</w:t>
      </w:r>
      <w:r w:rsidR="003D0BF9">
        <w:rPr>
          <w:rFonts w:ascii="Book Antiqua" w:hAnsi="Book Antiqua"/>
          <w:color w:val="000000"/>
          <w:sz w:val="20"/>
          <w:szCs w:val="20"/>
        </w:rPr>
        <w:t>g to reinforce Tourism Australia’s competitive focu</w:t>
      </w:r>
      <w:r>
        <w:rPr>
          <w:rFonts w:ascii="Book Antiqua" w:hAnsi="Book Antiqua"/>
          <w:color w:val="000000"/>
          <w:sz w:val="20"/>
          <w:szCs w:val="20"/>
        </w:rPr>
        <w:t xml:space="preserve">s to achieve </w:t>
      </w:r>
      <w:r w:rsidR="00C94E7A">
        <w:rPr>
          <w:rFonts w:ascii="Book Antiqua" w:hAnsi="Book Antiqua"/>
          <w:color w:val="000000"/>
          <w:sz w:val="20"/>
          <w:szCs w:val="20"/>
        </w:rPr>
        <w:br/>
      </w:r>
      <w:r w:rsidRPr="00C94E7A">
        <w:rPr>
          <w:rFonts w:ascii="Book Antiqua" w:hAnsi="Book Antiqua"/>
          <w:i/>
          <w:color w:val="000000"/>
          <w:sz w:val="20"/>
          <w:szCs w:val="20"/>
        </w:rPr>
        <w:t>Tourism 2020</w:t>
      </w:r>
      <w:r>
        <w:rPr>
          <w:rFonts w:ascii="Book Antiqua" w:hAnsi="Book Antiqua"/>
          <w:color w:val="000000"/>
          <w:sz w:val="20"/>
          <w:szCs w:val="20"/>
        </w:rPr>
        <w:t xml:space="preserve"> goals;</w:t>
      </w:r>
    </w:p>
    <w:p w:rsidR="003D0BF9" w:rsidRDefault="00787B77" w:rsidP="00F37EE6">
      <w:pPr>
        <w:pStyle w:val="ListParagraph"/>
        <w:numPr>
          <w:ilvl w:val="0"/>
          <w:numId w:val="40"/>
        </w:numPr>
        <w:spacing w:after="0" w:line="240" w:lineRule="auto"/>
        <w:ind w:left="547"/>
        <w:rPr>
          <w:rFonts w:ascii="Book Antiqua" w:hAnsi="Book Antiqua"/>
          <w:color w:val="000000"/>
          <w:sz w:val="20"/>
          <w:szCs w:val="20"/>
        </w:rPr>
      </w:pPr>
      <w:r>
        <w:rPr>
          <w:rFonts w:ascii="Book Antiqua" w:hAnsi="Book Antiqua"/>
          <w:color w:val="000000"/>
          <w:sz w:val="20"/>
          <w:szCs w:val="20"/>
        </w:rPr>
        <w:t>i</w:t>
      </w:r>
      <w:r w:rsidR="003D0BF9">
        <w:rPr>
          <w:rFonts w:ascii="Book Antiqua" w:hAnsi="Book Antiqua"/>
          <w:color w:val="000000"/>
          <w:sz w:val="20"/>
          <w:szCs w:val="20"/>
        </w:rPr>
        <w:t>nvesting in markets that present th</w:t>
      </w:r>
      <w:r>
        <w:rPr>
          <w:rFonts w:ascii="Book Antiqua" w:hAnsi="Book Antiqua"/>
          <w:color w:val="000000"/>
          <w:sz w:val="20"/>
          <w:szCs w:val="20"/>
        </w:rPr>
        <w:t>e greatest potential for growth;</w:t>
      </w:r>
    </w:p>
    <w:p w:rsidR="003D0BF9" w:rsidRDefault="00787B77" w:rsidP="00F37EE6">
      <w:pPr>
        <w:pStyle w:val="ListParagraph"/>
        <w:numPr>
          <w:ilvl w:val="0"/>
          <w:numId w:val="40"/>
        </w:numPr>
        <w:spacing w:after="0" w:line="240" w:lineRule="auto"/>
        <w:ind w:left="547"/>
        <w:rPr>
          <w:rFonts w:ascii="Book Antiqua" w:hAnsi="Book Antiqua"/>
          <w:color w:val="000000"/>
          <w:sz w:val="20"/>
          <w:szCs w:val="20"/>
        </w:rPr>
      </w:pPr>
      <w:r>
        <w:rPr>
          <w:rFonts w:ascii="Book Antiqua" w:hAnsi="Book Antiqua"/>
          <w:color w:val="000000"/>
          <w:sz w:val="20"/>
          <w:szCs w:val="20"/>
        </w:rPr>
        <w:t>d</w:t>
      </w:r>
      <w:r w:rsidR="003D0BF9">
        <w:rPr>
          <w:rFonts w:ascii="Book Antiqua" w:hAnsi="Book Antiqua"/>
          <w:color w:val="000000"/>
          <w:sz w:val="20"/>
          <w:szCs w:val="20"/>
        </w:rPr>
        <w:t>riving conversion by engaging consumers and making it easier to choo</w:t>
      </w:r>
      <w:r>
        <w:rPr>
          <w:rFonts w:ascii="Book Antiqua" w:hAnsi="Book Antiqua"/>
          <w:color w:val="000000"/>
          <w:sz w:val="20"/>
          <w:szCs w:val="20"/>
        </w:rPr>
        <w:t>se and book a trip to Australia;</w:t>
      </w:r>
    </w:p>
    <w:p w:rsidR="003D0BF9" w:rsidRDefault="00787B77" w:rsidP="00F37EE6">
      <w:pPr>
        <w:pStyle w:val="ListParagraph"/>
        <w:numPr>
          <w:ilvl w:val="0"/>
          <w:numId w:val="40"/>
        </w:numPr>
        <w:spacing w:after="0" w:line="240" w:lineRule="auto"/>
        <w:ind w:left="547"/>
        <w:rPr>
          <w:rFonts w:ascii="Book Antiqua" w:hAnsi="Book Antiqua"/>
          <w:color w:val="000000"/>
          <w:sz w:val="20"/>
          <w:szCs w:val="20"/>
        </w:rPr>
      </w:pPr>
      <w:r>
        <w:rPr>
          <w:rFonts w:ascii="Book Antiqua" w:hAnsi="Book Antiqua"/>
          <w:color w:val="000000"/>
          <w:sz w:val="20"/>
          <w:szCs w:val="20"/>
        </w:rPr>
        <w:t>g</w:t>
      </w:r>
      <w:r w:rsidR="003D0BF9">
        <w:rPr>
          <w:rFonts w:ascii="Book Antiqua" w:hAnsi="Book Antiqua"/>
          <w:color w:val="000000"/>
          <w:sz w:val="20"/>
          <w:szCs w:val="20"/>
        </w:rPr>
        <w:t>rowin</w:t>
      </w:r>
      <w:r>
        <w:rPr>
          <w:rFonts w:ascii="Book Antiqua" w:hAnsi="Book Antiqua"/>
          <w:color w:val="000000"/>
          <w:sz w:val="20"/>
          <w:szCs w:val="20"/>
        </w:rPr>
        <w:t>g and extending partnerships;</w:t>
      </w:r>
    </w:p>
    <w:p w:rsidR="003D0BF9" w:rsidRDefault="00787B77" w:rsidP="00F37EE6">
      <w:pPr>
        <w:pStyle w:val="ListParagraph"/>
        <w:numPr>
          <w:ilvl w:val="0"/>
          <w:numId w:val="40"/>
        </w:numPr>
        <w:spacing w:after="0" w:line="240" w:lineRule="auto"/>
        <w:ind w:left="547"/>
        <w:rPr>
          <w:rFonts w:ascii="Book Antiqua" w:hAnsi="Book Antiqua"/>
          <w:color w:val="000000"/>
          <w:sz w:val="20"/>
          <w:szCs w:val="20"/>
        </w:rPr>
      </w:pPr>
      <w:r>
        <w:rPr>
          <w:rFonts w:ascii="Book Antiqua" w:hAnsi="Book Antiqua"/>
          <w:color w:val="000000"/>
          <w:sz w:val="20"/>
          <w:szCs w:val="20"/>
        </w:rPr>
        <w:t>d</w:t>
      </w:r>
      <w:r w:rsidR="003D0BF9">
        <w:rPr>
          <w:rFonts w:ascii="Book Antiqua" w:hAnsi="Book Antiqua"/>
          <w:color w:val="000000"/>
          <w:sz w:val="20"/>
          <w:szCs w:val="20"/>
        </w:rPr>
        <w:t>riving yield by targeting high spending consumers, including increased focus on b</w:t>
      </w:r>
      <w:r>
        <w:rPr>
          <w:rFonts w:ascii="Book Antiqua" w:hAnsi="Book Antiqua"/>
          <w:color w:val="000000"/>
          <w:sz w:val="20"/>
          <w:szCs w:val="20"/>
        </w:rPr>
        <w:t>usiness events and major events; and</w:t>
      </w:r>
    </w:p>
    <w:p w:rsidR="003D0BF9" w:rsidRPr="00201428" w:rsidRDefault="00787B77" w:rsidP="00F37EE6">
      <w:pPr>
        <w:pStyle w:val="ListParagraph"/>
        <w:numPr>
          <w:ilvl w:val="0"/>
          <w:numId w:val="40"/>
        </w:numPr>
        <w:spacing w:after="0" w:line="240" w:lineRule="auto"/>
        <w:ind w:left="547"/>
        <w:rPr>
          <w:rFonts w:ascii="Book Antiqua" w:hAnsi="Book Antiqua"/>
          <w:color w:val="000000"/>
          <w:sz w:val="20"/>
          <w:szCs w:val="20"/>
        </w:rPr>
      </w:pPr>
      <w:r>
        <w:rPr>
          <w:rFonts w:ascii="Book Antiqua" w:hAnsi="Book Antiqua"/>
          <w:color w:val="000000"/>
          <w:sz w:val="20"/>
          <w:szCs w:val="20"/>
        </w:rPr>
        <w:t>h</w:t>
      </w:r>
      <w:r w:rsidR="003D0BF9">
        <w:rPr>
          <w:rFonts w:ascii="Book Antiqua" w:hAnsi="Book Antiqua"/>
          <w:color w:val="000000"/>
          <w:sz w:val="20"/>
          <w:szCs w:val="20"/>
        </w:rPr>
        <w:t>eightening capability and productivity of the Tourism Australia team.</w:t>
      </w:r>
    </w:p>
    <w:p w:rsidR="003D0BF9" w:rsidRPr="00201428" w:rsidRDefault="003D0BF9" w:rsidP="003D0BF9">
      <w:pPr>
        <w:pStyle w:val="ListParagraph"/>
        <w:spacing w:after="0" w:line="240" w:lineRule="auto"/>
        <w:rPr>
          <w:rFonts w:ascii="Book Antiqua" w:hAnsi="Book Antiqua"/>
          <w:color w:val="000000"/>
          <w:sz w:val="20"/>
          <w:szCs w:val="20"/>
        </w:rPr>
      </w:pPr>
    </w:p>
    <w:p w:rsidR="003D0BF9" w:rsidRPr="00201428" w:rsidRDefault="003D0BF9" w:rsidP="003D0BF9">
      <w:pPr>
        <w:pStyle w:val="ListParagraph"/>
        <w:spacing w:after="0" w:line="240" w:lineRule="auto"/>
        <w:ind w:left="0"/>
        <w:rPr>
          <w:rFonts w:ascii="Book Antiqua" w:hAnsi="Book Antiqua"/>
          <w:i/>
          <w:color w:val="000000"/>
          <w:sz w:val="20"/>
          <w:szCs w:val="20"/>
        </w:rPr>
      </w:pPr>
      <w:r w:rsidRPr="00201428">
        <w:rPr>
          <w:rFonts w:ascii="Book Antiqua" w:hAnsi="Book Antiqua"/>
          <w:i/>
          <w:color w:val="000000"/>
          <w:sz w:val="20"/>
          <w:szCs w:val="20"/>
        </w:rPr>
        <w:t>Strategies 2015-16</w:t>
      </w:r>
    </w:p>
    <w:p w:rsidR="003D0BF9" w:rsidRPr="00201428" w:rsidRDefault="003D0BF9" w:rsidP="003D0BF9">
      <w:pPr>
        <w:pStyle w:val="ListParagraph"/>
        <w:spacing w:after="0" w:line="240" w:lineRule="auto"/>
        <w:ind w:left="547"/>
        <w:rPr>
          <w:rFonts w:ascii="Book Antiqua" w:hAnsi="Book Antiqua"/>
          <w:color w:val="000000"/>
          <w:sz w:val="20"/>
          <w:szCs w:val="20"/>
        </w:rPr>
      </w:pPr>
    </w:p>
    <w:p w:rsidR="003D0BF9" w:rsidRPr="00201428" w:rsidRDefault="003D0BF9" w:rsidP="003D0BF9">
      <w:pPr>
        <w:spacing w:after="0"/>
        <w:rPr>
          <w:color w:val="000000"/>
        </w:rPr>
      </w:pPr>
      <w:r w:rsidRPr="00201428">
        <w:rPr>
          <w:color w:val="000000"/>
        </w:rPr>
        <w:t xml:space="preserve">Two target customers will </w:t>
      </w:r>
      <w:r>
        <w:rPr>
          <w:color w:val="000000"/>
        </w:rPr>
        <w:t>remain at the core</w:t>
      </w:r>
      <w:r w:rsidRPr="00201428">
        <w:rPr>
          <w:color w:val="000000"/>
        </w:rPr>
        <w:t xml:space="preserve"> of Tourism Australia’s marketing </w:t>
      </w:r>
      <w:r>
        <w:rPr>
          <w:color w:val="000000"/>
        </w:rPr>
        <w:t xml:space="preserve">activities </w:t>
      </w:r>
      <w:r w:rsidRPr="00201428">
        <w:rPr>
          <w:color w:val="000000"/>
        </w:rPr>
        <w:t>– the leisure traveller and the business events traveller.</w:t>
      </w:r>
    </w:p>
    <w:p w:rsidR="003D0BF9" w:rsidRPr="00201428" w:rsidRDefault="003D0BF9" w:rsidP="003D0BF9">
      <w:pPr>
        <w:spacing w:after="0"/>
        <w:rPr>
          <w:color w:val="000000"/>
        </w:rPr>
      </w:pPr>
    </w:p>
    <w:p w:rsidR="003D0BF9" w:rsidRPr="00201428" w:rsidRDefault="003D0BF9" w:rsidP="003D0BF9">
      <w:pPr>
        <w:spacing w:after="0"/>
        <w:rPr>
          <w:color w:val="000000"/>
        </w:rPr>
      </w:pPr>
      <w:r w:rsidRPr="00201428">
        <w:rPr>
          <w:color w:val="000000"/>
        </w:rPr>
        <w:t>Activity will continue to be implemented via three core strategies:</w:t>
      </w:r>
    </w:p>
    <w:p w:rsidR="003D0BF9" w:rsidRPr="00201428" w:rsidRDefault="003D0BF9" w:rsidP="00F37EE6">
      <w:pPr>
        <w:pStyle w:val="ListParagraph"/>
        <w:numPr>
          <w:ilvl w:val="0"/>
          <w:numId w:val="41"/>
        </w:numPr>
        <w:spacing w:before="120" w:after="120"/>
        <w:ind w:left="360" w:hanging="218"/>
        <w:jc w:val="both"/>
        <w:rPr>
          <w:rFonts w:ascii="Book Antiqua" w:hAnsi="Book Antiqua"/>
          <w:color w:val="000000"/>
          <w:sz w:val="20"/>
          <w:szCs w:val="20"/>
        </w:rPr>
      </w:pPr>
      <w:r w:rsidRPr="00201428">
        <w:rPr>
          <w:rFonts w:ascii="Book Antiqua" w:hAnsi="Book Antiqua"/>
          <w:b/>
          <w:color w:val="000000"/>
          <w:sz w:val="20"/>
          <w:szCs w:val="20"/>
        </w:rPr>
        <w:t xml:space="preserve">Customer Focus </w:t>
      </w:r>
      <w:r w:rsidRPr="00201428">
        <w:rPr>
          <w:rFonts w:ascii="Book Antiqua" w:hAnsi="Book Antiqua"/>
          <w:color w:val="000000"/>
          <w:sz w:val="20"/>
          <w:szCs w:val="20"/>
        </w:rPr>
        <w:t>– marketing activity centre</w:t>
      </w:r>
      <w:r>
        <w:rPr>
          <w:rFonts w:ascii="Book Antiqua" w:hAnsi="Book Antiqua"/>
          <w:color w:val="000000"/>
          <w:sz w:val="20"/>
          <w:szCs w:val="20"/>
        </w:rPr>
        <w:t>s</w:t>
      </w:r>
      <w:r w:rsidRPr="00201428">
        <w:rPr>
          <w:rFonts w:ascii="Book Antiqua" w:hAnsi="Book Antiqua"/>
          <w:color w:val="000000"/>
          <w:sz w:val="20"/>
          <w:szCs w:val="20"/>
        </w:rPr>
        <w:t xml:space="preserve"> on the target customer. </w:t>
      </w:r>
    </w:p>
    <w:p w:rsidR="003D0BF9" w:rsidRPr="00201428" w:rsidRDefault="003D0BF9" w:rsidP="00F37EE6">
      <w:pPr>
        <w:pStyle w:val="ListParagraph"/>
        <w:numPr>
          <w:ilvl w:val="0"/>
          <w:numId w:val="42"/>
        </w:numPr>
        <w:spacing w:before="120" w:after="120"/>
        <w:ind w:left="360" w:hanging="218"/>
        <w:rPr>
          <w:rFonts w:ascii="Book Antiqua" w:hAnsi="Book Antiqua"/>
          <w:color w:val="000000"/>
          <w:sz w:val="20"/>
          <w:szCs w:val="20"/>
        </w:rPr>
      </w:pPr>
      <w:r w:rsidRPr="00201428">
        <w:rPr>
          <w:rFonts w:ascii="Book Antiqua" w:hAnsi="Book Antiqua"/>
          <w:b/>
          <w:color w:val="000000"/>
          <w:sz w:val="20"/>
          <w:szCs w:val="20"/>
        </w:rPr>
        <w:t xml:space="preserve">Partnership Focus </w:t>
      </w:r>
      <w:r w:rsidRPr="00201428">
        <w:rPr>
          <w:rFonts w:ascii="Book Antiqua" w:hAnsi="Book Antiqua"/>
          <w:color w:val="000000"/>
          <w:sz w:val="20"/>
          <w:szCs w:val="20"/>
        </w:rPr>
        <w:t xml:space="preserve">– partnerships engage target customers, drive bookings and yield and facilitate industry development. </w:t>
      </w:r>
    </w:p>
    <w:p w:rsidR="003D0BF9" w:rsidRPr="001E2C1A" w:rsidRDefault="003D0BF9" w:rsidP="00F37EE6">
      <w:pPr>
        <w:pStyle w:val="ListParagraph"/>
        <w:numPr>
          <w:ilvl w:val="0"/>
          <w:numId w:val="41"/>
        </w:numPr>
        <w:spacing w:before="120" w:after="120"/>
        <w:ind w:left="360" w:hanging="218"/>
        <w:jc w:val="both"/>
        <w:rPr>
          <w:rFonts w:ascii="Book Antiqua" w:hAnsi="Book Antiqua"/>
          <w:color w:val="000000"/>
          <w:sz w:val="20"/>
          <w:szCs w:val="20"/>
        </w:rPr>
      </w:pPr>
      <w:r w:rsidRPr="00201428">
        <w:rPr>
          <w:rFonts w:ascii="Book Antiqua" w:hAnsi="Book Antiqua"/>
          <w:b/>
          <w:color w:val="000000"/>
          <w:sz w:val="20"/>
          <w:szCs w:val="20"/>
        </w:rPr>
        <w:t xml:space="preserve">Government Focused </w:t>
      </w:r>
      <w:r w:rsidR="0009791B">
        <w:rPr>
          <w:rFonts w:ascii="Book Antiqua" w:hAnsi="Book Antiqua"/>
          <w:color w:val="000000"/>
          <w:sz w:val="20"/>
          <w:szCs w:val="20"/>
        </w:rPr>
        <w:t xml:space="preserve">– committed to a whole of </w:t>
      </w:r>
      <w:r w:rsidRPr="00201428">
        <w:rPr>
          <w:rFonts w:ascii="Book Antiqua" w:hAnsi="Book Antiqua"/>
          <w:color w:val="000000"/>
          <w:sz w:val="20"/>
          <w:szCs w:val="20"/>
        </w:rPr>
        <w:t xml:space="preserve">government approach. </w:t>
      </w:r>
    </w:p>
    <w:p w:rsidR="003D0BF9" w:rsidRPr="00201428" w:rsidRDefault="003D0BF9" w:rsidP="003D0BF9">
      <w:pPr>
        <w:pStyle w:val="ListParagraph"/>
        <w:spacing w:before="120" w:after="120"/>
        <w:ind w:left="0"/>
        <w:jc w:val="both"/>
        <w:rPr>
          <w:rFonts w:ascii="Book Antiqua" w:hAnsi="Book Antiqua"/>
          <w:color w:val="000000"/>
          <w:sz w:val="20"/>
          <w:szCs w:val="20"/>
        </w:rPr>
      </w:pPr>
    </w:p>
    <w:p w:rsidR="003D0BF9" w:rsidRPr="00201428" w:rsidRDefault="003D0BF9" w:rsidP="003D0BF9">
      <w:pPr>
        <w:pStyle w:val="ListParagraph"/>
        <w:spacing w:before="120" w:after="120"/>
        <w:ind w:left="0"/>
        <w:jc w:val="both"/>
        <w:rPr>
          <w:rFonts w:ascii="Book Antiqua" w:hAnsi="Book Antiqua"/>
          <w:color w:val="000000"/>
          <w:sz w:val="20"/>
          <w:szCs w:val="20"/>
        </w:rPr>
      </w:pPr>
      <w:r>
        <w:rPr>
          <w:rFonts w:ascii="Book Antiqua" w:hAnsi="Book Antiqua"/>
          <w:color w:val="000000"/>
          <w:sz w:val="20"/>
          <w:szCs w:val="20"/>
        </w:rPr>
        <w:t xml:space="preserve">Tourism Australia </w:t>
      </w:r>
      <w:r w:rsidRPr="00201428">
        <w:rPr>
          <w:rFonts w:ascii="Book Antiqua" w:hAnsi="Book Antiqua"/>
          <w:color w:val="000000"/>
          <w:sz w:val="20"/>
          <w:szCs w:val="20"/>
        </w:rPr>
        <w:t xml:space="preserve">will focus on markets that represent the greatest long-term expenditure growth potential to 2020. Criteria will be latent demand, current and short-term performance, expected changes in aviation capacity and the marketing emphasis of industry and state and territory tourism organisations.  In 2015-16 markets will be categorised as:  </w:t>
      </w:r>
    </w:p>
    <w:p w:rsidR="003D0BF9" w:rsidRPr="00201428" w:rsidRDefault="0009791B" w:rsidP="00F37EE6">
      <w:pPr>
        <w:pStyle w:val="ListParagraph"/>
        <w:numPr>
          <w:ilvl w:val="0"/>
          <w:numId w:val="40"/>
        </w:numPr>
        <w:spacing w:after="0" w:line="240" w:lineRule="auto"/>
        <w:ind w:left="547"/>
        <w:rPr>
          <w:rFonts w:ascii="Book Antiqua" w:hAnsi="Book Antiqua"/>
          <w:color w:val="000000"/>
          <w:sz w:val="20"/>
          <w:szCs w:val="20"/>
        </w:rPr>
      </w:pPr>
      <w:r>
        <w:rPr>
          <w:rFonts w:ascii="Book Antiqua" w:hAnsi="Book Antiqua"/>
          <w:b/>
          <w:color w:val="000000"/>
          <w:sz w:val="20"/>
          <w:szCs w:val="20"/>
        </w:rPr>
        <w:t>w</w:t>
      </w:r>
      <w:r w:rsidR="003D0BF9" w:rsidRPr="0009791B">
        <w:rPr>
          <w:rFonts w:ascii="Book Antiqua" w:hAnsi="Book Antiqua"/>
          <w:b/>
          <w:color w:val="000000"/>
          <w:sz w:val="20"/>
          <w:szCs w:val="20"/>
        </w:rPr>
        <w:t>orth over $5 billion by 2020</w:t>
      </w:r>
      <w:r w:rsidR="003D0BF9" w:rsidRPr="00201428">
        <w:rPr>
          <w:rFonts w:ascii="Book Antiqua" w:hAnsi="Book Antiqua"/>
          <w:color w:val="000000"/>
          <w:sz w:val="20"/>
          <w:szCs w:val="20"/>
        </w:rPr>
        <w:t xml:space="preserve"> – Greater China (China</w:t>
      </w:r>
      <w:r w:rsidR="003A7134" w:rsidRPr="0009791B">
        <w:rPr>
          <w:vertAlign w:val="superscript"/>
        </w:rPr>
        <w:t>1</w:t>
      </w:r>
      <w:r w:rsidR="003A7134" w:rsidRPr="003A7134">
        <w:rPr>
          <w:rStyle w:val="FootnoteReference"/>
          <w:rFonts w:ascii="Book Antiqua" w:hAnsi="Book Antiqua"/>
          <w:color w:val="FFFFFF" w:themeColor="background1"/>
          <w:sz w:val="20"/>
          <w:szCs w:val="20"/>
        </w:rPr>
        <w:footnoteReference w:id="2"/>
      </w:r>
      <w:r w:rsidR="003D0BF9" w:rsidRPr="00201428">
        <w:rPr>
          <w:rFonts w:ascii="Book Antiqua" w:hAnsi="Book Antiqua"/>
          <w:color w:val="000000"/>
          <w:sz w:val="20"/>
          <w:szCs w:val="20"/>
        </w:rPr>
        <w:t>and Hong Kong), North America (USA</w:t>
      </w:r>
      <w:r w:rsidR="003A7134" w:rsidRPr="0009791B">
        <w:rPr>
          <w:vertAlign w:val="superscript"/>
        </w:rPr>
        <w:t>1</w:t>
      </w:r>
      <w:r w:rsidR="003D0BF9" w:rsidRPr="00201428">
        <w:rPr>
          <w:rFonts w:ascii="Book Antiqua" w:hAnsi="Book Antiqua"/>
          <w:color w:val="000000"/>
          <w:sz w:val="20"/>
          <w:szCs w:val="20"/>
        </w:rPr>
        <w:t xml:space="preserve"> and Canada), United Kingdom</w:t>
      </w:r>
      <w:r>
        <w:rPr>
          <w:rFonts w:ascii="Book Antiqua" w:hAnsi="Book Antiqua"/>
          <w:color w:val="000000"/>
          <w:sz w:val="20"/>
          <w:szCs w:val="20"/>
        </w:rPr>
        <w:t>;</w:t>
      </w:r>
    </w:p>
    <w:p w:rsidR="003D0BF9" w:rsidRPr="00201428" w:rsidRDefault="0009791B" w:rsidP="00F37EE6">
      <w:pPr>
        <w:pStyle w:val="ListParagraph"/>
        <w:numPr>
          <w:ilvl w:val="0"/>
          <w:numId w:val="40"/>
        </w:numPr>
        <w:spacing w:after="0" w:line="240" w:lineRule="auto"/>
        <w:ind w:left="547"/>
        <w:rPr>
          <w:rFonts w:ascii="Book Antiqua" w:hAnsi="Book Antiqua"/>
          <w:color w:val="000000"/>
          <w:sz w:val="20"/>
          <w:szCs w:val="20"/>
        </w:rPr>
      </w:pPr>
      <w:r>
        <w:rPr>
          <w:rFonts w:ascii="Book Antiqua" w:hAnsi="Book Antiqua"/>
          <w:b/>
          <w:color w:val="000000"/>
          <w:sz w:val="20"/>
          <w:szCs w:val="20"/>
        </w:rPr>
        <w:t>w</w:t>
      </w:r>
      <w:r w:rsidR="003D0BF9" w:rsidRPr="0009791B">
        <w:rPr>
          <w:rFonts w:ascii="Book Antiqua" w:hAnsi="Book Antiqua"/>
          <w:b/>
          <w:color w:val="000000"/>
          <w:sz w:val="20"/>
          <w:szCs w:val="20"/>
        </w:rPr>
        <w:t>orth over $2.5 billion by 2020</w:t>
      </w:r>
      <w:r w:rsidR="003D0BF9" w:rsidRPr="00201428">
        <w:rPr>
          <w:rFonts w:ascii="Book Antiqua" w:hAnsi="Book Antiqua"/>
          <w:color w:val="000000"/>
          <w:sz w:val="20"/>
          <w:szCs w:val="20"/>
        </w:rPr>
        <w:t xml:space="preserve"> – Singapore, Malaysia</w:t>
      </w:r>
      <w:r w:rsidR="003D0BF9">
        <w:rPr>
          <w:rFonts w:ascii="Book Antiqua" w:hAnsi="Book Antiqua"/>
          <w:color w:val="000000"/>
          <w:sz w:val="20"/>
          <w:szCs w:val="20"/>
        </w:rPr>
        <w:t>,</w:t>
      </w:r>
      <w:r w:rsidR="003D0BF9" w:rsidRPr="00201428">
        <w:rPr>
          <w:rFonts w:ascii="Book Antiqua" w:hAnsi="Book Antiqua"/>
          <w:color w:val="000000"/>
          <w:sz w:val="20"/>
          <w:szCs w:val="20"/>
        </w:rPr>
        <w:t xml:space="preserve"> </w:t>
      </w:r>
      <w:r w:rsidR="002F518C">
        <w:rPr>
          <w:rFonts w:ascii="Book Antiqua" w:hAnsi="Book Antiqua"/>
          <w:color w:val="000000"/>
          <w:sz w:val="20"/>
          <w:szCs w:val="20"/>
        </w:rPr>
        <w:t>the Republic of</w:t>
      </w:r>
      <w:r w:rsidR="003D0BF9" w:rsidRPr="00201428">
        <w:rPr>
          <w:rFonts w:ascii="Book Antiqua" w:hAnsi="Book Antiqua"/>
          <w:color w:val="000000"/>
          <w:sz w:val="20"/>
          <w:szCs w:val="20"/>
        </w:rPr>
        <w:t xml:space="preserve"> Korea, New Zealand</w:t>
      </w:r>
      <w:r w:rsidR="00C94E7A" w:rsidRPr="0009791B">
        <w:rPr>
          <w:vertAlign w:val="superscript"/>
        </w:rPr>
        <w:t>1</w:t>
      </w:r>
      <w:r w:rsidR="00C94E7A">
        <w:rPr>
          <w:rFonts w:ascii="Book Antiqua" w:hAnsi="Book Antiqua"/>
          <w:color w:val="000000"/>
          <w:sz w:val="20"/>
          <w:szCs w:val="20"/>
        </w:rPr>
        <w:t>;</w:t>
      </w:r>
    </w:p>
    <w:p w:rsidR="003D0BF9" w:rsidRPr="00201428" w:rsidRDefault="0009791B" w:rsidP="00F37EE6">
      <w:pPr>
        <w:pStyle w:val="ListParagraph"/>
        <w:numPr>
          <w:ilvl w:val="0"/>
          <w:numId w:val="40"/>
        </w:numPr>
        <w:spacing w:after="0" w:line="240" w:lineRule="auto"/>
        <w:ind w:left="547"/>
        <w:rPr>
          <w:rFonts w:ascii="Book Antiqua" w:hAnsi="Book Antiqua"/>
          <w:color w:val="000000"/>
          <w:sz w:val="20"/>
          <w:szCs w:val="20"/>
        </w:rPr>
      </w:pPr>
      <w:r>
        <w:rPr>
          <w:rFonts w:ascii="Book Antiqua" w:hAnsi="Book Antiqua"/>
          <w:b/>
          <w:color w:val="000000"/>
          <w:sz w:val="20"/>
          <w:szCs w:val="20"/>
        </w:rPr>
        <w:t>w</w:t>
      </w:r>
      <w:r w:rsidR="003D0BF9" w:rsidRPr="0009791B">
        <w:rPr>
          <w:rFonts w:ascii="Book Antiqua" w:hAnsi="Book Antiqua"/>
          <w:b/>
          <w:color w:val="000000"/>
          <w:sz w:val="20"/>
          <w:szCs w:val="20"/>
        </w:rPr>
        <w:t>orth over $1 billion by 2020</w:t>
      </w:r>
      <w:r w:rsidR="003D0BF9" w:rsidRPr="00201428">
        <w:rPr>
          <w:rFonts w:ascii="Book Antiqua" w:hAnsi="Book Antiqua"/>
          <w:color w:val="000000"/>
          <w:sz w:val="20"/>
          <w:szCs w:val="20"/>
        </w:rPr>
        <w:t xml:space="preserve"> – Continental Europe (Germany, Italy, France), India, Indonesia, Japan</w:t>
      </w:r>
      <w:r>
        <w:rPr>
          <w:rFonts w:ascii="Book Antiqua" w:hAnsi="Book Antiqua"/>
          <w:color w:val="000000"/>
          <w:sz w:val="20"/>
          <w:szCs w:val="20"/>
        </w:rPr>
        <w:t>; and</w:t>
      </w:r>
    </w:p>
    <w:p w:rsidR="003D0BF9" w:rsidRPr="00201428" w:rsidRDefault="0009791B" w:rsidP="00F37EE6">
      <w:pPr>
        <w:pStyle w:val="ListParagraph"/>
        <w:numPr>
          <w:ilvl w:val="0"/>
          <w:numId w:val="40"/>
        </w:numPr>
        <w:spacing w:after="0" w:line="240" w:lineRule="auto"/>
        <w:ind w:left="547"/>
        <w:rPr>
          <w:rFonts w:ascii="Book Antiqua" w:hAnsi="Book Antiqua"/>
          <w:color w:val="000000"/>
          <w:sz w:val="20"/>
          <w:szCs w:val="20"/>
        </w:rPr>
      </w:pPr>
      <w:r>
        <w:rPr>
          <w:rFonts w:ascii="Book Antiqua" w:hAnsi="Book Antiqua"/>
          <w:b/>
          <w:color w:val="000000"/>
          <w:sz w:val="20"/>
          <w:szCs w:val="20"/>
        </w:rPr>
        <w:t>r</w:t>
      </w:r>
      <w:r w:rsidR="003D0BF9" w:rsidRPr="0009791B">
        <w:rPr>
          <w:rFonts w:ascii="Book Antiqua" w:hAnsi="Book Antiqua"/>
          <w:b/>
          <w:color w:val="000000"/>
          <w:sz w:val="20"/>
          <w:szCs w:val="20"/>
        </w:rPr>
        <w:t>est of world</w:t>
      </w:r>
      <w:r>
        <w:rPr>
          <w:rFonts w:ascii="Book Antiqua" w:hAnsi="Book Antiqua"/>
          <w:b/>
          <w:color w:val="000000"/>
          <w:sz w:val="20"/>
          <w:szCs w:val="20"/>
        </w:rPr>
        <w:t xml:space="preserve"> – </w:t>
      </w:r>
      <w:r w:rsidR="003D0BF9" w:rsidRPr="00201428">
        <w:rPr>
          <w:rFonts w:ascii="Book Antiqua" w:hAnsi="Book Antiqua"/>
          <w:color w:val="000000"/>
          <w:sz w:val="20"/>
          <w:szCs w:val="20"/>
        </w:rPr>
        <w:t>Brazil</w:t>
      </w:r>
      <w:r>
        <w:rPr>
          <w:rFonts w:ascii="Book Antiqua" w:hAnsi="Book Antiqua"/>
          <w:color w:val="000000"/>
          <w:sz w:val="20"/>
          <w:szCs w:val="20"/>
        </w:rPr>
        <w:t>.</w:t>
      </w:r>
    </w:p>
    <w:p w:rsidR="003D0BF9" w:rsidRPr="00201428" w:rsidRDefault="003D0BF9" w:rsidP="003D0BF9">
      <w:pPr>
        <w:spacing w:after="120"/>
        <w:rPr>
          <w:color w:val="000000"/>
        </w:rPr>
      </w:pPr>
      <w:r w:rsidRPr="00201428">
        <w:rPr>
          <w:color w:val="000000"/>
        </w:rPr>
        <w:lastRenderedPageBreak/>
        <w:t xml:space="preserve">Marketing communications will continue under the </w:t>
      </w:r>
      <w:r w:rsidRPr="00201428">
        <w:rPr>
          <w:i/>
          <w:color w:val="000000"/>
        </w:rPr>
        <w:t>There’s nothing like Australia</w:t>
      </w:r>
      <w:r w:rsidRPr="00201428">
        <w:rPr>
          <w:color w:val="000000"/>
        </w:rPr>
        <w:t xml:space="preserve"> campaign umbrella and will lead with the best of Australia’s tourism experiences.   Messaging will focus on extending Australia’s growing food and wine credentials through continued investment in </w:t>
      </w:r>
      <w:r w:rsidRPr="00201428">
        <w:rPr>
          <w:i/>
          <w:color w:val="000000"/>
        </w:rPr>
        <w:t>Restaurant Australia</w:t>
      </w:r>
      <w:r w:rsidRPr="00201428">
        <w:rPr>
          <w:color w:val="000000"/>
        </w:rPr>
        <w:t>; reclaiming Australia’s advantage around beaches, coastal and aquatic nature; and reinforcing the breadth of Australia’s Indigenous offering. The aim will be to raise the urgency to visit, increase knowledge and build a strong image of what Australia has to offer global travellers.</w:t>
      </w:r>
    </w:p>
    <w:p w:rsidR="003D0BF9" w:rsidRPr="00201428" w:rsidRDefault="003D0BF9" w:rsidP="003D0BF9">
      <w:pPr>
        <w:spacing w:after="120"/>
        <w:rPr>
          <w:color w:val="000000"/>
        </w:rPr>
      </w:pPr>
      <w:r w:rsidRPr="00201428">
        <w:rPr>
          <w:color w:val="000000"/>
        </w:rPr>
        <w:t>Research undertaken in 2014 found that Australia’s events and major events have significant potential to further differentiate Australia’s tourism offerings and drive visitation and increased spend by consumers. Tourism Australia will increase emphasis on events in its marketing activity during 2015-16.</w:t>
      </w:r>
    </w:p>
    <w:p w:rsidR="003D0BF9" w:rsidRPr="00201428" w:rsidRDefault="003D0BF9" w:rsidP="003D0BF9">
      <w:pPr>
        <w:rPr>
          <w:color w:val="000000"/>
        </w:rPr>
      </w:pPr>
      <w:r w:rsidRPr="00201428">
        <w:rPr>
          <w:color w:val="000000"/>
        </w:rPr>
        <w:t xml:space="preserve">Resources and effort will continue to increase in digital and content marketing, led by a revitalised australia.com (a new version of the site was launched in March 2015). Tourism Australia’s digital and social marketing emphasis will be to personalise, socialise and mobilise content to make it more relevant and timely by using insights from relevant data and analytics. </w:t>
      </w:r>
    </w:p>
    <w:p w:rsidR="003D0BF9" w:rsidRPr="00201428" w:rsidRDefault="003D0BF9" w:rsidP="003D0BF9">
      <w:pPr>
        <w:rPr>
          <w:color w:val="000000"/>
        </w:rPr>
      </w:pPr>
      <w:r w:rsidRPr="00201428">
        <w:rPr>
          <w:color w:val="000000"/>
        </w:rPr>
        <w:t>Tourism Australia’s business events activity will continue to focus on attracting high yielding visitors to Australia. Following a review in 2014, a new approach which concentrates on two sectors – associations and incentives – will be undertaken from 2015</w:t>
      </w:r>
      <w:r>
        <w:rPr>
          <w:color w:val="000000"/>
        </w:rPr>
        <w:t>, including a</w:t>
      </w:r>
      <w:r w:rsidRPr="00201428">
        <w:rPr>
          <w:color w:val="000000"/>
        </w:rPr>
        <w:t xml:space="preserve"> differentiated marketing approach for each of these streams. </w:t>
      </w:r>
    </w:p>
    <w:p w:rsidR="009131E0" w:rsidRDefault="009131E0" w:rsidP="009131E0">
      <w:pPr>
        <w:pStyle w:val="Exampletext"/>
      </w:pPr>
    </w:p>
    <w:p w:rsidR="009131E0" w:rsidRDefault="009131E0" w:rsidP="00A44AA4">
      <w:pPr>
        <w:pStyle w:val="Heading3"/>
        <w:spacing w:before="0"/>
      </w:pPr>
      <w:r>
        <w:br w:type="page"/>
      </w:r>
      <w:r>
        <w:lastRenderedPageBreak/>
        <w:t>1.2</w:t>
      </w:r>
      <w:r>
        <w:tab/>
        <w:t>Entity resource statement</w:t>
      </w:r>
    </w:p>
    <w:p w:rsidR="009131E0" w:rsidRDefault="00524FA1" w:rsidP="00524FA1">
      <w:r>
        <w:t>Table 1.1 shows the total resources from all sources. The table summarises how resources will be applied by outcome and by administered and departmental classification.</w:t>
      </w:r>
    </w:p>
    <w:p w:rsidR="00524FA1" w:rsidRDefault="00524FA1" w:rsidP="00524FA1">
      <w:pPr>
        <w:pStyle w:val="TableHeading"/>
        <w:rPr>
          <w:sz w:val="20"/>
        </w:rPr>
      </w:pPr>
      <w:r w:rsidRPr="005C4BEE">
        <w:rPr>
          <w:sz w:val="20"/>
        </w:rPr>
        <w:t xml:space="preserve">Table 1.1: </w:t>
      </w:r>
      <w:r>
        <w:rPr>
          <w:sz w:val="20"/>
        </w:rPr>
        <w:t xml:space="preserve">Corporate Entity Tourism Australia </w:t>
      </w:r>
      <w:r w:rsidRPr="005C4BEE">
        <w:rPr>
          <w:sz w:val="20"/>
        </w:rPr>
        <w:t>resource statement — Budget</w:t>
      </w:r>
      <w:r>
        <w:rPr>
          <w:sz w:val="20"/>
        </w:rPr>
        <w:t xml:space="preserve"> e</w:t>
      </w:r>
      <w:r w:rsidRPr="005C4BEE">
        <w:rPr>
          <w:sz w:val="20"/>
        </w:rPr>
        <w:t xml:space="preserve">stimates for </w:t>
      </w:r>
      <w:r>
        <w:rPr>
          <w:sz w:val="20"/>
        </w:rPr>
        <w:t>2015</w:t>
      </w:r>
      <w:r>
        <w:rPr>
          <w:sz w:val="20"/>
        </w:rPr>
        <w:noBreakHyphen/>
        <w:t>16</w:t>
      </w:r>
      <w:r w:rsidRPr="005C4BEE">
        <w:rPr>
          <w:sz w:val="20"/>
        </w:rPr>
        <w:t xml:space="preserve"> as at Budget May </w:t>
      </w:r>
      <w:r>
        <w:rPr>
          <w:sz w:val="20"/>
        </w:rPr>
        <w:t>2015</w:t>
      </w:r>
    </w:p>
    <w:p w:rsidR="009131E0" w:rsidRDefault="00833238" w:rsidP="009131E0">
      <w:pPr>
        <w:pStyle w:val="TableGraphic"/>
      </w:pPr>
      <w:r>
        <w:pict>
          <v:shape id="_x0000_i1114" type="#_x0000_t75" style="width:385.25pt;height:253.4pt">
            <v:imagedata r:id="rId195" o:title=""/>
          </v:shape>
        </w:pict>
      </w:r>
    </w:p>
    <w:p w:rsidR="003149D2" w:rsidRDefault="003149D2" w:rsidP="00F37EE6">
      <w:pPr>
        <w:pStyle w:val="ChartandTableFootnote"/>
        <w:numPr>
          <w:ilvl w:val="0"/>
          <w:numId w:val="49"/>
        </w:numPr>
        <w:ind w:left="284" w:hanging="284"/>
      </w:pPr>
      <w:r w:rsidRPr="003149D2">
        <w:rPr>
          <w:i/>
        </w:rPr>
        <w:t>Appropriation Bill (No. 1) 2015-16</w:t>
      </w:r>
      <w:r w:rsidR="00290639">
        <w:rPr>
          <w:i/>
        </w:rPr>
        <w:t xml:space="preserve"> </w:t>
      </w:r>
      <w:r w:rsidR="00290639" w:rsidRPr="00480341">
        <w:t>and</w:t>
      </w:r>
      <w:r w:rsidR="00290639">
        <w:rPr>
          <w:i/>
        </w:rPr>
        <w:t xml:space="preserve"> Appropriation Bill (No</w:t>
      </w:r>
      <w:r>
        <w:t>.</w:t>
      </w:r>
      <w:r w:rsidR="00290639">
        <w:t xml:space="preserve"> 3); includes funding for prior year foreign exchange losses of $9.115 million.</w:t>
      </w:r>
    </w:p>
    <w:p w:rsidR="00DB041B" w:rsidRPr="003149D2" w:rsidRDefault="00DB041B" w:rsidP="00A44AA4">
      <w:pPr>
        <w:pStyle w:val="Heading3"/>
        <w:spacing w:before="0"/>
      </w:pPr>
      <w:r>
        <w:br w:type="page"/>
      </w:r>
      <w:r>
        <w:lastRenderedPageBreak/>
        <w:t>1.3</w:t>
      </w:r>
      <w:r>
        <w:tab/>
        <w:t>Budget measures</w:t>
      </w:r>
    </w:p>
    <w:p w:rsidR="00DB041B" w:rsidRPr="00DB041B" w:rsidRDefault="00DB041B" w:rsidP="00DB041B">
      <w:r w:rsidRPr="00DB041B">
        <w:t xml:space="preserve">Budget </w:t>
      </w:r>
      <w:r>
        <w:t>measures in Part 1 relating to Tourism Australia are detailed in Budget Paper No.2 and are summarised below.</w:t>
      </w:r>
    </w:p>
    <w:p w:rsidR="00DB041B" w:rsidRDefault="00DB041B" w:rsidP="00DB041B">
      <w:pPr>
        <w:pStyle w:val="TableHeadingcontinued"/>
      </w:pPr>
      <w:r>
        <w:t>Table 1.2: Entity 2015-16 Budget measures</w:t>
      </w:r>
    </w:p>
    <w:p w:rsidR="00DB041B" w:rsidRPr="005C4BEE" w:rsidRDefault="00DB041B" w:rsidP="00DB041B">
      <w:pPr>
        <w:pStyle w:val="TableHeadingcontinued"/>
      </w:pPr>
      <w:r w:rsidRPr="005C4BEE">
        <w:t xml:space="preserve">Part 1: Measures announced since the </w:t>
      </w:r>
      <w:r>
        <w:t>2014</w:t>
      </w:r>
      <w:r>
        <w:noBreakHyphen/>
        <w:t>15</w:t>
      </w:r>
      <w:r w:rsidRPr="005C4BEE">
        <w:t xml:space="preserve"> M</w:t>
      </w:r>
      <w:r>
        <w:t>id-Year Economic and Fiscal Outlook (MYEFO)</w:t>
      </w:r>
    </w:p>
    <w:p w:rsidR="00DB041B" w:rsidRDefault="00833238" w:rsidP="00E958A8">
      <w:pPr>
        <w:pStyle w:val="TableHeading"/>
      </w:pPr>
      <w:r>
        <w:pict>
          <v:shape id="_x0000_i1115" type="#_x0000_t75" style="width:386.2pt;height:119.7pt">
            <v:imagedata r:id="rId196" o:title=""/>
          </v:shape>
        </w:pict>
      </w:r>
    </w:p>
    <w:p w:rsidR="00DB041B" w:rsidRPr="00DB041B" w:rsidRDefault="00DB041B" w:rsidP="00DB041B">
      <w:pPr>
        <w:spacing w:after="0" w:line="240" w:lineRule="auto"/>
        <w:jc w:val="left"/>
        <w:rPr>
          <w:rFonts w:ascii="Arial" w:hAnsi="Arial" w:cs="Arial"/>
          <w:color w:val="000000"/>
          <w:sz w:val="16"/>
          <w:szCs w:val="16"/>
        </w:rPr>
      </w:pPr>
      <w:r w:rsidRPr="00DB041B">
        <w:rPr>
          <w:rFonts w:ascii="Arial" w:hAnsi="Arial" w:cs="Arial"/>
          <w:color w:val="000000"/>
          <w:sz w:val="16"/>
          <w:szCs w:val="16"/>
        </w:rPr>
        <w:t xml:space="preserve">Prepared on a Government Finance Statistics (fiscal) basis </w:t>
      </w:r>
      <w:r>
        <w:rPr>
          <w:rFonts w:ascii="Arial" w:hAnsi="Arial" w:cs="Arial"/>
          <w:color w:val="000000"/>
          <w:sz w:val="16"/>
          <w:szCs w:val="16"/>
        </w:rPr>
        <w:t>.</w:t>
      </w:r>
    </w:p>
    <w:p w:rsidR="009131E0" w:rsidRPr="00E958A8" w:rsidRDefault="009131E0" w:rsidP="00061094">
      <w:pPr>
        <w:pStyle w:val="Heading2"/>
        <w:spacing w:before="0"/>
        <w:rPr>
          <w:szCs w:val="30"/>
        </w:rPr>
      </w:pPr>
      <w:r>
        <w:br w:type="page"/>
      </w:r>
      <w:r w:rsidRPr="00061094">
        <w:lastRenderedPageBreak/>
        <w:t>Section 2: Outcomes and planned performance</w:t>
      </w:r>
    </w:p>
    <w:p w:rsidR="009131E0" w:rsidRDefault="009131E0" w:rsidP="009131E0">
      <w:pPr>
        <w:pStyle w:val="Heading3"/>
      </w:pPr>
      <w:r>
        <w:t>2.1</w:t>
      </w:r>
      <w:r>
        <w:tab/>
        <w:t>Outcomes and performance information</w:t>
      </w:r>
    </w:p>
    <w:p w:rsidR="00D82D78" w:rsidRDefault="00D82D78" w:rsidP="00D82D78">
      <w:r>
        <w:t xml:space="preserve">Government outcomes are the intended results, impacts or consequences of actions by the Government on the Australian community. </w:t>
      </w:r>
      <w:r w:rsidRPr="00E95DB8">
        <w:t xml:space="preserve">Commonwealth </w:t>
      </w:r>
      <w:r>
        <w:t>programmes</w:t>
      </w:r>
      <w:r w:rsidRPr="00E95DB8">
        <w:t xml:space="preserve"> are the primary vehicle by which </w:t>
      </w:r>
      <w:r>
        <w:t>g</w:t>
      </w:r>
      <w:r w:rsidRPr="00E95DB8">
        <w:t xml:space="preserve">overnment </w:t>
      </w:r>
      <w:r>
        <w:t xml:space="preserve">entities </w:t>
      </w:r>
      <w:r w:rsidRPr="00E95DB8">
        <w:t xml:space="preserve">achieve the intended results of their outcome statements. </w:t>
      </w:r>
      <w:r>
        <w:t xml:space="preserve">Entities </w:t>
      </w:r>
      <w:r w:rsidRPr="00E95DB8">
        <w:t xml:space="preserve">are required to identify the </w:t>
      </w:r>
      <w:r>
        <w:t>programmes which contribute to government outcomes over the Budget and forward years.</w:t>
      </w:r>
    </w:p>
    <w:p w:rsidR="00D82D78" w:rsidRDefault="00D82D78" w:rsidP="00D82D78">
      <w:r>
        <w:t>Each outcome is described below together with its related programmes, specifying the performance indicators and targets used to assess and monitor the performance of Tourism Australia</w:t>
      </w:r>
      <w:r>
        <w:rPr>
          <w:color w:val="FF0000"/>
        </w:rPr>
        <w:t xml:space="preserve"> </w:t>
      </w:r>
      <w:r>
        <w:t>in achieving government outcomes.</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D82D78" w:rsidTr="006921FC">
        <w:tc>
          <w:tcPr>
            <w:tcW w:w="7713" w:type="dxa"/>
            <w:shd w:val="clear" w:color="auto" w:fill="E6E6E6"/>
          </w:tcPr>
          <w:p w:rsidR="00D82D78" w:rsidRDefault="00D82D78" w:rsidP="006921FC">
            <w:pPr>
              <w:pStyle w:val="TableColumnHeadingLeft"/>
            </w:pPr>
            <w:r>
              <w:t xml:space="preserve">Outcome 1: </w:t>
            </w:r>
            <w:r w:rsidRPr="00201428">
              <w:rPr>
                <w:color w:val="000000"/>
              </w:rPr>
              <w:t>Grow demand and foster a competitive and sustainable Australian tourism industry through partnership marketing to targeted global consumers</w:t>
            </w:r>
          </w:p>
        </w:tc>
      </w:tr>
    </w:tbl>
    <w:p w:rsidR="00D82D78" w:rsidRDefault="00D82D78" w:rsidP="00D82D78">
      <w:pPr>
        <w:pStyle w:val="NoSpacing"/>
      </w:pPr>
    </w:p>
    <w:p w:rsidR="00D82D78" w:rsidRDefault="00D82D78" w:rsidP="00D82D78">
      <w:pPr>
        <w:pStyle w:val="Heading4"/>
      </w:pPr>
      <w:r>
        <w:t>Outcome 1 strategy</w:t>
      </w:r>
    </w:p>
    <w:p w:rsidR="00D82D78" w:rsidRPr="002D0130" w:rsidRDefault="00D82D78" w:rsidP="00D82D78">
      <w:pPr>
        <w:spacing w:before="120" w:after="120"/>
        <w:rPr>
          <w:rFonts w:ascii="Arial" w:hAnsi="Arial" w:cs="Arial"/>
          <w:b/>
          <w:color w:val="000000"/>
        </w:rPr>
      </w:pPr>
      <w:r w:rsidRPr="002D0130">
        <w:rPr>
          <w:rFonts w:ascii="Arial" w:hAnsi="Arial" w:cs="Arial"/>
          <w:b/>
          <w:color w:val="000000"/>
        </w:rPr>
        <w:t>Program</w:t>
      </w:r>
      <w:r>
        <w:rPr>
          <w:rFonts w:ascii="Arial" w:hAnsi="Arial" w:cs="Arial"/>
          <w:b/>
          <w:color w:val="000000"/>
        </w:rPr>
        <w:t>me</w:t>
      </w:r>
      <w:r w:rsidRPr="002D0130">
        <w:rPr>
          <w:rFonts w:ascii="Arial" w:hAnsi="Arial" w:cs="Arial"/>
          <w:b/>
          <w:color w:val="000000"/>
        </w:rPr>
        <w:t xml:space="preserve"> </w:t>
      </w:r>
      <w:r>
        <w:rPr>
          <w:rFonts w:ascii="Arial" w:hAnsi="Arial" w:cs="Arial"/>
          <w:b/>
          <w:color w:val="000000"/>
        </w:rPr>
        <w:t>C</w:t>
      </w:r>
      <w:r w:rsidRPr="002D0130">
        <w:rPr>
          <w:rFonts w:ascii="Arial" w:hAnsi="Arial" w:cs="Arial"/>
          <w:b/>
          <w:color w:val="000000"/>
        </w:rPr>
        <w:t xml:space="preserve">omponent </w:t>
      </w:r>
      <w:r>
        <w:rPr>
          <w:rFonts w:ascii="Arial" w:hAnsi="Arial" w:cs="Arial"/>
          <w:b/>
          <w:color w:val="000000"/>
        </w:rPr>
        <w:t>1.</w:t>
      </w:r>
      <w:r w:rsidRPr="002D0130">
        <w:rPr>
          <w:rFonts w:ascii="Arial" w:hAnsi="Arial" w:cs="Arial"/>
          <w:b/>
          <w:color w:val="000000"/>
        </w:rPr>
        <w:t>1.1 Grow demand</w:t>
      </w:r>
    </w:p>
    <w:p w:rsidR="00D82D78" w:rsidRPr="00201428" w:rsidRDefault="00D82D78" w:rsidP="00D82D78">
      <w:pPr>
        <w:spacing w:before="120" w:after="120"/>
        <w:rPr>
          <w:rFonts w:cs="Arial"/>
          <w:color w:val="000000"/>
        </w:rPr>
      </w:pPr>
      <w:r w:rsidRPr="00201428">
        <w:rPr>
          <w:rFonts w:cs="Arial"/>
          <w:color w:val="000000"/>
        </w:rPr>
        <w:t>Tourism Australia will build Australia’s reputation and profile as an exciting and desirable leisure and business events destination, driving demand, growth in visitor numbers and increased visitor expenditure by:</w:t>
      </w:r>
    </w:p>
    <w:p w:rsidR="00D82D78" w:rsidRPr="00201428" w:rsidRDefault="00CE67C6" w:rsidP="00F37EE6">
      <w:pPr>
        <w:pStyle w:val="Bullet"/>
        <w:numPr>
          <w:ilvl w:val="0"/>
          <w:numId w:val="43"/>
        </w:numPr>
        <w:rPr>
          <w:color w:val="000000"/>
        </w:rPr>
      </w:pPr>
      <w:r>
        <w:rPr>
          <w:color w:val="000000"/>
        </w:rPr>
        <w:t>t</w:t>
      </w:r>
      <w:r w:rsidR="00D82D78" w:rsidRPr="00201428">
        <w:rPr>
          <w:color w:val="000000"/>
        </w:rPr>
        <w:t>argeting consumers who are predisposed to travel to Australia and who are likely to spend more, do more and disperse more widely beyond capital city gateways</w:t>
      </w:r>
      <w:r>
        <w:rPr>
          <w:color w:val="000000"/>
        </w:rPr>
        <w:t>;</w:t>
      </w:r>
    </w:p>
    <w:p w:rsidR="00D82D78" w:rsidRPr="00201428" w:rsidRDefault="00CE67C6" w:rsidP="00F37EE6">
      <w:pPr>
        <w:pStyle w:val="Bullet"/>
        <w:numPr>
          <w:ilvl w:val="0"/>
          <w:numId w:val="43"/>
        </w:numPr>
        <w:rPr>
          <w:color w:val="000000"/>
        </w:rPr>
      </w:pPr>
      <w:r>
        <w:rPr>
          <w:color w:val="000000"/>
        </w:rPr>
        <w:t>f</w:t>
      </w:r>
      <w:r w:rsidR="00D82D78" w:rsidRPr="00201428">
        <w:rPr>
          <w:color w:val="000000"/>
        </w:rPr>
        <w:t>rom a business events perspective, focusing on attracting high yielding visitors who will also return as repeat visitors. Two sectors will be targeted – associations and incentives. Business Events Australia will continue to develop strong relationships with international buyers in key markets</w:t>
      </w:r>
      <w:r>
        <w:rPr>
          <w:color w:val="000000"/>
        </w:rPr>
        <w:t>;</w:t>
      </w:r>
    </w:p>
    <w:p w:rsidR="00D82D78" w:rsidRPr="00201428" w:rsidRDefault="00CE67C6" w:rsidP="00F37EE6">
      <w:pPr>
        <w:pStyle w:val="Bullet"/>
        <w:numPr>
          <w:ilvl w:val="0"/>
          <w:numId w:val="43"/>
        </w:numPr>
        <w:rPr>
          <w:color w:val="000000"/>
        </w:rPr>
      </w:pPr>
      <w:r>
        <w:rPr>
          <w:color w:val="000000"/>
        </w:rPr>
        <w:t>using research insights to</w:t>
      </w:r>
      <w:r w:rsidR="00D82D78" w:rsidRPr="00201428">
        <w:rPr>
          <w:color w:val="000000"/>
        </w:rPr>
        <w:t xml:space="preserve"> inform product development by governments and industry operators</w:t>
      </w:r>
      <w:r>
        <w:rPr>
          <w:color w:val="000000"/>
        </w:rPr>
        <w:t>,</w:t>
      </w:r>
      <w:r w:rsidR="00D82D78" w:rsidRPr="00201428">
        <w:rPr>
          <w:color w:val="000000"/>
        </w:rPr>
        <w:t xml:space="preserve"> match products and experiences relevant to the target customer (including product bundling to present the best of what Australia has to offer)</w:t>
      </w:r>
      <w:r>
        <w:rPr>
          <w:color w:val="000000"/>
        </w:rPr>
        <w:t>,</w:t>
      </w:r>
      <w:r w:rsidR="00D82D78" w:rsidRPr="00201428">
        <w:rPr>
          <w:color w:val="000000"/>
        </w:rPr>
        <w:t xml:space="preserve"> refine marketing communications and drive the right messaging in the right channels</w:t>
      </w:r>
      <w:r>
        <w:rPr>
          <w:color w:val="000000"/>
        </w:rPr>
        <w:t>;</w:t>
      </w:r>
      <w:r w:rsidR="00D82D78" w:rsidRPr="00201428">
        <w:rPr>
          <w:color w:val="000000"/>
        </w:rPr>
        <w:t xml:space="preserve"> </w:t>
      </w:r>
    </w:p>
    <w:p w:rsidR="00D82D78" w:rsidRPr="00201428" w:rsidRDefault="00CE67C6" w:rsidP="00F37EE6">
      <w:pPr>
        <w:pStyle w:val="Bullet"/>
        <w:numPr>
          <w:ilvl w:val="0"/>
          <w:numId w:val="43"/>
        </w:numPr>
        <w:spacing w:after="0"/>
        <w:ind w:hanging="357"/>
        <w:rPr>
          <w:color w:val="000000"/>
        </w:rPr>
      </w:pPr>
      <w:r>
        <w:rPr>
          <w:color w:val="000000"/>
        </w:rPr>
        <w:t>c</w:t>
      </w:r>
      <w:r w:rsidR="00D82D78" w:rsidRPr="00201428">
        <w:rPr>
          <w:color w:val="000000"/>
        </w:rPr>
        <w:t xml:space="preserve">ontinuing marketing communications under the </w:t>
      </w:r>
      <w:r w:rsidR="00D82D78" w:rsidRPr="00201428">
        <w:rPr>
          <w:i/>
          <w:color w:val="000000"/>
        </w:rPr>
        <w:t>There’s nothing like Australia</w:t>
      </w:r>
      <w:r w:rsidR="00D82D78" w:rsidRPr="00201428">
        <w:rPr>
          <w:color w:val="000000"/>
        </w:rPr>
        <w:t xml:space="preserve"> campaign umbrella, while strengthening competitive positioning through campaigns that highlight Australia’s food and wine credentials, its pristine beaches, coastal and aquatic nature, its major even</w:t>
      </w:r>
      <w:r w:rsidR="00D82D78">
        <w:rPr>
          <w:color w:val="000000"/>
        </w:rPr>
        <w:t>ts and its Indigenous culture and experiences</w:t>
      </w:r>
      <w:r>
        <w:rPr>
          <w:color w:val="000000"/>
        </w:rPr>
        <w:t>;</w:t>
      </w:r>
    </w:p>
    <w:p w:rsidR="00D82D78" w:rsidRPr="00201428" w:rsidRDefault="00D82D78" w:rsidP="00D82D78">
      <w:pPr>
        <w:pStyle w:val="Bullet"/>
        <w:numPr>
          <w:ilvl w:val="0"/>
          <w:numId w:val="0"/>
        </w:numPr>
        <w:spacing w:after="0"/>
        <w:ind w:left="360"/>
        <w:rPr>
          <w:color w:val="000000"/>
        </w:rPr>
      </w:pPr>
    </w:p>
    <w:p w:rsidR="00D82D78" w:rsidRPr="00201428" w:rsidRDefault="00CE67C6" w:rsidP="00F37EE6">
      <w:pPr>
        <w:pStyle w:val="Bullet"/>
        <w:numPr>
          <w:ilvl w:val="0"/>
          <w:numId w:val="43"/>
        </w:numPr>
        <w:rPr>
          <w:color w:val="000000"/>
        </w:rPr>
      </w:pPr>
      <w:r>
        <w:rPr>
          <w:color w:val="000000"/>
        </w:rPr>
        <w:lastRenderedPageBreak/>
        <w:t>a</w:t>
      </w:r>
      <w:r w:rsidR="00D82D78" w:rsidRPr="00201428">
        <w:rPr>
          <w:color w:val="000000"/>
        </w:rPr>
        <w:t>ctively collaborating and working in partnership with government and industry to create demand for travel to Australia. Working in partnership increases target custo</w:t>
      </w:r>
      <w:r w:rsidR="00C94E7A">
        <w:rPr>
          <w:color w:val="000000"/>
        </w:rPr>
        <w:t>mer reach and ‘</w:t>
      </w:r>
      <w:r w:rsidR="00D82D78" w:rsidRPr="00201428">
        <w:rPr>
          <w:color w:val="000000"/>
        </w:rPr>
        <w:t>share of voice’ in the competitive global tourism environment. It also demonstrates value by increasing investment in promoting Australia through industry contributions</w:t>
      </w:r>
      <w:r>
        <w:rPr>
          <w:color w:val="000000"/>
        </w:rPr>
        <w:t>; and</w:t>
      </w:r>
      <w:r w:rsidR="00D82D78" w:rsidRPr="00201428">
        <w:rPr>
          <w:color w:val="000000"/>
        </w:rPr>
        <w:t xml:space="preserve"> </w:t>
      </w:r>
    </w:p>
    <w:p w:rsidR="00D82D78" w:rsidRPr="00201428" w:rsidRDefault="00CE67C6" w:rsidP="00F37EE6">
      <w:pPr>
        <w:pStyle w:val="Bullet"/>
        <w:numPr>
          <w:ilvl w:val="0"/>
          <w:numId w:val="43"/>
        </w:numPr>
        <w:rPr>
          <w:color w:val="000000"/>
        </w:rPr>
      </w:pPr>
      <w:r>
        <w:rPr>
          <w:color w:val="000000"/>
        </w:rPr>
        <w:t>c</w:t>
      </w:r>
      <w:r w:rsidR="00D82D78" w:rsidRPr="00201428">
        <w:rPr>
          <w:color w:val="000000"/>
        </w:rPr>
        <w:t xml:space="preserve">ontinuing to work with state and territory tourism organisations to ensure integration and alignment of activities to achieve efficiency and effectiveness.  </w:t>
      </w:r>
    </w:p>
    <w:p w:rsidR="00D82D78" w:rsidRPr="00201428" w:rsidRDefault="00D82D78" w:rsidP="00D82D78">
      <w:pPr>
        <w:pStyle w:val="Heading5"/>
        <w:rPr>
          <w:color w:val="000000"/>
        </w:rPr>
      </w:pPr>
      <w:r>
        <w:rPr>
          <w:color w:val="000000"/>
        </w:rPr>
        <w:t>Programme Component 1.1.2</w:t>
      </w:r>
      <w:r w:rsidRPr="00201428">
        <w:rPr>
          <w:color w:val="000000"/>
        </w:rPr>
        <w:t xml:space="preserve"> Industry </w:t>
      </w:r>
      <w:r>
        <w:rPr>
          <w:color w:val="000000"/>
        </w:rPr>
        <w:t>d</w:t>
      </w:r>
      <w:r w:rsidRPr="00201428">
        <w:rPr>
          <w:color w:val="000000"/>
        </w:rPr>
        <w:t>evelopment</w:t>
      </w:r>
    </w:p>
    <w:p w:rsidR="00D82D78" w:rsidRPr="00201428" w:rsidRDefault="00D82D78" w:rsidP="00D82D78">
      <w:pPr>
        <w:rPr>
          <w:i/>
          <w:color w:val="000000"/>
        </w:rPr>
      </w:pPr>
      <w:r w:rsidRPr="00201428">
        <w:rPr>
          <w:color w:val="000000"/>
        </w:rPr>
        <w:t>Tourism Australia will continue to work in partnership with industry and government stakeholders to promote growth and development of the Australian tourism industry. Activity that will be implemented in 2015-16 includes:</w:t>
      </w:r>
    </w:p>
    <w:p w:rsidR="00D82D78" w:rsidRPr="00201428" w:rsidRDefault="00A33C8E" w:rsidP="00F37EE6">
      <w:pPr>
        <w:pStyle w:val="Bullet"/>
        <w:numPr>
          <w:ilvl w:val="0"/>
          <w:numId w:val="43"/>
        </w:numPr>
        <w:rPr>
          <w:color w:val="000000"/>
        </w:rPr>
      </w:pPr>
      <w:r>
        <w:rPr>
          <w:color w:val="000000"/>
        </w:rPr>
        <w:t>s</w:t>
      </w:r>
      <w:r w:rsidR="00D82D78" w:rsidRPr="00201428">
        <w:rPr>
          <w:color w:val="000000"/>
        </w:rPr>
        <w:t>upporting trade development by building the capability of the travel industry to confidently sell Australia. This will include training of travel agents through the Aussie Specialist Program (the program will be re-launched in late 2015</w:t>
      </w:r>
      <w:r w:rsidR="00D82D78">
        <w:rPr>
          <w:color w:val="000000"/>
        </w:rPr>
        <w:t>-16</w:t>
      </w:r>
      <w:r w:rsidR="00D82D78" w:rsidRPr="00201428">
        <w:rPr>
          <w:color w:val="000000"/>
        </w:rPr>
        <w:t xml:space="preserve"> and include delivery of a superior online platform); providing Australian destination and product content to the distribution system and making direct connections with travel agents through familiarisation visits and trade events</w:t>
      </w:r>
      <w:r>
        <w:rPr>
          <w:color w:val="000000"/>
        </w:rPr>
        <w:t>;</w:t>
      </w:r>
    </w:p>
    <w:p w:rsidR="00D82D78" w:rsidRPr="00201428" w:rsidRDefault="00A33C8E" w:rsidP="00F37EE6">
      <w:pPr>
        <w:pStyle w:val="Bullet"/>
        <w:numPr>
          <w:ilvl w:val="0"/>
          <w:numId w:val="43"/>
        </w:numPr>
        <w:rPr>
          <w:color w:val="000000"/>
        </w:rPr>
      </w:pPr>
      <w:r>
        <w:rPr>
          <w:color w:val="000000"/>
        </w:rPr>
        <w:t>m</w:t>
      </w:r>
      <w:r w:rsidR="00D82D78" w:rsidRPr="00201428">
        <w:rPr>
          <w:color w:val="000000"/>
        </w:rPr>
        <w:t>anaging and participating in a range of trade events in Australia and overseas that promote Australia as a destination for leisure and business events travel. This will include delivery of the Australian Tourism Exchange and Dreamtime, dedicated business events educational programs and industry missions</w:t>
      </w:r>
      <w:r>
        <w:rPr>
          <w:color w:val="000000"/>
        </w:rPr>
        <w:t>;</w:t>
      </w:r>
    </w:p>
    <w:p w:rsidR="00D82D78" w:rsidRPr="00201428" w:rsidRDefault="00A33C8E" w:rsidP="00F37EE6">
      <w:pPr>
        <w:pStyle w:val="Bullet"/>
        <w:numPr>
          <w:ilvl w:val="0"/>
          <w:numId w:val="43"/>
        </w:numPr>
        <w:rPr>
          <w:color w:val="000000"/>
        </w:rPr>
      </w:pPr>
      <w:r>
        <w:rPr>
          <w:color w:val="000000"/>
        </w:rPr>
        <w:t>w</w:t>
      </w:r>
      <w:r w:rsidR="00D82D78" w:rsidRPr="00201428">
        <w:rPr>
          <w:color w:val="000000"/>
        </w:rPr>
        <w:t>orking in partnership with Austrade to attract tourism investment and development of better quality Australian tourism infrastructure</w:t>
      </w:r>
      <w:r>
        <w:rPr>
          <w:color w:val="000000"/>
        </w:rPr>
        <w:t>;</w:t>
      </w:r>
    </w:p>
    <w:p w:rsidR="00D82D78" w:rsidRPr="00201428" w:rsidRDefault="00A33C8E" w:rsidP="00F37EE6">
      <w:pPr>
        <w:pStyle w:val="Bullet"/>
        <w:numPr>
          <w:ilvl w:val="0"/>
          <w:numId w:val="43"/>
        </w:numPr>
        <w:rPr>
          <w:color w:val="000000"/>
        </w:rPr>
      </w:pPr>
      <w:r>
        <w:rPr>
          <w:color w:val="000000"/>
        </w:rPr>
        <w:t>w</w:t>
      </w:r>
      <w:r w:rsidR="00D82D78" w:rsidRPr="00201428">
        <w:rPr>
          <w:color w:val="000000"/>
        </w:rPr>
        <w:t>orking with airline and airport partners to support profitable aviation capacity growth and ensure that Tourism Australia’s investment supports growth on viable routes</w:t>
      </w:r>
      <w:r>
        <w:rPr>
          <w:color w:val="000000"/>
        </w:rPr>
        <w:t>;</w:t>
      </w:r>
    </w:p>
    <w:p w:rsidR="00D82D78" w:rsidRPr="00201428" w:rsidRDefault="00A33C8E" w:rsidP="00F37EE6">
      <w:pPr>
        <w:pStyle w:val="Bullet"/>
        <w:numPr>
          <w:ilvl w:val="0"/>
          <w:numId w:val="43"/>
        </w:numPr>
        <w:rPr>
          <w:color w:val="000000"/>
        </w:rPr>
      </w:pPr>
      <w:r>
        <w:rPr>
          <w:color w:val="000000"/>
        </w:rPr>
        <w:t>w</w:t>
      </w:r>
      <w:r w:rsidR="00D82D78" w:rsidRPr="00201428">
        <w:rPr>
          <w:color w:val="000000"/>
        </w:rPr>
        <w:t>orking with the Department of Immigration and Border Protection</w:t>
      </w:r>
      <w:r w:rsidR="00D82D78">
        <w:rPr>
          <w:color w:val="000000"/>
        </w:rPr>
        <w:t xml:space="preserve"> </w:t>
      </w:r>
      <w:r w:rsidR="00D82D78" w:rsidRPr="00201428">
        <w:rPr>
          <w:color w:val="000000"/>
        </w:rPr>
        <w:t xml:space="preserve">to </w:t>
      </w:r>
      <w:r w:rsidR="00D82D78">
        <w:rPr>
          <w:color w:val="000000"/>
        </w:rPr>
        <w:t>highlight opportunities to improve competitiveness of Australia’s visa processes for prospective visitors</w:t>
      </w:r>
      <w:r w:rsidR="00D82D78" w:rsidRPr="00201428">
        <w:rPr>
          <w:color w:val="000000"/>
        </w:rPr>
        <w:t>.</w:t>
      </w:r>
      <w:r w:rsidR="00D82D78">
        <w:rPr>
          <w:color w:val="000000"/>
        </w:rPr>
        <w:t xml:space="preserve"> Government focus is expected to be on e-visas, streamlining visa requirements and multi-entry visas</w:t>
      </w:r>
      <w:r>
        <w:rPr>
          <w:color w:val="000000"/>
        </w:rPr>
        <w:t>;</w:t>
      </w:r>
    </w:p>
    <w:p w:rsidR="00D82D78" w:rsidRPr="00201428" w:rsidRDefault="00A33C8E" w:rsidP="00F37EE6">
      <w:pPr>
        <w:pStyle w:val="Bullet"/>
        <w:numPr>
          <w:ilvl w:val="0"/>
          <w:numId w:val="43"/>
        </w:numPr>
        <w:rPr>
          <w:color w:val="000000"/>
        </w:rPr>
      </w:pPr>
      <w:r>
        <w:rPr>
          <w:color w:val="000000"/>
        </w:rPr>
        <w:t>p</w:t>
      </w:r>
      <w:r w:rsidR="00D82D78" w:rsidRPr="00201428">
        <w:rPr>
          <w:color w:val="000000"/>
        </w:rPr>
        <w:t>roviding government and industry stakeholders with strategic insights and research relevant to their needs to drive industry sustainability and strategy development</w:t>
      </w:r>
      <w:r>
        <w:rPr>
          <w:color w:val="000000"/>
        </w:rPr>
        <w:t>; and</w:t>
      </w:r>
    </w:p>
    <w:p w:rsidR="00D82D78" w:rsidRPr="00201428" w:rsidRDefault="00A33C8E" w:rsidP="00F37EE6">
      <w:pPr>
        <w:pStyle w:val="Bullet"/>
        <w:numPr>
          <w:ilvl w:val="0"/>
          <w:numId w:val="43"/>
        </w:numPr>
        <w:rPr>
          <w:color w:val="000000"/>
        </w:rPr>
      </w:pPr>
      <w:r>
        <w:rPr>
          <w:color w:val="000000"/>
        </w:rPr>
        <w:t>c</w:t>
      </w:r>
      <w:r w:rsidR="00D82D78" w:rsidRPr="00201428">
        <w:rPr>
          <w:color w:val="000000"/>
        </w:rPr>
        <w:t>ontinuing to build awareness</w:t>
      </w:r>
      <w:r w:rsidR="00D82D78">
        <w:rPr>
          <w:color w:val="000000"/>
        </w:rPr>
        <w:t xml:space="preserve"> and</w:t>
      </w:r>
      <w:r w:rsidR="00D82D78" w:rsidRPr="00201428">
        <w:rPr>
          <w:color w:val="000000"/>
        </w:rPr>
        <w:t xml:space="preserve"> understanding </w:t>
      </w:r>
      <w:r w:rsidR="00D82D78">
        <w:rPr>
          <w:color w:val="000000"/>
        </w:rPr>
        <w:t xml:space="preserve">of </w:t>
      </w:r>
      <w:r w:rsidR="00D82D78" w:rsidRPr="00201428">
        <w:rPr>
          <w:color w:val="000000"/>
        </w:rPr>
        <w:t>and alignment with Tourism Australia strategies across government and industry through formal industry briefings, workshops and conferences, as well as a dedicated relationship management approach with stakeholders and partners.</w:t>
      </w:r>
    </w:p>
    <w:p w:rsidR="00D82D78" w:rsidRPr="00277DC0" w:rsidRDefault="00D82D78" w:rsidP="00D82D78">
      <w:pPr>
        <w:pStyle w:val="Heading5"/>
        <w:rPr>
          <w:sz w:val="22"/>
          <w:szCs w:val="22"/>
        </w:rPr>
      </w:pPr>
      <w:r w:rsidRPr="00277DC0">
        <w:rPr>
          <w:sz w:val="22"/>
          <w:szCs w:val="22"/>
        </w:rPr>
        <w:lastRenderedPageBreak/>
        <w:t>Outcome expense statement</w:t>
      </w:r>
    </w:p>
    <w:p w:rsidR="00D82D78" w:rsidRDefault="00D82D78" w:rsidP="00D82D78">
      <w:r>
        <w:t>Table 2.1 provides an overview of the total expenses for Outcome 1 by programme.</w:t>
      </w:r>
    </w:p>
    <w:p w:rsidR="009131E0" w:rsidRPr="005C4BEE" w:rsidRDefault="009131E0" w:rsidP="009131E0">
      <w:pPr>
        <w:pStyle w:val="TableHeading"/>
        <w:rPr>
          <w:sz w:val="20"/>
        </w:rPr>
      </w:pPr>
      <w:r w:rsidRPr="005C4BEE">
        <w:rPr>
          <w:sz w:val="20"/>
        </w:rPr>
        <w:t>Table 2.1: Budgeted expenses for Outcome 1</w:t>
      </w:r>
    </w:p>
    <w:p w:rsidR="009131E0" w:rsidRDefault="00833238" w:rsidP="009131E0">
      <w:pPr>
        <w:pStyle w:val="TableGraphic"/>
      </w:pPr>
      <w:r>
        <w:pict>
          <v:shape id="_x0000_i1116" type="#_x0000_t75" style="width:379.65pt;height:225.35pt">
            <v:imagedata r:id="rId197" o:title=""/>
          </v:shape>
        </w:pict>
      </w:r>
    </w:p>
    <w:p w:rsidR="009131E0" w:rsidRPr="00527168" w:rsidRDefault="00527168" w:rsidP="00F37EE6">
      <w:pPr>
        <w:pStyle w:val="ChartandTableFootnote"/>
        <w:numPr>
          <w:ilvl w:val="0"/>
          <w:numId w:val="44"/>
        </w:numPr>
        <w:ind w:left="284" w:hanging="284"/>
        <w:rPr>
          <w:i/>
        </w:rPr>
      </w:pPr>
      <w:r>
        <w:rPr>
          <w:i/>
        </w:rPr>
        <w:t>Appropriation Bill (No.1) 2015-16.</w:t>
      </w:r>
    </w:p>
    <w:p w:rsidR="00B5564F" w:rsidRDefault="00B5564F" w:rsidP="00A44AA4">
      <w:pPr>
        <w:pStyle w:val="Heading4"/>
        <w:spacing w:before="0"/>
        <w:rPr>
          <w:rFonts w:ascii="Book Antiqua" w:hAnsi="Book Antiqua"/>
          <w:i/>
          <w:color w:val="FF0000"/>
        </w:rPr>
      </w:pPr>
      <w:r>
        <w:br w:type="page"/>
      </w:r>
      <w:r>
        <w:lastRenderedPageBreak/>
        <w:t xml:space="preserve">Contributions to Outcome 1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713"/>
      </w:tblGrid>
      <w:tr w:rsidR="00B5564F" w:rsidTr="009621BD">
        <w:tc>
          <w:tcPr>
            <w:tcW w:w="7713" w:type="dxa"/>
            <w:shd w:val="clear" w:color="auto" w:fill="E6E6E6"/>
          </w:tcPr>
          <w:p w:rsidR="00B5564F" w:rsidRDefault="00B5564F" w:rsidP="009621BD">
            <w:pPr>
              <w:pStyle w:val="TableColumnHeadingLeft"/>
            </w:pPr>
            <w:r>
              <w:t>Programme 1. Supporting Outcome 1</w:t>
            </w:r>
          </w:p>
        </w:tc>
      </w:tr>
    </w:tbl>
    <w:p w:rsidR="00B5564F" w:rsidRDefault="00B5564F" w:rsidP="00B5564F">
      <w:pPr>
        <w:pStyle w:val="TableHeading"/>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0"/>
      </w:tblGrid>
      <w:tr w:rsidR="00B5564F" w:rsidTr="00A33C8E">
        <w:trPr>
          <w:trHeight w:val="945"/>
        </w:trPr>
        <w:tc>
          <w:tcPr>
            <w:tcW w:w="7700" w:type="dxa"/>
          </w:tcPr>
          <w:p w:rsidR="00B5564F" w:rsidRDefault="00B5564F" w:rsidP="00521F68">
            <w:pPr>
              <w:pStyle w:val="TableColumnHeadingLeft"/>
            </w:pPr>
            <w:r>
              <w:t>Programme objective</w:t>
            </w:r>
          </w:p>
          <w:p w:rsidR="00B5564F" w:rsidRPr="00D830CA" w:rsidRDefault="00B5564F" w:rsidP="00521F68">
            <w:pPr>
              <w:pStyle w:val="Exampletextbullet"/>
              <w:rPr>
                <w:i w:val="0"/>
                <w:color w:val="000000"/>
              </w:rPr>
            </w:pPr>
            <w:r>
              <w:rPr>
                <w:i w:val="0"/>
                <w:color w:val="000000"/>
              </w:rPr>
              <w:t>Refer to Outcome 1 Strategy and component objectives for further information.</w:t>
            </w:r>
          </w:p>
        </w:tc>
      </w:tr>
    </w:tbl>
    <w:p w:rsidR="00B5564F" w:rsidRDefault="00B5564F" w:rsidP="00521F68">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0"/>
      </w:tblGrid>
      <w:tr w:rsidR="0056677D" w:rsidTr="00521F68">
        <w:trPr>
          <w:trHeight w:val="419"/>
        </w:trPr>
        <w:tc>
          <w:tcPr>
            <w:tcW w:w="7700" w:type="dxa"/>
          </w:tcPr>
          <w:p w:rsidR="0056677D" w:rsidRPr="00521F68" w:rsidRDefault="0056677D" w:rsidP="00521F68">
            <w:pPr>
              <w:pStyle w:val="TableColumnHeadingLeft"/>
            </w:pPr>
            <w:r>
              <w:t>Programme expenses</w:t>
            </w:r>
          </w:p>
        </w:tc>
      </w:tr>
    </w:tbl>
    <w:p w:rsidR="009131E0" w:rsidRPr="00521F68" w:rsidRDefault="00521F68" w:rsidP="00521F68">
      <w:pPr>
        <w:pStyle w:val="TableHeading"/>
        <w:rPr>
          <w:sz w:val="20"/>
        </w:rPr>
      </w:pPr>
      <w:r w:rsidRPr="00521F68">
        <w:rPr>
          <w:sz w:val="20"/>
        </w:rPr>
        <w:t>Table 2.2: Programme 1 Expenses by Component</w:t>
      </w:r>
    </w:p>
    <w:p w:rsidR="00B5564F" w:rsidRDefault="00833238" w:rsidP="00B5564F">
      <w:pPr>
        <w:pStyle w:val="Heading4"/>
      </w:pPr>
      <w:r>
        <w:pict>
          <v:shape id="_x0000_i1117" type="#_x0000_t75" style="width:385.25pt;height:153.35pt">
            <v:imagedata r:id="rId198" o:title=""/>
          </v:shape>
        </w:pict>
      </w:r>
    </w:p>
    <w:p w:rsidR="00D219A5" w:rsidRDefault="00D219A5" w:rsidP="00D219A5">
      <w:pPr>
        <w:pStyle w:val="Heading4"/>
        <w:tabs>
          <w:tab w:val="clear" w:pos="709"/>
          <w:tab w:val="left" w:pos="0"/>
        </w:tabs>
      </w:pPr>
    </w:p>
    <w:p w:rsidR="00D219A5" w:rsidRDefault="00D219A5" w:rsidP="00D219A5">
      <w:pPr>
        <w:pStyle w:val="Heading4"/>
        <w:tabs>
          <w:tab w:val="clear" w:pos="709"/>
          <w:tab w:val="left" w:pos="0"/>
        </w:tabs>
        <w:rPr>
          <w:rFonts w:ascii="Book Antiqua" w:hAnsi="Book Antiqua"/>
          <w:i/>
          <w:color w:val="FF0000"/>
        </w:rPr>
      </w:pPr>
      <w:r>
        <w:t xml:space="preserve">Contributions to Programme 1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715"/>
      </w:tblGrid>
      <w:tr w:rsidR="00D219A5" w:rsidTr="00A33C8E">
        <w:trPr>
          <w:trHeight w:val="405"/>
        </w:trPr>
        <w:tc>
          <w:tcPr>
            <w:tcW w:w="7715" w:type="dxa"/>
            <w:shd w:val="clear" w:color="auto" w:fill="E6E6E6"/>
          </w:tcPr>
          <w:p w:rsidR="00D219A5" w:rsidRDefault="00D219A5" w:rsidP="009621BD">
            <w:pPr>
              <w:pStyle w:val="TableColumnHeadingLeft"/>
            </w:pPr>
            <w:r>
              <w:t>Component 1.1.1 Grow demand</w:t>
            </w:r>
          </w:p>
        </w:tc>
      </w:tr>
    </w:tbl>
    <w:p w:rsidR="00D219A5" w:rsidRPr="00FD5958" w:rsidRDefault="00D219A5" w:rsidP="00D219A5">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0"/>
      </w:tblGrid>
      <w:tr w:rsidR="00D219A5" w:rsidTr="00A33C8E">
        <w:trPr>
          <w:trHeight w:val="1148"/>
        </w:trPr>
        <w:tc>
          <w:tcPr>
            <w:tcW w:w="7700" w:type="dxa"/>
          </w:tcPr>
          <w:p w:rsidR="00D219A5" w:rsidRDefault="00D219A5" w:rsidP="009621BD">
            <w:pPr>
              <w:pStyle w:val="TableColumnHeadingLeft"/>
            </w:pPr>
            <w:r>
              <w:t>Component 1.1.1 objective</w:t>
            </w:r>
          </w:p>
          <w:p w:rsidR="00D219A5" w:rsidRPr="00C00351" w:rsidRDefault="00D219A5" w:rsidP="009621BD">
            <w:pPr>
              <w:pStyle w:val="Exampletextbullet"/>
              <w:rPr>
                <w:i w:val="0"/>
              </w:rPr>
            </w:pPr>
            <w:r w:rsidRPr="00C00351">
              <w:rPr>
                <w:i w:val="0"/>
                <w:color w:val="000000"/>
              </w:rPr>
              <w:t>Identify and target best prospect consumers, and inspire them to travel to Australia.  To focus activities and resources, utilise a dedicated market categorisation approach.</w:t>
            </w:r>
          </w:p>
        </w:tc>
      </w:tr>
    </w:tbl>
    <w:p w:rsidR="00D219A5" w:rsidRDefault="00D219A5" w:rsidP="00D219A5">
      <w:pPr>
        <w:pStyle w:val="SingleParagraph"/>
      </w:pPr>
    </w:p>
    <w:p w:rsidR="00D219A5" w:rsidRDefault="00D219A5" w:rsidP="00B5564F">
      <w:pPr>
        <w:pStyle w:val="Heading4"/>
        <w:tabs>
          <w:tab w:val="clear" w:pos="709"/>
          <w:tab w:val="left" w:pos="0"/>
        </w:tabs>
      </w:pPr>
    </w:p>
    <w:p w:rsidR="00153ED3" w:rsidRDefault="00153ED3" w:rsidP="00153ED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153ED3" w:rsidRPr="00C00351" w:rsidTr="009621BD">
        <w:trPr>
          <w:trHeight w:val="7765"/>
        </w:trPr>
        <w:tc>
          <w:tcPr>
            <w:tcW w:w="7711" w:type="dxa"/>
          </w:tcPr>
          <w:p w:rsidR="00153ED3" w:rsidRPr="00C526EA" w:rsidRDefault="00153ED3" w:rsidP="009621BD">
            <w:pPr>
              <w:pStyle w:val="TableColumnHeadingLeft"/>
              <w:jc w:val="both"/>
              <w:rPr>
                <w:color w:val="000000"/>
              </w:rPr>
            </w:pPr>
            <w:r w:rsidRPr="00C526EA">
              <w:rPr>
                <w:color w:val="000000"/>
              </w:rPr>
              <w:lastRenderedPageBreak/>
              <w:t xml:space="preserve">Component 1.1.1 deliverables </w:t>
            </w:r>
          </w:p>
          <w:p w:rsidR="00153ED3" w:rsidRPr="00C526EA" w:rsidRDefault="00153ED3" w:rsidP="009621BD">
            <w:pPr>
              <w:pStyle w:val="TableTextBullet"/>
              <w:numPr>
                <w:ilvl w:val="0"/>
                <w:numId w:val="0"/>
              </w:numPr>
              <w:spacing w:before="0" w:after="0"/>
              <w:ind w:left="459" w:hanging="459"/>
              <w:rPr>
                <w:rFonts w:ascii="Book Antiqua" w:hAnsi="Book Antiqua" w:cs="Arial"/>
                <w:i/>
                <w:color w:val="000000"/>
                <w:sz w:val="20"/>
              </w:rPr>
            </w:pPr>
            <w:r w:rsidRPr="00C526EA">
              <w:rPr>
                <w:rFonts w:ascii="Book Antiqua" w:hAnsi="Book Antiqua" w:cs="Arial"/>
                <w:i/>
                <w:color w:val="000000"/>
                <w:sz w:val="20"/>
              </w:rPr>
              <w:t>Leisure Consumer Marketing</w:t>
            </w:r>
          </w:p>
          <w:p w:rsidR="00153ED3" w:rsidRPr="00C526EA" w:rsidRDefault="00153ED3" w:rsidP="00F37EE6">
            <w:pPr>
              <w:pStyle w:val="Bullet"/>
              <w:numPr>
                <w:ilvl w:val="0"/>
                <w:numId w:val="50"/>
              </w:numPr>
              <w:spacing w:after="0" w:line="240" w:lineRule="auto"/>
              <w:ind w:left="459" w:hanging="459"/>
              <w:rPr>
                <w:color w:val="000000"/>
              </w:rPr>
            </w:pPr>
            <w:r w:rsidRPr="00C526EA">
              <w:rPr>
                <w:color w:val="000000"/>
              </w:rPr>
              <w:t xml:space="preserve">Continued roll-out of the </w:t>
            </w:r>
            <w:r w:rsidRPr="00C526EA">
              <w:rPr>
                <w:i/>
                <w:color w:val="000000"/>
              </w:rPr>
              <w:t>There’s nothing like Australia</w:t>
            </w:r>
            <w:r w:rsidRPr="00C526EA">
              <w:rPr>
                <w:color w:val="000000"/>
              </w:rPr>
              <w:t xml:space="preserve"> campaign across all major markets, incorporating the promotion of high impact events.</w:t>
            </w:r>
          </w:p>
          <w:p w:rsidR="00153ED3" w:rsidRPr="00C526EA" w:rsidRDefault="00153ED3" w:rsidP="00F37EE6">
            <w:pPr>
              <w:pStyle w:val="Bullet"/>
              <w:numPr>
                <w:ilvl w:val="0"/>
                <w:numId w:val="50"/>
              </w:numPr>
              <w:spacing w:after="0" w:line="240" w:lineRule="auto"/>
              <w:ind w:left="459" w:hanging="459"/>
              <w:rPr>
                <w:color w:val="000000"/>
              </w:rPr>
            </w:pPr>
            <w:r w:rsidRPr="00C526EA">
              <w:rPr>
                <w:color w:val="000000"/>
              </w:rPr>
              <w:t xml:space="preserve">Further embedding </w:t>
            </w:r>
            <w:r w:rsidRPr="00C526EA">
              <w:rPr>
                <w:i/>
                <w:color w:val="000000"/>
              </w:rPr>
              <w:t>Restaurant Australia</w:t>
            </w:r>
            <w:r w:rsidRPr="00C526EA">
              <w:rPr>
                <w:color w:val="000000"/>
              </w:rPr>
              <w:t xml:space="preserve"> into marketing activities in all markets.</w:t>
            </w:r>
          </w:p>
          <w:p w:rsidR="00153ED3" w:rsidRPr="00C526EA" w:rsidRDefault="00153ED3" w:rsidP="00F37EE6">
            <w:pPr>
              <w:pStyle w:val="Bullet"/>
              <w:numPr>
                <w:ilvl w:val="0"/>
                <w:numId w:val="50"/>
              </w:numPr>
              <w:spacing w:after="0" w:line="240" w:lineRule="auto"/>
              <w:ind w:left="459" w:hanging="459"/>
              <w:rPr>
                <w:color w:val="000000"/>
              </w:rPr>
            </w:pPr>
            <w:r w:rsidRPr="00C526EA">
              <w:rPr>
                <w:color w:val="000000"/>
              </w:rPr>
              <w:t>Development and roll-out of initiatives to reinforce Australia’s coastal and aquatic nature positioning.</w:t>
            </w:r>
          </w:p>
          <w:p w:rsidR="00153ED3" w:rsidRPr="00C526EA" w:rsidRDefault="00153ED3" w:rsidP="00F37EE6">
            <w:pPr>
              <w:pStyle w:val="Bullet"/>
              <w:numPr>
                <w:ilvl w:val="0"/>
                <w:numId w:val="50"/>
              </w:numPr>
              <w:spacing w:after="0" w:line="240" w:lineRule="auto"/>
              <w:ind w:left="459" w:hanging="459"/>
              <w:rPr>
                <w:color w:val="000000"/>
              </w:rPr>
            </w:pPr>
            <w:r w:rsidRPr="00C526EA">
              <w:rPr>
                <w:color w:val="000000"/>
              </w:rPr>
              <w:t>Launch of an Indigenous film to promote Australia’s Indigenous tourism experiences.</w:t>
            </w:r>
          </w:p>
          <w:p w:rsidR="00153ED3" w:rsidRPr="00C526EA" w:rsidRDefault="00153ED3" w:rsidP="00F37EE6">
            <w:pPr>
              <w:pStyle w:val="Bullet"/>
              <w:numPr>
                <w:ilvl w:val="0"/>
                <w:numId w:val="50"/>
              </w:numPr>
              <w:spacing w:after="0" w:line="240" w:lineRule="auto"/>
              <w:ind w:left="459" w:hanging="459"/>
              <w:rPr>
                <w:color w:val="000000"/>
              </w:rPr>
            </w:pPr>
            <w:r w:rsidRPr="00C526EA">
              <w:rPr>
                <w:color w:val="000000"/>
              </w:rPr>
              <w:t>Cooperative campaigns and activities to leverage marketing opportunities that align with the Destination Australia brand and promote the best of what Australia has to offer.</w:t>
            </w:r>
          </w:p>
          <w:p w:rsidR="00153ED3" w:rsidRPr="00C526EA" w:rsidRDefault="00153ED3" w:rsidP="00F37EE6">
            <w:pPr>
              <w:pStyle w:val="Bullet"/>
              <w:numPr>
                <w:ilvl w:val="0"/>
                <w:numId w:val="50"/>
              </w:numPr>
              <w:spacing w:after="0" w:line="240" w:lineRule="auto"/>
              <w:ind w:left="459" w:hanging="459"/>
              <w:rPr>
                <w:color w:val="000000"/>
              </w:rPr>
            </w:pPr>
            <w:r w:rsidRPr="00C526EA">
              <w:rPr>
                <w:color w:val="000000"/>
              </w:rPr>
              <w:t>Marketing activities to stimulate target markets, including brand advertising and promotions, digital programs, broadcasts, public relations, International Media Hosting Program, media content development, cooperative promotions, consumer events and advocacy programs.</w:t>
            </w:r>
          </w:p>
          <w:p w:rsidR="00153ED3" w:rsidRPr="00C526EA" w:rsidRDefault="00153ED3" w:rsidP="00F37EE6">
            <w:pPr>
              <w:pStyle w:val="Bullet"/>
              <w:numPr>
                <w:ilvl w:val="0"/>
                <w:numId w:val="50"/>
              </w:numPr>
              <w:spacing w:after="0" w:line="240" w:lineRule="auto"/>
              <w:ind w:left="459" w:hanging="459"/>
              <w:rPr>
                <w:color w:val="000000"/>
              </w:rPr>
            </w:pPr>
            <w:r w:rsidRPr="00C526EA">
              <w:rPr>
                <w:color w:val="000000"/>
              </w:rPr>
              <w:t xml:space="preserve">Search engine marketing to lift </w:t>
            </w:r>
            <w:r w:rsidR="00C94E7A">
              <w:rPr>
                <w:color w:val="000000"/>
              </w:rPr>
              <w:t>a</w:t>
            </w:r>
            <w:r w:rsidRPr="00C526EA">
              <w:rPr>
                <w:color w:val="000000"/>
              </w:rPr>
              <w:t xml:space="preserve">ustralia.com and </w:t>
            </w:r>
            <w:r w:rsidR="00C94E7A">
              <w:rPr>
                <w:color w:val="000000"/>
              </w:rPr>
              <w:t>a</w:t>
            </w:r>
            <w:r w:rsidRPr="00C526EA">
              <w:rPr>
                <w:color w:val="000000"/>
              </w:rPr>
              <w:t>ustralia.cn ranking.</w:t>
            </w:r>
          </w:p>
          <w:p w:rsidR="00153ED3" w:rsidRPr="00C526EA" w:rsidRDefault="00153ED3" w:rsidP="00F37EE6">
            <w:pPr>
              <w:pStyle w:val="Bullet"/>
              <w:numPr>
                <w:ilvl w:val="0"/>
                <w:numId w:val="50"/>
              </w:numPr>
              <w:spacing w:after="0" w:line="240" w:lineRule="auto"/>
              <w:ind w:left="459" w:hanging="459"/>
              <w:rPr>
                <w:color w:val="000000"/>
              </w:rPr>
            </w:pPr>
            <w:r w:rsidRPr="00C526EA">
              <w:rPr>
                <w:color w:val="000000"/>
              </w:rPr>
              <w:t>Australian story-telling content and applications, including social media.</w:t>
            </w:r>
          </w:p>
          <w:p w:rsidR="00153ED3" w:rsidRPr="00C526EA" w:rsidRDefault="00153ED3" w:rsidP="00F37EE6">
            <w:pPr>
              <w:pStyle w:val="Bullet"/>
              <w:numPr>
                <w:ilvl w:val="0"/>
                <w:numId w:val="50"/>
              </w:numPr>
              <w:spacing w:after="0" w:line="240" w:lineRule="auto"/>
              <w:ind w:left="459" w:hanging="459"/>
              <w:rPr>
                <w:color w:val="000000"/>
              </w:rPr>
            </w:pPr>
            <w:r w:rsidRPr="00C526EA">
              <w:rPr>
                <w:color w:val="000000"/>
              </w:rPr>
              <w:t>Consumer behaviour research.</w:t>
            </w:r>
          </w:p>
          <w:p w:rsidR="00153ED3" w:rsidRPr="00C526EA" w:rsidRDefault="00153ED3" w:rsidP="009621BD">
            <w:pPr>
              <w:pStyle w:val="TableTextBullet"/>
              <w:numPr>
                <w:ilvl w:val="0"/>
                <w:numId w:val="0"/>
              </w:numPr>
              <w:spacing w:before="0" w:after="0"/>
              <w:ind w:left="459" w:hanging="459"/>
              <w:jc w:val="both"/>
              <w:rPr>
                <w:rFonts w:ascii="Book Antiqua" w:hAnsi="Book Antiqua" w:cs="Arial"/>
                <w:i/>
                <w:color w:val="000000"/>
                <w:sz w:val="20"/>
              </w:rPr>
            </w:pPr>
          </w:p>
          <w:p w:rsidR="00153ED3" w:rsidRPr="00C526EA" w:rsidRDefault="00153ED3" w:rsidP="009621BD">
            <w:pPr>
              <w:pStyle w:val="TableTextBullet"/>
              <w:numPr>
                <w:ilvl w:val="0"/>
                <w:numId w:val="0"/>
              </w:numPr>
              <w:spacing w:before="0" w:after="0"/>
              <w:ind w:left="284" w:hanging="284"/>
              <w:jc w:val="both"/>
              <w:rPr>
                <w:rFonts w:ascii="Book Antiqua" w:hAnsi="Book Antiqua" w:cs="Arial"/>
                <w:i/>
                <w:color w:val="000000"/>
                <w:sz w:val="20"/>
              </w:rPr>
            </w:pPr>
            <w:r w:rsidRPr="00C526EA">
              <w:rPr>
                <w:rFonts w:ascii="Book Antiqua" w:hAnsi="Book Antiqua" w:cs="Arial"/>
                <w:i/>
                <w:color w:val="000000"/>
                <w:sz w:val="20"/>
              </w:rPr>
              <w:t xml:space="preserve"> Business Events Marketing</w:t>
            </w:r>
          </w:p>
          <w:p w:rsidR="00153ED3" w:rsidRPr="00C526EA" w:rsidRDefault="00153ED3" w:rsidP="00F37EE6">
            <w:pPr>
              <w:pStyle w:val="Bullet"/>
              <w:numPr>
                <w:ilvl w:val="0"/>
                <w:numId w:val="50"/>
              </w:numPr>
              <w:spacing w:after="0" w:line="240" w:lineRule="auto"/>
              <w:ind w:left="459" w:hanging="459"/>
              <w:rPr>
                <w:color w:val="000000"/>
              </w:rPr>
            </w:pPr>
            <w:r w:rsidRPr="00C526EA">
              <w:rPr>
                <w:color w:val="000000"/>
              </w:rPr>
              <w:t>Activity to promote Australia as a business events destination targeting the Associations and Incentives segments, including trade events, buyer and agent familiarisation visits, direct marketing and public relations campaigns, advocacy, marketing toolkits and stakeholder relations.</w:t>
            </w:r>
          </w:p>
          <w:p w:rsidR="00153ED3" w:rsidRPr="00C526EA" w:rsidRDefault="00153ED3" w:rsidP="00F37EE6">
            <w:pPr>
              <w:pStyle w:val="ListParagraph"/>
              <w:numPr>
                <w:ilvl w:val="0"/>
                <w:numId w:val="50"/>
              </w:numPr>
              <w:spacing w:after="0" w:line="240" w:lineRule="auto"/>
              <w:ind w:left="459" w:hanging="459"/>
              <w:contextualSpacing w:val="0"/>
              <w:rPr>
                <w:rFonts w:ascii="Book Antiqua" w:hAnsi="Book Antiqua"/>
                <w:color w:val="000000"/>
                <w:sz w:val="20"/>
                <w:szCs w:val="20"/>
              </w:rPr>
            </w:pPr>
            <w:r w:rsidRPr="00C526EA">
              <w:rPr>
                <w:rFonts w:ascii="Book Antiqua" w:hAnsi="Book Antiqua"/>
                <w:color w:val="000000"/>
                <w:sz w:val="20"/>
                <w:szCs w:val="20"/>
              </w:rPr>
              <w:t xml:space="preserve">Dedicated campaign implementation for the Incentives market in </w:t>
            </w:r>
            <w:r w:rsidR="00C94E7A">
              <w:rPr>
                <w:rFonts w:ascii="Book Antiqua" w:hAnsi="Book Antiqua"/>
                <w:color w:val="000000"/>
                <w:sz w:val="20"/>
                <w:szCs w:val="20"/>
              </w:rPr>
              <w:br/>
            </w:r>
            <w:r w:rsidRPr="00C526EA">
              <w:rPr>
                <w:rFonts w:ascii="Book Antiqua" w:hAnsi="Book Antiqua"/>
                <w:color w:val="000000"/>
                <w:sz w:val="20"/>
                <w:szCs w:val="20"/>
              </w:rPr>
              <w:t>N</w:t>
            </w:r>
            <w:r w:rsidR="00F56CCD">
              <w:rPr>
                <w:rFonts w:ascii="Book Antiqua" w:hAnsi="Book Antiqua"/>
                <w:color w:val="000000"/>
                <w:sz w:val="20"/>
                <w:szCs w:val="20"/>
              </w:rPr>
              <w:t xml:space="preserve">ew </w:t>
            </w:r>
            <w:r w:rsidRPr="00C526EA">
              <w:rPr>
                <w:rFonts w:ascii="Book Antiqua" w:hAnsi="Book Antiqua"/>
                <w:color w:val="000000"/>
                <w:sz w:val="20"/>
                <w:szCs w:val="20"/>
              </w:rPr>
              <w:t>Z</w:t>
            </w:r>
            <w:r w:rsidR="00F56CCD">
              <w:rPr>
                <w:rFonts w:ascii="Book Antiqua" w:hAnsi="Book Antiqua"/>
                <w:color w:val="000000"/>
                <w:sz w:val="20"/>
                <w:szCs w:val="20"/>
              </w:rPr>
              <w:t>ealand</w:t>
            </w:r>
            <w:r w:rsidRPr="00C526EA">
              <w:rPr>
                <w:rFonts w:ascii="Book Antiqua" w:hAnsi="Book Antiqua"/>
                <w:color w:val="000000"/>
                <w:sz w:val="20"/>
                <w:szCs w:val="20"/>
              </w:rPr>
              <w:t>, USA and Greater China.</w:t>
            </w:r>
          </w:p>
          <w:p w:rsidR="00153ED3" w:rsidRPr="00C526EA" w:rsidRDefault="00153ED3" w:rsidP="00F37EE6">
            <w:pPr>
              <w:pStyle w:val="ListParagraph"/>
              <w:numPr>
                <w:ilvl w:val="0"/>
                <w:numId w:val="50"/>
              </w:numPr>
              <w:spacing w:after="0" w:line="240" w:lineRule="auto"/>
              <w:ind w:left="459" w:hanging="459"/>
              <w:contextualSpacing w:val="0"/>
              <w:rPr>
                <w:rFonts w:ascii="Book Antiqua" w:hAnsi="Book Antiqua"/>
                <w:color w:val="000000"/>
                <w:sz w:val="20"/>
                <w:szCs w:val="20"/>
              </w:rPr>
            </w:pPr>
            <w:r w:rsidRPr="00C526EA">
              <w:rPr>
                <w:rFonts w:ascii="Book Antiqua" w:hAnsi="Book Antiqua"/>
                <w:color w:val="000000"/>
                <w:sz w:val="20"/>
                <w:szCs w:val="20"/>
              </w:rPr>
              <w:t xml:space="preserve">An improved digital offering via a segment specific website on </w:t>
            </w:r>
            <w:r w:rsidR="00C94E7A">
              <w:rPr>
                <w:rFonts w:ascii="Book Antiqua" w:hAnsi="Book Antiqua"/>
                <w:color w:val="000000"/>
                <w:sz w:val="20"/>
                <w:szCs w:val="20"/>
              </w:rPr>
              <w:t>a</w:t>
            </w:r>
            <w:r w:rsidRPr="00C526EA">
              <w:rPr>
                <w:rFonts w:ascii="Book Antiqua" w:hAnsi="Book Antiqua"/>
                <w:color w:val="000000"/>
                <w:sz w:val="20"/>
                <w:szCs w:val="20"/>
              </w:rPr>
              <w:t>ustralia.com</w:t>
            </w:r>
          </w:p>
          <w:p w:rsidR="00153ED3" w:rsidRPr="00C526EA" w:rsidRDefault="00153ED3" w:rsidP="00F37EE6">
            <w:pPr>
              <w:pStyle w:val="Exampletextbullet"/>
              <w:numPr>
                <w:ilvl w:val="0"/>
                <w:numId w:val="51"/>
              </w:numPr>
              <w:spacing w:after="120"/>
              <w:ind w:left="488" w:hanging="488"/>
              <w:rPr>
                <w:color w:val="000000"/>
              </w:rPr>
            </w:pPr>
            <w:r w:rsidRPr="00C526EA">
              <w:rPr>
                <w:i w:val="0"/>
                <w:color w:val="000000"/>
              </w:rPr>
              <w:t>Driving visitation via expansion of the delegate boosting program and visitation extension marketing initiatives to drive pre/post travel.</w:t>
            </w:r>
          </w:p>
        </w:tc>
      </w:tr>
    </w:tbl>
    <w:p w:rsidR="00153ED3" w:rsidRPr="00C526EA" w:rsidRDefault="00153ED3" w:rsidP="00153ED3">
      <w:pPr>
        <w:pStyle w:val="NoSpacing"/>
        <w:rPr>
          <w:color w:val="000000"/>
        </w:rPr>
      </w:pPr>
    </w:p>
    <w:p w:rsidR="00153ED3" w:rsidRDefault="00153ED3" w:rsidP="00153ED3">
      <w:pPr>
        <w:pStyle w:val="TableGraphic"/>
      </w:pPr>
    </w:p>
    <w:p w:rsidR="00153ED3" w:rsidRDefault="00153ED3" w:rsidP="00153ED3"/>
    <w:p w:rsidR="00153ED3" w:rsidRDefault="00153ED3" w:rsidP="00153ED3"/>
    <w:p w:rsidR="00153ED3" w:rsidRDefault="00153ED3" w:rsidP="00153ED3"/>
    <w:p w:rsidR="00153ED3" w:rsidRDefault="00153ED3" w:rsidP="00153ED3"/>
    <w:p w:rsidR="00153ED3" w:rsidRDefault="00153ED3" w:rsidP="00153ED3"/>
    <w:p w:rsidR="00153ED3" w:rsidRDefault="00153ED3" w:rsidP="00153ED3"/>
    <w:p w:rsidR="00153ED3" w:rsidRDefault="00153ED3" w:rsidP="00153ED3"/>
    <w:tbl>
      <w:tblPr>
        <w:tblW w:w="7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2"/>
      </w:tblGrid>
      <w:tr w:rsidR="00153ED3" w:rsidTr="009621BD">
        <w:tc>
          <w:tcPr>
            <w:tcW w:w="7592" w:type="dxa"/>
          </w:tcPr>
          <w:p w:rsidR="00153ED3" w:rsidRDefault="00153ED3" w:rsidP="009621BD">
            <w:pPr>
              <w:pStyle w:val="TableColumnHeadingLeft"/>
            </w:pPr>
            <w:r>
              <w:rPr>
                <w:rFonts w:ascii="Book Antiqua" w:hAnsi="Book Antiqua"/>
                <w:b w:val="0"/>
              </w:rPr>
              <w:lastRenderedPageBreak/>
              <w:br w:type="page"/>
            </w:r>
            <w:r>
              <w:t xml:space="preserve">Component 1.1.1 key performance indicators  </w:t>
            </w:r>
          </w:p>
        </w:tc>
      </w:tr>
    </w:tbl>
    <w:p w:rsidR="00D219A5" w:rsidRDefault="00833238" w:rsidP="00B5564F">
      <w:pPr>
        <w:pStyle w:val="Heading4"/>
        <w:tabs>
          <w:tab w:val="clear" w:pos="709"/>
          <w:tab w:val="left" w:pos="0"/>
        </w:tabs>
      </w:pPr>
      <w:r>
        <w:pict>
          <v:shape id="_x0000_i1118" type="#_x0000_t75" style="width:385.25pt;height:222.55pt">
            <v:imagedata r:id="rId199" o:title=""/>
          </v:shape>
        </w:pict>
      </w:r>
    </w:p>
    <w:p w:rsidR="00DF36C7" w:rsidRDefault="00DF36C7" w:rsidP="00DF36C7">
      <w:pPr>
        <w:pStyle w:val="ChartandTableFootnote"/>
        <w:tabs>
          <w:tab w:val="clear" w:pos="284"/>
          <w:tab w:val="left" w:pos="0"/>
        </w:tabs>
        <w:ind w:left="0" w:firstLine="0"/>
        <w:jc w:val="left"/>
      </w:pPr>
      <w:r>
        <w:t>2014-15 actuals based on year end September 2014.</w:t>
      </w:r>
      <w:r>
        <w:br/>
        <w:t>Budget and forward estimates based on year ended December.</w:t>
      </w:r>
    </w:p>
    <w:p w:rsidR="00B5564F" w:rsidRDefault="00B5564F" w:rsidP="009131E0">
      <w:pPr>
        <w:pStyle w:val="SingleParagraph"/>
      </w:pPr>
    </w:p>
    <w:p w:rsidR="00153ED3" w:rsidRDefault="00153ED3" w:rsidP="00153ED3">
      <w:pPr>
        <w:pStyle w:val="Heading4"/>
        <w:rPr>
          <w:rFonts w:ascii="Book Antiqua" w:hAnsi="Book Antiqua"/>
          <w:i/>
          <w:color w:val="FF0000"/>
        </w:rPr>
      </w:pPr>
      <w:r>
        <w:t xml:space="preserve">Contributions to Programme 1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713"/>
      </w:tblGrid>
      <w:tr w:rsidR="00153ED3" w:rsidTr="009621BD">
        <w:tc>
          <w:tcPr>
            <w:tcW w:w="7713" w:type="dxa"/>
            <w:shd w:val="clear" w:color="auto" w:fill="E6E6E6"/>
          </w:tcPr>
          <w:p w:rsidR="00153ED3" w:rsidRDefault="00153ED3" w:rsidP="009621BD">
            <w:pPr>
              <w:pStyle w:val="TableColumnHeadingLeft"/>
            </w:pPr>
            <w:r>
              <w:t>Component 1.1.2 Industry development</w:t>
            </w:r>
          </w:p>
        </w:tc>
      </w:tr>
    </w:tbl>
    <w:p w:rsidR="00153ED3" w:rsidRDefault="00153ED3" w:rsidP="00153ED3">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0"/>
      </w:tblGrid>
      <w:tr w:rsidR="00153ED3" w:rsidTr="00F66D1D">
        <w:trPr>
          <w:trHeight w:val="1200"/>
        </w:trPr>
        <w:tc>
          <w:tcPr>
            <w:tcW w:w="7700" w:type="dxa"/>
          </w:tcPr>
          <w:p w:rsidR="00153ED3" w:rsidRDefault="00153ED3" w:rsidP="009621BD">
            <w:pPr>
              <w:pStyle w:val="TableColumnHeadingLeft"/>
            </w:pPr>
            <w:r>
              <w:t>Component objective</w:t>
            </w:r>
          </w:p>
          <w:p w:rsidR="00153ED3" w:rsidRPr="00C00351" w:rsidRDefault="00153ED3" w:rsidP="009621BD">
            <w:pPr>
              <w:pStyle w:val="Exampletextbullet"/>
              <w:rPr>
                <w:i w:val="0"/>
              </w:rPr>
            </w:pPr>
            <w:r w:rsidRPr="00C00351">
              <w:rPr>
                <w:rFonts w:cs="Arial"/>
                <w:i w:val="0"/>
                <w:color w:val="000000"/>
              </w:rPr>
              <w:t>An Australian tourism industry that is competitive and sustainable and delivers on the needs of the target customer</w:t>
            </w:r>
            <w:r>
              <w:rPr>
                <w:rFonts w:cs="Arial"/>
                <w:i w:val="0"/>
                <w:color w:val="000000"/>
              </w:rPr>
              <w:t>.</w:t>
            </w:r>
          </w:p>
        </w:tc>
      </w:tr>
    </w:tbl>
    <w:p w:rsidR="00153ED3" w:rsidRDefault="00153ED3" w:rsidP="00153ED3">
      <w:pPr>
        <w:pStyle w:val="SingleParagraph"/>
      </w:pPr>
    </w:p>
    <w:p w:rsidR="00153ED3" w:rsidRDefault="00153ED3" w:rsidP="00153ED3">
      <w:pPr>
        <w:pStyle w:val="NoSpacing"/>
      </w:pPr>
    </w:p>
    <w:p w:rsidR="00153ED3" w:rsidRDefault="00153ED3" w:rsidP="00153ED3">
      <w:pPr>
        <w:pStyle w:val="NoSpacing"/>
      </w:pPr>
    </w:p>
    <w:p w:rsidR="00DF36C7" w:rsidRPr="008B4BF2" w:rsidRDefault="00DF36C7" w:rsidP="00DF36C7">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DF36C7" w:rsidRPr="00C00351" w:rsidTr="009621BD">
        <w:trPr>
          <w:trHeight w:val="7482"/>
        </w:trPr>
        <w:tc>
          <w:tcPr>
            <w:tcW w:w="7711" w:type="dxa"/>
          </w:tcPr>
          <w:p w:rsidR="00DF36C7" w:rsidRPr="00C526EA" w:rsidRDefault="00DF36C7" w:rsidP="009621BD">
            <w:pPr>
              <w:pStyle w:val="TableColumnHeadingLeft"/>
              <w:jc w:val="both"/>
              <w:rPr>
                <w:color w:val="000000"/>
              </w:rPr>
            </w:pPr>
            <w:r w:rsidRPr="00C526EA">
              <w:rPr>
                <w:color w:val="000000"/>
              </w:rPr>
              <w:lastRenderedPageBreak/>
              <w:t xml:space="preserve">Component 1.1.2 deliverables </w:t>
            </w:r>
          </w:p>
          <w:p w:rsidR="00DF36C7" w:rsidRPr="00201428" w:rsidRDefault="00DF36C7" w:rsidP="009621BD">
            <w:pPr>
              <w:pStyle w:val="TableTextBullet"/>
              <w:numPr>
                <w:ilvl w:val="0"/>
                <w:numId w:val="0"/>
              </w:numPr>
              <w:spacing w:before="0" w:after="0"/>
              <w:ind w:left="284" w:hanging="284"/>
              <w:rPr>
                <w:rFonts w:ascii="Book Antiqua" w:hAnsi="Book Antiqua" w:cs="Arial"/>
                <w:i/>
                <w:color w:val="000000"/>
                <w:sz w:val="20"/>
              </w:rPr>
            </w:pPr>
            <w:r w:rsidRPr="00201428">
              <w:rPr>
                <w:rFonts w:ascii="Book Antiqua" w:hAnsi="Book Antiqua" w:cs="Arial"/>
                <w:i/>
                <w:color w:val="000000"/>
                <w:sz w:val="20"/>
              </w:rPr>
              <w:t xml:space="preserve">Dissemination of insights on the tourism industry and global target customer </w:t>
            </w:r>
          </w:p>
          <w:p w:rsidR="00DF36C7" w:rsidRPr="00201428" w:rsidRDefault="00DF36C7" w:rsidP="00F37EE6">
            <w:pPr>
              <w:pStyle w:val="Bullet"/>
              <w:numPr>
                <w:ilvl w:val="0"/>
                <w:numId w:val="52"/>
              </w:numPr>
              <w:spacing w:after="0" w:line="240" w:lineRule="auto"/>
              <w:rPr>
                <w:color w:val="000000"/>
              </w:rPr>
            </w:pPr>
            <w:r w:rsidRPr="00201428">
              <w:rPr>
                <w:color w:val="000000"/>
              </w:rPr>
              <w:t>Delivery of an annual conference, regular industry briefings and communications.</w:t>
            </w:r>
          </w:p>
          <w:p w:rsidR="00DF36C7" w:rsidRPr="00201428" w:rsidRDefault="00DF36C7" w:rsidP="009621BD">
            <w:pPr>
              <w:pStyle w:val="TableTextBullet"/>
              <w:numPr>
                <w:ilvl w:val="0"/>
                <w:numId w:val="0"/>
              </w:numPr>
              <w:spacing w:before="0" w:after="0"/>
              <w:rPr>
                <w:rFonts w:ascii="Book Antiqua" w:hAnsi="Book Antiqua" w:cs="Arial"/>
                <w:i/>
                <w:color w:val="000000"/>
                <w:sz w:val="20"/>
              </w:rPr>
            </w:pPr>
            <w:r w:rsidRPr="00201428">
              <w:rPr>
                <w:rFonts w:ascii="Book Antiqua" w:hAnsi="Book Antiqua" w:cs="Arial"/>
                <w:i/>
                <w:color w:val="000000"/>
                <w:sz w:val="20"/>
              </w:rPr>
              <w:t>Engagement of stakeholders</w:t>
            </w:r>
          </w:p>
          <w:p w:rsidR="00DF36C7" w:rsidRPr="00201428" w:rsidRDefault="00DF36C7" w:rsidP="00F37EE6">
            <w:pPr>
              <w:pStyle w:val="Bullet"/>
              <w:numPr>
                <w:ilvl w:val="0"/>
                <w:numId w:val="52"/>
              </w:numPr>
              <w:spacing w:after="0" w:line="240" w:lineRule="auto"/>
              <w:rPr>
                <w:color w:val="000000"/>
              </w:rPr>
            </w:pPr>
            <w:r w:rsidRPr="00201428">
              <w:rPr>
                <w:color w:val="000000"/>
              </w:rPr>
              <w:t>Continued implementation of a dedicated communications plan to deliver awareness and understanding of Tourism Australia strategies, and monitoring of stakeholder participation and satisfaction with Tourism Australia’s initiatives.</w:t>
            </w:r>
          </w:p>
          <w:p w:rsidR="00DF36C7" w:rsidRPr="00201428" w:rsidRDefault="00DF36C7" w:rsidP="009621BD">
            <w:pPr>
              <w:pStyle w:val="TableTextBullet"/>
              <w:numPr>
                <w:ilvl w:val="0"/>
                <w:numId w:val="0"/>
              </w:numPr>
              <w:spacing w:before="0" w:after="0"/>
              <w:rPr>
                <w:rFonts w:ascii="Book Antiqua" w:hAnsi="Book Antiqua" w:cs="Arial"/>
                <w:i/>
                <w:color w:val="000000"/>
                <w:sz w:val="20"/>
              </w:rPr>
            </w:pPr>
            <w:r w:rsidRPr="00201428">
              <w:rPr>
                <w:rFonts w:ascii="Book Antiqua" w:hAnsi="Book Antiqua" w:cs="Arial"/>
                <w:i/>
                <w:color w:val="000000"/>
                <w:sz w:val="20"/>
              </w:rPr>
              <w:t>Support attraction of investment in tourism infrastructure, products and services</w:t>
            </w:r>
          </w:p>
          <w:p w:rsidR="00DF36C7" w:rsidRPr="00201428" w:rsidRDefault="00DF36C7" w:rsidP="00F37EE6">
            <w:pPr>
              <w:pStyle w:val="Bullet"/>
              <w:numPr>
                <w:ilvl w:val="0"/>
                <w:numId w:val="52"/>
              </w:numPr>
              <w:spacing w:after="0" w:line="240" w:lineRule="auto"/>
              <w:rPr>
                <w:color w:val="000000"/>
              </w:rPr>
            </w:pPr>
            <w:r w:rsidRPr="00201428">
              <w:rPr>
                <w:color w:val="000000"/>
              </w:rPr>
              <w:t>Share research on the target customer to provide insight into investment and development required to meet the needs of the target customer.  This work will be undertaken in partnership with Austrade and stakeholders and governments across Australia.</w:t>
            </w:r>
          </w:p>
          <w:p w:rsidR="00DF36C7" w:rsidRPr="00201428" w:rsidRDefault="00DF36C7" w:rsidP="009621BD">
            <w:pPr>
              <w:pStyle w:val="TableTextBullet"/>
              <w:numPr>
                <w:ilvl w:val="0"/>
                <w:numId w:val="0"/>
              </w:numPr>
              <w:spacing w:before="0" w:after="0"/>
              <w:rPr>
                <w:rFonts w:ascii="Book Antiqua" w:hAnsi="Book Antiqua" w:cs="Arial"/>
                <w:i/>
                <w:color w:val="000000"/>
                <w:sz w:val="20"/>
              </w:rPr>
            </w:pPr>
            <w:r w:rsidRPr="00201428">
              <w:rPr>
                <w:rFonts w:ascii="Book Antiqua" w:hAnsi="Book Antiqua" w:cs="Arial"/>
                <w:i/>
                <w:color w:val="000000"/>
                <w:sz w:val="20"/>
              </w:rPr>
              <w:t>Support access to Australia, by assisting existing and new route development and addressing visa access issues</w:t>
            </w:r>
          </w:p>
          <w:p w:rsidR="00DF36C7" w:rsidRPr="00201428" w:rsidRDefault="00DF36C7" w:rsidP="00F37EE6">
            <w:pPr>
              <w:pStyle w:val="Bullet"/>
              <w:numPr>
                <w:ilvl w:val="0"/>
                <w:numId w:val="52"/>
              </w:numPr>
              <w:spacing w:after="0" w:line="240" w:lineRule="auto"/>
              <w:rPr>
                <w:color w:val="000000"/>
              </w:rPr>
            </w:pPr>
            <w:r w:rsidRPr="00201428">
              <w:rPr>
                <w:color w:val="000000"/>
              </w:rPr>
              <w:t xml:space="preserve">Undertake analysis of industry and aviation conditions and provide insights to key stakeholders to assist strategic decision-making. </w:t>
            </w:r>
          </w:p>
          <w:p w:rsidR="00DF36C7" w:rsidRPr="00201428" w:rsidRDefault="00DF36C7" w:rsidP="00F37EE6">
            <w:pPr>
              <w:pStyle w:val="Bullet"/>
              <w:numPr>
                <w:ilvl w:val="0"/>
                <w:numId w:val="52"/>
              </w:numPr>
              <w:spacing w:after="0" w:line="240" w:lineRule="auto"/>
              <w:rPr>
                <w:color w:val="000000"/>
              </w:rPr>
            </w:pPr>
            <w:r w:rsidRPr="00201428">
              <w:rPr>
                <w:color w:val="000000"/>
              </w:rPr>
              <w:t>Work with airports and state and territory tourism organisations to support new route development.</w:t>
            </w:r>
          </w:p>
          <w:p w:rsidR="00DF36C7" w:rsidRPr="00201428" w:rsidRDefault="00DF36C7" w:rsidP="00F37EE6">
            <w:pPr>
              <w:pStyle w:val="Bullet"/>
              <w:numPr>
                <w:ilvl w:val="0"/>
                <w:numId w:val="52"/>
              </w:numPr>
              <w:spacing w:after="0" w:line="240" w:lineRule="auto"/>
              <w:rPr>
                <w:color w:val="000000"/>
              </w:rPr>
            </w:pPr>
            <w:r w:rsidRPr="00201428">
              <w:rPr>
                <w:color w:val="000000"/>
              </w:rPr>
              <w:t>Work to resolve high-level issues that are impediments to growth, including issues around visa access.</w:t>
            </w:r>
          </w:p>
          <w:p w:rsidR="00DF36C7" w:rsidRPr="008C0A0C" w:rsidRDefault="00DF36C7" w:rsidP="009621BD">
            <w:pPr>
              <w:spacing w:after="0" w:line="240" w:lineRule="auto"/>
              <w:rPr>
                <w:rFonts w:cs="Arial"/>
                <w:i/>
                <w:color w:val="000000"/>
              </w:rPr>
            </w:pPr>
            <w:r w:rsidRPr="008C0A0C">
              <w:rPr>
                <w:rFonts w:cs="Arial"/>
                <w:i/>
                <w:color w:val="000000"/>
              </w:rPr>
              <w:t>Promotion of Indigenous Tourism</w:t>
            </w:r>
          </w:p>
          <w:p w:rsidR="00DF36C7" w:rsidRPr="00201428" w:rsidRDefault="00DF36C7" w:rsidP="00F37EE6">
            <w:pPr>
              <w:pStyle w:val="TableTextLeft"/>
              <w:numPr>
                <w:ilvl w:val="0"/>
                <w:numId w:val="52"/>
              </w:numPr>
              <w:spacing w:before="0" w:after="0"/>
              <w:rPr>
                <w:rFonts w:ascii="Book Antiqua" w:hAnsi="Book Antiqua"/>
                <w:color w:val="000000"/>
                <w:sz w:val="20"/>
              </w:rPr>
            </w:pPr>
            <w:r>
              <w:rPr>
                <w:rFonts w:ascii="Book Antiqua" w:hAnsi="Book Antiqua"/>
                <w:color w:val="000000"/>
                <w:sz w:val="20"/>
              </w:rPr>
              <w:t>P</w:t>
            </w:r>
            <w:r w:rsidRPr="00201428">
              <w:rPr>
                <w:rFonts w:ascii="Book Antiqua" w:hAnsi="Book Antiqua"/>
                <w:color w:val="000000"/>
                <w:sz w:val="20"/>
              </w:rPr>
              <w:t>romote Indigenous experiences through Tourism Australia’s consumer marketing activities.</w:t>
            </w:r>
          </w:p>
          <w:p w:rsidR="00DF36C7" w:rsidRPr="00201428" w:rsidRDefault="00DF36C7" w:rsidP="009621BD">
            <w:pPr>
              <w:pStyle w:val="TableTextBullet"/>
              <w:numPr>
                <w:ilvl w:val="0"/>
                <w:numId w:val="0"/>
              </w:numPr>
              <w:spacing w:before="0" w:after="0"/>
              <w:rPr>
                <w:rFonts w:ascii="Book Antiqua" w:hAnsi="Book Antiqua" w:cs="Arial"/>
                <w:i/>
                <w:color w:val="000000"/>
                <w:sz w:val="20"/>
              </w:rPr>
            </w:pPr>
            <w:r w:rsidRPr="00201428">
              <w:rPr>
                <w:rFonts w:ascii="Book Antiqua" w:hAnsi="Book Antiqua" w:cs="Arial"/>
                <w:i/>
                <w:color w:val="000000"/>
                <w:sz w:val="20"/>
              </w:rPr>
              <w:t>Trade Events</w:t>
            </w:r>
          </w:p>
          <w:p w:rsidR="00DF36C7" w:rsidRPr="00201428" w:rsidRDefault="00DF36C7" w:rsidP="00F37EE6">
            <w:pPr>
              <w:pStyle w:val="Bullet"/>
              <w:numPr>
                <w:ilvl w:val="0"/>
                <w:numId w:val="52"/>
              </w:numPr>
              <w:spacing w:after="0" w:line="240" w:lineRule="auto"/>
              <w:rPr>
                <w:color w:val="000000"/>
              </w:rPr>
            </w:pPr>
            <w:r w:rsidRPr="00201428">
              <w:rPr>
                <w:color w:val="000000"/>
              </w:rPr>
              <w:t xml:space="preserve">Coordinate and deliver trade events for Australian tourism businesses to showcase their products and do business with the global distribution network. </w:t>
            </w:r>
          </w:p>
          <w:p w:rsidR="00DF36C7" w:rsidRDefault="00DF36C7" w:rsidP="00F37EE6">
            <w:pPr>
              <w:pStyle w:val="Bullet"/>
              <w:numPr>
                <w:ilvl w:val="0"/>
                <w:numId w:val="52"/>
              </w:numPr>
              <w:spacing w:after="0" w:line="240" w:lineRule="auto"/>
              <w:rPr>
                <w:color w:val="000000"/>
              </w:rPr>
            </w:pPr>
            <w:r w:rsidRPr="00201428">
              <w:rPr>
                <w:color w:val="000000"/>
              </w:rPr>
              <w:t xml:space="preserve">Manage and deliver premier trade events – the Australian Tourism Exchange (ATE) and Dreamtime – and profile Tourism Australia and industry partners.  </w:t>
            </w:r>
          </w:p>
          <w:p w:rsidR="00DF36C7" w:rsidRPr="00201428" w:rsidRDefault="00DF36C7" w:rsidP="009621BD">
            <w:pPr>
              <w:pStyle w:val="TableTextBullet"/>
              <w:numPr>
                <w:ilvl w:val="0"/>
                <w:numId w:val="0"/>
              </w:numPr>
              <w:spacing w:before="0" w:after="0"/>
              <w:jc w:val="both"/>
              <w:rPr>
                <w:rFonts w:ascii="Book Antiqua" w:hAnsi="Book Antiqua" w:cs="Arial"/>
                <w:color w:val="000000"/>
                <w:sz w:val="20"/>
              </w:rPr>
            </w:pPr>
            <w:r w:rsidRPr="00201428">
              <w:rPr>
                <w:rFonts w:ascii="Book Antiqua" w:hAnsi="Book Antiqua" w:cs="Arial"/>
                <w:i/>
                <w:color w:val="000000"/>
                <w:sz w:val="20"/>
              </w:rPr>
              <w:t>Trade Development</w:t>
            </w:r>
          </w:p>
          <w:p w:rsidR="00DF36C7" w:rsidRPr="00201428" w:rsidRDefault="00DF36C7" w:rsidP="00F37EE6">
            <w:pPr>
              <w:pStyle w:val="Bullet"/>
              <w:numPr>
                <w:ilvl w:val="0"/>
                <w:numId w:val="52"/>
              </w:numPr>
              <w:spacing w:after="0" w:line="240" w:lineRule="auto"/>
              <w:rPr>
                <w:color w:val="000000"/>
              </w:rPr>
            </w:pPr>
            <w:r w:rsidRPr="00201428">
              <w:rPr>
                <w:color w:val="000000"/>
              </w:rPr>
              <w:t>Re-launch the Aussie Specialist Program, including new online platform.</w:t>
            </w:r>
          </w:p>
          <w:p w:rsidR="00DF36C7" w:rsidRPr="00201428" w:rsidRDefault="00DF36C7" w:rsidP="00F37EE6">
            <w:pPr>
              <w:pStyle w:val="Bullet"/>
              <w:numPr>
                <w:ilvl w:val="0"/>
                <w:numId w:val="52"/>
              </w:numPr>
              <w:spacing w:after="0" w:line="240" w:lineRule="auto"/>
              <w:rPr>
                <w:color w:val="000000"/>
              </w:rPr>
            </w:pPr>
            <w:r w:rsidRPr="00201428">
              <w:rPr>
                <w:color w:val="000000"/>
              </w:rPr>
              <w:t>Recruit and train travel agents through the Aussie Specialist Program.</w:t>
            </w:r>
          </w:p>
          <w:p w:rsidR="00DF36C7" w:rsidRPr="00201428" w:rsidRDefault="00DF36C7" w:rsidP="00F37EE6">
            <w:pPr>
              <w:pStyle w:val="Bullet"/>
              <w:numPr>
                <w:ilvl w:val="0"/>
                <w:numId w:val="52"/>
              </w:numPr>
              <w:spacing w:after="0" w:line="240" w:lineRule="auto"/>
              <w:rPr>
                <w:color w:val="000000"/>
              </w:rPr>
            </w:pPr>
            <w:r w:rsidRPr="00201428">
              <w:rPr>
                <w:color w:val="000000"/>
              </w:rPr>
              <w:t>Deliver product information and events for the Aussie Specialist Program through coordination with state and territory tourism organisations.</w:t>
            </w:r>
          </w:p>
          <w:p w:rsidR="00DF36C7" w:rsidRPr="00201428" w:rsidRDefault="00DF36C7" w:rsidP="009621BD">
            <w:pPr>
              <w:pStyle w:val="Bullet"/>
              <w:numPr>
                <w:ilvl w:val="0"/>
                <w:numId w:val="0"/>
              </w:numPr>
              <w:spacing w:after="0" w:line="240" w:lineRule="auto"/>
              <w:rPr>
                <w:i/>
                <w:color w:val="000000"/>
              </w:rPr>
            </w:pPr>
            <w:r w:rsidRPr="00201428">
              <w:rPr>
                <w:i/>
                <w:color w:val="000000"/>
              </w:rPr>
              <w:t>Best of Australia</w:t>
            </w:r>
          </w:p>
          <w:p w:rsidR="00DF36C7" w:rsidRPr="00201428" w:rsidRDefault="00DF36C7" w:rsidP="00F37EE6">
            <w:pPr>
              <w:pStyle w:val="TableTextLeft"/>
              <w:numPr>
                <w:ilvl w:val="0"/>
                <w:numId w:val="52"/>
              </w:numPr>
              <w:spacing w:before="0" w:after="0"/>
              <w:rPr>
                <w:rFonts w:ascii="Book Antiqua" w:hAnsi="Book Antiqua"/>
                <w:color w:val="000000"/>
                <w:sz w:val="20"/>
              </w:rPr>
            </w:pPr>
            <w:r w:rsidRPr="00201428">
              <w:rPr>
                <w:rFonts w:ascii="Book Antiqua" w:hAnsi="Book Antiqua"/>
                <w:color w:val="000000"/>
                <w:sz w:val="20"/>
              </w:rPr>
              <w:t xml:space="preserve">Continue to work with industry, government agencies and state partners to promote Australia’s best products and experiences. </w:t>
            </w:r>
          </w:p>
          <w:p w:rsidR="00DF36C7" w:rsidRPr="00C00351" w:rsidRDefault="00DF36C7" w:rsidP="00F37EE6">
            <w:pPr>
              <w:pStyle w:val="Bullet"/>
              <w:numPr>
                <w:ilvl w:val="0"/>
                <w:numId w:val="52"/>
              </w:numPr>
              <w:spacing w:after="0" w:line="240" w:lineRule="auto"/>
              <w:rPr>
                <w:color w:val="000000"/>
              </w:rPr>
            </w:pPr>
            <w:r w:rsidRPr="00201428">
              <w:rPr>
                <w:color w:val="000000"/>
              </w:rPr>
              <w:t xml:space="preserve">Supporting existing </w:t>
            </w:r>
            <w:r w:rsidRPr="00201428">
              <w:rPr>
                <w:i/>
                <w:color w:val="000000"/>
              </w:rPr>
              <w:t>Best of Australia</w:t>
            </w:r>
            <w:r w:rsidRPr="00201428">
              <w:rPr>
                <w:color w:val="000000"/>
              </w:rPr>
              <w:t xml:space="preserve"> initiatives (Great Golf Courses of Australia, Great Walks of Australia</w:t>
            </w:r>
            <w:r>
              <w:rPr>
                <w:color w:val="000000"/>
              </w:rPr>
              <w:t xml:space="preserve">, </w:t>
            </w:r>
            <w:r w:rsidRPr="00201428">
              <w:rPr>
                <w:color w:val="000000"/>
              </w:rPr>
              <w:t>Ultimate Wineries of Australia</w:t>
            </w:r>
            <w:r>
              <w:rPr>
                <w:color w:val="000000"/>
              </w:rPr>
              <w:t xml:space="preserve"> and showcasing the best of Australia’s Indigenous experiences)</w:t>
            </w:r>
            <w:r w:rsidR="00F33CBF">
              <w:rPr>
                <w:color w:val="000000"/>
              </w:rPr>
              <w:t>,</w:t>
            </w:r>
            <w:r w:rsidRPr="00201428">
              <w:rPr>
                <w:color w:val="000000"/>
              </w:rPr>
              <w:t xml:space="preserve"> and deve</w:t>
            </w:r>
            <w:r>
              <w:rPr>
                <w:color w:val="000000"/>
              </w:rPr>
              <w:t>lopment of new programs to reinforce Australia’s food and wine credentials and strengths in coastal and aquatic nature</w:t>
            </w:r>
            <w:r w:rsidRPr="00201428">
              <w:rPr>
                <w:color w:val="000000"/>
              </w:rPr>
              <w:t>.</w:t>
            </w:r>
          </w:p>
        </w:tc>
      </w:tr>
    </w:tbl>
    <w:p w:rsidR="00DF36C7" w:rsidRPr="00C526EA" w:rsidRDefault="00DF36C7" w:rsidP="00DF36C7">
      <w:pPr>
        <w:pStyle w:val="NoSpacing"/>
        <w:rPr>
          <w:color w:val="000000"/>
        </w:rPr>
      </w:pPr>
    </w:p>
    <w:p w:rsidR="00DF36C7" w:rsidRDefault="00DF36C7" w:rsidP="00153ED3">
      <w:pPr>
        <w:pStyle w:val="NoSpacing"/>
      </w:pPr>
    </w:p>
    <w:p w:rsidR="00DF36C7" w:rsidRDefault="00DF36C7" w:rsidP="00153ED3">
      <w:pPr>
        <w:pStyle w:val="NoSpacing"/>
      </w:pPr>
    </w:p>
    <w:p w:rsidR="00DF36C7" w:rsidRDefault="00DF36C7" w:rsidP="00153ED3">
      <w:pPr>
        <w:pStyle w:val="NoSpacing"/>
      </w:pPr>
    </w:p>
    <w:p w:rsidR="00DF36C7" w:rsidRDefault="00DF36C7" w:rsidP="00153ED3">
      <w:pPr>
        <w:pStyle w:val="NoSpacing"/>
      </w:pPr>
    </w:p>
    <w:p w:rsidR="00DF36C7" w:rsidRDefault="00DF36C7" w:rsidP="00F66D1D">
      <w:pPr>
        <w:pStyle w:val="SingleParagraph"/>
        <w:spacing w:line="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DF36C7" w:rsidTr="009621BD">
        <w:tc>
          <w:tcPr>
            <w:tcW w:w="7711" w:type="dxa"/>
          </w:tcPr>
          <w:p w:rsidR="00DF36C7" w:rsidRDefault="00DF36C7" w:rsidP="009621BD">
            <w:pPr>
              <w:pStyle w:val="TableColumnHeadingLeft"/>
            </w:pPr>
            <w:r>
              <w:rPr>
                <w:rFonts w:ascii="Book Antiqua" w:hAnsi="Book Antiqua"/>
                <w:b w:val="0"/>
              </w:rPr>
              <w:lastRenderedPageBreak/>
              <w:br w:type="page"/>
            </w:r>
            <w:r>
              <w:t xml:space="preserve">Component 1.1.2 key performance indicators  </w:t>
            </w:r>
          </w:p>
        </w:tc>
      </w:tr>
    </w:tbl>
    <w:p w:rsidR="00DF36C7" w:rsidRDefault="00DF36C7" w:rsidP="00DF36C7">
      <w:pPr>
        <w:pStyle w:val="SingleParagraph"/>
      </w:pPr>
    </w:p>
    <w:p w:rsidR="00FA5D57" w:rsidRDefault="00833238" w:rsidP="00DF36C7">
      <w:pPr>
        <w:pStyle w:val="NoSpacing"/>
      </w:pPr>
      <w:r>
        <w:pict>
          <v:shape id="_x0000_i1119" type="#_x0000_t75" style="width:379.65pt;height:126.25pt">
            <v:imagedata r:id="rId200" o:title=""/>
          </v:shape>
        </w:pict>
      </w:r>
    </w:p>
    <w:p w:rsidR="00DF36C7" w:rsidRPr="00D02EF1" w:rsidRDefault="00DF36C7" w:rsidP="00DF36C7">
      <w:pPr>
        <w:pStyle w:val="ChartandTableFootnote"/>
        <w:tabs>
          <w:tab w:val="clear" w:pos="284"/>
          <w:tab w:val="left" w:pos="0"/>
        </w:tabs>
        <w:ind w:left="0" w:firstLine="0"/>
      </w:pPr>
      <w:r>
        <w:t xml:space="preserve">Key events include the Australian Tourism Exchange, the Destination Australia Conference and </w:t>
      </w:r>
      <w:r w:rsidR="00002799">
        <w:t>I</w:t>
      </w:r>
      <w:r>
        <w:t xml:space="preserve">ndustry </w:t>
      </w:r>
      <w:r w:rsidR="00002799">
        <w:t>B</w:t>
      </w:r>
      <w:r>
        <w:t>riefings.</w:t>
      </w:r>
    </w:p>
    <w:p w:rsidR="00FA5D57" w:rsidRDefault="00FA5D57" w:rsidP="009131E0">
      <w:pPr>
        <w:pStyle w:val="SingleParagraph"/>
      </w:pPr>
    </w:p>
    <w:p w:rsidR="00B5564F" w:rsidRPr="00A44AA4" w:rsidRDefault="00B5564F" w:rsidP="00F66D1D">
      <w:pPr>
        <w:pStyle w:val="SingleParagraph"/>
        <w:spacing w:line="20" w:lineRule="exact"/>
        <w:rPr>
          <w:color w:val="000000"/>
        </w:rPr>
      </w:pPr>
      <w:r>
        <w:br w:type="page"/>
      </w:r>
    </w:p>
    <w:p w:rsidR="009131E0" w:rsidRDefault="009131E0" w:rsidP="009131E0">
      <w:pPr>
        <w:pStyle w:val="Heading2"/>
        <w:spacing w:before="0" w:after="120"/>
      </w:pPr>
      <w:r>
        <w:t>Section 3: Explanatory tables and budgeted financial statements</w:t>
      </w:r>
    </w:p>
    <w:p w:rsidR="009131E0" w:rsidRDefault="009131E0" w:rsidP="009131E0">
      <w:r>
        <w:t>Section 3 presents explanatory tables and budgeted financial statements which provide a comprehensive snapshot of entity finances for the 2015-16</w:t>
      </w:r>
      <w:r>
        <w:rPr>
          <w:color w:val="00B050"/>
        </w:rPr>
        <w:t xml:space="preserve"> </w:t>
      </w:r>
      <w:r>
        <w:t>budget year. It explains how budget plans are incorporated into the financial statements and provides further details of the reconciliation between appropriations and programme expenses, movements in administered funds, special accounts and government indigenous expenditure.</w:t>
      </w:r>
    </w:p>
    <w:p w:rsidR="009131E0" w:rsidRDefault="009131E0" w:rsidP="009131E0">
      <w:pPr>
        <w:pStyle w:val="Heading3"/>
      </w:pPr>
      <w:r>
        <w:t>3.1</w:t>
      </w:r>
      <w:r>
        <w:tab/>
        <w:t>Explanatory tables</w:t>
      </w:r>
    </w:p>
    <w:p w:rsidR="009131E0" w:rsidRDefault="009131E0" w:rsidP="009131E0">
      <w:pPr>
        <w:pStyle w:val="Heading4"/>
      </w:pPr>
      <w:r>
        <w:t>3.1.1</w:t>
      </w:r>
      <w:r>
        <w:tab/>
        <w:t>Movement of administered funds between years</w:t>
      </w:r>
    </w:p>
    <w:p w:rsidR="006D437E" w:rsidRPr="006D437E" w:rsidRDefault="006D437E" w:rsidP="006D437E">
      <w:r w:rsidRPr="006D437E">
        <w:t xml:space="preserve">This statement is not applicable, as Tourism Australia has no </w:t>
      </w:r>
      <w:r w:rsidR="0056677D">
        <w:t>a</w:t>
      </w:r>
      <w:r w:rsidRPr="006D437E">
        <w:t>dministered funds.</w:t>
      </w:r>
    </w:p>
    <w:p w:rsidR="009131E0" w:rsidRDefault="009131E0" w:rsidP="009131E0">
      <w:pPr>
        <w:pStyle w:val="Heading4"/>
        <w:spacing w:before="0"/>
      </w:pPr>
      <w:r>
        <w:t>3.1.2</w:t>
      </w:r>
      <w:r>
        <w:tab/>
        <w:t>Special accounts</w:t>
      </w:r>
    </w:p>
    <w:p w:rsidR="006D437E" w:rsidRPr="006D437E" w:rsidRDefault="006D437E" w:rsidP="006D437E">
      <w:r w:rsidRPr="006D437E">
        <w:t xml:space="preserve">This statement is not applicable, as Tourism Australia has no </w:t>
      </w:r>
      <w:r w:rsidR="0056677D">
        <w:t>s</w:t>
      </w:r>
      <w:r w:rsidRPr="006D437E">
        <w:t>pecial accounts.</w:t>
      </w:r>
    </w:p>
    <w:p w:rsidR="009131E0" w:rsidRDefault="009131E0" w:rsidP="009131E0">
      <w:pPr>
        <w:pStyle w:val="Heading4"/>
      </w:pPr>
      <w:r>
        <w:t>3.1.3</w:t>
      </w:r>
      <w:r>
        <w:tab/>
        <w:t>Australian Government Indigenous expenditure</w:t>
      </w:r>
    </w:p>
    <w:p w:rsidR="006D437E" w:rsidRPr="005C4BEE" w:rsidRDefault="006D437E" w:rsidP="006D437E">
      <w:pPr>
        <w:pStyle w:val="TableHeading"/>
        <w:rPr>
          <w:sz w:val="20"/>
        </w:rPr>
      </w:pPr>
      <w:r w:rsidRPr="005C4BEE">
        <w:rPr>
          <w:sz w:val="20"/>
        </w:rPr>
        <w:t>Table 3.1.3: Au</w:t>
      </w:r>
      <w:r>
        <w:rPr>
          <w:sz w:val="20"/>
        </w:rPr>
        <w:t>stralian Government Indigenous e</w:t>
      </w:r>
      <w:r w:rsidRPr="005C4BEE">
        <w:rPr>
          <w:sz w:val="20"/>
        </w:rPr>
        <w:t>xpenditure (AGIE)</w:t>
      </w:r>
    </w:p>
    <w:p w:rsidR="009131E0" w:rsidRDefault="00833238" w:rsidP="009131E0">
      <w:pPr>
        <w:pStyle w:val="TableGraphic"/>
      </w:pPr>
      <w:r>
        <w:pict>
          <v:shape id="_x0000_i1120" type="#_x0000_t75" style="width:384.3pt;height:158.95pt">
            <v:imagedata r:id="rId201" o:title=""/>
          </v:shape>
        </w:pict>
      </w:r>
    </w:p>
    <w:p w:rsidR="009131E0" w:rsidRDefault="009131E0" w:rsidP="00277DC0">
      <w:pPr>
        <w:pStyle w:val="Heading3"/>
        <w:spacing w:before="0"/>
      </w:pPr>
      <w:r>
        <w:br w:type="page"/>
      </w:r>
      <w:r>
        <w:lastRenderedPageBreak/>
        <w:t>3.2</w:t>
      </w:r>
      <w:r>
        <w:tab/>
        <w:t>Budgeted financial statements</w:t>
      </w:r>
    </w:p>
    <w:p w:rsidR="009131E0" w:rsidRDefault="009131E0" w:rsidP="009131E0">
      <w:pPr>
        <w:pStyle w:val="Heading4"/>
      </w:pPr>
      <w:r>
        <w:t>3.2.1</w:t>
      </w:r>
      <w:r>
        <w:tab/>
        <w:t>Differences in entity resourcing and financial statements</w:t>
      </w:r>
    </w:p>
    <w:p w:rsidR="006E3BD9" w:rsidRPr="006E3BD9" w:rsidRDefault="006E3BD9" w:rsidP="0056677D">
      <w:pPr>
        <w:pStyle w:val="ExampleText0"/>
        <w:jc w:val="both"/>
        <w:rPr>
          <w:rFonts w:cs="Arial"/>
        </w:rPr>
      </w:pPr>
      <w:r w:rsidRPr="006E3BD9">
        <w:rPr>
          <w:rFonts w:cs="Arial"/>
          <w:i w:val="0"/>
          <w:color w:val="auto"/>
        </w:rPr>
        <w:t>Tourism Australia has no significant differences between the resource information presented in the Budget Papers and in the Portfolio Budget Statements as a result of differences between whole of government level reporting (under Australian Accounting Standard 1049) and entity level financial reporting.</w:t>
      </w:r>
    </w:p>
    <w:p w:rsidR="009131E0" w:rsidRDefault="009131E0" w:rsidP="009131E0">
      <w:pPr>
        <w:pStyle w:val="Heading4"/>
      </w:pPr>
      <w:r>
        <w:t>3.2.2</w:t>
      </w:r>
      <w:r>
        <w:tab/>
        <w:t>Analysis of budgeted financial statements</w:t>
      </w:r>
    </w:p>
    <w:p w:rsidR="006E3BD9" w:rsidRPr="006E3BD9" w:rsidRDefault="006E3BD9" w:rsidP="006E3BD9">
      <w:pPr>
        <w:pStyle w:val="Exampletext"/>
        <w:rPr>
          <w:rFonts w:cs="Arial"/>
          <w:i w:val="0"/>
          <w:color w:val="auto"/>
        </w:rPr>
      </w:pPr>
      <w:r w:rsidRPr="006E3BD9">
        <w:rPr>
          <w:rFonts w:cs="Arial"/>
          <w:i w:val="0"/>
          <w:color w:val="auto"/>
        </w:rPr>
        <w:t>Total operating revenue for 2015-16 is estimated at $169.1 million and is made up of government appropriations of $138.7 million, Asian Marketing Fund from government of $14</w:t>
      </w:r>
      <w:r w:rsidR="0056677D">
        <w:rPr>
          <w:rFonts w:cs="Arial"/>
          <w:i w:val="0"/>
          <w:color w:val="auto"/>
        </w:rPr>
        <w:t>.0</w:t>
      </w:r>
      <w:r w:rsidRPr="006E3BD9">
        <w:rPr>
          <w:rFonts w:cs="Arial"/>
          <w:i w:val="0"/>
          <w:color w:val="auto"/>
        </w:rPr>
        <w:t>m and revenue from other sources of $17.9 million. The total revenue increases by $0.2 million from the 2014-15 estimated actual of $168.9 million.</w:t>
      </w:r>
    </w:p>
    <w:p w:rsidR="006E3BD9" w:rsidRPr="006E3BD9" w:rsidRDefault="006E3BD9" w:rsidP="006E3BD9">
      <w:pPr>
        <w:pStyle w:val="Exampletext"/>
        <w:rPr>
          <w:rFonts w:cs="Arial"/>
          <w:i w:val="0"/>
          <w:color w:val="auto"/>
        </w:rPr>
      </w:pPr>
      <w:r w:rsidRPr="006E3BD9">
        <w:rPr>
          <w:rFonts w:cs="Arial"/>
          <w:i w:val="0"/>
          <w:color w:val="auto"/>
        </w:rPr>
        <w:t>The change includes:</w:t>
      </w:r>
    </w:p>
    <w:p w:rsidR="006E3BD9" w:rsidRPr="006E3BD9" w:rsidRDefault="0056677D" w:rsidP="00F37EE6">
      <w:pPr>
        <w:pStyle w:val="ExampleText0"/>
        <w:numPr>
          <w:ilvl w:val="0"/>
          <w:numId w:val="53"/>
        </w:numPr>
        <w:spacing w:after="0"/>
        <w:rPr>
          <w:rFonts w:cs="Arial"/>
          <w:i w:val="0"/>
          <w:color w:val="auto"/>
        </w:rPr>
      </w:pPr>
      <w:r>
        <w:rPr>
          <w:rFonts w:cs="Arial"/>
          <w:i w:val="0"/>
          <w:color w:val="auto"/>
        </w:rPr>
        <w:t>a</w:t>
      </w:r>
      <w:r w:rsidR="006E3BD9" w:rsidRPr="006E3BD9">
        <w:rPr>
          <w:rFonts w:cs="Arial"/>
          <w:i w:val="0"/>
          <w:color w:val="auto"/>
        </w:rPr>
        <w:t>ppropriation for 2015-16 reflects normal level of funding for Tourism Australia adjus</w:t>
      </w:r>
      <w:r>
        <w:rPr>
          <w:rFonts w:cs="Arial"/>
          <w:i w:val="0"/>
          <w:color w:val="auto"/>
        </w:rPr>
        <w:t>ted for the efficiency dividend;</w:t>
      </w:r>
    </w:p>
    <w:p w:rsidR="006E3BD9" w:rsidRPr="006E3BD9" w:rsidRDefault="0056677D" w:rsidP="00F37EE6">
      <w:pPr>
        <w:pStyle w:val="ExampleText0"/>
        <w:numPr>
          <w:ilvl w:val="0"/>
          <w:numId w:val="53"/>
        </w:numPr>
        <w:spacing w:after="0"/>
        <w:rPr>
          <w:rFonts w:cs="Arial"/>
          <w:i w:val="0"/>
          <w:color w:val="auto"/>
        </w:rPr>
      </w:pPr>
      <w:r>
        <w:rPr>
          <w:rFonts w:cs="Arial"/>
          <w:i w:val="0"/>
          <w:color w:val="auto"/>
        </w:rPr>
        <w:t>i</w:t>
      </w:r>
      <w:r w:rsidR="006E3BD9" w:rsidRPr="006E3BD9">
        <w:rPr>
          <w:rFonts w:cs="Arial"/>
          <w:i w:val="0"/>
          <w:color w:val="auto"/>
        </w:rPr>
        <w:t xml:space="preserve">mpact of wage cost </w:t>
      </w:r>
      <w:r>
        <w:rPr>
          <w:rFonts w:cs="Arial"/>
          <w:i w:val="0"/>
          <w:color w:val="auto"/>
        </w:rPr>
        <w:t>index applied to appropriations; and</w:t>
      </w:r>
      <w:r w:rsidR="006E3BD9" w:rsidRPr="006E3BD9">
        <w:rPr>
          <w:rFonts w:cs="Arial"/>
          <w:i w:val="0"/>
          <w:color w:val="auto"/>
        </w:rPr>
        <w:t xml:space="preserve"> </w:t>
      </w:r>
    </w:p>
    <w:p w:rsidR="006E3BD9" w:rsidRPr="006E3BD9" w:rsidRDefault="006E3BD9" w:rsidP="00F37EE6">
      <w:pPr>
        <w:pStyle w:val="ExampleText0"/>
        <w:numPr>
          <w:ilvl w:val="0"/>
          <w:numId w:val="53"/>
        </w:numPr>
        <w:spacing w:after="0"/>
        <w:rPr>
          <w:rFonts w:cs="Arial"/>
          <w:i w:val="0"/>
          <w:color w:val="auto"/>
        </w:rPr>
      </w:pPr>
      <w:r w:rsidRPr="006E3BD9">
        <w:rPr>
          <w:rFonts w:cs="Arial"/>
          <w:i w:val="0"/>
          <w:color w:val="auto"/>
        </w:rPr>
        <w:t>Asian Marketing Fund receipts of $14</w:t>
      </w:r>
      <w:r w:rsidR="0056677D">
        <w:rPr>
          <w:rFonts w:cs="Arial"/>
          <w:i w:val="0"/>
          <w:color w:val="auto"/>
        </w:rPr>
        <w:t>.0</w:t>
      </w:r>
      <w:r w:rsidRPr="006E3BD9">
        <w:rPr>
          <w:rFonts w:cs="Arial"/>
          <w:i w:val="0"/>
          <w:color w:val="auto"/>
        </w:rPr>
        <w:t xml:space="preserve"> million.</w:t>
      </w:r>
    </w:p>
    <w:p w:rsidR="006E3BD9" w:rsidRPr="006E3BD9" w:rsidRDefault="006E3BD9" w:rsidP="006E3BD9">
      <w:pPr>
        <w:pStyle w:val="ExampleText0"/>
        <w:spacing w:after="0"/>
        <w:rPr>
          <w:rFonts w:cs="Arial"/>
        </w:rPr>
      </w:pPr>
    </w:p>
    <w:p w:rsidR="006E3BD9" w:rsidRPr="006E3BD9" w:rsidRDefault="006E3BD9" w:rsidP="006E3BD9">
      <w:pPr>
        <w:pStyle w:val="Exampletext"/>
        <w:rPr>
          <w:rFonts w:cs="Arial"/>
          <w:i w:val="0"/>
          <w:color w:val="auto"/>
        </w:rPr>
      </w:pPr>
      <w:r w:rsidRPr="006E3BD9">
        <w:rPr>
          <w:rFonts w:cs="Arial"/>
          <w:i w:val="0"/>
          <w:color w:val="auto"/>
        </w:rPr>
        <w:t>Corresponding total expenses are also estimated to be $169.1 million, an increase of $9.3 million from the 2014-15 estimated actual of $159.8 million due to the funding of negative foreign exchange impacts for 2015-16.</w:t>
      </w:r>
    </w:p>
    <w:p w:rsidR="006E3BD9" w:rsidRPr="00861BAB" w:rsidRDefault="006E3BD9" w:rsidP="006E3BD9">
      <w:pPr>
        <w:pStyle w:val="Heading5"/>
        <w:rPr>
          <w:rFonts w:cs="Arial"/>
          <w:sz w:val="22"/>
          <w:szCs w:val="22"/>
        </w:rPr>
      </w:pPr>
      <w:r w:rsidRPr="00861BAB">
        <w:rPr>
          <w:rFonts w:cs="Arial"/>
          <w:sz w:val="22"/>
          <w:szCs w:val="22"/>
        </w:rPr>
        <w:t xml:space="preserve">Departmental – Balance Sheet </w:t>
      </w:r>
    </w:p>
    <w:p w:rsidR="006E3BD9" w:rsidRPr="006E3BD9" w:rsidRDefault="006E3BD9" w:rsidP="006E3BD9">
      <w:pPr>
        <w:rPr>
          <w:rFonts w:cs="Arial"/>
        </w:rPr>
      </w:pPr>
      <w:r w:rsidRPr="006E3BD9">
        <w:rPr>
          <w:rFonts w:cs="Arial"/>
        </w:rPr>
        <w:t>Tourism Australia is budgeting a net asset position of $25.4 million in 2015-16 which reflect the equity injection of $9.1 million for 2013-14 foreign exchange losses, in the 2014-15 estimated actual. Net assets are projected to remain the same beyond 2015-16.</w:t>
      </w:r>
    </w:p>
    <w:p w:rsidR="009131E0" w:rsidRDefault="009131E0" w:rsidP="00277DC0">
      <w:pPr>
        <w:pStyle w:val="Heading4"/>
        <w:spacing w:before="0"/>
      </w:pPr>
      <w:r>
        <w:br w:type="page"/>
      </w:r>
      <w:r>
        <w:lastRenderedPageBreak/>
        <w:t>3.2.3</w:t>
      </w:r>
      <w:r>
        <w:tab/>
        <w:t>Budgeted financial statements tables</w:t>
      </w:r>
    </w:p>
    <w:p w:rsidR="009131E0" w:rsidRPr="003E7981" w:rsidRDefault="009131E0" w:rsidP="009131E0">
      <w:pPr>
        <w:pStyle w:val="TableHeading"/>
        <w:rPr>
          <w:snapToGrid w:val="0"/>
          <w:sz w:val="20"/>
        </w:rPr>
      </w:pPr>
      <w:r w:rsidRPr="003E7981">
        <w:rPr>
          <w:sz w:val="20"/>
        </w:rPr>
        <w:t xml:space="preserve">Table 3.2.1: Comprehensive income statement (showing net cost of services) </w:t>
      </w:r>
      <w:r w:rsidRPr="003E7981">
        <w:rPr>
          <w:snapToGrid w:val="0"/>
          <w:sz w:val="20"/>
        </w:rPr>
        <w:t>for the period ended 30 June</w:t>
      </w:r>
    </w:p>
    <w:p w:rsidR="009131E0" w:rsidRPr="00F626C2" w:rsidRDefault="00833238" w:rsidP="009131E0">
      <w:pPr>
        <w:pStyle w:val="TableGraphic"/>
      </w:pPr>
      <w:r>
        <w:pict>
          <v:shape id="_x0000_i1121" type="#_x0000_t75" style="width:379.65pt;height:461pt">
            <v:imagedata r:id="rId202" o:title=""/>
          </v:shape>
        </w:pict>
      </w:r>
    </w:p>
    <w:p w:rsidR="009131E0" w:rsidRDefault="009131E0" w:rsidP="009131E0">
      <w:pPr>
        <w:pStyle w:val="Source"/>
      </w:pPr>
      <w:r w:rsidRPr="00E4582E">
        <w:t>Prepared on Australian Accounting Standards basis</w:t>
      </w:r>
      <w:r>
        <w:t>.</w:t>
      </w:r>
    </w:p>
    <w:p w:rsidR="009131E0" w:rsidRDefault="009131E0" w:rsidP="009131E0">
      <w:pPr>
        <w:pStyle w:val="Source"/>
      </w:pPr>
    </w:p>
    <w:p w:rsidR="009131E0" w:rsidRPr="00AD7DC3" w:rsidRDefault="009131E0" w:rsidP="00277DC0">
      <w:pPr>
        <w:pStyle w:val="TableHeading"/>
        <w:spacing w:before="0"/>
        <w:rPr>
          <w:sz w:val="20"/>
        </w:rPr>
      </w:pPr>
      <w:r>
        <w:br w:type="page"/>
      </w:r>
      <w:r w:rsidRPr="00AD7DC3">
        <w:rPr>
          <w:sz w:val="20"/>
        </w:rPr>
        <w:lastRenderedPageBreak/>
        <w:t>Table 3.2.2: Budgeted departmental balance sheet (as at 30 June)</w:t>
      </w:r>
    </w:p>
    <w:p w:rsidR="009131E0" w:rsidRPr="00F626C2" w:rsidRDefault="00833238" w:rsidP="009131E0">
      <w:pPr>
        <w:pStyle w:val="TableGraphic"/>
      </w:pPr>
      <w:r>
        <w:pict>
          <v:shape id="_x0000_i1122" type="#_x0000_t75" style="width:383.4pt;height:320.75pt">
            <v:imagedata r:id="rId203" o:title=""/>
          </v:shape>
        </w:pict>
      </w:r>
    </w:p>
    <w:p w:rsidR="00F56CCD" w:rsidRDefault="00833238" w:rsidP="00861BAB">
      <w:pPr>
        <w:pStyle w:val="Source"/>
      </w:pPr>
      <w:r>
        <w:pict>
          <v:shape id="_x0000_i1123" type="#_x0000_t75" style="width:383.4pt;height:96.3pt">
            <v:imagedata r:id="rId204" o:title=""/>
          </v:shape>
        </w:pict>
      </w:r>
    </w:p>
    <w:p w:rsidR="00AD7DC3" w:rsidRDefault="00AD7DC3" w:rsidP="00AD7DC3">
      <w:pPr>
        <w:pStyle w:val="ChartandTableFootnote"/>
      </w:pPr>
      <w:r w:rsidRPr="00E4582E">
        <w:t>*</w:t>
      </w:r>
      <w:r w:rsidR="00E6546D">
        <w:t xml:space="preserve"> ‘</w:t>
      </w:r>
      <w:r w:rsidRPr="00F626C2">
        <w:t>E</w:t>
      </w:r>
      <w:r>
        <w:t>quity’</w:t>
      </w:r>
      <w:r w:rsidRPr="00E4582E">
        <w:t xml:space="preserve"> is the residual interest in assets after deduction of liabilities.</w:t>
      </w:r>
    </w:p>
    <w:p w:rsidR="00861BAB" w:rsidRDefault="00861BAB" w:rsidP="00861BAB">
      <w:pPr>
        <w:pStyle w:val="Source"/>
      </w:pPr>
      <w:r w:rsidRPr="00E4582E">
        <w:t>Prepared on Australian Accounting Standards basis</w:t>
      </w:r>
      <w:r>
        <w:t>.</w:t>
      </w:r>
    </w:p>
    <w:p w:rsidR="009131E0" w:rsidRPr="002722E0" w:rsidRDefault="00861BAB" w:rsidP="00277DC0">
      <w:pPr>
        <w:pStyle w:val="TableHeadingcontinued"/>
        <w:spacing w:before="0"/>
      </w:pPr>
      <w:r>
        <w:br w:type="page"/>
      </w:r>
      <w:r w:rsidR="009131E0" w:rsidRPr="002722E0">
        <w:lastRenderedPageBreak/>
        <w:t>Table 3.2.3: Departmental statement of changes in equity — summary of movement (Budget year 2015-16)</w:t>
      </w:r>
    </w:p>
    <w:p w:rsidR="009131E0" w:rsidRPr="00F626C2" w:rsidRDefault="00833238" w:rsidP="009131E0">
      <w:pPr>
        <w:pStyle w:val="TableGraphic"/>
      </w:pPr>
      <w:r>
        <w:pict>
          <v:shape id="_x0000_i1124" type="#_x0000_t75" style="width:385.25pt;height:196.35pt">
            <v:imagedata r:id="rId205" o:title=""/>
          </v:shape>
        </w:pict>
      </w:r>
    </w:p>
    <w:p w:rsidR="002722E0" w:rsidRDefault="002722E0" w:rsidP="002722E0">
      <w:pPr>
        <w:pStyle w:val="Source"/>
        <w:numPr>
          <w:ilvl w:val="4"/>
          <w:numId w:val="2"/>
        </w:numPr>
        <w:ind w:hanging="1800"/>
      </w:pPr>
      <w:r w:rsidRPr="00AD7DC3">
        <w:rPr>
          <w:i/>
        </w:rPr>
        <w:t>Appropriation Bill 4</w:t>
      </w:r>
      <w:r w:rsidR="00667EF7">
        <w:t xml:space="preserve"> </w:t>
      </w:r>
      <w:r w:rsidR="00667EF7" w:rsidRPr="00AD7DC3">
        <w:rPr>
          <w:i/>
        </w:rPr>
        <w:t>(2014-15)</w:t>
      </w:r>
      <w:r w:rsidR="00667EF7">
        <w:t xml:space="preserve"> for 2014-15 </w:t>
      </w:r>
      <w:r w:rsidR="00AD7DC3">
        <w:t>$</w:t>
      </w:r>
      <w:r w:rsidR="00667EF7">
        <w:t>9.115m</w:t>
      </w:r>
      <w:r w:rsidRPr="00E4582E">
        <w:t>.</w:t>
      </w:r>
    </w:p>
    <w:p w:rsidR="009131E0" w:rsidRDefault="009131E0" w:rsidP="009131E0">
      <w:pPr>
        <w:pStyle w:val="Source"/>
      </w:pPr>
      <w:r>
        <w:t>Prepared on Australian Accounting Standards basis.</w:t>
      </w:r>
    </w:p>
    <w:p w:rsidR="009131E0" w:rsidRDefault="009131E0" w:rsidP="009131E0">
      <w:pPr>
        <w:pStyle w:val="NoSpacing"/>
      </w:pPr>
    </w:p>
    <w:p w:rsidR="009131E0" w:rsidRPr="00667EF7" w:rsidRDefault="009131E0" w:rsidP="00277DC0">
      <w:pPr>
        <w:pStyle w:val="TableHeading"/>
        <w:spacing w:before="0"/>
        <w:rPr>
          <w:sz w:val="20"/>
        </w:rPr>
      </w:pPr>
      <w:r>
        <w:br w:type="page"/>
      </w:r>
      <w:r w:rsidRPr="00667EF7">
        <w:rPr>
          <w:sz w:val="20"/>
        </w:rPr>
        <w:lastRenderedPageBreak/>
        <w:t xml:space="preserve">Table 3.2.4: Budgeted departmental statement of cash flows (for the period ended 30 June) </w:t>
      </w:r>
    </w:p>
    <w:p w:rsidR="009131E0" w:rsidRPr="00F10305" w:rsidRDefault="00833238" w:rsidP="009131E0">
      <w:pPr>
        <w:pStyle w:val="TableGraphic"/>
      </w:pPr>
      <w:r>
        <w:pict>
          <v:shape id="_x0000_i1125" type="#_x0000_t75" style="width:383.4pt;height:496.5pt">
            <v:imagedata r:id="rId206" o:title=""/>
          </v:shape>
        </w:pict>
      </w:r>
    </w:p>
    <w:p w:rsidR="00667EF7" w:rsidRDefault="00667EF7" w:rsidP="00F37EE6">
      <w:pPr>
        <w:pStyle w:val="Source"/>
        <w:numPr>
          <w:ilvl w:val="4"/>
          <w:numId w:val="54"/>
        </w:numPr>
        <w:ind w:hanging="1800"/>
      </w:pPr>
      <w:r>
        <w:t>Return of foreign exchange</w:t>
      </w:r>
      <w:r w:rsidRPr="00E4582E">
        <w:t>.</w:t>
      </w:r>
    </w:p>
    <w:p w:rsidR="009131E0" w:rsidRDefault="009131E0" w:rsidP="009131E0">
      <w:pPr>
        <w:pStyle w:val="Source"/>
      </w:pPr>
      <w:r>
        <w:t>Prepared on Australian Accounting Standards basis.</w:t>
      </w:r>
    </w:p>
    <w:p w:rsidR="009131E0" w:rsidRDefault="009131E0" w:rsidP="009131E0">
      <w:pPr>
        <w:pStyle w:val="NoSpacing"/>
      </w:pPr>
    </w:p>
    <w:p w:rsidR="009131E0" w:rsidRPr="00920FF0" w:rsidRDefault="009131E0" w:rsidP="00277DC0">
      <w:pPr>
        <w:pStyle w:val="TableHeading"/>
        <w:spacing w:before="0"/>
        <w:rPr>
          <w:sz w:val="20"/>
        </w:rPr>
      </w:pPr>
      <w:r>
        <w:br w:type="page"/>
      </w:r>
      <w:r w:rsidRPr="00920FF0">
        <w:rPr>
          <w:sz w:val="20"/>
        </w:rPr>
        <w:lastRenderedPageBreak/>
        <w:t>Table 3.2.5: Departmental capital budget statement (for the period ended 30 June)</w:t>
      </w:r>
    </w:p>
    <w:p w:rsidR="009131E0" w:rsidRPr="00F10305" w:rsidRDefault="00833238" w:rsidP="009131E0">
      <w:pPr>
        <w:pStyle w:val="TableGraphic"/>
      </w:pPr>
      <w:r>
        <w:pict>
          <v:shape id="_x0000_i1126" type="#_x0000_t75" style="width:383.4pt;height:157.1pt">
            <v:imagedata r:id="rId207" o:title=""/>
          </v:shape>
        </w:pict>
      </w:r>
    </w:p>
    <w:p w:rsidR="009131E0" w:rsidRDefault="009131E0" w:rsidP="009131E0">
      <w:pPr>
        <w:pStyle w:val="Source"/>
      </w:pPr>
      <w:r>
        <w:t>Prepared on Australian Accounting Standards basis.</w:t>
      </w:r>
    </w:p>
    <w:p w:rsidR="009131E0" w:rsidRDefault="009131E0" w:rsidP="009131E0">
      <w:pPr>
        <w:pStyle w:val="NoSpacing"/>
      </w:pPr>
    </w:p>
    <w:p w:rsidR="009131E0" w:rsidRDefault="009131E0" w:rsidP="009131E0">
      <w:pPr>
        <w:pStyle w:val="ExampleText0"/>
        <w:sectPr w:rsidR="009131E0" w:rsidSect="000A24C4">
          <w:headerReference w:type="even" r:id="rId208"/>
          <w:headerReference w:type="default" r:id="rId209"/>
          <w:headerReference w:type="first" r:id="rId210"/>
          <w:footerReference w:type="first" r:id="rId211"/>
          <w:type w:val="oddPage"/>
          <w:pgSz w:w="11906" w:h="16838" w:code="9"/>
          <w:pgMar w:top="2466" w:right="2098" w:bottom="2466" w:left="2098" w:header="1899" w:footer="1899" w:gutter="0"/>
          <w:cols w:space="708"/>
          <w:titlePg/>
          <w:docGrid w:linePitch="360"/>
        </w:sectPr>
      </w:pPr>
    </w:p>
    <w:p w:rsidR="009131E0" w:rsidRPr="000E2661" w:rsidRDefault="009131E0" w:rsidP="00277DC0">
      <w:pPr>
        <w:pStyle w:val="TableHeading"/>
        <w:spacing w:before="0" w:after="0"/>
        <w:rPr>
          <w:sz w:val="22"/>
        </w:rPr>
      </w:pPr>
      <w:r w:rsidRPr="000E2661">
        <w:rPr>
          <w:sz w:val="22"/>
        </w:rPr>
        <w:lastRenderedPageBreak/>
        <w:t>Table 3.2.6: Statement of asset movements (Budget year 2015</w:t>
      </w:r>
      <w:r w:rsidRPr="000E2661">
        <w:rPr>
          <w:sz w:val="22"/>
        </w:rPr>
        <w:noBreakHyphen/>
        <w:t>16)</w:t>
      </w:r>
    </w:p>
    <w:p w:rsidR="009131E0" w:rsidRPr="00F10305" w:rsidRDefault="00833238" w:rsidP="009131E0">
      <w:pPr>
        <w:pStyle w:val="TableGraphic"/>
      </w:pPr>
      <w:r>
        <w:pict>
          <v:shape id="_x0000_i1127" type="#_x0000_t75" style="width:378.7pt;height:281.45pt">
            <v:imagedata r:id="rId212" o:title=""/>
          </v:shape>
        </w:pict>
      </w:r>
    </w:p>
    <w:p w:rsidR="009131E0" w:rsidRPr="002B7D6F" w:rsidRDefault="009131E0" w:rsidP="009131E0">
      <w:pPr>
        <w:pStyle w:val="Source"/>
      </w:pPr>
      <w:r w:rsidRPr="003458E0">
        <w:t>Prepared on Australian Accounting Standards basis.</w:t>
      </w:r>
    </w:p>
    <w:p w:rsidR="009131E0" w:rsidRPr="002B7D6F" w:rsidRDefault="009131E0" w:rsidP="009131E0">
      <w:pPr>
        <w:sectPr w:rsidR="009131E0" w:rsidRPr="002B7D6F" w:rsidSect="00905D25">
          <w:headerReference w:type="even" r:id="rId213"/>
          <w:headerReference w:type="default" r:id="rId214"/>
          <w:footerReference w:type="even" r:id="rId215"/>
          <w:headerReference w:type="first" r:id="rId216"/>
          <w:footerReference w:type="first" r:id="rId217"/>
          <w:pgSz w:w="11906" w:h="16838" w:code="9"/>
          <w:pgMar w:top="2466" w:right="2098" w:bottom="2466" w:left="2098" w:header="1531" w:footer="1531" w:gutter="0"/>
          <w:cols w:space="708"/>
          <w:titlePg/>
          <w:docGrid w:linePitch="360"/>
        </w:sectPr>
      </w:pPr>
    </w:p>
    <w:p w:rsidR="009131E0" w:rsidRDefault="009131E0" w:rsidP="00277DC0">
      <w:pPr>
        <w:pStyle w:val="Heading4"/>
        <w:spacing w:before="0"/>
      </w:pPr>
      <w:r>
        <w:lastRenderedPageBreak/>
        <w:t>3.2.4</w:t>
      </w:r>
      <w:r>
        <w:tab/>
        <w:t>Notes to the financial statements</w:t>
      </w:r>
    </w:p>
    <w:p w:rsidR="00005E98" w:rsidRPr="00005E98" w:rsidRDefault="00005E98" w:rsidP="00005E98">
      <w:pPr>
        <w:pStyle w:val="Exampletext"/>
        <w:rPr>
          <w:rFonts w:eastAsia="Calibri"/>
          <w:i w:val="0"/>
          <w:color w:val="auto"/>
        </w:rPr>
      </w:pPr>
      <w:r>
        <w:rPr>
          <w:i w:val="0"/>
          <w:iCs/>
          <w:color w:val="auto"/>
        </w:rPr>
        <w:t>The financial statements have been prepared in accordance with:</w:t>
      </w:r>
    </w:p>
    <w:p w:rsidR="00005E98" w:rsidRDefault="00005E98" w:rsidP="00005E98">
      <w:pPr>
        <w:pStyle w:val="Exampletext"/>
        <w:ind w:left="720" w:hanging="360"/>
        <w:rPr>
          <w:i w:val="0"/>
          <w:iCs/>
          <w:color w:val="auto"/>
        </w:rPr>
      </w:pPr>
      <w:r>
        <w:rPr>
          <w:rFonts w:ascii="Symbol" w:hAnsi="Symbol"/>
          <w:i w:val="0"/>
          <w:iCs/>
          <w:color w:val="auto"/>
        </w:rPr>
        <w:t></w:t>
      </w:r>
      <w:r>
        <w:rPr>
          <w:rFonts w:ascii="Times New Roman" w:hAnsi="Times New Roman"/>
          <w:i w:val="0"/>
          <w:iCs/>
          <w:color w:val="auto"/>
          <w:sz w:val="14"/>
          <w:szCs w:val="14"/>
        </w:rPr>
        <w:t xml:space="preserve">        </w:t>
      </w:r>
      <w:r>
        <w:rPr>
          <w:i w:val="0"/>
          <w:iCs/>
          <w:color w:val="auto"/>
        </w:rPr>
        <w:t xml:space="preserve">Finance </w:t>
      </w:r>
      <w:r w:rsidR="00C24D5C">
        <w:rPr>
          <w:i w:val="0"/>
          <w:iCs/>
          <w:color w:val="auto"/>
        </w:rPr>
        <w:t>M</w:t>
      </w:r>
      <w:r>
        <w:rPr>
          <w:i w:val="0"/>
          <w:iCs/>
          <w:color w:val="auto"/>
        </w:rPr>
        <w:t>inister’s Orders; and</w:t>
      </w:r>
    </w:p>
    <w:p w:rsidR="00005E98" w:rsidRDefault="00005E98" w:rsidP="00005E98">
      <w:pPr>
        <w:pStyle w:val="Exampletext"/>
        <w:ind w:left="720" w:hanging="360"/>
        <w:rPr>
          <w:i w:val="0"/>
          <w:iCs/>
          <w:color w:val="auto"/>
        </w:rPr>
      </w:pPr>
      <w:r>
        <w:rPr>
          <w:rFonts w:ascii="Symbol" w:hAnsi="Symbol"/>
          <w:i w:val="0"/>
          <w:iCs/>
          <w:color w:val="auto"/>
        </w:rPr>
        <w:t></w:t>
      </w:r>
      <w:r>
        <w:rPr>
          <w:rFonts w:ascii="Times New Roman" w:hAnsi="Times New Roman"/>
          <w:i w:val="0"/>
          <w:iCs/>
          <w:color w:val="auto"/>
          <w:sz w:val="14"/>
          <w:szCs w:val="14"/>
        </w:rPr>
        <w:t xml:space="preserve">        </w:t>
      </w:r>
      <w:r>
        <w:rPr>
          <w:i w:val="0"/>
          <w:iCs/>
          <w:color w:val="auto"/>
        </w:rPr>
        <w:t>Australian Accounting Standards and Accounting Interpretations issued by the Australian Accounting Standards Board.</w:t>
      </w:r>
    </w:p>
    <w:p w:rsidR="00005E98" w:rsidRDefault="00005E98" w:rsidP="00005E98">
      <w:pPr>
        <w:pStyle w:val="Exampletext"/>
        <w:rPr>
          <w:i w:val="0"/>
          <w:iCs/>
          <w:color w:val="auto"/>
        </w:rPr>
      </w:pPr>
      <w:r>
        <w:rPr>
          <w:i w:val="0"/>
          <w:iCs/>
          <w:color w:val="auto"/>
        </w:rPr>
        <w:t>Assets and liabilities are recognised in the balance sheet when and only when it is</w:t>
      </w:r>
      <w:r w:rsidR="0083034B">
        <w:rPr>
          <w:i w:val="0"/>
          <w:iCs/>
          <w:color w:val="auto"/>
        </w:rPr>
        <w:t> probable</w:t>
      </w:r>
      <w:r>
        <w:rPr>
          <w:i w:val="0"/>
          <w:iCs/>
          <w:color w:val="auto"/>
        </w:rPr>
        <w:t xml:space="preserve"> that future economic benefits will flow and the amounts of the assets and liabilities can be reliably measured.</w:t>
      </w:r>
    </w:p>
    <w:p w:rsidR="00005E98" w:rsidRDefault="00005E98" w:rsidP="00005E98">
      <w:pPr>
        <w:pStyle w:val="Exampletext"/>
        <w:rPr>
          <w:i w:val="0"/>
          <w:iCs/>
          <w:color w:val="auto"/>
        </w:rPr>
      </w:pPr>
      <w:r>
        <w:rPr>
          <w:i w:val="0"/>
          <w:iCs/>
          <w:color w:val="auto"/>
        </w:rPr>
        <w:t>Revenues and expenses are recognised in the income statement when and only when the flow or consumption or loss of economic benefit has occurred and can be reliably measured.</w:t>
      </w:r>
    </w:p>
    <w:p w:rsidR="00005E98" w:rsidRDefault="00005E98" w:rsidP="00005E98">
      <w:pPr>
        <w:pStyle w:val="Exampletext"/>
        <w:rPr>
          <w:i w:val="0"/>
          <w:iCs/>
          <w:color w:val="auto"/>
        </w:rPr>
      </w:pPr>
      <w:r>
        <w:rPr>
          <w:i w:val="0"/>
          <w:iCs/>
          <w:color w:val="auto"/>
        </w:rPr>
        <w:t>The analysis of budgeted financial statements provides an overview of the key elements of Tourism Australia’s financial statements, including variations in major aggregates from actual of 2014-15 to budget estimate of 2015-16.</w:t>
      </w:r>
    </w:p>
    <w:p w:rsidR="00C41D55" w:rsidRDefault="00C41D55" w:rsidP="00C41D55">
      <w:pPr>
        <w:pStyle w:val="Exampletext"/>
      </w:pPr>
    </w:p>
    <w:p w:rsidR="00C41D55" w:rsidRDefault="00C41D55" w:rsidP="00C41D55"/>
    <w:p w:rsidR="00C41D55" w:rsidRDefault="00C41D55" w:rsidP="00C41D55">
      <w:pPr>
        <w:sectPr w:rsidR="00C41D55" w:rsidSect="00982444">
          <w:headerReference w:type="even" r:id="rId218"/>
          <w:headerReference w:type="default" r:id="rId219"/>
          <w:headerReference w:type="first" r:id="rId220"/>
          <w:footerReference w:type="first" r:id="rId221"/>
          <w:pgSz w:w="11906" w:h="16838" w:code="9"/>
          <w:pgMar w:top="2466" w:right="2098" w:bottom="2466" w:left="2098" w:header="1899" w:footer="1899" w:gutter="0"/>
          <w:cols w:space="708"/>
          <w:titlePg/>
          <w:docGrid w:linePitch="360"/>
        </w:sectPr>
      </w:pPr>
    </w:p>
    <w:p w:rsidR="00DB1C35" w:rsidRDefault="000C3B86" w:rsidP="00DB1C35">
      <w:pPr>
        <w:pStyle w:val="Heading1"/>
      </w:pPr>
      <w:bookmarkStart w:id="29" w:name="_Toc190766151"/>
      <w:r>
        <w:lastRenderedPageBreak/>
        <w:t>Portfolio glossary</w:t>
      </w:r>
      <w:bookmarkEnd w:id="2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760"/>
      </w:tblGrid>
      <w:tr w:rsidR="00DB1C35" w:rsidTr="00BE1E5B">
        <w:tc>
          <w:tcPr>
            <w:tcW w:w="1980" w:type="dxa"/>
            <w:tcBorders>
              <w:top w:val="single" w:sz="4" w:space="0" w:color="auto"/>
              <w:left w:val="single" w:sz="4" w:space="0" w:color="auto"/>
              <w:bottom w:val="single" w:sz="4" w:space="0" w:color="auto"/>
              <w:right w:val="single" w:sz="4" w:space="0" w:color="auto"/>
            </w:tcBorders>
            <w:hideMark/>
          </w:tcPr>
          <w:p w:rsidR="00DB1C35" w:rsidRDefault="00DB1C35" w:rsidP="00BE1E5B">
            <w:r>
              <w:t>Term</w:t>
            </w:r>
          </w:p>
        </w:tc>
        <w:tc>
          <w:tcPr>
            <w:tcW w:w="5760" w:type="dxa"/>
            <w:tcBorders>
              <w:top w:val="single" w:sz="4" w:space="0" w:color="auto"/>
              <w:left w:val="single" w:sz="4" w:space="0" w:color="auto"/>
              <w:bottom w:val="single" w:sz="4" w:space="0" w:color="auto"/>
              <w:right w:val="single" w:sz="4" w:space="0" w:color="auto"/>
            </w:tcBorders>
            <w:hideMark/>
          </w:tcPr>
          <w:p w:rsidR="00DB1C35" w:rsidRDefault="00DB1C35" w:rsidP="00BE1E5B">
            <w:r>
              <w:t>Meaning</w:t>
            </w:r>
          </w:p>
        </w:tc>
      </w:tr>
      <w:tr w:rsidR="00DB1C35" w:rsidTr="00BE1E5B">
        <w:tc>
          <w:tcPr>
            <w:tcW w:w="1980" w:type="dxa"/>
            <w:tcBorders>
              <w:top w:val="single" w:sz="4" w:space="0" w:color="auto"/>
              <w:left w:val="single" w:sz="4" w:space="0" w:color="auto"/>
              <w:bottom w:val="single" w:sz="4" w:space="0" w:color="auto"/>
              <w:right w:val="single" w:sz="4" w:space="0" w:color="auto"/>
            </w:tcBorders>
            <w:hideMark/>
          </w:tcPr>
          <w:p w:rsidR="00DB1C35" w:rsidRDefault="00DB1C35" w:rsidP="00BE1E5B">
            <w:r>
              <w:t>Accrual accounting</w:t>
            </w:r>
          </w:p>
        </w:tc>
        <w:tc>
          <w:tcPr>
            <w:tcW w:w="5760" w:type="dxa"/>
            <w:tcBorders>
              <w:top w:val="single" w:sz="4" w:space="0" w:color="auto"/>
              <w:left w:val="single" w:sz="4" w:space="0" w:color="auto"/>
              <w:bottom w:val="single" w:sz="4" w:space="0" w:color="auto"/>
              <w:right w:val="single" w:sz="4" w:space="0" w:color="auto"/>
            </w:tcBorders>
            <w:hideMark/>
          </w:tcPr>
          <w:p w:rsidR="00DB1C35" w:rsidRDefault="00DB1C35" w:rsidP="00BE1E5B">
            <w:r>
              <w:t xml:space="preserve">System of accounting where items are brought to account and included in the financial statements as they are earned or incurred, rather than as they are received or paid. </w:t>
            </w:r>
          </w:p>
        </w:tc>
      </w:tr>
      <w:tr w:rsidR="00DB1C35" w:rsidTr="00BE1E5B">
        <w:tc>
          <w:tcPr>
            <w:tcW w:w="1980" w:type="dxa"/>
            <w:tcBorders>
              <w:top w:val="single" w:sz="4" w:space="0" w:color="auto"/>
              <w:left w:val="single" w:sz="4" w:space="0" w:color="auto"/>
              <w:bottom w:val="single" w:sz="4" w:space="0" w:color="auto"/>
              <w:right w:val="single" w:sz="4" w:space="0" w:color="auto"/>
            </w:tcBorders>
            <w:hideMark/>
          </w:tcPr>
          <w:p w:rsidR="00DB1C35" w:rsidRDefault="00DB1C35" w:rsidP="00BE1E5B">
            <w:r>
              <w:t>Accumulated depreciation</w:t>
            </w:r>
          </w:p>
        </w:tc>
        <w:tc>
          <w:tcPr>
            <w:tcW w:w="5760" w:type="dxa"/>
            <w:tcBorders>
              <w:top w:val="single" w:sz="4" w:space="0" w:color="auto"/>
              <w:left w:val="single" w:sz="4" w:space="0" w:color="auto"/>
              <w:bottom w:val="single" w:sz="4" w:space="0" w:color="auto"/>
              <w:right w:val="single" w:sz="4" w:space="0" w:color="auto"/>
            </w:tcBorders>
            <w:hideMark/>
          </w:tcPr>
          <w:p w:rsidR="00DB1C35" w:rsidRDefault="00DB1C35" w:rsidP="00BE1E5B">
            <w:r>
              <w:t>The aggregate depreciation recorded for a particular depreciating asset.</w:t>
            </w:r>
          </w:p>
        </w:tc>
      </w:tr>
      <w:tr w:rsidR="00DB1C35" w:rsidTr="00BE1E5B">
        <w:tc>
          <w:tcPr>
            <w:tcW w:w="1980" w:type="dxa"/>
            <w:tcBorders>
              <w:top w:val="single" w:sz="4" w:space="0" w:color="auto"/>
              <w:left w:val="single" w:sz="4" w:space="0" w:color="auto"/>
              <w:bottom w:val="single" w:sz="4" w:space="0" w:color="auto"/>
              <w:right w:val="single" w:sz="4" w:space="0" w:color="auto"/>
            </w:tcBorders>
            <w:hideMark/>
          </w:tcPr>
          <w:p w:rsidR="00DB1C35" w:rsidRDefault="00DB1C35" w:rsidP="00BE1E5B">
            <w:r>
              <w:t xml:space="preserve">Additional Estimates </w:t>
            </w:r>
          </w:p>
        </w:tc>
        <w:tc>
          <w:tcPr>
            <w:tcW w:w="5760" w:type="dxa"/>
            <w:tcBorders>
              <w:top w:val="single" w:sz="4" w:space="0" w:color="auto"/>
              <w:left w:val="single" w:sz="4" w:space="0" w:color="auto"/>
              <w:bottom w:val="single" w:sz="4" w:space="0" w:color="auto"/>
              <w:right w:val="single" w:sz="4" w:space="0" w:color="auto"/>
            </w:tcBorders>
            <w:hideMark/>
          </w:tcPr>
          <w:p w:rsidR="00DB1C35" w:rsidRDefault="00DB1C35" w:rsidP="00BE1E5B">
            <w:r>
              <w:t xml:space="preserve">Where amounts appropriated at Budget time are insufficient, Parliament may appropriate more funds to portfolios through the Additional Estimates Acts. </w:t>
            </w:r>
          </w:p>
        </w:tc>
      </w:tr>
      <w:tr w:rsidR="00DB1C35" w:rsidTr="00BE1E5B">
        <w:tc>
          <w:tcPr>
            <w:tcW w:w="1980" w:type="dxa"/>
            <w:tcBorders>
              <w:top w:val="single" w:sz="4" w:space="0" w:color="auto"/>
              <w:left w:val="single" w:sz="4" w:space="0" w:color="auto"/>
              <w:bottom w:val="single" w:sz="4" w:space="0" w:color="auto"/>
              <w:right w:val="single" w:sz="4" w:space="0" w:color="auto"/>
            </w:tcBorders>
            <w:hideMark/>
          </w:tcPr>
          <w:p w:rsidR="00DB1C35" w:rsidRDefault="00DB1C35" w:rsidP="00BE1E5B">
            <w:r>
              <w:t>Administered</w:t>
            </w:r>
          </w:p>
        </w:tc>
        <w:tc>
          <w:tcPr>
            <w:tcW w:w="5760" w:type="dxa"/>
            <w:tcBorders>
              <w:top w:val="single" w:sz="4" w:space="0" w:color="auto"/>
              <w:left w:val="single" w:sz="4" w:space="0" w:color="auto"/>
              <w:bottom w:val="single" w:sz="4" w:space="0" w:color="auto"/>
              <w:right w:val="single" w:sz="4" w:space="0" w:color="auto"/>
            </w:tcBorders>
            <w:hideMark/>
          </w:tcPr>
          <w:p w:rsidR="00DB1C35" w:rsidRDefault="00DB1C35" w:rsidP="00494FDD">
            <w:r>
              <w:t xml:space="preserve">Revenues, expenses, assets or liabilities managed by </w:t>
            </w:r>
            <w:r w:rsidR="00494FDD">
              <w:t>entities</w:t>
            </w:r>
            <w:r>
              <w:t xml:space="preserve"> on behalf of the Commonwealth.  </w:t>
            </w:r>
            <w:r w:rsidR="00494FDD">
              <w:t>Entities</w:t>
            </w:r>
            <w:r>
              <w:t xml:space="preserve"> do not control administered items.  Administered expenses include grants, subsidies and benefits.  In many cases, administered expenses fund the delivery of third party outputs.</w:t>
            </w:r>
          </w:p>
        </w:tc>
      </w:tr>
      <w:tr w:rsidR="00DB1C35" w:rsidTr="00BE1E5B">
        <w:tc>
          <w:tcPr>
            <w:tcW w:w="1980" w:type="dxa"/>
            <w:tcBorders>
              <w:top w:val="single" w:sz="4" w:space="0" w:color="auto"/>
              <w:left w:val="single" w:sz="4" w:space="0" w:color="auto"/>
              <w:bottom w:val="single" w:sz="4" w:space="0" w:color="auto"/>
              <w:right w:val="single" w:sz="4" w:space="0" w:color="auto"/>
            </w:tcBorders>
            <w:hideMark/>
          </w:tcPr>
          <w:p w:rsidR="00DB1C35" w:rsidRDefault="00DB1C35" w:rsidP="00BE1E5B">
            <w:r>
              <w:t>Annual appropriation</w:t>
            </w:r>
          </w:p>
        </w:tc>
        <w:tc>
          <w:tcPr>
            <w:tcW w:w="5760" w:type="dxa"/>
            <w:tcBorders>
              <w:top w:val="single" w:sz="4" w:space="0" w:color="auto"/>
              <w:left w:val="single" w:sz="4" w:space="0" w:color="auto"/>
              <w:bottom w:val="single" w:sz="4" w:space="0" w:color="auto"/>
              <w:right w:val="single" w:sz="4" w:space="0" w:color="auto"/>
            </w:tcBorders>
            <w:hideMark/>
          </w:tcPr>
          <w:p w:rsidR="00DB1C35" w:rsidRDefault="00DB1C35" w:rsidP="00BE1E5B">
            <w:r>
              <w:t>Two appropriation Bills are introduced into Parliament in May and comprise the Budget for the financial year beginning 1 July.  Further Bills are introduced later in the financial year as part of the additional estimates.  Parliamentary departments have their own appropriations.</w:t>
            </w:r>
          </w:p>
        </w:tc>
      </w:tr>
      <w:tr w:rsidR="00DB1C35" w:rsidTr="00BE1E5B">
        <w:tc>
          <w:tcPr>
            <w:tcW w:w="1980" w:type="dxa"/>
            <w:tcBorders>
              <w:top w:val="single" w:sz="4" w:space="0" w:color="auto"/>
              <w:left w:val="single" w:sz="4" w:space="0" w:color="auto"/>
              <w:bottom w:val="single" w:sz="4" w:space="0" w:color="auto"/>
              <w:right w:val="single" w:sz="4" w:space="0" w:color="auto"/>
            </w:tcBorders>
            <w:hideMark/>
          </w:tcPr>
          <w:p w:rsidR="00DB1C35" w:rsidRDefault="00DB1C35" w:rsidP="00BE1E5B">
            <w:r>
              <w:t>Appropriation</w:t>
            </w:r>
          </w:p>
        </w:tc>
        <w:tc>
          <w:tcPr>
            <w:tcW w:w="5760" w:type="dxa"/>
            <w:tcBorders>
              <w:top w:val="single" w:sz="4" w:space="0" w:color="auto"/>
              <w:left w:val="single" w:sz="4" w:space="0" w:color="auto"/>
              <w:bottom w:val="single" w:sz="4" w:space="0" w:color="auto"/>
              <w:right w:val="single" w:sz="4" w:space="0" w:color="auto"/>
            </w:tcBorders>
            <w:hideMark/>
          </w:tcPr>
          <w:p w:rsidR="00DB1C35" w:rsidRDefault="00DB1C35" w:rsidP="00BE1E5B">
            <w:r>
              <w:t>An authorisation by Parliament to spend monies from the Consolidated Revenue Fund for a particular purpose.</w:t>
            </w:r>
          </w:p>
        </w:tc>
      </w:tr>
      <w:tr w:rsidR="00DB1C35" w:rsidTr="00BE1E5B">
        <w:tc>
          <w:tcPr>
            <w:tcW w:w="1980" w:type="dxa"/>
            <w:tcBorders>
              <w:top w:val="single" w:sz="4" w:space="0" w:color="auto"/>
              <w:left w:val="single" w:sz="4" w:space="0" w:color="auto"/>
              <w:bottom w:val="single" w:sz="4" w:space="0" w:color="auto"/>
              <w:right w:val="single" w:sz="4" w:space="0" w:color="auto"/>
            </w:tcBorders>
            <w:hideMark/>
          </w:tcPr>
          <w:p w:rsidR="00DB1C35" w:rsidRDefault="00DB1C35" w:rsidP="00BE1E5B">
            <w:r>
              <w:t>Capital expenditure</w:t>
            </w:r>
          </w:p>
        </w:tc>
        <w:tc>
          <w:tcPr>
            <w:tcW w:w="5760" w:type="dxa"/>
            <w:tcBorders>
              <w:top w:val="single" w:sz="4" w:space="0" w:color="auto"/>
              <w:left w:val="single" w:sz="4" w:space="0" w:color="auto"/>
              <w:bottom w:val="single" w:sz="4" w:space="0" w:color="auto"/>
              <w:right w:val="single" w:sz="4" w:space="0" w:color="auto"/>
            </w:tcBorders>
            <w:hideMark/>
          </w:tcPr>
          <w:p w:rsidR="00DB1C35" w:rsidRDefault="00DB1C35" w:rsidP="00494FDD">
            <w:r>
              <w:t xml:space="preserve">Expenditure by an </w:t>
            </w:r>
            <w:r w:rsidR="00494FDD">
              <w:t>entity</w:t>
            </w:r>
            <w:r>
              <w:t xml:space="preserve"> on capital projects, for example purchasing a building.</w:t>
            </w:r>
          </w:p>
        </w:tc>
      </w:tr>
      <w:tr w:rsidR="00DB1C35" w:rsidTr="00BE1E5B">
        <w:tc>
          <w:tcPr>
            <w:tcW w:w="1980" w:type="dxa"/>
            <w:tcBorders>
              <w:top w:val="single" w:sz="4" w:space="0" w:color="auto"/>
              <w:left w:val="single" w:sz="4" w:space="0" w:color="auto"/>
              <w:bottom w:val="single" w:sz="4" w:space="0" w:color="auto"/>
              <w:right w:val="single" w:sz="4" w:space="0" w:color="auto"/>
            </w:tcBorders>
            <w:hideMark/>
          </w:tcPr>
          <w:p w:rsidR="00DB1C35" w:rsidRDefault="00DB1C35" w:rsidP="00BE1E5B">
            <w:r>
              <w:t>Consolidated Revenue Fund</w:t>
            </w:r>
          </w:p>
        </w:tc>
        <w:tc>
          <w:tcPr>
            <w:tcW w:w="5760" w:type="dxa"/>
            <w:tcBorders>
              <w:top w:val="single" w:sz="4" w:space="0" w:color="auto"/>
              <w:left w:val="single" w:sz="4" w:space="0" w:color="auto"/>
              <w:bottom w:val="single" w:sz="4" w:space="0" w:color="auto"/>
              <w:right w:val="single" w:sz="4" w:space="0" w:color="auto"/>
            </w:tcBorders>
            <w:hideMark/>
          </w:tcPr>
          <w:p w:rsidR="00DB1C35" w:rsidRDefault="00DB1C35" w:rsidP="00BE1E5B">
            <w:r>
              <w:t xml:space="preserve">Section 81 of the Constitution stipulates that all revenue raised or money received by the Commonwealth forms the one consolidated revenue fund (CRF).  </w:t>
            </w:r>
          </w:p>
        </w:tc>
      </w:tr>
      <w:tr w:rsidR="00DB1C35" w:rsidTr="00BE1E5B">
        <w:tc>
          <w:tcPr>
            <w:tcW w:w="1980" w:type="dxa"/>
            <w:tcBorders>
              <w:top w:val="single" w:sz="4" w:space="0" w:color="auto"/>
              <w:left w:val="single" w:sz="4" w:space="0" w:color="auto"/>
              <w:bottom w:val="single" w:sz="4" w:space="0" w:color="auto"/>
              <w:right w:val="single" w:sz="4" w:space="0" w:color="auto"/>
            </w:tcBorders>
            <w:hideMark/>
          </w:tcPr>
          <w:p w:rsidR="00DB1C35" w:rsidRDefault="00DB1C35" w:rsidP="00BE1E5B">
            <w:r>
              <w:t>Departmental</w:t>
            </w:r>
          </w:p>
        </w:tc>
        <w:tc>
          <w:tcPr>
            <w:tcW w:w="5760" w:type="dxa"/>
            <w:tcBorders>
              <w:top w:val="single" w:sz="4" w:space="0" w:color="auto"/>
              <w:left w:val="single" w:sz="4" w:space="0" w:color="auto"/>
              <w:bottom w:val="single" w:sz="4" w:space="0" w:color="auto"/>
              <w:right w:val="single" w:sz="4" w:space="0" w:color="auto"/>
            </w:tcBorders>
            <w:hideMark/>
          </w:tcPr>
          <w:p w:rsidR="00DB1C35" w:rsidRDefault="00DB1C35" w:rsidP="00494FDD">
            <w:r>
              <w:t xml:space="preserve">Revenue, expenses, assets and liabilities that are controlled by the </w:t>
            </w:r>
            <w:r w:rsidR="00494FDD">
              <w:t>entity</w:t>
            </w:r>
            <w:r>
              <w:t xml:space="preserve"> in providing its outputs.  Departmental items would generally include computers, plant and equipment assets used by </w:t>
            </w:r>
            <w:r w:rsidR="00494FDD">
              <w:t>entit</w:t>
            </w:r>
            <w:r>
              <w:t xml:space="preserve">ies in providing goods and services and most employee expenses, supplier costs and other administrative expenses incurred. </w:t>
            </w:r>
          </w:p>
        </w:tc>
      </w:tr>
      <w:tr w:rsidR="00DB1C35" w:rsidTr="00BE1E5B">
        <w:tc>
          <w:tcPr>
            <w:tcW w:w="1980" w:type="dxa"/>
            <w:tcBorders>
              <w:top w:val="single" w:sz="4" w:space="0" w:color="auto"/>
              <w:left w:val="single" w:sz="4" w:space="0" w:color="auto"/>
              <w:bottom w:val="single" w:sz="4" w:space="0" w:color="auto"/>
              <w:right w:val="single" w:sz="4" w:space="0" w:color="auto"/>
            </w:tcBorders>
            <w:hideMark/>
          </w:tcPr>
          <w:p w:rsidR="00DB1C35" w:rsidRDefault="00DB1C35" w:rsidP="00BE1E5B">
            <w:r>
              <w:lastRenderedPageBreak/>
              <w:t>Depreciation</w:t>
            </w:r>
          </w:p>
        </w:tc>
        <w:tc>
          <w:tcPr>
            <w:tcW w:w="5760" w:type="dxa"/>
            <w:tcBorders>
              <w:top w:val="single" w:sz="4" w:space="0" w:color="auto"/>
              <w:left w:val="single" w:sz="4" w:space="0" w:color="auto"/>
              <w:bottom w:val="single" w:sz="4" w:space="0" w:color="auto"/>
              <w:right w:val="single" w:sz="4" w:space="0" w:color="auto"/>
            </w:tcBorders>
            <w:hideMark/>
          </w:tcPr>
          <w:p w:rsidR="00DB1C35" w:rsidRDefault="00DB1C35" w:rsidP="00BE1E5B">
            <w:r>
              <w:t>Apportionment of an asset’s capital value as an expense over its estimated useful life to take account of normal usage, obsolescence, or the passage of time.</w:t>
            </w:r>
          </w:p>
        </w:tc>
      </w:tr>
      <w:tr w:rsidR="00DB1C35" w:rsidTr="00BE1E5B">
        <w:tc>
          <w:tcPr>
            <w:tcW w:w="1980" w:type="dxa"/>
            <w:tcBorders>
              <w:top w:val="single" w:sz="4" w:space="0" w:color="auto"/>
              <w:left w:val="single" w:sz="4" w:space="0" w:color="auto"/>
              <w:bottom w:val="single" w:sz="4" w:space="0" w:color="auto"/>
              <w:right w:val="single" w:sz="4" w:space="0" w:color="auto"/>
            </w:tcBorders>
            <w:hideMark/>
          </w:tcPr>
          <w:p w:rsidR="00DB1C35" w:rsidRDefault="00DB1C35" w:rsidP="00BE1E5B">
            <w:r>
              <w:t>Effectiveness indicators</w:t>
            </w:r>
          </w:p>
        </w:tc>
        <w:tc>
          <w:tcPr>
            <w:tcW w:w="5760" w:type="dxa"/>
            <w:tcBorders>
              <w:top w:val="single" w:sz="4" w:space="0" w:color="auto"/>
              <w:left w:val="single" w:sz="4" w:space="0" w:color="auto"/>
              <w:bottom w:val="single" w:sz="4" w:space="0" w:color="auto"/>
              <w:right w:val="single" w:sz="4" w:space="0" w:color="auto"/>
            </w:tcBorders>
            <w:hideMark/>
          </w:tcPr>
          <w:p w:rsidR="00DB1C35" w:rsidRDefault="00DB1C35" w:rsidP="00BE1E5B">
            <w:r>
              <w:t>Measure the joint or independent contribution of programmes to the achievement of their specified outcome.</w:t>
            </w:r>
          </w:p>
        </w:tc>
      </w:tr>
      <w:tr w:rsidR="00DB1C35" w:rsidTr="00BE1E5B">
        <w:tc>
          <w:tcPr>
            <w:tcW w:w="1980" w:type="dxa"/>
            <w:tcBorders>
              <w:top w:val="single" w:sz="4" w:space="0" w:color="auto"/>
              <w:left w:val="single" w:sz="4" w:space="0" w:color="auto"/>
              <w:bottom w:val="single" w:sz="4" w:space="0" w:color="auto"/>
              <w:right w:val="single" w:sz="4" w:space="0" w:color="auto"/>
            </w:tcBorders>
            <w:hideMark/>
          </w:tcPr>
          <w:p w:rsidR="00DB1C35" w:rsidRDefault="00DB1C35" w:rsidP="00BE1E5B">
            <w:r>
              <w:t>Efficiency indicators</w:t>
            </w:r>
          </w:p>
        </w:tc>
        <w:tc>
          <w:tcPr>
            <w:tcW w:w="5760" w:type="dxa"/>
            <w:tcBorders>
              <w:top w:val="single" w:sz="4" w:space="0" w:color="auto"/>
              <w:left w:val="single" w:sz="4" w:space="0" w:color="auto"/>
              <w:bottom w:val="single" w:sz="4" w:space="0" w:color="auto"/>
              <w:right w:val="single" w:sz="4" w:space="0" w:color="auto"/>
            </w:tcBorders>
            <w:hideMark/>
          </w:tcPr>
          <w:p w:rsidR="00DB1C35" w:rsidRDefault="00DB1C35" w:rsidP="00494FDD">
            <w:r>
              <w:t xml:space="preserve">Measure the adequacy of an </w:t>
            </w:r>
            <w:r w:rsidR="00494FDD">
              <w:t>entity</w:t>
            </w:r>
            <w:r>
              <w:t>’s management of its programmes.  Includes price, quality and quantity indicators. The interrelationship between the three efficiency indicators of any one programme should be considered when judging efficiency.</w:t>
            </w:r>
          </w:p>
        </w:tc>
      </w:tr>
      <w:tr w:rsidR="00DB1C35" w:rsidTr="00BE1E5B">
        <w:tc>
          <w:tcPr>
            <w:tcW w:w="1980" w:type="dxa"/>
            <w:tcBorders>
              <w:top w:val="single" w:sz="4" w:space="0" w:color="auto"/>
              <w:left w:val="single" w:sz="4" w:space="0" w:color="auto"/>
              <w:bottom w:val="single" w:sz="4" w:space="0" w:color="auto"/>
              <w:right w:val="single" w:sz="4" w:space="0" w:color="auto"/>
            </w:tcBorders>
            <w:hideMark/>
          </w:tcPr>
          <w:p w:rsidR="00DB1C35" w:rsidRDefault="00DB1C35" w:rsidP="00BE1E5B">
            <w:r>
              <w:t>Equity or net assets</w:t>
            </w:r>
          </w:p>
        </w:tc>
        <w:tc>
          <w:tcPr>
            <w:tcW w:w="5760" w:type="dxa"/>
            <w:tcBorders>
              <w:top w:val="single" w:sz="4" w:space="0" w:color="auto"/>
              <w:left w:val="single" w:sz="4" w:space="0" w:color="auto"/>
              <w:bottom w:val="single" w:sz="4" w:space="0" w:color="auto"/>
              <w:right w:val="single" w:sz="4" w:space="0" w:color="auto"/>
            </w:tcBorders>
            <w:hideMark/>
          </w:tcPr>
          <w:p w:rsidR="00DB1C35" w:rsidRDefault="00DB1C35" w:rsidP="00494FDD">
            <w:r>
              <w:t xml:space="preserve">Residual interest in the assets of an </w:t>
            </w:r>
            <w:r w:rsidR="00494FDD">
              <w:t>entity</w:t>
            </w:r>
            <w:r>
              <w:t xml:space="preserve"> after deduction of its liabilities.</w:t>
            </w:r>
          </w:p>
        </w:tc>
      </w:tr>
      <w:tr w:rsidR="00DB1C35" w:rsidTr="00BE1E5B">
        <w:tc>
          <w:tcPr>
            <w:tcW w:w="1980" w:type="dxa"/>
            <w:tcBorders>
              <w:top w:val="single" w:sz="4" w:space="0" w:color="auto"/>
              <w:left w:val="single" w:sz="4" w:space="0" w:color="auto"/>
              <w:bottom w:val="single" w:sz="4" w:space="0" w:color="auto"/>
              <w:right w:val="single" w:sz="4" w:space="0" w:color="auto"/>
            </w:tcBorders>
            <w:hideMark/>
          </w:tcPr>
          <w:p w:rsidR="00DB1C35" w:rsidRDefault="00DB1C35" w:rsidP="00BE1E5B">
            <w:r>
              <w:t xml:space="preserve">Expense </w:t>
            </w:r>
          </w:p>
        </w:tc>
        <w:tc>
          <w:tcPr>
            <w:tcW w:w="5760" w:type="dxa"/>
            <w:tcBorders>
              <w:top w:val="single" w:sz="4" w:space="0" w:color="auto"/>
              <w:left w:val="single" w:sz="4" w:space="0" w:color="auto"/>
              <w:bottom w:val="single" w:sz="4" w:space="0" w:color="auto"/>
              <w:right w:val="single" w:sz="4" w:space="0" w:color="auto"/>
            </w:tcBorders>
            <w:hideMark/>
          </w:tcPr>
          <w:p w:rsidR="00DB1C35" w:rsidRDefault="00DB1C35" w:rsidP="00BE1E5B">
            <w:r>
              <w:t>Total value of all of the resources consumed in producing goods and services or the loss of future economic benefits in the form of reductions in assets or increases in liabilities of an entity.</w:t>
            </w:r>
          </w:p>
        </w:tc>
      </w:tr>
      <w:tr w:rsidR="00DB1C35" w:rsidTr="00BE1E5B">
        <w:tc>
          <w:tcPr>
            <w:tcW w:w="1980" w:type="dxa"/>
            <w:tcBorders>
              <w:top w:val="single" w:sz="4" w:space="0" w:color="auto"/>
              <w:left w:val="single" w:sz="4" w:space="0" w:color="auto"/>
              <w:bottom w:val="single" w:sz="4" w:space="0" w:color="auto"/>
              <w:right w:val="single" w:sz="4" w:space="0" w:color="auto"/>
            </w:tcBorders>
            <w:hideMark/>
          </w:tcPr>
          <w:p w:rsidR="00DB1C35" w:rsidRDefault="00DB1C35" w:rsidP="00BE1E5B">
            <w:r>
              <w:t>Fair value</w:t>
            </w:r>
          </w:p>
        </w:tc>
        <w:tc>
          <w:tcPr>
            <w:tcW w:w="5760" w:type="dxa"/>
            <w:tcBorders>
              <w:top w:val="single" w:sz="4" w:space="0" w:color="auto"/>
              <w:left w:val="single" w:sz="4" w:space="0" w:color="auto"/>
              <w:bottom w:val="single" w:sz="4" w:space="0" w:color="auto"/>
              <w:right w:val="single" w:sz="4" w:space="0" w:color="auto"/>
            </w:tcBorders>
            <w:hideMark/>
          </w:tcPr>
          <w:p w:rsidR="00DB1C35" w:rsidRDefault="00DB1C35" w:rsidP="00BE1E5B">
            <w:r>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tc>
      </w:tr>
      <w:tr w:rsidR="00DB1C35" w:rsidTr="00BE1E5B">
        <w:tc>
          <w:tcPr>
            <w:tcW w:w="1980" w:type="dxa"/>
            <w:tcBorders>
              <w:top w:val="single" w:sz="4" w:space="0" w:color="auto"/>
              <w:left w:val="single" w:sz="4" w:space="0" w:color="auto"/>
              <w:bottom w:val="single" w:sz="4" w:space="0" w:color="auto"/>
              <w:right w:val="single" w:sz="4" w:space="0" w:color="auto"/>
            </w:tcBorders>
            <w:hideMark/>
          </w:tcPr>
          <w:p w:rsidR="00DB1C35" w:rsidRDefault="00DB1C35" w:rsidP="00BE1E5B">
            <w:r>
              <w:t>Operating result</w:t>
            </w:r>
          </w:p>
        </w:tc>
        <w:tc>
          <w:tcPr>
            <w:tcW w:w="5760" w:type="dxa"/>
            <w:tcBorders>
              <w:top w:val="single" w:sz="4" w:space="0" w:color="auto"/>
              <w:left w:val="single" w:sz="4" w:space="0" w:color="auto"/>
              <w:bottom w:val="single" w:sz="4" w:space="0" w:color="auto"/>
              <w:right w:val="single" w:sz="4" w:space="0" w:color="auto"/>
            </w:tcBorders>
            <w:hideMark/>
          </w:tcPr>
          <w:p w:rsidR="00DB1C35" w:rsidRDefault="00DB1C35" w:rsidP="00BE1E5B">
            <w:r>
              <w:t>Equals revenue less expense.</w:t>
            </w:r>
          </w:p>
        </w:tc>
      </w:tr>
      <w:tr w:rsidR="00DB1C35" w:rsidTr="00BE1E5B">
        <w:tc>
          <w:tcPr>
            <w:tcW w:w="1980" w:type="dxa"/>
            <w:tcBorders>
              <w:top w:val="single" w:sz="4" w:space="0" w:color="auto"/>
              <w:left w:val="single" w:sz="4" w:space="0" w:color="auto"/>
              <w:bottom w:val="single" w:sz="4" w:space="0" w:color="auto"/>
              <w:right w:val="single" w:sz="4" w:space="0" w:color="auto"/>
            </w:tcBorders>
            <w:hideMark/>
          </w:tcPr>
          <w:p w:rsidR="00DB1C35" w:rsidRDefault="00DB1C35" w:rsidP="00BE1E5B">
            <w:r>
              <w:t>Outcomes</w:t>
            </w:r>
          </w:p>
        </w:tc>
        <w:tc>
          <w:tcPr>
            <w:tcW w:w="5760" w:type="dxa"/>
            <w:tcBorders>
              <w:top w:val="single" w:sz="4" w:space="0" w:color="auto"/>
              <w:left w:val="single" w:sz="4" w:space="0" w:color="auto"/>
              <w:bottom w:val="single" w:sz="4" w:space="0" w:color="auto"/>
              <w:right w:val="single" w:sz="4" w:space="0" w:color="auto"/>
            </w:tcBorders>
            <w:hideMark/>
          </w:tcPr>
          <w:p w:rsidR="00DB1C35" w:rsidRDefault="00DB1C35" w:rsidP="00BE1E5B">
            <w:r>
              <w:t>The Government’s objectives in each portfolio area.  Outcomes are desired results, impacts or consequences for the Australian community as influenced by the actions of the Australian Government.  Actual outcomes are assessments of the end results or impacts actually achieved.</w:t>
            </w:r>
          </w:p>
        </w:tc>
      </w:tr>
      <w:tr w:rsidR="00DB1C35" w:rsidTr="00BE1E5B">
        <w:tc>
          <w:tcPr>
            <w:tcW w:w="1980" w:type="dxa"/>
            <w:tcBorders>
              <w:top w:val="single" w:sz="4" w:space="0" w:color="auto"/>
              <w:left w:val="single" w:sz="4" w:space="0" w:color="auto"/>
              <w:bottom w:val="single" w:sz="4" w:space="0" w:color="auto"/>
              <w:right w:val="single" w:sz="4" w:space="0" w:color="auto"/>
            </w:tcBorders>
            <w:hideMark/>
          </w:tcPr>
          <w:p w:rsidR="00DB1C35" w:rsidRDefault="00DB1C35" w:rsidP="00BE1E5B">
            <w:r>
              <w:t>Price</w:t>
            </w:r>
          </w:p>
        </w:tc>
        <w:tc>
          <w:tcPr>
            <w:tcW w:w="5760" w:type="dxa"/>
            <w:tcBorders>
              <w:top w:val="single" w:sz="4" w:space="0" w:color="auto"/>
              <w:left w:val="single" w:sz="4" w:space="0" w:color="auto"/>
              <w:bottom w:val="single" w:sz="4" w:space="0" w:color="auto"/>
              <w:right w:val="single" w:sz="4" w:space="0" w:color="auto"/>
            </w:tcBorders>
            <w:hideMark/>
          </w:tcPr>
          <w:p w:rsidR="00DB1C35" w:rsidRDefault="00DB1C35" w:rsidP="00BE1E5B">
            <w:r>
              <w:t>One of the three key efficiency indicators.  The amount the government or the community pays for the delivery of programmes.</w:t>
            </w:r>
          </w:p>
        </w:tc>
      </w:tr>
      <w:tr w:rsidR="00DB1C35" w:rsidTr="00BE1E5B">
        <w:tc>
          <w:tcPr>
            <w:tcW w:w="1980" w:type="dxa"/>
            <w:tcBorders>
              <w:top w:val="single" w:sz="4" w:space="0" w:color="auto"/>
              <w:left w:val="single" w:sz="4" w:space="0" w:color="auto"/>
              <w:bottom w:val="single" w:sz="4" w:space="0" w:color="auto"/>
              <w:right w:val="single" w:sz="4" w:space="0" w:color="auto"/>
            </w:tcBorders>
            <w:hideMark/>
          </w:tcPr>
          <w:p w:rsidR="00DB1C35" w:rsidRDefault="00DB1C35" w:rsidP="00BE1E5B">
            <w:r>
              <w:t>Programme</w:t>
            </w:r>
          </w:p>
        </w:tc>
        <w:tc>
          <w:tcPr>
            <w:tcW w:w="5760" w:type="dxa"/>
            <w:tcBorders>
              <w:top w:val="single" w:sz="4" w:space="0" w:color="auto"/>
              <w:left w:val="single" w:sz="4" w:space="0" w:color="auto"/>
              <w:bottom w:val="single" w:sz="4" w:space="0" w:color="auto"/>
              <w:right w:val="single" w:sz="4" w:space="0" w:color="auto"/>
            </w:tcBorders>
            <w:hideMark/>
          </w:tcPr>
          <w:p w:rsidR="00DB1C35" w:rsidRDefault="00DB1C35" w:rsidP="00BE1E5B">
            <w:r>
              <w:t>Activity that delivers benefits, services or transfer payments to individuals, industry and/or the community as a whole, with the aim of achieving the intended result specified in an outcome statement.</w:t>
            </w:r>
          </w:p>
          <w:p w:rsidR="00494FDD" w:rsidRDefault="00494FDD" w:rsidP="00BE1E5B"/>
        </w:tc>
      </w:tr>
      <w:tr w:rsidR="00DB1C35" w:rsidTr="00BE1E5B">
        <w:tc>
          <w:tcPr>
            <w:tcW w:w="1980" w:type="dxa"/>
            <w:tcBorders>
              <w:top w:val="single" w:sz="4" w:space="0" w:color="auto"/>
              <w:left w:val="single" w:sz="4" w:space="0" w:color="auto"/>
              <w:bottom w:val="single" w:sz="4" w:space="0" w:color="auto"/>
              <w:right w:val="single" w:sz="4" w:space="0" w:color="auto"/>
            </w:tcBorders>
            <w:hideMark/>
          </w:tcPr>
          <w:p w:rsidR="00DB1C35" w:rsidRDefault="00DB1C35" w:rsidP="00BE1E5B">
            <w:r>
              <w:lastRenderedPageBreak/>
              <w:t>Quality</w:t>
            </w:r>
          </w:p>
        </w:tc>
        <w:tc>
          <w:tcPr>
            <w:tcW w:w="5760" w:type="dxa"/>
            <w:tcBorders>
              <w:top w:val="single" w:sz="4" w:space="0" w:color="auto"/>
              <w:left w:val="single" w:sz="4" w:space="0" w:color="auto"/>
              <w:bottom w:val="single" w:sz="4" w:space="0" w:color="auto"/>
              <w:right w:val="single" w:sz="4" w:space="0" w:color="auto"/>
            </w:tcBorders>
            <w:hideMark/>
          </w:tcPr>
          <w:p w:rsidR="00DB1C35" w:rsidRDefault="00DB1C35" w:rsidP="00BE1E5B">
            <w:r>
              <w:t>One of the three key efficiency indicators.  Relates to the characteristics by which customers or stakeholders judge an organisation, product or service.  Assessment of quality involves use of information gathered from interested parties to identify differences between the user’s expectations and experiences.</w:t>
            </w:r>
          </w:p>
        </w:tc>
      </w:tr>
      <w:tr w:rsidR="00DB1C35" w:rsidTr="00BE1E5B">
        <w:tc>
          <w:tcPr>
            <w:tcW w:w="1980" w:type="dxa"/>
            <w:tcBorders>
              <w:top w:val="single" w:sz="4" w:space="0" w:color="auto"/>
              <w:left w:val="single" w:sz="4" w:space="0" w:color="auto"/>
              <w:bottom w:val="single" w:sz="4" w:space="0" w:color="auto"/>
              <w:right w:val="single" w:sz="4" w:space="0" w:color="auto"/>
            </w:tcBorders>
            <w:hideMark/>
          </w:tcPr>
          <w:p w:rsidR="00DB1C35" w:rsidRDefault="00DB1C35" w:rsidP="00BE1E5B">
            <w:r>
              <w:t>Quantity</w:t>
            </w:r>
          </w:p>
        </w:tc>
        <w:tc>
          <w:tcPr>
            <w:tcW w:w="5760" w:type="dxa"/>
            <w:tcBorders>
              <w:top w:val="single" w:sz="4" w:space="0" w:color="auto"/>
              <w:left w:val="single" w:sz="4" w:space="0" w:color="auto"/>
              <w:bottom w:val="single" w:sz="4" w:space="0" w:color="auto"/>
              <w:right w:val="single" w:sz="4" w:space="0" w:color="auto"/>
            </w:tcBorders>
            <w:hideMark/>
          </w:tcPr>
          <w:p w:rsidR="00DB1C35" w:rsidRDefault="00DB1C35" w:rsidP="00BE1E5B">
            <w:r>
              <w:t>One of the three key efficiency indicators.  Examples include: the size of a programme; count or volume measures; how many or how much.</w:t>
            </w:r>
          </w:p>
        </w:tc>
      </w:tr>
      <w:tr w:rsidR="00DB1C35" w:rsidTr="00BE1E5B">
        <w:tc>
          <w:tcPr>
            <w:tcW w:w="1980" w:type="dxa"/>
            <w:tcBorders>
              <w:top w:val="single" w:sz="4" w:space="0" w:color="auto"/>
              <w:left w:val="single" w:sz="4" w:space="0" w:color="auto"/>
              <w:bottom w:val="single" w:sz="4" w:space="0" w:color="auto"/>
              <w:right w:val="single" w:sz="4" w:space="0" w:color="auto"/>
            </w:tcBorders>
            <w:hideMark/>
          </w:tcPr>
          <w:p w:rsidR="00DB1C35" w:rsidRDefault="00DB1C35" w:rsidP="00BE1E5B">
            <w:r>
              <w:t>Revenue</w:t>
            </w:r>
          </w:p>
        </w:tc>
        <w:tc>
          <w:tcPr>
            <w:tcW w:w="5760" w:type="dxa"/>
            <w:tcBorders>
              <w:top w:val="single" w:sz="4" w:space="0" w:color="auto"/>
              <w:left w:val="single" w:sz="4" w:space="0" w:color="auto"/>
              <w:bottom w:val="single" w:sz="4" w:space="0" w:color="auto"/>
              <w:right w:val="single" w:sz="4" w:space="0" w:color="auto"/>
            </w:tcBorders>
            <w:hideMark/>
          </w:tcPr>
          <w:p w:rsidR="00DB1C35" w:rsidRDefault="00DB1C35" w:rsidP="00BE1E5B">
            <w:r>
              <w:t>Total value of resources earned or received to cover the production of goods and services.</w:t>
            </w:r>
          </w:p>
        </w:tc>
      </w:tr>
      <w:tr w:rsidR="00DB1C35" w:rsidTr="00BE1E5B">
        <w:tc>
          <w:tcPr>
            <w:tcW w:w="1980" w:type="dxa"/>
            <w:tcBorders>
              <w:top w:val="single" w:sz="4" w:space="0" w:color="auto"/>
              <w:left w:val="single" w:sz="4" w:space="0" w:color="auto"/>
              <w:bottom w:val="single" w:sz="4" w:space="0" w:color="auto"/>
              <w:right w:val="single" w:sz="4" w:space="0" w:color="auto"/>
            </w:tcBorders>
            <w:hideMark/>
          </w:tcPr>
          <w:p w:rsidR="00DB1C35" w:rsidRDefault="00DB1C35" w:rsidP="00BE1E5B">
            <w:r>
              <w:t>Special Account</w:t>
            </w:r>
          </w:p>
        </w:tc>
        <w:tc>
          <w:tcPr>
            <w:tcW w:w="5760" w:type="dxa"/>
            <w:tcBorders>
              <w:top w:val="single" w:sz="4" w:space="0" w:color="auto"/>
              <w:left w:val="single" w:sz="4" w:space="0" w:color="auto"/>
              <w:bottom w:val="single" w:sz="4" w:space="0" w:color="auto"/>
              <w:right w:val="single" w:sz="4" w:space="0" w:color="auto"/>
            </w:tcBorders>
            <w:hideMark/>
          </w:tcPr>
          <w:p w:rsidR="00DB1C35" w:rsidRDefault="00DB1C35" w:rsidP="00BE1E5B">
            <w:r w:rsidRPr="00056553">
              <w:t>Special Accounts allow money in the Consolidated Revenue Fund (CRF) to be acknowledged as set</w:t>
            </w:r>
            <w:r w:rsidRPr="00056553">
              <w:noBreakHyphen/>
              <w:t xml:space="preserve">aside (hypothecated) for a particular purpose. </w:t>
            </w:r>
            <w:r>
              <w:t xml:space="preserve"> </w:t>
            </w:r>
            <w:r w:rsidRPr="00056553">
              <w:t xml:space="preserve">Amounts credited to a Special Account may only be spent for the purposes of the Special Account. </w:t>
            </w:r>
            <w:r>
              <w:t xml:space="preserve"> </w:t>
            </w:r>
            <w:r w:rsidRPr="00056553">
              <w:t xml:space="preserve">Special Accounts can only be established by a written determination of the Finance Minister (section 78 of the </w:t>
            </w:r>
            <w:r w:rsidRPr="00056553">
              <w:rPr>
                <w:i/>
              </w:rPr>
              <w:t>Public Governance, Performance and Accountability (PGPA)</w:t>
            </w:r>
            <w:r w:rsidRPr="00056553">
              <w:t xml:space="preserve"> </w:t>
            </w:r>
            <w:r w:rsidRPr="00056553">
              <w:rPr>
                <w:i/>
              </w:rPr>
              <w:t>Act 2013</w:t>
            </w:r>
            <w:r w:rsidRPr="00056553">
              <w:t xml:space="preserve">) or through an Act of Parliament (section 80 of the </w:t>
            </w:r>
            <w:r w:rsidRPr="00056553">
              <w:rPr>
                <w:i/>
              </w:rPr>
              <w:t>PGPA Act 2013</w:t>
            </w:r>
            <w:r w:rsidRPr="00056553">
              <w:t>).</w:t>
            </w:r>
          </w:p>
        </w:tc>
      </w:tr>
      <w:tr w:rsidR="00DB1C35" w:rsidTr="00BE1E5B">
        <w:tc>
          <w:tcPr>
            <w:tcW w:w="1980" w:type="dxa"/>
            <w:tcBorders>
              <w:top w:val="single" w:sz="4" w:space="0" w:color="auto"/>
              <w:left w:val="single" w:sz="4" w:space="0" w:color="auto"/>
              <w:bottom w:val="single" w:sz="4" w:space="0" w:color="auto"/>
              <w:right w:val="single" w:sz="4" w:space="0" w:color="auto"/>
            </w:tcBorders>
            <w:hideMark/>
          </w:tcPr>
          <w:p w:rsidR="00DB1C35" w:rsidRDefault="00DB1C35" w:rsidP="00BE1E5B">
            <w:pPr>
              <w:jc w:val="left"/>
            </w:pPr>
            <w:r>
              <w:t>Special Appropriations (including Standing Appropriations)</w:t>
            </w:r>
          </w:p>
        </w:tc>
        <w:tc>
          <w:tcPr>
            <w:tcW w:w="5760" w:type="dxa"/>
            <w:tcBorders>
              <w:top w:val="single" w:sz="4" w:space="0" w:color="auto"/>
              <w:left w:val="single" w:sz="4" w:space="0" w:color="auto"/>
              <w:bottom w:val="single" w:sz="4" w:space="0" w:color="auto"/>
              <w:right w:val="single" w:sz="4" w:space="0" w:color="auto"/>
            </w:tcBorders>
            <w:hideMark/>
          </w:tcPr>
          <w:p w:rsidR="00DB1C35" w:rsidRDefault="00DB1C35" w:rsidP="00BE1E5B">
            <w:r>
              <w:t>An amount of money appropriated by a particular Act of Parliament for a specific purpose and number of years.  For Special Appropriations the authority to withdraw funds from the Consolidated Revenue Fund does not generally cease at the end of the financial year.  Standing Appropriations are a sub</w:t>
            </w:r>
            <w:r>
              <w:noBreakHyphen/>
              <w:t>category consisting of ongoing Special Appropriations - the amount appropriated will depend on circumstances specified in the legislation.</w:t>
            </w:r>
          </w:p>
        </w:tc>
      </w:tr>
    </w:tbl>
    <w:p w:rsidR="000C3B86" w:rsidRPr="000C3B86" w:rsidRDefault="000C3B86" w:rsidP="000C3B86"/>
    <w:sectPr w:rsidR="000C3B86" w:rsidRPr="000C3B86" w:rsidSect="00AA27AA">
      <w:headerReference w:type="even" r:id="rId222"/>
      <w:headerReference w:type="default" r:id="rId223"/>
      <w:headerReference w:type="first" r:id="rId224"/>
      <w:type w:val="oddPage"/>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824" w:rsidRDefault="00C82824" w:rsidP="00C07DEC">
      <w:r>
        <w:separator/>
      </w:r>
    </w:p>
  </w:endnote>
  <w:endnote w:type="continuationSeparator" w:id="0">
    <w:p w:rsidR="00C82824" w:rsidRDefault="00C82824"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9999999">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wiss 721 BT">
    <w:altName w:val="Swiss 721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C342CD">
    <w:pPr>
      <w:pStyle w:val="Footer"/>
    </w:pPr>
    <w:r>
      <w:rPr>
        <w:rStyle w:val="PageNumber"/>
      </w:rPr>
      <w:fldChar w:fldCharType="begin"/>
    </w:r>
    <w:r>
      <w:rPr>
        <w:rStyle w:val="PageNumber"/>
      </w:rPr>
      <w:instrText xml:space="preserve"> PAGE  \* roman </w:instrText>
    </w:r>
    <w:r>
      <w:rPr>
        <w:rStyle w:val="PageNumber"/>
      </w:rPr>
      <w:fldChar w:fldCharType="separate"/>
    </w:r>
    <w:r w:rsidR="00833238">
      <w:rPr>
        <w:rStyle w:val="PageNumber"/>
        <w:noProof/>
      </w:rPr>
      <w:t>ii</w:t>
    </w:r>
    <w:r>
      <w:rPr>
        <w:rStyle w:val="PageNumber"/>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2809BC">
    <w:pPr>
      <w:pStyle w:val="Footer"/>
    </w:pPr>
    <w:r>
      <w:rPr>
        <w:rStyle w:val="PageNumber"/>
      </w:rPr>
      <w:fldChar w:fldCharType="begin"/>
    </w:r>
    <w:r>
      <w:rPr>
        <w:rStyle w:val="PageNumber"/>
      </w:rPr>
      <w:instrText xml:space="preserve"> PAGE  \* Arabic </w:instrText>
    </w:r>
    <w:r>
      <w:rPr>
        <w:rStyle w:val="PageNumber"/>
      </w:rPr>
      <w:fldChar w:fldCharType="separate"/>
    </w:r>
    <w:r w:rsidR="00833238">
      <w:rPr>
        <w:rStyle w:val="PageNumber"/>
        <w:noProof/>
      </w:rPr>
      <w:t>7</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1808A4" w:rsidRDefault="00C82824" w:rsidP="00605163">
    <w:pPr>
      <w:pStyle w:val="Footer"/>
    </w:pPr>
    <w:r>
      <w:fldChar w:fldCharType="begin"/>
    </w:r>
    <w:r>
      <w:instrText xml:space="preserve"> PAGE  \* Arabic  \* MERGEFORMAT </w:instrText>
    </w:r>
    <w:r>
      <w:fldChar w:fldCharType="separate"/>
    </w:r>
    <w:r w:rsidR="00833238">
      <w:rPr>
        <w:noProof/>
      </w:rPr>
      <w:t>3</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0A2054">
    <w:pPr>
      <w:pStyle w:val="Footer"/>
    </w:pPr>
    <w:r>
      <w:rPr>
        <w:rStyle w:val="PageNumber"/>
      </w:rPr>
      <w:fldChar w:fldCharType="begin"/>
    </w:r>
    <w:r>
      <w:rPr>
        <w:rStyle w:val="PageNumber"/>
      </w:rPr>
      <w:instrText xml:space="preserve"> PAGE  \* Arabic </w:instrText>
    </w:r>
    <w:r>
      <w:rPr>
        <w:rStyle w:val="PageNumber"/>
      </w:rPr>
      <w:fldChar w:fldCharType="separate"/>
    </w:r>
    <w:r w:rsidR="00833238">
      <w:rPr>
        <w:rStyle w:val="PageNumber"/>
        <w:noProof/>
      </w:rPr>
      <w:t>9</w:t>
    </w:r>
    <w:r>
      <w:rPr>
        <w:rStyle w:val="PageNumber"/>
      </w:rPr>
      <w:fldChar w:fldCharType="end"/>
    </w:r>
  </w:p>
  <w:p w:rsidR="00C82824" w:rsidRPr="001808A4" w:rsidRDefault="00C82824" w:rsidP="0060516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1808A4" w:rsidRDefault="00C82824" w:rsidP="001808A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0A2054">
    <w:pPr>
      <w:pStyle w:val="Footer"/>
    </w:pPr>
    <w:r>
      <w:rPr>
        <w:rStyle w:val="PageNumber"/>
      </w:rPr>
      <w:fldChar w:fldCharType="begin"/>
    </w:r>
    <w:r>
      <w:rPr>
        <w:rStyle w:val="PageNumber"/>
      </w:rPr>
      <w:instrText xml:space="preserve"> PAGE  \* Arabic </w:instrText>
    </w:r>
    <w:r>
      <w:rPr>
        <w:rStyle w:val="PageNumber"/>
      </w:rPr>
      <w:fldChar w:fldCharType="separate"/>
    </w:r>
    <w:r w:rsidR="00833238">
      <w:rPr>
        <w:rStyle w:val="PageNumber"/>
        <w:noProof/>
      </w:rPr>
      <w:t>13</w:t>
    </w:r>
    <w:r>
      <w:rPr>
        <w:rStyle w:val="PageNumber"/>
      </w:rPr>
      <w:fldChar w:fldCharType="end"/>
    </w:r>
  </w:p>
  <w:p w:rsidR="00C82824" w:rsidRPr="001808A4" w:rsidRDefault="00C82824" w:rsidP="001808A4">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2809BC">
    <w:pPr>
      <w:pStyle w:val="Footer"/>
    </w:pPr>
    <w:r>
      <w:rPr>
        <w:rStyle w:val="PageNumber"/>
      </w:rPr>
      <w:fldChar w:fldCharType="begin"/>
    </w:r>
    <w:r>
      <w:rPr>
        <w:rStyle w:val="PageNumber"/>
      </w:rPr>
      <w:instrText xml:space="preserve"> PAGE  \* Arabic </w:instrText>
    </w:r>
    <w:r>
      <w:rPr>
        <w:rStyle w:val="PageNumber"/>
      </w:rPr>
      <w:fldChar w:fldCharType="separate"/>
    </w:r>
    <w:r w:rsidR="00833238">
      <w:rPr>
        <w:rStyle w:val="PageNumber"/>
        <w:noProof/>
      </w:rPr>
      <w:t>23</w:t>
    </w:r>
    <w:r>
      <w:rPr>
        <w:rStyle w:val="PageNumber"/>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1808A4" w:rsidRDefault="00C82824" w:rsidP="001808A4">
    <w:pPr>
      <w:pStyle w:val="Footer"/>
    </w:pPr>
    <w:r>
      <w:fldChar w:fldCharType="begin"/>
    </w:r>
    <w:r>
      <w:instrText xml:space="preserve"> PAGE   \* MERGEFORMAT </w:instrText>
    </w:r>
    <w:r>
      <w:fldChar w:fldCharType="separate"/>
    </w:r>
    <w:r w:rsidR="00833238">
      <w:rPr>
        <w:noProof/>
      </w:rPr>
      <w:t>15</w:t>
    </w:r>
    <w:r>
      <w:rPr>
        <w:noProof/>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1808A4" w:rsidRDefault="00C82824" w:rsidP="001808A4">
    <w:pPr>
      <w:pStyle w:val="Footer"/>
    </w:pPr>
    <w:r>
      <w:rPr>
        <w:rStyle w:val="PageNumber"/>
      </w:rPr>
      <w:fldChar w:fldCharType="begin"/>
    </w:r>
    <w:r>
      <w:rPr>
        <w:rStyle w:val="PageNumber"/>
      </w:rPr>
      <w:instrText xml:space="preserve"> PAGE </w:instrText>
    </w:r>
    <w:r>
      <w:rPr>
        <w:rStyle w:val="PageNumber"/>
      </w:rPr>
      <w:fldChar w:fldCharType="separate"/>
    </w:r>
    <w:r w:rsidR="00833238">
      <w:rPr>
        <w:rStyle w:val="PageNumber"/>
        <w:noProof/>
      </w:rPr>
      <w:t>70</w:t>
    </w:r>
    <w:r>
      <w:rPr>
        <w:rStyle w:val="PageNumber"/>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7E0749" w:rsidRDefault="00C82824" w:rsidP="007E0749">
    <w:pPr>
      <w:pStyle w:val="Footer"/>
    </w:pPr>
    <w:r>
      <w:rPr>
        <w:rStyle w:val="PageNumber"/>
      </w:rPr>
      <w:fldChar w:fldCharType="begin"/>
    </w:r>
    <w:r>
      <w:rPr>
        <w:rStyle w:val="PageNumber"/>
      </w:rPr>
      <w:instrText xml:space="preserve"> PAGE </w:instrText>
    </w:r>
    <w:r>
      <w:rPr>
        <w:rStyle w:val="PageNumber"/>
      </w:rPr>
      <w:fldChar w:fldCharType="separate"/>
    </w:r>
    <w:r w:rsidR="00833238">
      <w:rPr>
        <w:rStyle w:val="PageNumber"/>
        <w:noProof/>
      </w:rPr>
      <w:t>75</w:t>
    </w:r>
    <w:r>
      <w:rPr>
        <w:rStyle w:val="PageNumber"/>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F21D97">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7E0749" w:rsidRDefault="00C82824" w:rsidP="001C45ED">
    <w:pPr>
      <w:pStyle w:val="Footer"/>
    </w:pPr>
    <w:r>
      <w:rPr>
        <w:rStyle w:val="PageNumber"/>
      </w:rPr>
      <w:fldChar w:fldCharType="begin"/>
    </w:r>
    <w:r>
      <w:rPr>
        <w:rStyle w:val="PageNumber"/>
      </w:rPr>
      <w:instrText xml:space="preserve"> PAGE </w:instrText>
    </w:r>
    <w:r>
      <w:rPr>
        <w:rStyle w:val="PageNumber"/>
      </w:rPr>
      <w:fldChar w:fldCharType="separate"/>
    </w:r>
    <w:r w:rsidR="00833238">
      <w:rPr>
        <w:rStyle w:val="PageNumber"/>
        <w:noProof/>
      </w:rPr>
      <w:t>76</w:t>
    </w:r>
    <w:r>
      <w:rPr>
        <w:rStyle w:val="PageNumber"/>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1808A4" w:rsidRDefault="00C82824" w:rsidP="001808A4">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1808A4" w:rsidRDefault="00C82824" w:rsidP="000A2054">
    <w:pPr>
      <w:pStyle w:val="Footer"/>
    </w:pPr>
    <w:r>
      <w:rPr>
        <w:rStyle w:val="PageNumber"/>
      </w:rPr>
      <w:fldChar w:fldCharType="begin"/>
    </w:r>
    <w:r>
      <w:rPr>
        <w:rStyle w:val="PageNumber"/>
      </w:rPr>
      <w:instrText xml:space="preserve"> PAGE </w:instrText>
    </w:r>
    <w:r>
      <w:rPr>
        <w:rStyle w:val="PageNumber"/>
      </w:rPr>
      <w:fldChar w:fldCharType="separate"/>
    </w:r>
    <w:r w:rsidR="00833238">
      <w:rPr>
        <w:rStyle w:val="PageNumber"/>
        <w:noProof/>
      </w:rPr>
      <w:t>81</w:t>
    </w:r>
    <w:r>
      <w:rPr>
        <w:rStyle w:val="PageNumber"/>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A64A13">
    <w:pPr>
      <w:pStyle w:val="Footer"/>
    </w:pPr>
    <w:r>
      <w:rPr>
        <w:rStyle w:val="PageNumber"/>
      </w:rPr>
      <w:fldChar w:fldCharType="begin"/>
    </w:r>
    <w:r>
      <w:rPr>
        <w:rStyle w:val="PageNumber"/>
      </w:rPr>
      <w:instrText xml:space="preserve"> PAGE </w:instrText>
    </w:r>
    <w:r>
      <w:rPr>
        <w:rStyle w:val="PageNumber"/>
      </w:rPr>
      <w:fldChar w:fldCharType="separate"/>
    </w:r>
    <w:r w:rsidR="00833238">
      <w:rPr>
        <w:rStyle w:val="PageNumber"/>
        <w:noProof/>
      </w:rPr>
      <w:t>116</w:t>
    </w:r>
    <w:r>
      <w:rPr>
        <w:rStyle w:val="PageNumber"/>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F21D97">
    <w:pPr>
      <w:pStyle w:val="Footer"/>
    </w:pPr>
    <w:r>
      <w:rPr>
        <w:rStyle w:val="PageNumber"/>
      </w:rPr>
      <w:fldChar w:fldCharType="begin"/>
    </w:r>
    <w:r>
      <w:rPr>
        <w:rStyle w:val="PageNumber"/>
      </w:rPr>
      <w:instrText xml:space="preserve"> PAGE </w:instrText>
    </w:r>
    <w:r>
      <w:rPr>
        <w:rStyle w:val="PageNumber"/>
      </w:rPr>
      <w:fldChar w:fldCharType="separate"/>
    </w:r>
    <w:r w:rsidR="00833238">
      <w:rPr>
        <w:rStyle w:val="PageNumber"/>
        <w:noProof/>
      </w:rPr>
      <w:t>139</w:t>
    </w:r>
    <w:r>
      <w:rPr>
        <w:rStyle w:val="PageNumber"/>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A64A13">
    <w:pPr>
      <w:pStyle w:val="Footer"/>
    </w:pPr>
    <w:r>
      <w:rPr>
        <w:rStyle w:val="PageNumber"/>
      </w:rPr>
      <w:fldChar w:fldCharType="begin"/>
    </w:r>
    <w:r>
      <w:rPr>
        <w:rStyle w:val="PageNumber"/>
      </w:rPr>
      <w:instrText xml:space="preserve"> PAGE </w:instrText>
    </w:r>
    <w:r>
      <w:rPr>
        <w:rStyle w:val="PageNumber"/>
      </w:rPr>
      <w:fldChar w:fldCharType="separate"/>
    </w:r>
    <w:r w:rsidR="00833238">
      <w:rPr>
        <w:rStyle w:val="PageNumber"/>
        <w:noProof/>
      </w:rPr>
      <w:t>83</w:t>
    </w:r>
    <w:r>
      <w:rPr>
        <w:rStyle w:val="PageNumber"/>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531430">
    <w:pPr>
      <w:pStyle w:val="Footer"/>
    </w:pPr>
    <w:r>
      <w:rPr>
        <w:rStyle w:val="PageNumber"/>
      </w:rPr>
      <w:fldChar w:fldCharType="begin"/>
    </w:r>
    <w:r>
      <w:rPr>
        <w:rStyle w:val="PageNumber"/>
      </w:rPr>
      <w:instrText xml:space="preserve"> PAGE </w:instrText>
    </w:r>
    <w:r>
      <w:rPr>
        <w:rStyle w:val="PageNumber"/>
      </w:rPr>
      <w:fldChar w:fldCharType="separate"/>
    </w:r>
    <w:r w:rsidR="00833238">
      <w:rPr>
        <w:rStyle w:val="PageNumber"/>
        <w:noProof/>
      </w:rPr>
      <w:t>114</w:t>
    </w:r>
    <w:r>
      <w:rPr>
        <w:rStyle w:val="PageNumber"/>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7E0749" w:rsidRDefault="00C82824" w:rsidP="007E0749">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pPr>
      <w:pStyle w:val="Footer"/>
    </w:pPr>
    <w:r>
      <w:rPr>
        <w:rStyle w:val="PageNumber"/>
      </w:rPr>
      <w:fldChar w:fldCharType="begin"/>
    </w:r>
    <w:r>
      <w:rPr>
        <w:rStyle w:val="PageNumber"/>
      </w:rPr>
      <w:instrText xml:space="preserve"> PAGE </w:instrText>
    </w:r>
    <w:r>
      <w:rPr>
        <w:rStyle w:val="PageNumber"/>
      </w:rPr>
      <w:fldChar w:fldCharType="separate"/>
    </w:r>
    <w:r w:rsidR="00833238">
      <w:rPr>
        <w:rStyle w:val="PageNumber"/>
        <w:noProof/>
      </w:rPr>
      <w:t>138</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662809" w:rsidRDefault="00C82824" w:rsidP="00662809">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1808A4" w:rsidRDefault="00C82824" w:rsidP="001808A4">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1808A4" w:rsidRDefault="00C82824" w:rsidP="000A2054">
    <w:pPr>
      <w:pStyle w:val="Footer"/>
    </w:pPr>
    <w:r>
      <w:fldChar w:fldCharType="begin"/>
    </w:r>
    <w:r>
      <w:instrText xml:space="preserve"> PAGE   \* MERGEFORMAT </w:instrText>
    </w:r>
    <w:r>
      <w:fldChar w:fldCharType="separate"/>
    </w:r>
    <w:r w:rsidR="00833238">
      <w:rPr>
        <w:noProof/>
      </w:rPr>
      <w:t>123</w:t>
    </w:r>
    <w:r>
      <w:rPr>
        <w:noProof/>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1808A4" w:rsidRDefault="00C82824" w:rsidP="001808A4">
    <w:pPr>
      <w:pStyle w:val="Footer"/>
    </w:pPr>
    <w:r>
      <w:fldChar w:fldCharType="begin"/>
    </w:r>
    <w:r>
      <w:instrText xml:space="preserve"> PAGE   \* MERGEFORMAT </w:instrText>
    </w:r>
    <w:r>
      <w:fldChar w:fldCharType="separate"/>
    </w:r>
    <w:r w:rsidR="00833238">
      <w:rPr>
        <w:noProof/>
      </w:rPr>
      <w:t>140</w:t>
    </w:r>
    <w:r>
      <w:rPr>
        <w:noProof/>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pPr>
      <w:pStyle w:val="Footer"/>
    </w:pPr>
    <w:r>
      <w:rPr>
        <w:rStyle w:val="PageNumber"/>
      </w:rPr>
      <w:fldChar w:fldCharType="begin"/>
    </w:r>
    <w:r>
      <w:rPr>
        <w:rStyle w:val="PageNumber"/>
      </w:rPr>
      <w:instrText xml:space="preserve"> PAGE </w:instrText>
    </w:r>
    <w:r>
      <w:rPr>
        <w:rStyle w:val="PageNumber"/>
      </w:rPr>
      <w:fldChar w:fldCharType="separate"/>
    </w:r>
    <w:r w:rsidR="00833238">
      <w:rPr>
        <w:rStyle w:val="PageNumber"/>
        <w:noProof/>
      </w:rPr>
      <w:t>188</w:t>
    </w:r>
    <w:r>
      <w:rPr>
        <w:rStyle w:val="PageNumber"/>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A44AA4">
    <w:pPr>
      <w:pStyle w:val="Footer"/>
      <w:jc w:val="both"/>
    </w:pPr>
  </w:p>
  <w:p w:rsidR="00C82824" w:rsidRDefault="00C82824" w:rsidP="00042444">
    <w:pPr>
      <w:pStyle w:val="Footer"/>
    </w:pPr>
    <w:r>
      <w:rPr>
        <w:rStyle w:val="PageNumber"/>
      </w:rPr>
      <w:fldChar w:fldCharType="begin"/>
    </w:r>
    <w:r>
      <w:rPr>
        <w:rStyle w:val="PageNumber"/>
      </w:rPr>
      <w:instrText xml:space="preserve"> PAGE </w:instrText>
    </w:r>
    <w:r>
      <w:rPr>
        <w:rStyle w:val="PageNumber"/>
      </w:rPr>
      <w:fldChar w:fldCharType="separate"/>
    </w:r>
    <w:r w:rsidR="00833238">
      <w:rPr>
        <w:rStyle w:val="PageNumber"/>
        <w:noProof/>
      </w:rPr>
      <w:t>187</w:t>
    </w:r>
    <w:r>
      <w:rPr>
        <w:rStyle w:val="PageNumber"/>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691B2D">
    <w:pPr>
      <w:pStyle w:val="Footer"/>
    </w:pPr>
    <w:r>
      <w:rPr>
        <w:rStyle w:val="PageNumber"/>
      </w:rPr>
      <w:fldChar w:fldCharType="begin"/>
    </w:r>
    <w:r>
      <w:rPr>
        <w:rStyle w:val="PageNumber"/>
      </w:rPr>
      <w:instrText xml:space="preserve"> PAGE </w:instrText>
    </w:r>
    <w:r>
      <w:rPr>
        <w:rStyle w:val="PageNumber"/>
      </w:rPr>
      <w:fldChar w:fldCharType="separate"/>
    </w:r>
    <w:r w:rsidR="00833238">
      <w:rPr>
        <w:rStyle w:val="PageNumber"/>
        <w:noProof/>
      </w:rPr>
      <w:t>141</w:t>
    </w:r>
    <w:r>
      <w:rPr>
        <w:rStyle w:val="PageNumber"/>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691B2D">
    <w:pPr>
      <w:pStyle w:val="Footer"/>
    </w:pPr>
    <w:r>
      <w:rPr>
        <w:rStyle w:val="PageNumber"/>
      </w:rPr>
      <w:fldChar w:fldCharType="begin"/>
    </w:r>
    <w:r>
      <w:rPr>
        <w:rStyle w:val="PageNumber"/>
      </w:rPr>
      <w:instrText xml:space="preserve"> PAGE </w:instrText>
    </w:r>
    <w:r>
      <w:rPr>
        <w:rStyle w:val="PageNumber"/>
      </w:rPr>
      <w:fldChar w:fldCharType="separate"/>
    </w:r>
    <w:r w:rsidR="00833238">
      <w:rPr>
        <w:rStyle w:val="PageNumber"/>
        <w:noProof/>
      </w:rPr>
      <w:t>144</w:t>
    </w:r>
    <w:r>
      <w:rPr>
        <w:rStyle w:val="PageNumber"/>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1808A4" w:rsidRDefault="00C82824" w:rsidP="001808A4">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0A2054">
    <w:pPr>
      <w:pStyle w:val="Footer"/>
    </w:pPr>
    <w:r>
      <w:rPr>
        <w:rStyle w:val="PageNumber"/>
      </w:rPr>
      <w:fldChar w:fldCharType="begin"/>
    </w:r>
    <w:r>
      <w:rPr>
        <w:rStyle w:val="PageNumber"/>
      </w:rPr>
      <w:instrText xml:space="preserve"> PAGE </w:instrText>
    </w:r>
    <w:r>
      <w:rPr>
        <w:rStyle w:val="PageNumber"/>
      </w:rPr>
      <w:fldChar w:fldCharType="separate"/>
    </w:r>
    <w:r w:rsidR="00833238">
      <w:rPr>
        <w:rStyle w:val="PageNumber"/>
        <w:noProof/>
      </w:rPr>
      <w:t>149</w:t>
    </w:r>
    <w:r>
      <w:rPr>
        <w:rStyle w:val="PageNumber"/>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691B2D">
    <w:pPr>
      <w:pStyle w:val="Footer"/>
    </w:pPr>
    <w:r>
      <w:rPr>
        <w:rStyle w:val="PageNumber"/>
      </w:rPr>
      <w:fldChar w:fldCharType="begin"/>
    </w:r>
    <w:r>
      <w:rPr>
        <w:rStyle w:val="PageNumber"/>
      </w:rPr>
      <w:instrText xml:space="preserve"> PAGE </w:instrText>
    </w:r>
    <w:r>
      <w:rPr>
        <w:rStyle w:val="PageNumber"/>
      </w:rPr>
      <w:fldChar w:fldCharType="separate"/>
    </w:r>
    <w:r w:rsidR="00833238">
      <w:rPr>
        <w:rStyle w:val="PageNumber"/>
        <w:noProof/>
      </w:rPr>
      <w:t>151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4342F8" w:rsidRDefault="00C82824" w:rsidP="004342F8">
    <w:pPr>
      <w:pStyle w:val="Footer"/>
    </w:pPr>
    <w:r>
      <w:rPr>
        <w:rStyle w:val="PageNumber"/>
      </w:rPr>
      <w:fldChar w:fldCharType="begin"/>
    </w:r>
    <w:r>
      <w:rPr>
        <w:rStyle w:val="PageNumber"/>
      </w:rPr>
      <w:instrText xml:space="preserve"> PAGE </w:instrText>
    </w:r>
    <w:r>
      <w:rPr>
        <w:rStyle w:val="PageNumber"/>
      </w:rPr>
      <w:fldChar w:fldCharType="separate"/>
    </w:r>
    <w:r w:rsidR="00833238">
      <w:rPr>
        <w:rStyle w:val="PageNumber"/>
        <w:noProof/>
      </w:rPr>
      <w:t>iv</w:t>
    </w:r>
    <w:r>
      <w:rPr>
        <w:rStyle w:val="PageNumber"/>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1808A4" w:rsidRDefault="00C82824" w:rsidP="001808A4">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1808A4" w:rsidRDefault="00C82824" w:rsidP="001808A4">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1808A4" w:rsidRDefault="00C82824" w:rsidP="000A2054">
    <w:pPr>
      <w:pStyle w:val="Footer"/>
    </w:pPr>
    <w:r>
      <w:fldChar w:fldCharType="begin"/>
    </w:r>
    <w:r>
      <w:instrText xml:space="preserve"> PAGE   \* MERGEFORMAT </w:instrText>
    </w:r>
    <w:r>
      <w:fldChar w:fldCharType="separate"/>
    </w:r>
    <w:r w:rsidR="00833238">
      <w:rPr>
        <w:noProof/>
      </w:rPr>
      <w:t>167</w:t>
    </w:r>
    <w:r>
      <w:rPr>
        <w:noProof/>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1808A4" w:rsidRDefault="00C82824" w:rsidP="001808A4">
    <w:pPr>
      <w:pStyle w:val="Footer"/>
    </w:pPr>
    <w:r>
      <w:fldChar w:fldCharType="begin"/>
    </w:r>
    <w:r>
      <w:instrText xml:space="preserve"> PAGE   \* MERGEFORMAT </w:instrText>
    </w:r>
    <w:r>
      <w:fldChar w:fldCharType="separate"/>
    </w:r>
    <w:r w:rsidR="00833238">
      <w:rPr>
        <w:noProof/>
      </w:rPr>
      <w:t>169</w:t>
    </w:r>
    <w:r>
      <w:rPr>
        <w:noProof/>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pPr>
      <w:pStyle w:val="Footer"/>
    </w:pPr>
    <w:r>
      <w:rPr>
        <w:rStyle w:val="PageNumber"/>
      </w:rPr>
      <w:fldChar w:fldCharType="begin"/>
    </w:r>
    <w:r>
      <w:rPr>
        <w:rStyle w:val="PageNumber"/>
      </w:rPr>
      <w:instrText xml:space="preserve"> PAGE </w:instrText>
    </w:r>
    <w:r>
      <w:rPr>
        <w:rStyle w:val="PageNumber"/>
      </w:rPr>
      <w:fldChar w:fldCharType="separate"/>
    </w:r>
    <w:r w:rsidR="00833238">
      <w:rPr>
        <w:rStyle w:val="PageNumber"/>
        <w:noProof/>
      </w:rPr>
      <w:t>192</w:t>
    </w:r>
    <w:r>
      <w:rPr>
        <w:rStyle w:val="PageNumber"/>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867838">
    <w:pPr>
      <w:pStyle w:val="Footer"/>
    </w:pPr>
    <w:r>
      <w:rPr>
        <w:rStyle w:val="PageNumber"/>
      </w:rPr>
      <w:fldChar w:fldCharType="begin"/>
    </w:r>
    <w:r>
      <w:rPr>
        <w:rStyle w:val="PageNumber"/>
      </w:rPr>
      <w:instrText xml:space="preserve"> PAGE </w:instrText>
    </w:r>
    <w:r>
      <w:rPr>
        <w:rStyle w:val="PageNumber"/>
      </w:rPr>
      <w:fldChar w:fldCharType="separate"/>
    </w:r>
    <w:r w:rsidR="00833238">
      <w:rPr>
        <w:rStyle w:val="PageNumber"/>
        <w:noProof/>
      </w:rPr>
      <w:t>189</w:t>
    </w:r>
    <w:r>
      <w:rPr>
        <w:rStyle w:val="PageNumber"/>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867838">
    <w:pPr>
      <w:pStyle w:val="Footer"/>
    </w:pPr>
    <w:r>
      <w:rPr>
        <w:rStyle w:val="PageNumber"/>
      </w:rPr>
      <w:fldChar w:fldCharType="begin"/>
    </w:r>
    <w:r>
      <w:rPr>
        <w:rStyle w:val="PageNumber"/>
      </w:rPr>
      <w:instrText xml:space="preserve"> PAGE </w:instrText>
    </w:r>
    <w:r>
      <w:rPr>
        <w:rStyle w:val="PageNumber"/>
      </w:rPr>
      <w:fldChar w:fldCharType="separate"/>
    </w:r>
    <w:r w:rsidR="00833238">
      <w:rPr>
        <w:rStyle w:val="PageNumber"/>
        <w:noProof/>
      </w:rPr>
      <w:t>191</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4342F8" w:rsidRDefault="00C82824" w:rsidP="004342F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C02329">
    <w:pPr>
      <w:pStyle w:val="Footer"/>
    </w:pPr>
    <w:r>
      <w:rPr>
        <w:rStyle w:val="PageNumber"/>
      </w:rPr>
      <w:t>vii</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4342F8" w:rsidRDefault="00C82824" w:rsidP="004342F8">
    <w:pPr>
      <w:pStyle w:val="Footer"/>
    </w:pPr>
    <w:r>
      <w:rPr>
        <w:rStyle w:val="PageNumber"/>
      </w:rPr>
      <w:fldChar w:fldCharType="begin"/>
    </w:r>
    <w:r>
      <w:rPr>
        <w:rStyle w:val="PageNumber"/>
      </w:rPr>
      <w:instrText xml:space="preserve"> PAGE </w:instrText>
    </w:r>
    <w:r>
      <w:rPr>
        <w:rStyle w:val="PageNumber"/>
      </w:rPr>
      <w:fldChar w:fldCharType="separate"/>
    </w:r>
    <w:r w:rsidR="00833238">
      <w:rPr>
        <w:rStyle w:val="PageNumber"/>
        <w:noProof/>
      </w:rPr>
      <w:t>vi</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1808A4" w:rsidRDefault="00C82824" w:rsidP="0060516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C342CD">
    <w:pPr>
      <w:pStyle w:val="Footer"/>
    </w:pPr>
    <w:r>
      <w:rPr>
        <w:rStyle w:val="PageNumber"/>
      </w:rPr>
      <w:fldChar w:fldCharType="begin"/>
    </w:r>
    <w:r>
      <w:rPr>
        <w:rStyle w:val="PageNumber"/>
      </w:rPr>
      <w:instrText xml:space="preserve"> PAGE  \* Arabic </w:instrText>
    </w:r>
    <w:r>
      <w:rPr>
        <w:rStyle w:val="PageNumber"/>
      </w:rPr>
      <w:fldChar w:fldCharType="separate"/>
    </w:r>
    <w:r w:rsidR="00833238">
      <w:rPr>
        <w:rStyle w:val="PageNumber"/>
        <w:noProof/>
      </w:rPr>
      <w:t>24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824" w:rsidRDefault="00C82824" w:rsidP="00C07DEC">
      <w:r>
        <w:separator/>
      </w:r>
    </w:p>
  </w:footnote>
  <w:footnote w:type="continuationSeparator" w:id="0">
    <w:p w:rsidR="00C82824" w:rsidRDefault="00C82824" w:rsidP="00C07DEC">
      <w:r>
        <w:continuationSeparator/>
      </w:r>
    </w:p>
  </w:footnote>
  <w:footnote w:id="1">
    <w:p w:rsidR="00C82824" w:rsidRPr="004E7EA0" w:rsidRDefault="00C82824" w:rsidP="0009791B">
      <w:pPr>
        <w:pStyle w:val="ListParagraph"/>
        <w:spacing w:after="0" w:line="240" w:lineRule="auto"/>
        <w:ind w:left="0"/>
        <w:rPr>
          <w:i/>
          <w:color w:val="000000"/>
          <w:sz w:val="16"/>
          <w:szCs w:val="16"/>
        </w:rPr>
      </w:pPr>
      <w:r>
        <w:rPr>
          <w:rStyle w:val="FootnoteReference"/>
        </w:rPr>
        <w:footnoteRef/>
      </w:r>
      <w:r>
        <w:t xml:space="preserve"> </w:t>
      </w:r>
      <w:r w:rsidRPr="004E7EA0">
        <w:rPr>
          <w:i/>
          <w:color w:val="000000"/>
          <w:sz w:val="16"/>
          <w:szCs w:val="16"/>
        </w:rPr>
        <w:t xml:space="preserve">OECD, Education at a Glance 2013, </w:t>
      </w:r>
      <w:r w:rsidRPr="0009791B">
        <w:rPr>
          <w:color w:val="000000"/>
          <w:sz w:val="16"/>
          <w:szCs w:val="16"/>
        </w:rPr>
        <w:t xml:space="preserve">and </w:t>
      </w:r>
      <w:r w:rsidRPr="004E7EA0">
        <w:rPr>
          <w:i/>
          <w:color w:val="000000"/>
          <w:sz w:val="16"/>
          <w:szCs w:val="16"/>
        </w:rPr>
        <w:t>Institute of International Education, Project Atlas Workshop, 2014</w:t>
      </w:r>
      <w:r>
        <w:rPr>
          <w:i/>
          <w:color w:val="000000"/>
          <w:sz w:val="16"/>
          <w:szCs w:val="16"/>
        </w:rPr>
        <w:t>.</w:t>
      </w:r>
    </w:p>
    <w:p w:rsidR="00C82824" w:rsidRDefault="00C82824">
      <w:pPr>
        <w:pStyle w:val="FootnoteText"/>
      </w:pPr>
    </w:p>
  </w:footnote>
  <w:footnote w:id="2">
    <w:p w:rsidR="00C82824" w:rsidRDefault="00C82824" w:rsidP="003A7134">
      <w:pPr>
        <w:pStyle w:val="FootnoteText"/>
        <w:tabs>
          <w:tab w:val="clear" w:pos="284"/>
          <w:tab w:val="left" w:pos="142"/>
        </w:tabs>
        <w:ind w:left="142" w:hanging="142"/>
      </w:pPr>
      <w:r>
        <w:rPr>
          <w:rStyle w:val="FootnoteReference"/>
        </w:rPr>
        <w:t>1</w:t>
      </w:r>
      <w:r>
        <w:t xml:space="preserve"> Business events marketing will be undertaken in these markets, New Zealand will have a business events focus.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833238">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alt="crest_ministerial" style="width:69.2pt;height:54.25pt;visibility:visible">
          <v:imagedata r:id="rId1" o:title="crest_ministerial"/>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361259">
    <w:pPr>
      <w:pStyle w:val="HeaderEven"/>
    </w:pPr>
    <w:r>
      <w:t>Portfolio overview</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361259">
    <w:pPr>
      <w:pStyle w:val="HeaderOdd"/>
    </w:pPr>
    <w:r>
      <w:t>Portfolio overview</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7C3BF4">
    <w:pPr>
      <w:pStyle w:val="HeaderEven"/>
    </w:pPr>
    <w:r>
      <w:t>DFAT Budget Statements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7C3BF4">
    <w:pPr>
      <w:pStyle w:val="HeaderEven"/>
      <w:jc w:val="right"/>
    </w:pPr>
    <w:r>
      <w:t>DFAT Budget Statements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26279C">
    <w:pPr>
      <w:pStyle w:val="HeaderEven"/>
    </w:pPr>
    <w:r>
      <w:t>DFAT Budget Statements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26279C">
    <w:pPr>
      <w:pStyle w:val="HeaderOdd"/>
    </w:pPr>
    <w:r>
      <w:t>DFAT Budget Statements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B93884" w:rsidRDefault="00C82824" w:rsidP="001C45ED">
    <w:pPr>
      <w:pStyle w:val="HeaderOdd"/>
      <w:jc w:val="left"/>
    </w:pPr>
    <w:r>
      <w:t>DFAT Budget Statements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pPr>
      <w:pStyle w:val="Footer"/>
      <w:framePr w:wrap="around" w:hAnchor="page" w:x="1889" w:yAlign="center" w:anchorLock="1"/>
      <w:textDirection w:val="tbRl"/>
      <w:rPr>
        <w:rStyle w:val="PageNumber"/>
      </w:rPr>
    </w:pPr>
    <w:r>
      <w:fldChar w:fldCharType="begin"/>
    </w:r>
    <w:r>
      <w:instrText xml:space="preserve"> KEYWORDS  \* MERGEFORMAT </w:instrText>
    </w:r>
    <w:r>
      <w:fldChar w:fldCharType="end"/>
    </w:r>
  </w:p>
  <w:p w:rsidR="00C82824" w:rsidRDefault="00C82824" w:rsidP="00C14A16">
    <w:pPr>
      <w:pStyle w:val="HeaderEven"/>
    </w:pPr>
  </w:p>
  <w:p w:rsidR="00C82824" w:rsidRPr="007E0749" w:rsidRDefault="00C82824" w:rsidP="001C45ED">
    <w:pPr>
      <w:pStyle w:val="HeaderEven"/>
      <w:jc w:val="right"/>
    </w:pPr>
    <w:r>
      <w:t>DFAT Budget Statements</w:t>
    </w:r>
    <w:r w:rsidR="00833238">
      <w:pict>
        <v:shapetype id="_x0000_t202" coordsize="21600,21600" o:spt="202" path="m,l,21600r21600,l21600,xe">
          <v:stroke joinstyle="miter"/>
          <v:path gradientshapeok="t" o:connecttype="rect"/>
        </v:shapetype>
        <v:shape id="_x0000_s2049" type="#_x0000_t202" style="position:absolute;left:0;text-align:left;margin-left:724.25pt;margin-top:104.15pt;width:31.2pt;height:386.65pt;z-index:251657728;mso-position-horizontal-relative:page;mso-position-vertical-relative:page" o:allowoverlap="f" stroked="f">
          <v:textbox style="layout-flow:vertical;mso-next-textbox:#_x0000_s2049">
            <w:txbxContent>
              <w:p w:rsidR="00C82824" w:rsidRPr="00586BB5" w:rsidRDefault="00C82824" w:rsidP="00586BB5">
                <w:pPr>
                  <w:pStyle w:val="HeaderOdd"/>
                </w:pPr>
                <w:r>
                  <w:t xml:space="preserve">DFAT </w:t>
                </w:r>
                <w:r w:rsidRPr="00586BB5">
                  <w:t>Budget Statements</w:t>
                </w:r>
              </w:p>
              <w:p w:rsidR="00C82824" w:rsidRPr="00586BB5" w:rsidRDefault="00C82824" w:rsidP="00586BB5">
                <w:pPr>
                  <w:pStyle w:val="HeaderOdd"/>
                </w:pPr>
              </w:p>
            </w:txbxContent>
          </v:textbox>
          <w10:wrap anchorx="page" anchory="page"/>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pPr>
      <w:pStyle w:val="Footer"/>
      <w:framePr w:wrap="around" w:hAnchor="page" w:x="1889" w:yAlign="center" w:anchorLock="1"/>
      <w:textDirection w:val="tbRl"/>
      <w:rPr>
        <w:rStyle w:val="PageNumber"/>
      </w:rPr>
    </w:pPr>
    <w:r>
      <w:fldChar w:fldCharType="begin"/>
    </w:r>
    <w:r>
      <w:instrText xml:space="preserve"> KEYWORDS  \* MERGEFORMAT </w:instrText>
    </w:r>
    <w:r>
      <w:fldChar w:fldCharType="end"/>
    </w:r>
  </w:p>
  <w:p w:rsidR="00C82824" w:rsidRPr="007E0749" w:rsidRDefault="00C82824" w:rsidP="001C45ED">
    <w:pPr>
      <w:pStyle w:val="HeaderEven"/>
    </w:pPr>
    <w:r>
      <w:t>DFAT Budget Statements</w:t>
    </w:r>
    <w:r w:rsidR="00833238">
      <w:pict>
        <v:shapetype id="_x0000_t202" coordsize="21600,21600" o:spt="202" path="m,l,21600r21600,l21600,xe">
          <v:stroke joinstyle="miter"/>
          <v:path gradientshapeok="t" o:connecttype="rect"/>
        </v:shapetype>
        <v:shape id="_x0000_s2084" type="#_x0000_t202" style="position:absolute;margin-left:724.25pt;margin-top:104.15pt;width:31.2pt;height:386.65pt;z-index:251678208;mso-position-horizontal-relative:page;mso-position-vertical-relative:page" o:allowoverlap="f" stroked="f">
          <v:textbox style="layout-flow:vertical;mso-next-textbox:#_x0000_s2084">
            <w:txbxContent>
              <w:p w:rsidR="00C82824" w:rsidRPr="00586BB5" w:rsidRDefault="00C82824" w:rsidP="00586BB5">
                <w:pPr>
                  <w:pStyle w:val="HeaderOdd"/>
                </w:pPr>
                <w:r>
                  <w:t xml:space="preserve">DFAT </w:t>
                </w:r>
                <w:r w:rsidRPr="00586BB5">
                  <w:t>Budget Statements</w:t>
                </w:r>
              </w:p>
              <w:p w:rsidR="00C82824" w:rsidRPr="00586BB5" w:rsidRDefault="00C82824" w:rsidP="00586BB5">
                <w:pPr>
                  <w:pStyle w:val="HeaderOdd"/>
                </w:pPr>
              </w:p>
            </w:txbxContent>
          </v:textbox>
          <w10:wrap anchorx="page" anchory="page"/>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pPr>
      <w:pStyle w:val="Footer"/>
      <w:framePr w:wrap="around" w:hAnchor="page" w:x="1889" w:yAlign="center" w:anchorLock="1"/>
      <w:textDirection w:val="tbRl"/>
      <w:rPr>
        <w:rStyle w:val="PageNumber"/>
      </w:rPr>
    </w:pPr>
    <w:r>
      <w:fldChar w:fldCharType="begin"/>
    </w:r>
    <w:r>
      <w:instrText xml:space="preserve"> KEYWORDS  \* MERGEFORMAT </w:instrText>
    </w:r>
    <w:r>
      <w:fldChar w:fldCharType="end"/>
    </w:r>
  </w:p>
  <w:p w:rsidR="00C82824" w:rsidRPr="007E0749" w:rsidRDefault="00833238" w:rsidP="001C45ED">
    <w:pPr>
      <w:pStyle w:val="HeaderEven"/>
    </w:pPr>
    <w:r>
      <w:pict>
        <v:shapetype id="_x0000_t202" coordsize="21600,21600" o:spt="202" path="m,l,21600r21600,l21600,xe">
          <v:stroke joinstyle="miter"/>
          <v:path gradientshapeok="t" o:connecttype="rect"/>
        </v:shapetype>
        <v:shape id="_x0000_s2096" type="#_x0000_t202" style="position:absolute;margin-left:724.25pt;margin-top:104.15pt;width:31.2pt;height:386.65pt;z-index:251680256;mso-position-horizontal-relative:page;mso-position-vertical-relative:page" o:allowoverlap="f" stroked="f">
          <v:textbox style="layout-flow:vertical;mso-next-textbox:#_x0000_s2096">
            <w:txbxContent>
              <w:p w:rsidR="00C82824" w:rsidRPr="00586BB5" w:rsidRDefault="00C82824" w:rsidP="00586BB5">
                <w:pPr>
                  <w:pStyle w:val="HeaderOdd"/>
                </w:pPr>
                <w:r>
                  <w:t xml:space="preserve">DFAT </w:t>
                </w:r>
                <w:r w:rsidRPr="00586BB5">
                  <w:t>Budget Statements</w:t>
                </w:r>
              </w:p>
              <w:p w:rsidR="00C82824" w:rsidRPr="00586BB5" w:rsidRDefault="00C82824" w:rsidP="00586BB5">
                <w:pPr>
                  <w:pStyle w:val="HeaderOdd"/>
                </w:pPr>
              </w:p>
            </w:txbxContent>
          </v:textbox>
          <w10:wrap anchorx="page" anchory="page"/>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7E0749" w:rsidRDefault="00833238" w:rsidP="007E0749">
    <w:pPr>
      <w:pStyle w:val="Header"/>
    </w:pPr>
    <w:r>
      <w:rPr>
        <w:noProof/>
        <w:lang w:eastAsia="en-US"/>
      </w:rPr>
      <w:pict>
        <v:shapetype id="_x0000_t202" coordsize="21600,21600" o:spt="202" path="m,l,21600r21600,l21600,xe">
          <v:stroke joinstyle="miter"/>
          <v:path gradientshapeok="t" o:connecttype="rect"/>
        </v:shapetype>
        <v:shape id="_x0000_s2063" type="#_x0000_t202" style="position:absolute;margin-left:724.25pt;margin-top:104.15pt;width:31.2pt;height:386.65pt;z-index:251672064;mso-position-horizontal-relative:page;mso-position-vertical-relative:page" o:allowoverlap="f" stroked="f">
          <v:textbox style="layout-flow:vertical;mso-next-textbox:#_x0000_s2063">
            <w:txbxContent>
              <w:p w:rsidR="00C82824" w:rsidRPr="00586BB5" w:rsidRDefault="00C82824" w:rsidP="00586BB5">
                <w:pPr>
                  <w:pStyle w:val="HeaderOdd"/>
                </w:pPr>
                <w:r>
                  <w:t xml:space="preserve">DFAT </w:t>
                </w:r>
                <w:r w:rsidRPr="00586BB5">
                  <w:t>Budget Statements</w:t>
                </w:r>
              </w:p>
              <w:p w:rsidR="00C82824" w:rsidRPr="00586BB5" w:rsidRDefault="00C82824" w:rsidP="00586BB5">
                <w:pPr>
                  <w:pStyle w:val="HeaderOdd"/>
                </w:pPr>
              </w:p>
            </w:txbxContent>
          </v:textbox>
          <w10:wrap anchorx="page" anchory="page"/>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C14A16">
    <w:pPr>
      <w:pStyle w:val="HeaderEven"/>
    </w:pPr>
    <w:r>
      <w:t>Austrade Budget Statements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C14A16">
    <w:pPr>
      <w:pStyle w:val="HeaderEven"/>
      <w:jc w:val="right"/>
    </w:pPr>
    <w:r>
      <w:t>Austrade Budget Statements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pPr>
      <w:pStyle w:val="Header"/>
    </w:pPr>
    <w:r>
      <w:t>Austrade Budget Statements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314858">
    <w:pPr>
      <w:pStyle w:val="Header"/>
      <w:jc w:val="right"/>
    </w:pPr>
    <w:r>
      <w:t>Austrade Budget Statements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7E0749" w:rsidRDefault="00833238" w:rsidP="00250F53">
    <w:pPr>
      <w:pStyle w:val="Header"/>
    </w:pPr>
    <w:r>
      <w:rPr>
        <w:noProof/>
        <w:lang w:eastAsia="en-US"/>
      </w:rPr>
      <w:pict>
        <v:shapetype id="_x0000_t202" coordsize="21600,21600" o:spt="202" path="m,l,21600r21600,l21600,xe">
          <v:stroke joinstyle="miter"/>
          <v:path gradientshapeok="t" o:connecttype="rect"/>
        </v:shapetype>
        <v:shape id="_x0000_s2052" type="#_x0000_t202" style="position:absolute;margin-left:724.25pt;margin-top:104.15pt;width:31.2pt;height:386.65pt;z-index:251659776;mso-position-horizontal-relative:page;mso-position-vertical-relative:page" o:allowoverlap="f" stroked="f">
          <v:textbox style="layout-flow:vertical;mso-next-textbox:#_x0000_s2052">
            <w:txbxContent>
              <w:p w:rsidR="00C82824" w:rsidRPr="00586BB5" w:rsidRDefault="00C82824" w:rsidP="00586BB5">
                <w:pPr>
                  <w:pStyle w:val="HeaderOdd"/>
                </w:pPr>
                <w:r>
                  <w:fldChar w:fldCharType="begin"/>
                </w:r>
                <w:r>
                  <w:instrText xml:space="preserve"> MACROBUTTON  AcceptAllChangesInDoc Department abbreviation </w:instrText>
                </w:r>
                <w:r>
                  <w:fldChar w:fldCharType="end"/>
                </w:r>
                <w:r>
                  <w:t xml:space="preserve"> </w:t>
                </w:r>
                <w:r w:rsidRPr="00586BB5">
                  <w:t>Budget Statements</w:t>
                </w:r>
              </w:p>
              <w:p w:rsidR="00C82824" w:rsidRPr="00586BB5" w:rsidRDefault="00C82824" w:rsidP="00586BB5">
                <w:pPr>
                  <w:pStyle w:val="HeaderOdd"/>
                </w:pPr>
              </w:p>
            </w:txbxContent>
          </v:textbox>
          <w10:wrap anchorx="page" anchory="page"/>
        </v:shape>
      </w:pict>
    </w:r>
    <w:r w:rsidR="00C82824">
      <w:t>Austrade Budget Statements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7E0749" w:rsidRDefault="00833238" w:rsidP="00314858">
    <w:pPr>
      <w:pStyle w:val="Header"/>
      <w:jc w:val="right"/>
    </w:pPr>
    <w:r>
      <w:rPr>
        <w:noProof/>
        <w:lang w:eastAsia="en-US"/>
      </w:rPr>
      <w:pict>
        <v:shapetype id="_x0000_t202" coordsize="21600,21600" o:spt="202" path="m,l,21600r21600,l21600,xe">
          <v:stroke joinstyle="miter"/>
          <v:path gradientshapeok="t" o:connecttype="rect"/>
        </v:shapetype>
        <v:shape id="_x0000_s2073" type="#_x0000_t202" style="position:absolute;left:0;text-align:left;margin-left:724.25pt;margin-top:104.15pt;width:31.2pt;height:386.65pt;z-index:251676160;mso-position-horizontal-relative:page;mso-position-vertical-relative:page" o:allowoverlap="f" stroked="f">
          <v:textbox style="layout-flow:vertical;mso-next-textbox:#_x0000_s2073">
            <w:txbxContent>
              <w:p w:rsidR="00C82824" w:rsidRPr="00586BB5" w:rsidRDefault="00C82824" w:rsidP="00586BB5">
                <w:pPr>
                  <w:pStyle w:val="HeaderOdd"/>
                </w:pPr>
                <w:r>
                  <w:fldChar w:fldCharType="begin"/>
                </w:r>
                <w:r>
                  <w:instrText xml:space="preserve"> MACROBUTTON  AcceptAllChangesInDoc Department abbreviation </w:instrText>
                </w:r>
                <w:r>
                  <w:fldChar w:fldCharType="end"/>
                </w:r>
                <w:r>
                  <w:t xml:space="preserve"> </w:t>
                </w:r>
                <w:r w:rsidRPr="00586BB5">
                  <w:t>Budget Statements</w:t>
                </w:r>
              </w:p>
              <w:p w:rsidR="00C82824" w:rsidRPr="00586BB5" w:rsidRDefault="00C82824" w:rsidP="00586BB5">
                <w:pPr>
                  <w:pStyle w:val="HeaderOdd"/>
                </w:pPr>
              </w:p>
            </w:txbxContent>
          </v:textbox>
          <w10:wrap anchorx="page" anchory="page"/>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7E0749" w:rsidRDefault="00833238" w:rsidP="00314858">
    <w:pPr>
      <w:pStyle w:val="Header"/>
      <w:jc w:val="right"/>
    </w:pPr>
    <w:r>
      <w:rPr>
        <w:noProof/>
        <w:lang w:eastAsia="en-US"/>
      </w:rPr>
      <w:pict>
        <v:shapetype id="_x0000_t202" coordsize="21600,21600" o:spt="202" path="m,l,21600r21600,l21600,xe">
          <v:stroke joinstyle="miter"/>
          <v:path gradientshapeok="t" o:connecttype="rect"/>
        </v:shapetype>
        <v:shape id="_x0000_s2061" type="#_x0000_t202" style="position:absolute;left:0;text-align:left;margin-left:724.25pt;margin-top:104.15pt;width:31.2pt;height:386.65pt;z-index:251667968;mso-position-horizontal-relative:page;mso-position-vertical-relative:page" o:allowoverlap="f" stroked="f">
          <v:textbox style="layout-flow:vertical;mso-next-textbox:#_x0000_s2061">
            <w:txbxContent>
              <w:p w:rsidR="00C82824" w:rsidRPr="00586BB5" w:rsidRDefault="00C82824" w:rsidP="00586BB5">
                <w:pPr>
                  <w:pStyle w:val="HeaderOdd"/>
                </w:pPr>
                <w:r>
                  <w:fldChar w:fldCharType="begin"/>
                </w:r>
                <w:r>
                  <w:instrText xml:space="preserve"> MACROBUTTON  AcceptAllChangesInDoc Department abbreviation </w:instrText>
                </w:r>
                <w:r>
                  <w:fldChar w:fldCharType="end"/>
                </w:r>
                <w:r>
                  <w:t xml:space="preserve"> </w:t>
                </w:r>
                <w:r w:rsidRPr="00586BB5">
                  <w:t>Budget Statements</w:t>
                </w:r>
              </w:p>
              <w:p w:rsidR="00C82824" w:rsidRPr="00586BB5" w:rsidRDefault="00C82824" w:rsidP="00586BB5">
                <w:pPr>
                  <w:pStyle w:val="HeaderOdd"/>
                </w:pPr>
              </w:p>
            </w:txbxContent>
          </v:textbox>
          <w10:wrap anchorx="page" anchory="page"/>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A44AA4">
    <w:pPr>
      <w:pStyle w:val="HeaderEven"/>
    </w:pPr>
    <w:r>
      <w:t>ACIAR Budget Statements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A44AA4">
    <w:pPr>
      <w:pStyle w:val="HeaderEven"/>
      <w:jc w:val="right"/>
    </w:pPr>
    <w:r>
      <w:t>ACIAR Budget Statements</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3364C1" w:rsidRDefault="00C82824" w:rsidP="003364C1">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080F4F" w:rsidRDefault="00C82824" w:rsidP="0026279C">
    <w:pPr>
      <w:framePr w:w="289" w:h="7681" w:hRule="exact" w:wrap="around" w:vAnchor="page" w:hAnchor="page" w:x="14626" w:y="2143" w:anchorLock="1"/>
      <w:spacing w:line="276" w:lineRule="auto"/>
      <w:jc w:val="left"/>
      <w:textDirection w:val="tbRl"/>
      <w:rPr>
        <w:rStyle w:val="FramedHeader"/>
      </w:rPr>
    </w:pPr>
    <w:r>
      <w:rPr>
        <w:rStyle w:val="FramedHeader"/>
      </w:rPr>
      <w:fldChar w:fldCharType="begin"/>
    </w:r>
    <w:r>
      <w:rPr>
        <w:rStyle w:val="FramedHeader"/>
      </w:rPr>
      <w:instrText xml:space="preserve"> MACROBUTTON  AcceptAllChangesInDoc Department abbreviation </w:instrText>
    </w:r>
    <w:r>
      <w:rPr>
        <w:rStyle w:val="FramedHeader"/>
      </w:rPr>
      <w:fldChar w:fldCharType="end"/>
    </w:r>
    <w:r>
      <w:rPr>
        <w:rStyle w:val="FramedHeader"/>
      </w:rPr>
      <w:t xml:space="preserve"> </w:t>
    </w:r>
    <w:r w:rsidRPr="00080F4F">
      <w:rPr>
        <w:rStyle w:val="FramedHeader"/>
      </w:rPr>
      <w:t>Budget Statements</w:t>
    </w:r>
    <w:r>
      <w:rPr>
        <w:rStyle w:val="FramedHeader"/>
      </w:rPr>
      <w:t xml:space="preserve"> </w:t>
    </w:r>
  </w:p>
  <w:p w:rsidR="00C82824" w:rsidRDefault="00C82824" w:rsidP="00490A54">
    <w:pPr>
      <w:pStyle w:val="HeaderOdd"/>
      <w:jc w:val="left"/>
    </w:pPr>
    <w:r>
      <w:t>ACIAR Budget Statements</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A44AA4">
    <w:pPr>
      <w:pStyle w:val="Header"/>
    </w:pPr>
    <w:r>
      <w:t>ACIAR Budget Statements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A44AA4">
    <w:pPr>
      <w:pStyle w:val="Header"/>
      <w:jc w:val="right"/>
    </w:pPr>
    <w:r>
      <w:t>ACIAR Budget Statements</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7E0749" w:rsidRDefault="00C82824" w:rsidP="00A44AA4">
    <w:pPr>
      <w:pStyle w:val="HeaderEven"/>
      <w:jc w:val="right"/>
    </w:pPr>
    <w:r>
      <w:t>ACIAR Budget Statements</w:t>
    </w:r>
    <w:r w:rsidR="00833238">
      <w:rPr>
        <w:noProof/>
        <w:lang w:eastAsia="en-US"/>
      </w:rPr>
      <w:pict>
        <v:shapetype id="_x0000_t202" coordsize="21600,21600" o:spt="202" path="m,l,21600r21600,l21600,xe">
          <v:stroke joinstyle="miter"/>
          <v:path gradientshapeok="t" o:connecttype="rect"/>
        </v:shapetype>
        <v:shape id="_x0000_s2053" type="#_x0000_t202" style="position:absolute;left:0;text-align:left;margin-left:724.25pt;margin-top:104.15pt;width:31.2pt;height:386.65pt;z-index:251661824;mso-position-horizontal-relative:page;mso-position-vertical-relative:page" o:allowoverlap="f" stroked="f">
          <v:textbox style="layout-flow:vertical;mso-next-textbox:#_x0000_s2053">
            <w:txbxContent>
              <w:p w:rsidR="00C82824" w:rsidRPr="00586BB5" w:rsidRDefault="00C82824" w:rsidP="00586BB5">
                <w:pPr>
                  <w:pStyle w:val="HeaderOdd"/>
                </w:pPr>
                <w:r>
                  <w:fldChar w:fldCharType="begin"/>
                </w:r>
                <w:r>
                  <w:instrText xml:space="preserve"> MACROBUTTON  AcceptAllChangesInDoc Department abbreviation </w:instrText>
                </w:r>
                <w:r>
                  <w:fldChar w:fldCharType="end"/>
                </w:r>
                <w:r>
                  <w:t xml:space="preserve"> </w:t>
                </w:r>
                <w:r w:rsidRPr="00586BB5">
                  <w:t>Budget Statements</w:t>
                </w:r>
              </w:p>
              <w:p w:rsidR="00C82824" w:rsidRPr="00586BB5" w:rsidRDefault="00C82824" w:rsidP="00586BB5">
                <w:pPr>
                  <w:pStyle w:val="HeaderOdd"/>
                </w:pPr>
              </w:p>
            </w:txbxContent>
          </v:textbox>
          <w10:wrap anchorx="page" anchory="page"/>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7E0749" w:rsidRDefault="00C82824" w:rsidP="00A44AA4">
    <w:pPr>
      <w:pStyle w:val="HeaderEven"/>
    </w:pPr>
    <w:r>
      <w:t>ACIAR Budget Statements</w:t>
    </w:r>
    <w:r w:rsidR="00833238">
      <w:rPr>
        <w:noProof/>
        <w:lang w:eastAsia="en-US"/>
      </w:rPr>
      <w:pict>
        <v:shapetype id="_x0000_t202" coordsize="21600,21600" o:spt="202" path="m,l,21600r21600,l21600,xe">
          <v:stroke joinstyle="miter"/>
          <v:path gradientshapeok="t" o:connecttype="rect"/>
        </v:shapetype>
        <v:shape id="_x0000_s2072" type="#_x0000_t202" style="position:absolute;margin-left:724.25pt;margin-top:104.15pt;width:31.2pt;height:386.65pt;z-index:251674112;mso-position-horizontal-relative:page;mso-position-vertical-relative:page" o:allowoverlap="f" stroked="f">
          <v:textbox style="layout-flow:vertical;mso-next-textbox:#_x0000_s2072">
            <w:txbxContent>
              <w:p w:rsidR="00C82824" w:rsidRPr="00586BB5" w:rsidRDefault="00C82824" w:rsidP="00586BB5">
                <w:pPr>
                  <w:pStyle w:val="HeaderOdd"/>
                </w:pPr>
                <w:r>
                  <w:fldChar w:fldCharType="begin"/>
                </w:r>
                <w:r>
                  <w:instrText xml:space="preserve"> MACROBUTTON  AcceptAllChangesInDoc Department abbreviation </w:instrText>
                </w:r>
                <w:r>
                  <w:fldChar w:fldCharType="end"/>
                </w:r>
                <w:r>
                  <w:t xml:space="preserve"> </w:t>
                </w:r>
                <w:r w:rsidRPr="00586BB5">
                  <w:t>Budget Statements</w:t>
                </w:r>
              </w:p>
              <w:p w:rsidR="00C82824" w:rsidRPr="00586BB5" w:rsidRDefault="00C82824" w:rsidP="00586BB5">
                <w:pPr>
                  <w:pStyle w:val="HeaderOdd"/>
                </w:pPr>
              </w:p>
            </w:txbxContent>
          </v:textbox>
          <w10:wrap anchorx="page" anchory="page"/>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7E0749" w:rsidRDefault="00833238" w:rsidP="00490A54">
    <w:pPr>
      <w:pStyle w:val="Header"/>
      <w:jc w:val="right"/>
    </w:pPr>
    <w:r>
      <w:rPr>
        <w:noProof/>
        <w:lang w:eastAsia="en-US"/>
      </w:rPr>
      <w:pict>
        <v:shapetype id="_x0000_t202" coordsize="21600,21600" o:spt="202" path="m,l,21600r21600,l21600,xe">
          <v:stroke joinstyle="miter"/>
          <v:path gradientshapeok="t" o:connecttype="rect"/>
        </v:shapetype>
        <v:shape id="_x0000_s2062" type="#_x0000_t202" style="position:absolute;left:0;text-align:left;margin-left:724.25pt;margin-top:104.15pt;width:31.2pt;height:386.65pt;z-index:251670016;mso-position-horizontal-relative:page;mso-position-vertical-relative:page" o:allowoverlap="f" stroked="f">
          <v:textbox style="layout-flow:vertical;mso-next-textbox:#_x0000_s2062">
            <w:txbxContent>
              <w:p w:rsidR="00C82824" w:rsidRPr="00586BB5" w:rsidRDefault="00C82824" w:rsidP="00586BB5">
                <w:pPr>
                  <w:pStyle w:val="HeaderOdd"/>
                </w:pPr>
                <w:r>
                  <w:fldChar w:fldCharType="begin"/>
                </w:r>
                <w:r>
                  <w:instrText xml:space="preserve"> MACROBUTTON  AcceptAllChangesInDoc Department abbreviation </w:instrText>
                </w:r>
                <w:r>
                  <w:fldChar w:fldCharType="end"/>
                </w:r>
                <w:r>
                  <w:t xml:space="preserve"> </w:t>
                </w:r>
                <w:r w:rsidRPr="00586BB5">
                  <w:t>Budget Statements</w:t>
                </w:r>
              </w:p>
              <w:p w:rsidR="00C82824" w:rsidRPr="00586BB5" w:rsidRDefault="00C82824" w:rsidP="00586BB5">
                <w:pPr>
                  <w:pStyle w:val="HeaderOdd"/>
                </w:pPr>
              </w:p>
            </w:txbxContent>
          </v:textbox>
          <w10:wrap anchorx="page" anchory="page"/>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pPr>
      <w:pStyle w:val="Header"/>
    </w:pPr>
    <w:r>
      <w:t>ASIS Budget Statements</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490A54">
    <w:pPr>
      <w:pStyle w:val="Header"/>
      <w:jc w:val="right"/>
    </w:pPr>
    <w:r>
      <w:t>ASIS Budget Statements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A44AA4">
    <w:pPr>
      <w:pStyle w:val="HeaderEven"/>
    </w:pPr>
    <w:r>
      <w:t>Tourism Australia Budget Statements</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A44AA4">
    <w:pPr>
      <w:pStyle w:val="HeaderEven"/>
      <w:jc w:val="right"/>
    </w:pPr>
    <w:r>
      <w:t>Tourism Australia Budget Statements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3364C1" w:rsidRDefault="00C82824" w:rsidP="003364C1">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080F4F" w:rsidRDefault="00C82824" w:rsidP="0026279C">
    <w:pPr>
      <w:framePr w:w="289" w:h="7681" w:hRule="exact" w:wrap="around" w:vAnchor="page" w:hAnchor="page" w:x="14626" w:y="2143" w:anchorLock="1"/>
      <w:spacing w:line="276" w:lineRule="auto"/>
      <w:jc w:val="left"/>
      <w:textDirection w:val="tbRl"/>
      <w:rPr>
        <w:rStyle w:val="FramedHeader"/>
      </w:rPr>
    </w:pPr>
    <w:r>
      <w:rPr>
        <w:rStyle w:val="FramedHeader"/>
      </w:rPr>
      <w:fldChar w:fldCharType="begin"/>
    </w:r>
    <w:r>
      <w:rPr>
        <w:rStyle w:val="FramedHeader"/>
      </w:rPr>
      <w:instrText xml:space="preserve"> MACROBUTTON  AcceptAllChangesInDoc Department abbreviation </w:instrText>
    </w:r>
    <w:r>
      <w:rPr>
        <w:rStyle w:val="FramedHeader"/>
      </w:rPr>
      <w:fldChar w:fldCharType="end"/>
    </w:r>
    <w:r>
      <w:rPr>
        <w:rStyle w:val="FramedHeader"/>
      </w:rPr>
      <w:t xml:space="preserve"> </w:t>
    </w:r>
    <w:r w:rsidRPr="00080F4F">
      <w:rPr>
        <w:rStyle w:val="FramedHeader"/>
      </w:rPr>
      <w:t>Budget Statements</w:t>
    </w:r>
    <w:r>
      <w:rPr>
        <w:rStyle w:val="FramedHeader"/>
      </w:rPr>
      <w:t xml:space="preserve"> </w:t>
    </w:r>
  </w:p>
  <w:p w:rsidR="00C82824" w:rsidRDefault="00C82824" w:rsidP="00F66D1D">
    <w:pPr>
      <w:pStyle w:val="Header"/>
      <w:jc w:val="right"/>
    </w:pPr>
  </w:p>
  <w:p w:rsidR="00C82824" w:rsidRDefault="00C82824" w:rsidP="00F66D1D">
    <w:pPr>
      <w:pStyle w:val="Header"/>
      <w:jc w:val="right"/>
    </w:pPr>
    <w:r>
      <w:t>Tourism Australia Budget Statements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F66D1D">
    <w:pPr>
      <w:pStyle w:val="Header"/>
    </w:pPr>
    <w:r>
      <w:t>Tourism Australia Budget Statements</w:t>
    </w:r>
  </w:p>
  <w:p w:rsidR="00C82824" w:rsidRPr="007E0749" w:rsidRDefault="00833238" w:rsidP="00490A54">
    <w:pPr>
      <w:pStyle w:val="Header"/>
      <w:jc w:val="right"/>
    </w:pPr>
    <w:r>
      <w:rPr>
        <w:noProof/>
        <w:lang w:eastAsia="en-US"/>
      </w:rPr>
      <w:pict>
        <v:shapetype id="_x0000_t202" coordsize="21600,21600" o:spt="202" path="m,l,21600r21600,l21600,xe">
          <v:stroke joinstyle="miter"/>
          <v:path gradientshapeok="t" o:connecttype="rect"/>
        </v:shapetype>
        <v:shape id="_x0000_s2055" type="#_x0000_t202" style="position:absolute;left:0;text-align:left;margin-left:724.25pt;margin-top:104.15pt;width:31.2pt;height:386.65pt;z-index:251665920;mso-position-horizontal-relative:page;mso-position-vertical-relative:page" o:allowoverlap="f" stroked="f">
          <v:textbox style="layout-flow:vertical;mso-next-textbox:#_x0000_s2055">
            <w:txbxContent>
              <w:p w:rsidR="00C82824" w:rsidRPr="00586BB5" w:rsidRDefault="00C82824" w:rsidP="00586BB5">
                <w:pPr>
                  <w:pStyle w:val="HeaderOdd"/>
                </w:pPr>
                <w:r>
                  <w:fldChar w:fldCharType="begin"/>
                </w:r>
                <w:r>
                  <w:instrText xml:space="preserve"> MACROBUTTON  AcceptAllChangesInDoc Department abbreviation </w:instrText>
                </w:r>
                <w:r>
                  <w:fldChar w:fldCharType="end"/>
                </w:r>
                <w:r>
                  <w:t xml:space="preserve"> </w:t>
                </w:r>
                <w:r w:rsidRPr="00586BB5">
                  <w:t>Budget Statements</w:t>
                </w:r>
              </w:p>
              <w:p w:rsidR="00C82824" w:rsidRPr="00586BB5" w:rsidRDefault="00C82824" w:rsidP="00586BB5">
                <w:pPr>
                  <w:pStyle w:val="HeaderOdd"/>
                </w:pPr>
              </w:p>
            </w:txbxContent>
          </v:textbox>
          <w10:wrap anchorx="page" anchory="page"/>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361259">
    <w:pPr>
      <w:pStyle w:val="HeaderEven"/>
    </w:pPr>
    <w:r>
      <w:t>Glossary</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rsidP="00361259">
    <w:pPr>
      <w:pStyle w:val="HeaderOdd"/>
    </w:pPr>
    <w:r>
      <w:t>Glossary</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Pr="00F10D71" w:rsidRDefault="00C82824" w:rsidP="00F10D71">
    <w:pPr>
      <w:pStyle w:val="HeaderOdd"/>
    </w:pPr>
    <w:r>
      <w:t>Glossary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24" w:rsidRDefault="00C828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8DB"/>
    <w:multiLevelType w:val="multilevel"/>
    <w:tmpl w:val="D3DC5836"/>
    <w:lvl w:ilvl="0">
      <w:start w:val="2"/>
      <w:numFmt w:val="bullet"/>
      <w:lvlText w:val="―"/>
      <w:lvlJc w:val="left"/>
      <w:pPr>
        <w:tabs>
          <w:tab w:val="num" w:pos="284"/>
        </w:tabs>
        <w:ind w:left="284" w:hanging="284"/>
      </w:pPr>
      <w:rPr>
        <w:rFonts w:ascii="Book Antiqua" w:hAnsi="Book Antiqua" w:cs="Book Antiqua" w:hint="default"/>
        <w:b w:val="0"/>
        <w:i w:val="0"/>
        <w:color w:val="auto"/>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
    <w:nsid w:val="02D607FA"/>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2F35A1A"/>
    <w:multiLevelType w:val="hybridMultilevel"/>
    <w:tmpl w:val="1F7E87EC"/>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0D237F"/>
    <w:multiLevelType w:val="hybridMultilevel"/>
    <w:tmpl w:val="4256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22465"/>
    <w:multiLevelType w:val="hybridMultilevel"/>
    <w:tmpl w:val="E646B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793CF0"/>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A9930C4"/>
    <w:multiLevelType w:val="hybridMultilevel"/>
    <w:tmpl w:val="12687AE6"/>
    <w:lvl w:ilvl="0" w:tplc="4C80566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0E76FD"/>
    <w:multiLevelType w:val="multilevel"/>
    <w:tmpl w:val="29F4DDC8"/>
    <w:lvl w:ilvl="0">
      <w:start w:val="2"/>
      <w:numFmt w:val="bullet"/>
      <w:lvlText w:val="•"/>
      <w:lvlJc w:val="left"/>
      <w:pPr>
        <w:tabs>
          <w:tab w:val="num" w:pos="284"/>
        </w:tabs>
        <w:ind w:left="284" w:hanging="284"/>
      </w:pPr>
      <w:rPr>
        <w:rFonts w:ascii="Book Antiqua" w:hAnsi="Book Antiqua" w:cs="Book Antiqua" w:hint="default"/>
        <w:b w:val="0"/>
        <w:i w:val="0"/>
        <w:color w:val="auto"/>
      </w:rPr>
    </w:lvl>
    <w:lvl w:ilvl="1">
      <w:start w:val="2"/>
      <w:numFmt w:val="bullet"/>
      <w:lvlText w:val="―"/>
      <w:lvlJc w:val="left"/>
      <w:pPr>
        <w:tabs>
          <w:tab w:val="num" w:pos="567"/>
        </w:tabs>
        <w:ind w:left="567" w:hanging="283"/>
      </w:pPr>
      <w:rPr>
        <w:rFonts w:ascii="Book Antiqua" w:hAnsi="Book Antiqua" w:cs="Book Antiqua" w:hint="default"/>
        <w:b w:val="0"/>
        <w:i w:val="0"/>
        <w:color w:val="auto"/>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8">
    <w:nsid w:val="0E114BDF"/>
    <w:multiLevelType w:val="hybridMultilevel"/>
    <w:tmpl w:val="2D04700A"/>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E225BD6"/>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nsid w:val="0FD17D04"/>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3">
    <w:nsid w:val="14E9589F"/>
    <w:multiLevelType w:val="hybridMultilevel"/>
    <w:tmpl w:val="4328A3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97C62BD"/>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9906257"/>
    <w:multiLevelType w:val="hybridMultilevel"/>
    <w:tmpl w:val="2ED6585E"/>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nsid w:val="1B5D0352"/>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3C02366"/>
    <w:multiLevelType w:val="hybridMultilevel"/>
    <w:tmpl w:val="2D04700A"/>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4DB0CDA"/>
    <w:multiLevelType w:val="hybridMultilevel"/>
    <w:tmpl w:val="776E110C"/>
    <w:lvl w:ilvl="0" w:tplc="78CE189A">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91262D8"/>
    <w:multiLevelType w:val="multilevel"/>
    <w:tmpl w:val="5A48FC62"/>
    <w:lvl w:ilvl="0">
      <w:start w:val="2"/>
      <w:numFmt w:val="bullet"/>
      <w:lvlText w:val="•"/>
      <w:lvlJc w:val="left"/>
      <w:pPr>
        <w:tabs>
          <w:tab w:val="num" w:pos="284"/>
        </w:tabs>
        <w:ind w:left="284" w:hanging="284"/>
      </w:pPr>
      <w:rPr>
        <w:rFonts w:ascii="Book Antiqua" w:hAnsi="Book Antiqua" w:cs="Book Antiqua" w:hint="default"/>
        <w:b w:val="0"/>
        <w:i w:val="0"/>
        <w:color w:val="auto"/>
        <w:sz w:val="20"/>
        <w:szCs w:val="20"/>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nsid w:val="2C0E4DDA"/>
    <w:multiLevelType w:val="hybridMultilevel"/>
    <w:tmpl w:val="348A0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CBF636F"/>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4">
    <w:nsid w:val="2FFE7056"/>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15543A3"/>
    <w:multiLevelType w:val="hybridMultilevel"/>
    <w:tmpl w:val="BBF0827A"/>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33267AE4"/>
    <w:multiLevelType w:val="hybridMultilevel"/>
    <w:tmpl w:val="2D04700A"/>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4BF4790"/>
    <w:multiLevelType w:val="hybridMultilevel"/>
    <w:tmpl w:val="386A8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6215A34"/>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8705D40"/>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3A06326E"/>
    <w:multiLevelType w:val="hybridMultilevel"/>
    <w:tmpl w:val="D136A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33">
    <w:nsid w:val="3BF848CD"/>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3DB87B97"/>
    <w:multiLevelType w:val="hybridMultilevel"/>
    <w:tmpl w:val="C0A27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3EF90947"/>
    <w:multiLevelType w:val="hybridMultilevel"/>
    <w:tmpl w:val="3D4C0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37">
    <w:nsid w:val="451C0D5F"/>
    <w:multiLevelType w:val="hybridMultilevel"/>
    <w:tmpl w:val="5D0038D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nsid w:val="4577312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459C23D0"/>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48D023C8"/>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49CE34B1"/>
    <w:multiLevelType w:val="hybridMultilevel"/>
    <w:tmpl w:val="1F7E87EC"/>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4AAB390C"/>
    <w:multiLevelType w:val="hybridMultilevel"/>
    <w:tmpl w:val="98A6A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0340FE1"/>
    <w:multiLevelType w:val="hybridMultilevel"/>
    <w:tmpl w:val="E174A77C"/>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4">
    <w:nsid w:val="527B0EB3"/>
    <w:multiLevelType w:val="hybridMultilevel"/>
    <w:tmpl w:val="01B03C2A"/>
    <w:lvl w:ilvl="0" w:tplc="0822769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6">
    <w:nsid w:val="590B54BE"/>
    <w:multiLevelType w:val="hybridMultilevel"/>
    <w:tmpl w:val="AE04436E"/>
    <w:lvl w:ilvl="0" w:tplc="944A5BD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nsid w:val="5DB11702"/>
    <w:multiLevelType w:val="hybridMultilevel"/>
    <w:tmpl w:val="2D04700A"/>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5DFB3566"/>
    <w:multiLevelType w:val="hybridMultilevel"/>
    <w:tmpl w:val="1BEA471E"/>
    <w:lvl w:ilvl="0" w:tplc="55BEBBCA">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49">
    <w:nsid w:val="5F017747"/>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5F783A5F"/>
    <w:multiLevelType w:val="hybridMultilevel"/>
    <w:tmpl w:val="4202D192"/>
    <w:lvl w:ilvl="0" w:tplc="A75E6388">
      <w:start w:val="1"/>
      <w:numFmt w:val="bullet"/>
      <w:lvlText w:val=""/>
      <w:lvlJc w:val="left"/>
      <w:pPr>
        <w:tabs>
          <w:tab w:val="num" w:pos="-360"/>
        </w:tabs>
        <w:ind w:left="360" w:hanging="36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nsid w:val="5F8839A0"/>
    <w:multiLevelType w:val="hybridMultilevel"/>
    <w:tmpl w:val="EA1A8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60777C05"/>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6723028A"/>
    <w:multiLevelType w:val="hybridMultilevel"/>
    <w:tmpl w:val="A38A707E"/>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5">
    <w:nsid w:val="6A7D085F"/>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6C27593D"/>
    <w:multiLevelType w:val="hybridMultilevel"/>
    <w:tmpl w:val="250CAB12"/>
    <w:lvl w:ilvl="0" w:tplc="944A5BD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nsid w:val="6C344754"/>
    <w:multiLevelType w:val="hybridMultilevel"/>
    <w:tmpl w:val="7EBEB18A"/>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71BD386B"/>
    <w:multiLevelType w:val="hybridMultilevel"/>
    <w:tmpl w:val="21A87340"/>
    <w:lvl w:ilvl="0" w:tplc="944A5BD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nsid w:val="74CD2EB1"/>
    <w:multiLevelType w:val="multilevel"/>
    <w:tmpl w:val="59185898"/>
    <w:name w:val="ExampleTextBullet"/>
    <w:lvl w:ilvl="0">
      <w:start w:val="1"/>
      <w:numFmt w:val="decimal"/>
      <w:lvlRestart w:val="0"/>
      <w:lvlText w:val="•"/>
      <w:lvlJc w:val="left"/>
      <w:pPr>
        <w:tabs>
          <w:tab w:val="num" w:pos="284"/>
        </w:tabs>
        <w:ind w:left="284" w:hanging="284"/>
      </w:pPr>
      <w:rPr>
        <w:rFonts w:ascii="9999999" w:hAnsi="9999999"/>
        <w:b w:val="0"/>
        <w:i w:val="0"/>
        <w:color w:val="000000"/>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0">
    <w:nsid w:val="75243611"/>
    <w:multiLevelType w:val="hybridMultilevel"/>
    <w:tmpl w:val="2D04700A"/>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7A444944"/>
    <w:multiLevelType w:val="multilevel"/>
    <w:tmpl w:val="FD7E51F2"/>
    <w:lvl w:ilvl="0">
      <w:start w:val="2"/>
      <w:numFmt w:val="bullet"/>
      <w:lvlText w:val="•"/>
      <w:lvlJc w:val="left"/>
      <w:pPr>
        <w:tabs>
          <w:tab w:val="num" w:pos="284"/>
        </w:tabs>
        <w:ind w:left="284" w:hanging="284"/>
      </w:pPr>
      <w:rPr>
        <w:rFonts w:ascii="Book Antiqua" w:hAnsi="Book Antiqua" w:cs="Book Antiqua" w:hint="default"/>
        <w:b w:val="0"/>
        <w:i w:val="0"/>
        <w:color w:val="auto"/>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2">
    <w:nsid w:val="7A4D3B72"/>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7BEC5DCE"/>
    <w:multiLevelType w:val="hybridMultilevel"/>
    <w:tmpl w:val="CE449854"/>
    <w:lvl w:ilvl="0" w:tplc="944A5BD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nsid w:val="7D684058"/>
    <w:multiLevelType w:val="hybridMultilevel"/>
    <w:tmpl w:val="1F7E87EC"/>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6"/>
  </w:num>
  <w:num w:numId="2">
    <w:abstractNumId w:val="10"/>
  </w:num>
  <w:num w:numId="3">
    <w:abstractNumId w:val="54"/>
  </w:num>
  <w:num w:numId="4">
    <w:abstractNumId w:val="32"/>
    <w:lvlOverride w:ilvl="0">
      <w:startOverride w:val="1"/>
    </w:lvlOverride>
  </w:num>
  <w:num w:numId="5">
    <w:abstractNumId w:val="59"/>
  </w:num>
  <w:num w:numId="6">
    <w:abstractNumId w:val="23"/>
  </w:num>
  <w:num w:numId="7">
    <w:abstractNumId w:val="45"/>
  </w:num>
  <w:num w:numId="8">
    <w:abstractNumId w:val="29"/>
  </w:num>
  <w:num w:numId="9">
    <w:abstractNumId w:val="1"/>
  </w:num>
  <w:num w:numId="10">
    <w:abstractNumId w:val="52"/>
  </w:num>
  <w:num w:numId="11">
    <w:abstractNumId w:val="16"/>
  </w:num>
  <w:num w:numId="12">
    <w:abstractNumId w:val="32"/>
    <w:lvlOverride w:ilvl="0">
      <w:startOverride w:val="1"/>
    </w:lvlOverride>
  </w:num>
  <w:num w:numId="13">
    <w:abstractNumId w:val="32"/>
    <w:lvlOverride w:ilvl="0">
      <w:startOverride w:val="1"/>
    </w:lvlOverride>
  </w:num>
  <w:num w:numId="14">
    <w:abstractNumId w:val="32"/>
    <w:lvlOverride w:ilvl="0">
      <w:startOverride w:val="1"/>
    </w:lvlOverride>
  </w:num>
  <w:num w:numId="15">
    <w:abstractNumId w:val="32"/>
    <w:lvlOverride w:ilvl="0">
      <w:startOverride w:val="1"/>
    </w:lvlOverride>
  </w:num>
  <w:num w:numId="16">
    <w:abstractNumId w:val="35"/>
  </w:num>
  <w:num w:numId="17">
    <w:abstractNumId w:val="26"/>
  </w:num>
  <w:num w:numId="18">
    <w:abstractNumId w:val="30"/>
  </w:num>
  <w:num w:numId="19">
    <w:abstractNumId w:val="39"/>
  </w:num>
  <w:num w:numId="20">
    <w:abstractNumId w:val="4"/>
  </w:num>
  <w:num w:numId="21">
    <w:abstractNumId w:val="42"/>
  </w:num>
  <w:num w:numId="22">
    <w:abstractNumId w:val="32"/>
    <w:lvlOverride w:ilvl="0">
      <w:startOverride w:val="1"/>
    </w:lvlOverride>
  </w:num>
  <w:num w:numId="23">
    <w:abstractNumId w:val="32"/>
    <w:lvlOverride w:ilvl="0">
      <w:startOverride w:val="1"/>
    </w:lvlOverride>
  </w:num>
  <w:num w:numId="24">
    <w:abstractNumId w:val="51"/>
  </w:num>
  <w:num w:numId="25">
    <w:abstractNumId w:val="20"/>
  </w:num>
  <w:num w:numId="26">
    <w:abstractNumId w:val="47"/>
  </w:num>
  <w:num w:numId="27">
    <w:abstractNumId w:val="22"/>
  </w:num>
  <w:num w:numId="28">
    <w:abstractNumId w:val="28"/>
  </w:num>
  <w:num w:numId="29">
    <w:abstractNumId w:val="2"/>
  </w:num>
  <w:num w:numId="30">
    <w:abstractNumId w:val="64"/>
  </w:num>
  <w:num w:numId="31">
    <w:abstractNumId w:val="13"/>
  </w:num>
  <w:num w:numId="32">
    <w:abstractNumId w:val="32"/>
    <w:lvlOverride w:ilvl="0">
      <w:startOverride w:val="1"/>
    </w:lvlOverride>
  </w:num>
  <w:num w:numId="33">
    <w:abstractNumId w:val="32"/>
    <w:lvlOverride w:ilvl="0">
      <w:startOverride w:val="1"/>
    </w:lvlOverride>
  </w:num>
  <w:num w:numId="34">
    <w:abstractNumId w:val="32"/>
    <w:lvlOverride w:ilvl="0">
      <w:startOverride w:val="1"/>
    </w:lvlOverride>
  </w:num>
  <w:num w:numId="35">
    <w:abstractNumId w:val="18"/>
  </w:num>
  <w:num w:numId="36">
    <w:abstractNumId w:val="31"/>
  </w:num>
  <w:num w:numId="37">
    <w:abstractNumId w:val="24"/>
  </w:num>
  <w:num w:numId="38">
    <w:abstractNumId w:val="17"/>
  </w:num>
  <w:num w:numId="39">
    <w:abstractNumId w:val="43"/>
  </w:num>
  <w:num w:numId="40">
    <w:abstractNumId w:val="48"/>
  </w:num>
  <w:num w:numId="41">
    <w:abstractNumId w:val="37"/>
  </w:num>
  <w:num w:numId="42">
    <w:abstractNumId w:val="3"/>
  </w:num>
  <w:num w:numId="43">
    <w:abstractNumId w:val="50"/>
  </w:num>
  <w:num w:numId="44">
    <w:abstractNumId w:val="40"/>
  </w:num>
  <w:num w:numId="45">
    <w:abstractNumId w:val="21"/>
  </w:num>
  <w:num w:numId="46">
    <w:abstractNumId w:val="61"/>
  </w:num>
  <w:num w:numId="47">
    <w:abstractNumId w:val="7"/>
  </w:num>
  <w:num w:numId="48">
    <w:abstractNumId w:val="0"/>
  </w:num>
  <w:num w:numId="49">
    <w:abstractNumId w:val="60"/>
  </w:num>
  <w:num w:numId="50">
    <w:abstractNumId w:val="19"/>
  </w:num>
  <w:num w:numId="51">
    <w:abstractNumId w:val="6"/>
  </w:num>
  <w:num w:numId="52">
    <w:abstractNumId w:val="15"/>
  </w:num>
  <w:num w:numId="53">
    <w:abstractNumId w:val="25"/>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num>
  <w:num w:numId="56">
    <w:abstractNumId w:val="38"/>
  </w:num>
  <w:num w:numId="57">
    <w:abstractNumId w:val="33"/>
  </w:num>
  <w:num w:numId="58">
    <w:abstractNumId w:val="49"/>
  </w:num>
  <w:num w:numId="59">
    <w:abstractNumId w:val="9"/>
  </w:num>
  <w:num w:numId="60">
    <w:abstractNumId w:val="62"/>
  </w:num>
  <w:num w:numId="61">
    <w:abstractNumId w:val="14"/>
  </w:num>
  <w:num w:numId="62">
    <w:abstractNumId w:val="32"/>
    <w:lvlOverride w:ilvl="0">
      <w:startOverride w:val="1"/>
    </w:lvlOverride>
  </w:num>
  <w:num w:numId="63">
    <w:abstractNumId w:val="32"/>
    <w:lvlOverride w:ilvl="0">
      <w:startOverride w:val="1"/>
    </w:lvlOverride>
  </w:num>
  <w:num w:numId="64">
    <w:abstractNumId w:val="5"/>
  </w:num>
  <w:num w:numId="65">
    <w:abstractNumId w:val="27"/>
  </w:num>
  <w:num w:numId="66">
    <w:abstractNumId w:val="34"/>
  </w:num>
  <w:num w:numId="67">
    <w:abstractNumId w:val="11"/>
  </w:num>
  <w:num w:numId="68">
    <w:abstractNumId w:val="8"/>
  </w:num>
  <w:num w:numId="69">
    <w:abstractNumId w:val="41"/>
  </w:num>
  <w:num w:numId="70">
    <w:abstractNumId w:val="58"/>
  </w:num>
  <w:num w:numId="71">
    <w:abstractNumId w:val="56"/>
  </w:num>
  <w:num w:numId="72">
    <w:abstractNumId w:val="44"/>
  </w:num>
  <w:num w:numId="73">
    <w:abstractNumId w:val="46"/>
  </w:num>
  <w:num w:numId="74">
    <w:abstractNumId w:val="57"/>
  </w:num>
  <w:num w:numId="75">
    <w:abstractNumId w:val="63"/>
  </w:num>
  <w:num w:numId="76">
    <w:abstractNumId w:val="5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Moves/>
  <w:defaultTabStop w:val="567"/>
  <w:evenAndOddHeaders/>
  <w:drawingGridHorizontalSpacing w:val="100"/>
  <w:displayHorizontalDrawingGridEvery w:val="2"/>
  <w:noPunctuationKerning/>
  <w:characterSpacingControl w:val="doNotCompress"/>
  <w:hdrShapeDefaults>
    <o:shapedefaults v:ext="edit" spidmax="210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57F"/>
    <w:rsid w:val="000000C3"/>
    <w:rsid w:val="0000211E"/>
    <w:rsid w:val="00002799"/>
    <w:rsid w:val="00003AC4"/>
    <w:rsid w:val="00003F4E"/>
    <w:rsid w:val="00005E98"/>
    <w:rsid w:val="00006AE4"/>
    <w:rsid w:val="0000711B"/>
    <w:rsid w:val="00012BB0"/>
    <w:rsid w:val="00013D25"/>
    <w:rsid w:val="0001438C"/>
    <w:rsid w:val="00016D95"/>
    <w:rsid w:val="00017619"/>
    <w:rsid w:val="000216BF"/>
    <w:rsid w:val="00021DA6"/>
    <w:rsid w:val="000220B0"/>
    <w:rsid w:val="00023CA7"/>
    <w:rsid w:val="0002613F"/>
    <w:rsid w:val="000300D7"/>
    <w:rsid w:val="00030FDA"/>
    <w:rsid w:val="00036095"/>
    <w:rsid w:val="000364F3"/>
    <w:rsid w:val="000369AC"/>
    <w:rsid w:val="0003724F"/>
    <w:rsid w:val="000413D4"/>
    <w:rsid w:val="00042444"/>
    <w:rsid w:val="00042FDD"/>
    <w:rsid w:val="00043C90"/>
    <w:rsid w:val="00045667"/>
    <w:rsid w:val="00047B72"/>
    <w:rsid w:val="0005259C"/>
    <w:rsid w:val="00053D79"/>
    <w:rsid w:val="00054A04"/>
    <w:rsid w:val="00054CC3"/>
    <w:rsid w:val="0005600E"/>
    <w:rsid w:val="00056260"/>
    <w:rsid w:val="0005722F"/>
    <w:rsid w:val="00057600"/>
    <w:rsid w:val="00057C1A"/>
    <w:rsid w:val="00060890"/>
    <w:rsid w:val="00061094"/>
    <w:rsid w:val="00063C44"/>
    <w:rsid w:val="00063CE1"/>
    <w:rsid w:val="00065053"/>
    <w:rsid w:val="00065173"/>
    <w:rsid w:val="000655E4"/>
    <w:rsid w:val="000656AD"/>
    <w:rsid w:val="00065C71"/>
    <w:rsid w:val="00066BBA"/>
    <w:rsid w:val="000670CD"/>
    <w:rsid w:val="00067B6F"/>
    <w:rsid w:val="00067E1D"/>
    <w:rsid w:val="0007064C"/>
    <w:rsid w:val="000712EE"/>
    <w:rsid w:val="000725C0"/>
    <w:rsid w:val="00074CE6"/>
    <w:rsid w:val="00076E1A"/>
    <w:rsid w:val="00077277"/>
    <w:rsid w:val="0007743A"/>
    <w:rsid w:val="00080069"/>
    <w:rsid w:val="00080F4F"/>
    <w:rsid w:val="00082159"/>
    <w:rsid w:val="0008449F"/>
    <w:rsid w:val="0008745B"/>
    <w:rsid w:val="00091DB0"/>
    <w:rsid w:val="000924A7"/>
    <w:rsid w:val="000935A4"/>
    <w:rsid w:val="00093E42"/>
    <w:rsid w:val="00094B28"/>
    <w:rsid w:val="00096DEE"/>
    <w:rsid w:val="00097063"/>
    <w:rsid w:val="0009791B"/>
    <w:rsid w:val="000A1A89"/>
    <w:rsid w:val="000A1C91"/>
    <w:rsid w:val="000A2054"/>
    <w:rsid w:val="000A24C4"/>
    <w:rsid w:val="000A345B"/>
    <w:rsid w:val="000A372A"/>
    <w:rsid w:val="000A395D"/>
    <w:rsid w:val="000A56A5"/>
    <w:rsid w:val="000A5C86"/>
    <w:rsid w:val="000A6897"/>
    <w:rsid w:val="000A6DBE"/>
    <w:rsid w:val="000A722E"/>
    <w:rsid w:val="000B1FC4"/>
    <w:rsid w:val="000B2404"/>
    <w:rsid w:val="000B24C3"/>
    <w:rsid w:val="000B25AE"/>
    <w:rsid w:val="000B2ACF"/>
    <w:rsid w:val="000B36D8"/>
    <w:rsid w:val="000B3B7D"/>
    <w:rsid w:val="000C19EF"/>
    <w:rsid w:val="000C2D7D"/>
    <w:rsid w:val="000C3B86"/>
    <w:rsid w:val="000C3ED4"/>
    <w:rsid w:val="000C6435"/>
    <w:rsid w:val="000C6A39"/>
    <w:rsid w:val="000C6FB8"/>
    <w:rsid w:val="000D13E5"/>
    <w:rsid w:val="000D43DE"/>
    <w:rsid w:val="000D58A1"/>
    <w:rsid w:val="000E0A85"/>
    <w:rsid w:val="000E2661"/>
    <w:rsid w:val="000E68E3"/>
    <w:rsid w:val="000E6DDB"/>
    <w:rsid w:val="000E74A6"/>
    <w:rsid w:val="000F03B1"/>
    <w:rsid w:val="000F08AE"/>
    <w:rsid w:val="000F2D33"/>
    <w:rsid w:val="000F37D1"/>
    <w:rsid w:val="000F43F4"/>
    <w:rsid w:val="000F440E"/>
    <w:rsid w:val="000F6647"/>
    <w:rsid w:val="000F73B7"/>
    <w:rsid w:val="000F7E7B"/>
    <w:rsid w:val="001002F8"/>
    <w:rsid w:val="00100C73"/>
    <w:rsid w:val="00102654"/>
    <w:rsid w:val="001028CC"/>
    <w:rsid w:val="001034CF"/>
    <w:rsid w:val="0010432E"/>
    <w:rsid w:val="001045F9"/>
    <w:rsid w:val="0010472B"/>
    <w:rsid w:val="0010657F"/>
    <w:rsid w:val="001076E7"/>
    <w:rsid w:val="00112D0F"/>
    <w:rsid w:val="001133E0"/>
    <w:rsid w:val="00114505"/>
    <w:rsid w:val="00115DE5"/>
    <w:rsid w:val="001163D6"/>
    <w:rsid w:val="0011726A"/>
    <w:rsid w:val="0012022D"/>
    <w:rsid w:val="00120B5E"/>
    <w:rsid w:val="00121EB0"/>
    <w:rsid w:val="0012228D"/>
    <w:rsid w:val="00123218"/>
    <w:rsid w:val="00123925"/>
    <w:rsid w:val="00123F8C"/>
    <w:rsid w:val="00126641"/>
    <w:rsid w:val="00126DE0"/>
    <w:rsid w:val="00133D3A"/>
    <w:rsid w:val="001352EE"/>
    <w:rsid w:val="00135505"/>
    <w:rsid w:val="00135945"/>
    <w:rsid w:val="00136827"/>
    <w:rsid w:val="001375D4"/>
    <w:rsid w:val="00140FFE"/>
    <w:rsid w:val="00142B43"/>
    <w:rsid w:val="00143E88"/>
    <w:rsid w:val="00144CBA"/>
    <w:rsid w:val="001455D8"/>
    <w:rsid w:val="0014790A"/>
    <w:rsid w:val="00151ABB"/>
    <w:rsid w:val="00153ED3"/>
    <w:rsid w:val="0015414B"/>
    <w:rsid w:val="00154447"/>
    <w:rsid w:val="001549BE"/>
    <w:rsid w:val="00154CDE"/>
    <w:rsid w:val="00154F5B"/>
    <w:rsid w:val="00161DAC"/>
    <w:rsid w:val="00162B55"/>
    <w:rsid w:val="00162D8B"/>
    <w:rsid w:val="001638E9"/>
    <w:rsid w:val="00165824"/>
    <w:rsid w:val="00170A8C"/>
    <w:rsid w:val="00171A85"/>
    <w:rsid w:val="00172DE5"/>
    <w:rsid w:val="00173DF0"/>
    <w:rsid w:val="00174565"/>
    <w:rsid w:val="00175BB3"/>
    <w:rsid w:val="0017767A"/>
    <w:rsid w:val="00177A9A"/>
    <w:rsid w:val="001808A4"/>
    <w:rsid w:val="001815A5"/>
    <w:rsid w:val="00186850"/>
    <w:rsid w:val="001904A5"/>
    <w:rsid w:val="001914E3"/>
    <w:rsid w:val="001923C8"/>
    <w:rsid w:val="001939FF"/>
    <w:rsid w:val="00194DE8"/>
    <w:rsid w:val="00196CD7"/>
    <w:rsid w:val="001978B0"/>
    <w:rsid w:val="00197990"/>
    <w:rsid w:val="001A0106"/>
    <w:rsid w:val="001A02CB"/>
    <w:rsid w:val="001A11DB"/>
    <w:rsid w:val="001A33F4"/>
    <w:rsid w:val="001A40A3"/>
    <w:rsid w:val="001A6256"/>
    <w:rsid w:val="001A6F29"/>
    <w:rsid w:val="001A789B"/>
    <w:rsid w:val="001A796F"/>
    <w:rsid w:val="001B03CC"/>
    <w:rsid w:val="001B0C75"/>
    <w:rsid w:val="001B2921"/>
    <w:rsid w:val="001B44C2"/>
    <w:rsid w:val="001B4EC1"/>
    <w:rsid w:val="001B5432"/>
    <w:rsid w:val="001B659F"/>
    <w:rsid w:val="001B6D95"/>
    <w:rsid w:val="001B7399"/>
    <w:rsid w:val="001B7655"/>
    <w:rsid w:val="001B7BAD"/>
    <w:rsid w:val="001B7F09"/>
    <w:rsid w:val="001C0E7E"/>
    <w:rsid w:val="001C1166"/>
    <w:rsid w:val="001C171D"/>
    <w:rsid w:val="001C261E"/>
    <w:rsid w:val="001C3AB6"/>
    <w:rsid w:val="001C3AC7"/>
    <w:rsid w:val="001C45ED"/>
    <w:rsid w:val="001C5633"/>
    <w:rsid w:val="001C5F87"/>
    <w:rsid w:val="001C713A"/>
    <w:rsid w:val="001C7B78"/>
    <w:rsid w:val="001D0BA6"/>
    <w:rsid w:val="001D1942"/>
    <w:rsid w:val="001D1DDB"/>
    <w:rsid w:val="001D53EA"/>
    <w:rsid w:val="001D6D37"/>
    <w:rsid w:val="001D6F7C"/>
    <w:rsid w:val="001E12A5"/>
    <w:rsid w:val="001E1A70"/>
    <w:rsid w:val="001E1EDB"/>
    <w:rsid w:val="001E3A18"/>
    <w:rsid w:val="001E717D"/>
    <w:rsid w:val="001E71F5"/>
    <w:rsid w:val="001E7B30"/>
    <w:rsid w:val="001E7D86"/>
    <w:rsid w:val="001F0A34"/>
    <w:rsid w:val="001F11C2"/>
    <w:rsid w:val="001F1FE5"/>
    <w:rsid w:val="001F273A"/>
    <w:rsid w:val="001F377B"/>
    <w:rsid w:val="001F3CF9"/>
    <w:rsid w:val="001F55E5"/>
    <w:rsid w:val="001F5CB9"/>
    <w:rsid w:val="001F5CEB"/>
    <w:rsid w:val="001F5D39"/>
    <w:rsid w:val="001F771F"/>
    <w:rsid w:val="00200DC3"/>
    <w:rsid w:val="00204CBB"/>
    <w:rsid w:val="00204E98"/>
    <w:rsid w:val="002050B0"/>
    <w:rsid w:val="00205D80"/>
    <w:rsid w:val="00206B5F"/>
    <w:rsid w:val="0021093F"/>
    <w:rsid w:val="002133CA"/>
    <w:rsid w:val="0021451B"/>
    <w:rsid w:val="00215783"/>
    <w:rsid w:val="00215E6E"/>
    <w:rsid w:val="0021644B"/>
    <w:rsid w:val="00216DC9"/>
    <w:rsid w:val="002176BD"/>
    <w:rsid w:val="00217CA0"/>
    <w:rsid w:val="002202EB"/>
    <w:rsid w:val="00220FCF"/>
    <w:rsid w:val="00221705"/>
    <w:rsid w:val="002329C3"/>
    <w:rsid w:val="002332AE"/>
    <w:rsid w:val="002333C2"/>
    <w:rsid w:val="00234040"/>
    <w:rsid w:val="00235D67"/>
    <w:rsid w:val="0023659E"/>
    <w:rsid w:val="002402D8"/>
    <w:rsid w:val="002420FB"/>
    <w:rsid w:val="00244D22"/>
    <w:rsid w:val="00246C09"/>
    <w:rsid w:val="00247262"/>
    <w:rsid w:val="00250F53"/>
    <w:rsid w:val="00254129"/>
    <w:rsid w:val="0025616B"/>
    <w:rsid w:val="0025788D"/>
    <w:rsid w:val="00257FF4"/>
    <w:rsid w:val="002608CE"/>
    <w:rsid w:val="0026279C"/>
    <w:rsid w:val="00262CD3"/>
    <w:rsid w:val="00264F93"/>
    <w:rsid w:val="00265289"/>
    <w:rsid w:val="00266613"/>
    <w:rsid w:val="00266A45"/>
    <w:rsid w:val="00266FE9"/>
    <w:rsid w:val="002708B5"/>
    <w:rsid w:val="002722E0"/>
    <w:rsid w:val="00272396"/>
    <w:rsid w:val="0027614D"/>
    <w:rsid w:val="0027651A"/>
    <w:rsid w:val="002773D6"/>
    <w:rsid w:val="00277DC0"/>
    <w:rsid w:val="002809BC"/>
    <w:rsid w:val="00281CF6"/>
    <w:rsid w:val="0028359B"/>
    <w:rsid w:val="002857FE"/>
    <w:rsid w:val="00285C78"/>
    <w:rsid w:val="00285FA9"/>
    <w:rsid w:val="00286A55"/>
    <w:rsid w:val="00290639"/>
    <w:rsid w:val="002911DC"/>
    <w:rsid w:val="0029177B"/>
    <w:rsid w:val="00292D6A"/>
    <w:rsid w:val="0029312A"/>
    <w:rsid w:val="0029325C"/>
    <w:rsid w:val="00293B2D"/>
    <w:rsid w:val="002960B7"/>
    <w:rsid w:val="00297824"/>
    <w:rsid w:val="002A153F"/>
    <w:rsid w:val="002A40DC"/>
    <w:rsid w:val="002A5329"/>
    <w:rsid w:val="002A5C2D"/>
    <w:rsid w:val="002A61E5"/>
    <w:rsid w:val="002A7FC8"/>
    <w:rsid w:val="002B0A81"/>
    <w:rsid w:val="002B0F80"/>
    <w:rsid w:val="002B1CE7"/>
    <w:rsid w:val="002B2F0F"/>
    <w:rsid w:val="002B595D"/>
    <w:rsid w:val="002B5F6A"/>
    <w:rsid w:val="002B6752"/>
    <w:rsid w:val="002B7251"/>
    <w:rsid w:val="002B779E"/>
    <w:rsid w:val="002B7D6F"/>
    <w:rsid w:val="002B7D78"/>
    <w:rsid w:val="002C0552"/>
    <w:rsid w:val="002C25D0"/>
    <w:rsid w:val="002C280B"/>
    <w:rsid w:val="002C2DB0"/>
    <w:rsid w:val="002C75B0"/>
    <w:rsid w:val="002C7703"/>
    <w:rsid w:val="002C7836"/>
    <w:rsid w:val="002C7A63"/>
    <w:rsid w:val="002D0153"/>
    <w:rsid w:val="002D1042"/>
    <w:rsid w:val="002D3A80"/>
    <w:rsid w:val="002D403A"/>
    <w:rsid w:val="002D4262"/>
    <w:rsid w:val="002D5678"/>
    <w:rsid w:val="002D5BCF"/>
    <w:rsid w:val="002D7D62"/>
    <w:rsid w:val="002E1064"/>
    <w:rsid w:val="002E323F"/>
    <w:rsid w:val="002E4C7B"/>
    <w:rsid w:val="002F1B12"/>
    <w:rsid w:val="002F518C"/>
    <w:rsid w:val="002F591B"/>
    <w:rsid w:val="002F7A59"/>
    <w:rsid w:val="002F7B47"/>
    <w:rsid w:val="00300013"/>
    <w:rsid w:val="003006F8"/>
    <w:rsid w:val="00300BF2"/>
    <w:rsid w:val="00301C23"/>
    <w:rsid w:val="003027C1"/>
    <w:rsid w:val="00305718"/>
    <w:rsid w:val="00305EC5"/>
    <w:rsid w:val="00306107"/>
    <w:rsid w:val="003077B8"/>
    <w:rsid w:val="003111F8"/>
    <w:rsid w:val="0031204A"/>
    <w:rsid w:val="0031272B"/>
    <w:rsid w:val="00314858"/>
    <w:rsid w:val="003149D2"/>
    <w:rsid w:val="00315435"/>
    <w:rsid w:val="003162F8"/>
    <w:rsid w:val="00317ED9"/>
    <w:rsid w:val="0032038C"/>
    <w:rsid w:val="00322705"/>
    <w:rsid w:val="00325C5E"/>
    <w:rsid w:val="0032738E"/>
    <w:rsid w:val="00331C5F"/>
    <w:rsid w:val="00333074"/>
    <w:rsid w:val="00333223"/>
    <w:rsid w:val="00334C0C"/>
    <w:rsid w:val="003356DC"/>
    <w:rsid w:val="003364C1"/>
    <w:rsid w:val="00337F82"/>
    <w:rsid w:val="00340640"/>
    <w:rsid w:val="003435D6"/>
    <w:rsid w:val="00344768"/>
    <w:rsid w:val="003458E0"/>
    <w:rsid w:val="00345CCD"/>
    <w:rsid w:val="003511CE"/>
    <w:rsid w:val="00351909"/>
    <w:rsid w:val="00352495"/>
    <w:rsid w:val="00352BE0"/>
    <w:rsid w:val="0035333E"/>
    <w:rsid w:val="003538F0"/>
    <w:rsid w:val="00354B90"/>
    <w:rsid w:val="00357DAE"/>
    <w:rsid w:val="00361259"/>
    <w:rsid w:val="00361429"/>
    <w:rsid w:val="00362AA7"/>
    <w:rsid w:val="003705BF"/>
    <w:rsid w:val="00370935"/>
    <w:rsid w:val="0037320C"/>
    <w:rsid w:val="00375002"/>
    <w:rsid w:val="003750FB"/>
    <w:rsid w:val="00375E52"/>
    <w:rsid w:val="0038129E"/>
    <w:rsid w:val="00382234"/>
    <w:rsid w:val="0038390D"/>
    <w:rsid w:val="00384293"/>
    <w:rsid w:val="0038538C"/>
    <w:rsid w:val="0038672F"/>
    <w:rsid w:val="00386BC9"/>
    <w:rsid w:val="00386F24"/>
    <w:rsid w:val="00390443"/>
    <w:rsid w:val="0039053D"/>
    <w:rsid w:val="0039449C"/>
    <w:rsid w:val="003A0290"/>
    <w:rsid w:val="003A25BB"/>
    <w:rsid w:val="003A3A68"/>
    <w:rsid w:val="003A7134"/>
    <w:rsid w:val="003B0D03"/>
    <w:rsid w:val="003B1F0A"/>
    <w:rsid w:val="003B2C1F"/>
    <w:rsid w:val="003B5120"/>
    <w:rsid w:val="003B5533"/>
    <w:rsid w:val="003B5A85"/>
    <w:rsid w:val="003B71EE"/>
    <w:rsid w:val="003B75DA"/>
    <w:rsid w:val="003B7621"/>
    <w:rsid w:val="003C13A6"/>
    <w:rsid w:val="003C1EB4"/>
    <w:rsid w:val="003C4B4D"/>
    <w:rsid w:val="003C7710"/>
    <w:rsid w:val="003D0BF9"/>
    <w:rsid w:val="003D0E35"/>
    <w:rsid w:val="003D1E47"/>
    <w:rsid w:val="003D2984"/>
    <w:rsid w:val="003D3C14"/>
    <w:rsid w:val="003D4557"/>
    <w:rsid w:val="003D543D"/>
    <w:rsid w:val="003D5450"/>
    <w:rsid w:val="003D59FD"/>
    <w:rsid w:val="003D77B9"/>
    <w:rsid w:val="003E10B8"/>
    <w:rsid w:val="003E122D"/>
    <w:rsid w:val="003E13F5"/>
    <w:rsid w:val="003E1761"/>
    <w:rsid w:val="003E3242"/>
    <w:rsid w:val="003E4E15"/>
    <w:rsid w:val="003E5AE8"/>
    <w:rsid w:val="003E7981"/>
    <w:rsid w:val="003F07EE"/>
    <w:rsid w:val="003F18ED"/>
    <w:rsid w:val="003F29F2"/>
    <w:rsid w:val="003F47DF"/>
    <w:rsid w:val="003F7AC2"/>
    <w:rsid w:val="00400945"/>
    <w:rsid w:val="00401B17"/>
    <w:rsid w:val="00402641"/>
    <w:rsid w:val="00405E90"/>
    <w:rsid w:val="004065CE"/>
    <w:rsid w:val="004105DD"/>
    <w:rsid w:val="00410DCE"/>
    <w:rsid w:val="00412658"/>
    <w:rsid w:val="0041290C"/>
    <w:rsid w:val="0041404E"/>
    <w:rsid w:val="0041429D"/>
    <w:rsid w:val="00414E1F"/>
    <w:rsid w:val="00417319"/>
    <w:rsid w:val="0041765C"/>
    <w:rsid w:val="00420837"/>
    <w:rsid w:val="00421EEC"/>
    <w:rsid w:val="00422933"/>
    <w:rsid w:val="00422F4B"/>
    <w:rsid w:val="0042375D"/>
    <w:rsid w:val="00423F7A"/>
    <w:rsid w:val="00424731"/>
    <w:rsid w:val="004248B4"/>
    <w:rsid w:val="00424C66"/>
    <w:rsid w:val="0042526D"/>
    <w:rsid w:val="004254A2"/>
    <w:rsid w:val="00426D71"/>
    <w:rsid w:val="00430256"/>
    <w:rsid w:val="0043049D"/>
    <w:rsid w:val="00431BF1"/>
    <w:rsid w:val="00431C90"/>
    <w:rsid w:val="004342F8"/>
    <w:rsid w:val="00434A2F"/>
    <w:rsid w:val="0043699B"/>
    <w:rsid w:val="0044083A"/>
    <w:rsid w:val="004408FA"/>
    <w:rsid w:val="0044171F"/>
    <w:rsid w:val="004438B1"/>
    <w:rsid w:val="0044552A"/>
    <w:rsid w:val="00447607"/>
    <w:rsid w:val="00450CA2"/>
    <w:rsid w:val="00451501"/>
    <w:rsid w:val="004528D0"/>
    <w:rsid w:val="00454564"/>
    <w:rsid w:val="004562E5"/>
    <w:rsid w:val="00457BC3"/>
    <w:rsid w:val="0046034D"/>
    <w:rsid w:val="00462272"/>
    <w:rsid w:val="0046390C"/>
    <w:rsid w:val="00465D4E"/>
    <w:rsid w:val="00467BDD"/>
    <w:rsid w:val="004717F6"/>
    <w:rsid w:val="0047481E"/>
    <w:rsid w:val="00474918"/>
    <w:rsid w:val="00474FDE"/>
    <w:rsid w:val="00475EAF"/>
    <w:rsid w:val="00476A11"/>
    <w:rsid w:val="00480341"/>
    <w:rsid w:val="004814A7"/>
    <w:rsid w:val="004815F8"/>
    <w:rsid w:val="00481E32"/>
    <w:rsid w:val="0048263D"/>
    <w:rsid w:val="004831ED"/>
    <w:rsid w:val="004836A7"/>
    <w:rsid w:val="004847B4"/>
    <w:rsid w:val="00484921"/>
    <w:rsid w:val="00486614"/>
    <w:rsid w:val="00487E11"/>
    <w:rsid w:val="00487FB8"/>
    <w:rsid w:val="00490A54"/>
    <w:rsid w:val="004919D4"/>
    <w:rsid w:val="00491FB2"/>
    <w:rsid w:val="0049212C"/>
    <w:rsid w:val="0049330F"/>
    <w:rsid w:val="00494FDD"/>
    <w:rsid w:val="00495C39"/>
    <w:rsid w:val="0049738C"/>
    <w:rsid w:val="004A1224"/>
    <w:rsid w:val="004A247B"/>
    <w:rsid w:val="004A28C5"/>
    <w:rsid w:val="004A660C"/>
    <w:rsid w:val="004A6B44"/>
    <w:rsid w:val="004B00D7"/>
    <w:rsid w:val="004B0B19"/>
    <w:rsid w:val="004B37A7"/>
    <w:rsid w:val="004B4426"/>
    <w:rsid w:val="004B497F"/>
    <w:rsid w:val="004B5F2A"/>
    <w:rsid w:val="004B74B2"/>
    <w:rsid w:val="004B7A22"/>
    <w:rsid w:val="004C1399"/>
    <w:rsid w:val="004C1C09"/>
    <w:rsid w:val="004C2A17"/>
    <w:rsid w:val="004C5507"/>
    <w:rsid w:val="004C6120"/>
    <w:rsid w:val="004D1E1A"/>
    <w:rsid w:val="004D222A"/>
    <w:rsid w:val="004D22AA"/>
    <w:rsid w:val="004D23A9"/>
    <w:rsid w:val="004D29F5"/>
    <w:rsid w:val="004D2F90"/>
    <w:rsid w:val="004D4170"/>
    <w:rsid w:val="004D6295"/>
    <w:rsid w:val="004D6DBA"/>
    <w:rsid w:val="004D7804"/>
    <w:rsid w:val="004E2825"/>
    <w:rsid w:val="004E3079"/>
    <w:rsid w:val="004E3A0B"/>
    <w:rsid w:val="004E62E4"/>
    <w:rsid w:val="004F0E90"/>
    <w:rsid w:val="004F0F5B"/>
    <w:rsid w:val="004F22B8"/>
    <w:rsid w:val="004F2437"/>
    <w:rsid w:val="004F4624"/>
    <w:rsid w:val="004F5437"/>
    <w:rsid w:val="004F5573"/>
    <w:rsid w:val="004F634F"/>
    <w:rsid w:val="00500710"/>
    <w:rsid w:val="0050141B"/>
    <w:rsid w:val="005022B3"/>
    <w:rsid w:val="00502638"/>
    <w:rsid w:val="005029BC"/>
    <w:rsid w:val="00503F0E"/>
    <w:rsid w:val="005048E3"/>
    <w:rsid w:val="00505A77"/>
    <w:rsid w:val="00505CB3"/>
    <w:rsid w:val="005067C7"/>
    <w:rsid w:val="00506EB0"/>
    <w:rsid w:val="0050798C"/>
    <w:rsid w:val="005136CD"/>
    <w:rsid w:val="00514B1A"/>
    <w:rsid w:val="00516420"/>
    <w:rsid w:val="00521860"/>
    <w:rsid w:val="00521F68"/>
    <w:rsid w:val="005222CC"/>
    <w:rsid w:val="00522622"/>
    <w:rsid w:val="00524FA1"/>
    <w:rsid w:val="00525AB1"/>
    <w:rsid w:val="00527168"/>
    <w:rsid w:val="00527492"/>
    <w:rsid w:val="005277F5"/>
    <w:rsid w:val="005310C1"/>
    <w:rsid w:val="00531430"/>
    <w:rsid w:val="00532994"/>
    <w:rsid w:val="005329BE"/>
    <w:rsid w:val="00533515"/>
    <w:rsid w:val="00534AC0"/>
    <w:rsid w:val="00534DEA"/>
    <w:rsid w:val="00535557"/>
    <w:rsid w:val="0053606A"/>
    <w:rsid w:val="005369C0"/>
    <w:rsid w:val="00540D82"/>
    <w:rsid w:val="00541254"/>
    <w:rsid w:val="00541B89"/>
    <w:rsid w:val="00542BA5"/>
    <w:rsid w:val="00547EB8"/>
    <w:rsid w:val="00552FC2"/>
    <w:rsid w:val="00553DA2"/>
    <w:rsid w:val="00555623"/>
    <w:rsid w:val="005562DC"/>
    <w:rsid w:val="00556725"/>
    <w:rsid w:val="00557463"/>
    <w:rsid w:val="0055799A"/>
    <w:rsid w:val="00557A85"/>
    <w:rsid w:val="005606B5"/>
    <w:rsid w:val="00562BAD"/>
    <w:rsid w:val="00562D89"/>
    <w:rsid w:val="00565F2D"/>
    <w:rsid w:val="00565F93"/>
    <w:rsid w:val="00566181"/>
    <w:rsid w:val="0056677D"/>
    <w:rsid w:val="005708BD"/>
    <w:rsid w:val="00574906"/>
    <w:rsid w:val="00574C88"/>
    <w:rsid w:val="00574E9E"/>
    <w:rsid w:val="005752BC"/>
    <w:rsid w:val="0057622F"/>
    <w:rsid w:val="00576995"/>
    <w:rsid w:val="00577241"/>
    <w:rsid w:val="00577977"/>
    <w:rsid w:val="00581D30"/>
    <w:rsid w:val="00584245"/>
    <w:rsid w:val="00584D80"/>
    <w:rsid w:val="00586535"/>
    <w:rsid w:val="00586BB5"/>
    <w:rsid w:val="00586DFB"/>
    <w:rsid w:val="00587C5F"/>
    <w:rsid w:val="00587CDD"/>
    <w:rsid w:val="005905BC"/>
    <w:rsid w:val="00590B75"/>
    <w:rsid w:val="00590DAA"/>
    <w:rsid w:val="00592349"/>
    <w:rsid w:val="00596316"/>
    <w:rsid w:val="00596F3F"/>
    <w:rsid w:val="00597EEF"/>
    <w:rsid w:val="005A1C4E"/>
    <w:rsid w:val="005A3678"/>
    <w:rsid w:val="005A4A1A"/>
    <w:rsid w:val="005A51A3"/>
    <w:rsid w:val="005A61D3"/>
    <w:rsid w:val="005A7E70"/>
    <w:rsid w:val="005B40E8"/>
    <w:rsid w:val="005B6DAA"/>
    <w:rsid w:val="005B7314"/>
    <w:rsid w:val="005B7D8B"/>
    <w:rsid w:val="005C03F6"/>
    <w:rsid w:val="005C0475"/>
    <w:rsid w:val="005C1569"/>
    <w:rsid w:val="005C4604"/>
    <w:rsid w:val="005C4BEE"/>
    <w:rsid w:val="005C6E74"/>
    <w:rsid w:val="005C7525"/>
    <w:rsid w:val="005C781C"/>
    <w:rsid w:val="005D1F57"/>
    <w:rsid w:val="005D330E"/>
    <w:rsid w:val="005D6D59"/>
    <w:rsid w:val="005D7A35"/>
    <w:rsid w:val="005E034F"/>
    <w:rsid w:val="005E09A7"/>
    <w:rsid w:val="005E0D49"/>
    <w:rsid w:val="005E17E3"/>
    <w:rsid w:val="005E198B"/>
    <w:rsid w:val="005E19D9"/>
    <w:rsid w:val="005E1D35"/>
    <w:rsid w:val="005E2A31"/>
    <w:rsid w:val="005E4372"/>
    <w:rsid w:val="005E442F"/>
    <w:rsid w:val="005E61D8"/>
    <w:rsid w:val="005E7E2C"/>
    <w:rsid w:val="005F241D"/>
    <w:rsid w:val="005F29CD"/>
    <w:rsid w:val="005F3175"/>
    <w:rsid w:val="005F3436"/>
    <w:rsid w:val="005F43A5"/>
    <w:rsid w:val="005F4739"/>
    <w:rsid w:val="005F5296"/>
    <w:rsid w:val="005F642B"/>
    <w:rsid w:val="005F67FC"/>
    <w:rsid w:val="006026E1"/>
    <w:rsid w:val="00603A90"/>
    <w:rsid w:val="006043C7"/>
    <w:rsid w:val="00604695"/>
    <w:rsid w:val="00604E8D"/>
    <w:rsid w:val="00605163"/>
    <w:rsid w:val="006065BF"/>
    <w:rsid w:val="006070EA"/>
    <w:rsid w:val="006075C5"/>
    <w:rsid w:val="00607ABE"/>
    <w:rsid w:val="00607F53"/>
    <w:rsid w:val="006103D0"/>
    <w:rsid w:val="00611EAE"/>
    <w:rsid w:val="0061364A"/>
    <w:rsid w:val="00613BEA"/>
    <w:rsid w:val="0061402C"/>
    <w:rsid w:val="0061595F"/>
    <w:rsid w:val="006159FB"/>
    <w:rsid w:val="00615CC8"/>
    <w:rsid w:val="00616179"/>
    <w:rsid w:val="0061675B"/>
    <w:rsid w:val="00617395"/>
    <w:rsid w:val="0062052B"/>
    <w:rsid w:val="00621A86"/>
    <w:rsid w:val="00621F80"/>
    <w:rsid w:val="00623401"/>
    <w:rsid w:val="00624B1A"/>
    <w:rsid w:val="00625C40"/>
    <w:rsid w:val="0062706D"/>
    <w:rsid w:val="00627E7C"/>
    <w:rsid w:val="00631369"/>
    <w:rsid w:val="00632481"/>
    <w:rsid w:val="0063262D"/>
    <w:rsid w:val="0063482C"/>
    <w:rsid w:val="00634D6E"/>
    <w:rsid w:val="00637BBD"/>
    <w:rsid w:val="00640D17"/>
    <w:rsid w:val="00641088"/>
    <w:rsid w:val="00641A22"/>
    <w:rsid w:val="00642768"/>
    <w:rsid w:val="00646ACE"/>
    <w:rsid w:val="006474C0"/>
    <w:rsid w:val="00647927"/>
    <w:rsid w:val="00651DAF"/>
    <w:rsid w:val="00652B9B"/>
    <w:rsid w:val="00653743"/>
    <w:rsid w:val="0065388C"/>
    <w:rsid w:val="00653DD9"/>
    <w:rsid w:val="00654E6A"/>
    <w:rsid w:val="006575F3"/>
    <w:rsid w:val="00660871"/>
    <w:rsid w:val="00662809"/>
    <w:rsid w:val="00664E08"/>
    <w:rsid w:val="0066774D"/>
    <w:rsid w:val="00667EF7"/>
    <w:rsid w:val="00667F42"/>
    <w:rsid w:val="00671284"/>
    <w:rsid w:val="006727FC"/>
    <w:rsid w:val="00673906"/>
    <w:rsid w:val="006753CF"/>
    <w:rsid w:val="0067698B"/>
    <w:rsid w:val="00676E5B"/>
    <w:rsid w:val="006777D1"/>
    <w:rsid w:val="00677A64"/>
    <w:rsid w:val="00677D6B"/>
    <w:rsid w:val="00680795"/>
    <w:rsid w:val="0068269C"/>
    <w:rsid w:val="00682713"/>
    <w:rsid w:val="00683579"/>
    <w:rsid w:val="00684346"/>
    <w:rsid w:val="006854CE"/>
    <w:rsid w:val="0068790B"/>
    <w:rsid w:val="0069090B"/>
    <w:rsid w:val="00691B2D"/>
    <w:rsid w:val="006921FC"/>
    <w:rsid w:val="00692BCB"/>
    <w:rsid w:val="006941DD"/>
    <w:rsid w:val="0069466B"/>
    <w:rsid w:val="00696A8A"/>
    <w:rsid w:val="006A1A56"/>
    <w:rsid w:val="006A257C"/>
    <w:rsid w:val="006A2615"/>
    <w:rsid w:val="006A2EB3"/>
    <w:rsid w:val="006A5866"/>
    <w:rsid w:val="006B0F54"/>
    <w:rsid w:val="006B415B"/>
    <w:rsid w:val="006B4C95"/>
    <w:rsid w:val="006B4CBA"/>
    <w:rsid w:val="006B5745"/>
    <w:rsid w:val="006C2DD1"/>
    <w:rsid w:val="006C2E46"/>
    <w:rsid w:val="006C4E45"/>
    <w:rsid w:val="006C5EE1"/>
    <w:rsid w:val="006C61B1"/>
    <w:rsid w:val="006D0669"/>
    <w:rsid w:val="006D3771"/>
    <w:rsid w:val="006D437E"/>
    <w:rsid w:val="006D440A"/>
    <w:rsid w:val="006D50F7"/>
    <w:rsid w:val="006D592F"/>
    <w:rsid w:val="006D62BE"/>
    <w:rsid w:val="006D7B71"/>
    <w:rsid w:val="006E0006"/>
    <w:rsid w:val="006E0DF5"/>
    <w:rsid w:val="006E0DF6"/>
    <w:rsid w:val="006E1BDE"/>
    <w:rsid w:val="006E336C"/>
    <w:rsid w:val="006E3B9E"/>
    <w:rsid w:val="006E3BD9"/>
    <w:rsid w:val="006E4A27"/>
    <w:rsid w:val="006E5828"/>
    <w:rsid w:val="006E6BB9"/>
    <w:rsid w:val="006E705E"/>
    <w:rsid w:val="006E784F"/>
    <w:rsid w:val="006F0184"/>
    <w:rsid w:val="006F0B4F"/>
    <w:rsid w:val="006F2DF3"/>
    <w:rsid w:val="006F2DF9"/>
    <w:rsid w:val="006F3C6F"/>
    <w:rsid w:val="006F3D4B"/>
    <w:rsid w:val="006F41C6"/>
    <w:rsid w:val="006F5DD9"/>
    <w:rsid w:val="006F6FA2"/>
    <w:rsid w:val="007001D0"/>
    <w:rsid w:val="00700CE3"/>
    <w:rsid w:val="00701498"/>
    <w:rsid w:val="00701E70"/>
    <w:rsid w:val="00702FAB"/>
    <w:rsid w:val="007048F2"/>
    <w:rsid w:val="00704F47"/>
    <w:rsid w:val="007072C2"/>
    <w:rsid w:val="0070746B"/>
    <w:rsid w:val="007075CA"/>
    <w:rsid w:val="0071151E"/>
    <w:rsid w:val="0071482B"/>
    <w:rsid w:val="00714C8F"/>
    <w:rsid w:val="00715A32"/>
    <w:rsid w:val="00716A82"/>
    <w:rsid w:val="00716F57"/>
    <w:rsid w:val="00721409"/>
    <w:rsid w:val="007221A2"/>
    <w:rsid w:val="00722935"/>
    <w:rsid w:val="007250C5"/>
    <w:rsid w:val="007273A7"/>
    <w:rsid w:val="00727815"/>
    <w:rsid w:val="00730E31"/>
    <w:rsid w:val="00733F2E"/>
    <w:rsid w:val="00734E06"/>
    <w:rsid w:val="00735917"/>
    <w:rsid w:val="00736E9D"/>
    <w:rsid w:val="007373FA"/>
    <w:rsid w:val="00740508"/>
    <w:rsid w:val="0074063F"/>
    <w:rsid w:val="00740EF1"/>
    <w:rsid w:val="00743E15"/>
    <w:rsid w:val="00744DBD"/>
    <w:rsid w:val="00745398"/>
    <w:rsid w:val="00751759"/>
    <w:rsid w:val="00751C9E"/>
    <w:rsid w:val="007560D5"/>
    <w:rsid w:val="007561F0"/>
    <w:rsid w:val="00756632"/>
    <w:rsid w:val="0075754A"/>
    <w:rsid w:val="00760554"/>
    <w:rsid w:val="0076083D"/>
    <w:rsid w:val="00761DC2"/>
    <w:rsid w:val="00762B1E"/>
    <w:rsid w:val="00764F62"/>
    <w:rsid w:val="00766434"/>
    <w:rsid w:val="00770E10"/>
    <w:rsid w:val="00771E5C"/>
    <w:rsid w:val="00772107"/>
    <w:rsid w:val="00774A83"/>
    <w:rsid w:val="00775146"/>
    <w:rsid w:val="0077566D"/>
    <w:rsid w:val="00776097"/>
    <w:rsid w:val="007766A5"/>
    <w:rsid w:val="00776E39"/>
    <w:rsid w:val="00777AB5"/>
    <w:rsid w:val="0078008F"/>
    <w:rsid w:val="0078016D"/>
    <w:rsid w:val="00782098"/>
    <w:rsid w:val="00783CDB"/>
    <w:rsid w:val="00784DE3"/>
    <w:rsid w:val="00787B77"/>
    <w:rsid w:val="007900CB"/>
    <w:rsid w:val="00790E9B"/>
    <w:rsid w:val="007917E7"/>
    <w:rsid w:val="0079254A"/>
    <w:rsid w:val="007927C6"/>
    <w:rsid w:val="0079348E"/>
    <w:rsid w:val="0079405B"/>
    <w:rsid w:val="007A02FC"/>
    <w:rsid w:val="007A05F4"/>
    <w:rsid w:val="007A0BB9"/>
    <w:rsid w:val="007A1D73"/>
    <w:rsid w:val="007A3351"/>
    <w:rsid w:val="007A4023"/>
    <w:rsid w:val="007A5A94"/>
    <w:rsid w:val="007A6C47"/>
    <w:rsid w:val="007B31F7"/>
    <w:rsid w:val="007B347F"/>
    <w:rsid w:val="007B3489"/>
    <w:rsid w:val="007B5A98"/>
    <w:rsid w:val="007B5E30"/>
    <w:rsid w:val="007B737F"/>
    <w:rsid w:val="007B75D4"/>
    <w:rsid w:val="007C0446"/>
    <w:rsid w:val="007C2270"/>
    <w:rsid w:val="007C27D4"/>
    <w:rsid w:val="007C3BF4"/>
    <w:rsid w:val="007C4CCE"/>
    <w:rsid w:val="007C537D"/>
    <w:rsid w:val="007C570A"/>
    <w:rsid w:val="007C7D49"/>
    <w:rsid w:val="007D00B2"/>
    <w:rsid w:val="007D02E0"/>
    <w:rsid w:val="007D1D99"/>
    <w:rsid w:val="007D43E3"/>
    <w:rsid w:val="007D45D6"/>
    <w:rsid w:val="007D4D2A"/>
    <w:rsid w:val="007D65BF"/>
    <w:rsid w:val="007D763D"/>
    <w:rsid w:val="007E00B1"/>
    <w:rsid w:val="007E0749"/>
    <w:rsid w:val="007E2F87"/>
    <w:rsid w:val="007E334F"/>
    <w:rsid w:val="007E5D39"/>
    <w:rsid w:val="007E66C8"/>
    <w:rsid w:val="007E67BD"/>
    <w:rsid w:val="007E6BBD"/>
    <w:rsid w:val="007F06E1"/>
    <w:rsid w:val="007F2131"/>
    <w:rsid w:val="007F26E3"/>
    <w:rsid w:val="007F44B0"/>
    <w:rsid w:val="007F517F"/>
    <w:rsid w:val="007F6391"/>
    <w:rsid w:val="007F65B4"/>
    <w:rsid w:val="007F6FB8"/>
    <w:rsid w:val="007F7481"/>
    <w:rsid w:val="007F76FF"/>
    <w:rsid w:val="00801491"/>
    <w:rsid w:val="008015A7"/>
    <w:rsid w:val="00803099"/>
    <w:rsid w:val="00804113"/>
    <w:rsid w:val="008079FB"/>
    <w:rsid w:val="0081066B"/>
    <w:rsid w:val="00810809"/>
    <w:rsid w:val="00812350"/>
    <w:rsid w:val="00812741"/>
    <w:rsid w:val="008128E3"/>
    <w:rsid w:val="008128E6"/>
    <w:rsid w:val="00815871"/>
    <w:rsid w:val="00821789"/>
    <w:rsid w:val="0082180B"/>
    <w:rsid w:val="00823888"/>
    <w:rsid w:val="00825D4F"/>
    <w:rsid w:val="00826934"/>
    <w:rsid w:val="00830017"/>
    <w:rsid w:val="0083034B"/>
    <w:rsid w:val="00830DC9"/>
    <w:rsid w:val="00833238"/>
    <w:rsid w:val="00833377"/>
    <w:rsid w:val="00833A6A"/>
    <w:rsid w:val="00833E2F"/>
    <w:rsid w:val="00835539"/>
    <w:rsid w:val="008368F3"/>
    <w:rsid w:val="008400A8"/>
    <w:rsid w:val="0084156A"/>
    <w:rsid w:val="008427B1"/>
    <w:rsid w:val="00843D3D"/>
    <w:rsid w:val="008449FF"/>
    <w:rsid w:val="0084601D"/>
    <w:rsid w:val="00846C73"/>
    <w:rsid w:val="0085052C"/>
    <w:rsid w:val="0085161D"/>
    <w:rsid w:val="00855597"/>
    <w:rsid w:val="00855780"/>
    <w:rsid w:val="00856178"/>
    <w:rsid w:val="00856C69"/>
    <w:rsid w:val="008570AB"/>
    <w:rsid w:val="00861BAB"/>
    <w:rsid w:val="00862545"/>
    <w:rsid w:val="00863A17"/>
    <w:rsid w:val="008642CA"/>
    <w:rsid w:val="00864A29"/>
    <w:rsid w:val="00864F0B"/>
    <w:rsid w:val="00865A76"/>
    <w:rsid w:val="0086730B"/>
    <w:rsid w:val="00867838"/>
    <w:rsid w:val="008679E6"/>
    <w:rsid w:val="00867A0F"/>
    <w:rsid w:val="00871429"/>
    <w:rsid w:val="00871811"/>
    <w:rsid w:val="00872E1F"/>
    <w:rsid w:val="00873942"/>
    <w:rsid w:val="00880558"/>
    <w:rsid w:val="0088361F"/>
    <w:rsid w:val="00883DAD"/>
    <w:rsid w:val="00885DA2"/>
    <w:rsid w:val="00886342"/>
    <w:rsid w:val="008875DE"/>
    <w:rsid w:val="0089092F"/>
    <w:rsid w:val="00894471"/>
    <w:rsid w:val="008969FC"/>
    <w:rsid w:val="00896FF4"/>
    <w:rsid w:val="008976CC"/>
    <w:rsid w:val="008A0E85"/>
    <w:rsid w:val="008A1DDE"/>
    <w:rsid w:val="008A371D"/>
    <w:rsid w:val="008A5443"/>
    <w:rsid w:val="008A55A8"/>
    <w:rsid w:val="008A5F01"/>
    <w:rsid w:val="008A6069"/>
    <w:rsid w:val="008A6B66"/>
    <w:rsid w:val="008B08D0"/>
    <w:rsid w:val="008B0969"/>
    <w:rsid w:val="008B11D0"/>
    <w:rsid w:val="008B37BA"/>
    <w:rsid w:val="008B4464"/>
    <w:rsid w:val="008B479E"/>
    <w:rsid w:val="008B4BF2"/>
    <w:rsid w:val="008B56E5"/>
    <w:rsid w:val="008B5AFD"/>
    <w:rsid w:val="008B6650"/>
    <w:rsid w:val="008B7A4E"/>
    <w:rsid w:val="008C1506"/>
    <w:rsid w:val="008C26C0"/>
    <w:rsid w:val="008C2D30"/>
    <w:rsid w:val="008C6C92"/>
    <w:rsid w:val="008C77F7"/>
    <w:rsid w:val="008D0AE4"/>
    <w:rsid w:val="008D1B0D"/>
    <w:rsid w:val="008D1F04"/>
    <w:rsid w:val="008D285A"/>
    <w:rsid w:val="008D2F52"/>
    <w:rsid w:val="008D6B57"/>
    <w:rsid w:val="008D74C3"/>
    <w:rsid w:val="008D7DFC"/>
    <w:rsid w:val="008E00FD"/>
    <w:rsid w:val="008E07C6"/>
    <w:rsid w:val="008E1CEE"/>
    <w:rsid w:val="008E33EA"/>
    <w:rsid w:val="008E4180"/>
    <w:rsid w:val="008E5F84"/>
    <w:rsid w:val="008E5FF9"/>
    <w:rsid w:val="008E6A1B"/>
    <w:rsid w:val="008F06BC"/>
    <w:rsid w:val="008F0EA9"/>
    <w:rsid w:val="008F1B1E"/>
    <w:rsid w:val="008F2B7E"/>
    <w:rsid w:val="008F411D"/>
    <w:rsid w:val="008F4D31"/>
    <w:rsid w:val="008F53F5"/>
    <w:rsid w:val="008F5FF0"/>
    <w:rsid w:val="008F61F2"/>
    <w:rsid w:val="008F63BC"/>
    <w:rsid w:val="008F6F29"/>
    <w:rsid w:val="008F7F78"/>
    <w:rsid w:val="00900316"/>
    <w:rsid w:val="0090122A"/>
    <w:rsid w:val="0090394F"/>
    <w:rsid w:val="009054D3"/>
    <w:rsid w:val="00905D25"/>
    <w:rsid w:val="00907B9D"/>
    <w:rsid w:val="00910CFA"/>
    <w:rsid w:val="00911A95"/>
    <w:rsid w:val="00911FAE"/>
    <w:rsid w:val="009123B7"/>
    <w:rsid w:val="009125D2"/>
    <w:rsid w:val="009131E0"/>
    <w:rsid w:val="00913658"/>
    <w:rsid w:val="00915E3F"/>
    <w:rsid w:val="00917A03"/>
    <w:rsid w:val="00920FF0"/>
    <w:rsid w:val="009218B2"/>
    <w:rsid w:val="0092273F"/>
    <w:rsid w:val="00923879"/>
    <w:rsid w:val="009238F1"/>
    <w:rsid w:val="009249B4"/>
    <w:rsid w:val="00926716"/>
    <w:rsid w:val="009270DB"/>
    <w:rsid w:val="00927200"/>
    <w:rsid w:val="00931980"/>
    <w:rsid w:val="0093491F"/>
    <w:rsid w:val="00935E14"/>
    <w:rsid w:val="00942454"/>
    <w:rsid w:val="00943252"/>
    <w:rsid w:val="00951BD3"/>
    <w:rsid w:val="009521FD"/>
    <w:rsid w:val="00953146"/>
    <w:rsid w:val="009559F2"/>
    <w:rsid w:val="00957310"/>
    <w:rsid w:val="0095750D"/>
    <w:rsid w:val="009621BD"/>
    <w:rsid w:val="00962B8F"/>
    <w:rsid w:val="00964464"/>
    <w:rsid w:val="00965665"/>
    <w:rsid w:val="0096632E"/>
    <w:rsid w:val="00966D4F"/>
    <w:rsid w:val="00971F52"/>
    <w:rsid w:val="0097202E"/>
    <w:rsid w:val="00972E0B"/>
    <w:rsid w:val="009748F0"/>
    <w:rsid w:val="00974A7C"/>
    <w:rsid w:val="0097587B"/>
    <w:rsid w:val="00975943"/>
    <w:rsid w:val="009766FE"/>
    <w:rsid w:val="00976E06"/>
    <w:rsid w:val="00977715"/>
    <w:rsid w:val="00980439"/>
    <w:rsid w:val="00982444"/>
    <w:rsid w:val="00982BA7"/>
    <w:rsid w:val="00982D92"/>
    <w:rsid w:val="00982F10"/>
    <w:rsid w:val="009834A0"/>
    <w:rsid w:val="009843A8"/>
    <w:rsid w:val="00984993"/>
    <w:rsid w:val="009859AB"/>
    <w:rsid w:val="00986AEE"/>
    <w:rsid w:val="00993EA1"/>
    <w:rsid w:val="0099496C"/>
    <w:rsid w:val="00996569"/>
    <w:rsid w:val="009A04F7"/>
    <w:rsid w:val="009A057B"/>
    <w:rsid w:val="009A06F0"/>
    <w:rsid w:val="009A0AD3"/>
    <w:rsid w:val="009A14DE"/>
    <w:rsid w:val="009A3612"/>
    <w:rsid w:val="009A7BC2"/>
    <w:rsid w:val="009B1897"/>
    <w:rsid w:val="009B1BB7"/>
    <w:rsid w:val="009B37D2"/>
    <w:rsid w:val="009B482C"/>
    <w:rsid w:val="009B48D4"/>
    <w:rsid w:val="009C0992"/>
    <w:rsid w:val="009C09B5"/>
    <w:rsid w:val="009C0C48"/>
    <w:rsid w:val="009C1830"/>
    <w:rsid w:val="009C1896"/>
    <w:rsid w:val="009C23DA"/>
    <w:rsid w:val="009C24B3"/>
    <w:rsid w:val="009C2C09"/>
    <w:rsid w:val="009C2E5A"/>
    <w:rsid w:val="009C5D39"/>
    <w:rsid w:val="009C6214"/>
    <w:rsid w:val="009C7B18"/>
    <w:rsid w:val="009C7D55"/>
    <w:rsid w:val="009C7F52"/>
    <w:rsid w:val="009D07F2"/>
    <w:rsid w:val="009D0E58"/>
    <w:rsid w:val="009D1884"/>
    <w:rsid w:val="009D24A3"/>
    <w:rsid w:val="009D3665"/>
    <w:rsid w:val="009D3C84"/>
    <w:rsid w:val="009D468B"/>
    <w:rsid w:val="009D6969"/>
    <w:rsid w:val="009D7470"/>
    <w:rsid w:val="009D7A58"/>
    <w:rsid w:val="009E0CED"/>
    <w:rsid w:val="009E17A2"/>
    <w:rsid w:val="009E2D23"/>
    <w:rsid w:val="009E3625"/>
    <w:rsid w:val="009E4043"/>
    <w:rsid w:val="009E43C1"/>
    <w:rsid w:val="009E576C"/>
    <w:rsid w:val="009E7DF3"/>
    <w:rsid w:val="009F3BA0"/>
    <w:rsid w:val="009F3F5D"/>
    <w:rsid w:val="009F4CB9"/>
    <w:rsid w:val="009F7F33"/>
    <w:rsid w:val="00A00981"/>
    <w:rsid w:val="00A01C02"/>
    <w:rsid w:val="00A04072"/>
    <w:rsid w:val="00A05113"/>
    <w:rsid w:val="00A054B5"/>
    <w:rsid w:val="00A054DC"/>
    <w:rsid w:val="00A069AE"/>
    <w:rsid w:val="00A07680"/>
    <w:rsid w:val="00A10389"/>
    <w:rsid w:val="00A1133E"/>
    <w:rsid w:val="00A11888"/>
    <w:rsid w:val="00A119FF"/>
    <w:rsid w:val="00A11E62"/>
    <w:rsid w:val="00A11E8F"/>
    <w:rsid w:val="00A12369"/>
    <w:rsid w:val="00A14357"/>
    <w:rsid w:val="00A1524F"/>
    <w:rsid w:val="00A15E63"/>
    <w:rsid w:val="00A167D9"/>
    <w:rsid w:val="00A16AC0"/>
    <w:rsid w:val="00A17672"/>
    <w:rsid w:val="00A20C5D"/>
    <w:rsid w:val="00A239CC"/>
    <w:rsid w:val="00A23BC2"/>
    <w:rsid w:val="00A279AC"/>
    <w:rsid w:val="00A30C5D"/>
    <w:rsid w:val="00A310F1"/>
    <w:rsid w:val="00A33C8E"/>
    <w:rsid w:val="00A35B36"/>
    <w:rsid w:val="00A35FAA"/>
    <w:rsid w:val="00A40163"/>
    <w:rsid w:val="00A409BC"/>
    <w:rsid w:val="00A42F6D"/>
    <w:rsid w:val="00A44612"/>
    <w:rsid w:val="00A44720"/>
    <w:rsid w:val="00A44AA4"/>
    <w:rsid w:val="00A51337"/>
    <w:rsid w:val="00A5180A"/>
    <w:rsid w:val="00A5388A"/>
    <w:rsid w:val="00A540A5"/>
    <w:rsid w:val="00A54248"/>
    <w:rsid w:val="00A54D7E"/>
    <w:rsid w:val="00A55B6F"/>
    <w:rsid w:val="00A6122B"/>
    <w:rsid w:val="00A6388E"/>
    <w:rsid w:val="00A64A13"/>
    <w:rsid w:val="00A70398"/>
    <w:rsid w:val="00A709AD"/>
    <w:rsid w:val="00A733CB"/>
    <w:rsid w:val="00A751AD"/>
    <w:rsid w:val="00A751EB"/>
    <w:rsid w:val="00A775CF"/>
    <w:rsid w:val="00A77853"/>
    <w:rsid w:val="00A77FAF"/>
    <w:rsid w:val="00A804F7"/>
    <w:rsid w:val="00A80570"/>
    <w:rsid w:val="00A80C87"/>
    <w:rsid w:val="00A844C5"/>
    <w:rsid w:val="00A84503"/>
    <w:rsid w:val="00A8782F"/>
    <w:rsid w:val="00A87ABE"/>
    <w:rsid w:val="00A9167D"/>
    <w:rsid w:val="00A92D25"/>
    <w:rsid w:val="00A93937"/>
    <w:rsid w:val="00A93ED4"/>
    <w:rsid w:val="00A94689"/>
    <w:rsid w:val="00A94DDB"/>
    <w:rsid w:val="00A965CA"/>
    <w:rsid w:val="00A965CD"/>
    <w:rsid w:val="00AA01BE"/>
    <w:rsid w:val="00AA27AA"/>
    <w:rsid w:val="00AA2DF3"/>
    <w:rsid w:val="00AA50BC"/>
    <w:rsid w:val="00AB0D29"/>
    <w:rsid w:val="00AB24E7"/>
    <w:rsid w:val="00AB2D86"/>
    <w:rsid w:val="00AB3237"/>
    <w:rsid w:val="00AB3A2D"/>
    <w:rsid w:val="00AB75AE"/>
    <w:rsid w:val="00AB76EC"/>
    <w:rsid w:val="00AB7933"/>
    <w:rsid w:val="00AC13C9"/>
    <w:rsid w:val="00AC3D18"/>
    <w:rsid w:val="00AD0853"/>
    <w:rsid w:val="00AD10CF"/>
    <w:rsid w:val="00AD2FC0"/>
    <w:rsid w:val="00AD35EA"/>
    <w:rsid w:val="00AD3BC7"/>
    <w:rsid w:val="00AD4967"/>
    <w:rsid w:val="00AD562E"/>
    <w:rsid w:val="00AD5B1B"/>
    <w:rsid w:val="00AD6757"/>
    <w:rsid w:val="00AD6DB9"/>
    <w:rsid w:val="00AD7DC3"/>
    <w:rsid w:val="00AE0719"/>
    <w:rsid w:val="00AE0BAA"/>
    <w:rsid w:val="00AE2459"/>
    <w:rsid w:val="00AE29C2"/>
    <w:rsid w:val="00AE3D23"/>
    <w:rsid w:val="00AE4EC8"/>
    <w:rsid w:val="00AE5145"/>
    <w:rsid w:val="00AE5AC4"/>
    <w:rsid w:val="00AE5D9F"/>
    <w:rsid w:val="00AE5F15"/>
    <w:rsid w:val="00AE61C0"/>
    <w:rsid w:val="00AE76C9"/>
    <w:rsid w:val="00AF0C7E"/>
    <w:rsid w:val="00AF0EB2"/>
    <w:rsid w:val="00AF1492"/>
    <w:rsid w:val="00AF2791"/>
    <w:rsid w:val="00AF32F0"/>
    <w:rsid w:val="00AF3811"/>
    <w:rsid w:val="00AF418D"/>
    <w:rsid w:val="00AF560E"/>
    <w:rsid w:val="00AF6220"/>
    <w:rsid w:val="00AF70EE"/>
    <w:rsid w:val="00AF7618"/>
    <w:rsid w:val="00B00B01"/>
    <w:rsid w:val="00B00D22"/>
    <w:rsid w:val="00B04550"/>
    <w:rsid w:val="00B04964"/>
    <w:rsid w:val="00B0697A"/>
    <w:rsid w:val="00B10605"/>
    <w:rsid w:val="00B10F95"/>
    <w:rsid w:val="00B12331"/>
    <w:rsid w:val="00B15B71"/>
    <w:rsid w:val="00B20064"/>
    <w:rsid w:val="00B2020C"/>
    <w:rsid w:val="00B21941"/>
    <w:rsid w:val="00B21EB4"/>
    <w:rsid w:val="00B2691D"/>
    <w:rsid w:val="00B26C44"/>
    <w:rsid w:val="00B26E12"/>
    <w:rsid w:val="00B27820"/>
    <w:rsid w:val="00B30944"/>
    <w:rsid w:val="00B3397D"/>
    <w:rsid w:val="00B33F4D"/>
    <w:rsid w:val="00B37148"/>
    <w:rsid w:val="00B42929"/>
    <w:rsid w:val="00B42B56"/>
    <w:rsid w:val="00B450CF"/>
    <w:rsid w:val="00B452D4"/>
    <w:rsid w:val="00B460B5"/>
    <w:rsid w:val="00B47F4C"/>
    <w:rsid w:val="00B51526"/>
    <w:rsid w:val="00B531BE"/>
    <w:rsid w:val="00B5564F"/>
    <w:rsid w:val="00B60F6F"/>
    <w:rsid w:val="00B61A52"/>
    <w:rsid w:val="00B6230B"/>
    <w:rsid w:val="00B64DE4"/>
    <w:rsid w:val="00B64FCF"/>
    <w:rsid w:val="00B66375"/>
    <w:rsid w:val="00B676B8"/>
    <w:rsid w:val="00B70C9E"/>
    <w:rsid w:val="00B71222"/>
    <w:rsid w:val="00B7358B"/>
    <w:rsid w:val="00B7388C"/>
    <w:rsid w:val="00B73E0D"/>
    <w:rsid w:val="00B81F42"/>
    <w:rsid w:val="00B82EEB"/>
    <w:rsid w:val="00B830A1"/>
    <w:rsid w:val="00B83705"/>
    <w:rsid w:val="00B83CA0"/>
    <w:rsid w:val="00B84243"/>
    <w:rsid w:val="00B85C34"/>
    <w:rsid w:val="00B876C0"/>
    <w:rsid w:val="00B926F4"/>
    <w:rsid w:val="00B93884"/>
    <w:rsid w:val="00B94A65"/>
    <w:rsid w:val="00B94ADF"/>
    <w:rsid w:val="00B94B4F"/>
    <w:rsid w:val="00B94FB4"/>
    <w:rsid w:val="00B95286"/>
    <w:rsid w:val="00B95D2D"/>
    <w:rsid w:val="00B9676C"/>
    <w:rsid w:val="00BA0966"/>
    <w:rsid w:val="00BA0F2F"/>
    <w:rsid w:val="00BA379F"/>
    <w:rsid w:val="00BA6777"/>
    <w:rsid w:val="00BB0732"/>
    <w:rsid w:val="00BB0D52"/>
    <w:rsid w:val="00BB0E51"/>
    <w:rsid w:val="00BB2A98"/>
    <w:rsid w:val="00BB3AB5"/>
    <w:rsid w:val="00BB3DA8"/>
    <w:rsid w:val="00BB498B"/>
    <w:rsid w:val="00BB6229"/>
    <w:rsid w:val="00BB6D23"/>
    <w:rsid w:val="00BB721D"/>
    <w:rsid w:val="00BB7455"/>
    <w:rsid w:val="00BB7A90"/>
    <w:rsid w:val="00BC1020"/>
    <w:rsid w:val="00BC2C65"/>
    <w:rsid w:val="00BC3CAB"/>
    <w:rsid w:val="00BC42CE"/>
    <w:rsid w:val="00BC6702"/>
    <w:rsid w:val="00BD210E"/>
    <w:rsid w:val="00BD551E"/>
    <w:rsid w:val="00BD7252"/>
    <w:rsid w:val="00BE1E3A"/>
    <w:rsid w:val="00BE1E5B"/>
    <w:rsid w:val="00BE5029"/>
    <w:rsid w:val="00BE70B3"/>
    <w:rsid w:val="00BE7D58"/>
    <w:rsid w:val="00BF0270"/>
    <w:rsid w:val="00BF0E14"/>
    <w:rsid w:val="00BF164E"/>
    <w:rsid w:val="00BF23C3"/>
    <w:rsid w:val="00BF36A1"/>
    <w:rsid w:val="00BF6D42"/>
    <w:rsid w:val="00BF7ED9"/>
    <w:rsid w:val="00C0006A"/>
    <w:rsid w:val="00C00AA5"/>
    <w:rsid w:val="00C02329"/>
    <w:rsid w:val="00C07DEC"/>
    <w:rsid w:val="00C1005F"/>
    <w:rsid w:val="00C102DA"/>
    <w:rsid w:val="00C107D2"/>
    <w:rsid w:val="00C1171F"/>
    <w:rsid w:val="00C11F05"/>
    <w:rsid w:val="00C11F2F"/>
    <w:rsid w:val="00C122CE"/>
    <w:rsid w:val="00C12D0A"/>
    <w:rsid w:val="00C13BE5"/>
    <w:rsid w:val="00C14A16"/>
    <w:rsid w:val="00C15DEF"/>
    <w:rsid w:val="00C2034D"/>
    <w:rsid w:val="00C20E76"/>
    <w:rsid w:val="00C21ED3"/>
    <w:rsid w:val="00C227E7"/>
    <w:rsid w:val="00C23647"/>
    <w:rsid w:val="00C2476F"/>
    <w:rsid w:val="00C248D7"/>
    <w:rsid w:val="00C24D5C"/>
    <w:rsid w:val="00C24EB2"/>
    <w:rsid w:val="00C24FBA"/>
    <w:rsid w:val="00C2641F"/>
    <w:rsid w:val="00C2712A"/>
    <w:rsid w:val="00C3009E"/>
    <w:rsid w:val="00C31E81"/>
    <w:rsid w:val="00C3239B"/>
    <w:rsid w:val="00C32654"/>
    <w:rsid w:val="00C3324A"/>
    <w:rsid w:val="00C342CD"/>
    <w:rsid w:val="00C34390"/>
    <w:rsid w:val="00C34C59"/>
    <w:rsid w:val="00C359BA"/>
    <w:rsid w:val="00C36775"/>
    <w:rsid w:val="00C41D55"/>
    <w:rsid w:val="00C41E1F"/>
    <w:rsid w:val="00C428E6"/>
    <w:rsid w:val="00C42D37"/>
    <w:rsid w:val="00C431A3"/>
    <w:rsid w:val="00C44BE3"/>
    <w:rsid w:val="00C44C1D"/>
    <w:rsid w:val="00C459EE"/>
    <w:rsid w:val="00C52142"/>
    <w:rsid w:val="00C53EF2"/>
    <w:rsid w:val="00C54E04"/>
    <w:rsid w:val="00C55846"/>
    <w:rsid w:val="00C6305B"/>
    <w:rsid w:val="00C63C1F"/>
    <w:rsid w:val="00C63ED7"/>
    <w:rsid w:val="00C70B95"/>
    <w:rsid w:val="00C74126"/>
    <w:rsid w:val="00C74C39"/>
    <w:rsid w:val="00C74DA9"/>
    <w:rsid w:val="00C7638D"/>
    <w:rsid w:val="00C763EA"/>
    <w:rsid w:val="00C8049D"/>
    <w:rsid w:val="00C82824"/>
    <w:rsid w:val="00C85E77"/>
    <w:rsid w:val="00C8748F"/>
    <w:rsid w:val="00C87FB8"/>
    <w:rsid w:val="00C9175D"/>
    <w:rsid w:val="00C91CF4"/>
    <w:rsid w:val="00C92123"/>
    <w:rsid w:val="00C933DB"/>
    <w:rsid w:val="00C94E7A"/>
    <w:rsid w:val="00C95596"/>
    <w:rsid w:val="00C95850"/>
    <w:rsid w:val="00C95B85"/>
    <w:rsid w:val="00C95CB6"/>
    <w:rsid w:val="00C97F24"/>
    <w:rsid w:val="00CA0B5E"/>
    <w:rsid w:val="00CA0F4F"/>
    <w:rsid w:val="00CA2F21"/>
    <w:rsid w:val="00CA3214"/>
    <w:rsid w:val="00CA450E"/>
    <w:rsid w:val="00CA473A"/>
    <w:rsid w:val="00CA4819"/>
    <w:rsid w:val="00CA49A3"/>
    <w:rsid w:val="00CA600B"/>
    <w:rsid w:val="00CA709C"/>
    <w:rsid w:val="00CB083D"/>
    <w:rsid w:val="00CB1F59"/>
    <w:rsid w:val="00CB2908"/>
    <w:rsid w:val="00CB38B6"/>
    <w:rsid w:val="00CB4589"/>
    <w:rsid w:val="00CB54F0"/>
    <w:rsid w:val="00CB62C0"/>
    <w:rsid w:val="00CB7063"/>
    <w:rsid w:val="00CB795F"/>
    <w:rsid w:val="00CC0486"/>
    <w:rsid w:val="00CC0B67"/>
    <w:rsid w:val="00CC2E60"/>
    <w:rsid w:val="00CC37EF"/>
    <w:rsid w:val="00CC3E73"/>
    <w:rsid w:val="00CC4867"/>
    <w:rsid w:val="00CC5AB0"/>
    <w:rsid w:val="00CC752F"/>
    <w:rsid w:val="00CC7ED8"/>
    <w:rsid w:val="00CC7F08"/>
    <w:rsid w:val="00CD1BF3"/>
    <w:rsid w:val="00CD3382"/>
    <w:rsid w:val="00CD3949"/>
    <w:rsid w:val="00CD400B"/>
    <w:rsid w:val="00CD6398"/>
    <w:rsid w:val="00CE0085"/>
    <w:rsid w:val="00CE0472"/>
    <w:rsid w:val="00CE2B6C"/>
    <w:rsid w:val="00CE2C1A"/>
    <w:rsid w:val="00CE3F53"/>
    <w:rsid w:val="00CE4134"/>
    <w:rsid w:val="00CE487E"/>
    <w:rsid w:val="00CE558E"/>
    <w:rsid w:val="00CE67C6"/>
    <w:rsid w:val="00CE7933"/>
    <w:rsid w:val="00CF2C6F"/>
    <w:rsid w:val="00CF3F63"/>
    <w:rsid w:val="00CF4131"/>
    <w:rsid w:val="00CF4401"/>
    <w:rsid w:val="00CF5085"/>
    <w:rsid w:val="00CF50FD"/>
    <w:rsid w:val="00CF7AE7"/>
    <w:rsid w:val="00D00382"/>
    <w:rsid w:val="00D0086A"/>
    <w:rsid w:val="00D02EF1"/>
    <w:rsid w:val="00D05719"/>
    <w:rsid w:val="00D07A8D"/>
    <w:rsid w:val="00D10146"/>
    <w:rsid w:val="00D1024D"/>
    <w:rsid w:val="00D10FA2"/>
    <w:rsid w:val="00D120BF"/>
    <w:rsid w:val="00D143EC"/>
    <w:rsid w:val="00D17288"/>
    <w:rsid w:val="00D1741D"/>
    <w:rsid w:val="00D174C3"/>
    <w:rsid w:val="00D17D15"/>
    <w:rsid w:val="00D17E55"/>
    <w:rsid w:val="00D20397"/>
    <w:rsid w:val="00D21750"/>
    <w:rsid w:val="00D2179B"/>
    <w:rsid w:val="00D219A5"/>
    <w:rsid w:val="00D22699"/>
    <w:rsid w:val="00D2316C"/>
    <w:rsid w:val="00D24FF4"/>
    <w:rsid w:val="00D30A84"/>
    <w:rsid w:val="00D30CBA"/>
    <w:rsid w:val="00D323B5"/>
    <w:rsid w:val="00D327B7"/>
    <w:rsid w:val="00D36333"/>
    <w:rsid w:val="00D37C36"/>
    <w:rsid w:val="00D428B3"/>
    <w:rsid w:val="00D43371"/>
    <w:rsid w:val="00D44D21"/>
    <w:rsid w:val="00D459CF"/>
    <w:rsid w:val="00D46A7B"/>
    <w:rsid w:val="00D50C9B"/>
    <w:rsid w:val="00D549BF"/>
    <w:rsid w:val="00D551E1"/>
    <w:rsid w:val="00D55763"/>
    <w:rsid w:val="00D55898"/>
    <w:rsid w:val="00D5708A"/>
    <w:rsid w:val="00D576B5"/>
    <w:rsid w:val="00D57849"/>
    <w:rsid w:val="00D60439"/>
    <w:rsid w:val="00D6199A"/>
    <w:rsid w:val="00D6661E"/>
    <w:rsid w:val="00D70BF5"/>
    <w:rsid w:val="00D70EB2"/>
    <w:rsid w:val="00D715EF"/>
    <w:rsid w:val="00D75924"/>
    <w:rsid w:val="00D75DD0"/>
    <w:rsid w:val="00D7602E"/>
    <w:rsid w:val="00D76996"/>
    <w:rsid w:val="00D81071"/>
    <w:rsid w:val="00D82879"/>
    <w:rsid w:val="00D82D78"/>
    <w:rsid w:val="00D83B82"/>
    <w:rsid w:val="00D85D3F"/>
    <w:rsid w:val="00D86BBB"/>
    <w:rsid w:val="00D86C56"/>
    <w:rsid w:val="00D87479"/>
    <w:rsid w:val="00D900B8"/>
    <w:rsid w:val="00D905CD"/>
    <w:rsid w:val="00D9150D"/>
    <w:rsid w:val="00D91DDE"/>
    <w:rsid w:val="00D92163"/>
    <w:rsid w:val="00D92B42"/>
    <w:rsid w:val="00D961F2"/>
    <w:rsid w:val="00D9724B"/>
    <w:rsid w:val="00D97687"/>
    <w:rsid w:val="00D9775E"/>
    <w:rsid w:val="00DA1610"/>
    <w:rsid w:val="00DA1A11"/>
    <w:rsid w:val="00DA1BEF"/>
    <w:rsid w:val="00DA28A8"/>
    <w:rsid w:val="00DA3143"/>
    <w:rsid w:val="00DA4187"/>
    <w:rsid w:val="00DA4631"/>
    <w:rsid w:val="00DA4EAE"/>
    <w:rsid w:val="00DA6854"/>
    <w:rsid w:val="00DA6D4F"/>
    <w:rsid w:val="00DA6FB4"/>
    <w:rsid w:val="00DA7AC3"/>
    <w:rsid w:val="00DB041B"/>
    <w:rsid w:val="00DB10A8"/>
    <w:rsid w:val="00DB1C35"/>
    <w:rsid w:val="00DB4C98"/>
    <w:rsid w:val="00DB584E"/>
    <w:rsid w:val="00DB69D9"/>
    <w:rsid w:val="00DC31E3"/>
    <w:rsid w:val="00DC32EC"/>
    <w:rsid w:val="00DC4099"/>
    <w:rsid w:val="00DC4790"/>
    <w:rsid w:val="00DC6737"/>
    <w:rsid w:val="00DD04A9"/>
    <w:rsid w:val="00DD051E"/>
    <w:rsid w:val="00DD0BA0"/>
    <w:rsid w:val="00DD1923"/>
    <w:rsid w:val="00DD26EE"/>
    <w:rsid w:val="00DD3834"/>
    <w:rsid w:val="00DD6368"/>
    <w:rsid w:val="00DD768F"/>
    <w:rsid w:val="00DD7B40"/>
    <w:rsid w:val="00DE117E"/>
    <w:rsid w:val="00DE1987"/>
    <w:rsid w:val="00DE2A71"/>
    <w:rsid w:val="00DE36CF"/>
    <w:rsid w:val="00DE42BA"/>
    <w:rsid w:val="00DE50C2"/>
    <w:rsid w:val="00DE566F"/>
    <w:rsid w:val="00DE5DF9"/>
    <w:rsid w:val="00DE5E0C"/>
    <w:rsid w:val="00DE73CC"/>
    <w:rsid w:val="00DF0728"/>
    <w:rsid w:val="00DF082F"/>
    <w:rsid w:val="00DF1ADC"/>
    <w:rsid w:val="00DF2249"/>
    <w:rsid w:val="00DF30D5"/>
    <w:rsid w:val="00DF363A"/>
    <w:rsid w:val="00DF36C7"/>
    <w:rsid w:val="00DF4173"/>
    <w:rsid w:val="00DF61C8"/>
    <w:rsid w:val="00DF6323"/>
    <w:rsid w:val="00DF633F"/>
    <w:rsid w:val="00DF6B26"/>
    <w:rsid w:val="00DF744E"/>
    <w:rsid w:val="00DF75A2"/>
    <w:rsid w:val="00E00258"/>
    <w:rsid w:val="00E00FF7"/>
    <w:rsid w:val="00E01B7C"/>
    <w:rsid w:val="00E02CDC"/>
    <w:rsid w:val="00E054BA"/>
    <w:rsid w:val="00E05967"/>
    <w:rsid w:val="00E06270"/>
    <w:rsid w:val="00E06F9F"/>
    <w:rsid w:val="00E10D3F"/>
    <w:rsid w:val="00E121DD"/>
    <w:rsid w:val="00E15A7E"/>
    <w:rsid w:val="00E1675C"/>
    <w:rsid w:val="00E16977"/>
    <w:rsid w:val="00E16BE1"/>
    <w:rsid w:val="00E17DAB"/>
    <w:rsid w:val="00E20628"/>
    <w:rsid w:val="00E2103B"/>
    <w:rsid w:val="00E22A07"/>
    <w:rsid w:val="00E26003"/>
    <w:rsid w:val="00E273FF"/>
    <w:rsid w:val="00E27B91"/>
    <w:rsid w:val="00E30541"/>
    <w:rsid w:val="00E30F25"/>
    <w:rsid w:val="00E30FE2"/>
    <w:rsid w:val="00E33A61"/>
    <w:rsid w:val="00E36A11"/>
    <w:rsid w:val="00E37BA9"/>
    <w:rsid w:val="00E41CC6"/>
    <w:rsid w:val="00E42411"/>
    <w:rsid w:val="00E42C8A"/>
    <w:rsid w:val="00E43965"/>
    <w:rsid w:val="00E43E3B"/>
    <w:rsid w:val="00E4452C"/>
    <w:rsid w:val="00E4582E"/>
    <w:rsid w:val="00E45D65"/>
    <w:rsid w:val="00E46611"/>
    <w:rsid w:val="00E46AB8"/>
    <w:rsid w:val="00E46C3E"/>
    <w:rsid w:val="00E473B3"/>
    <w:rsid w:val="00E5077D"/>
    <w:rsid w:val="00E51F1C"/>
    <w:rsid w:val="00E54185"/>
    <w:rsid w:val="00E55ABA"/>
    <w:rsid w:val="00E564BF"/>
    <w:rsid w:val="00E62B36"/>
    <w:rsid w:val="00E62DF5"/>
    <w:rsid w:val="00E647C8"/>
    <w:rsid w:val="00E6546D"/>
    <w:rsid w:val="00E67C82"/>
    <w:rsid w:val="00E702CE"/>
    <w:rsid w:val="00E70F0A"/>
    <w:rsid w:val="00E72CD0"/>
    <w:rsid w:val="00E731D7"/>
    <w:rsid w:val="00E73765"/>
    <w:rsid w:val="00E74ACE"/>
    <w:rsid w:val="00E7571F"/>
    <w:rsid w:val="00E767EF"/>
    <w:rsid w:val="00E76B16"/>
    <w:rsid w:val="00E77C06"/>
    <w:rsid w:val="00E831F7"/>
    <w:rsid w:val="00E835D7"/>
    <w:rsid w:val="00E855E0"/>
    <w:rsid w:val="00E860B7"/>
    <w:rsid w:val="00E8780D"/>
    <w:rsid w:val="00E9124D"/>
    <w:rsid w:val="00E92085"/>
    <w:rsid w:val="00E958A8"/>
    <w:rsid w:val="00E95DB8"/>
    <w:rsid w:val="00E95E3B"/>
    <w:rsid w:val="00E9678E"/>
    <w:rsid w:val="00E97527"/>
    <w:rsid w:val="00E978B0"/>
    <w:rsid w:val="00EA176E"/>
    <w:rsid w:val="00EA186C"/>
    <w:rsid w:val="00EA3E4E"/>
    <w:rsid w:val="00EA5209"/>
    <w:rsid w:val="00EA5A9E"/>
    <w:rsid w:val="00EA6556"/>
    <w:rsid w:val="00EA6842"/>
    <w:rsid w:val="00EB0A60"/>
    <w:rsid w:val="00EB1B80"/>
    <w:rsid w:val="00EB3BE5"/>
    <w:rsid w:val="00EB4C26"/>
    <w:rsid w:val="00EB5127"/>
    <w:rsid w:val="00EB53F2"/>
    <w:rsid w:val="00EB7803"/>
    <w:rsid w:val="00EC0295"/>
    <w:rsid w:val="00EC0454"/>
    <w:rsid w:val="00EC19FA"/>
    <w:rsid w:val="00EC340B"/>
    <w:rsid w:val="00EC5F86"/>
    <w:rsid w:val="00ED0940"/>
    <w:rsid w:val="00ED25CE"/>
    <w:rsid w:val="00ED2A32"/>
    <w:rsid w:val="00ED3A55"/>
    <w:rsid w:val="00ED402C"/>
    <w:rsid w:val="00EE0ACF"/>
    <w:rsid w:val="00EE37DE"/>
    <w:rsid w:val="00EE508C"/>
    <w:rsid w:val="00EE67C5"/>
    <w:rsid w:val="00EF18EF"/>
    <w:rsid w:val="00EF1EBE"/>
    <w:rsid w:val="00EF4031"/>
    <w:rsid w:val="00F00596"/>
    <w:rsid w:val="00F01FF7"/>
    <w:rsid w:val="00F042AA"/>
    <w:rsid w:val="00F05908"/>
    <w:rsid w:val="00F06614"/>
    <w:rsid w:val="00F10305"/>
    <w:rsid w:val="00F1076B"/>
    <w:rsid w:val="00F10D71"/>
    <w:rsid w:val="00F11B9B"/>
    <w:rsid w:val="00F11D20"/>
    <w:rsid w:val="00F120D0"/>
    <w:rsid w:val="00F1270C"/>
    <w:rsid w:val="00F13E0D"/>
    <w:rsid w:val="00F14A31"/>
    <w:rsid w:val="00F20B6E"/>
    <w:rsid w:val="00F20FF5"/>
    <w:rsid w:val="00F21D97"/>
    <w:rsid w:val="00F24861"/>
    <w:rsid w:val="00F248EC"/>
    <w:rsid w:val="00F24BCF"/>
    <w:rsid w:val="00F24C64"/>
    <w:rsid w:val="00F2639B"/>
    <w:rsid w:val="00F276EE"/>
    <w:rsid w:val="00F30ADF"/>
    <w:rsid w:val="00F31CE5"/>
    <w:rsid w:val="00F3255F"/>
    <w:rsid w:val="00F33CBF"/>
    <w:rsid w:val="00F34FD7"/>
    <w:rsid w:val="00F3510E"/>
    <w:rsid w:val="00F35B8D"/>
    <w:rsid w:val="00F373DC"/>
    <w:rsid w:val="00F37EE6"/>
    <w:rsid w:val="00F37EF3"/>
    <w:rsid w:val="00F40088"/>
    <w:rsid w:val="00F403D6"/>
    <w:rsid w:val="00F40782"/>
    <w:rsid w:val="00F419C1"/>
    <w:rsid w:val="00F41A3A"/>
    <w:rsid w:val="00F422EF"/>
    <w:rsid w:val="00F42894"/>
    <w:rsid w:val="00F44B1C"/>
    <w:rsid w:val="00F45CF2"/>
    <w:rsid w:val="00F47B25"/>
    <w:rsid w:val="00F51346"/>
    <w:rsid w:val="00F5235B"/>
    <w:rsid w:val="00F54661"/>
    <w:rsid w:val="00F54947"/>
    <w:rsid w:val="00F54F7B"/>
    <w:rsid w:val="00F560DC"/>
    <w:rsid w:val="00F56916"/>
    <w:rsid w:val="00F56AD0"/>
    <w:rsid w:val="00F56CB1"/>
    <w:rsid w:val="00F56CCD"/>
    <w:rsid w:val="00F626C2"/>
    <w:rsid w:val="00F63F85"/>
    <w:rsid w:val="00F65819"/>
    <w:rsid w:val="00F66D1D"/>
    <w:rsid w:val="00F67A3B"/>
    <w:rsid w:val="00F67A6B"/>
    <w:rsid w:val="00F70644"/>
    <w:rsid w:val="00F72D23"/>
    <w:rsid w:val="00F74CB0"/>
    <w:rsid w:val="00F75495"/>
    <w:rsid w:val="00F765EB"/>
    <w:rsid w:val="00F81CE4"/>
    <w:rsid w:val="00F8394C"/>
    <w:rsid w:val="00F83C26"/>
    <w:rsid w:val="00F84638"/>
    <w:rsid w:val="00F8673B"/>
    <w:rsid w:val="00F908F8"/>
    <w:rsid w:val="00F92442"/>
    <w:rsid w:val="00F926C8"/>
    <w:rsid w:val="00F94CB9"/>
    <w:rsid w:val="00F971CC"/>
    <w:rsid w:val="00F97D2D"/>
    <w:rsid w:val="00FA05A4"/>
    <w:rsid w:val="00FA30C2"/>
    <w:rsid w:val="00FA5D57"/>
    <w:rsid w:val="00FA63B6"/>
    <w:rsid w:val="00FA7135"/>
    <w:rsid w:val="00FA784C"/>
    <w:rsid w:val="00FB06E1"/>
    <w:rsid w:val="00FB0CA2"/>
    <w:rsid w:val="00FB41D5"/>
    <w:rsid w:val="00FB6912"/>
    <w:rsid w:val="00FC00DD"/>
    <w:rsid w:val="00FC04D2"/>
    <w:rsid w:val="00FC1247"/>
    <w:rsid w:val="00FC1C66"/>
    <w:rsid w:val="00FC3CD4"/>
    <w:rsid w:val="00FD1910"/>
    <w:rsid w:val="00FD1B30"/>
    <w:rsid w:val="00FD225A"/>
    <w:rsid w:val="00FD3D3E"/>
    <w:rsid w:val="00FD5051"/>
    <w:rsid w:val="00FD5958"/>
    <w:rsid w:val="00FD5A0F"/>
    <w:rsid w:val="00FD756D"/>
    <w:rsid w:val="00FD7972"/>
    <w:rsid w:val="00FE059A"/>
    <w:rsid w:val="00FE0781"/>
    <w:rsid w:val="00FE29AF"/>
    <w:rsid w:val="00FE54AE"/>
    <w:rsid w:val="00FE6C5E"/>
    <w:rsid w:val="00FF2339"/>
    <w:rsid w:val="00FF2430"/>
    <w:rsid w:val="00FF26B9"/>
    <w:rsid w:val="00FF33AA"/>
    <w:rsid w:val="00FF371D"/>
    <w:rsid w:val="00FF5D71"/>
    <w:rsid w:val="00FF6083"/>
    <w:rsid w:val="00FF637D"/>
    <w:rsid w:val="00FF64CF"/>
    <w:rsid w:val="00FF6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589"/>
    <w:pPr>
      <w:spacing w:after="240" w:line="260" w:lineRule="exact"/>
      <w:jc w:val="both"/>
    </w:pPr>
    <w:rPr>
      <w:rFonts w:ascii="Book Antiqua" w:hAnsi="Book Antiqua"/>
    </w:rPr>
  </w:style>
  <w:style w:type="paragraph" w:styleId="Heading1">
    <w:name w:val="heading 1"/>
    <w:basedOn w:val="HeadingBase"/>
    <w:next w:val="Normal"/>
    <w:link w:val="Heading1Char"/>
    <w:qFormat/>
    <w:rsid w:val="00EC5F86"/>
    <w:pPr>
      <w:spacing w:after="240"/>
      <w:jc w:val="center"/>
      <w:outlineLvl w:val="0"/>
    </w:pPr>
    <w:rPr>
      <w:b/>
      <w:smallCaps/>
      <w:kern w:val="28"/>
      <w:sz w:val="34"/>
    </w:rPr>
  </w:style>
  <w:style w:type="paragraph" w:styleId="Heading2">
    <w:name w:val="heading 2"/>
    <w:basedOn w:val="HeadingBase"/>
    <w:next w:val="Normal"/>
    <w:link w:val="Heading2Char"/>
    <w:qFormat/>
    <w:rsid w:val="00EC5F86"/>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EC5F86"/>
    <w:pPr>
      <w:spacing w:before="120" w:after="20"/>
    </w:pPr>
    <w:rPr>
      <w:b/>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uiPriority w:val="99"/>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style>
  <w:style w:type="paragraph" w:styleId="Title">
    <w:name w:val="Title"/>
    <w:basedOn w:val="Normal"/>
    <w:qFormat/>
    <w:rsid w:val="004B0B19"/>
    <w:pPr>
      <w:spacing w:after="0" w:line="240" w:lineRule="auto"/>
      <w:jc w:val="center"/>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rsid w:val="00EC5F86"/>
    <w:pPr>
      <w:tabs>
        <w:tab w:val="right" w:leader="dot" w:pos="7700"/>
      </w:tabs>
      <w:spacing w:before="240"/>
      <w:ind w:right="851"/>
    </w:pPr>
    <w:rPr>
      <w:rFonts w:ascii="Arial" w:hAnsi="Arial"/>
      <w:b/>
      <w:i w:val="0"/>
    </w:rPr>
  </w:style>
  <w:style w:type="paragraph" w:styleId="TOC2">
    <w:name w:val="toc 2"/>
    <w:basedOn w:val="HeadingBase"/>
    <w:next w:val="Normal"/>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uiPriority w:val="59"/>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line="240" w:lineRule="auto"/>
      <w:jc w:val="center"/>
    </w:pPr>
  </w:style>
  <w:style w:type="character" w:styleId="Hyperlink">
    <w:name w:val="Hyperlink"/>
    <w:uiPriority w:val="99"/>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574E9E"/>
    <w:rPr>
      <w:rFonts w:ascii="Arial" w:hAnsi="Arial"/>
      <w:b/>
      <w:sz w:val="24"/>
      <w:lang w:val="en-AU" w:eastAsia="en-AU" w:bidi="ar-SA"/>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character" w:customStyle="1" w:styleId="Heading5Char">
    <w:name w:val="Heading 5 Char"/>
    <w:link w:val="Heading5"/>
    <w:rsid w:val="00254129"/>
    <w:rPr>
      <w:rFonts w:ascii="Arial" w:hAnsi="Arial"/>
      <w:b/>
      <w:bCs/>
      <w:iCs/>
      <w:szCs w:val="26"/>
    </w:rPr>
  </w:style>
  <w:style w:type="paragraph" w:customStyle="1" w:styleId="Default">
    <w:name w:val="Default"/>
    <w:rsid w:val="00A5180A"/>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locked/>
    <w:rsid w:val="00264F93"/>
    <w:rPr>
      <w:rFonts w:ascii="Arial" w:hAnsi="Arial"/>
      <w:sz w:val="30"/>
    </w:rPr>
  </w:style>
  <w:style w:type="paragraph" w:styleId="NormalWeb">
    <w:name w:val="Normal (Web)"/>
    <w:basedOn w:val="Normal"/>
    <w:uiPriority w:val="99"/>
    <w:unhideWhenUsed/>
    <w:rsid w:val="00C0006A"/>
    <w:pPr>
      <w:spacing w:before="100" w:beforeAutospacing="1" w:after="100" w:afterAutospacing="1" w:line="240" w:lineRule="auto"/>
      <w:jc w:val="left"/>
    </w:pPr>
    <w:rPr>
      <w:rFonts w:ascii="Times New Roman" w:hAnsi="Times New Roman"/>
      <w:sz w:val="24"/>
      <w:szCs w:val="24"/>
    </w:rPr>
  </w:style>
  <w:style w:type="character" w:customStyle="1" w:styleId="Heading4Char">
    <w:name w:val="Heading 4 Char"/>
    <w:link w:val="Heading4"/>
    <w:rsid w:val="00F8394C"/>
    <w:rPr>
      <w:rFonts w:ascii="Arial" w:hAnsi="Arial"/>
      <w:b/>
      <w:sz w:val="22"/>
    </w:rPr>
  </w:style>
  <w:style w:type="character" w:customStyle="1" w:styleId="Heading1Char">
    <w:name w:val="Heading 1 Char"/>
    <w:link w:val="Heading1"/>
    <w:rsid w:val="00DB1C35"/>
    <w:rPr>
      <w:rFonts w:ascii="Arial" w:hAnsi="Arial"/>
      <w:b/>
      <w:smallCaps/>
      <w:kern w:val="28"/>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848">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6628311">
      <w:bodyDiv w:val="1"/>
      <w:marLeft w:val="0"/>
      <w:marRight w:val="0"/>
      <w:marTop w:val="0"/>
      <w:marBottom w:val="0"/>
      <w:divBdr>
        <w:top w:val="none" w:sz="0" w:space="0" w:color="auto"/>
        <w:left w:val="none" w:sz="0" w:space="0" w:color="auto"/>
        <w:bottom w:val="none" w:sz="0" w:space="0" w:color="auto"/>
        <w:right w:val="none" w:sz="0" w:space="0" w:color="auto"/>
      </w:divBdr>
    </w:div>
    <w:div w:id="14143151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41834160">
      <w:bodyDiv w:val="1"/>
      <w:marLeft w:val="0"/>
      <w:marRight w:val="0"/>
      <w:marTop w:val="0"/>
      <w:marBottom w:val="0"/>
      <w:divBdr>
        <w:top w:val="none" w:sz="0" w:space="0" w:color="auto"/>
        <w:left w:val="none" w:sz="0" w:space="0" w:color="auto"/>
        <w:bottom w:val="none" w:sz="0" w:space="0" w:color="auto"/>
        <w:right w:val="none" w:sz="0" w:space="0" w:color="auto"/>
      </w:divBdr>
    </w:div>
    <w:div w:id="244463282">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34111047">
      <w:bodyDiv w:val="1"/>
      <w:marLeft w:val="0"/>
      <w:marRight w:val="0"/>
      <w:marTop w:val="0"/>
      <w:marBottom w:val="0"/>
      <w:divBdr>
        <w:top w:val="none" w:sz="0" w:space="0" w:color="auto"/>
        <w:left w:val="none" w:sz="0" w:space="0" w:color="auto"/>
        <w:bottom w:val="none" w:sz="0" w:space="0" w:color="auto"/>
        <w:right w:val="none" w:sz="0" w:space="0" w:color="auto"/>
      </w:divBdr>
    </w:div>
    <w:div w:id="335422309">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7267925">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5159929">
      <w:bodyDiv w:val="1"/>
      <w:marLeft w:val="0"/>
      <w:marRight w:val="0"/>
      <w:marTop w:val="0"/>
      <w:marBottom w:val="0"/>
      <w:divBdr>
        <w:top w:val="none" w:sz="0" w:space="0" w:color="auto"/>
        <w:left w:val="none" w:sz="0" w:space="0" w:color="auto"/>
        <w:bottom w:val="none" w:sz="0" w:space="0" w:color="auto"/>
        <w:right w:val="none" w:sz="0" w:space="0" w:color="auto"/>
      </w:divBdr>
    </w:div>
    <w:div w:id="422192562">
      <w:bodyDiv w:val="1"/>
      <w:marLeft w:val="0"/>
      <w:marRight w:val="0"/>
      <w:marTop w:val="0"/>
      <w:marBottom w:val="0"/>
      <w:divBdr>
        <w:top w:val="none" w:sz="0" w:space="0" w:color="auto"/>
        <w:left w:val="none" w:sz="0" w:space="0" w:color="auto"/>
        <w:bottom w:val="none" w:sz="0" w:space="0" w:color="auto"/>
        <w:right w:val="none" w:sz="0" w:space="0" w:color="auto"/>
      </w:divBdr>
    </w:div>
    <w:div w:id="446893593">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753665249">
      <w:bodyDiv w:val="1"/>
      <w:marLeft w:val="0"/>
      <w:marRight w:val="0"/>
      <w:marTop w:val="0"/>
      <w:marBottom w:val="0"/>
      <w:divBdr>
        <w:top w:val="none" w:sz="0" w:space="0" w:color="auto"/>
        <w:left w:val="none" w:sz="0" w:space="0" w:color="auto"/>
        <w:bottom w:val="none" w:sz="0" w:space="0" w:color="auto"/>
        <w:right w:val="none" w:sz="0" w:space="0" w:color="auto"/>
      </w:divBdr>
    </w:div>
    <w:div w:id="784230783">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2789823">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76451579">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7895629">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462944">
      <w:bodyDiv w:val="1"/>
      <w:marLeft w:val="0"/>
      <w:marRight w:val="0"/>
      <w:marTop w:val="0"/>
      <w:marBottom w:val="0"/>
      <w:divBdr>
        <w:top w:val="none" w:sz="0" w:space="0" w:color="auto"/>
        <w:left w:val="none" w:sz="0" w:space="0" w:color="auto"/>
        <w:bottom w:val="none" w:sz="0" w:space="0" w:color="auto"/>
        <w:right w:val="none" w:sz="0" w:space="0" w:color="auto"/>
      </w:divBdr>
    </w:div>
    <w:div w:id="1174758289">
      <w:bodyDiv w:val="1"/>
      <w:marLeft w:val="0"/>
      <w:marRight w:val="0"/>
      <w:marTop w:val="0"/>
      <w:marBottom w:val="0"/>
      <w:divBdr>
        <w:top w:val="none" w:sz="0" w:space="0" w:color="auto"/>
        <w:left w:val="none" w:sz="0" w:space="0" w:color="auto"/>
        <w:bottom w:val="none" w:sz="0" w:space="0" w:color="auto"/>
        <w:right w:val="none" w:sz="0" w:space="0" w:color="auto"/>
      </w:divBdr>
    </w:div>
    <w:div w:id="1191995065">
      <w:bodyDiv w:val="1"/>
      <w:marLeft w:val="0"/>
      <w:marRight w:val="0"/>
      <w:marTop w:val="0"/>
      <w:marBottom w:val="0"/>
      <w:divBdr>
        <w:top w:val="none" w:sz="0" w:space="0" w:color="auto"/>
        <w:left w:val="none" w:sz="0" w:space="0" w:color="auto"/>
        <w:bottom w:val="none" w:sz="0" w:space="0" w:color="auto"/>
        <w:right w:val="none" w:sz="0" w:space="0" w:color="auto"/>
      </w:divBdr>
    </w:div>
    <w:div w:id="1232303387">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8830756">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0215011">
      <w:bodyDiv w:val="1"/>
      <w:marLeft w:val="0"/>
      <w:marRight w:val="0"/>
      <w:marTop w:val="0"/>
      <w:marBottom w:val="0"/>
      <w:divBdr>
        <w:top w:val="none" w:sz="0" w:space="0" w:color="auto"/>
        <w:left w:val="none" w:sz="0" w:space="0" w:color="auto"/>
        <w:bottom w:val="none" w:sz="0" w:space="0" w:color="auto"/>
        <w:right w:val="none" w:sz="0" w:space="0" w:color="auto"/>
      </w:divBdr>
    </w:div>
    <w:div w:id="1424378718">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36305942">
      <w:bodyDiv w:val="1"/>
      <w:marLeft w:val="0"/>
      <w:marRight w:val="0"/>
      <w:marTop w:val="0"/>
      <w:marBottom w:val="0"/>
      <w:divBdr>
        <w:top w:val="none" w:sz="0" w:space="0" w:color="auto"/>
        <w:left w:val="none" w:sz="0" w:space="0" w:color="auto"/>
        <w:bottom w:val="none" w:sz="0" w:space="0" w:color="auto"/>
        <w:right w:val="none" w:sz="0" w:space="0" w:color="auto"/>
      </w:divBdr>
    </w:div>
    <w:div w:id="1539270303">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33170236">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95837592">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905527556">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0454466">
      <w:bodyDiv w:val="1"/>
      <w:marLeft w:val="0"/>
      <w:marRight w:val="0"/>
      <w:marTop w:val="0"/>
      <w:marBottom w:val="0"/>
      <w:divBdr>
        <w:top w:val="none" w:sz="0" w:space="0" w:color="auto"/>
        <w:left w:val="none" w:sz="0" w:space="0" w:color="auto"/>
        <w:bottom w:val="none" w:sz="0" w:space="0" w:color="auto"/>
        <w:right w:val="none" w:sz="0" w:space="0" w:color="auto"/>
      </w:divBdr>
    </w:div>
    <w:div w:id="2052800831">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2849887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17" Type="http://schemas.openxmlformats.org/officeDocument/2006/relationships/image" Target="media/image52.emf"/><Relationship Id="rId21" Type="http://schemas.openxmlformats.org/officeDocument/2006/relationships/hyperlink" Target="http://creativecommons.org/licenses/by/3.0/au/deed.en" TargetMode="External"/><Relationship Id="rId42" Type="http://schemas.openxmlformats.org/officeDocument/2006/relationships/header" Target="header12.xml"/><Relationship Id="rId63" Type="http://schemas.openxmlformats.org/officeDocument/2006/relationships/image" Target="media/image19.emf"/><Relationship Id="rId84" Type="http://schemas.openxmlformats.org/officeDocument/2006/relationships/image" Target="media/image40.emf"/><Relationship Id="rId138" Type="http://schemas.openxmlformats.org/officeDocument/2006/relationships/header" Target="header30.xml"/><Relationship Id="rId159" Type="http://schemas.openxmlformats.org/officeDocument/2006/relationships/header" Target="header36.xml"/><Relationship Id="rId170" Type="http://schemas.openxmlformats.org/officeDocument/2006/relationships/header" Target="header42.xml"/><Relationship Id="rId191" Type="http://schemas.openxmlformats.org/officeDocument/2006/relationships/footer" Target="footer39.xml"/><Relationship Id="rId205" Type="http://schemas.openxmlformats.org/officeDocument/2006/relationships/image" Target="media/image100.emf"/><Relationship Id="rId226" Type="http://schemas.openxmlformats.org/officeDocument/2006/relationships/theme" Target="theme/theme1.xml"/><Relationship Id="rId107" Type="http://schemas.openxmlformats.org/officeDocument/2006/relationships/footer" Target="footer21.xml"/><Relationship Id="rId11" Type="http://schemas.openxmlformats.org/officeDocument/2006/relationships/webSettings" Target="webSettings.xml"/><Relationship Id="rId32" Type="http://schemas.openxmlformats.org/officeDocument/2006/relationships/header" Target="header7.xml"/><Relationship Id="rId53" Type="http://schemas.openxmlformats.org/officeDocument/2006/relationships/image" Target="media/image9.emf"/><Relationship Id="rId74" Type="http://schemas.openxmlformats.org/officeDocument/2006/relationships/image" Target="media/image30.emf"/><Relationship Id="rId128" Type="http://schemas.openxmlformats.org/officeDocument/2006/relationships/header" Target="header27.xml"/><Relationship Id="rId149" Type="http://schemas.openxmlformats.org/officeDocument/2006/relationships/image" Target="media/image68.emf"/><Relationship Id="rId5" Type="http://schemas.openxmlformats.org/officeDocument/2006/relationships/customXml" Target="../customXml/item5.xml"/><Relationship Id="rId95" Type="http://schemas.openxmlformats.org/officeDocument/2006/relationships/header" Target="header18.xml"/><Relationship Id="rId160" Type="http://schemas.openxmlformats.org/officeDocument/2006/relationships/header" Target="header37.xml"/><Relationship Id="rId181" Type="http://schemas.openxmlformats.org/officeDocument/2006/relationships/image" Target="media/image82.emf"/><Relationship Id="rId216" Type="http://schemas.openxmlformats.org/officeDocument/2006/relationships/header" Target="header53.xml"/><Relationship Id="rId22" Type="http://schemas.openxmlformats.org/officeDocument/2006/relationships/hyperlink" Target="http://www.itsanhonour.gov.au" TargetMode="External"/><Relationship Id="rId43" Type="http://schemas.openxmlformats.org/officeDocument/2006/relationships/header" Target="header13.xml"/><Relationship Id="rId64" Type="http://schemas.openxmlformats.org/officeDocument/2006/relationships/image" Target="media/image20.emf"/><Relationship Id="rId118" Type="http://schemas.openxmlformats.org/officeDocument/2006/relationships/image" Target="media/image53.emf"/><Relationship Id="rId139" Type="http://schemas.openxmlformats.org/officeDocument/2006/relationships/header" Target="header31.xml"/><Relationship Id="rId85" Type="http://schemas.openxmlformats.org/officeDocument/2006/relationships/header" Target="header15.xml"/><Relationship Id="rId150" Type="http://schemas.openxmlformats.org/officeDocument/2006/relationships/image" Target="media/image69.emf"/><Relationship Id="rId171" Type="http://schemas.openxmlformats.org/officeDocument/2006/relationships/footer" Target="footer33.xml"/><Relationship Id="rId192" Type="http://schemas.openxmlformats.org/officeDocument/2006/relationships/footer" Target="footer40.xml"/><Relationship Id="rId206" Type="http://schemas.openxmlformats.org/officeDocument/2006/relationships/image" Target="media/image101.emf"/><Relationship Id="rId12" Type="http://schemas.openxmlformats.org/officeDocument/2006/relationships/footnotes" Target="footnotes.xml"/><Relationship Id="rId33" Type="http://schemas.openxmlformats.org/officeDocument/2006/relationships/footer" Target="footer6.xml"/><Relationship Id="rId108" Type="http://schemas.openxmlformats.org/officeDocument/2006/relationships/header" Target="header25.xml"/><Relationship Id="rId129" Type="http://schemas.openxmlformats.org/officeDocument/2006/relationships/header" Target="header28.xml"/><Relationship Id="rId54" Type="http://schemas.openxmlformats.org/officeDocument/2006/relationships/image" Target="media/image10.emf"/><Relationship Id="rId75" Type="http://schemas.openxmlformats.org/officeDocument/2006/relationships/image" Target="media/image31.emf"/><Relationship Id="rId96" Type="http://schemas.openxmlformats.org/officeDocument/2006/relationships/header" Target="header19.xml"/><Relationship Id="rId140" Type="http://schemas.openxmlformats.org/officeDocument/2006/relationships/header" Target="header32.xml"/><Relationship Id="rId161" Type="http://schemas.openxmlformats.org/officeDocument/2006/relationships/footer" Target="footer32.xml"/><Relationship Id="rId182" Type="http://schemas.openxmlformats.org/officeDocument/2006/relationships/image" Target="media/image83.emf"/><Relationship Id="rId217" Type="http://schemas.openxmlformats.org/officeDocument/2006/relationships/footer" Target="footer45.xml"/><Relationship Id="rId6" Type="http://schemas.openxmlformats.org/officeDocument/2006/relationships/customXml" Target="../customXml/item6.xml"/><Relationship Id="rId23" Type="http://schemas.openxmlformats.org/officeDocument/2006/relationships/header" Target="header2.xml"/><Relationship Id="rId119" Type="http://schemas.openxmlformats.org/officeDocument/2006/relationships/image" Target="media/image54.emf"/><Relationship Id="rId44" Type="http://schemas.openxmlformats.org/officeDocument/2006/relationships/footer" Target="footer9.xml"/><Relationship Id="rId65" Type="http://schemas.openxmlformats.org/officeDocument/2006/relationships/image" Target="media/image21.emf"/><Relationship Id="rId86" Type="http://schemas.openxmlformats.org/officeDocument/2006/relationships/header" Target="header16.xml"/><Relationship Id="rId130" Type="http://schemas.openxmlformats.org/officeDocument/2006/relationships/footer" Target="footer24.xml"/><Relationship Id="rId151" Type="http://schemas.openxmlformats.org/officeDocument/2006/relationships/image" Target="media/image70.emf"/><Relationship Id="rId172" Type="http://schemas.openxmlformats.org/officeDocument/2006/relationships/footer" Target="footer34.xml"/><Relationship Id="rId193" Type="http://schemas.openxmlformats.org/officeDocument/2006/relationships/footer" Target="footer41.xml"/><Relationship Id="rId207" Type="http://schemas.openxmlformats.org/officeDocument/2006/relationships/image" Target="media/image102.emf"/><Relationship Id="rId13" Type="http://schemas.openxmlformats.org/officeDocument/2006/relationships/endnotes" Target="endnotes.xml"/><Relationship Id="rId109" Type="http://schemas.openxmlformats.org/officeDocument/2006/relationships/footer" Target="footer22.xml"/><Relationship Id="rId34" Type="http://schemas.openxmlformats.org/officeDocument/2006/relationships/header" Target="header8.xml"/><Relationship Id="rId55" Type="http://schemas.openxmlformats.org/officeDocument/2006/relationships/image" Target="media/image11.emf"/><Relationship Id="rId76" Type="http://schemas.openxmlformats.org/officeDocument/2006/relationships/image" Target="media/image32.emf"/><Relationship Id="rId97" Type="http://schemas.openxmlformats.org/officeDocument/2006/relationships/header" Target="header20.xml"/><Relationship Id="rId120" Type="http://schemas.openxmlformats.org/officeDocument/2006/relationships/image" Target="media/image55.emf"/><Relationship Id="rId141" Type="http://schemas.openxmlformats.org/officeDocument/2006/relationships/footer" Target="footer27.xml"/><Relationship Id="rId7" Type="http://schemas.openxmlformats.org/officeDocument/2006/relationships/numbering" Target="numbering.xml"/><Relationship Id="rId162" Type="http://schemas.openxmlformats.org/officeDocument/2006/relationships/image" Target="media/image77.emf"/><Relationship Id="rId183" Type="http://schemas.openxmlformats.org/officeDocument/2006/relationships/image" Target="media/image84.emf"/><Relationship Id="rId218" Type="http://schemas.openxmlformats.org/officeDocument/2006/relationships/header" Target="header54.xml"/><Relationship Id="rId24" Type="http://schemas.openxmlformats.org/officeDocument/2006/relationships/image" Target="media/image4.jpeg"/><Relationship Id="rId45" Type="http://schemas.openxmlformats.org/officeDocument/2006/relationships/footer" Target="footer10.xml"/><Relationship Id="rId66" Type="http://schemas.openxmlformats.org/officeDocument/2006/relationships/image" Target="media/image22.emf"/><Relationship Id="rId87" Type="http://schemas.openxmlformats.org/officeDocument/2006/relationships/footer" Target="footer15.xml"/><Relationship Id="rId110" Type="http://schemas.openxmlformats.org/officeDocument/2006/relationships/header" Target="header26.xml"/><Relationship Id="rId131" Type="http://schemas.openxmlformats.org/officeDocument/2006/relationships/footer" Target="footer25.xml"/><Relationship Id="rId152" Type="http://schemas.openxmlformats.org/officeDocument/2006/relationships/image" Target="media/image71.emf"/><Relationship Id="rId173" Type="http://schemas.openxmlformats.org/officeDocument/2006/relationships/header" Target="header43.xml"/><Relationship Id="rId194" Type="http://schemas.openxmlformats.org/officeDocument/2006/relationships/footer" Target="footer42.xml"/><Relationship Id="rId208" Type="http://schemas.openxmlformats.org/officeDocument/2006/relationships/header" Target="header48.xml"/><Relationship Id="rId14" Type="http://schemas.openxmlformats.org/officeDocument/2006/relationships/image" Target="media/image1.jpeg"/><Relationship Id="rId35" Type="http://schemas.openxmlformats.org/officeDocument/2006/relationships/footer" Target="footer7.xml"/><Relationship Id="rId56" Type="http://schemas.openxmlformats.org/officeDocument/2006/relationships/image" Target="media/image12.emf"/><Relationship Id="rId77" Type="http://schemas.openxmlformats.org/officeDocument/2006/relationships/image" Target="media/image33.emf"/><Relationship Id="rId100" Type="http://schemas.openxmlformats.org/officeDocument/2006/relationships/header" Target="header21.xml"/><Relationship Id="rId8" Type="http://schemas.openxmlformats.org/officeDocument/2006/relationships/styles" Target="styles.xml"/><Relationship Id="rId98" Type="http://schemas.openxmlformats.org/officeDocument/2006/relationships/footer" Target="footer17.xml"/><Relationship Id="rId121" Type="http://schemas.openxmlformats.org/officeDocument/2006/relationships/image" Target="media/image56.emf"/><Relationship Id="rId142" Type="http://schemas.openxmlformats.org/officeDocument/2006/relationships/header" Target="header33.xml"/><Relationship Id="rId163" Type="http://schemas.openxmlformats.org/officeDocument/2006/relationships/header" Target="header38.xml"/><Relationship Id="rId184" Type="http://schemas.openxmlformats.org/officeDocument/2006/relationships/image" Target="media/image85.emf"/><Relationship Id="rId219" Type="http://schemas.openxmlformats.org/officeDocument/2006/relationships/header" Target="header55.xml"/><Relationship Id="rId3" Type="http://schemas.openxmlformats.org/officeDocument/2006/relationships/customXml" Target="../customXml/item3.xml"/><Relationship Id="rId214" Type="http://schemas.openxmlformats.org/officeDocument/2006/relationships/header" Target="header52.xml"/><Relationship Id="rId25" Type="http://schemas.openxmlformats.org/officeDocument/2006/relationships/footer" Target="footer3.xml"/><Relationship Id="rId46" Type="http://schemas.openxmlformats.org/officeDocument/2006/relationships/header" Target="header14.xml"/><Relationship Id="rId67" Type="http://schemas.openxmlformats.org/officeDocument/2006/relationships/image" Target="media/image23.emf"/><Relationship Id="rId116" Type="http://schemas.openxmlformats.org/officeDocument/2006/relationships/image" Target="media/image51.emf"/><Relationship Id="rId137" Type="http://schemas.openxmlformats.org/officeDocument/2006/relationships/image" Target="media/image66.emf"/><Relationship Id="rId158" Type="http://schemas.openxmlformats.org/officeDocument/2006/relationships/header" Target="header35.xml"/><Relationship Id="rId20" Type="http://schemas.openxmlformats.org/officeDocument/2006/relationships/image" Target="media/image3.png"/><Relationship Id="rId41" Type="http://schemas.openxmlformats.org/officeDocument/2006/relationships/image" Target="media/image6.emf"/><Relationship Id="rId62" Type="http://schemas.openxmlformats.org/officeDocument/2006/relationships/image" Target="media/image18.emf"/><Relationship Id="rId83" Type="http://schemas.openxmlformats.org/officeDocument/2006/relationships/image" Target="media/image39.emf"/><Relationship Id="rId88" Type="http://schemas.openxmlformats.org/officeDocument/2006/relationships/header" Target="header17.xml"/><Relationship Id="rId111" Type="http://schemas.openxmlformats.org/officeDocument/2006/relationships/footer" Target="footer23.xml"/><Relationship Id="rId132" Type="http://schemas.openxmlformats.org/officeDocument/2006/relationships/header" Target="header29.xml"/><Relationship Id="rId153" Type="http://schemas.openxmlformats.org/officeDocument/2006/relationships/image" Target="media/image72.emf"/><Relationship Id="rId174" Type="http://schemas.openxmlformats.org/officeDocument/2006/relationships/footer" Target="footer35.xml"/><Relationship Id="rId179" Type="http://schemas.openxmlformats.org/officeDocument/2006/relationships/footer" Target="footer38.xml"/><Relationship Id="rId195" Type="http://schemas.openxmlformats.org/officeDocument/2006/relationships/image" Target="media/image90.emf"/><Relationship Id="rId209" Type="http://schemas.openxmlformats.org/officeDocument/2006/relationships/header" Target="header49.xml"/><Relationship Id="rId190" Type="http://schemas.openxmlformats.org/officeDocument/2006/relationships/header" Target="header47.xml"/><Relationship Id="rId204" Type="http://schemas.openxmlformats.org/officeDocument/2006/relationships/image" Target="media/image99.emf"/><Relationship Id="rId220" Type="http://schemas.openxmlformats.org/officeDocument/2006/relationships/header" Target="header56.xml"/><Relationship Id="rId225" Type="http://schemas.openxmlformats.org/officeDocument/2006/relationships/fontTable" Target="fontTable.xml"/><Relationship Id="rId15" Type="http://schemas.openxmlformats.org/officeDocument/2006/relationships/header" Target="header1.xml"/><Relationship Id="rId36" Type="http://schemas.openxmlformats.org/officeDocument/2006/relationships/header" Target="header9.xml"/><Relationship Id="rId57" Type="http://schemas.openxmlformats.org/officeDocument/2006/relationships/image" Target="media/image13.emf"/><Relationship Id="rId106" Type="http://schemas.openxmlformats.org/officeDocument/2006/relationships/header" Target="header24.xml"/><Relationship Id="rId127" Type="http://schemas.openxmlformats.org/officeDocument/2006/relationships/image" Target="media/image62.emf"/><Relationship Id="rId10" Type="http://schemas.openxmlformats.org/officeDocument/2006/relationships/settings" Target="settings.xml"/><Relationship Id="rId31" Type="http://schemas.openxmlformats.org/officeDocument/2006/relationships/header" Target="header6.xml"/><Relationship Id="rId52" Type="http://schemas.openxmlformats.org/officeDocument/2006/relationships/image" Target="media/image8.emf"/><Relationship Id="rId73" Type="http://schemas.openxmlformats.org/officeDocument/2006/relationships/image" Target="media/image29.emf"/><Relationship Id="rId78" Type="http://schemas.openxmlformats.org/officeDocument/2006/relationships/image" Target="media/image34.emf"/><Relationship Id="rId94" Type="http://schemas.openxmlformats.org/officeDocument/2006/relationships/image" Target="media/image45.emf"/><Relationship Id="rId99" Type="http://schemas.openxmlformats.org/officeDocument/2006/relationships/image" Target="media/image46.emf"/><Relationship Id="rId101" Type="http://schemas.openxmlformats.org/officeDocument/2006/relationships/header" Target="header22.xml"/><Relationship Id="rId122" Type="http://schemas.openxmlformats.org/officeDocument/2006/relationships/image" Target="media/image57.emf"/><Relationship Id="rId143" Type="http://schemas.openxmlformats.org/officeDocument/2006/relationships/footer" Target="footer28.xml"/><Relationship Id="rId148" Type="http://schemas.openxmlformats.org/officeDocument/2006/relationships/image" Target="media/image67.emf"/><Relationship Id="rId164" Type="http://schemas.openxmlformats.org/officeDocument/2006/relationships/header" Target="header39.xml"/><Relationship Id="rId169" Type="http://schemas.openxmlformats.org/officeDocument/2006/relationships/header" Target="header41.xml"/><Relationship Id="rId185" Type="http://schemas.openxmlformats.org/officeDocument/2006/relationships/image" Target="media/image86.emf"/><Relationship Id="rId4" Type="http://schemas.openxmlformats.org/officeDocument/2006/relationships/customXml" Target="../customXml/item4.xml"/><Relationship Id="rId9" Type="http://schemas.microsoft.com/office/2007/relationships/stylesWithEffects" Target="stylesWithEffects.xml"/><Relationship Id="rId180" Type="http://schemas.openxmlformats.org/officeDocument/2006/relationships/image" Target="media/image81.emf"/><Relationship Id="rId210" Type="http://schemas.openxmlformats.org/officeDocument/2006/relationships/header" Target="header50.xml"/><Relationship Id="rId215" Type="http://schemas.openxmlformats.org/officeDocument/2006/relationships/footer" Target="footer44.xml"/><Relationship Id="rId26" Type="http://schemas.openxmlformats.org/officeDocument/2006/relationships/header" Target="header3.xml"/><Relationship Id="rId47" Type="http://schemas.openxmlformats.org/officeDocument/2006/relationships/footer" Target="footer11.xml"/><Relationship Id="rId68" Type="http://schemas.openxmlformats.org/officeDocument/2006/relationships/image" Target="media/image24.emf"/><Relationship Id="rId89" Type="http://schemas.openxmlformats.org/officeDocument/2006/relationships/footer" Target="footer16.xml"/><Relationship Id="rId112" Type="http://schemas.openxmlformats.org/officeDocument/2006/relationships/image" Target="media/image47.emf"/><Relationship Id="rId133" Type="http://schemas.openxmlformats.org/officeDocument/2006/relationships/footer" Target="footer26.xml"/><Relationship Id="rId154" Type="http://schemas.openxmlformats.org/officeDocument/2006/relationships/image" Target="media/image73.emf"/><Relationship Id="rId175" Type="http://schemas.openxmlformats.org/officeDocument/2006/relationships/header" Target="header44.xml"/><Relationship Id="rId196" Type="http://schemas.openxmlformats.org/officeDocument/2006/relationships/image" Target="media/image91.emf"/><Relationship Id="rId200" Type="http://schemas.openxmlformats.org/officeDocument/2006/relationships/image" Target="media/image95.emf"/><Relationship Id="rId16" Type="http://schemas.openxmlformats.org/officeDocument/2006/relationships/footer" Target="footer1.xml"/><Relationship Id="rId221" Type="http://schemas.openxmlformats.org/officeDocument/2006/relationships/footer" Target="footer46.xml"/><Relationship Id="rId37" Type="http://schemas.openxmlformats.org/officeDocument/2006/relationships/header" Target="header10.xml"/><Relationship Id="rId58" Type="http://schemas.openxmlformats.org/officeDocument/2006/relationships/image" Target="media/image14.emf"/><Relationship Id="rId79" Type="http://schemas.openxmlformats.org/officeDocument/2006/relationships/image" Target="media/image35.emf"/><Relationship Id="rId102" Type="http://schemas.openxmlformats.org/officeDocument/2006/relationships/header" Target="header23.xml"/><Relationship Id="rId123" Type="http://schemas.openxmlformats.org/officeDocument/2006/relationships/image" Target="media/image58.emf"/><Relationship Id="rId144" Type="http://schemas.openxmlformats.org/officeDocument/2006/relationships/footer" Target="footer29.xml"/><Relationship Id="rId90" Type="http://schemas.openxmlformats.org/officeDocument/2006/relationships/image" Target="media/image41.emf"/><Relationship Id="rId165" Type="http://schemas.openxmlformats.org/officeDocument/2006/relationships/header" Target="header40.xml"/><Relationship Id="rId186" Type="http://schemas.openxmlformats.org/officeDocument/2006/relationships/image" Target="media/image87.emf"/><Relationship Id="rId211" Type="http://schemas.openxmlformats.org/officeDocument/2006/relationships/footer" Target="footer43.xml"/><Relationship Id="rId27" Type="http://schemas.openxmlformats.org/officeDocument/2006/relationships/header" Target="header4.xml"/><Relationship Id="rId48" Type="http://schemas.openxmlformats.org/officeDocument/2006/relationships/footer" Target="footer12.xml"/><Relationship Id="rId69" Type="http://schemas.openxmlformats.org/officeDocument/2006/relationships/image" Target="media/image25.emf"/><Relationship Id="rId113" Type="http://schemas.openxmlformats.org/officeDocument/2006/relationships/image" Target="media/image48.emf"/><Relationship Id="rId134" Type="http://schemas.openxmlformats.org/officeDocument/2006/relationships/image" Target="media/image63.emf"/><Relationship Id="rId80" Type="http://schemas.openxmlformats.org/officeDocument/2006/relationships/image" Target="media/image36.emf"/><Relationship Id="rId155" Type="http://schemas.openxmlformats.org/officeDocument/2006/relationships/image" Target="media/image74.emf"/><Relationship Id="rId176" Type="http://schemas.openxmlformats.org/officeDocument/2006/relationships/footer" Target="footer36.xml"/><Relationship Id="rId197" Type="http://schemas.openxmlformats.org/officeDocument/2006/relationships/image" Target="media/image92.emf"/><Relationship Id="rId201" Type="http://schemas.openxmlformats.org/officeDocument/2006/relationships/image" Target="media/image96.emf"/><Relationship Id="rId222" Type="http://schemas.openxmlformats.org/officeDocument/2006/relationships/header" Target="header57.xml"/><Relationship Id="rId17" Type="http://schemas.openxmlformats.org/officeDocument/2006/relationships/footer" Target="footer2.xml"/><Relationship Id="rId38" Type="http://schemas.openxmlformats.org/officeDocument/2006/relationships/header" Target="header11.xml"/><Relationship Id="rId59" Type="http://schemas.openxmlformats.org/officeDocument/2006/relationships/image" Target="media/image15.emf"/><Relationship Id="rId103" Type="http://schemas.openxmlformats.org/officeDocument/2006/relationships/footer" Target="footer18.xml"/><Relationship Id="rId124" Type="http://schemas.openxmlformats.org/officeDocument/2006/relationships/image" Target="media/image59.emf"/><Relationship Id="rId70" Type="http://schemas.openxmlformats.org/officeDocument/2006/relationships/image" Target="media/image26.emf"/><Relationship Id="rId91" Type="http://schemas.openxmlformats.org/officeDocument/2006/relationships/image" Target="media/image42.emf"/><Relationship Id="rId145" Type="http://schemas.openxmlformats.org/officeDocument/2006/relationships/header" Target="header34.xml"/><Relationship Id="rId166" Type="http://schemas.openxmlformats.org/officeDocument/2006/relationships/image" Target="media/image78.emf"/><Relationship Id="rId187" Type="http://schemas.openxmlformats.org/officeDocument/2006/relationships/image" Target="media/image88.emf"/><Relationship Id="rId212" Type="http://schemas.openxmlformats.org/officeDocument/2006/relationships/image" Target="media/image103.emf"/><Relationship Id="rId28" Type="http://schemas.openxmlformats.org/officeDocument/2006/relationships/header" Target="header5.xml"/><Relationship Id="rId49" Type="http://schemas.openxmlformats.org/officeDocument/2006/relationships/footer" Target="footer13.xml"/><Relationship Id="rId114" Type="http://schemas.openxmlformats.org/officeDocument/2006/relationships/image" Target="media/image49.emf"/><Relationship Id="rId60" Type="http://schemas.openxmlformats.org/officeDocument/2006/relationships/image" Target="media/image16.emf"/><Relationship Id="rId81" Type="http://schemas.openxmlformats.org/officeDocument/2006/relationships/image" Target="media/image37.emf"/><Relationship Id="rId135" Type="http://schemas.openxmlformats.org/officeDocument/2006/relationships/image" Target="media/image64.emf"/><Relationship Id="rId156" Type="http://schemas.openxmlformats.org/officeDocument/2006/relationships/image" Target="media/image75.emf"/><Relationship Id="rId177" Type="http://schemas.openxmlformats.org/officeDocument/2006/relationships/header" Target="header45.xml"/><Relationship Id="rId198" Type="http://schemas.openxmlformats.org/officeDocument/2006/relationships/image" Target="media/image93.emf"/><Relationship Id="rId202" Type="http://schemas.openxmlformats.org/officeDocument/2006/relationships/image" Target="media/image97.emf"/><Relationship Id="rId223" Type="http://schemas.openxmlformats.org/officeDocument/2006/relationships/header" Target="header58.xml"/><Relationship Id="rId18" Type="http://schemas.openxmlformats.org/officeDocument/2006/relationships/hyperlink" Target="http://creativecommons.org/licenses/by/3.0/au/deed.en" TargetMode="External"/><Relationship Id="rId39" Type="http://schemas.openxmlformats.org/officeDocument/2006/relationships/footer" Target="footer8.xml"/><Relationship Id="rId50" Type="http://schemas.openxmlformats.org/officeDocument/2006/relationships/footer" Target="footer14.xml"/><Relationship Id="rId104" Type="http://schemas.openxmlformats.org/officeDocument/2006/relationships/footer" Target="footer19.xml"/><Relationship Id="rId125" Type="http://schemas.openxmlformats.org/officeDocument/2006/relationships/image" Target="media/image60.emf"/><Relationship Id="rId146" Type="http://schemas.openxmlformats.org/officeDocument/2006/relationships/footer" Target="footer30.xml"/><Relationship Id="rId167" Type="http://schemas.openxmlformats.org/officeDocument/2006/relationships/image" Target="media/image79.emf"/><Relationship Id="rId188" Type="http://schemas.openxmlformats.org/officeDocument/2006/relationships/image" Target="media/image89.emf"/><Relationship Id="rId71" Type="http://schemas.openxmlformats.org/officeDocument/2006/relationships/image" Target="media/image27.emf"/><Relationship Id="rId92" Type="http://schemas.openxmlformats.org/officeDocument/2006/relationships/image" Target="media/image43.emf"/><Relationship Id="rId213" Type="http://schemas.openxmlformats.org/officeDocument/2006/relationships/header" Target="header51.xml"/><Relationship Id="rId29" Type="http://schemas.openxmlformats.org/officeDocument/2006/relationships/footer" Target="footer4.xml"/><Relationship Id="rId40" Type="http://schemas.openxmlformats.org/officeDocument/2006/relationships/image" Target="media/image5.png"/><Relationship Id="rId115" Type="http://schemas.openxmlformats.org/officeDocument/2006/relationships/image" Target="media/image50.emf"/><Relationship Id="rId136" Type="http://schemas.openxmlformats.org/officeDocument/2006/relationships/image" Target="media/image65.emf"/><Relationship Id="rId157" Type="http://schemas.openxmlformats.org/officeDocument/2006/relationships/image" Target="media/image76.emf"/><Relationship Id="rId178" Type="http://schemas.openxmlformats.org/officeDocument/2006/relationships/footer" Target="footer37.xml"/><Relationship Id="rId61" Type="http://schemas.openxmlformats.org/officeDocument/2006/relationships/image" Target="media/image17.emf"/><Relationship Id="rId82" Type="http://schemas.openxmlformats.org/officeDocument/2006/relationships/image" Target="media/image38.emf"/><Relationship Id="rId199" Type="http://schemas.openxmlformats.org/officeDocument/2006/relationships/image" Target="media/image94.emf"/><Relationship Id="rId203" Type="http://schemas.openxmlformats.org/officeDocument/2006/relationships/image" Target="media/image98.emf"/><Relationship Id="rId19" Type="http://schemas.openxmlformats.org/officeDocument/2006/relationships/hyperlink" Target="http://creativecommons.org/licenses/by/3.0/au/legalcode" TargetMode="External"/><Relationship Id="rId224" Type="http://schemas.openxmlformats.org/officeDocument/2006/relationships/header" Target="header59.xml"/><Relationship Id="rId30" Type="http://schemas.openxmlformats.org/officeDocument/2006/relationships/footer" Target="footer5.xml"/><Relationship Id="rId105" Type="http://schemas.openxmlformats.org/officeDocument/2006/relationships/footer" Target="footer20.xml"/><Relationship Id="rId126" Type="http://schemas.openxmlformats.org/officeDocument/2006/relationships/image" Target="media/image61.emf"/><Relationship Id="rId147" Type="http://schemas.openxmlformats.org/officeDocument/2006/relationships/footer" Target="footer31.xml"/><Relationship Id="rId168" Type="http://schemas.openxmlformats.org/officeDocument/2006/relationships/image" Target="media/image80.emf"/><Relationship Id="rId51" Type="http://schemas.openxmlformats.org/officeDocument/2006/relationships/image" Target="media/image7.emf"/><Relationship Id="rId72" Type="http://schemas.openxmlformats.org/officeDocument/2006/relationships/image" Target="media/image28.emf"/><Relationship Id="rId93" Type="http://schemas.openxmlformats.org/officeDocument/2006/relationships/image" Target="media/image44.emf"/><Relationship Id="rId189" Type="http://schemas.openxmlformats.org/officeDocument/2006/relationships/header" Target="header4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eb47d8b7-fefc-4923-b53c-9685ba6b7210">
      <Value>75</Value>
    </TaxCatchAll>
    <_dlc_DocId xmlns="eb47d8b7-fefc-4923-b53c-9685ba6b7210">2014CSSG-727-287</_dlc_DocId>
    <_dlc_DocIdUrl xmlns="eb47d8b7-fefc-4923-b53c-9685ba6b7210">
      <Url>http://tweb/sites/cssg/mcd/pubs/pt/_layouts/15/DocIdRedir.aspx?ID=2014CSSG-727-287</Url>
      <Description>2014CSSG-727-287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F0600A6B3F814ABEB919D5BDF01FD1" ma:contentTypeVersion="1" ma:contentTypeDescription="Create a new document." ma:contentTypeScope="" ma:versionID="d8be000ddf6e45c4c2670556ad520d5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B04FC-F1E0-47BD-B08E-FBED5ED909D7}">
  <ds:schemaRefs>
    <ds:schemaRef ds:uri="http://purl.org/dc/elements/1.1/"/>
    <ds:schemaRef ds:uri="http://purl.org/dc/dcmitype/"/>
    <ds:schemaRef ds:uri="http://www.w3.org/XML/1998/namespace"/>
    <ds:schemaRef ds:uri="http://schemas.openxmlformats.org/package/2006/metadata/core-properties"/>
    <ds:schemaRef ds:uri="http://schemas.microsoft.com/sharepoint/v3"/>
    <ds:schemaRef ds:uri="http://purl.org/dc/terms/"/>
    <ds:schemaRef ds:uri="http://schemas.microsoft.com/office/2006/metadata/properties"/>
    <ds:schemaRef ds:uri="http://schemas.microsoft.com/office/infopath/2007/PartnerControls"/>
    <ds:schemaRef ds:uri="http://schemas.microsoft.com/office/2006/documentManagement/types"/>
    <ds:schemaRef ds:uri="eb47d8b7-fefc-4923-b53c-9685ba6b7210"/>
  </ds:schemaRefs>
</ds:datastoreItem>
</file>

<file path=customXml/itemProps2.xml><?xml version="1.0" encoding="utf-8"?>
<ds:datastoreItem xmlns:ds="http://schemas.openxmlformats.org/officeDocument/2006/customXml" ds:itemID="{855133F8-EFF4-4823-BD43-293BB1C3CD60}">
  <ds:schemaRefs>
    <ds:schemaRef ds:uri="http://schemas.microsoft.com/sharepoint/events"/>
  </ds:schemaRefs>
</ds:datastoreItem>
</file>

<file path=customXml/itemProps3.xml><?xml version="1.0" encoding="utf-8"?>
<ds:datastoreItem xmlns:ds="http://schemas.openxmlformats.org/officeDocument/2006/customXml" ds:itemID="{534B04FC-F1E0-47BD-B08E-FBED5ED909D7}"/>
</file>

<file path=customXml/itemProps4.xml><?xml version="1.0" encoding="utf-8"?>
<ds:datastoreItem xmlns:ds="http://schemas.openxmlformats.org/officeDocument/2006/customXml" ds:itemID="{DE640A87-47D6-4F33-834A-43C0BC868A12}"/>
</file>

<file path=customXml/itemProps5.xml><?xml version="1.0" encoding="utf-8"?>
<ds:datastoreItem xmlns:ds="http://schemas.openxmlformats.org/officeDocument/2006/customXml" ds:itemID="{B87F2655-08F3-4C2A-AB0A-FBA7645B817B}"/>
</file>

<file path=customXml/itemProps6.xml><?xml version="1.0" encoding="utf-8"?>
<ds:datastoreItem xmlns:ds="http://schemas.openxmlformats.org/officeDocument/2006/customXml" ds:itemID="{EB1A982B-6B2C-43FC-A1C9-BD2FE7FBE2F0}"/>
</file>

<file path=docProps/app.xml><?xml version="1.0" encoding="utf-8"?>
<Properties xmlns="http://schemas.openxmlformats.org/officeDocument/2006/extended-properties" xmlns:vt="http://schemas.openxmlformats.org/officeDocument/2006/docPropsVTypes">
  <Template>Portfolio Budget Statements</Template>
  <TotalTime>4906</TotalTime>
  <Pages>201</Pages>
  <Words>23677</Words>
  <Characters>149710</Characters>
  <Application>Microsoft Office Word</Application>
  <DocSecurity>0</DocSecurity>
  <Lines>1247</Lines>
  <Paragraphs>346</Paragraphs>
  <ScaleCrop>false</ScaleCrop>
  <HeadingPairs>
    <vt:vector size="2" baseType="variant">
      <vt:variant>
        <vt:lpstr>Title</vt:lpstr>
      </vt:variant>
      <vt:variant>
        <vt:i4>1</vt:i4>
      </vt:variant>
    </vt:vector>
  </HeadingPairs>
  <TitlesOfParts>
    <vt:vector size="1" baseType="lpstr">
      <vt:lpstr>PORTFOLIO</vt:lpstr>
    </vt:vector>
  </TitlesOfParts>
  <Company>The Treasury</Company>
  <LinksUpToDate>false</LinksUpToDate>
  <CharactersWithSpaces>173041</CharactersWithSpaces>
  <SharedDoc>false</SharedDoc>
  <HLinks>
    <vt:vector size="24" baseType="variant">
      <vt:variant>
        <vt:i4>7471148</vt:i4>
      </vt:variant>
      <vt:variant>
        <vt:i4>25</vt:i4>
      </vt:variant>
      <vt:variant>
        <vt:i4>0</vt:i4>
      </vt:variant>
      <vt:variant>
        <vt:i4>5</vt:i4>
      </vt:variant>
      <vt:variant>
        <vt:lpwstr>http://www.itsanhonour.gov.au/</vt:lpwstr>
      </vt:variant>
      <vt:variant>
        <vt:lpwstr/>
      </vt:variant>
      <vt:variant>
        <vt:i4>5111827</vt:i4>
      </vt:variant>
      <vt:variant>
        <vt:i4>10</vt:i4>
      </vt:variant>
      <vt:variant>
        <vt:i4>0</vt:i4>
      </vt:variant>
      <vt:variant>
        <vt:i4>5</vt:i4>
      </vt:variant>
      <vt:variant>
        <vt:lpwstr>http://creativecommons.org/licenses/by/3.0/au/deed.en</vt:lpwstr>
      </vt:variant>
      <vt:variant>
        <vt:lpwstr/>
      </vt:variant>
      <vt:variant>
        <vt:i4>2687028</vt:i4>
      </vt:variant>
      <vt:variant>
        <vt:i4>5</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dc:title>
  <dc:creator>Publications Team</dc:creator>
  <cp:lastModifiedBy>Cain Roberts</cp:lastModifiedBy>
  <cp:revision>394</cp:revision>
  <cp:lastPrinted>2015-05-10T13:08:00Z</cp:lastPrinted>
  <dcterms:created xsi:type="dcterms:W3CDTF">2015-03-06T01:04:00Z</dcterms:created>
  <dcterms:modified xsi:type="dcterms:W3CDTF">2015-05-12T03:05:00Z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0x010100C3F0600A6B3F814ABEB919D5BDF01FD1</vt:lpwstr>
  </property>
  <property fmtid="{D5CDD505-2E9C-101B-9397-08002B2CF9AE}" pid="5" name="TSYRecordClass">
    <vt:lpwstr>75;#AE-20337-Destroy 7 years after action completed|668ae28e-5138-4c7c-82db-1c8c6afc81a6</vt:lpwstr>
  </property>
  <property fmtid="{D5CDD505-2E9C-101B-9397-08002B2CF9AE}" pid="6" name="_dlc_DocIdItemGuid">
    <vt:lpwstr>f2062dbe-9663-4abe-8923-d8e886ea0b01</vt:lpwstr>
  </property>
  <property fmtid="{D5CDD505-2E9C-101B-9397-08002B2CF9AE}" pid="7" name="Order">
    <vt:r8>3600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