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E783E" w14:textId="77777777" w:rsidR="007C6993" w:rsidRPr="00DA39CA" w:rsidRDefault="007C6993" w:rsidP="007C6993">
      <w:pPr>
        <w:jc w:val="center"/>
        <w:rPr>
          <w:b/>
          <w:bCs/>
        </w:rPr>
      </w:pPr>
    </w:p>
    <w:p w14:paraId="08A79D45" w14:textId="77777777" w:rsidR="007C6993" w:rsidRPr="005873EE" w:rsidRDefault="007C6993" w:rsidP="007C6993">
      <w:pPr>
        <w:jc w:val="center"/>
        <w:rPr>
          <w:b/>
          <w:bCs/>
          <w:i/>
        </w:rPr>
      </w:pPr>
    </w:p>
    <w:p w14:paraId="21492321" w14:textId="77777777" w:rsidR="007C6993" w:rsidRDefault="007C6993" w:rsidP="007C6993">
      <w:pPr>
        <w:jc w:val="center"/>
      </w:pPr>
      <w:r w:rsidRPr="00323D96">
        <w:t>BEFORE THE WORLD TRADE ORGANIZATION</w:t>
      </w:r>
    </w:p>
    <w:p w14:paraId="16BB3108" w14:textId="1F49435F" w:rsidR="002171F7" w:rsidRDefault="002171F7" w:rsidP="007C6993">
      <w:pPr>
        <w:jc w:val="center"/>
      </w:pPr>
      <w:r>
        <w:t>APPELLATE BODY</w:t>
      </w:r>
    </w:p>
    <w:p w14:paraId="58AA52D3" w14:textId="77777777" w:rsidR="002171F7" w:rsidRPr="00323D96" w:rsidRDefault="002171F7" w:rsidP="007C6993">
      <w:pPr>
        <w:jc w:val="center"/>
      </w:pPr>
    </w:p>
    <w:p w14:paraId="0DD57246" w14:textId="77777777" w:rsidR="007C6993" w:rsidRPr="005873EE" w:rsidRDefault="007C6993" w:rsidP="007C6993">
      <w:pPr>
        <w:jc w:val="center"/>
        <w:rPr>
          <w:b/>
          <w:bCs/>
          <w:i/>
        </w:rPr>
      </w:pPr>
    </w:p>
    <w:p w14:paraId="508D8D45" w14:textId="77777777" w:rsidR="007C6993" w:rsidRPr="005873EE" w:rsidRDefault="007C6993" w:rsidP="007C6993">
      <w:pPr>
        <w:jc w:val="center"/>
        <w:rPr>
          <w:b/>
          <w:bCs/>
          <w:i/>
        </w:rPr>
      </w:pPr>
    </w:p>
    <w:p w14:paraId="61715F7D" w14:textId="77777777" w:rsidR="007C6993" w:rsidRDefault="007C6993" w:rsidP="007C6993">
      <w:pPr>
        <w:jc w:val="center"/>
        <w:rPr>
          <w:b/>
          <w:bCs/>
          <w:i/>
        </w:rPr>
      </w:pPr>
    </w:p>
    <w:p w14:paraId="55692CEE" w14:textId="77777777" w:rsidR="007C6993" w:rsidRPr="005873EE" w:rsidRDefault="007C6993" w:rsidP="007C6993">
      <w:pPr>
        <w:jc w:val="center"/>
        <w:rPr>
          <w:b/>
          <w:bCs/>
          <w:i/>
        </w:rPr>
      </w:pPr>
    </w:p>
    <w:p w14:paraId="3EED7D3A" w14:textId="77777777" w:rsidR="007C6993" w:rsidRDefault="007C6993" w:rsidP="007C6993">
      <w:pPr>
        <w:jc w:val="center"/>
        <w:rPr>
          <w:b/>
          <w:i/>
        </w:rPr>
      </w:pPr>
      <w:bookmarkStart w:id="0" w:name="Verdatum"/>
      <w:bookmarkEnd w:id="0"/>
    </w:p>
    <w:p w14:paraId="37EA00F3" w14:textId="77777777" w:rsidR="007C6993" w:rsidRDefault="007C6993" w:rsidP="007C6993">
      <w:pPr>
        <w:jc w:val="center"/>
        <w:rPr>
          <w:b/>
          <w:i/>
        </w:rPr>
      </w:pPr>
    </w:p>
    <w:p w14:paraId="27332CD1" w14:textId="77777777" w:rsidR="007C6993" w:rsidRDefault="007C6993" w:rsidP="007C6993">
      <w:pPr>
        <w:jc w:val="center"/>
        <w:rPr>
          <w:b/>
          <w:i/>
        </w:rPr>
      </w:pPr>
    </w:p>
    <w:p w14:paraId="714B0CCA" w14:textId="77777777" w:rsidR="007C6993" w:rsidRDefault="007C6993" w:rsidP="007C6993">
      <w:pPr>
        <w:jc w:val="center"/>
        <w:rPr>
          <w:b/>
          <w:i/>
        </w:rPr>
      </w:pPr>
    </w:p>
    <w:p w14:paraId="67368A6E" w14:textId="77777777" w:rsidR="007C6993" w:rsidRPr="00323D96" w:rsidRDefault="007C6993" w:rsidP="007C6993">
      <w:pPr>
        <w:jc w:val="center"/>
        <w:rPr>
          <w:b/>
          <w:i/>
        </w:rPr>
      </w:pPr>
    </w:p>
    <w:p w14:paraId="32699120" w14:textId="77777777" w:rsidR="007C6993" w:rsidRPr="004C4011" w:rsidRDefault="007C6993" w:rsidP="007C6993">
      <w:pPr>
        <w:pStyle w:val="Default"/>
        <w:jc w:val="center"/>
        <w:rPr>
          <w:rFonts w:ascii="Times New Roman" w:hAnsi="Times New Roman" w:cs="Times New Roman"/>
          <w:b/>
          <w:sz w:val="36"/>
          <w:szCs w:val="36"/>
        </w:rPr>
      </w:pPr>
      <w:r w:rsidRPr="004C4011">
        <w:rPr>
          <w:rFonts w:ascii="Times New Roman" w:hAnsi="Times New Roman" w:cs="Times New Roman"/>
          <w:b/>
          <w:sz w:val="36"/>
          <w:szCs w:val="36"/>
        </w:rPr>
        <w:t>Australia – Certain Measures Concerning Trademarks, Geographical Indications and other Plain Packaging Requirements Applicable to Tobacco Products and Packaging</w:t>
      </w:r>
    </w:p>
    <w:p w14:paraId="16F1596F" w14:textId="77777777" w:rsidR="007C6993" w:rsidRPr="004C4011" w:rsidRDefault="007C6993" w:rsidP="007C6993">
      <w:pPr>
        <w:pStyle w:val="Default"/>
        <w:jc w:val="center"/>
        <w:rPr>
          <w:rFonts w:ascii="Times New Roman" w:hAnsi="Times New Roman" w:cs="Times New Roman"/>
          <w:sz w:val="36"/>
          <w:szCs w:val="36"/>
        </w:rPr>
      </w:pPr>
      <w:r w:rsidRPr="004C4011">
        <w:rPr>
          <w:rFonts w:ascii="Times New Roman" w:hAnsi="Times New Roman" w:cs="Times New Roman"/>
          <w:b/>
          <w:sz w:val="36"/>
          <w:szCs w:val="36"/>
        </w:rPr>
        <w:t>(WT/DS441/DS435)</w:t>
      </w:r>
    </w:p>
    <w:p w14:paraId="4400C4E0" w14:textId="77777777" w:rsidR="007C6993" w:rsidRPr="005873EE" w:rsidRDefault="007C6993" w:rsidP="007C6993">
      <w:pPr>
        <w:jc w:val="center"/>
      </w:pPr>
    </w:p>
    <w:p w14:paraId="6C8D9F23" w14:textId="77777777" w:rsidR="007C6993" w:rsidRPr="005873EE" w:rsidRDefault="007C6993" w:rsidP="007C6993">
      <w:pPr>
        <w:jc w:val="center"/>
      </w:pPr>
    </w:p>
    <w:p w14:paraId="101EF2C9" w14:textId="77777777" w:rsidR="007C6993" w:rsidRPr="005873EE" w:rsidRDefault="007C6993" w:rsidP="007C6993">
      <w:pPr>
        <w:jc w:val="center"/>
      </w:pPr>
    </w:p>
    <w:p w14:paraId="0E54C03F" w14:textId="77777777" w:rsidR="007C6993" w:rsidRPr="005873EE" w:rsidRDefault="007C6993" w:rsidP="007C6993">
      <w:pPr>
        <w:jc w:val="center"/>
      </w:pPr>
    </w:p>
    <w:p w14:paraId="645FDF57" w14:textId="77777777" w:rsidR="007C6993" w:rsidRPr="005873EE" w:rsidRDefault="007C6993" w:rsidP="007C6993">
      <w:pPr>
        <w:jc w:val="center"/>
      </w:pPr>
    </w:p>
    <w:p w14:paraId="4D07FE1F" w14:textId="77777777" w:rsidR="007C6993" w:rsidRPr="005873EE" w:rsidRDefault="007C6993" w:rsidP="007C6993">
      <w:pPr>
        <w:jc w:val="center"/>
      </w:pPr>
    </w:p>
    <w:p w14:paraId="46ACCC38" w14:textId="77777777" w:rsidR="007C6993" w:rsidRPr="005873EE" w:rsidRDefault="007C6993" w:rsidP="007C6993">
      <w:pPr>
        <w:jc w:val="center"/>
      </w:pPr>
    </w:p>
    <w:p w14:paraId="6E235BD4" w14:textId="334CFA8D" w:rsidR="007C6993" w:rsidRPr="005873EE" w:rsidRDefault="007C6993" w:rsidP="007C6993">
      <w:pPr>
        <w:jc w:val="center"/>
        <w:rPr>
          <w:b/>
          <w:bCs/>
        </w:rPr>
      </w:pPr>
      <w:bookmarkStart w:id="1" w:name="_GoBack"/>
      <w:r>
        <w:rPr>
          <w:b/>
          <w:bCs/>
        </w:rPr>
        <w:t>Executive Summary of Australia</w:t>
      </w:r>
      <w:r w:rsidR="00C43A12">
        <w:rPr>
          <w:b/>
          <w:bCs/>
        </w:rPr>
        <w:t>'s</w:t>
      </w:r>
      <w:r w:rsidR="002171F7">
        <w:rPr>
          <w:b/>
          <w:bCs/>
        </w:rPr>
        <w:t xml:space="preserve"> Appellee</w:t>
      </w:r>
      <w:r>
        <w:rPr>
          <w:b/>
          <w:bCs/>
        </w:rPr>
        <w:t xml:space="preserve"> Submission</w:t>
      </w:r>
    </w:p>
    <w:bookmarkEnd w:id="1"/>
    <w:p w14:paraId="5D86CBE6" w14:textId="77777777" w:rsidR="007C6993" w:rsidRPr="005873EE" w:rsidRDefault="007C6993" w:rsidP="007C6993">
      <w:pPr>
        <w:jc w:val="center"/>
      </w:pPr>
    </w:p>
    <w:p w14:paraId="17492860" w14:textId="77777777" w:rsidR="007C6993" w:rsidRPr="005873EE" w:rsidRDefault="007C6993" w:rsidP="007C6993">
      <w:pPr>
        <w:jc w:val="center"/>
      </w:pPr>
    </w:p>
    <w:p w14:paraId="6C9E9AFA" w14:textId="77777777" w:rsidR="007C6993" w:rsidRPr="005873EE" w:rsidRDefault="007C6993" w:rsidP="007C6993">
      <w:pPr>
        <w:jc w:val="center"/>
      </w:pPr>
    </w:p>
    <w:p w14:paraId="1BAC5A30" w14:textId="77777777" w:rsidR="007C6993" w:rsidRPr="005873EE" w:rsidRDefault="007C6993" w:rsidP="007C6993">
      <w:pPr>
        <w:jc w:val="center"/>
      </w:pPr>
    </w:p>
    <w:p w14:paraId="3E0CB689" w14:textId="77777777" w:rsidR="007C6993" w:rsidRPr="005873EE" w:rsidRDefault="007C6993" w:rsidP="007C6993">
      <w:pPr>
        <w:jc w:val="center"/>
      </w:pPr>
    </w:p>
    <w:p w14:paraId="08C36A1C" w14:textId="77777777" w:rsidR="007C6993" w:rsidRPr="005873EE" w:rsidRDefault="007C6993" w:rsidP="007C6993">
      <w:pPr>
        <w:jc w:val="center"/>
      </w:pPr>
    </w:p>
    <w:p w14:paraId="4BCA5A76" w14:textId="77777777" w:rsidR="007C6993" w:rsidRPr="005873EE" w:rsidRDefault="007C6993" w:rsidP="007C6993">
      <w:pPr>
        <w:jc w:val="center"/>
      </w:pPr>
    </w:p>
    <w:p w14:paraId="2CFD33BD" w14:textId="77777777" w:rsidR="007C6993" w:rsidRPr="005873EE" w:rsidRDefault="007C6993" w:rsidP="007C6993">
      <w:pPr>
        <w:jc w:val="center"/>
      </w:pPr>
    </w:p>
    <w:p w14:paraId="08B6AF75" w14:textId="77777777" w:rsidR="007C6993" w:rsidRPr="005873EE" w:rsidRDefault="007C6993" w:rsidP="007C6993">
      <w:pPr>
        <w:jc w:val="center"/>
      </w:pPr>
    </w:p>
    <w:p w14:paraId="6375CE27" w14:textId="77777777" w:rsidR="007C6993" w:rsidRPr="005873EE" w:rsidRDefault="007C6993" w:rsidP="007C6993">
      <w:pPr>
        <w:jc w:val="center"/>
      </w:pPr>
    </w:p>
    <w:p w14:paraId="3972A647" w14:textId="77777777" w:rsidR="007C6993" w:rsidRPr="005873EE" w:rsidRDefault="007C6993" w:rsidP="007C6993">
      <w:pPr>
        <w:jc w:val="center"/>
      </w:pPr>
    </w:p>
    <w:p w14:paraId="7E61D226" w14:textId="77777777" w:rsidR="007C6993" w:rsidRPr="005873EE" w:rsidRDefault="007C6993" w:rsidP="007C6993">
      <w:pPr>
        <w:jc w:val="center"/>
      </w:pPr>
    </w:p>
    <w:p w14:paraId="09C7EC47" w14:textId="77777777" w:rsidR="007C6993" w:rsidRPr="005873EE" w:rsidRDefault="007C6993" w:rsidP="007C6993">
      <w:pPr>
        <w:jc w:val="center"/>
      </w:pPr>
    </w:p>
    <w:p w14:paraId="55C005A1" w14:textId="77777777" w:rsidR="007C6993" w:rsidRPr="005873EE" w:rsidRDefault="007C6993" w:rsidP="007C6993">
      <w:pPr>
        <w:jc w:val="center"/>
      </w:pPr>
    </w:p>
    <w:p w14:paraId="42A4E747" w14:textId="77777777" w:rsidR="007C6993" w:rsidRPr="005873EE" w:rsidRDefault="007C6993" w:rsidP="007C6993">
      <w:pPr>
        <w:jc w:val="center"/>
      </w:pPr>
    </w:p>
    <w:p w14:paraId="4B4956F3" w14:textId="77777777" w:rsidR="007C6993" w:rsidRDefault="007C6993" w:rsidP="007C6993">
      <w:pPr>
        <w:jc w:val="center"/>
        <w:rPr>
          <w:sz w:val="28"/>
          <w:szCs w:val="28"/>
        </w:rPr>
        <w:sectPr w:rsidR="007C6993" w:rsidSect="00681257">
          <w:headerReference w:type="even" r:id="rId8"/>
          <w:headerReference w:type="default" r:id="rId9"/>
          <w:footerReference w:type="even" r:id="rId10"/>
          <w:footerReference w:type="default" r:id="rId11"/>
          <w:headerReference w:type="first" r:id="rId12"/>
          <w:footerReference w:type="first" r:id="rId13"/>
          <w:pgSz w:w="11900" w:h="16820"/>
          <w:pgMar w:top="1440" w:right="1800" w:bottom="1440" w:left="1800" w:header="720" w:footer="720" w:gutter="0"/>
          <w:pgNumType w:start="1"/>
          <w:cols w:space="720"/>
          <w:titlePg/>
          <w:docGrid w:linePitch="360"/>
        </w:sectPr>
      </w:pPr>
      <w:r>
        <w:rPr>
          <w:sz w:val="28"/>
          <w:szCs w:val="28"/>
        </w:rPr>
        <w:t>Geneva, 2 October 2018</w:t>
      </w:r>
    </w:p>
    <w:p w14:paraId="5B911D16" w14:textId="6EBC6154" w:rsidR="00B50195" w:rsidRPr="00C13C7C" w:rsidRDefault="00B50195" w:rsidP="00A571E6">
      <w:pPr>
        <w:pStyle w:val="WTONumbered"/>
        <w:ind w:left="0" w:firstLine="0"/>
      </w:pPr>
      <w:r w:rsidRPr="00C13C7C">
        <w:lastRenderedPageBreak/>
        <w:t>This dispute involves challenges to Australia's tobacco plain packaging measures ("the TPP measures"), which operate to prev</w:t>
      </w:r>
      <w:r w:rsidR="00C13C7C" w:rsidRPr="00C13C7C">
        <w:t>ent the tobacco industry's well</w:t>
      </w:r>
      <w:r w:rsidR="00C13C7C" w:rsidRPr="00C13C7C">
        <w:noBreakHyphen/>
      </w:r>
      <w:r w:rsidRPr="00C13C7C">
        <w:t xml:space="preserve">documented exploitation of product and packaging design features to influence consumer behaviour, particularly the behaviour of young people.  Australia implemented these measures on the basis of three decades of evidence and an explicit recommendation </w:t>
      </w:r>
      <w:r w:rsidR="003C76FC">
        <w:t>in</w:t>
      </w:r>
      <w:r w:rsidRPr="00C13C7C">
        <w:t xml:space="preserve"> the Guidelines to the World Health Organization ("WHO") Framework Convention on Tobacco Control ("FCTC").  </w:t>
      </w:r>
    </w:p>
    <w:p w14:paraId="6915BB58" w14:textId="19E25E2C" w:rsidR="00B50195" w:rsidRPr="00C13C7C" w:rsidRDefault="00B50195" w:rsidP="00A571E6">
      <w:pPr>
        <w:pStyle w:val="WTONumbered"/>
        <w:ind w:left="0" w:firstLine="0"/>
      </w:pPr>
      <w:r w:rsidRPr="00C13C7C">
        <w:t xml:space="preserve">The four original complainants instituted this dispute to challenge Australia's </w:t>
      </w:r>
      <w:r w:rsidR="00830DDB">
        <w:t>TPP</w:t>
      </w:r>
      <w:r w:rsidRPr="00C13C7C">
        <w:t xml:space="preserve"> measure</w:t>
      </w:r>
      <w:r w:rsidR="003C76FC">
        <w:t>s</w:t>
      </w:r>
      <w:r w:rsidRPr="00C13C7C">
        <w:t>, and the Panel rejected their claims in full.  Two of the original complainants have accepted the findings and conclusions of the Dispute Settlement Body ("DSB"), and those reports have been adopted.  Only the Dominican Republic and Honduras have appealed the report of the Panel in their respective disputes.</w:t>
      </w:r>
    </w:p>
    <w:p w14:paraId="01C0FD75" w14:textId="0DAB8A33" w:rsidR="00B50195" w:rsidRPr="00C13C7C" w:rsidRDefault="00B50195" w:rsidP="00A571E6">
      <w:pPr>
        <w:pStyle w:val="WTONumbered"/>
        <w:ind w:left="0" w:firstLine="0"/>
      </w:pPr>
      <w:r w:rsidRPr="00C13C7C">
        <w:t xml:space="preserve">In challenging the Panel's findings and conclusions on appeal, neither the Dominican Republic nor Honduras advances any credible claim that the Panel erred in its legal interpretations of the relevant provisions of the covered agreements, or in their application.  With respect to the TRIPS Agreement, Honduras </w:t>
      </w:r>
      <w:r w:rsidR="00504B61">
        <w:t>pursues on appeal</w:t>
      </w:r>
      <w:r w:rsidRPr="00C13C7C">
        <w:t xml:space="preserve"> only two of its ten original claims, </w:t>
      </w:r>
      <w:r w:rsidR="00504B61">
        <w:t>arguing</w:t>
      </w:r>
      <w:r w:rsidRPr="00C13C7C">
        <w:t xml:space="preserve"> that the Panel incorrectly </w:t>
      </w:r>
      <w:r w:rsidR="00504B61">
        <w:t>interpreted and applied Article </w:t>
      </w:r>
      <w:r w:rsidRPr="00C13C7C">
        <w:t>16.1 and Articl</w:t>
      </w:r>
      <w:r w:rsidR="00504B61">
        <w:t>e </w:t>
      </w:r>
      <w:r w:rsidRPr="00C13C7C">
        <w:t>20 of the TRIPS Agreement.  The Dominican Republic does not even advance its own arguments on these points, but merely incorporates by reference Honduras'</w:t>
      </w:r>
      <w:r w:rsidR="00523BA5" w:rsidRPr="00C13C7C">
        <w:t>s</w:t>
      </w:r>
      <w:r w:rsidRPr="00C13C7C">
        <w:t xml:space="preserve"> claims of error into its a</w:t>
      </w:r>
      <w:r w:rsidR="00504B61">
        <w:t>ppeal.  With respect to Article </w:t>
      </w:r>
      <w:r w:rsidRPr="00C13C7C">
        <w:t>2.2 of the TBT Agreement, both appellants acknowledge that the Panel "correctly articulated the legal standard that applies under the TBT Agreement",</w:t>
      </w:r>
      <w:r w:rsidRPr="00C13C7C">
        <w:rPr>
          <w:sz w:val="22"/>
          <w:szCs w:val="22"/>
          <w:vertAlign w:val="superscript"/>
        </w:rPr>
        <w:footnoteReference w:id="2"/>
      </w:r>
      <w:r w:rsidRPr="00C13C7C">
        <w:t xml:space="preserve"> yet proceed nonetheless to advance a claim of "legal error" on the part of the Panel.</w:t>
      </w:r>
    </w:p>
    <w:p w14:paraId="63C826DA" w14:textId="5BADFD68" w:rsidR="00B50195" w:rsidRPr="00C13C7C" w:rsidRDefault="003C76FC" w:rsidP="00A571E6">
      <w:pPr>
        <w:pStyle w:val="WTONumbered"/>
        <w:ind w:left="0" w:firstLine="0"/>
      </w:pPr>
      <w:r>
        <w:t>Instead of advancing credible legal claims,</w:t>
      </w:r>
      <w:r w:rsidR="00B50195" w:rsidRPr="00C13C7C">
        <w:t xml:space="preserve"> the appellants have brought an unprecedented challenge to the factual fi</w:t>
      </w:r>
      <w:r w:rsidR="00504B61">
        <w:t>ndings of a panel under Article </w:t>
      </w:r>
      <w:r w:rsidR="00B50195" w:rsidRPr="00C13C7C">
        <w:t xml:space="preserve">11 of the Understanding on Rules and Procedures Governing the Settlement of Disputes ("DSU").  The appellants' claims that the Panel did not undertake an objective assessment of the matter before it relate overwhelmingly to the Panel's factual findings in support of its conclusion that the </w:t>
      </w:r>
      <w:r w:rsidR="00C13C7C" w:rsidRPr="00C13C7C">
        <w:t>complainants</w:t>
      </w:r>
      <w:r w:rsidR="00B50195" w:rsidRPr="00C13C7C">
        <w:t xml:space="preserve"> failed to demonstrate that the TPP measure</w:t>
      </w:r>
      <w:r w:rsidR="00523BA5" w:rsidRPr="00C13C7C">
        <w:t>s are</w:t>
      </w:r>
      <w:r w:rsidR="00B50195" w:rsidRPr="00C13C7C">
        <w:t xml:space="preserve"> not apt to contribute to Australia's legitimate public health objective.  </w:t>
      </w:r>
    </w:p>
    <w:p w14:paraId="10875FA1" w14:textId="10B5FFE4" w:rsidR="00B50195" w:rsidRPr="00C13C7C" w:rsidRDefault="00B50195" w:rsidP="00A571E6">
      <w:pPr>
        <w:pStyle w:val="WTONumbered"/>
        <w:ind w:left="0" w:firstLine="0"/>
      </w:pPr>
      <w:r w:rsidRPr="00C13C7C">
        <w:t>The appellants' contention</w:t>
      </w:r>
      <w:r w:rsidR="00C13C7C" w:rsidRPr="00C13C7C">
        <w:t>s are</w:t>
      </w:r>
      <w:r w:rsidRPr="00C13C7C">
        <w:t>, however, utterly belied by the depth and thoroughness of the Panel's 1,266 page report.</w:t>
      </w:r>
      <w:r w:rsidRPr="00C13C7C">
        <w:rPr>
          <w:sz w:val="22"/>
          <w:szCs w:val="22"/>
          <w:vertAlign w:val="superscript"/>
        </w:rPr>
        <w:footnoteReference w:id="3"/>
      </w:r>
      <w:r w:rsidRPr="00C13C7C">
        <w:t xml:space="preserve">  Instead of rushing to judgment, as the appellants contend, the Panel engaged in a comprehensive review of over 5,000 pages of party submissions,</w:t>
      </w:r>
      <w:r w:rsidR="00523BA5" w:rsidRPr="00C13C7C">
        <w:t xml:space="preserve"> over 1,600 exhibits,</w:t>
      </w:r>
      <w:r w:rsidRPr="00C13C7C">
        <w:t xml:space="preserve"> and over 80 expert reports.</w:t>
      </w:r>
      <w:r w:rsidRPr="00C13C7C">
        <w:rPr>
          <w:sz w:val="22"/>
          <w:szCs w:val="22"/>
          <w:vertAlign w:val="superscript"/>
        </w:rPr>
        <w:footnoteReference w:id="4"/>
      </w:r>
      <w:r w:rsidRPr="00C13C7C">
        <w:t xml:space="preserve">  In Australia's </w:t>
      </w:r>
      <w:r w:rsidRPr="00C13C7C">
        <w:lastRenderedPageBreak/>
        <w:t>view, it is fair to say that the Panel Report before the Appellate Body represents the most far-reaching assessment of an evidentiary record in the history of the DSB, encompassing</w:t>
      </w:r>
      <w:r w:rsidR="002C6D6F">
        <w:t>,</w:t>
      </w:r>
      <w:r w:rsidRPr="00C13C7C">
        <w:t xml:space="preserve"> </w:t>
      </w:r>
      <w:r w:rsidRPr="00C13C7C">
        <w:rPr>
          <w:i/>
        </w:rPr>
        <w:t>inter alia</w:t>
      </w:r>
      <w:r w:rsidR="002C6D6F">
        <w:t>,</w:t>
      </w:r>
      <w:r w:rsidRPr="00C13C7C">
        <w:rPr>
          <w:i/>
        </w:rPr>
        <w:t xml:space="preserve"> </w:t>
      </w:r>
      <w:r w:rsidRPr="00C13C7C">
        <w:t>complex issues of public health, behavioural theory, marketing, and econometrics.</w:t>
      </w:r>
    </w:p>
    <w:p w14:paraId="346C5338" w14:textId="2F1A873A" w:rsidR="00B50195" w:rsidRPr="00C13C7C" w:rsidRDefault="00B50195" w:rsidP="00A571E6">
      <w:pPr>
        <w:pStyle w:val="WTONumbered"/>
        <w:ind w:left="0" w:firstLine="0"/>
      </w:pPr>
      <w:r w:rsidRPr="00C13C7C">
        <w:t>The attack on the Panel's</w:t>
      </w:r>
      <w:r w:rsidR="00504B61">
        <w:t xml:space="preserve"> findings of fact under Article </w:t>
      </w:r>
      <w:r w:rsidRPr="00C13C7C">
        <w:t xml:space="preserve">11 of the DSU far exceed the scope of any prior challenge to a panel's </w:t>
      </w:r>
      <w:r w:rsidR="003C76FC">
        <w:t>exercise</w:t>
      </w:r>
      <w:r w:rsidRPr="00C13C7C">
        <w:t xml:space="preserve"> of its fact-finding function.  Having failed to persuade the Panel that the TPP measure</w:t>
      </w:r>
      <w:r w:rsidR="00523BA5" w:rsidRPr="00C13C7C">
        <w:t>s are</w:t>
      </w:r>
      <w:r w:rsidRPr="00C13C7C">
        <w:t xml:space="preserve"> not apt to contribute to Australia's leg</w:t>
      </w:r>
      <w:r w:rsidR="00523BA5" w:rsidRPr="00C13C7C">
        <w:t>itimate public health objective</w:t>
      </w:r>
      <w:r w:rsidRPr="00C13C7C">
        <w:t>, the appellants have used their right to</w:t>
      </w:r>
      <w:r w:rsidR="00504B61">
        <w:t xml:space="preserve"> appellate review under Article </w:t>
      </w:r>
      <w:r w:rsidRPr="00C13C7C">
        <w:t xml:space="preserve">17.6 of the DSU to try to discredit the </w:t>
      </w:r>
      <w:r w:rsidRPr="00C13C7C">
        <w:rPr>
          <w:i/>
        </w:rPr>
        <w:t>manner</w:t>
      </w:r>
      <w:r w:rsidRPr="00C13C7C">
        <w:t xml:space="preserve"> in which the Panel evaluated nearly every piece of contested evidence, especially the available quantitative evidence of contribution in the limited period following the implementation of the TPP measure</w:t>
      </w:r>
      <w:r w:rsidR="00C13C7C" w:rsidRPr="00C13C7C">
        <w:t>s</w:t>
      </w:r>
      <w:r w:rsidRPr="00C13C7C">
        <w:t xml:space="preserve">.  The </w:t>
      </w:r>
      <w:r w:rsidR="00523BA5" w:rsidRPr="00C13C7C">
        <w:t>appellant</w:t>
      </w:r>
      <w:r w:rsidRPr="00C13C7C">
        <w:t>s' attacks upon the objectivity of the Panel in evaluating this evidence are completely unfounded and, more broadly, implicate grave systemic concerns about the use of appellate review to re-litigate a panel's findings of fact.</w:t>
      </w:r>
    </w:p>
    <w:p w14:paraId="3AC159DF" w14:textId="18634703" w:rsidR="00B50195" w:rsidRPr="00C13C7C" w:rsidRDefault="003C76FC" w:rsidP="000A5E4B">
      <w:pPr>
        <w:pStyle w:val="Heading1"/>
      </w:pPr>
      <w:r>
        <w:t>THE CONTEXT OF</w:t>
      </w:r>
      <w:r w:rsidR="000A5E4B">
        <w:t xml:space="preserve"> THIS APPEAL</w:t>
      </w:r>
    </w:p>
    <w:p w14:paraId="26A18147" w14:textId="33A7FAEF" w:rsidR="00B50195" w:rsidRPr="00C13C7C" w:rsidRDefault="00B50195" w:rsidP="00A571E6">
      <w:pPr>
        <w:pStyle w:val="WTONumbered"/>
        <w:ind w:left="0" w:firstLine="0"/>
      </w:pPr>
      <w:r w:rsidRPr="00C13C7C">
        <w:t>Australia implemented the TPP measures as the next logical step in its comprehensive approach to tobacco control, on the basis of over three decades of research.  The evidence supporting this decision has been reviewed by pre-eminent bodies such as successive United States Surgeons General, the United States National Cancer Institute, the United States Institute of Medicine, and the WHO</w:t>
      </w:r>
      <w:r w:rsidR="003C76FC">
        <w:t>,</w:t>
      </w:r>
      <w:r w:rsidR="00C13C7C" w:rsidRPr="00C13C7C">
        <w:t xml:space="preserve"> as well as subsequent reviews by</w:t>
      </w:r>
      <w:r w:rsidRPr="00C13C7C">
        <w:t xml:space="preserve"> independent experts commissioned by governments and national courts.  </w:t>
      </w:r>
    </w:p>
    <w:p w14:paraId="1CE93C4A" w14:textId="049138F8" w:rsidR="00B50195" w:rsidRPr="00C13C7C" w:rsidRDefault="00B50195" w:rsidP="00A571E6">
      <w:pPr>
        <w:pStyle w:val="WTONumbered"/>
        <w:ind w:left="0" w:firstLine="0"/>
      </w:pPr>
      <w:r w:rsidRPr="00C13C7C">
        <w:t xml:space="preserve">The evidence overwhelmingly confirmed: (i) the importance to the tobacco industry of recruiting youth and adolescents to sustain their business model; (ii) that the tobacco industry by </w:t>
      </w:r>
      <w:r w:rsidR="003C76FC">
        <w:t>its</w:t>
      </w:r>
      <w:r w:rsidRPr="00C13C7C">
        <w:t xml:space="preserve"> own admission has, over the course of decades, used tobacco packaging as a medium for advertising and pr</w:t>
      </w:r>
      <w:r w:rsidR="00523BA5" w:rsidRPr="00C13C7C">
        <w:t>omoting tobacco products; (iii) </w:t>
      </w:r>
      <w:r w:rsidRPr="00C13C7C">
        <w:t xml:space="preserve">that in a dark market like Australia, where all other forms of tobacco advertising and promotion are banned, the tobacco industry has openly admitted that the tobacco pack operates as a mobile "billboard"; </w:t>
      </w:r>
      <w:r w:rsidR="00523BA5" w:rsidRPr="00C13C7C">
        <w:t xml:space="preserve">and </w:t>
      </w:r>
      <w:r w:rsidRPr="00C13C7C">
        <w:t xml:space="preserve">(iv) </w:t>
      </w:r>
      <w:r w:rsidR="003C76FC">
        <w:t xml:space="preserve">that </w:t>
      </w:r>
      <w:r w:rsidRPr="00C13C7C">
        <w:t xml:space="preserve">the appearance of tobacco packaging, including the appearance of the product itself, is capable of affecting smoking-related behaviours including initiation by young people, cessation and relapse. </w:t>
      </w:r>
    </w:p>
    <w:p w14:paraId="3ABA9EE7" w14:textId="0DAD00AD" w:rsidR="00B50195" w:rsidRPr="00C13C7C" w:rsidRDefault="00B50195" w:rsidP="00A571E6">
      <w:pPr>
        <w:pStyle w:val="WTONumbered"/>
        <w:ind w:left="0" w:firstLine="0"/>
      </w:pPr>
      <w:r w:rsidRPr="00C13C7C">
        <w:t xml:space="preserve">The complainants came to the </w:t>
      </w:r>
      <w:r w:rsidR="00504B61">
        <w:t>p</w:t>
      </w:r>
      <w:r w:rsidRPr="00C13C7C">
        <w:t>anel proceedings in full knowledge of these conclusive findings</w:t>
      </w:r>
      <w:r w:rsidR="00DA39CA">
        <w:t>.  They therefore</w:t>
      </w:r>
      <w:r w:rsidRPr="00C13C7C">
        <w:t xml:space="preserve"> assumed the burden of demonstrating a series of </w:t>
      </w:r>
      <w:r w:rsidRPr="00DA39CA">
        <w:rPr>
          <w:i/>
        </w:rPr>
        <w:t>counter-intuitive</w:t>
      </w:r>
      <w:r w:rsidRPr="00C13C7C">
        <w:t xml:space="preserve"> propositions in an attempt to establish that the TPP measures are not "apt"</w:t>
      </w:r>
      <w:r w:rsidR="00523BA5" w:rsidRPr="00C13C7C">
        <w:t xml:space="preserve"> to contribute to </w:t>
      </w:r>
      <w:r w:rsidR="00DA39CA">
        <w:t xml:space="preserve">Australia's </w:t>
      </w:r>
      <w:r w:rsidR="00523BA5" w:rsidRPr="00C13C7C">
        <w:t>objective</w:t>
      </w:r>
      <w:r w:rsidRPr="00C13C7C">
        <w:t xml:space="preserve">.  The complainants first made these arguments by attacking the extensive </w:t>
      </w:r>
      <w:r w:rsidRPr="00C13C7C">
        <w:rPr>
          <w:i/>
        </w:rPr>
        <w:t>qualitative</w:t>
      </w:r>
      <w:r w:rsidRPr="00C13C7C">
        <w:t xml:space="preserve"> evidence before the Panel</w:t>
      </w:r>
      <w:r w:rsidR="00523BA5" w:rsidRPr="00C13C7C">
        <w:t>,</w:t>
      </w:r>
      <w:r w:rsidRPr="00C13C7C">
        <w:t xml:space="preserve"> arguing</w:t>
      </w:r>
      <w:r w:rsidR="003C76FC">
        <w:t xml:space="preserve"> that</w:t>
      </w:r>
      <w:r w:rsidRPr="00C13C7C">
        <w:t xml:space="preserve">: </w:t>
      </w:r>
    </w:p>
    <w:p w14:paraId="246ECA5A" w14:textId="753AE634" w:rsidR="00B50195" w:rsidRPr="00C13C7C" w:rsidRDefault="00B50195" w:rsidP="00AC3698">
      <w:pPr>
        <w:pStyle w:val="ListBullet"/>
      </w:pPr>
      <w:r w:rsidRPr="00C13C7C">
        <w:t xml:space="preserve">the pre-implementation evidence, </w:t>
      </w:r>
      <w:r w:rsidR="003C76FC">
        <w:t>as contained in numerous studies published in peer-reviewed journals</w:t>
      </w:r>
      <w:r w:rsidRPr="00C13C7C">
        <w:t>, was not of "a quality or methodological rigour" sufficient to provide a reliable basis for implementing the TPP measure</w:t>
      </w:r>
      <w:r w:rsidR="00523BA5" w:rsidRPr="00C13C7C">
        <w:t>s</w:t>
      </w:r>
      <w:r w:rsidRPr="00C13C7C">
        <w:t xml:space="preserve">; </w:t>
      </w:r>
    </w:p>
    <w:p w14:paraId="4955AEA5" w14:textId="0F715441" w:rsidR="00B50195" w:rsidRPr="00C13C7C" w:rsidRDefault="003C76FC" w:rsidP="00AC3698">
      <w:pPr>
        <w:pStyle w:val="ListBullet"/>
      </w:pPr>
      <w:r>
        <w:lastRenderedPageBreak/>
        <w:t xml:space="preserve">tobacco </w:t>
      </w:r>
      <w:r w:rsidR="00B50195" w:rsidRPr="00C13C7C">
        <w:t xml:space="preserve">packaging is </w:t>
      </w:r>
      <w:r w:rsidR="00B50195" w:rsidRPr="00C13C7C">
        <w:rPr>
          <w:i/>
        </w:rPr>
        <w:t>not</w:t>
      </w:r>
      <w:r w:rsidR="00B50195" w:rsidRPr="00C13C7C">
        <w:t xml:space="preserve"> a form of advertising or promotion, despite tobacco industry documents confirming that it is</w:t>
      </w:r>
      <w:r w:rsidR="00523BA5" w:rsidRPr="00C13C7C">
        <w:t>,</w:t>
      </w:r>
      <w:r w:rsidR="00B50195" w:rsidRPr="00C13C7C">
        <w:t xml:space="preserve"> and has been used as such over decades;</w:t>
      </w:r>
    </w:p>
    <w:p w14:paraId="7719C282" w14:textId="77777777" w:rsidR="00B50195" w:rsidRPr="00C13C7C" w:rsidRDefault="00B50195" w:rsidP="00AC3698">
      <w:pPr>
        <w:pStyle w:val="ListBullet"/>
      </w:pPr>
      <w:r w:rsidRPr="00C13C7C">
        <w:t xml:space="preserve">even if tobacco packaging </w:t>
      </w:r>
      <w:r w:rsidRPr="00C13C7C">
        <w:rPr>
          <w:i/>
        </w:rPr>
        <w:t>is</w:t>
      </w:r>
      <w:r w:rsidRPr="00C13C7C">
        <w:t xml:space="preserve"> a form of advertising or promotion, it cannot serve this function in the context of Australia's dark market; and </w:t>
      </w:r>
    </w:p>
    <w:p w14:paraId="3247FBE0" w14:textId="77777777" w:rsidR="00B50195" w:rsidRPr="00C13C7C" w:rsidRDefault="00B50195" w:rsidP="00AC3698">
      <w:pPr>
        <w:pStyle w:val="ListBullet"/>
      </w:pPr>
      <w:r w:rsidRPr="00C13C7C">
        <w:t xml:space="preserve">even if branding on tobacco packaging influences consumer behaviour, this influence is limited to </w:t>
      </w:r>
      <w:r w:rsidRPr="00C13C7C">
        <w:rPr>
          <w:i/>
        </w:rPr>
        <w:t>existing</w:t>
      </w:r>
      <w:r w:rsidRPr="00C13C7C">
        <w:t xml:space="preserve"> consumers' choices to smoke one brand over another (secondary demand) as opposed to attracting </w:t>
      </w:r>
      <w:r w:rsidRPr="00C13C7C">
        <w:rPr>
          <w:i/>
        </w:rPr>
        <w:t xml:space="preserve">new </w:t>
      </w:r>
      <w:r w:rsidRPr="00C13C7C">
        <w:t>smokers to initiate smoking (primary demand).</w:t>
      </w:r>
    </w:p>
    <w:p w14:paraId="0E968397" w14:textId="4490BF5A" w:rsidR="00B50195" w:rsidRPr="00C13C7C" w:rsidRDefault="00B50195" w:rsidP="00830DDB">
      <w:pPr>
        <w:pStyle w:val="WTONumbered"/>
        <w:ind w:left="0" w:firstLine="0"/>
      </w:pPr>
      <w:r w:rsidRPr="00C13C7C">
        <w:t>Perhaps recognising that these arguments would not be sufficient to discharge their burden in the face of the clear qualitative evidence supporting tobacco plain packaging, the complainants contended that the TPP measures could only be conside</w:t>
      </w:r>
      <w:r w:rsidR="003C76FC">
        <w:t>red capable of contri</w:t>
      </w:r>
      <w:r w:rsidR="00504B61">
        <w:t>buting to Australia's objective</w:t>
      </w:r>
      <w:r w:rsidR="003C76FC">
        <w:t xml:space="preserve"> if they</w:t>
      </w:r>
      <w:r w:rsidRPr="00C13C7C">
        <w:t xml:space="preserve"> had made a </w:t>
      </w:r>
      <w:r w:rsidRPr="00C13C7C">
        <w:rPr>
          <w:i/>
        </w:rPr>
        <w:t>quantifiable</w:t>
      </w:r>
      <w:r w:rsidR="003C76FC">
        <w:t xml:space="preserve"> contribution to this objective</w:t>
      </w:r>
      <w:r w:rsidRPr="00C13C7C">
        <w:t xml:space="preserve"> in the limited period since </w:t>
      </w:r>
      <w:r w:rsidR="003C76FC">
        <w:t>their</w:t>
      </w:r>
      <w:r w:rsidRPr="00C13C7C">
        <w:t xml:space="preserve"> implementation.  To this end, the complainants sought to shift the focus of the dispute away from the design, structure, and operation of the </w:t>
      </w:r>
      <w:r w:rsidR="00504B61">
        <w:t xml:space="preserve">TPP </w:t>
      </w:r>
      <w:r w:rsidRPr="00C13C7C">
        <w:t>measure</w:t>
      </w:r>
      <w:r w:rsidR="00523BA5" w:rsidRPr="00C13C7C">
        <w:t>s</w:t>
      </w:r>
      <w:r w:rsidRPr="00C13C7C">
        <w:t xml:space="preserve"> and toward complex econometric and statistical analyses of data gathered in the short period of time following the implementation of the </w:t>
      </w:r>
      <w:r w:rsidR="00830DDB">
        <w:t>measures in December 2012.  The </w:t>
      </w:r>
      <w:r w:rsidRPr="00C13C7C">
        <w:t xml:space="preserve">complainants' approach to these analyses evolved over the course of the proceedings, with new theories being presented to the Panel to substitute </w:t>
      </w:r>
      <w:r w:rsidR="003C76FC">
        <w:t>for those Australia had refuted.</w:t>
      </w:r>
      <w:r w:rsidRPr="00C13C7C">
        <w:t xml:space="preserve">  </w:t>
      </w:r>
    </w:p>
    <w:p w14:paraId="04E65215" w14:textId="41884D20" w:rsidR="00B50195" w:rsidRPr="00C13C7C" w:rsidRDefault="003C76FC" w:rsidP="00A571E6">
      <w:pPr>
        <w:pStyle w:val="WTONumbered"/>
        <w:ind w:left="0" w:firstLine="0"/>
      </w:pPr>
      <w:r>
        <w:t>T</w:t>
      </w:r>
      <w:r w:rsidR="00B50195" w:rsidRPr="00C13C7C">
        <w:t>he complainants first argued that the TPP measure</w:t>
      </w:r>
      <w:r w:rsidR="00523BA5" w:rsidRPr="00C13C7C">
        <w:t>s</w:t>
      </w:r>
      <w:r w:rsidR="00B50195" w:rsidRPr="00C13C7C">
        <w:t xml:space="preserve"> had "backfired" </w:t>
      </w:r>
      <w:r>
        <w:t>by causing</w:t>
      </w:r>
      <w:r w:rsidR="00B50195" w:rsidRPr="00C13C7C">
        <w:t xml:space="preserve"> an </w:t>
      </w:r>
      <w:r w:rsidR="00B50195" w:rsidRPr="00C13C7C">
        <w:rPr>
          <w:i/>
        </w:rPr>
        <w:t xml:space="preserve">increase </w:t>
      </w:r>
      <w:r w:rsidR="00B50195" w:rsidRPr="00C13C7C">
        <w:t>in</w:t>
      </w:r>
      <w:r w:rsidR="00B50195" w:rsidRPr="00C13C7C">
        <w:rPr>
          <w:i/>
        </w:rPr>
        <w:t xml:space="preserve"> </w:t>
      </w:r>
      <w:r w:rsidR="00B50195" w:rsidRPr="00C13C7C">
        <w:t xml:space="preserve">the proportion of the population who smoke (prevalence) and total cigarette sales volumes (consumption).  In the face of corrective analyses by Australia's experts, this line of argument was not pursued by the complainants in later stages of the proceedings.  </w:t>
      </w:r>
      <w:r>
        <w:t>T</w:t>
      </w:r>
      <w:r w:rsidR="00B50195" w:rsidRPr="00C13C7C">
        <w:t xml:space="preserve">he complainants then pivoted to argue that the econometric evidence submitted by their experts proved definitively that </w:t>
      </w:r>
      <w:r w:rsidR="00B50195" w:rsidRPr="00A571E6">
        <w:rPr>
          <w:i/>
        </w:rPr>
        <w:t>no part</w:t>
      </w:r>
      <w:r w:rsidR="00B50195" w:rsidRPr="00C13C7C">
        <w:t xml:space="preserve"> of the observed declines in prevalence and consumption could be </w:t>
      </w:r>
      <w:r w:rsidR="00B50195" w:rsidRPr="00A571E6">
        <w:rPr>
          <w:i/>
        </w:rPr>
        <w:t>attributed</w:t>
      </w:r>
      <w:r>
        <w:t xml:space="preserve"> to the measure</w:t>
      </w:r>
      <w:r w:rsidR="00B50195" w:rsidRPr="00C13C7C">
        <w:t>s</w:t>
      </w:r>
      <w:r>
        <w:t>'</w:t>
      </w:r>
      <w:r w:rsidR="00B50195" w:rsidRPr="00C13C7C">
        <w:t xml:space="preserve"> effects.  </w:t>
      </w:r>
    </w:p>
    <w:p w14:paraId="12E79971" w14:textId="7477D2C7" w:rsidR="00B50195" w:rsidRPr="00C13C7C" w:rsidRDefault="003C76FC" w:rsidP="00A571E6">
      <w:pPr>
        <w:pStyle w:val="WTONumbered"/>
        <w:ind w:left="0" w:firstLine="0"/>
      </w:pPr>
      <w:r>
        <w:t xml:space="preserve">Based on </w:t>
      </w:r>
      <w:r w:rsidR="00B50195" w:rsidRPr="00C13C7C">
        <w:t>its thorough assessment of the</w:t>
      </w:r>
      <w:r w:rsidR="00C13C7C" w:rsidRPr="00C13C7C">
        <w:t>se</w:t>
      </w:r>
      <w:r w:rsidR="00B50195" w:rsidRPr="00C13C7C">
        <w:t xml:space="preserve"> arguments, the Panel concluded that the complainants had failed to </w:t>
      </w:r>
      <w:r>
        <w:t>discharge</w:t>
      </w:r>
      <w:r w:rsidR="00B50195" w:rsidRPr="00C13C7C">
        <w:t xml:space="preserve"> their burden </w:t>
      </w:r>
      <w:r>
        <w:t>of proving</w:t>
      </w:r>
      <w:r w:rsidR="00B50195" w:rsidRPr="00C13C7C">
        <w:t xml:space="preserve"> that the TPP measures are not capable of contributing </w:t>
      </w:r>
      <w:r>
        <w:t>to Australia's objective</w:t>
      </w:r>
      <w:r w:rsidR="00B50195" w:rsidRPr="00C13C7C">
        <w:t xml:space="preserve">.  </w:t>
      </w:r>
    </w:p>
    <w:p w14:paraId="59F6452A" w14:textId="6AA78981" w:rsidR="00B50195" w:rsidRPr="00C13C7C" w:rsidRDefault="00B50195" w:rsidP="00A571E6">
      <w:pPr>
        <w:pStyle w:val="WTONumbered"/>
        <w:ind w:left="0" w:firstLine="0"/>
      </w:pPr>
      <w:r w:rsidRPr="00C13C7C">
        <w:t>With respect to the pre-impl</w:t>
      </w:r>
      <w:r w:rsidR="00523BA5" w:rsidRPr="00C13C7C">
        <w:t>ementation evidence, the Panel engaged in a</w:t>
      </w:r>
      <w:r w:rsidRPr="00C13C7C">
        <w:t xml:space="preserve"> detailed review of this evidence</w:t>
      </w:r>
      <w:r w:rsidR="00523BA5" w:rsidRPr="00C13C7C">
        <w:t xml:space="preserve"> over the course of 100 pages</w:t>
      </w:r>
      <w:r w:rsidRPr="00C13C7C">
        <w:t xml:space="preserve">, and concluded that the complainants had: </w:t>
      </w:r>
    </w:p>
    <w:p w14:paraId="57C8302D" w14:textId="57356D40" w:rsidR="00B50195" w:rsidRPr="00C13C7C" w:rsidRDefault="00B50195" w:rsidP="00AC3698">
      <w:pPr>
        <w:pStyle w:val="ListBullet"/>
      </w:pPr>
      <w:r w:rsidRPr="00C13C7C">
        <w:t xml:space="preserve">failed to demonstrate that the pre-implementation </w:t>
      </w:r>
      <w:r w:rsidR="00523BA5" w:rsidRPr="00C13C7C">
        <w:t xml:space="preserve">evidence </w:t>
      </w:r>
      <w:r w:rsidRPr="00C13C7C">
        <w:t xml:space="preserve">was </w:t>
      </w:r>
      <w:r w:rsidR="003C76FC">
        <w:t xml:space="preserve">so </w:t>
      </w:r>
      <w:r w:rsidRPr="00C13C7C">
        <w:t xml:space="preserve">fundamentally flawed as to provide </w:t>
      </w:r>
      <w:r w:rsidR="00523BA5" w:rsidRPr="00C13C7C">
        <w:rPr>
          <w:i/>
        </w:rPr>
        <w:t>no</w:t>
      </w:r>
      <w:r w:rsidRPr="00C13C7C">
        <w:t xml:space="preserve"> support for the operation of the TPP measures;</w:t>
      </w:r>
    </w:p>
    <w:p w14:paraId="35ED18F9" w14:textId="77777777" w:rsidR="00B50195" w:rsidRPr="00C13C7C" w:rsidRDefault="00B50195" w:rsidP="00AC3698">
      <w:pPr>
        <w:pStyle w:val="ListBullet"/>
      </w:pPr>
      <w:r w:rsidRPr="00C13C7C">
        <w:t xml:space="preserve">failed to persuade the Panel that tobacco packaging has </w:t>
      </w:r>
      <w:r w:rsidRPr="00C13C7C">
        <w:rPr>
          <w:i/>
        </w:rPr>
        <w:t>no</w:t>
      </w:r>
      <w:r w:rsidRPr="00C13C7C">
        <w:t xml:space="preserve"> influence on smoking behaviours, particularly in a dark market like Australia; </w:t>
      </w:r>
    </w:p>
    <w:p w14:paraId="63E3CE23" w14:textId="77777777" w:rsidR="00B50195" w:rsidRPr="00C13C7C" w:rsidRDefault="00B50195" w:rsidP="00AC3698">
      <w:pPr>
        <w:pStyle w:val="ListBullet"/>
      </w:pPr>
      <w:r w:rsidRPr="00C13C7C">
        <w:lastRenderedPageBreak/>
        <w:t>failed to persuade the Panel that the effects of branding on tobacco packaging are limited to secondary demand, to the exclusion of primary demand for such products;</w:t>
      </w:r>
    </w:p>
    <w:p w14:paraId="35681212" w14:textId="40FFA5DE" w:rsidR="00B50195" w:rsidRPr="00C13C7C" w:rsidRDefault="00B50195" w:rsidP="00AC3698">
      <w:pPr>
        <w:pStyle w:val="ListBullet"/>
      </w:pPr>
      <w:r w:rsidRPr="00C13C7C">
        <w:t xml:space="preserve">failed to demonstrate that the TPP measures would not be capable of reducing </w:t>
      </w:r>
      <w:r w:rsidR="00DA39CA">
        <w:t xml:space="preserve">the </w:t>
      </w:r>
      <w:r w:rsidRPr="00C13C7C">
        <w:t>appeal of tobacco products and, consequently, affect smoking behaviours;</w:t>
      </w:r>
    </w:p>
    <w:p w14:paraId="748A11F4" w14:textId="6B6BD9CE" w:rsidR="00B50195" w:rsidRPr="00C13C7C" w:rsidRDefault="00B50195" w:rsidP="00AC3698">
      <w:pPr>
        <w:pStyle w:val="ListBullet"/>
      </w:pPr>
      <w:r w:rsidRPr="00C13C7C">
        <w:t>failed to demonstrate that existing levels of health knowledge a</w:t>
      </w:r>
      <w:r w:rsidR="003C76FC">
        <w:t>nd risk awareness in Australia we</w:t>
      </w:r>
      <w:r w:rsidRPr="00C13C7C">
        <w:t xml:space="preserve">re such that they could not be increased by enhancing the effectiveness of </w:t>
      </w:r>
      <w:r w:rsidR="003C76FC">
        <w:t>graphic health warnings ("</w:t>
      </w:r>
      <w:r w:rsidRPr="00C13C7C">
        <w:t>GHWs</w:t>
      </w:r>
      <w:r w:rsidR="003C76FC">
        <w:t>")</w:t>
      </w:r>
      <w:r w:rsidRPr="00C13C7C">
        <w:t xml:space="preserve"> and, consequently, affect smoking behaviours;</w:t>
      </w:r>
      <w:r w:rsidR="003C76FC">
        <w:t xml:space="preserve"> and</w:t>
      </w:r>
    </w:p>
    <w:p w14:paraId="6FDFC08A" w14:textId="77777777" w:rsidR="00B50195" w:rsidRPr="00C13C7C" w:rsidRDefault="00B50195" w:rsidP="00AC3698">
      <w:pPr>
        <w:pStyle w:val="ListBullet"/>
      </w:pPr>
      <w:r w:rsidRPr="00C13C7C">
        <w:t xml:space="preserve">failed to demonstrate that the TPP measures, by design, would not be capable of reducing the ability of tobacco packaging to mislead consumers and, consequently, affect smoking behaviours. </w:t>
      </w:r>
    </w:p>
    <w:p w14:paraId="75EA548F" w14:textId="56E83B89" w:rsidR="00B50195" w:rsidRPr="00C13C7C" w:rsidRDefault="00B50195" w:rsidP="00A571E6">
      <w:pPr>
        <w:pStyle w:val="WTONumbered"/>
        <w:ind w:left="0" w:firstLine="0"/>
      </w:pPr>
      <w:r w:rsidRPr="00C13C7C">
        <w:t>The Panel likewise engaged in lengthy</w:t>
      </w:r>
      <w:r w:rsidR="003C76FC">
        <w:t xml:space="preserve"> </w:t>
      </w:r>
      <w:r w:rsidRPr="00C13C7C">
        <w:t>ana</w:t>
      </w:r>
      <w:r w:rsidR="00830DDB">
        <w:t>lyses of the complainants' post</w:t>
      </w:r>
      <w:r w:rsidR="00830DDB">
        <w:noBreakHyphen/>
      </w:r>
      <w:r w:rsidRPr="00C13C7C">
        <w:t xml:space="preserve">implementation evidence, as well as the associated rebuttal evidence submitted by Australia, detailing its findings in four separate appendices.  Ultimately, the Panel considered that the evidence relating to the post-implementation </w:t>
      </w:r>
      <w:r w:rsidRPr="00C13C7C">
        <w:rPr>
          <w:i/>
        </w:rPr>
        <w:t>quantitative</w:t>
      </w:r>
      <w:r w:rsidRPr="00C13C7C">
        <w:t xml:space="preserve"> evidence supported its overall conclusion that the </w:t>
      </w:r>
      <w:r w:rsidR="003C76FC">
        <w:t xml:space="preserve">complainants had failed to demonstrate that the </w:t>
      </w:r>
      <w:r w:rsidRPr="00C13C7C">
        <w:t>TPP measure</w:t>
      </w:r>
      <w:r w:rsidR="00523BA5" w:rsidRPr="00C13C7C">
        <w:t>s are</w:t>
      </w:r>
      <w:r w:rsidRPr="00C13C7C">
        <w:t xml:space="preserve"> </w:t>
      </w:r>
      <w:r w:rsidR="003C76FC">
        <w:t xml:space="preserve">not </w:t>
      </w:r>
      <w:r w:rsidRPr="00C13C7C">
        <w:t xml:space="preserve">apt to contribute to </w:t>
      </w:r>
      <w:r w:rsidR="003C76FC">
        <w:t>Australia's objective</w:t>
      </w:r>
      <w:r w:rsidRPr="00C13C7C">
        <w:t xml:space="preserve">, finding in particular that: </w:t>
      </w:r>
    </w:p>
    <w:p w14:paraId="39BAD77A" w14:textId="4CE4643A" w:rsidR="00B50195" w:rsidRPr="00C13C7C" w:rsidRDefault="00B50195" w:rsidP="00AC3698">
      <w:pPr>
        <w:pStyle w:val="ListBullet"/>
      </w:pPr>
      <w:r w:rsidRPr="00C13C7C">
        <w:t>the post-implementation evidence suggests that the introduction of tobacco plain packaging "has in fact, reduced the appeal of tobacco products, as anticipated" and suggests that plain packaging has "had some impact on the effectiveness of GHWs"</w:t>
      </w:r>
      <w:r w:rsidR="00DA39CA">
        <w:t>;</w:t>
      </w:r>
      <w:r w:rsidR="003C76FC">
        <w:rPr>
          <w:rStyle w:val="FootnoteReference"/>
        </w:rPr>
        <w:footnoteReference w:id="5"/>
      </w:r>
      <w:r w:rsidR="00DA39CA">
        <w:t xml:space="preserve"> and</w:t>
      </w:r>
      <w:r w:rsidRPr="00C13C7C">
        <w:t xml:space="preserve">  </w:t>
      </w:r>
    </w:p>
    <w:p w14:paraId="4FE941F4" w14:textId="131F4AC1" w:rsidR="00B50195" w:rsidRPr="00C13C7C" w:rsidRDefault="00B50195" w:rsidP="00AC3698">
      <w:pPr>
        <w:pStyle w:val="ListBullet"/>
      </w:pPr>
      <w:r w:rsidRPr="00C13C7C">
        <w:t>the post-implementation evidence on smoking behaviours "is consistent with a finding that the TPP measures contribute to a reduction in the use of tobacco products".</w:t>
      </w:r>
      <w:r w:rsidRPr="00C13C7C">
        <w:rPr>
          <w:sz w:val="22"/>
          <w:szCs w:val="22"/>
          <w:vertAlign w:val="superscript"/>
        </w:rPr>
        <w:footnoteReference w:id="6"/>
      </w:r>
    </w:p>
    <w:p w14:paraId="4294174A" w14:textId="48A61976" w:rsidR="00B50195" w:rsidRPr="00C13C7C" w:rsidRDefault="00B50195" w:rsidP="00A571E6">
      <w:pPr>
        <w:pStyle w:val="WTONumbered"/>
        <w:ind w:left="0" w:firstLine="0"/>
      </w:pPr>
      <w:r w:rsidRPr="00C13C7C">
        <w:t xml:space="preserve">Despite the inordinate amount of time and number of expert reports the complainants devoted to contesting these issues during the </w:t>
      </w:r>
      <w:r w:rsidR="00504B61">
        <w:t>p</w:t>
      </w:r>
      <w:r w:rsidRPr="00C13C7C">
        <w:t xml:space="preserve">anel proceedings, the appellants now appear to concede many of these points, which only highlights the hollowness of their case.  In particular, the </w:t>
      </w:r>
      <w:r w:rsidRPr="00C13C7C">
        <w:rPr>
          <w:u w:val="single"/>
        </w:rPr>
        <w:t>appellants appear to have conceded</w:t>
      </w:r>
      <w:r w:rsidRPr="00C13C7C">
        <w:t xml:space="preserve"> that: </w:t>
      </w:r>
    </w:p>
    <w:p w14:paraId="464E5011" w14:textId="75907155" w:rsidR="00B50195" w:rsidRPr="00C13C7C" w:rsidRDefault="00B50195" w:rsidP="00AC3698">
      <w:pPr>
        <w:pStyle w:val="ListBullet"/>
      </w:pPr>
      <w:r w:rsidRPr="00C13C7C">
        <w:t xml:space="preserve">packaging </w:t>
      </w:r>
      <w:r w:rsidRPr="00C13C7C">
        <w:rPr>
          <w:i/>
        </w:rPr>
        <w:t>does</w:t>
      </w:r>
      <w:r w:rsidRPr="00C13C7C">
        <w:t xml:space="preserve"> function as advertising and promotion, and operates to sustain primary demand for tobacco products to replac</w:t>
      </w:r>
      <w:r w:rsidR="003C76FC">
        <w:t>e those smokers who quit or die;</w:t>
      </w:r>
      <w:r w:rsidRPr="00C13C7C">
        <w:t xml:space="preserve">  </w:t>
      </w:r>
    </w:p>
    <w:p w14:paraId="45628261" w14:textId="489EFE9C" w:rsidR="00B50195" w:rsidRPr="00C13C7C" w:rsidRDefault="00B50195" w:rsidP="00AC3698">
      <w:pPr>
        <w:pStyle w:val="ListBullet"/>
      </w:pPr>
      <w:r w:rsidRPr="00C13C7C">
        <w:t>tobacco plain packaging affects consumer behaviour</w:t>
      </w:r>
      <w:r w:rsidR="003C76FC">
        <w:t>;</w:t>
      </w:r>
      <w:r w:rsidRPr="00C13C7C">
        <w:t xml:space="preserve"> </w:t>
      </w:r>
    </w:p>
    <w:p w14:paraId="6F3093C9" w14:textId="3274F8C5" w:rsidR="00B50195" w:rsidRPr="00C13C7C" w:rsidRDefault="00B50195" w:rsidP="00AC3698">
      <w:pPr>
        <w:pStyle w:val="ListBullet"/>
      </w:pPr>
      <w:r w:rsidRPr="00C13C7C">
        <w:lastRenderedPageBreak/>
        <w:t xml:space="preserve">tobacco plain packaging has reduced the appeal of tobacco products and increased the effectiveness of </w:t>
      </w:r>
      <w:r w:rsidR="003C76FC">
        <w:t>GHWs</w:t>
      </w:r>
      <w:r w:rsidRPr="00C13C7C">
        <w:t xml:space="preserve"> in pre</w:t>
      </w:r>
      <w:r w:rsidR="003C76FC">
        <w:t>cisely the manner intended; and</w:t>
      </w:r>
      <w:r w:rsidRPr="00C13C7C">
        <w:t xml:space="preserve"> </w:t>
      </w:r>
    </w:p>
    <w:p w14:paraId="35A269FA" w14:textId="4C787AED" w:rsidR="00B50195" w:rsidRPr="00C13C7C" w:rsidRDefault="00B50195" w:rsidP="00AC3698">
      <w:pPr>
        <w:pStyle w:val="ListBullet"/>
      </w:pPr>
      <w:r w:rsidRPr="00C13C7C">
        <w:t>the TPP measures have</w:t>
      </w:r>
      <w:r w:rsidR="00C13C7C">
        <w:t xml:space="preserve"> not backfired,</w:t>
      </w:r>
      <w:r w:rsidRPr="00C13C7C">
        <w:t xml:space="preserve"> and that rates of prevalence and consumption in Australia continued to </w:t>
      </w:r>
      <w:r w:rsidRPr="00C13C7C">
        <w:rPr>
          <w:i/>
        </w:rPr>
        <w:t>decline</w:t>
      </w:r>
      <w:r w:rsidRPr="00C13C7C">
        <w:t xml:space="preserve"> following the implementation of the measures.</w:t>
      </w:r>
    </w:p>
    <w:p w14:paraId="32C85B23" w14:textId="038F18E9" w:rsidR="00B50195" w:rsidRPr="00C13C7C" w:rsidRDefault="00B50195" w:rsidP="00A571E6">
      <w:pPr>
        <w:pStyle w:val="WTONumbered"/>
        <w:ind w:left="0" w:firstLine="0"/>
      </w:pPr>
      <w:r w:rsidRPr="00C13C7C">
        <w:t xml:space="preserve">Based on these uncontested findings of the Panel, it is clear and obvious that </w:t>
      </w:r>
      <w:r w:rsidRPr="00C13C7C">
        <w:rPr>
          <w:i/>
        </w:rPr>
        <w:t xml:space="preserve">the </w:t>
      </w:r>
      <w:r w:rsidR="00A571E6">
        <w:rPr>
          <w:i/>
        </w:rPr>
        <w:t>TPP</w:t>
      </w:r>
      <w:r w:rsidRPr="00C13C7C">
        <w:rPr>
          <w:i/>
        </w:rPr>
        <w:t xml:space="preserve"> measure</w:t>
      </w:r>
      <w:r w:rsidR="00523BA5" w:rsidRPr="00C13C7C">
        <w:rPr>
          <w:i/>
        </w:rPr>
        <w:t>s are</w:t>
      </w:r>
      <w:r w:rsidRPr="00C13C7C">
        <w:rPr>
          <w:i/>
        </w:rPr>
        <w:t xml:space="preserve"> capable o</w:t>
      </w:r>
      <w:r w:rsidR="003C76FC">
        <w:rPr>
          <w:i/>
        </w:rPr>
        <w:t>f contributing to Australia's objective</w:t>
      </w:r>
      <w:r w:rsidRPr="00C13C7C">
        <w:t xml:space="preserve">.  </w:t>
      </w:r>
    </w:p>
    <w:p w14:paraId="063ACE16" w14:textId="59B86A53" w:rsidR="000A5E4B" w:rsidRPr="002421A4" w:rsidRDefault="000A5E4B" w:rsidP="000A5E4B">
      <w:pPr>
        <w:pStyle w:val="Heading1"/>
        <w:numPr>
          <w:ilvl w:val="0"/>
          <w:numId w:val="2"/>
        </w:numPr>
        <w:ind w:left="720" w:hanging="720"/>
        <w:jc w:val="both"/>
        <w:rPr>
          <w:rFonts w:cs="Times New Roman"/>
        </w:rPr>
      </w:pPr>
      <w:r>
        <w:rPr>
          <w:rFonts w:cs="Times New Roman"/>
        </w:rPr>
        <w:t xml:space="preserve">CLAIMS UNDER THE TRIPS </w:t>
      </w:r>
      <w:r w:rsidRPr="002421A4">
        <w:rPr>
          <w:rFonts w:cs="Times New Roman"/>
        </w:rPr>
        <w:t>agreement</w:t>
      </w:r>
    </w:p>
    <w:p w14:paraId="1900E26F" w14:textId="77777777" w:rsidR="000A5E4B" w:rsidRPr="002421A4" w:rsidRDefault="000A5E4B" w:rsidP="00A571E6">
      <w:pPr>
        <w:pStyle w:val="WTONumbered"/>
        <w:ind w:left="0" w:firstLine="0"/>
        <w:rPr>
          <w:rFonts w:cs="Times New Roman"/>
        </w:rPr>
      </w:pPr>
      <w:r w:rsidRPr="002421A4">
        <w:rPr>
          <w:rFonts w:cs="Times New Roman"/>
        </w:rPr>
        <w:t xml:space="preserve">The four complainants in the original disputes pursued ten separate claims under the TRIPS Agreement against the TPP measures – all of which the Panel </w:t>
      </w:r>
      <w:r w:rsidRPr="00A571E6">
        <w:t>rejected</w:t>
      </w:r>
      <w:r w:rsidRPr="002421A4">
        <w:rPr>
          <w:rFonts w:cs="Times New Roman"/>
        </w:rPr>
        <w:t xml:space="preserve">.  </w:t>
      </w:r>
    </w:p>
    <w:p w14:paraId="51FB77E4" w14:textId="77777777" w:rsidR="000A5E4B" w:rsidRPr="002421A4" w:rsidRDefault="000A5E4B" w:rsidP="00A571E6">
      <w:pPr>
        <w:pStyle w:val="WTONumbered"/>
        <w:ind w:left="0" w:firstLine="0"/>
        <w:rPr>
          <w:rFonts w:cs="Times New Roman"/>
        </w:rPr>
      </w:pPr>
      <w:r w:rsidRPr="002421A4">
        <w:rPr>
          <w:rFonts w:cs="Times New Roman"/>
        </w:rPr>
        <w:t xml:space="preserve">In its appeal of the Panel Report in DS435, Honduras alleges error by the Panel </w:t>
      </w:r>
      <w:r w:rsidRPr="00A571E6">
        <w:t>in</w:t>
      </w:r>
      <w:r w:rsidRPr="002421A4">
        <w:rPr>
          <w:rFonts w:cs="Times New Roman"/>
        </w:rPr>
        <w:t xml:space="preserve"> respect of only two of these original claims: those under Article 16.1 and Article 20 of the TRIPS Agreement.  The Dominican Republic's arguments on appeal concerning the TRIPS Agreement are limited to certain claims of error under Article 11 of the DSU.</w:t>
      </w:r>
    </w:p>
    <w:p w14:paraId="46715A06" w14:textId="6FB8CCEF" w:rsidR="000A5E4B" w:rsidRPr="002421A4" w:rsidRDefault="000A5E4B" w:rsidP="00A571E6">
      <w:pPr>
        <w:pStyle w:val="WTONumbered"/>
        <w:ind w:left="0" w:firstLine="0"/>
        <w:rPr>
          <w:rFonts w:cs="Times New Roman"/>
        </w:rPr>
      </w:pPr>
      <w:r w:rsidRPr="002421A4">
        <w:rPr>
          <w:rFonts w:cs="Times New Roman"/>
        </w:rPr>
        <w:t>In relation to its claims under Article</w:t>
      </w:r>
      <w:r w:rsidR="00504B61">
        <w:rPr>
          <w:rFonts w:cs="Times New Roman"/>
        </w:rPr>
        <w:t> </w:t>
      </w:r>
      <w:r w:rsidRPr="002421A4">
        <w:rPr>
          <w:rFonts w:cs="Times New Roman"/>
        </w:rPr>
        <w:t>16.1 and Article</w:t>
      </w:r>
      <w:r w:rsidR="00504B61">
        <w:rPr>
          <w:rFonts w:cs="Times New Roman"/>
        </w:rPr>
        <w:t> </w:t>
      </w:r>
      <w:r w:rsidRPr="002421A4">
        <w:rPr>
          <w:rFonts w:cs="Times New Roman"/>
        </w:rPr>
        <w:t xml:space="preserve">20 of the TRIPS Agreement, Honduras's interpretative strategy is unchanged from the </w:t>
      </w:r>
      <w:r w:rsidR="00504B61">
        <w:rPr>
          <w:rFonts w:cs="Times New Roman"/>
        </w:rPr>
        <w:t>p</w:t>
      </w:r>
      <w:r w:rsidRPr="002421A4">
        <w:rPr>
          <w:rFonts w:cs="Times New Roman"/>
        </w:rPr>
        <w:t xml:space="preserve">anel </w:t>
      </w:r>
      <w:r w:rsidRPr="00A571E6">
        <w:t>proceedings</w:t>
      </w:r>
      <w:r w:rsidRPr="002421A4">
        <w:rPr>
          <w:rFonts w:cs="Times New Roman"/>
        </w:rPr>
        <w:t xml:space="preserve">.  Honduras conflates distinct trademark-related provisions in order to contrive support for its overarching and erroneous contention that these provisions confer a "right of use" upon the owners of registered trademarks.  </w:t>
      </w:r>
    </w:p>
    <w:p w14:paraId="05976882" w14:textId="205A98B6" w:rsidR="000A5E4B" w:rsidRPr="002421A4" w:rsidRDefault="000A5E4B" w:rsidP="00A571E6">
      <w:pPr>
        <w:pStyle w:val="WTONumbered"/>
        <w:ind w:left="0" w:firstLine="0"/>
        <w:rPr>
          <w:rFonts w:cs="Times New Roman"/>
          <w:lang w:val="en-US"/>
        </w:rPr>
      </w:pPr>
      <w:r w:rsidRPr="002421A4">
        <w:rPr>
          <w:rFonts w:cs="Times New Roman"/>
        </w:rPr>
        <w:t>With respect to Article</w:t>
      </w:r>
      <w:r w:rsidR="00504B61">
        <w:rPr>
          <w:rFonts w:cs="Times New Roman"/>
        </w:rPr>
        <w:t> </w:t>
      </w:r>
      <w:r w:rsidRPr="002421A4">
        <w:rPr>
          <w:rFonts w:cs="Times New Roman"/>
        </w:rPr>
        <w:t xml:space="preserve">16.1, the </w:t>
      </w:r>
      <w:r w:rsidRPr="002421A4">
        <w:rPr>
          <w:rFonts w:cs="Times New Roman"/>
          <w:lang w:val="en-US"/>
        </w:rPr>
        <w:t xml:space="preserve">Panel properly rejected all of the complainants' claims based on its </w:t>
      </w:r>
      <w:r w:rsidR="007D22CD">
        <w:rPr>
          <w:rFonts w:cs="Times New Roman"/>
          <w:lang w:val="en-US"/>
        </w:rPr>
        <w:t>conclusion</w:t>
      </w:r>
      <w:r w:rsidRPr="002421A4">
        <w:rPr>
          <w:rFonts w:cs="Times New Roman"/>
          <w:lang w:val="en-US"/>
        </w:rPr>
        <w:t xml:space="preserve"> that Article 16.1 "formulates an obligation on Members to provide to the owner of a registered trademark the right to 'stop, or hinder' all those not having the owner's consent from using certain signs on certain goods or services, where such use would result in a likelihood of confusion."</w:t>
      </w:r>
      <w:r w:rsidRPr="002421A4">
        <w:rPr>
          <w:rStyle w:val="FootnoteReference"/>
          <w:rFonts w:cs="Times New Roman"/>
          <w:sz w:val="24"/>
          <w:szCs w:val="24"/>
          <w:lang w:val="en-US"/>
        </w:rPr>
        <w:footnoteReference w:id="7"/>
      </w:r>
      <w:r w:rsidRPr="002421A4">
        <w:rPr>
          <w:rFonts w:cs="Times New Roman"/>
          <w:lang w:val="en-US"/>
        </w:rPr>
        <w:t xml:space="preserve">  </w:t>
      </w:r>
      <w:r>
        <w:rPr>
          <w:rFonts w:cs="Times New Roman"/>
          <w:lang w:val="en-US"/>
        </w:rPr>
        <w:t xml:space="preserve">The Panel found that </w:t>
      </w:r>
      <w:r w:rsidR="00504B61">
        <w:rPr>
          <w:rFonts w:cs="Times New Roman"/>
          <w:lang w:val="en-US"/>
        </w:rPr>
        <w:t>Article </w:t>
      </w:r>
      <w:r w:rsidRPr="002421A4">
        <w:rPr>
          <w:rFonts w:cs="Times New Roman"/>
          <w:lang w:val="en-US"/>
        </w:rPr>
        <w:t>16.1 "does not formulate any other right of the trademark owner, nor does it mention the use of the registered trademark by its owner."</w:t>
      </w:r>
      <w:r w:rsidRPr="002421A4">
        <w:rPr>
          <w:rStyle w:val="FootnoteReference"/>
          <w:rFonts w:cs="Times New Roman"/>
          <w:sz w:val="24"/>
          <w:szCs w:val="24"/>
          <w:lang w:val="en-US"/>
        </w:rPr>
        <w:footnoteReference w:id="8"/>
      </w:r>
      <w:r w:rsidRPr="002421A4">
        <w:rPr>
          <w:rFonts w:cs="Times New Roman"/>
          <w:lang w:val="en-US"/>
        </w:rPr>
        <w:t xml:space="preserve">  </w:t>
      </w:r>
    </w:p>
    <w:p w14:paraId="1C90EBEA" w14:textId="72DA661F" w:rsidR="000A5E4B" w:rsidRPr="002421A4" w:rsidRDefault="000A5E4B" w:rsidP="00A571E6">
      <w:pPr>
        <w:pStyle w:val="WTONumbered"/>
        <w:ind w:left="0" w:firstLine="0"/>
        <w:rPr>
          <w:rFonts w:cs="Times New Roman"/>
          <w:lang w:val="en-US"/>
        </w:rPr>
      </w:pPr>
      <w:r w:rsidRPr="002421A4">
        <w:rPr>
          <w:rFonts w:cs="Times New Roman"/>
          <w:lang w:val="en-US"/>
        </w:rPr>
        <w:t>Honduras insists that its interpretation of Article 16.1 is not based on a "</w:t>
      </w:r>
      <w:r w:rsidRPr="00A571E6">
        <w:t>pos</w:t>
      </w:r>
      <w:r w:rsidR="007D22CD" w:rsidRPr="00A571E6">
        <w:t>itive</w:t>
      </w:r>
      <w:r w:rsidR="007D22CD">
        <w:rPr>
          <w:rFonts w:cs="Times New Roman"/>
          <w:lang w:val="en-US"/>
        </w:rPr>
        <w:t xml:space="preserve"> right to use" a trademark.</w:t>
      </w:r>
      <w:r w:rsidRPr="002421A4">
        <w:rPr>
          <w:rStyle w:val="FootnoteReference"/>
          <w:rFonts w:cs="Times New Roman"/>
          <w:sz w:val="24"/>
          <w:szCs w:val="24"/>
          <w:lang w:val="en-US"/>
        </w:rPr>
        <w:footnoteReference w:id="9"/>
      </w:r>
      <w:r w:rsidRPr="002421A4">
        <w:rPr>
          <w:rFonts w:cs="Times New Roman"/>
          <w:lang w:val="en-US"/>
        </w:rPr>
        <w:t xml:space="preserve">  </w:t>
      </w:r>
      <w:r w:rsidR="007D22CD">
        <w:rPr>
          <w:rFonts w:cs="Times New Roman"/>
          <w:lang w:val="en-US"/>
        </w:rPr>
        <w:t>A</w:t>
      </w:r>
      <w:r w:rsidRPr="002421A4">
        <w:rPr>
          <w:rFonts w:cs="Times New Roman"/>
          <w:lang w:val="en-US"/>
        </w:rPr>
        <w:t>t the same time, Honduras argues that a Member "fails to abide by its commitment to guarantee a minimum level of protection" under Article 16.1 when it adopts a measure that prevents the use of a mark, and thus "has so weakened the mark that almost any claim for infringement will be rejected".</w:t>
      </w:r>
      <w:r w:rsidRPr="002421A4">
        <w:rPr>
          <w:rStyle w:val="FootnoteReference"/>
          <w:rFonts w:cs="Times New Roman"/>
          <w:sz w:val="24"/>
          <w:szCs w:val="24"/>
          <w:lang w:val="en-US"/>
        </w:rPr>
        <w:footnoteReference w:id="10"/>
      </w:r>
      <w:r w:rsidRPr="002421A4">
        <w:rPr>
          <w:rFonts w:cs="Times New Roman"/>
          <w:lang w:val="en-US"/>
        </w:rPr>
        <w:t xml:space="preserve">  </w:t>
      </w:r>
    </w:p>
    <w:p w14:paraId="7EB73BAF" w14:textId="3A2BABC8" w:rsidR="000A5E4B" w:rsidRPr="002421A4" w:rsidRDefault="000A5E4B" w:rsidP="00A571E6">
      <w:pPr>
        <w:pStyle w:val="WTONumbered"/>
        <w:ind w:left="0" w:firstLine="0"/>
        <w:rPr>
          <w:rFonts w:cs="Times New Roman"/>
          <w:lang w:val="en-US"/>
        </w:rPr>
      </w:pPr>
      <w:r w:rsidRPr="002421A4">
        <w:rPr>
          <w:rFonts w:cs="Times New Roman"/>
          <w:lang w:val="en-US"/>
        </w:rPr>
        <w:lastRenderedPageBreak/>
        <w:t xml:space="preserve">In this way, Honduras's appeal of the Panel's interpretation of Article 16.1 is premised on the same fundamental defect as its original arguments before the Panel, and should be rejected by the Appellate Body for </w:t>
      </w:r>
      <w:r w:rsidR="00DA39CA">
        <w:rPr>
          <w:rFonts w:cs="Times New Roman"/>
          <w:lang w:val="en-US"/>
        </w:rPr>
        <w:t>the same reasons</w:t>
      </w:r>
      <w:r>
        <w:rPr>
          <w:rFonts w:cs="Times New Roman"/>
          <w:lang w:val="en-US"/>
        </w:rPr>
        <w:t>.  As the Panel properly found,</w:t>
      </w:r>
      <w:r w:rsidRPr="002421A4">
        <w:rPr>
          <w:rFonts w:cs="Times New Roman"/>
          <w:lang w:val="en-US"/>
        </w:rPr>
        <w:t xml:space="preserve"> nothing in the text of Article 16.1 suggests that Members must "maintain market conditions that would enable the circumstances set out in this provision, including a likelihood of confusion, to actually </w:t>
      </w:r>
      <w:r w:rsidRPr="00A571E6">
        <w:t>occur</w:t>
      </w:r>
      <w:r w:rsidRPr="002421A4">
        <w:rPr>
          <w:rFonts w:cs="Times New Roman"/>
          <w:lang w:val="en-US"/>
        </w:rPr>
        <w:t xml:space="preserve"> in any particular situation.  Rather, Members must ensure that in the event that these circumstances </w:t>
      </w:r>
      <w:r w:rsidRPr="002421A4">
        <w:rPr>
          <w:rFonts w:cs="Times New Roman"/>
          <w:i/>
          <w:lang w:val="en-US"/>
        </w:rPr>
        <w:t>do</w:t>
      </w:r>
      <w:r w:rsidRPr="002421A4">
        <w:rPr>
          <w:rFonts w:cs="Times New Roman"/>
          <w:lang w:val="en-US"/>
        </w:rPr>
        <w:t xml:space="preserve"> arise, a right to prevent such use is provided."</w:t>
      </w:r>
      <w:r w:rsidRPr="002421A4">
        <w:rPr>
          <w:rStyle w:val="FootnoteReference"/>
          <w:rFonts w:cs="Times New Roman"/>
          <w:sz w:val="24"/>
          <w:szCs w:val="24"/>
          <w:lang w:val="en-US"/>
        </w:rPr>
        <w:footnoteReference w:id="11"/>
      </w:r>
      <w:r w:rsidRPr="002421A4">
        <w:rPr>
          <w:rFonts w:cs="Times New Roman"/>
          <w:lang w:val="en-US"/>
        </w:rPr>
        <w:t xml:space="preserve">  </w:t>
      </w:r>
    </w:p>
    <w:p w14:paraId="112D8FFF" w14:textId="15CA425B" w:rsidR="000A5E4B" w:rsidRPr="002421A4" w:rsidRDefault="000A5E4B" w:rsidP="00A571E6">
      <w:pPr>
        <w:pStyle w:val="WTONumbered"/>
        <w:ind w:left="0" w:firstLine="0"/>
        <w:rPr>
          <w:rFonts w:cs="Times New Roman"/>
        </w:rPr>
      </w:pPr>
      <w:r w:rsidRPr="002421A4">
        <w:rPr>
          <w:rFonts w:cs="Times New Roman"/>
        </w:rPr>
        <w:t xml:space="preserve">Honduras's appeal of the Panel's interpretation of Article 20 is divided into two </w:t>
      </w:r>
      <w:r w:rsidRPr="00A571E6">
        <w:t>parts</w:t>
      </w:r>
      <w:r w:rsidRPr="002421A4">
        <w:rPr>
          <w:rFonts w:cs="Times New Roman"/>
        </w:rPr>
        <w:t>.  In its principal appeal, Honduras alleges that "the Panel erred by failing to adopt a trademark-specific approach".</w:t>
      </w:r>
      <w:r w:rsidRPr="002421A4">
        <w:rPr>
          <w:rStyle w:val="FootnoteReference"/>
          <w:rFonts w:cs="Times New Roman"/>
          <w:sz w:val="24"/>
          <w:szCs w:val="24"/>
        </w:rPr>
        <w:footnoteReference w:id="12"/>
      </w:r>
      <w:r w:rsidRPr="002421A4">
        <w:rPr>
          <w:rFonts w:cs="Times New Roman"/>
        </w:rPr>
        <w:t xml:space="preserve">  Honduras's basic contention is that Members may </w:t>
      </w:r>
      <w:r w:rsidRPr="002421A4">
        <w:rPr>
          <w:rFonts w:cs="Times New Roman"/>
          <w:i/>
        </w:rPr>
        <w:t>never</w:t>
      </w:r>
      <w:r w:rsidRPr="002421A4">
        <w:rPr>
          <w:rFonts w:cs="Times New Roman"/>
        </w:rPr>
        <w:t xml:space="preserve"> impose special requirements that encumber the use of trademarks for reasons relating to public health or other public policy considerations, unless the resulting encumbrance is "limited" (a term that does not appear in Article 20) or is "justified by a concern inherent in the particular trademark"</w:t>
      </w:r>
      <w:r w:rsidR="007123E6">
        <w:rPr>
          <w:rFonts w:cs="Times New Roman"/>
        </w:rPr>
        <w:t>,</w:t>
      </w:r>
      <w:r w:rsidRPr="002421A4">
        <w:rPr>
          <w:rFonts w:cs="Times New Roman"/>
        </w:rPr>
        <w:t xml:space="preserve"> such as the types of reasons that would warrant a denial of registration of the trademark in the first instance.</w:t>
      </w:r>
      <w:r w:rsidRPr="002421A4">
        <w:rPr>
          <w:rStyle w:val="FootnoteReference"/>
          <w:rFonts w:cs="Times New Roman"/>
          <w:sz w:val="24"/>
          <w:szCs w:val="24"/>
        </w:rPr>
        <w:footnoteReference w:id="13"/>
      </w:r>
      <w:r w:rsidRPr="002421A4">
        <w:rPr>
          <w:rFonts w:cs="Times New Roman"/>
        </w:rPr>
        <w:t xml:space="preserve">  In Honduras's view, a prohibition on the use of a category of trademarks (such as figurative trademarks) for a particular purpose (such as to prevent the advertising and promotion of tobacco products) is unjustifiable </w:t>
      </w:r>
      <w:r w:rsidRPr="002421A4">
        <w:rPr>
          <w:rFonts w:cs="Times New Roman"/>
          <w:i/>
        </w:rPr>
        <w:t>per se.</w:t>
      </w:r>
    </w:p>
    <w:p w14:paraId="1BF9DE64" w14:textId="1C5CE261" w:rsidR="000A5E4B" w:rsidRPr="002421A4" w:rsidRDefault="000A5E4B" w:rsidP="00A571E6">
      <w:pPr>
        <w:pStyle w:val="WTONumbered"/>
        <w:ind w:left="0" w:firstLine="0"/>
        <w:rPr>
          <w:rFonts w:cs="Times New Roman"/>
        </w:rPr>
      </w:pPr>
      <w:r w:rsidRPr="002421A4">
        <w:rPr>
          <w:rFonts w:cs="Times New Roman"/>
        </w:rPr>
        <w:t>Honduras's extreme interpretation of the term "unjustifiably" finds no support in the ordinary meaning of this term, properly interpreted in its context and in light of the object and purpose of the TRIPS Agreement (or its</w:t>
      </w:r>
      <w:r w:rsidR="00830DDB">
        <w:rPr>
          <w:rFonts w:cs="Times New Roman"/>
        </w:rPr>
        <w:t xml:space="preserve"> negotiating history).  Rather, </w:t>
      </w:r>
      <w:r w:rsidRPr="002421A4">
        <w:rPr>
          <w:rFonts w:cs="Times New Roman"/>
        </w:rPr>
        <w:t>the interpretation of the term "unjustifiably" that Honduras advocates is based on an unfounded attempt to read a "right of use" into Part II, Section 2 of the TRIPS Agreement and to interpret Article 20 of the TRIPS Agreement as a "limited" exception to this "right".  The Panel properly rejected Honduras's interpretative strategy, and so should the Appellate Body.</w:t>
      </w:r>
    </w:p>
    <w:p w14:paraId="5BD55102" w14:textId="77777777" w:rsidR="000A5E4B" w:rsidRPr="002421A4" w:rsidRDefault="000A5E4B" w:rsidP="00A571E6">
      <w:pPr>
        <w:pStyle w:val="WTONumbered"/>
        <w:ind w:left="0" w:firstLine="0"/>
        <w:rPr>
          <w:rFonts w:cs="Times New Roman"/>
        </w:rPr>
      </w:pPr>
      <w:r w:rsidRPr="002421A4">
        <w:rPr>
          <w:rFonts w:cs="Times New Roman"/>
        </w:rPr>
        <w:t>The second part of Honduras's challenge to the Panel's interpretation of Article 20 is formulated "in the alternative" and assumes "</w:t>
      </w:r>
      <w:r w:rsidRPr="002421A4">
        <w:rPr>
          <w:rFonts w:cs="Times New Roman"/>
          <w:i/>
        </w:rPr>
        <w:t>arguendo</w:t>
      </w:r>
      <w:r w:rsidRPr="002421A4">
        <w:rPr>
          <w:rFonts w:cs="Times New Roman"/>
        </w:rPr>
        <w:t xml:space="preserve"> that the Panel is correct that the term 'unjustifiably' in Article 20 stands for a more broadly applicable policy exception."</w:t>
      </w:r>
      <w:r w:rsidRPr="002421A4">
        <w:rPr>
          <w:rStyle w:val="FootnoteReference"/>
          <w:rFonts w:cs="Times New Roman"/>
          <w:sz w:val="24"/>
          <w:szCs w:val="24"/>
        </w:rPr>
        <w:footnoteReference w:id="14"/>
      </w:r>
      <w:r w:rsidRPr="002421A4">
        <w:rPr>
          <w:rFonts w:cs="Times New Roman"/>
        </w:rPr>
        <w:t xml:space="preserve">  In that event, Honduras argues that the Panel erred by not interpreting the term "unjustifiably" "as requiring that less trademark encumbering alternative measures that provide an equivalent </w:t>
      </w:r>
      <w:r w:rsidRPr="00A571E6">
        <w:t>contribution</w:t>
      </w:r>
      <w:r w:rsidRPr="002421A4">
        <w:rPr>
          <w:rFonts w:cs="Times New Roman"/>
        </w:rPr>
        <w:t xml:space="preserve"> be preferred."</w:t>
      </w:r>
      <w:r w:rsidRPr="002421A4">
        <w:rPr>
          <w:rStyle w:val="FootnoteReference"/>
          <w:rFonts w:cs="Times New Roman"/>
          <w:sz w:val="24"/>
          <w:szCs w:val="24"/>
        </w:rPr>
        <w:footnoteReference w:id="15"/>
      </w:r>
    </w:p>
    <w:p w14:paraId="219199C9" w14:textId="10B171BB" w:rsidR="000A5E4B" w:rsidRPr="002421A4" w:rsidRDefault="000A5E4B" w:rsidP="00A571E6">
      <w:pPr>
        <w:pStyle w:val="WTONumbered"/>
        <w:ind w:left="0" w:firstLine="0"/>
        <w:rPr>
          <w:rFonts w:cs="Times New Roman"/>
        </w:rPr>
      </w:pPr>
      <w:r w:rsidRPr="002421A4">
        <w:rPr>
          <w:rFonts w:cs="Times New Roman"/>
        </w:rPr>
        <w:t xml:space="preserve">This second part of Honduras's interpretative appeal is equally unfounded, given the Panel effectively </w:t>
      </w:r>
      <w:r w:rsidRPr="002421A4">
        <w:rPr>
          <w:rFonts w:cs="Times New Roman"/>
          <w:i/>
        </w:rPr>
        <w:t>did</w:t>
      </w:r>
      <w:r w:rsidRPr="002421A4">
        <w:rPr>
          <w:rFonts w:cs="Times New Roman"/>
        </w:rPr>
        <w:t xml:space="preserve"> interpret Article 20 to require an examination of proposed alternatives and </w:t>
      </w:r>
      <w:r w:rsidRPr="002421A4">
        <w:rPr>
          <w:rFonts w:cs="Times New Roman"/>
          <w:i/>
        </w:rPr>
        <w:t>did</w:t>
      </w:r>
      <w:r w:rsidRPr="002421A4">
        <w:rPr>
          <w:rFonts w:cs="Times New Roman"/>
        </w:rPr>
        <w:t xml:space="preserve"> in fact</w:t>
      </w:r>
      <w:r w:rsidRPr="002421A4">
        <w:rPr>
          <w:rFonts w:cs="Times New Roman"/>
          <w:i/>
        </w:rPr>
        <w:t xml:space="preserve"> </w:t>
      </w:r>
      <w:r w:rsidRPr="002421A4">
        <w:rPr>
          <w:rFonts w:cs="Times New Roman"/>
        </w:rPr>
        <w:t xml:space="preserve">examine the alternatives proposed by the </w:t>
      </w:r>
      <w:r w:rsidRPr="002421A4">
        <w:rPr>
          <w:rFonts w:cs="Times New Roman"/>
        </w:rPr>
        <w:lastRenderedPageBreak/>
        <w:t>complainants.  In other words, the Panel did what Honduras alleges it was required to do.</w:t>
      </w:r>
    </w:p>
    <w:p w14:paraId="69C5889D" w14:textId="0264BC99" w:rsidR="000A5E4B" w:rsidRPr="002421A4" w:rsidRDefault="000A5E4B" w:rsidP="00A571E6">
      <w:pPr>
        <w:pStyle w:val="WTONumbered"/>
        <w:ind w:left="0" w:firstLine="0"/>
        <w:rPr>
          <w:rFonts w:cs="Times New Roman"/>
        </w:rPr>
      </w:pPr>
      <w:r w:rsidRPr="002421A4">
        <w:rPr>
          <w:rFonts w:cs="Times New Roman"/>
        </w:rPr>
        <w:t>In Part </w:t>
      </w:r>
      <w:r w:rsidRPr="00A571E6">
        <w:t>III</w:t>
      </w:r>
      <w:r w:rsidRPr="002421A4">
        <w:rPr>
          <w:rFonts w:cs="Times New Roman"/>
        </w:rPr>
        <w:t xml:space="preserve">.3 of its appeal, </w:t>
      </w:r>
      <w:r w:rsidRPr="002421A4">
        <w:rPr>
          <w:rFonts w:cs="Times New Roman"/>
          <w:lang w:val="en-AU"/>
        </w:rPr>
        <w:t xml:space="preserve">Honduras assumes </w:t>
      </w:r>
      <w:r w:rsidRPr="002421A4">
        <w:rPr>
          <w:rFonts w:cs="Times New Roman"/>
          <w:i/>
          <w:lang w:val="en-AU"/>
        </w:rPr>
        <w:t xml:space="preserve">arguendo </w:t>
      </w:r>
      <w:r w:rsidRPr="002421A4">
        <w:rPr>
          <w:rFonts w:cs="Times New Roman"/>
          <w:lang w:val="en-AU"/>
        </w:rPr>
        <w:t>that the Panel properly interpreted the term "unjustifiably</w:t>
      </w:r>
      <w:r w:rsidR="007D22CD">
        <w:rPr>
          <w:rFonts w:cs="Times New Roman"/>
          <w:lang w:val="en-AU"/>
        </w:rPr>
        <w:t>"</w:t>
      </w:r>
      <w:r w:rsidRPr="002421A4">
        <w:rPr>
          <w:rFonts w:cs="Times New Roman"/>
          <w:lang w:val="en-AU"/>
        </w:rPr>
        <w:t xml:space="preserve">, but claims that the Panel misapplied Article 20 to the facts of the case.  </w:t>
      </w:r>
    </w:p>
    <w:p w14:paraId="5A16CBA5" w14:textId="77777777" w:rsidR="000A5E4B" w:rsidRPr="002421A4" w:rsidRDefault="000A5E4B" w:rsidP="00A571E6">
      <w:pPr>
        <w:pStyle w:val="WTONumbered"/>
        <w:ind w:left="0" w:firstLine="0"/>
        <w:rPr>
          <w:rFonts w:cs="Times New Roman"/>
        </w:rPr>
      </w:pPr>
      <w:r>
        <w:rPr>
          <w:rFonts w:cs="Times New Roman"/>
          <w:lang w:val="en-AU"/>
        </w:rPr>
        <w:t>Honduras</w:t>
      </w:r>
      <w:r w:rsidRPr="002421A4">
        <w:rPr>
          <w:rFonts w:cs="Times New Roman"/>
        </w:rPr>
        <w:t xml:space="preserve"> contends</w:t>
      </w:r>
      <w:r>
        <w:rPr>
          <w:rFonts w:cs="Times New Roman"/>
        </w:rPr>
        <w:t>, for example,</w:t>
      </w:r>
      <w:r w:rsidRPr="002421A4">
        <w:rPr>
          <w:rFonts w:cs="Times New Roman"/>
        </w:rPr>
        <w:t xml:space="preserve"> </w:t>
      </w:r>
      <w:r w:rsidRPr="002421A4">
        <w:rPr>
          <w:rFonts w:cs="Times New Roman"/>
          <w:lang w:val="en-AU"/>
        </w:rPr>
        <w:t xml:space="preserve">that the Panel placed "undue emphasis on the </w:t>
      </w:r>
      <w:r w:rsidRPr="00A571E6">
        <w:t>loss</w:t>
      </w:r>
      <w:r w:rsidRPr="002421A4">
        <w:rPr>
          <w:rFonts w:cs="Times New Roman"/>
          <w:lang w:val="en-AU"/>
        </w:rPr>
        <w:t xml:space="preserve"> of economic value of the trademarks rather than focusing on the impact of the TPP measures on the use of a trademark in terms of its distinguishing function."</w:t>
      </w:r>
      <w:r w:rsidRPr="002421A4">
        <w:rPr>
          <w:rFonts w:cs="Times New Roman"/>
          <w:vertAlign w:val="superscript"/>
          <w:lang w:val="en-AU"/>
        </w:rPr>
        <w:footnoteReference w:id="16"/>
      </w:r>
      <w:r w:rsidRPr="002421A4">
        <w:rPr>
          <w:rFonts w:cs="Times New Roman"/>
          <w:lang w:val="en-AU"/>
        </w:rPr>
        <w:t xml:space="preserve">  However, the Panel clearly stated that its examination of the nature and extent of the encumbrance would "focus on the implications of the TPP trademark requirements </w:t>
      </w:r>
      <w:r w:rsidRPr="002421A4">
        <w:rPr>
          <w:rFonts w:cs="Times New Roman"/>
          <w:i/>
          <w:lang w:val="en-AU"/>
        </w:rPr>
        <w:t>on a trademark's ability to distinguish goods and services of undertakings in the course of trade</w:t>
      </w:r>
      <w:r w:rsidRPr="002421A4">
        <w:rPr>
          <w:rFonts w:cs="Times New Roman"/>
          <w:lang w:val="en-AU"/>
        </w:rPr>
        <w:t>".</w:t>
      </w:r>
      <w:r w:rsidRPr="002421A4">
        <w:rPr>
          <w:rFonts w:cs="Times New Roman"/>
          <w:vertAlign w:val="superscript"/>
          <w:lang w:val="en-AU"/>
        </w:rPr>
        <w:footnoteReference w:id="17"/>
      </w:r>
      <w:r w:rsidRPr="002421A4">
        <w:rPr>
          <w:rFonts w:cs="Times New Roman"/>
          <w:lang w:val="en-AU"/>
        </w:rPr>
        <w:t xml:space="preserve">  In other words, the Panel's analysis focused on precisely what Honduras claims it was required to focus on.  Honduras's numerous </w:t>
      </w:r>
      <w:r>
        <w:rPr>
          <w:rFonts w:cs="Times New Roman"/>
          <w:lang w:val="en-AU"/>
        </w:rPr>
        <w:t xml:space="preserve">other </w:t>
      </w:r>
      <w:r w:rsidRPr="002421A4">
        <w:rPr>
          <w:rFonts w:cs="Times New Roman"/>
          <w:lang w:val="en-AU"/>
        </w:rPr>
        <w:t xml:space="preserve">arguments </w:t>
      </w:r>
      <w:r>
        <w:rPr>
          <w:rFonts w:cs="Times New Roman"/>
          <w:lang w:val="en-AU"/>
        </w:rPr>
        <w:t>in support of its application claims are likewise</w:t>
      </w:r>
      <w:r w:rsidRPr="002421A4">
        <w:rPr>
          <w:rFonts w:cs="Times New Roman"/>
          <w:lang w:val="en-AU"/>
        </w:rPr>
        <w:t xml:space="preserve"> unfounded.</w:t>
      </w:r>
    </w:p>
    <w:p w14:paraId="378F6643" w14:textId="0A1DDC83" w:rsidR="000A5E4B" w:rsidRPr="002421A4" w:rsidRDefault="000A5E4B" w:rsidP="00A571E6">
      <w:pPr>
        <w:pStyle w:val="WTONumbered"/>
        <w:ind w:left="0" w:firstLine="0"/>
        <w:rPr>
          <w:rFonts w:cs="Times New Roman"/>
        </w:rPr>
      </w:pPr>
      <w:r w:rsidRPr="002421A4">
        <w:rPr>
          <w:rFonts w:cs="Times New Roman"/>
        </w:rPr>
        <w:t xml:space="preserve">The Dominican Republic advances only one distinct claim of error in respect of the Panel's findings under Article 20 of the TRIPS Agreement.  The Dominican Republic alleges that the Panel did not undertake any assessment of the Dominican Republic's claims under Article 20 concerning the </w:t>
      </w:r>
      <w:r w:rsidRPr="00A571E6">
        <w:t>prohibition</w:t>
      </w:r>
      <w:r w:rsidRPr="002421A4">
        <w:rPr>
          <w:rFonts w:cs="Times New Roman"/>
        </w:rPr>
        <w:t xml:space="preserve"> on the</w:t>
      </w:r>
      <w:r w:rsidR="007123E6">
        <w:rPr>
          <w:rFonts w:cs="Times New Roman"/>
        </w:rPr>
        <w:t xml:space="preserve"> use of trademarks on cigarette</w:t>
      </w:r>
      <w:r w:rsidRPr="002421A4">
        <w:rPr>
          <w:rFonts w:cs="Times New Roman"/>
        </w:rPr>
        <w:t xml:space="preserve"> sticks, and that the Panel thereby acted inconsistently with Article 11 of the DSU.</w:t>
      </w:r>
    </w:p>
    <w:p w14:paraId="1352F2B5" w14:textId="6684822E" w:rsidR="000A5E4B" w:rsidRDefault="000A5E4B" w:rsidP="00A571E6">
      <w:pPr>
        <w:pStyle w:val="WTONumbered"/>
        <w:ind w:left="0" w:firstLine="0"/>
        <w:rPr>
          <w:rFonts w:cs="Times New Roman"/>
        </w:rPr>
      </w:pPr>
      <w:r>
        <w:rPr>
          <w:rFonts w:cs="Times New Roman"/>
        </w:rPr>
        <w:t>It</w:t>
      </w:r>
      <w:r w:rsidRPr="002421A4">
        <w:rPr>
          <w:rFonts w:cs="Times New Roman"/>
        </w:rPr>
        <w:t xml:space="preserve"> is abundantly clear from the Panel Report that the Panel did, in fact, </w:t>
      </w:r>
      <w:r w:rsidRPr="00A571E6">
        <w:t>examine</w:t>
      </w:r>
      <w:r w:rsidRPr="002421A4">
        <w:rPr>
          <w:rFonts w:cs="Times New Roman"/>
        </w:rPr>
        <w:t xml:space="preserve"> the Dominican Republic's claims under Article 20 concerning cigarette sticks.  As best as Australia can discern, the Dominican Republic appears to consider that the Panel was required to have a distinct subsection</w:t>
      </w:r>
      <w:r w:rsidRPr="002421A4">
        <w:rPr>
          <w:rFonts w:cs="Times New Roman"/>
          <w:i/>
        </w:rPr>
        <w:t xml:space="preserve"> </w:t>
      </w:r>
      <w:r w:rsidRPr="002421A4">
        <w:rPr>
          <w:rFonts w:cs="Times New Roman"/>
        </w:rPr>
        <w:t>in its report in which it separately addressed those claims.  No such requirement to this effect exists under Article</w:t>
      </w:r>
      <w:r w:rsidR="00A571E6">
        <w:rPr>
          <w:rFonts w:cs="Times New Roman"/>
        </w:rPr>
        <w:t>s</w:t>
      </w:r>
      <w:r w:rsidRPr="002421A4">
        <w:rPr>
          <w:rFonts w:cs="Times New Roman"/>
        </w:rPr>
        <w:t> 7 and 11 of the DSU.</w:t>
      </w:r>
    </w:p>
    <w:p w14:paraId="4CCF4645" w14:textId="19825FB0" w:rsidR="00B50195" w:rsidRPr="000A5E4B" w:rsidRDefault="000A5E4B" w:rsidP="00A571E6">
      <w:pPr>
        <w:pStyle w:val="WTONumbered"/>
        <w:ind w:left="0" w:firstLine="0"/>
        <w:rPr>
          <w:rFonts w:cs="Times New Roman"/>
        </w:rPr>
      </w:pPr>
      <w:r>
        <w:rPr>
          <w:rFonts w:cs="Times New Roman"/>
        </w:rPr>
        <w:t>For the foregoing reasons, Australia requests that the Appellate Body reject all of the appellants' claims of error under Articles</w:t>
      </w:r>
      <w:r w:rsidR="00504B61">
        <w:rPr>
          <w:rFonts w:cs="Times New Roman"/>
        </w:rPr>
        <w:t> </w:t>
      </w:r>
      <w:r>
        <w:rPr>
          <w:rFonts w:cs="Times New Roman"/>
        </w:rPr>
        <w:t>16.1 and 20 of the TRIPS Agreement.</w:t>
      </w:r>
      <w:r w:rsidRPr="002421A4">
        <w:rPr>
          <w:rFonts w:cs="Times New Roman"/>
        </w:rPr>
        <w:t xml:space="preserve">  </w:t>
      </w:r>
    </w:p>
    <w:p w14:paraId="46C7A81F" w14:textId="77825174" w:rsidR="00B50195" w:rsidRPr="00C13C7C" w:rsidRDefault="000A5E4B" w:rsidP="000A5E4B">
      <w:pPr>
        <w:pStyle w:val="Heading1"/>
      </w:pPr>
      <w:r>
        <w:t xml:space="preserve">CLAIMS UNDER THE </w:t>
      </w:r>
      <w:r w:rsidR="00B50195" w:rsidRPr="00C13C7C">
        <w:t>TBT</w:t>
      </w:r>
      <w:r>
        <w:t xml:space="preserve"> AGREEMENT</w:t>
      </w:r>
    </w:p>
    <w:p w14:paraId="26FB2D0A" w14:textId="2A0A5581" w:rsidR="00FF4B8B" w:rsidRDefault="00504B61" w:rsidP="00FF4B8B">
      <w:pPr>
        <w:pStyle w:val="Heading2"/>
        <w:numPr>
          <w:ilvl w:val="1"/>
          <w:numId w:val="2"/>
        </w:numPr>
        <w:ind w:left="1440" w:hanging="720"/>
      </w:pPr>
      <w:r>
        <w:t>Claims Under Article </w:t>
      </w:r>
      <w:r w:rsidR="00FF4B8B">
        <w:t>2.2 of the TBT Agreement – Trade</w:t>
      </w:r>
      <w:r>
        <w:noBreakHyphen/>
      </w:r>
      <w:r w:rsidR="00FF4B8B">
        <w:t xml:space="preserve">Restrictiveness </w:t>
      </w:r>
    </w:p>
    <w:p w14:paraId="0CFB93D4" w14:textId="30ADFD13" w:rsidR="00FF4B8B" w:rsidRDefault="00FF4B8B" w:rsidP="00FF4B8B">
      <w:pPr>
        <w:pStyle w:val="Heading3"/>
        <w:numPr>
          <w:ilvl w:val="2"/>
          <w:numId w:val="2"/>
        </w:numPr>
        <w:ind w:left="2160" w:hanging="720"/>
      </w:pPr>
      <w:r>
        <w:t>The Panel Did Not Err in its Interpretation and Application of the Term "T</w:t>
      </w:r>
      <w:r w:rsidR="00504B61">
        <w:t>rade-Restrictive" under Article </w:t>
      </w:r>
      <w:r>
        <w:t xml:space="preserve">2.2 of the TBT Agreement </w:t>
      </w:r>
    </w:p>
    <w:p w14:paraId="2A62F286" w14:textId="6975370B" w:rsidR="00FF4B8B" w:rsidRPr="00D27EB9" w:rsidRDefault="00FF4B8B" w:rsidP="00A571E6">
      <w:pPr>
        <w:pStyle w:val="WTONumbered"/>
        <w:ind w:left="0" w:firstLine="0"/>
      </w:pPr>
      <w:bookmarkStart w:id="2" w:name="_Toc342318374"/>
      <w:bookmarkStart w:id="3" w:name="_Ref342319711"/>
      <w:bookmarkStart w:id="4" w:name="_Ref468708552"/>
      <w:r>
        <w:t xml:space="preserve">At the core of the appellants' </w:t>
      </w:r>
      <w:r w:rsidR="007D22CD">
        <w:t>claim of error</w:t>
      </w:r>
      <w:r>
        <w:t xml:space="preserve"> lies a disagreement as to whether any limitations on "competitive opportunities" in the marketplace, and in particular the reduced opportunity to compete on the basis of brand differentiation, sufficed to </w:t>
      </w:r>
      <w:r>
        <w:lastRenderedPageBreak/>
        <w:t>es</w:t>
      </w:r>
      <w:r w:rsidR="007D22CD">
        <w:t>tablish that the TPP measures a</w:t>
      </w:r>
      <w:r>
        <w:t>re "t</w:t>
      </w:r>
      <w:r w:rsidR="00504B61">
        <w:t>rade-restrictive" under Article </w:t>
      </w:r>
      <w:r>
        <w:t xml:space="preserve">2.2 of the TBT Agreement.  In Australia's view, </w:t>
      </w:r>
      <w:r w:rsidRPr="00D27EB9">
        <w:t>the "competitive o</w:t>
      </w:r>
      <w:r w:rsidR="00830DDB">
        <w:t>pportunities" standard of trade</w:t>
      </w:r>
      <w:r w:rsidR="00830DDB">
        <w:noBreakHyphen/>
      </w:r>
      <w:r w:rsidRPr="00D27EB9">
        <w:t>restrictiveness espoused by the appellants finds no basis in either the text of Article 2.2, properly interpreted, or in t</w:t>
      </w:r>
      <w:r>
        <w:t>he Appellate Body's findings in prior cases</w:t>
      </w:r>
      <w:r w:rsidRPr="00D27EB9">
        <w:t>.  This overly broad legal standard would read the terms "trade-restrictive" and "obstacles to international trade" out of the text of Article 2.2.</w:t>
      </w:r>
      <w:r w:rsidR="00830DDB">
        <w:t xml:space="preserve">  </w:t>
      </w:r>
    </w:p>
    <w:p w14:paraId="30FED599" w14:textId="718523B7" w:rsidR="00FF4B8B" w:rsidRDefault="00FF4B8B" w:rsidP="00A571E6">
      <w:pPr>
        <w:pStyle w:val="WTONumbered"/>
        <w:ind w:left="0" w:firstLine="0"/>
      </w:pPr>
      <w:r>
        <w:t xml:space="preserve">In </w:t>
      </w:r>
      <w:r w:rsidRPr="001F0C4A">
        <w:rPr>
          <w:i/>
        </w:rPr>
        <w:t>US – Tuna II (Mexico)</w:t>
      </w:r>
      <w:r>
        <w:t xml:space="preserve">, the Appellate Body expressly held that the term "trade-restrictive" requires </w:t>
      </w:r>
      <w:r w:rsidR="007D22CD">
        <w:t xml:space="preserve">a </w:t>
      </w:r>
      <w:r>
        <w:t>demonstration that a technical regulation has a "limiting effect on international trade".</w:t>
      </w:r>
      <w:r>
        <w:rPr>
          <w:rStyle w:val="FootnoteReference"/>
        </w:rPr>
        <w:footnoteReference w:id="18"/>
      </w:r>
      <w:r>
        <w:t xml:space="preserve">  Contrary to the appellants' argument, the Appellate Body in </w:t>
      </w:r>
      <w:r w:rsidRPr="001F0C4A">
        <w:rPr>
          <w:i/>
        </w:rPr>
        <w:t xml:space="preserve">US – COOL </w:t>
      </w:r>
      <w:r>
        <w:t xml:space="preserve">did not re-articulate the relevant legal standard </w:t>
      </w:r>
      <w:r w:rsidR="002C2EA0">
        <w:t>of trade</w:t>
      </w:r>
      <w:r w:rsidR="002C2EA0">
        <w:noBreakHyphen/>
        <w:t xml:space="preserve">restrictiveness </w:t>
      </w:r>
      <w:r>
        <w:t xml:space="preserve">as one of "competitive opportunities" for imported products.  Rather, the Appellate Body </w:t>
      </w:r>
      <w:r w:rsidR="000B0540">
        <w:t>f</w:t>
      </w:r>
      <w:r>
        <w:t xml:space="preserve">ound that the panel's finding that the COOL measure </w:t>
      </w:r>
      <w:r w:rsidR="002C2EA0">
        <w:t>modified the conditions of competition to the detriment of imported products vis-à-vis domestic like products</w:t>
      </w:r>
      <w:r w:rsidR="001F0C4A">
        <w:t xml:space="preserve"> sufficed to establish that it had a limit</w:t>
      </w:r>
      <w:r w:rsidR="00830DDB">
        <w:t>ing</w:t>
      </w:r>
      <w:r w:rsidR="001F0C4A">
        <w:t xml:space="preserve"> effect on international trade</w:t>
      </w:r>
      <w:r w:rsidR="002C2EA0">
        <w:t>.</w:t>
      </w:r>
      <w:r>
        <w:rPr>
          <w:rStyle w:val="FootnoteReference"/>
        </w:rPr>
        <w:footnoteReference w:id="19"/>
      </w:r>
      <w:r>
        <w:t xml:space="preserve">  </w:t>
      </w:r>
    </w:p>
    <w:p w14:paraId="3B551D08" w14:textId="14665D57" w:rsidR="00FF4B8B" w:rsidRPr="00D27EB9" w:rsidRDefault="00FF4B8B" w:rsidP="00A571E6">
      <w:pPr>
        <w:pStyle w:val="WTONumbered"/>
        <w:ind w:left="0" w:firstLine="0"/>
      </w:pPr>
      <w:r>
        <w:t>I</w:t>
      </w:r>
      <w:r w:rsidRPr="00D27EB9">
        <w:t xml:space="preserve">f any limitation on "competitive opportunities" were sufficient to establish that a technical regulation is trade-restrictive, as the appellants suggest, evidence of actual trade effects would </w:t>
      </w:r>
      <w:r w:rsidRPr="00D27EB9">
        <w:rPr>
          <w:i/>
        </w:rPr>
        <w:t xml:space="preserve">never </w:t>
      </w:r>
      <w:r w:rsidRPr="00D27EB9">
        <w:t>be required.  Virtually all technical regulat</w:t>
      </w:r>
      <w:r w:rsidR="007D22CD">
        <w:t xml:space="preserve">ions will impose, in respect of at least </w:t>
      </w:r>
      <w:r w:rsidRPr="00D27EB9">
        <w:t xml:space="preserve">one market participant, a limiting condition that did not exist prior to its enactment.  Thus, the Appellate Body's recognition in </w:t>
      </w:r>
      <w:r w:rsidR="007D22CD">
        <w:rPr>
          <w:i/>
        </w:rPr>
        <w:t xml:space="preserve">US – </w:t>
      </w:r>
      <w:r w:rsidRPr="00D27EB9">
        <w:rPr>
          <w:i/>
        </w:rPr>
        <w:t>COOL</w:t>
      </w:r>
      <w:r w:rsidR="007D22CD">
        <w:rPr>
          <w:i/>
        </w:rPr>
        <w:t xml:space="preserve"> </w:t>
      </w:r>
      <w:r w:rsidRPr="00D27EB9">
        <w:rPr>
          <w:i/>
        </w:rPr>
        <w:t>(Article</w:t>
      </w:r>
      <w:r w:rsidR="00504B61">
        <w:rPr>
          <w:i/>
        </w:rPr>
        <w:t> </w:t>
      </w:r>
      <w:r w:rsidRPr="00D27EB9">
        <w:rPr>
          <w:i/>
        </w:rPr>
        <w:t>21.5 – Canada and Mexico)</w:t>
      </w:r>
      <w:r w:rsidRPr="00D27EB9">
        <w:t xml:space="preserve"> that evidence of actual trade effects might be required to establish that a non-discriminator</w:t>
      </w:r>
      <w:r>
        <w:t>y technical regulation is trade</w:t>
      </w:r>
      <w:r>
        <w:noBreakHyphen/>
      </w:r>
      <w:r w:rsidRPr="00D27EB9">
        <w:t xml:space="preserve">restrictive not only contradicts the complainants' erroneous "competitive opportunities" </w:t>
      </w:r>
      <w:r>
        <w:t>construct</w:t>
      </w:r>
      <w:r w:rsidRPr="00D27EB9">
        <w:t xml:space="preserve">, but also confirms that the relevant legal standard is one of </w:t>
      </w:r>
      <w:r>
        <w:t xml:space="preserve">a </w:t>
      </w:r>
      <w:r w:rsidRPr="00D27EB9">
        <w:t>"limiting effect on international trade."</w:t>
      </w:r>
      <w:r>
        <w:rPr>
          <w:rStyle w:val="FootnoteReference"/>
        </w:rPr>
        <w:footnoteReference w:id="20"/>
      </w:r>
      <w:r w:rsidRPr="00D27EB9">
        <w:t xml:space="preserve">   </w:t>
      </w:r>
    </w:p>
    <w:p w14:paraId="4B479C90" w14:textId="150671C0" w:rsidR="00FF4B8B" w:rsidRPr="00D27EB9" w:rsidRDefault="00FF4B8B" w:rsidP="00A571E6">
      <w:pPr>
        <w:pStyle w:val="WTONumbered"/>
        <w:ind w:left="0" w:firstLine="0"/>
      </w:pPr>
      <w:r w:rsidRPr="00D27EB9">
        <w:t>Accordingly, the Panel did not err in finding that any limitation on the ability to compete on the basis of brand differentiation w</w:t>
      </w:r>
      <w:r w:rsidR="000B0540">
        <w:t>as</w:t>
      </w:r>
      <w:r w:rsidRPr="00D27EB9">
        <w:t xml:space="preserve"> insufficient, without more, to establish that the TPP measures are "trade-restrictive</w:t>
      </w:r>
      <w:r>
        <w:t>" within the meaning of Article </w:t>
      </w:r>
      <w:r w:rsidRPr="00D27EB9">
        <w:t>2.2</w:t>
      </w:r>
      <w:r>
        <w:t xml:space="preserve">.  In so finding, the Panel did </w:t>
      </w:r>
      <w:r w:rsidRPr="000B0540">
        <w:rPr>
          <w:i/>
        </w:rPr>
        <w:t>not</w:t>
      </w:r>
      <w:r>
        <w:t xml:space="preserve"> require that the TPP measures be discriminatory, as Honduras incorrectly posits.  The P</w:t>
      </w:r>
      <w:r w:rsidR="00830DDB">
        <w:t>anel expressly observed that "a </w:t>
      </w:r>
      <w:r>
        <w:t>determination of 'trade-restrictiveness' is not dependent on the existence of discriminatory treatment of imported products"</w:t>
      </w:r>
      <w:r>
        <w:rPr>
          <w:rStyle w:val="FootnoteReference"/>
        </w:rPr>
        <w:footnoteReference w:id="21"/>
      </w:r>
      <w:r>
        <w:t xml:space="preserve">, and in no instance did the Panel engage in a "comparative assessment" of the conditions of competition for imported products </w:t>
      </w:r>
      <w:r>
        <w:rPr>
          <w:i/>
        </w:rPr>
        <w:t xml:space="preserve">vis-à-vis </w:t>
      </w:r>
      <w:r>
        <w:t xml:space="preserve">domestic tobacco products.  Neither did the Panel consider that evidence of actual trade effects was required.  Rather, </w:t>
      </w:r>
      <w:r w:rsidRPr="00D27EB9">
        <w:t xml:space="preserve">the Panel carefully examined both qualitative and quantitative evidence on the panel record, and expressly </w:t>
      </w:r>
      <w:r>
        <w:t>recognis</w:t>
      </w:r>
      <w:r w:rsidRPr="00D27EB9">
        <w:t xml:space="preserve">ed that the "trade-restrictiveness" of the TPP measures could be established on the basis of qualitative evidence alone.  </w:t>
      </w:r>
    </w:p>
    <w:p w14:paraId="154E264B" w14:textId="40DE5586" w:rsidR="00FF4B8B" w:rsidRDefault="00FF4B8B" w:rsidP="00A571E6">
      <w:pPr>
        <w:pStyle w:val="WTONumbered"/>
        <w:ind w:left="0" w:firstLine="0"/>
      </w:pPr>
      <w:r>
        <w:lastRenderedPageBreak/>
        <w:t>Moreover, it is unclear to Australia whether the Panel imposed an "exclusive cause" standard in its analysis of the downtrading evidence, as the Dominican Republic argues.  However, even if the Panel did impose an exclusive cause standard, that would be immaterial and insufficient to overturn the Panel's findings under Article</w:t>
      </w:r>
      <w:r w:rsidR="00504B61">
        <w:t> </w:t>
      </w:r>
      <w:r>
        <w:t xml:space="preserve">2.2.  This is because the alternative measures proposed by the </w:t>
      </w:r>
      <w:r w:rsidR="00A571E6">
        <w:t>complainants</w:t>
      </w:r>
      <w:r>
        <w:t xml:space="preserve">, applied cumulatively, would have </w:t>
      </w:r>
      <w:r w:rsidRPr="00BA2B51">
        <w:rPr>
          <w:i/>
        </w:rPr>
        <w:t xml:space="preserve">greater </w:t>
      </w:r>
      <w:r>
        <w:t xml:space="preserve">downtrading effects than the TPP measures.  Thus, in </w:t>
      </w:r>
      <w:r w:rsidR="007D22CD">
        <w:t>no</w:t>
      </w:r>
      <w:r>
        <w:t xml:space="preserve"> circumstance </w:t>
      </w:r>
      <w:r w:rsidR="007D22CD">
        <w:t>would any</w:t>
      </w:r>
      <w:r>
        <w:t xml:space="preserve"> of the alternative measures proposed by the </w:t>
      </w:r>
      <w:r w:rsidR="00A571E6">
        <w:t>complainants</w:t>
      </w:r>
      <w:r>
        <w:t xml:space="preserve"> be </w:t>
      </w:r>
      <w:r w:rsidRPr="00BA2B51">
        <w:rPr>
          <w:i/>
        </w:rPr>
        <w:t xml:space="preserve">less </w:t>
      </w:r>
      <w:r>
        <w:t>trade-restrictive than the TPP measures.</w:t>
      </w:r>
    </w:p>
    <w:p w14:paraId="721FC6E3" w14:textId="58C728CA" w:rsidR="00FF4B8B" w:rsidRDefault="00FF4B8B" w:rsidP="00A571E6">
      <w:pPr>
        <w:pStyle w:val="WTONumbered"/>
        <w:ind w:left="0" w:firstLine="0"/>
      </w:pPr>
      <w:r>
        <w:t xml:space="preserve">Finally, contrary to the Dominican Republic's suggestion, the Panel did not err in taking into account consumption (i.e. sales) </w:t>
      </w:r>
      <w:r w:rsidR="00830DDB">
        <w:t>data in its assessment of trade</w:t>
      </w:r>
      <w:r w:rsidR="00830DDB">
        <w:noBreakHyphen/>
      </w:r>
      <w:r>
        <w:t xml:space="preserve">restrictiveness.  Rather than finding that any degree of trade-restrictiveness could be "mitigated" by supplier responses, the Panel appropriately relied on the </w:t>
      </w:r>
      <w:r>
        <w:rPr>
          <w:i/>
        </w:rPr>
        <w:t xml:space="preserve">complainants' </w:t>
      </w:r>
      <w:r>
        <w:t>own expert in concluding that both supply and demand factors should be taken into account in determining the trade-restrictive effects of the TPP measures in the marketplace.</w:t>
      </w:r>
    </w:p>
    <w:p w14:paraId="481DE2C8" w14:textId="332281C9" w:rsidR="00FF4B8B" w:rsidRDefault="00FF4B8B" w:rsidP="00FF4B8B">
      <w:pPr>
        <w:pStyle w:val="Heading3"/>
        <w:numPr>
          <w:ilvl w:val="2"/>
          <w:numId w:val="2"/>
        </w:numPr>
        <w:ind w:left="2160" w:hanging="720"/>
      </w:pPr>
      <w:r>
        <w:t>The Panel Did Not Act Inconsistently with Article</w:t>
      </w:r>
      <w:r w:rsidR="00504B61">
        <w:t> </w:t>
      </w:r>
      <w:r>
        <w:t xml:space="preserve">11 of the DSU in </w:t>
      </w:r>
      <w:r w:rsidR="009664F4">
        <w:t>I</w:t>
      </w:r>
      <w:r>
        <w:t xml:space="preserve">ts Assessment of Trade-Restrictiveness </w:t>
      </w:r>
    </w:p>
    <w:p w14:paraId="3D91F749" w14:textId="108A52F8" w:rsidR="00FF4B8B" w:rsidRDefault="00FF4B8B" w:rsidP="00A571E6">
      <w:pPr>
        <w:pStyle w:val="WTONumbered"/>
        <w:ind w:left="0" w:firstLine="0"/>
      </w:pPr>
      <w:r>
        <w:t xml:space="preserve">The Dominican Republic has failed to establish that the Panel exceeded the bounds of </w:t>
      </w:r>
      <w:r w:rsidR="007D22CD">
        <w:t>its discretion as trier of fact</w:t>
      </w:r>
      <w:r>
        <w:t xml:space="preserve"> under Article</w:t>
      </w:r>
      <w:r w:rsidR="00504B61">
        <w:t> </w:t>
      </w:r>
      <w:r>
        <w:t>11 of the DSU in finding that the TPP measures were "t</w:t>
      </w:r>
      <w:r w:rsidR="00504B61">
        <w:t>rade-restrictive" under Article </w:t>
      </w:r>
      <w:r>
        <w:t xml:space="preserve">2.2 of the TBT Agreement. </w:t>
      </w:r>
    </w:p>
    <w:p w14:paraId="23C88330" w14:textId="569DCB05" w:rsidR="00FF4B8B" w:rsidRPr="00D27EB9" w:rsidRDefault="00FF4B8B" w:rsidP="00A571E6">
      <w:pPr>
        <w:pStyle w:val="WTONumbered"/>
        <w:ind w:left="0" w:firstLine="0"/>
      </w:pPr>
      <w:r>
        <w:t>The Panel neither compromised the Dominica</w:t>
      </w:r>
      <w:r w:rsidR="007D22CD">
        <w:t>n Republic's due process rights</w:t>
      </w:r>
      <w:r>
        <w:t xml:space="preserve"> nor "made the case" for Australia in its graphical analysis in Figure E.6.  A panel has the authority under Article</w:t>
      </w:r>
      <w:r w:rsidR="00504B61">
        <w:t> </w:t>
      </w:r>
      <w:r>
        <w:t xml:space="preserve">11 of the DSU to develop its own reasoning </w:t>
      </w:r>
      <w:r w:rsidRPr="00D27EB9">
        <w:t xml:space="preserve">and is not required to restrict itself to the evidence and arguments presented by the </w:t>
      </w:r>
      <w:r>
        <w:t>parties</w:t>
      </w:r>
      <w:r w:rsidRPr="00D27EB9">
        <w:t>.</w:t>
      </w:r>
      <w:r w:rsidRPr="00D27EB9">
        <w:rPr>
          <w:rStyle w:val="FootnoteReference"/>
          <w:sz w:val="24"/>
          <w:szCs w:val="24"/>
        </w:rPr>
        <w:footnoteReference w:id="22"/>
      </w:r>
      <w:r w:rsidRPr="00D27EB9">
        <w:t xml:space="preserve">  Such discretion encompasses the ability to conduct additional statistical analysis, engage with economic models and evidence, and draw inferences on the basis of the record evidence.</w:t>
      </w:r>
      <w:r w:rsidRPr="00D27EB9">
        <w:rPr>
          <w:rStyle w:val="FootnoteReference"/>
          <w:sz w:val="24"/>
          <w:szCs w:val="24"/>
        </w:rPr>
        <w:footnoteReference w:id="23"/>
      </w:r>
      <w:r w:rsidRPr="00D27EB9">
        <w:t xml:space="preserve">  Moreover, the Panel is "not required to test its intended reasoning with the parties",</w:t>
      </w:r>
      <w:r w:rsidRPr="00D27EB9">
        <w:rPr>
          <w:rStyle w:val="FootnoteReference"/>
          <w:sz w:val="24"/>
          <w:szCs w:val="24"/>
        </w:rPr>
        <w:footnoteReference w:id="24"/>
      </w:r>
      <w:r w:rsidRPr="00D27EB9">
        <w:t xml:space="preserve"> and any concerns the Dominican Republic might have had about Figure E.6 </w:t>
      </w:r>
      <w:r>
        <w:t>c</w:t>
      </w:r>
      <w:r w:rsidRPr="00D27EB9">
        <w:t>ould have been raised in the interim review stage under Article</w:t>
      </w:r>
      <w:r w:rsidR="00504B61">
        <w:t> </w:t>
      </w:r>
      <w:r w:rsidRPr="00D27EB9">
        <w:t xml:space="preserve">15 of the DSU. </w:t>
      </w:r>
    </w:p>
    <w:p w14:paraId="5E5D8FD8" w14:textId="623E9BB8" w:rsidR="00FF4B8B" w:rsidRDefault="007D22CD" w:rsidP="00A571E6">
      <w:pPr>
        <w:pStyle w:val="WTONumbered"/>
        <w:ind w:left="0" w:firstLine="0"/>
      </w:pPr>
      <w:r>
        <w:t>Finally</w:t>
      </w:r>
      <w:r w:rsidR="00FF4B8B">
        <w:t xml:space="preserve">, </w:t>
      </w:r>
      <w:r w:rsidR="00FF4B8B" w:rsidRPr="00D27EB9">
        <w:t>the Dominican Republic's allegation that</w:t>
      </w:r>
      <w:r w:rsidR="00FF4B8B">
        <w:t xml:space="preserve"> the Panel failed to provide a </w:t>
      </w:r>
      <w:r w:rsidR="00FF4B8B" w:rsidRPr="00D27EB9">
        <w:t>re</w:t>
      </w:r>
      <w:r w:rsidR="00FF4B8B">
        <w:t>asoned and adequate explanation for its finding</w:t>
      </w:r>
      <w:r w:rsidR="00FF4B8B" w:rsidRPr="00D27EB9">
        <w:t xml:space="preserve"> amounts to a request that the Appellate Body </w:t>
      </w:r>
      <w:r w:rsidR="00FF4B8B" w:rsidRPr="00974509">
        <w:rPr>
          <w:i/>
        </w:rPr>
        <w:t>re-weigh</w:t>
      </w:r>
      <w:r w:rsidR="00FF4B8B" w:rsidRPr="00D27EB9">
        <w:t xml:space="preserve"> the record evidence on downtrading.  Contrary to what the Dominican Republic suggests, the Panel's conclusion that downtrading was partly attributable to the overall reduction in total wholesales volume as a result of the TPP measures is </w:t>
      </w:r>
      <w:r w:rsidR="00FF4B8B" w:rsidRPr="006630C0">
        <w:rPr>
          <w:i/>
        </w:rPr>
        <w:t>fully consistent</w:t>
      </w:r>
      <w:r w:rsidR="00FF4B8B" w:rsidRPr="00D27EB9">
        <w:t xml:space="preserve"> with the Panel's earlier finding that the TPP measures are apt to, and do in fact</w:t>
      </w:r>
      <w:r w:rsidR="00FF4B8B">
        <w:t>,</w:t>
      </w:r>
      <w:r w:rsidR="00FF4B8B" w:rsidRPr="00D27EB9">
        <w:t xml:space="preserve"> contribute to their objective of reducing the use of tobacco products in Australia.  </w:t>
      </w:r>
    </w:p>
    <w:p w14:paraId="46642F47" w14:textId="78CBD08A" w:rsidR="00FF4B8B" w:rsidRDefault="002C6D6F" w:rsidP="00A571E6">
      <w:pPr>
        <w:pStyle w:val="WTONumbered"/>
        <w:ind w:left="0" w:firstLine="0"/>
      </w:pPr>
      <w:r w:rsidRPr="002C6D6F">
        <w:lastRenderedPageBreak/>
        <w:t>For all of the foregoing reasons, Australia requests that the Appel</w:t>
      </w:r>
      <w:r w:rsidR="00830DDB">
        <w:t>late Body reject the appellants'</w:t>
      </w:r>
      <w:r w:rsidRPr="002C6D6F">
        <w:t xml:space="preserve"> claims under Article</w:t>
      </w:r>
      <w:r w:rsidR="00504B61">
        <w:t> </w:t>
      </w:r>
      <w:r w:rsidRPr="002C6D6F">
        <w:t>2.2 of the TBT Agreement, and Article</w:t>
      </w:r>
      <w:r w:rsidR="00504B61">
        <w:t> </w:t>
      </w:r>
      <w:r w:rsidRPr="002C6D6F">
        <w:t>11 of the D</w:t>
      </w:r>
      <w:r>
        <w:t>SU, as they relate to the Panel's</w:t>
      </w:r>
      <w:r w:rsidRPr="002C6D6F">
        <w:t xml:space="preserve"> fin</w:t>
      </w:r>
      <w:r>
        <w:t>ding that the TPP measures are "</w:t>
      </w:r>
      <w:r w:rsidR="000B0540">
        <w:t>trade</w:t>
      </w:r>
      <w:r w:rsidR="000B0540">
        <w:noBreakHyphen/>
      </w:r>
      <w:r w:rsidRPr="002C6D6F">
        <w:t>restrictiv</w:t>
      </w:r>
      <w:r>
        <w:t>e"</w:t>
      </w:r>
      <w:r w:rsidRPr="002C6D6F">
        <w:t>.</w:t>
      </w:r>
    </w:p>
    <w:p w14:paraId="0C76A085" w14:textId="74D1D13B" w:rsidR="00FF4B8B" w:rsidRPr="005B0A33" w:rsidRDefault="00FF4B8B" w:rsidP="00FF4B8B">
      <w:pPr>
        <w:pStyle w:val="Heading2"/>
        <w:numPr>
          <w:ilvl w:val="1"/>
          <w:numId w:val="2"/>
        </w:numPr>
        <w:ind w:left="1440" w:hanging="720"/>
        <w:rPr>
          <w:caps/>
        </w:rPr>
      </w:pPr>
      <w:r>
        <w:t>Claims under Article</w:t>
      </w:r>
      <w:r w:rsidR="00504B61">
        <w:t> </w:t>
      </w:r>
      <w:r>
        <w:t>2.2 of the TBT Agreement – Alternative</w:t>
      </w:r>
      <w:r w:rsidR="00830DDB">
        <w:t xml:space="preserve"> Measures</w:t>
      </w:r>
      <w:r>
        <w:t xml:space="preserve"> </w:t>
      </w:r>
    </w:p>
    <w:p w14:paraId="3DF8CD1B" w14:textId="7B16B303" w:rsidR="00FF4B8B" w:rsidRPr="00044253" w:rsidRDefault="00FF4B8B" w:rsidP="00FF4B8B">
      <w:pPr>
        <w:pStyle w:val="Heading3"/>
        <w:numPr>
          <w:ilvl w:val="2"/>
          <w:numId w:val="2"/>
        </w:numPr>
        <w:ind w:left="2160" w:hanging="720"/>
      </w:pPr>
      <w:r>
        <w:t>The Panel Did Not Err in Its Application of Article</w:t>
      </w:r>
      <w:r w:rsidR="00504B61">
        <w:t> </w:t>
      </w:r>
      <w:r>
        <w:t xml:space="preserve">2.2 of the TBT Agreement in </w:t>
      </w:r>
      <w:r w:rsidR="000B0540">
        <w:t>I</w:t>
      </w:r>
      <w:r>
        <w:t xml:space="preserve">ts Analysis of Alternative Measures </w:t>
      </w:r>
    </w:p>
    <w:p w14:paraId="0CE166E5" w14:textId="62EA4A04" w:rsidR="00FF4B8B" w:rsidRDefault="00FF4B8B" w:rsidP="00A571E6">
      <w:pPr>
        <w:pStyle w:val="WTONumbered"/>
        <w:ind w:left="0" w:firstLine="0"/>
      </w:pPr>
      <w:r>
        <w:t>Australia submits that the Appellate Body should summarily dismiss the appellants' claims of error in relation to the Panel's analysis of alternative measures under Article</w:t>
      </w:r>
      <w:r w:rsidR="00504B61">
        <w:t> </w:t>
      </w:r>
      <w:r>
        <w:t xml:space="preserve">2.2 of the TBT Agreement without addressing the substance of those claims, for two reasons.  </w:t>
      </w:r>
    </w:p>
    <w:p w14:paraId="3E3509C0" w14:textId="4A6369A5" w:rsidR="00FF4B8B" w:rsidRDefault="00FF4B8B" w:rsidP="00A571E6">
      <w:pPr>
        <w:pStyle w:val="WTONumbered"/>
        <w:ind w:left="0" w:firstLine="0"/>
      </w:pPr>
      <w:r>
        <w:t>First, the appellants' claim in relation to the</w:t>
      </w:r>
      <w:r w:rsidR="00830DDB">
        <w:t xml:space="preserve"> Panel's analysis of the "trade</w:t>
      </w:r>
      <w:r w:rsidR="00830DDB">
        <w:noBreakHyphen/>
      </w:r>
      <w:r>
        <w:t xml:space="preserve">restrictiveness" of the alternatives is </w:t>
      </w:r>
      <w:r w:rsidRPr="000234F8">
        <w:rPr>
          <w:i/>
        </w:rPr>
        <w:t xml:space="preserve">entirely consequential </w:t>
      </w:r>
      <w:r>
        <w:t xml:space="preserve">to their earlier claim that the Panel applied an erroneous legal standard in ascertaining the trade-restrictiveness of the TPP measures.  Thus, if the Appellate Body upholds the </w:t>
      </w:r>
      <w:r w:rsidR="007D22CD">
        <w:t>Panel's legal standard of trade-</w:t>
      </w:r>
      <w:r>
        <w:t>restrictiveness under Article</w:t>
      </w:r>
      <w:r w:rsidR="00504B61">
        <w:t> </w:t>
      </w:r>
      <w:r>
        <w:t>2.2 of the TBT Agreement, it necessarily follows that the</w:t>
      </w:r>
      <w:r w:rsidRPr="00037538">
        <w:t xml:space="preserve"> Panel did </w:t>
      </w:r>
      <w:r w:rsidRPr="000234F8">
        <w:rPr>
          <w:i/>
        </w:rPr>
        <w:t>not</w:t>
      </w:r>
      <w:r w:rsidRPr="00037538">
        <w:t xml:space="preserve"> err in </w:t>
      </w:r>
      <w:r>
        <w:t>applying that same standard when determining the trade-restrictiveness of</w:t>
      </w:r>
      <w:r w:rsidRPr="00037538">
        <w:t xml:space="preserve"> each of the </w:t>
      </w:r>
      <w:r>
        <w:t xml:space="preserve">proposed </w:t>
      </w:r>
      <w:r w:rsidRPr="00037538">
        <w:t>alternatives</w:t>
      </w:r>
      <w:r>
        <w:t xml:space="preserve">.  </w:t>
      </w:r>
    </w:p>
    <w:p w14:paraId="13C3EB30" w14:textId="7A45097E" w:rsidR="00FF4B8B" w:rsidRDefault="00FF4B8B" w:rsidP="00A571E6">
      <w:pPr>
        <w:pStyle w:val="WTONumbered"/>
        <w:ind w:left="0" w:firstLine="0"/>
      </w:pPr>
      <w:r>
        <w:t xml:space="preserve">Second, in the circumstances of this dispute, where the market is entirely supplied by imports, any equivalent </w:t>
      </w:r>
      <w:r w:rsidRPr="00792AF9">
        <w:rPr>
          <w:i/>
        </w:rPr>
        <w:t>contribution</w:t>
      </w:r>
      <w:r>
        <w:t xml:space="preserve"> to reducing the use of, and exposure to, tobacco products would necessarily entail an equivalent </w:t>
      </w:r>
      <w:r w:rsidRPr="00792AF9">
        <w:rPr>
          <w:i/>
        </w:rPr>
        <w:t>limiting effect</w:t>
      </w:r>
      <w:r>
        <w:t xml:space="preserve"> on international trade in tobacco products.  Accordingly, if the Appellate Body were to uphold the Panel's interpretation of trade-restrictiveness under Article</w:t>
      </w:r>
      <w:r w:rsidR="00504B61">
        <w:t> </w:t>
      </w:r>
      <w:r>
        <w:t xml:space="preserve">2.2, any alternative measure that would make an equivalent contribution to the TPP measures would </w:t>
      </w:r>
      <w:r w:rsidRPr="00122E2B">
        <w:t xml:space="preserve">necessarily </w:t>
      </w:r>
      <w:r>
        <w:t xml:space="preserve">be </w:t>
      </w:r>
      <w:r w:rsidRPr="00792AF9">
        <w:rPr>
          <w:i/>
        </w:rPr>
        <w:t xml:space="preserve">at least as trade-restrictive </w:t>
      </w:r>
      <w:r w:rsidRPr="00E878A6">
        <w:t>as</w:t>
      </w:r>
      <w:r w:rsidRPr="0030155D">
        <w:t xml:space="preserve"> </w:t>
      </w:r>
      <w:r w:rsidR="007D22CD">
        <w:t>the TPP measures.</w:t>
      </w:r>
      <w:r>
        <w:t xml:space="preserve">  </w:t>
      </w:r>
    </w:p>
    <w:p w14:paraId="5E223B25" w14:textId="2ECE26FC" w:rsidR="00FF4B8B" w:rsidRDefault="00FF4B8B" w:rsidP="00A571E6">
      <w:pPr>
        <w:pStyle w:val="WTONumbered"/>
        <w:ind w:left="0" w:firstLine="0"/>
      </w:pPr>
      <w:r>
        <w:t>In any event, the complainants' claims that the Panel erred in its analysis of the contribution of alternative measures under Article</w:t>
      </w:r>
      <w:r w:rsidR="00504B61">
        <w:t> </w:t>
      </w:r>
      <w:r>
        <w:t xml:space="preserve">2.2 of the TBT Agreement are unfounded.  Contrary to the complainants' argument, the Panel did not reject increases in </w:t>
      </w:r>
      <w:r w:rsidR="007D22CD">
        <w:t xml:space="preserve">the </w:t>
      </w:r>
      <w:r w:rsidR="00AC3698">
        <w:t>minimum legal purchase age ("</w:t>
      </w:r>
      <w:r>
        <w:t>MLPA</w:t>
      </w:r>
      <w:r w:rsidR="00AC3698">
        <w:t>")</w:t>
      </w:r>
      <w:r>
        <w:t xml:space="preserve"> and in excise taxes because they would not operate through the same causal mechanisms as the TPP measures.  Rather, the Panel properly held that an increase in </w:t>
      </w:r>
      <w:r w:rsidR="007D22CD">
        <w:t xml:space="preserve">the </w:t>
      </w:r>
      <w:r>
        <w:t>MLPA would only address the availability of tobacco products to individuals below 21 years of age, and would leave unaddressed those design features of the pack that make tobacco packaging more appealing.  Moreover, the Panel correctly held that any contribution that increased excise taxes woul</w:t>
      </w:r>
      <w:r w:rsidR="00830DDB">
        <w:t>d make to Australia's objective</w:t>
      </w:r>
      <w:r>
        <w:t xml:space="preserve"> would be </w:t>
      </w:r>
      <w:r w:rsidRPr="00F03807">
        <w:rPr>
          <w:i/>
        </w:rPr>
        <w:t>undermined</w:t>
      </w:r>
      <w:r>
        <w:t xml:space="preserve"> by those elements of tobacco packaging that would continue to be used to convey positive imagery or messaging, especially to adolescents and young adults.  Therefore, the Panel properly held that an increase in excise taxes would not make an equivalent contri</w:t>
      </w:r>
      <w:r w:rsidR="007D22CD">
        <w:t>bution to Australia's objective</w:t>
      </w:r>
      <w:r>
        <w:t xml:space="preserve"> as the TPP measures.    </w:t>
      </w:r>
    </w:p>
    <w:p w14:paraId="6243E8CF" w14:textId="35BA65D8" w:rsidR="00FF4B8B" w:rsidRDefault="00FF4B8B" w:rsidP="00A571E6">
      <w:pPr>
        <w:pStyle w:val="WTONumbered"/>
        <w:ind w:left="0" w:firstLine="0"/>
      </w:pPr>
      <w:r>
        <w:t>The Panel was further correct in holding that neither an increase in</w:t>
      </w:r>
      <w:r w:rsidR="007D22CD">
        <w:t xml:space="preserve"> the</w:t>
      </w:r>
      <w:r>
        <w:t xml:space="preserve"> MLPA nor an increase in excise taxes would have any synergistic effects with other elements of Australia's comprehensive tobacco control policy, in particular enlarged GHWs.  </w:t>
      </w:r>
      <w:r>
        <w:lastRenderedPageBreak/>
        <w:t xml:space="preserve">The Panel correctly found that neither of these alternatives would have any effect on the communication functions of the </w:t>
      </w:r>
      <w:r w:rsidR="007D22CD">
        <w:t>pack, while the TPP measures have</w:t>
      </w:r>
      <w:r>
        <w:t xml:space="preserve"> the effect of increasing the effectiveness of GHWs by increasing their salience, making them easier to see, more noticeable, and perceived as more credible and more serious.</w:t>
      </w:r>
    </w:p>
    <w:p w14:paraId="62473C64" w14:textId="5CCD9ABF" w:rsidR="00FF4B8B" w:rsidRDefault="00FF4B8B" w:rsidP="00A571E6">
      <w:pPr>
        <w:pStyle w:val="WTONumbered"/>
        <w:ind w:left="0" w:firstLine="0"/>
      </w:pPr>
      <w:r>
        <w:t>Finally, Honduras is incorrect that the Panel's refer</w:t>
      </w:r>
      <w:r w:rsidR="007D22CD">
        <w:t xml:space="preserve">ences to "substitute" measures </w:t>
      </w:r>
      <w:r>
        <w:t>implies that the Panel imposed a standard of "identical" degree of contribution, or imposed a more rigorous standard of equivalence in the context of a comprehensive suite of measures.  Rather, the Panel properly sought to ascertain whether each of the alternatives made an "equivalent" contri</w:t>
      </w:r>
      <w:r w:rsidR="007D22CD">
        <w:t>bution to Australia's objective</w:t>
      </w:r>
      <w:r>
        <w:t xml:space="preserve"> as the TPP measures, and consistent with the Appellate Body's guidance in </w:t>
      </w:r>
      <w:r w:rsidRPr="006551F9">
        <w:rPr>
          <w:i/>
        </w:rPr>
        <w:t>Brazil – Retreaded Tyres</w:t>
      </w:r>
      <w:r w:rsidR="00A571E6">
        <w:t>,</w:t>
      </w:r>
      <w:r>
        <w:t xml:space="preserve"> considered the contribution of the TPP measures in the context of Australia's comprehensive tobacco control policy. </w:t>
      </w:r>
    </w:p>
    <w:p w14:paraId="61E4B772" w14:textId="7FF502D7" w:rsidR="00FF4B8B" w:rsidRDefault="00FF4B8B" w:rsidP="00FF4B8B">
      <w:pPr>
        <w:pStyle w:val="Heading3"/>
        <w:numPr>
          <w:ilvl w:val="2"/>
          <w:numId w:val="2"/>
        </w:numPr>
        <w:ind w:left="2160" w:hanging="720"/>
      </w:pPr>
      <w:r>
        <w:t>The Panel Did Not Act Inconsistently with Article</w:t>
      </w:r>
      <w:r w:rsidR="00504B61">
        <w:t> </w:t>
      </w:r>
      <w:r>
        <w:t xml:space="preserve">11 of the DSU in </w:t>
      </w:r>
      <w:r w:rsidR="00A571E6">
        <w:t>I</w:t>
      </w:r>
      <w:r>
        <w:t xml:space="preserve">ts Assessment of the Alternatives </w:t>
      </w:r>
    </w:p>
    <w:p w14:paraId="1E5E7891" w14:textId="39407D88" w:rsidR="00FF4B8B" w:rsidRDefault="00FF4B8B" w:rsidP="00A571E6">
      <w:pPr>
        <w:pStyle w:val="WTONumbered"/>
        <w:ind w:left="0" w:firstLine="0"/>
      </w:pPr>
      <w:r>
        <w:t>Finally, the Dominican Republic has failed to demonstrate that the Panel acted inconsistently with Article</w:t>
      </w:r>
      <w:r w:rsidR="00504B61">
        <w:t> </w:t>
      </w:r>
      <w:r>
        <w:t>11 of the DSU in its asses</w:t>
      </w:r>
      <w:r w:rsidR="00830DDB">
        <w:t>sment of the alternatives.  The </w:t>
      </w:r>
      <w:r>
        <w:t>Panel's assessment of the trade-restrictiveness of an increase in</w:t>
      </w:r>
      <w:r w:rsidR="007D22CD">
        <w:t xml:space="preserve"> the</w:t>
      </w:r>
      <w:r>
        <w:t xml:space="preserve"> MLPA is not "internally contradictory" with the Panel's assessment of the contribution of that alternative, because the Panel did not rely on "future effects" in reaching its findings, as the Dominican Republic incorrectly posits.  Rather, the Panel's findings in relation to both the element of trade-restrictiveness and the contribution of an increase in </w:t>
      </w:r>
      <w:r w:rsidR="007D22CD">
        <w:t xml:space="preserve">the </w:t>
      </w:r>
      <w:r>
        <w:t>MLPA were based on the immediate effects of this purported alternative.</w:t>
      </w:r>
    </w:p>
    <w:p w14:paraId="29441896" w14:textId="36A14A82" w:rsidR="00FF4B8B" w:rsidRDefault="00FF4B8B" w:rsidP="00A571E6">
      <w:pPr>
        <w:pStyle w:val="WTONumbered"/>
        <w:ind w:left="0" w:firstLine="0"/>
      </w:pPr>
      <w:r>
        <w:t>Moreover, the Panel neither failed to engage with th</w:t>
      </w:r>
      <w:r w:rsidR="007D22CD">
        <w:t>e Dominican Republic's evidence</w:t>
      </w:r>
      <w:r>
        <w:t xml:space="preserve"> nor failed to provide a reasoned and adequate explanation in finding that</w:t>
      </w:r>
      <w:r w:rsidR="007D22CD">
        <w:t>,</w:t>
      </w:r>
      <w:r>
        <w:t xml:space="preserve"> in the absence of the TPP measures</w:t>
      </w:r>
      <w:r w:rsidR="007D22CD">
        <w:t>,</w:t>
      </w:r>
      <w:r>
        <w:t xml:space="preserve"> the communication functions of tobacco packaging would not be addressed "at all".  The fact that </w:t>
      </w:r>
      <w:r w:rsidRPr="00E878A6">
        <w:rPr>
          <w:i/>
        </w:rPr>
        <w:t xml:space="preserve">other </w:t>
      </w:r>
      <w:r>
        <w:t xml:space="preserve">existing elements of Australia's comprehensive tobacco control policy, such as enlarged GHWs, may restrict the space available for the tobacco industry to use tobacco packaging as a means of promotion does </w:t>
      </w:r>
      <w:r w:rsidRPr="00E878A6">
        <w:rPr>
          <w:i/>
        </w:rPr>
        <w:t>not</w:t>
      </w:r>
      <w:r>
        <w:t xml:space="preserve"> establish that an increase in</w:t>
      </w:r>
      <w:r w:rsidR="007123E6">
        <w:t xml:space="preserve"> the</w:t>
      </w:r>
      <w:r>
        <w:t xml:space="preserve"> MLPA has those same effects.  </w:t>
      </w:r>
    </w:p>
    <w:p w14:paraId="74898C0B" w14:textId="7A1C8E37" w:rsidR="00B50195" w:rsidRPr="00C13C7C" w:rsidRDefault="00FF4B8B" w:rsidP="00A571E6">
      <w:pPr>
        <w:pStyle w:val="WTONumbered"/>
        <w:ind w:left="0" w:firstLine="0"/>
      </w:pPr>
      <w:r>
        <w:t xml:space="preserve">Accordingly, the </w:t>
      </w:r>
      <w:r w:rsidR="007D22CD">
        <w:t>appellants</w:t>
      </w:r>
      <w:r>
        <w:t xml:space="preserve"> have failed to establish that the Panel erred in its application of Article</w:t>
      </w:r>
      <w:r w:rsidR="00504B61">
        <w:t> </w:t>
      </w:r>
      <w:r>
        <w:t>2.2, or acted inconsistently with Article</w:t>
      </w:r>
      <w:r w:rsidR="00504B61">
        <w:t> </w:t>
      </w:r>
      <w:r>
        <w:t xml:space="preserve">11 of the DSU, in its analysis of alternative measures. </w:t>
      </w:r>
      <w:bookmarkEnd w:id="2"/>
      <w:bookmarkEnd w:id="3"/>
      <w:bookmarkEnd w:id="4"/>
    </w:p>
    <w:p w14:paraId="5BCE7995" w14:textId="349C5F1A" w:rsidR="00B50195" w:rsidRPr="00C13C7C" w:rsidRDefault="000A5E4B" w:rsidP="000A5E4B">
      <w:pPr>
        <w:pStyle w:val="Heading1"/>
      </w:pPr>
      <w:r>
        <w:t xml:space="preserve">CLAIMS </w:t>
      </w:r>
      <w:r w:rsidR="007D22CD">
        <w:t>UNDER ARTICLE</w:t>
      </w:r>
      <w:r w:rsidR="00504B61">
        <w:t> </w:t>
      </w:r>
      <w:r w:rsidR="007D22CD">
        <w:t xml:space="preserve">11 OF THE DSU </w:t>
      </w:r>
      <w:r w:rsidR="002171F7">
        <w:t>REGARDING</w:t>
      </w:r>
      <w:r w:rsidR="007D22CD">
        <w:t xml:space="preserve"> THE PANEL'S CONTRIBUTION FINDINGS </w:t>
      </w:r>
    </w:p>
    <w:p w14:paraId="67BAA017" w14:textId="7570E07A" w:rsidR="00DA6E98" w:rsidRPr="00C13C7C" w:rsidRDefault="007D22CD" w:rsidP="00A571E6">
      <w:pPr>
        <w:pStyle w:val="WTONumbered"/>
        <w:ind w:left="0" w:firstLine="0"/>
      </w:pPr>
      <w:r>
        <w:t>T</w:t>
      </w:r>
      <w:r w:rsidR="0029484F" w:rsidRPr="00C13C7C">
        <w:t>he a</w:t>
      </w:r>
      <w:r w:rsidR="00504B61">
        <w:t>ppellants' claims under Article </w:t>
      </w:r>
      <w:r w:rsidR="0029484F" w:rsidRPr="00C13C7C">
        <w:t>11 of the DSU form the core of th</w:t>
      </w:r>
      <w:r>
        <w:t>eir</w:t>
      </w:r>
      <w:r w:rsidR="0029484F" w:rsidRPr="00C13C7C">
        <w:t xml:space="preserve"> appeal</w:t>
      </w:r>
      <w:r>
        <w:t>s</w:t>
      </w:r>
      <w:r w:rsidR="0029484F" w:rsidRPr="00C13C7C">
        <w:t>, collectively comprising nearly 450 pages of their appellant submissions.  This far exceeds the scope of any prior Article</w:t>
      </w:r>
      <w:r w:rsidR="00504B61">
        <w:t> </w:t>
      </w:r>
      <w:r w:rsidR="0029484F" w:rsidRPr="00C13C7C">
        <w:t>11 challenge and constitutes an unprecedented assault on a panel's performance of its fact-finding fu</w:t>
      </w:r>
      <w:r>
        <w:t xml:space="preserve">nction.  </w:t>
      </w:r>
      <w:r w:rsidR="00DA6E98" w:rsidRPr="00C13C7C">
        <w:t xml:space="preserve">  </w:t>
      </w:r>
    </w:p>
    <w:p w14:paraId="7BD750D3" w14:textId="56CBEB7A" w:rsidR="00D02A67" w:rsidRPr="00C13C7C" w:rsidRDefault="0029484F" w:rsidP="00A571E6">
      <w:pPr>
        <w:pStyle w:val="WTONumbered"/>
        <w:ind w:left="0" w:firstLine="0"/>
      </w:pPr>
      <w:r w:rsidRPr="00C13C7C">
        <w:t xml:space="preserve">The appellants' assurance that they have followed "the Appellate Body's guidance" and "carefully considered whether, and in which specific instances, to challenge the lack of objectivity of the Panel's assessment of the matter" rings hollow </w:t>
      </w:r>
      <w:r w:rsidRPr="00C13C7C">
        <w:lastRenderedPageBreak/>
        <w:t>given both the sc</w:t>
      </w:r>
      <w:r w:rsidR="00504B61">
        <w:t>ale and nature of their Article </w:t>
      </w:r>
      <w:r w:rsidRPr="00C13C7C">
        <w:t>11 claims.</w:t>
      </w:r>
      <w:r w:rsidRPr="00C13C7C">
        <w:rPr>
          <w:rStyle w:val="FootnoteReference"/>
        </w:rPr>
        <w:footnoteReference w:id="25"/>
      </w:r>
      <w:r w:rsidRPr="00C13C7C">
        <w:t xml:space="preserve">  Together, the appellants have alleged</w:t>
      </w:r>
      <w:r w:rsidR="00D02A67" w:rsidRPr="00C13C7C">
        <w:t xml:space="preserve">, </w:t>
      </w:r>
      <w:r w:rsidR="00D02A67" w:rsidRPr="00C13C7C">
        <w:rPr>
          <w:i/>
        </w:rPr>
        <w:t>inter alia</w:t>
      </w:r>
      <w:r w:rsidR="00D02A67" w:rsidRPr="00C13C7C">
        <w:t>, that</w:t>
      </w:r>
      <w:r w:rsidR="00BB6EDC" w:rsidRPr="00C13C7C">
        <w:t xml:space="preserve"> the Panel: denied them due process</w:t>
      </w:r>
      <w:r w:rsidRPr="00C13C7C">
        <w:t xml:space="preserve"> because they were denied any meaningful opportunity to comment on various aspects of the Panel's evaluation of the expert evidence</w:t>
      </w:r>
      <w:r w:rsidR="00C13C7C">
        <w:t>; denied them due process</w:t>
      </w:r>
      <w:r w:rsidR="00BB6EDC" w:rsidRPr="00C13C7C">
        <w:t xml:space="preserve"> by relying on the technical staff of the WTO Secretariat (disparagi</w:t>
      </w:r>
      <w:r w:rsidR="00CC6BDF">
        <w:t xml:space="preserve">ngly referred to as a </w:t>
      </w:r>
      <w:r w:rsidR="00BB6EDC" w:rsidRPr="00C13C7C">
        <w:t xml:space="preserve">"ghost expert") instead of appointing an expert; </w:t>
      </w:r>
      <w:r w:rsidR="00D02A67" w:rsidRPr="00C13C7C">
        <w:t>lacked "even-handedness" in its approach to the evidence; and f</w:t>
      </w:r>
      <w:r w:rsidR="004552AE">
        <w:t>ailed to provide reasoned</w:t>
      </w:r>
      <w:r w:rsidR="00D02A67" w:rsidRPr="00C13C7C">
        <w:t xml:space="preserve"> and adequate explanations</w:t>
      </w:r>
      <w:r w:rsidR="004552AE">
        <w:t xml:space="preserve"> for its findings</w:t>
      </w:r>
      <w:r w:rsidR="00D02A67" w:rsidRPr="00C13C7C">
        <w:t>.</w:t>
      </w:r>
      <w:r w:rsidR="00DA6E98" w:rsidRPr="00C13C7C">
        <w:t xml:space="preserve">  </w:t>
      </w:r>
      <w:r w:rsidR="00523BA5" w:rsidRPr="00C13C7C">
        <w:t>In making these far-reaching claims</w:t>
      </w:r>
      <w:r w:rsidR="00DA6E98" w:rsidRPr="00C13C7C">
        <w:t xml:space="preserve">, the appellants' strategy appears to be to </w:t>
      </w:r>
      <w:r w:rsidR="007D22CD">
        <w:t>re-litigate factual</w:t>
      </w:r>
      <w:r w:rsidR="00DA6E98" w:rsidRPr="00C13C7C">
        <w:t xml:space="preserve"> issues </w:t>
      </w:r>
      <w:r w:rsidR="004552AE">
        <w:t xml:space="preserve">that </w:t>
      </w:r>
      <w:r w:rsidR="00DA6E98" w:rsidRPr="00C13C7C">
        <w:t xml:space="preserve">they lost before the Panel.  </w:t>
      </w:r>
    </w:p>
    <w:p w14:paraId="3EFA4F18" w14:textId="2775F3C4" w:rsidR="00BB6EDC" w:rsidRPr="00C13C7C" w:rsidRDefault="005E3006" w:rsidP="00A571E6">
      <w:pPr>
        <w:pStyle w:val="WTONumbered"/>
        <w:ind w:left="0" w:firstLine="0"/>
      </w:pPr>
      <w:r>
        <w:t xml:space="preserve">While </w:t>
      </w:r>
      <w:r w:rsidR="00BB6EDC" w:rsidRPr="00C13C7C">
        <w:t>the appellants' particular claim</w:t>
      </w:r>
      <w:r w:rsidR="004552AE">
        <w:t xml:space="preserve">s are dealt with </w:t>
      </w:r>
      <w:r w:rsidR="00BB6EDC" w:rsidRPr="00C13C7C">
        <w:t>below, Australia</w:t>
      </w:r>
      <w:r w:rsidR="000B0540">
        <w:t xml:space="preserve"> observes at the outset that</w:t>
      </w:r>
      <w:r w:rsidR="00BB6EDC" w:rsidRPr="00C13C7C">
        <w:t>:</w:t>
      </w:r>
    </w:p>
    <w:p w14:paraId="61E6362D" w14:textId="495DFB8C" w:rsidR="007C6993" w:rsidRPr="007C6993" w:rsidRDefault="007C6993" w:rsidP="007C6993">
      <w:pPr>
        <w:pStyle w:val="ListBullet"/>
      </w:pPr>
      <w:r w:rsidRPr="007C6993">
        <w:t>A premise of many of the appellants' claims is that the Panel was required to test all of its reasoning with the parties in order to afford due process.  The Appellate Body has previously rejected this proposition.</w:t>
      </w:r>
      <w:r>
        <w:rPr>
          <w:rStyle w:val="FootnoteReference"/>
        </w:rPr>
        <w:footnoteReference w:id="26"/>
      </w:r>
      <w:r w:rsidR="00830DDB">
        <w:t xml:space="preserve">  </w:t>
      </w:r>
      <w:r w:rsidRPr="007C6993">
        <w:t>Due</w:t>
      </w:r>
      <w:r w:rsidR="00830DDB">
        <w:t> </w:t>
      </w:r>
      <w:r w:rsidRPr="007C6993">
        <w:t>process does not require that a panel "engage with the parties upon the findings and conclusions that it intends to adopt in resolving the dispute", so long as the panel's approach does not "depart so radically" from the case presented that the parties were "left guessing as to what proof they would have needed to adduce."</w:t>
      </w:r>
      <w:r>
        <w:rPr>
          <w:rStyle w:val="FootnoteReference"/>
        </w:rPr>
        <w:footnoteReference w:id="27"/>
      </w:r>
      <w:r w:rsidR="009664F4">
        <w:t xml:space="preserve">  </w:t>
      </w:r>
      <w:r w:rsidRPr="007C6993">
        <w:t xml:space="preserve">While the appellants assert that the Panel "depart[ed] … radically" from the evidence and arguments presented by the parties, the evidentiary record demonstrates otherwise.  </w:t>
      </w:r>
    </w:p>
    <w:p w14:paraId="34EBD688" w14:textId="18656549" w:rsidR="00665B93" w:rsidRPr="00C13C7C" w:rsidRDefault="007D22CD" w:rsidP="00AC3698">
      <w:pPr>
        <w:pStyle w:val="ListBullet"/>
      </w:pPr>
      <w:r>
        <w:t>T</w:t>
      </w:r>
      <w:r w:rsidR="00D02A67" w:rsidRPr="00C13C7C">
        <w:t>he complainants did not utilise the interim review process to raise substantive concerns</w:t>
      </w:r>
      <w:r w:rsidR="006C0DA9" w:rsidRPr="00C13C7C">
        <w:t xml:space="preserve"> about the evaluation of the evidence</w:t>
      </w:r>
      <w:r w:rsidR="00665B93" w:rsidRPr="00C13C7C">
        <w:t>, as provided for under Article</w:t>
      </w:r>
      <w:r w:rsidR="00504B61">
        <w:t> </w:t>
      </w:r>
      <w:r w:rsidR="00665B93" w:rsidRPr="00C13C7C">
        <w:t xml:space="preserve">15 of the DSU.  Neither appellant raised concerns regarding the Panel's assessment of the factual evidence or identified errors with respect to the Panel's </w:t>
      </w:r>
      <w:r>
        <w:t xml:space="preserve">evaluation of the </w:t>
      </w:r>
      <w:r w:rsidR="00665B93" w:rsidRPr="00C13C7C">
        <w:t xml:space="preserve">statistical or econometric </w:t>
      </w:r>
      <w:r w:rsidR="000B0540">
        <w:t xml:space="preserve">evidence </w:t>
      </w:r>
      <w:r w:rsidR="004552AE">
        <w:t>when</w:t>
      </w:r>
      <w:r w:rsidR="00665B93" w:rsidRPr="00C13C7C">
        <w:t xml:space="preserve"> they provided their written comments on the interim report, nor did either appellant request a further meeting with the Panel</w:t>
      </w:r>
      <w:r w:rsidR="000B0540">
        <w:t xml:space="preserve"> to discuss any aspect of that evaluation</w:t>
      </w:r>
      <w:r w:rsidR="00665B93" w:rsidRPr="00C13C7C">
        <w:t xml:space="preserve">.  </w:t>
      </w:r>
      <w:r>
        <w:t>In these circumstances, there was no failure to accord due process.</w:t>
      </w:r>
      <w:r w:rsidR="00665B93" w:rsidRPr="00C13C7C">
        <w:t xml:space="preserve"> </w:t>
      </w:r>
    </w:p>
    <w:p w14:paraId="4B70BBB6" w14:textId="37788042" w:rsidR="00BB6EDC" w:rsidRPr="00C13C7C" w:rsidRDefault="007D22CD" w:rsidP="00AC3698">
      <w:pPr>
        <w:pStyle w:val="ListBullet"/>
      </w:pPr>
      <w:r>
        <w:t>T</w:t>
      </w:r>
      <w:r w:rsidR="00BB6EDC" w:rsidRPr="00C13C7C">
        <w:t>he complainants</w:t>
      </w:r>
      <w:r w:rsidR="00D02A67" w:rsidRPr="00C13C7C">
        <w:t xml:space="preserve"> made no request for the Panel to exercise its authority to appoint an expert or group of experts</w:t>
      </w:r>
      <w:r w:rsidR="00BB6EDC" w:rsidRPr="00C13C7C">
        <w:t xml:space="preserve"> during the course of the proceedings</w:t>
      </w:r>
      <w:r w:rsidR="001C2E66" w:rsidRPr="00C13C7C">
        <w:t xml:space="preserve"> under Article</w:t>
      </w:r>
      <w:r w:rsidR="00504B61">
        <w:t> </w:t>
      </w:r>
      <w:r w:rsidR="001C2E66" w:rsidRPr="00C13C7C">
        <w:t>14.2 of the TBT Agreement or Article</w:t>
      </w:r>
      <w:r w:rsidR="00504B61">
        <w:t> </w:t>
      </w:r>
      <w:r w:rsidR="001C2E66" w:rsidRPr="00C13C7C">
        <w:t>13.</w:t>
      </w:r>
      <w:r w:rsidR="00830DDB">
        <w:t>2 of the DSU.  In </w:t>
      </w:r>
      <w:r w:rsidR="00EA2943" w:rsidRPr="00C13C7C">
        <w:t>light of this</w:t>
      </w:r>
      <w:r w:rsidR="00523BA5" w:rsidRPr="00C13C7C">
        <w:t>,</w:t>
      </w:r>
      <w:r w:rsidR="001C2E66" w:rsidRPr="00C13C7C">
        <w:t xml:space="preserve"> the appellants' arguments that the Panel failed to afford them due process by not appointing an expert</w:t>
      </w:r>
      <w:r w:rsidR="00C21DC8" w:rsidRPr="00C13C7C">
        <w:t xml:space="preserve">, and criticising the Panel for utilising </w:t>
      </w:r>
      <w:r w:rsidR="00EA2943" w:rsidRPr="00C13C7C">
        <w:t>the WTO Secretariat (as the "ghost expert") for technical support</w:t>
      </w:r>
      <w:r w:rsidR="000B0540">
        <w:t>,</w:t>
      </w:r>
      <w:r w:rsidR="00EA2943" w:rsidRPr="00C13C7C">
        <w:t xml:space="preserve"> as </w:t>
      </w:r>
      <w:r w:rsidR="000B0540">
        <w:t xml:space="preserve">contemplated </w:t>
      </w:r>
      <w:r w:rsidR="00EA2943" w:rsidRPr="00C13C7C">
        <w:t>under Article</w:t>
      </w:r>
      <w:r w:rsidR="00504B61">
        <w:t> </w:t>
      </w:r>
      <w:r w:rsidR="00EA2943" w:rsidRPr="00C13C7C">
        <w:t>27 of the DSU, must be rejected.</w:t>
      </w:r>
    </w:p>
    <w:p w14:paraId="3D033905" w14:textId="066F5E3C" w:rsidR="00BB6EDC" w:rsidRPr="00C13C7C" w:rsidRDefault="007D22CD" w:rsidP="00AC3698">
      <w:pPr>
        <w:pStyle w:val="ListBullet"/>
      </w:pPr>
      <w:r>
        <w:t>T</w:t>
      </w:r>
      <w:r w:rsidR="00BB6EDC" w:rsidRPr="00C13C7C">
        <w:t xml:space="preserve">he complainants </w:t>
      </w:r>
      <w:r>
        <w:t xml:space="preserve">entirely </w:t>
      </w:r>
      <w:r w:rsidR="00BB6EDC" w:rsidRPr="00C13C7C">
        <w:t>ignore that they bore the burden of proving that t</w:t>
      </w:r>
      <w:r w:rsidR="00265B4C" w:rsidRPr="00C13C7C">
        <w:t xml:space="preserve">he </w:t>
      </w:r>
      <w:r w:rsidR="00BB6EDC" w:rsidRPr="00C13C7C">
        <w:t xml:space="preserve">TPP measures </w:t>
      </w:r>
      <w:r w:rsidR="00523BA5" w:rsidRPr="00C13C7C">
        <w:t>a</w:t>
      </w:r>
      <w:r w:rsidR="00BB6EDC" w:rsidRPr="00C13C7C">
        <w:t xml:space="preserve">re </w:t>
      </w:r>
      <w:r w:rsidR="00BB6EDC" w:rsidRPr="00C13C7C">
        <w:rPr>
          <w:i/>
        </w:rPr>
        <w:t>incapable</w:t>
      </w:r>
      <w:r w:rsidR="00BB6EDC" w:rsidRPr="00C13C7C">
        <w:t xml:space="preserve"> of contributing to </w:t>
      </w:r>
      <w:r>
        <w:t>Australia's objective</w:t>
      </w:r>
      <w:r w:rsidR="00BB6EDC" w:rsidRPr="00C13C7C">
        <w:t xml:space="preserve">, </w:t>
      </w:r>
      <w:r w:rsidR="00BE730E" w:rsidRPr="00C13C7C">
        <w:t xml:space="preserve">as </w:t>
      </w:r>
      <w:r w:rsidR="00BE730E" w:rsidRPr="00C13C7C">
        <w:lastRenderedPageBreak/>
        <w:t xml:space="preserve">outlined below, </w:t>
      </w:r>
      <w:r w:rsidR="00BB6EDC" w:rsidRPr="00C13C7C">
        <w:t xml:space="preserve">and that the </w:t>
      </w:r>
      <w:r w:rsidR="00265B4C" w:rsidRPr="00C13C7C">
        <w:t xml:space="preserve">Panel properly scrutinised </w:t>
      </w:r>
      <w:r w:rsidR="00EA2943" w:rsidRPr="00C13C7C">
        <w:t>both parties'</w:t>
      </w:r>
      <w:r w:rsidR="00265B4C" w:rsidRPr="00C13C7C">
        <w:t xml:space="preserve"> evidence for the p</w:t>
      </w:r>
      <w:r w:rsidR="00EA2943" w:rsidRPr="00C13C7C">
        <w:t xml:space="preserve">urpose for which it was provided.  </w:t>
      </w:r>
    </w:p>
    <w:p w14:paraId="1501EF01" w14:textId="7A8E80CD" w:rsidR="0029484F" w:rsidRPr="00C13C7C" w:rsidRDefault="007D22CD" w:rsidP="00AC3698">
      <w:pPr>
        <w:pStyle w:val="ListBullet"/>
      </w:pPr>
      <w:r>
        <w:t>T</w:t>
      </w:r>
      <w:r w:rsidR="00BB6EDC" w:rsidRPr="00C13C7C">
        <w:t>he complainants' claims that the Panel failed to provide reason</w:t>
      </w:r>
      <w:r w:rsidR="00A571E6">
        <w:t>ed</w:t>
      </w:r>
      <w:r w:rsidR="00BB6EDC" w:rsidRPr="00C13C7C">
        <w:t xml:space="preserve"> and adequate explanations </w:t>
      </w:r>
      <w:r>
        <w:t xml:space="preserve">are unfounded given that the Panel Report included over </w:t>
      </w:r>
      <w:r w:rsidR="00EC1F85" w:rsidRPr="00C13C7C">
        <w:t xml:space="preserve">300 pages of </w:t>
      </w:r>
      <w:r w:rsidR="00BE730E" w:rsidRPr="00C13C7C">
        <w:t xml:space="preserve">detailed </w:t>
      </w:r>
      <w:r w:rsidR="00EC1F85" w:rsidRPr="00C13C7C">
        <w:t>analysis of</w:t>
      </w:r>
      <w:r w:rsidR="00BE730E" w:rsidRPr="00C13C7C">
        <w:t xml:space="preserve"> the</w:t>
      </w:r>
      <w:r w:rsidR="00EC1F85" w:rsidRPr="00C13C7C">
        <w:t xml:space="preserve"> evidence</w:t>
      </w:r>
      <w:r w:rsidR="00F22AB4" w:rsidRPr="00C13C7C">
        <w:t xml:space="preserve"> relating to the contribution of the TPP measures</w:t>
      </w:r>
      <w:r w:rsidR="00BB6EDC" w:rsidRPr="00C13C7C">
        <w:t>.</w:t>
      </w:r>
      <w:r w:rsidR="00EC1F85" w:rsidRPr="00C13C7C">
        <w:rPr>
          <w:rStyle w:val="FootnoteReference"/>
        </w:rPr>
        <w:footnoteReference w:id="28"/>
      </w:r>
      <w:r w:rsidR="00BB6EDC" w:rsidRPr="00C13C7C">
        <w:t xml:space="preserve"> </w:t>
      </w:r>
      <w:r w:rsidR="00EC1F85" w:rsidRPr="00C13C7C">
        <w:t xml:space="preserve"> </w:t>
      </w:r>
    </w:p>
    <w:p w14:paraId="670CF5AE" w14:textId="0B2752A9" w:rsidR="00B50195" w:rsidRPr="00C13C7C" w:rsidRDefault="00B50195" w:rsidP="000A5E4B">
      <w:pPr>
        <w:pStyle w:val="Heading2"/>
      </w:pPr>
      <w:r w:rsidRPr="00C13C7C">
        <w:t>Legal Standard for Article</w:t>
      </w:r>
      <w:r w:rsidR="00504B61">
        <w:t> </w:t>
      </w:r>
      <w:r w:rsidRPr="00C13C7C">
        <w:t xml:space="preserve">11 </w:t>
      </w:r>
      <w:r w:rsidR="00523BA5" w:rsidRPr="00C13C7C">
        <w:t xml:space="preserve">of the </w:t>
      </w:r>
      <w:r w:rsidRPr="00C13C7C">
        <w:t>DSU</w:t>
      </w:r>
    </w:p>
    <w:p w14:paraId="5F56D6BC" w14:textId="137FB5DE" w:rsidR="00DA6E98" w:rsidRPr="00C13C7C" w:rsidRDefault="00F22AB4" w:rsidP="00A571E6">
      <w:pPr>
        <w:pStyle w:val="WTONumbered"/>
        <w:ind w:left="0" w:firstLine="0"/>
      </w:pPr>
      <w:r w:rsidRPr="00C13C7C">
        <w:t>Under Article</w:t>
      </w:r>
      <w:r w:rsidR="00504B61">
        <w:t> </w:t>
      </w:r>
      <w:r w:rsidRPr="00C13C7C">
        <w:t>11 of the DSU, a panel must "consider all the evidence presented to it, assess its credibility, determine its weight and ensure that its factual findings have a proper basis in that evidence."</w:t>
      </w:r>
      <w:r w:rsidRPr="00C13C7C">
        <w:rPr>
          <w:rStyle w:val="FootnoteReference"/>
        </w:rPr>
        <w:footnoteReference w:id="29"/>
      </w:r>
      <w:r w:rsidR="0068392F" w:rsidRPr="00C13C7C">
        <w:t xml:space="preserve">  The Appellate Body has repeatedly stated that "panels enjoy a 'margin of discretion' as triers of fact",</w:t>
      </w:r>
      <w:r w:rsidR="0068392F" w:rsidRPr="00C13C7C">
        <w:rPr>
          <w:rStyle w:val="FootnoteReference"/>
        </w:rPr>
        <w:footnoteReference w:id="30"/>
      </w:r>
      <w:r w:rsidR="0068392F" w:rsidRPr="00C13C7C">
        <w:t xml:space="preserve"> and that "[c]onsistent with this margin of discretion, … 'not every error in the appreciation of the evidence… may be characterized as a failure to make an objective assessment of the facts.'"</w:t>
      </w:r>
      <w:r w:rsidR="0068392F" w:rsidRPr="00C13C7C">
        <w:rPr>
          <w:rStyle w:val="FootnoteReference"/>
        </w:rPr>
        <w:footnoteReference w:id="31"/>
      </w:r>
    </w:p>
    <w:p w14:paraId="794BF587" w14:textId="7407296D" w:rsidR="00790A84" w:rsidRPr="00C13C7C" w:rsidRDefault="0068392F" w:rsidP="00A571E6">
      <w:pPr>
        <w:pStyle w:val="WTONumbered"/>
        <w:ind w:left="0" w:firstLine="0"/>
      </w:pPr>
      <w:r w:rsidRPr="00C13C7C">
        <w:t xml:space="preserve">The appellants therefore cannot </w:t>
      </w:r>
      <w:r w:rsidR="00A571E6">
        <w:t>sustain</w:t>
      </w:r>
      <w:r w:rsidRPr="00C13C7C">
        <w:t xml:space="preserve"> their Article</w:t>
      </w:r>
      <w:r w:rsidR="00504B61">
        <w:t> </w:t>
      </w:r>
      <w:r w:rsidRPr="00C13C7C">
        <w:t>11 claims unless the Appellate Body</w:t>
      </w:r>
      <w:r w:rsidR="00790A84" w:rsidRPr="00C13C7C">
        <w:t xml:space="preserve"> is satisfied that both of the following conditions have been fulfilled:</w:t>
      </w:r>
    </w:p>
    <w:p w14:paraId="440DF874" w14:textId="328C7063" w:rsidR="00790A84" w:rsidRPr="00C13C7C" w:rsidRDefault="00A571E6" w:rsidP="00AC3698">
      <w:pPr>
        <w:pStyle w:val="ListBullet"/>
      </w:pPr>
      <w:r>
        <w:t>F</w:t>
      </w:r>
      <w:r w:rsidR="00790A84" w:rsidRPr="00C13C7C">
        <w:t>irst,</w:t>
      </w:r>
      <w:r w:rsidR="00C13C7C">
        <w:t xml:space="preserve"> that</w:t>
      </w:r>
      <w:r w:rsidR="00790A84" w:rsidRPr="00C13C7C">
        <w:t xml:space="preserve"> </w:t>
      </w:r>
      <w:r w:rsidR="0068392F" w:rsidRPr="00C13C7C">
        <w:t>the Panel erred by "exceed[ing] the bounds of its discretion, as the trier of facts"</w:t>
      </w:r>
      <w:r w:rsidR="00790A84" w:rsidRPr="00C13C7C">
        <w:t>.</w:t>
      </w:r>
      <w:r w:rsidR="0068392F" w:rsidRPr="00C13C7C">
        <w:rPr>
          <w:rStyle w:val="FootnoteReference"/>
        </w:rPr>
        <w:footnoteReference w:id="32"/>
      </w:r>
      <w:r w:rsidR="00790A84" w:rsidRPr="00C13C7C">
        <w:t xml:space="preserve">  This discretionary authority includes</w:t>
      </w:r>
      <w:r w:rsidR="007D22CD">
        <w:t>,</w:t>
      </w:r>
      <w:r w:rsidR="00790A84" w:rsidRPr="00C13C7C">
        <w:t xml:space="preserve"> </w:t>
      </w:r>
      <w:r w:rsidR="00790A84" w:rsidRPr="00C13C7C">
        <w:rPr>
          <w:i/>
        </w:rPr>
        <w:t>inter alia</w:t>
      </w:r>
      <w:r w:rsidR="007D22CD">
        <w:t>,</w:t>
      </w:r>
      <w:r w:rsidR="00790A84" w:rsidRPr="00C13C7C">
        <w:t xml:space="preserve"> weighing </w:t>
      </w:r>
      <w:r w:rsidR="005E3006">
        <w:t>the</w:t>
      </w:r>
      <w:r w:rsidR="00790A84" w:rsidRPr="00C13C7C">
        <w:t xml:space="preserve"> evidence, developing reasoning independent of the parties, framing the explanation for its findings</w:t>
      </w:r>
      <w:r>
        <w:t>,</w:t>
      </w:r>
      <w:r w:rsidR="00790A84" w:rsidRPr="00C13C7C">
        <w:t xml:space="preserve"> and balancing due process rights. </w:t>
      </w:r>
      <w:r w:rsidR="0068392F" w:rsidRPr="00C13C7C">
        <w:t xml:space="preserve"> </w:t>
      </w:r>
    </w:p>
    <w:p w14:paraId="03436F80" w14:textId="7FCC0C22" w:rsidR="0068392F" w:rsidRPr="00C13C7C" w:rsidRDefault="00A571E6" w:rsidP="00AC3698">
      <w:pPr>
        <w:pStyle w:val="ListBullet"/>
      </w:pPr>
      <w:r>
        <w:t>S</w:t>
      </w:r>
      <w:r w:rsidR="00790A84" w:rsidRPr="00C13C7C">
        <w:t xml:space="preserve">econd, </w:t>
      </w:r>
      <w:r w:rsidR="0068392F" w:rsidRPr="00C13C7C">
        <w:t>that the error is so material that it "undermine[s] the objectivity of the panel's assessment of the matter before</w:t>
      </w:r>
      <w:r w:rsidR="00523BA5" w:rsidRPr="00C13C7C">
        <w:t xml:space="preserve"> it</w:t>
      </w:r>
      <w:r w:rsidR="0068392F" w:rsidRPr="00C13C7C">
        <w:t>".</w:t>
      </w:r>
      <w:r w:rsidR="0068392F" w:rsidRPr="00C13C7C">
        <w:rPr>
          <w:rStyle w:val="FootnoteReference"/>
        </w:rPr>
        <w:footnoteReference w:id="33"/>
      </w:r>
      <w:r w:rsidR="000D1B7C" w:rsidRPr="00C13C7C">
        <w:t xml:space="preserve">  </w:t>
      </w:r>
      <w:r w:rsidR="00790A84" w:rsidRPr="00C13C7C">
        <w:t xml:space="preserve">That is, even if the appellants could establish that the Panel exceeded the bounds of its discretion, they would still need to demonstrate that the Panel's errors </w:t>
      </w:r>
      <w:r w:rsidR="00790A84" w:rsidRPr="00C13C7C">
        <w:rPr>
          <w:i/>
        </w:rPr>
        <w:t>materially</w:t>
      </w:r>
      <w:r w:rsidR="00790A84" w:rsidRPr="00C13C7C">
        <w:t xml:space="preserve"> undermined its findings, by invalidating</w:t>
      </w:r>
      <w:r w:rsidR="00720D9C">
        <w:t xml:space="preserve"> or vitiating the basis for those</w:t>
      </w:r>
      <w:r w:rsidR="00790A84" w:rsidRPr="00C13C7C">
        <w:t xml:space="preserve"> finding</w:t>
      </w:r>
      <w:r w:rsidR="00720D9C">
        <w:t>s</w:t>
      </w:r>
      <w:r w:rsidR="00790A84" w:rsidRPr="00C13C7C">
        <w:t>.</w:t>
      </w:r>
      <w:r w:rsidR="00523BA5" w:rsidRPr="00C13C7C">
        <w:rPr>
          <w:rStyle w:val="FootnoteReference"/>
        </w:rPr>
        <w:footnoteReference w:id="34"/>
      </w:r>
    </w:p>
    <w:p w14:paraId="59176198" w14:textId="558B0FB2" w:rsidR="0019684B" w:rsidRPr="00C13C7C" w:rsidRDefault="0019684B" w:rsidP="00A571E6">
      <w:pPr>
        <w:pStyle w:val="WTONumbered"/>
        <w:ind w:left="0" w:firstLine="0"/>
      </w:pPr>
      <w:r w:rsidRPr="00C13C7C">
        <w:t xml:space="preserve">As explained below, none of the appellants' alleged errors, individually or cumulatively, materially undermine the Panel's ultimate legal conclusion that the </w:t>
      </w:r>
      <w:r w:rsidRPr="00C13C7C">
        <w:lastRenderedPageBreak/>
        <w:t>complainants failed to meet their burden of proving that the TPP measures are not apt to make a contribution to A</w:t>
      </w:r>
      <w:r w:rsidR="00C66D03">
        <w:t>ustralia's legitimate objective</w:t>
      </w:r>
      <w:r w:rsidRPr="00C13C7C">
        <w:t xml:space="preserve">.  </w:t>
      </w:r>
    </w:p>
    <w:p w14:paraId="31CBF9A4" w14:textId="1C9BABAB" w:rsidR="00B50195" w:rsidRPr="00C13C7C" w:rsidRDefault="00523BA5" w:rsidP="000A5E4B">
      <w:pPr>
        <w:pStyle w:val="Heading2"/>
      </w:pPr>
      <w:r w:rsidRPr="00C13C7C">
        <w:t xml:space="preserve">The Complainants' </w:t>
      </w:r>
      <w:r w:rsidR="00B50195" w:rsidRPr="00C13C7C">
        <w:t>Burden of Proof</w:t>
      </w:r>
    </w:p>
    <w:p w14:paraId="0AD1F313" w14:textId="65C39C76" w:rsidR="006A5710" w:rsidRPr="00C13C7C" w:rsidRDefault="001F0DC9" w:rsidP="00A571E6">
      <w:pPr>
        <w:pStyle w:val="WTONumbered"/>
        <w:ind w:left="0" w:firstLine="0"/>
      </w:pPr>
      <w:r>
        <w:t>At the outset</w:t>
      </w:r>
      <w:r w:rsidR="00BE730E" w:rsidRPr="00C13C7C">
        <w:t xml:space="preserve">, </w:t>
      </w:r>
      <w:r w:rsidR="000B0540">
        <w:t xml:space="preserve">it is pertinent to recall </w:t>
      </w:r>
      <w:r w:rsidR="00BE730E" w:rsidRPr="00C13C7C">
        <w:t>the proper allocation of the burden of proof in this dispute, and how that burden of proof informed the Panel's asse</w:t>
      </w:r>
      <w:r w:rsidR="00523BA5" w:rsidRPr="00C13C7C">
        <w:t>ssment of the record evidence.</w:t>
      </w:r>
      <w:r w:rsidR="00BE730E" w:rsidRPr="00C13C7C">
        <w:rPr>
          <w:rStyle w:val="FootnoteReference"/>
        </w:rPr>
        <w:footnoteReference w:id="35"/>
      </w:r>
      <w:r w:rsidR="00BE730E" w:rsidRPr="00C13C7C">
        <w:t xml:space="preserve">  </w:t>
      </w:r>
    </w:p>
    <w:p w14:paraId="0460D28D" w14:textId="2F068E13" w:rsidR="002C6D6F" w:rsidRPr="00F37B83" w:rsidRDefault="001F0DC9" w:rsidP="00A571E6">
      <w:pPr>
        <w:pStyle w:val="WTONumbered"/>
        <w:ind w:left="0" w:firstLine="0"/>
      </w:pPr>
      <w:r>
        <w:t>The</w:t>
      </w:r>
      <w:r w:rsidR="002C6D6F" w:rsidRPr="00F37B83">
        <w:t xml:space="preserve"> complainants sought to make their </w:t>
      </w:r>
      <w:r w:rsidR="002C6D6F" w:rsidRPr="002C6D6F">
        <w:rPr>
          <w:i/>
        </w:rPr>
        <w:t xml:space="preserve">prima facie </w:t>
      </w:r>
      <w:r w:rsidR="002C6D6F" w:rsidRPr="00F37B83">
        <w:t>case under Article</w:t>
      </w:r>
      <w:r w:rsidR="00504B61">
        <w:t> </w:t>
      </w:r>
      <w:r w:rsidR="002C6D6F" w:rsidRPr="00F37B83">
        <w:t xml:space="preserve">2.2 of the TBT Agreement by arguing, </w:t>
      </w:r>
      <w:r w:rsidR="002C6D6F" w:rsidRPr="002C6D6F">
        <w:rPr>
          <w:i/>
        </w:rPr>
        <w:t>inter alia</w:t>
      </w:r>
      <w:r w:rsidR="002C6D6F" w:rsidRPr="00F37B83">
        <w:t>, that the TPP measures "</w:t>
      </w:r>
      <w:r w:rsidR="002C6D6F" w:rsidRPr="002C6D6F">
        <w:rPr>
          <w:i/>
        </w:rPr>
        <w:t>cannot contribute to their objective</w:t>
      </w:r>
      <w:r w:rsidR="002C6D6F" w:rsidRPr="00F37B83">
        <w:t xml:space="preserve"> through the mechanisms identifie</w:t>
      </w:r>
      <w:r w:rsidR="00830DDB">
        <w:t>d in the TPP Act, and that post</w:t>
      </w:r>
      <w:r w:rsidR="00830DDB">
        <w:noBreakHyphen/>
      </w:r>
      <w:r w:rsidR="002C6D6F" w:rsidRPr="00F37B83">
        <w:t xml:space="preserve">implementation evidence shows that </w:t>
      </w:r>
      <w:r w:rsidR="002C6D6F" w:rsidRPr="002C6D6F">
        <w:rPr>
          <w:i/>
        </w:rPr>
        <w:t>smoking prevalence has not in fact been reduced</w:t>
      </w:r>
      <w:r w:rsidR="002C6D6F" w:rsidRPr="00F37B83">
        <w:t xml:space="preserve"> as a result of the TPP measures."</w:t>
      </w:r>
      <w:r w:rsidR="002C6D6F" w:rsidRPr="00F37B83">
        <w:rPr>
          <w:sz w:val="22"/>
          <w:szCs w:val="22"/>
          <w:vertAlign w:val="superscript"/>
        </w:rPr>
        <w:footnoteReference w:id="36"/>
      </w:r>
      <w:r w:rsidR="002C6D6F" w:rsidRPr="00F37B83">
        <w:t xml:space="preserve">  The complainants therefore undertook the burden of demonstrating that, based on their design, structure and intended operation, the TPP measures constituted an </w:t>
      </w:r>
      <w:r w:rsidR="002C6D6F" w:rsidRPr="002C6D6F">
        <w:rPr>
          <w:i/>
        </w:rPr>
        <w:t>unnecessary</w:t>
      </w:r>
      <w:r w:rsidR="002C6D6F" w:rsidRPr="00F37B83">
        <w:t xml:space="preserve"> obstacle to international trade because they were </w:t>
      </w:r>
      <w:r w:rsidR="002C6D6F" w:rsidRPr="002C6D6F">
        <w:rPr>
          <w:i/>
        </w:rPr>
        <w:t xml:space="preserve">incapable </w:t>
      </w:r>
      <w:r w:rsidR="002C6D6F" w:rsidRPr="000B0540">
        <w:t>of contributing</w:t>
      </w:r>
      <w:r w:rsidR="002C6D6F" w:rsidRPr="002C6D6F">
        <w:rPr>
          <w:i/>
        </w:rPr>
        <w:t xml:space="preserve"> </w:t>
      </w:r>
      <w:r w:rsidR="002C6D6F" w:rsidRPr="00F37B83">
        <w:t xml:space="preserve">to Australia's objective of reducing the use of, and exposure to, tobacco products.  They further undertook to substantiate this allegation through quantitative evidence purportedly demonstrating that the TTP measures had in fact made </w:t>
      </w:r>
      <w:r w:rsidR="002C6D6F" w:rsidRPr="002C6D6F">
        <w:rPr>
          <w:i/>
        </w:rPr>
        <w:t xml:space="preserve">no </w:t>
      </w:r>
      <w:r w:rsidR="002C6D6F" w:rsidRPr="000B0540">
        <w:t>contribution</w:t>
      </w:r>
      <w:r w:rsidR="002C6D6F" w:rsidRPr="002C6D6F">
        <w:rPr>
          <w:i/>
        </w:rPr>
        <w:t xml:space="preserve"> </w:t>
      </w:r>
      <w:r w:rsidR="002C6D6F" w:rsidRPr="00F37B83">
        <w:t>to reducing smoking prevalence in Australia in the limited period of time following their implementation.</w:t>
      </w:r>
      <w:r w:rsidR="002C6D6F" w:rsidRPr="00F37B83">
        <w:rPr>
          <w:sz w:val="22"/>
          <w:szCs w:val="22"/>
          <w:vertAlign w:val="superscript"/>
        </w:rPr>
        <w:footnoteReference w:id="37"/>
      </w:r>
      <w:r w:rsidR="002C6D6F" w:rsidRPr="00F37B83">
        <w:t xml:space="preserve"> </w:t>
      </w:r>
    </w:p>
    <w:p w14:paraId="117A30FC" w14:textId="08C89D76" w:rsidR="002C6D6F" w:rsidRDefault="002C6D6F" w:rsidP="00A571E6">
      <w:pPr>
        <w:pStyle w:val="WTONumbered"/>
        <w:ind w:left="0" w:firstLine="0"/>
      </w:pPr>
      <w:r>
        <w:t xml:space="preserve">The complainants undertook this burden in the particular circumstances of this dispute, in which it was undisputed that Australia's market for tobacco products is </w:t>
      </w:r>
      <w:r w:rsidRPr="000D2173">
        <w:rPr>
          <w:i/>
        </w:rPr>
        <w:t>entirely</w:t>
      </w:r>
      <w:r>
        <w:t xml:space="preserve"> sourced from imports.</w:t>
      </w:r>
      <w:r>
        <w:rPr>
          <w:rStyle w:val="FootnoteReference"/>
        </w:rPr>
        <w:footnoteReference w:id="38"/>
      </w:r>
      <w:r>
        <w:t xml:space="preserve">  In these circumstances, the degree to which the TPP measures contribute to Australia's objective of reducing the use of and exposure to tobacco products </w:t>
      </w:r>
      <w:r w:rsidRPr="000D2173">
        <w:rPr>
          <w:i/>
        </w:rPr>
        <w:t>necessarily corresponds</w:t>
      </w:r>
      <w:r>
        <w:t xml:space="preserve"> to the degree to which the measures have a limiting effect on international trade in tobacco products.  Critically, because the TPP measures </w:t>
      </w:r>
      <w:r w:rsidRPr="003E0047">
        <w:t>only restrict</w:t>
      </w:r>
      <w:r>
        <w:t xml:space="preserve"> trade in tobacco products to the extent </w:t>
      </w:r>
      <w:r w:rsidRPr="000B0540">
        <w:rPr>
          <w:i/>
        </w:rPr>
        <w:t>required</w:t>
      </w:r>
      <w:r>
        <w:t xml:space="preserve"> to contribute to Australia's public health objective, the TPP measures are not </w:t>
      </w:r>
      <w:r w:rsidRPr="003E0047">
        <w:t>more trade</w:t>
      </w:r>
      <w:r>
        <w:t xml:space="preserve">-restrictive than </w:t>
      </w:r>
      <w:r w:rsidRPr="00B46380">
        <w:rPr>
          <w:i/>
        </w:rPr>
        <w:t>necessary</w:t>
      </w:r>
      <w:r>
        <w:rPr>
          <w:i/>
        </w:rPr>
        <w:t xml:space="preserve"> </w:t>
      </w:r>
      <w:r>
        <w:t>and, th</w:t>
      </w:r>
      <w:r w:rsidR="00504B61">
        <w:t>erefore, do not violate Article </w:t>
      </w:r>
      <w:r>
        <w:t xml:space="preserve">2.2.  In these circumstances, the complainants sought to prove that the TPP measures were </w:t>
      </w:r>
      <w:r>
        <w:rPr>
          <w:i/>
        </w:rPr>
        <w:t xml:space="preserve">incapable </w:t>
      </w:r>
      <w:r>
        <w:t xml:space="preserve">of making </w:t>
      </w:r>
      <w:r w:rsidRPr="000B0540">
        <w:t>any</w:t>
      </w:r>
      <w:r>
        <w:rPr>
          <w:i/>
        </w:rPr>
        <w:t xml:space="preserve"> </w:t>
      </w:r>
      <w:r>
        <w:t xml:space="preserve">contribution to reducing the use of and exposure to tobacco products in an attempt to discharge their burden of establishing that the TPP measures constitute an </w:t>
      </w:r>
      <w:r>
        <w:rPr>
          <w:i/>
        </w:rPr>
        <w:t xml:space="preserve">unnecessary </w:t>
      </w:r>
      <w:r>
        <w:t>obstacle to international trade.</w:t>
      </w:r>
    </w:p>
    <w:p w14:paraId="17B5EB25" w14:textId="12252FE4" w:rsidR="002C6D6F" w:rsidRPr="00A57D6A" w:rsidRDefault="00720D9C" w:rsidP="00A571E6">
      <w:pPr>
        <w:pStyle w:val="WTONumbered"/>
        <w:ind w:left="0" w:firstLine="0"/>
      </w:pPr>
      <w:r>
        <w:lastRenderedPageBreak/>
        <w:t>T</w:t>
      </w:r>
      <w:r w:rsidR="002C6D6F" w:rsidRPr="001B36BB">
        <w:t>hese circumstances – and their bearing on the</w:t>
      </w:r>
      <w:r w:rsidR="00504B61">
        <w:t xml:space="preserve"> Panel's analysis under Article </w:t>
      </w:r>
      <w:r w:rsidR="002C6D6F" w:rsidRPr="001B36BB">
        <w:t xml:space="preserve">2.2 – also explain why the complainants sought to fundamentally redefine the concept of trade-restrictiveness to avoid having to establish a limiting effect on international trade in tobacco products.  </w:t>
      </w:r>
      <w:r w:rsidR="002C6D6F" w:rsidRPr="00A57D6A">
        <w:t xml:space="preserve">But even under their erroneous definition of trade-restrictiveness, the </w:t>
      </w:r>
      <w:r w:rsidR="002C6D6F" w:rsidRPr="00A57D6A">
        <w:rPr>
          <w:i/>
        </w:rPr>
        <w:t>prima facie</w:t>
      </w:r>
      <w:r w:rsidR="002C6D6F" w:rsidRPr="00A57D6A">
        <w:t xml:space="preserve"> case that the complainants sought to establish is that the TPP measures are </w:t>
      </w:r>
      <w:r w:rsidR="002C6D6F" w:rsidRPr="00A57D6A">
        <w:rPr>
          <w:i/>
        </w:rPr>
        <w:t>incapable</w:t>
      </w:r>
      <w:r w:rsidR="002C6D6F" w:rsidRPr="00A57D6A">
        <w:t xml:space="preserve"> of making any contribution to reducing the use of, and exposure to, tobacco products.  </w:t>
      </w:r>
    </w:p>
    <w:p w14:paraId="7A094D9C" w14:textId="7098D461" w:rsidR="00720D9C" w:rsidRDefault="002C6D6F" w:rsidP="00A571E6">
      <w:pPr>
        <w:pStyle w:val="WTONumbered"/>
        <w:ind w:left="0" w:firstLine="0"/>
        <w:rPr>
          <w:i/>
          <w:lang w:val="en-AU"/>
        </w:rPr>
      </w:pPr>
      <w:r w:rsidRPr="009B77FB">
        <w:t xml:space="preserve">The Panel </w:t>
      </w:r>
      <w:r w:rsidR="00A571E6">
        <w:t>approached</w:t>
      </w:r>
      <w:r w:rsidRPr="009B77FB">
        <w:t xml:space="preserve"> its assessment of the </w:t>
      </w:r>
      <w:r w:rsidR="001F0DC9">
        <w:t xml:space="preserve">pre- and post-implementation </w:t>
      </w:r>
      <w:r w:rsidRPr="009B77FB">
        <w:t xml:space="preserve">evidence </w:t>
      </w:r>
      <w:r w:rsidR="001F0DC9">
        <w:t xml:space="preserve">submitted by the parties </w:t>
      </w:r>
      <w:r w:rsidRPr="009B77FB">
        <w:t xml:space="preserve">in light of the </w:t>
      </w:r>
      <w:r>
        <w:t xml:space="preserve">burden of proof that the complainants undertook.  </w:t>
      </w:r>
      <w:r w:rsidRPr="009B77FB">
        <w:t>I</w:t>
      </w:r>
      <w:r w:rsidRPr="009B77FB">
        <w:rPr>
          <w:lang w:val="en-US"/>
        </w:rPr>
        <w:t>n relation to the design, structure and operation of the TP</w:t>
      </w:r>
      <w:r w:rsidR="00720D9C">
        <w:rPr>
          <w:lang w:val="en-US"/>
        </w:rPr>
        <w:t xml:space="preserve">P measures, the Panel explained that it was </w:t>
      </w:r>
      <w:r w:rsidR="00720D9C" w:rsidRPr="001F0DC9">
        <w:rPr>
          <w:lang w:val="en-US"/>
        </w:rPr>
        <w:t>not</w:t>
      </w:r>
      <w:r w:rsidR="00720D9C">
        <w:rPr>
          <w:lang w:val="en-US"/>
        </w:rPr>
        <w:t xml:space="preserve"> persuaded that, "</w:t>
      </w:r>
      <w:r w:rsidR="00720D9C">
        <w:rPr>
          <w:i/>
          <w:lang w:val="en-AU"/>
        </w:rPr>
        <w:t>as the complainants argue, [the measures]</w:t>
      </w:r>
      <w:r w:rsidRPr="00720D9C">
        <w:rPr>
          <w:i/>
          <w:lang w:val="en-AU"/>
        </w:rPr>
        <w:t xml:space="preserve"> would not be capable of </w:t>
      </w:r>
      <w:r w:rsidRPr="00C4216D">
        <w:rPr>
          <w:lang w:val="en-AU"/>
        </w:rPr>
        <w:t>contributing to Australia's objective</w:t>
      </w:r>
      <w:r w:rsidR="00720D9C">
        <w:rPr>
          <w:lang w:val="en-AU"/>
        </w:rPr>
        <w:t>"</w:t>
      </w:r>
      <w:r w:rsidRPr="00720D9C">
        <w:rPr>
          <w:lang w:val="en-AU"/>
        </w:rPr>
        <w:t>.</w:t>
      </w:r>
      <w:r w:rsidRPr="00524D72">
        <w:rPr>
          <w:vertAlign w:val="superscript"/>
          <w:lang w:val="en-AU"/>
        </w:rPr>
        <w:footnoteReference w:id="39"/>
      </w:r>
      <w:r w:rsidR="00720D9C">
        <w:rPr>
          <w:i/>
          <w:lang w:val="en-AU"/>
        </w:rPr>
        <w:t xml:space="preserve">  </w:t>
      </w:r>
    </w:p>
    <w:p w14:paraId="3BF0AB8B" w14:textId="51F3530E" w:rsidR="00720D9C" w:rsidRPr="00720D9C" w:rsidRDefault="00720D9C" w:rsidP="00A571E6">
      <w:pPr>
        <w:pStyle w:val="WTONumbered"/>
        <w:ind w:left="0" w:firstLine="0"/>
        <w:rPr>
          <w:i/>
          <w:lang w:val="en-AU"/>
        </w:rPr>
      </w:pPr>
      <w:r>
        <w:rPr>
          <w:lang w:val="en-AU"/>
        </w:rPr>
        <w:t>I</w:t>
      </w:r>
      <w:r>
        <w:t>n relation to the post-implementation evidence, t</w:t>
      </w:r>
      <w:r w:rsidR="002C6D6F">
        <w:t xml:space="preserve">he </w:t>
      </w:r>
      <w:r w:rsidR="002C6D6F" w:rsidRPr="00F37B83">
        <w:t>Panel concluded that the</w:t>
      </w:r>
      <w:r w:rsidR="002C6D6F">
        <w:t>re</w:t>
      </w:r>
      <w:r w:rsidR="002C6D6F" w:rsidRPr="00F37B83">
        <w:t xml:space="preserve"> </w:t>
      </w:r>
      <w:r w:rsidR="002C6D6F">
        <w:t xml:space="preserve">was </w:t>
      </w:r>
      <w:r w:rsidR="002C6D6F" w:rsidRPr="00F37B83">
        <w:t>evidence</w:t>
      </w:r>
      <w:r w:rsidR="002C6D6F">
        <w:t xml:space="preserve"> that the TPP measures were having the effects "</w:t>
      </w:r>
      <w:r w:rsidR="002C6D6F" w:rsidRPr="00524D72">
        <w:t>anticipated in a number of the pre</w:t>
      </w:r>
      <w:r w:rsidR="002C6D6F" w:rsidRPr="00524D72">
        <w:noBreakHyphen/>
        <w:t>implementation studies</w:t>
      </w:r>
      <w:r w:rsidR="002C6D6F">
        <w:t>",</w:t>
      </w:r>
      <w:r w:rsidR="002C6D6F">
        <w:rPr>
          <w:rStyle w:val="FootnoteReference"/>
        </w:rPr>
        <w:footnoteReference w:id="40"/>
      </w:r>
      <w:r w:rsidR="002C6D6F">
        <w:t xml:space="preserve"> and that the evidence in relation to smoking behaviours</w:t>
      </w:r>
      <w:r w:rsidR="002C6D6F" w:rsidRPr="00F37B83">
        <w:t xml:space="preserve"> was </w:t>
      </w:r>
      <w:r w:rsidR="002C6D6F" w:rsidRPr="00720D9C">
        <w:rPr>
          <w:i/>
        </w:rPr>
        <w:t>consistent</w:t>
      </w:r>
      <w:r w:rsidR="002C6D6F" w:rsidRPr="00F37B83">
        <w:t xml:space="preserve"> </w:t>
      </w:r>
      <w:r w:rsidR="002C6D6F" w:rsidRPr="00720D9C">
        <w:rPr>
          <w:i/>
        </w:rPr>
        <w:t xml:space="preserve">with </w:t>
      </w:r>
      <w:r w:rsidR="002C6D6F" w:rsidRPr="00F37B83">
        <w:t>the intended operation of the TPP measures.</w:t>
      </w:r>
      <w:r w:rsidR="002C6D6F">
        <w:rPr>
          <w:rStyle w:val="FootnoteReference"/>
        </w:rPr>
        <w:footnoteReference w:id="41"/>
      </w:r>
      <w:r w:rsidR="002C6D6F" w:rsidRPr="00F37B83">
        <w:t xml:space="preserve">  </w:t>
      </w:r>
    </w:p>
    <w:p w14:paraId="007A7D4A" w14:textId="3BE9D874" w:rsidR="002C6D6F" w:rsidRPr="00720D9C" w:rsidRDefault="00720D9C" w:rsidP="00A571E6">
      <w:pPr>
        <w:pStyle w:val="WTONumbered"/>
        <w:ind w:left="0" w:firstLine="0"/>
        <w:rPr>
          <w:i/>
          <w:lang w:val="en-AU"/>
        </w:rPr>
      </w:pPr>
      <w:r>
        <w:t>Based on the totality of the record evidence</w:t>
      </w:r>
      <w:r w:rsidR="002C6D6F" w:rsidRPr="00F37B83">
        <w:t>, the Panel found that</w:t>
      </w:r>
      <w:r>
        <w:t xml:space="preserve"> "</w:t>
      </w:r>
      <w:r w:rsidR="002C6D6F" w:rsidRPr="00720D9C">
        <w:rPr>
          <w:i/>
        </w:rPr>
        <w:t xml:space="preserve">the complainants have not demonstrated </w:t>
      </w:r>
      <w:r w:rsidR="002C6D6F" w:rsidRPr="00720D9C">
        <w:t>that the TPP measures</w:t>
      </w:r>
      <w:r w:rsidR="002C6D6F" w:rsidRPr="00720D9C">
        <w:rPr>
          <w:i/>
        </w:rPr>
        <w:t xml:space="preserve"> </w:t>
      </w:r>
      <w:r w:rsidR="002C6D6F" w:rsidRPr="001F0DC9">
        <w:t>are</w:t>
      </w:r>
      <w:r w:rsidR="002C6D6F" w:rsidRPr="00720D9C">
        <w:rPr>
          <w:i/>
        </w:rPr>
        <w:t xml:space="preserve"> not apt to </w:t>
      </w:r>
      <w:r w:rsidR="002C6D6F" w:rsidRPr="00720D9C">
        <w:t>make a contribution to Australia's objective of improving public health by reducing the use of, and exposure to, tobacco products</w:t>
      </w:r>
      <w:r w:rsidR="002C6D6F" w:rsidRPr="00F37B83">
        <w:t>.</w:t>
      </w:r>
      <w:r>
        <w:t>"</w:t>
      </w:r>
      <w:r w:rsidR="002C6D6F" w:rsidRPr="00F37B83">
        <w:rPr>
          <w:szCs w:val="22"/>
          <w:vertAlign w:val="superscript"/>
        </w:rPr>
        <w:footnoteReference w:id="42"/>
      </w:r>
      <w:r w:rsidR="002C6D6F" w:rsidRPr="00F37B83">
        <w:t xml:space="preserve"> </w:t>
      </w:r>
    </w:p>
    <w:p w14:paraId="0AD171E0" w14:textId="68AB182D" w:rsidR="002C6D6F" w:rsidRDefault="002C6D6F" w:rsidP="00A571E6">
      <w:pPr>
        <w:pStyle w:val="WTONumbered"/>
        <w:ind w:left="0" w:firstLine="0"/>
      </w:pPr>
      <w:r w:rsidRPr="00F37B83">
        <w:t xml:space="preserve">Thus, crucially, and contrary to what the appellants imply in their submissions, Australia did </w:t>
      </w:r>
      <w:r w:rsidRPr="00A571E6">
        <w:rPr>
          <w:i/>
        </w:rPr>
        <w:t xml:space="preserve">not </w:t>
      </w:r>
      <w:r w:rsidRPr="00F37B83">
        <w:t>bear the burden of establishing t</w:t>
      </w:r>
      <w:r>
        <w:t>hat the TPP measures contribute</w:t>
      </w:r>
      <w:r w:rsidRPr="00F37B83">
        <w:t xml:space="preserve"> to reducing the use of, and exposure to, tobacco products.  </w:t>
      </w:r>
      <w:r w:rsidR="00A571E6">
        <w:t>Rather, t</w:t>
      </w:r>
      <w:r>
        <w:t>he</w:t>
      </w:r>
      <w:r w:rsidRPr="00F37B83">
        <w:t xml:space="preserve"> evidence submitted by Australia sought to demonstrate that the </w:t>
      </w:r>
      <w:r w:rsidRPr="00FD6ABE">
        <w:rPr>
          <w:i/>
        </w:rPr>
        <w:t>complainants</w:t>
      </w:r>
      <w:r w:rsidRPr="00F37B83">
        <w:t xml:space="preserve"> had failed to establish their </w:t>
      </w:r>
      <w:r w:rsidRPr="00A571E6">
        <w:rPr>
          <w:i/>
        </w:rPr>
        <w:t xml:space="preserve">prima facie </w:t>
      </w:r>
      <w:r w:rsidRPr="00F37B83">
        <w:t>case</w:t>
      </w:r>
      <w:r w:rsidR="00A571E6">
        <w:t xml:space="preserve"> that the TPP measures are incapable of contributing to Australia's public health objective.  </w:t>
      </w:r>
      <w:r>
        <w:t xml:space="preserve">The appellants have not appealed the Panel's understanding of the complainants' burden of proof.  </w:t>
      </w:r>
    </w:p>
    <w:p w14:paraId="6E3B01FD" w14:textId="2AB332AF" w:rsidR="004A0D10" w:rsidRPr="00C13C7C" w:rsidRDefault="001F0DC9" w:rsidP="00A571E6">
      <w:pPr>
        <w:pStyle w:val="WTONumbered"/>
        <w:ind w:left="0" w:firstLine="0"/>
      </w:pPr>
      <w:r>
        <w:t>The appellants' claims</w:t>
      </w:r>
      <w:r w:rsidR="00504B61">
        <w:t xml:space="preserve"> under Article </w:t>
      </w:r>
      <w:r w:rsidR="002C6D6F" w:rsidRPr="00F37B83">
        <w:t>11 of the DSU</w:t>
      </w:r>
      <w:r>
        <w:t xml:space="preserve"> concerning </w:t>
      </w:r>
      <w:r w:rsidR="002C6D6F" w:rsidRPr="00F37B83">
        <w:t xml:space="preserve">the Panel's assessment of that evidence must </w:t>
      </w:r>
      <w:r>
        <w:t xml:space="preserve">therefore </w:t>
      </w:r>
      <w:r w:rsidR="002C6D6F" w:rsidRPr="00F37B83">
        <w:t xml:space="preserve">be viewed in light of the </w:t>
      </w:r>
      <w:r w:rsidR="002C6D6F" w:rsidRPr="00650C6C">
        <w:rPr>
          <w:i/>
        </w:rPr>
        <w:t>complainants'</w:t>
      </w:r>
      <w:r w:rsidR="002C6D6F" w:rsidRPr="00F37B83">
        <w:t xml:space="preserve"> </w:t>
      </w:r>
      <w:r w:rsidR="00A571E6">
        <w:t xml:space="preserve">burden of establishing </w:t>
      </w:r>
      <w:r w:rsidR="002C6D6F" w:rsidRPr="00F37B83">
        <w:t xml:space="preserve">that the TPP measures </w:t>
      </w:r>
      <w:r w:rsidR="00A571E6">
        <w:t>a</w:t>
      </w:r>
      <w:r w:rsidR="002C6D6F" w:rsidRPr="00F37B83">
        <w:t xml:space="preserve">re </w:t>
      </w:r>
      <w:r w:rsidR="002C6D6F" w:rsidRPr="00650C6C">
        <w:rPr>
          <w:i/>
        </w:rPr>
        <w:t xml:space="preserve">incapable </w:t>
      </w:r>
      <w:r w:rsidR="002C6D6F" w:rsidRPr="00F37B83">
        <w:t>of contributing to Australia's objective of reducing the use of, and exposure to, tobacco products.</w:t>
      </w:r>
      <w:r w:rsidR="004A0D10" w:rsidRPr="00C13C7C">
        <w:t xml:space="preserve"> </w:t>
      </w:r>
    </w:p>
    <w:p w14:paraId="4B1BFE7A" w14:textId="3434888F" w:rsidR="008A005B" w:rsidRDefault="008A005B" w:rsidP="000A5E4B">
      <w:pPr>
        <w:pStyle w:val="Heading2"/>
      </w:pPr>
      <w:bookmarkStart w:id="5" w:name="_Ref526181307"/>
      <w:r>
        <w:t>Materiality of Alleged Errors</w:t>
      </w:r>
      <w:bookmarkEnd w:id="5"/>
    </w:p>
    <w:p w14:paraId="3C58C2C3" w14:textId="159121DE" w:rsidR="008A005B" w:rsidRDefault="008A005B" w:rsidP="00A571E6">
      <w:pPr>
        <w:pStyle w:val="WTONumbered"/>
        <w:ind w:left="0" w:firstLine="0"/>
      </w:pPr>
      <w:r>
        <w:t>Australia will demonstrate below that the a</w:t>
      </w:r>
      <w:r w:rsidR="00504B61">
        <w:t>ppellants' claims under Article </w:t>
      </w:r>
      <w:r>
        <w:t xml:space="preserve">11 of the DSU are without merit.  </w:t>
      </w:r>
      <w:r w:rsidR="00A571E6">
        <w:t>H</w:t>
      </w:r>
      <w:r>
        <w:t xml:space="preserve">owever, </w:t>
      </w:r>
      <w:r w:rsidRPr="008A005B">
        <w:t xml:space="preserve">even if the appellants could establish that the Panel "exceeded the bounds of its discretion, as the trier of facts" in relation to the </w:t>
      </w:r>
      <w:r w:rsidRPr="008A005B">
        <w:lastRenderedPageBreak/>
        <w:t xml:space="preserve">alleged errors, the appellants would still need to demonstrate that the Panel's errors </w:t>
      </w:r>
      <w:r w:rsidRPr="008A005B">
        <w:rPr>
          <w:i/>
        </w:rPr>
        <w:t xml:space="preserve">materially </w:t>
      </w:r>
      <w:r w:rsidRPr="008A005B">
        <w:t>undermine its findings.</w:t>
      </w:r>
      <w:r w:rsidRPr="008A005B">
        <w:rPr>
          <w:vertAlign w:val="superscript"/>
        </w:rPr>
        <w:footnoteReference w:id="43"/>
      </w:r>
    </w:p>
    <w:p w14:paraId="7AEA823F" w14:textId="2985418D" w:rsidR="00C7111F" w:rsidRDefault="00AA5736" w:rsidP="00A571E6">
      <w:pPr>
        <w:pStyle w:val="WTONumbered"/>
        <w:ind w:left="0" w:firstLine="0"/>
      </w:pPr>
      <w:r>
        <w:t xml:space="preserve">In relation to the Panel's </w:t>
      </w:r>
      <w:r>
        <w:rPr>
          <w:i/>
        </w:rPr>
        <w:t>overall</w:t>
      </w:r>
      <w:r>
        <w:t xml:space="preserve"> conclusion that </w:t>
      </w:r>
      <w:r w:rsidRPr="00681764">
        <w:t>the complainants had failed to discharge their burden of proving that the TPP measures were incapable of contributing to their objective</w:t>
      </w:r>
      <w:r>
        <w:t xml:space="preserve">, the appellants </w:t>
      </w:r>
      <w:r w:rsidR="00C7111F">
        <w:t>have not demonstrated that any of the errors that they have identified are material.</w:t>
      </w:r>
    </w:p>
    <w:p w14:paraId="71F79E4A" w14:textId="31EEEE02" w:rsidR="00C7111F" w:rsidRPr="00681764" w:rsidRDefault="00C7111F" w:rsidP="00A571E6">
      <w:pPr>
        <w:pStyle w:val="WTONumbered"/>
        <w:ind w:left="0" w:firstLine="0"/>
      </w:pPr>
      <w:r>
        <w:t xml:space="preserve">Honduras simply asserts that, "individually or in combination with one another", all of the errors that it identifies are material to the Panel's overall contribution finding.  </w:t>
      </w:r>
      <w:r w:rsidRPr="00681764">
        <w:t xml:space="preserve">The only "materiality" argument that either of the appellants actually develops in relation to the Panel's </w:t>
      </w:r>
      <w:r w:rsidRPr="00681764">
        <w:rPr>
          <w:i/>
        </w:rPr>
        <w:t>overall</w:t>
      </w:r>
      <w:r w:rsidRPr="00681764">
        <w:t xml:space="preserve"> contribution finding is the Dominican Republic's argument that this finding would not stand in the absence of the Panel's findings on prevalence and consumption.  The Dominican Republic claims that if the Appellate Body were to conclude that the Panel exceeded the bounds of its discretion in its assessment of the evidence in Appendices C and D, </w:t>
      </w:r>
      <w:r w:rsidRPr="00681764">
        <w:rPr>
          <w:u w:val="single"/>
        </w:rPr>
        <w:t>and</w:t>
      </w:r>
      <w:r w:rsidRPr="00681764">
        <w:t xml:space="preserve"> if the Appellate Body were to conclude that those errors materially undermine the Panel's findings in relation to the post-implementation evidence on smoking behaviour, </w:t>
      </w:r>
      <w:r>
        <w:t>these conclusions</w:t>
      </w:r>
      <w:r w:rsidRPr="00681764">
        <w:t xml:space="preserve"> would invalidate the Panel's </w:t>
      </w:r>
      <w:r w:rsidRPr="00681764">
        <w:rPr>
          <w:i/>
        </w:rPr>
        <w:t xml:space="preserve">overall </w:t>
      </w:r>
      <w:r w:rsidRPr="00681764">
        <w:t>finding on contribution.</w:t>
      </w:r>
      <w:r w:rsidRPr="00681764">
        <w:rPr>
          <w:rStyle w:val="FootnoteReference"/>
        </w:rPr>
        <w:footnoteReference w:id="44"/>
      </w:r>
      <w:r w:rsidRPr="00681764">
        <w:t xml:space="preserve">  </w:t>
      </w:r>
    </w:p>
    <w:p w14:paraId="4FA96FF2" w14:textId="77777777" w:rsidR="00C7111F" w:rsidRDefault="00C7111F" w:rsidP="00A571E6">
      <w:pPr>
        <w:pStyle w:val="WTONumbered"/>
        <w:ind w:left="0" w:firstLine="0"/>
      </w:pPr>
      <w:r>
        <w:t xml:space="preserve">There is no legal foundation for the Dominican Republic's claim, because the Dominican Republic did not even </w:t>
      </w:r>
      <w:r>
        <w:rPr>
          <w:i/>
        </w:rPr>
        <w:t xml:space="preserve">attempt </w:t>
      </w:r>
      <w:r>
        <w:t xml:space="preserve">to </w:t>
      </w:r>
      <w:r w:rsidRPr="00681764">
        <w:t xml:space="preserve">demonstrate that the Panel's alleged failures of objectivity in respect of the relevant evidence would </w:t>
      </w:r>
      <w:r w:rsidRPr="00681764">
        <w:rPr>
          <w:i/>
        </w:rPr>
        <w:t>materially undermine its findings in Appendices C and D</w:t>
      </w:r>
      <w:r w:rsidRPr="00681764">
        <w:t>.</w:t>
      </w:r>
      <w:r>
        <w:t xml:space="preserve">  </w:t>
      </w:r>
      <w:r w:rsidRPr="00681764">
        <w:t xml:space="preserve">However, </w:t>
      </w:r>
      <w:r w:rsidRPr="00681764">
        <w:rPr>
          <w:i/>
        </w:rPr>
        <w:t>even if</w:t>
      </w:r>
      <w:r w:rsidRPr="00681764">
        <w:t xml:space="preserve"> the Appellate Body were to conclude that the Panel erred in its assessment of the evidence in Appendices C and D, </w:t>
      </w:r>
      <w:r w:rsidRPr="00906735">
        <w:rPr>
          <w:i/>
        </w:rPr>
        <w:t>and</w:t>
      </w:r>
      <w:r w:rsidRPr="00681764">
        <w:t xml:space="preserve"> that those errors materially undermined the Panel's findings with respect to that evidence, the</w:t>
      </w:r>
      <w:r>
        <w:t>se errors would not be material to the</w:t>
      </w:r>
      <w:r w:rsidRPr="00681764">
        <w:t xml:space="preserve"> Panel's </w:t>
      </w:r>
      <w:r w:rsidRPr="00681764">
        <w:rPr>
          <w:i/>
        </w:rPr>
        <w:t xml:space="preserve">overall </w:t>
      </w:r>
      <w:r w:rsidRPr="00681764">
        <w:t xml:space="preserve">contribution finding.  </w:t>
      </w:r>
    </w:p>
    <w:p w14:paraId="58A034F8" w14:textId="4DD9C958" w:rsidR="000A01F2" w:rsidRDefault="000A01F2" w:rsidP="00A571E6">
      <w:pPr>
        <w:pStyle w:val="WTONumbered"/>
        <w:ind w:left="0" w:firstLine="0"/>
      </w:pPr>
      <w:r>
        <w:t>T</w:t>
      </w:r>
      <w:r w:rsidRPr="00681764">
        <w:t>he Dominican Republic's argument tha</w:t>
      </w:r>
      <w:r w:rsidR="007E3902">
        <w:t>t the disputed Panel findings concerning</w:t>
      </w:r>
      <w:r w:rsidRPr="00681764">
        <w:t xml:space="preserve"> the </w:t>
      </w:r>
      <w:r w:rsidR="007E3902">
        <w:t>effect</w:t>
      </w:r>
      <w:r w:rsidRPr="00681764">
        <w:t xml:space="preserve"> of the TPP measures on smoking behavio</w:t>
      </w:r>
      <w:r w:rsidR="009664F4">
        <w:t>u</w:t>
      </w:r>
      <w:r w:rsidRPr="00681764">
        <w:t xml:space="preserve">rs are "a </w:t>
      </w:r>
      <w:r w:rsidRPr="00681764">
        <w:rPr>
          <w:i/>
        </w:rPr>
        <w:t>necessary, indispensable component</w:t>
      </w:r>
      <w:r w:rsidRPr="00681764">
        <w:t xml:space="preserve"> of its overall conclusion on the contribution of the TPP measures to Australia's objective" reflects a fundamental misunderstanding of the Panel's contribution analysis.</w:t>
      </w:r>
    </w:p>
    <w:p w14:paraId="2BF078D2" w14:textId="39AD81FE" w:rsidR="00435948" w:rsidRDefault="000A01F2" w:rsidP="00A571E6">
      <w:pPr>
        <w:pStyle w:val="WTONumbered"/>
        <w:ind w:left="0" w:firstLine="0"/>
      </w:pPr>
      <w:r>
        <w:t>T</w:t>
      </w:r>
      <w:r w:rsidRPr="00681764">
        <w:t>he Panel</w:t>
      </w:r>
      <w:r>
        <w:t xml:space="preserve"> engaged in its assessment of the post-implementation evidence expressly</w:t>
      </w:r>
      <w:r w:rsidRPr="00681764">
        <w:t xml:space="preserve"> </w:t>
      </w:r>
      <w:r w:rsidR="000B0540">
        <w:t>aware</w:t>
      </w:r>
      <w:r w:rsidRPr="00681764">
        <w:t xml:space="preserve"> of the inherent limitations of </w:t>
      </w:r>
      <w:r>
        <w:t>that</w:t>
      </w:r>
      <w:r w:rsidRPr="00681764">
        <w:t xml:space="preserve"> evidence in the early period of application of the TPP measures</w:t>
      </w:r>
      <w:r>
        <w:t>.  In particular, t</w:t>
      </w:r>
      <w:r w:rsidRPr="00681764">
        <w:t>he Panel recognised that "certain measures to protect public health, including, as is the case here, certain measures based on behavioural responses to expected changes in beliefs and attitudes, may take some time to materialize fully or be perceptible in the relevant data."</w:t>
      </w:r>
      <w:r w:rsidRPr="00681764">
        <w:rPr>
          <w:rStyle w:val="FootnoteReference"/>
        </w:rPr>
        <w:footnoteReference w:id="45"/>
      </w:r>
      <w:r w:rsidRPr="00681764">
        <w:t xml:space="preserve">  </w:t>
      </w:r>
    </w:p>
    <w:p w14:paraId="59EC4637" w14:textId="1F447CE2" w:rsidR="00435948" w:rsidRPr="00435948" w:rsidRDefault="00435948" w:rsidP="00A571E6">
      <w:pPr>
        <w:pStyle w:val="WTONumbered"/>
        <w:ind w:left="0" w:firstLine="0"/>
      </w:pPr>
      <w:r w:rsidRPr="00435948">
        <w:t>With respect to the evidence on smoking prevalence and consumption (Appendices C and D), the Panel explained that "overall", it found this evidence</w:t>
      </w:r>
      <w:r>
        <w:t xml:space="preserve"> </w:t>
      </w:r>
      <w:r>
        <w:lastRenderedPageBreak/>
        <w:t>"</w:t>
      </w:r>
      <w:r w:rsidRPr="00435948">
        <w:rPr>
          <w:i/>
        </w:rPr>
        <w:t>consistent with</w:t>
      </w:r>
      <w:r w:rsidRPr="00435948">
        <w:t xml:space="preserve"> a finding that the TPP measures contribute to a reduction </w:t>
      </w:r>
      <w:r>
        <w:t>in the use of tobacco products,"</w:t>
      </w:r>
      <w:r w:rsidRPr="00435948">
        <w:rPr>
          <w:vertAlign w:val="superscript"/>
        </w:rPr>
        <w:footnoteReference w:id="46"/>
      </w:r>
      <w:r>
        <w:t xml:space="preserve"> </w:t>
      </w:r>
      <w:r w:rsidR="00FD6ABE">
        <w:t xml:space="preserve">but did not state that this conclusion was necessary to its overall conclusion that the complainants had failed to demonstrate that the TPP measures are not apt to contribute to Australia's objective. </w:t>
      </w:r>
    </w:p>
    <w:p w14:paraId="0A982B51" w14:textId="122AD3CC" w:rsidR="008A0184" w:rsidRPr="00681764" w:rsidRDefault="008A0184" w:rsidP="00A571E6">
      <w:pPr>
        <w:pStyle w:val="WTONumbered"/>
        <w:ind w:left="0" w:firstLine="0"/>
      </w:pPr>
      <w:r>
        <w:t>The</w:t>
      </w:r>
      <w:r w:rsidR="00435948" w:rsidRPr="00435948">
        <w:t xml:space="preserve"> Panel's </w:t>
      </w:r>
      <w:r w:rsidR="00435948" w:rsidRPr="00435948">
        <w:rPr>
          <w:i/>
        </w:rPr>
        <w:t xml:space="preserve">overall </w:t>
      </w:r>
      <w:r w:rsidR="00435948" w:rsidRPr="00435948">
        <w:t xml:space="preserve">contribution finding reflects the Panel's consideration of the </w:t>
      </w:r>
      <w:r w:rsidR="00435948" w:rsidRPr="00435948">
        <w:rPr>
          <w:i/>
        </w:rPr>
        <w:t>totality</w:t>
      </w:r>
      <w:r w:rsidR="00435948" w:rsidRPr="00435948">
        <w:t xml:space="preserve"> of the evidence</w:t>
      </w:r>
      <w:r w:rsidR="007E3902">
        <w:t xml:space="preserve">.  </w:t>
      </w:r>
      <w:r>
        <w:t>The Panel's finding would</w:t>
      </w:r>
      <w:r w:rsidR="00C7111F" w:rsidRPr="00681764">
        <w:t xml:space="preserve"> stand on the basis of the body of pre- and post-implementation evidence that is essentially </w:t>
      </w:r>
      <w:r w:rsidR="00C7111F" w:rsidRPr="007E3902">
        <w:rPr>
          <w:i/>
        </w:rPr>
        <w:t>uncontested</w:t>
      </w:r>
      <w:r w:rsidR="00C7111F" w:rsidRPr="00681764">
        <w:t xml:space="preserve"> on appeal.</w:t>
      </w:r>
      <w:r>
        <w:t xml:space="preserve">  </w:t>
      </w:r>
      <w:r w:rsidRPr="007E3902">
        <w:rPr>
          <w:i/>
        </w:rPr>
        <w:t>Even if</w:t>
      </w:r>
      <w:r w:rsidRPr="007F7F44">
        <w:t xml:space="preserve"> the appellants could sustain their claims of error</w:t>
      </w:r>
      <w:r w:rsidR="00504B61">
        <w:t xml:space="preserve"> under Article </w:t>
      </w:r>
      <w:r w:rsidR="00FD6ABE">
        <w:t>11 of the DSU</w:t>
      </w:r>
      <w:r w:rsidRPr="007F7F44">
        <w:t>, this</w:t>
      </w:r>
      <w:r>
        <w:t xml:space="preserve"> finding</w:t>
      </w:r>
      <w:r w:rsidRPr="007F7F44">
        <w:t xml:space="preserve"> would still leave intact</w:t>
      </w:r>
      <w:r w:rsidRPr="00681764">
        <w:t xml:space="preserve">:  </w:t>
      </w:r>
    </w:p>
    <w:p w14:paraId="0AC276A8" w14:textId="7D94FAAA" w:rsidR="008A0184" w:rsidRPr="00681764" w:rsidRDefault="008A0184" w:rsidP="009664F4">
      <w:pPr>
        <w:pStyle w:val="ListBullet"/>
      </w:pPr>
      <w:r>
        <w:t xml:space="preserve">the </w:t>
      </w:r>
      <w:r w:rsidRPr="00681764">
        <w:t xml:space="preserve">pre-implementation evidence </w:t>
      </w:r>
      <w:r>
        <w:t>demonstrating that</w:t>
      </w:r>
      <w:r w:rsidRPr="00681764">
        <w:t xml:space="preserve">: (1) tobacco packaging is a form of advertising and promotion, used in the Australian market to appeal to current and potential consumers and to distract from the serious health effects of tobacco use; (2) tobacco plain packaging could be expected to reduce the appeal of tobacco products, increase the effectiveness of GHWs and reduce the ability of the pack to mislead; and (3) these effects are capable of </w:t>
      </w:r>
      <w:r w:rsidR="00FD6ABE">
        <w:t>affecting</w:t>
      </w:r>
      <w:r w:rsidRPr="00681764">
        <w:t xml:space="preserve"> smoking behaviour, including initiation, cessation and relapse; </w:t>
      </w:r>
    </w:p>
    <w:p w14:paraId="614EAF4B" w14:textId="77777777" w:rsidR="008A0184" w:rsidRPr="00681764" w:rsidRDefault="008A0184" w:rsidP="009664F4">
      <w:pPr>
        <w:pStyle w:val="ListBullet"/>
      </w:pPr>
      <w:r>
        <w:t xml:space="preserve">the </w:t>
      </w:r>
      <w:r w:rsidRPr="00681764">
        <w:t>post-implementation evidence</w:t>
      </w:r>
      <w:r>
        <w:t xml:space="preserve"> demonstrating</w:t>
      </w:r>
      <w:r w:rsidRPr="00681764">
        <w:t xml:space="preserve"> that the TPP measures have reduced appeal and increased the effectiveness of GHWs; </w:t>
      </w:r>
    </w:p>
    <w:p w14:paraId="22A7CD27" w14:textId="77777777" w:rsidR="008A0184" w:rsidRPr="00681764" w:rsidRDefault="008A0184" w:rsidP="009664F4">
      <w:pPr>
        <w:pStyle w:val="ListBullet"/>
      </w:pPr>
      <w:r>
        <w:t xml:space="preserve">the </w:t>
      </w:r>
      <w:r w:rsidRPr="00681764">
        <w:t>post-implementation evidence</w:t>
      </w:r>
      <w:r>
        <w:t xml:space="preserve"> demonstrating</w:t>
      </w:r>
      <w:r w:rsidRPr="00681764">
        <w:t xml:space="preserve"> that prevalence and consumption have declined following the implementation of the TPP measures; and </w:t>
      </w:r>
    </w:p>
    <w:p w14:paraId="1A762324" w14:textId="180D4DEF" w:rsidR="008A0184" w:rsidRPr="00681764" w:rsidRDefault="008A0184" w:rsidP="009664F4">
      <w:pPr>
        <w:pStyle w:val="ListBullet"/>
      </w:pPr>
      <w:r>
        <w:t xml:space="preserve">the </w:t>
      </w:r>
      <w:r w:rsidRPr="00681764">
        <w:t xml:space="preserve">post-implementation evidence </w:t>
      </w:r>
      <w:r>
        <w:t>demonstrating</w:t>
      </w:r>
      <w:r w:rsidRPr="00681764">
        <w:t xml:space="preserve"> that the decline in prevalence and consumption </w:t>
      </w:r>
      <w:r w:rsidRPr="00681764">
        <w:rPr>
          <w:i/>
        </w:rPr>
        <w:t xml:space="preserve">accelerated </w:t>
      </w:r>
      <w:r w:rsidRPr="00681764">
        <w:t>following the implementation of the TPP measures.</w:t>
      </w:r>
      <w:r w:rsidR="00FD6ABE">
        <w:rPr>
          <w:rStyle w:val="FootnoteReference"/>
        </w:rPr>
        <w:footnoteReference w:id="47"/>
      </w:r>
    </w:p>
    <w:p w14:paraId="5CC0610E" w14:textId="2C279A71" w:rsidR="00836999" w:rsidRPr="007E3902" w:rsidRDefault="007E3902" w:rsidP="00A571E6">
      <w:pPr>
        <w:pStyle w:val="WTONumbered"/>
        <w:ind w:left="0" w:firstLine="0"/>
        <w:rPr>
          <w:lang w:val="en-AU"/>
        </w:rPr>
      </w:pPr>
      <w:r w:rsidRPr="00A571E6">
        <w:t>This</w:t>
      </w:r>
      <w:r w:rsidR="008A0184" w:rsidRPr="004A0D32">
        <w:rPr>
          <w:lang w:val="en-AU"/>
        </w:rPr>
        <w:t xml:space="preserve"> evidence is more than sufficient to support the Panel's </w:t>
      </w:r>
      <w:r w:rsidR="008A0184" w:rsidRPr="004A0D32">
        <w:rPr>
          <w:i/>
          <w:lang w:val="en-AU"/>
        </w:rPr>
        <w:t>overall</w:t>
      </w:r>
      <w:r w:rsidR="008A0184" w:rsidRPr="004A0D32">
        <w:rPr>
          <w:lang w:val="en-AU"/>
        </w:rPr>
        <w:t xml:space="preserve"> finding that the complainants had "not demonstrated that the TPP measures are </w:t>
      </w:r>
      <w:r w:rsidR="008A0184" w:rsidRPr="004A0D32">
        <w:rPr>
          <w:i/>
          <w:lang w:val="en-AU"/>
        </w:rPr>
        <w:t>not apt to</w:t>
      </w:r>
      <w:r w:rsidR="008A0184" w:rsidRPr="004A0D32">
        <w:rPr>
          <w:lang w:val="en-AU"/>
        </w:rPr>
        <w:t xml:space="preserve"> make a contribution to Australia's objective of improving public health by reducing the use of, and</w:t>
      </w:r>
      <w:r>
        <w:rPr>
          <w:lang w:val="en-AU"/>
        </w:rPr>
        <w:t xml:space="preserve"> exposure to, tobacco products".</w:t>
      </w:r>
      <w:r w:rsidR="008A0184" w:rsidRPr="004A0D32">
        <w:rPr>
          <w:vertAlign w:val="superscript"/>
          <w:lang w:val="en-AU"/>
        </w:rPr>
        <w:footnoteReference w:id="48"/>
      </w:r>
      <w:r>
        <w:rPr>
          <w:lang w:val="en-AU"/>
        </w:rPr>
        <w:t xml:space="preserve">  Accordingly, while </w:t>
      </w:r>
      <w:r w:rsidR="00836999" w:rsidRPr="007E3902">
        <w:rPr>
          <w:lang w:val="en-AU"/>
        </w:rPr>
        <w:t xml:space="preserve">Australia will proceed to demonstrate that the appellants' claims of error are unfounded, </w:t>
      </w:r>
      <w:r>
        <w:rPr>
          <w:lang w:val="en-AU"/>
        </w:rPr>
        <w:t>these claims of error are not material to the Panel's overall conclusion</w:t>
      </w:r>
      <w:r w:rsidR="00127287" w:rsidRPr="007E3902">
        <w:rPr>
          <w:lang w:val="en-AU"/>
        </w:rPr>
        <w:t>.</w:t>
      </w:r>
    </w:p>
    <w:p w14:paraId="3FEDD06E" w14:textId="6B564DE2" w:rsidR="00B50195" w:rsidRPr="00C13C7C" w:rsidRDefault="000A5E4B" w:rsidP="000A5E4B">
      <w:pPr>
        <w:pStyle w:val="Heading2"/>
      </w:pPr>
      <w:r>
        <w:lastRenderedPageBreak/>
        <w:t xml:space="preserve">Claims </w:t>
      </w:r>
      <w:r w:rsidR="00FD6ABE">
        <w:t>Regarding</w:t>
      </w:r>
      <w:r>
        <w:t xml:space="preserve"> the </w:t>
      </w:r>
      <w:r w:rsidR="00B50195" w:rsidRPr="00C13C7C">
        <w:t>Pre-Implementation Evidence</w:t>
      </w:r>
    </w:p>
    <w:p w14:paraId="368B7008" w14:textId="465993BE" w:rsidR="005727BB" w:rsidRPr="00C13C7C" w:rsidRDefault="005727BB" w:rsidP="000A5E4B">
      <w:pPr>
        <w:pStyle w:val="Heading3"/>
      </w:pPr>
      <w:r w:rsidRPr="00C13C7C">
        <w:t>The Panel's Findings on the Pre-Implementation Evidence</w:t>
      </w:r>
    </w:p>
    <w:p w14:paraId="35BF5741" w14:textId="73FA30BA" w:rsidR="00CB02DA" w:rsidRPr="00C13C7C" w:rsidRDefault="00F3336C" w:rsidP="00A571E6">
      <w:pPr>
        <w:pStyle w:val="WTONumbered"/>
        <w:ind w:left="0" w:firstLine="0"/>
      </w:pPr>
      <w:r w:rsidRPr="00C13C7C">
        <w:t xml:space="preserve">As outlined in brief above, the Panel began its contribution analysis by examining </w:t>
      </w:r>
      <w:r w:rsidR="00CB02DA" w:rsidRPr="00C13C7C">
        <w:t xml:space="preserve">the design, structure, and operation of the TPP measures, and accepted that the evidence available to Australia prior to the implementation of the measures supported the operation of the "causal chain" model under the TPP Act.  </w:t>
      </w:r>
      <w:r w:rsidR="00127287">
        <w:t xml:space="preserve">In relation to the </w:t>
      </w:r>
      <w:r w:rsidR="00CB02DA" w:rsidRPr="00C13C7C">
        <w:t>three causal mechanisms of the TPP measures (reducing the appeal of tobacco products, increasing the effectiveness of GHWs and reducing the ability of the pack to mislead</w:t>
      </w:r>
      <w:r w:rsidR="00414895" w:rsidRPr="00C13C7C">
        <w:t xml:space="preserve"> consumers about the harmful effects of smoking</w:t>
      </w:r>
      <w:r w:rsidR="00CB02DA" w:rsidRPr="00C13C7C">
        <w:t xml:space="preserve">), </w:t>
      </w:r>
      <w:r w:rsidR="00127287">
        <w:t xml:space="preserve">the Panel concluded </w:t>
      </w:r>
      <w:r w:rsidR="00CB02DA" w:rsidRPr="00C13C7C">
        <w:t xml:space="preserve">on the basis of </w:t>
      </w:r>
      <w:r w:rsidR="009B7941">
        <w:t>the pre-implementation evidence</w:t>
      </w:r>
      <w:r w:rsidR="00CB02DA" w:rsidRPr="00C13C7C">
        <w:t xml:space="preserve"> that:</w:t>
      </w:r>
    </w:p>
    <w:p w14:paraId="6F036E80" w14:textId="03231992" w:rsidR="00325E5E" w:rsidRPr="00C13C7C" w:rsidRDefault="009B7941" w:rsidP="00AC3698">
      <w:pPr>
        <w:pStyle w:val="ListBullet"/>
      </w:pPr>
      <w:r>
        <w:t>T</w:t>
      </w:r>
      <w:r w:rsidR="00CB02DA" w:rsidRPr="00C13C7C">
        <w:t xml:space="preserve">he complainants had not persuaded the Panel that the TPP measures would not be capable of </w:t>
      </w:r>
      <w:r w:rsidR="00CB02DA" w:rsidRPr="00C13C7C">
        <w:rPr>
          <w:u w:val="single"/>
        </w:rPr>
        <w:t>reducing the appeal of tobacco products (the first mechanism)</w:t>
      </w:r>
      <w:r w:rsidR="00CB02DA" w:rsidRPr="00C13C7C">
        <w:t xml:space="preserve"> and thereby contribute to Australia's objective by </w:t>
      </w:r>
      <w:r w:rsidR="00FD6ABE">
        <w:t>affecting</w:t>
      </w:r>
      <w:r w:rsidR="00CB02DA" w:rsidRPr="00C13C7C">
        <w:t xml:space="preserve"> smoking behaviours such as initiation, cessation and relapse.</w:t>
      </w:r>
      <w:r w:rsidR="000D20A5" w:rsidRPr="00C13C7C">
        <w:rPr>
          <w:rStyle w:val="FootnoteReference"/>
        </w:rPr>
        <w:footnoteReference w:id="49"/>
      </w:r>
      <w:r w:rsidR="00CB02DA" w:rsidRPr="00C13C7C">
        <w:t xml:space="preserve">  In reaching this conclusion, the Panel made a series of intermedia</w:t>
      </w:r>
      <w:r w:rsidR="00504B61">
        <w:t>te</w:t>
      </w:r>
      <w:r w:rsidR="00CB02DA" w:rsidRPr="00C13C7C">
        <w:t xml:space="preserve"> findings</w:t>
      </w:r>
      <w:r w:rsidR="000B0540">
        <w:t xml:space="preserve"> that: (i) </w:t>
      </w:r>
      <w:r w:rsidR="00325E5E" w:rsidRPr="00C13C7C">
        <w:t xml:space="preserve">branded </w:t>
      </w:r>
      <w:r w:rsidR="00CB02DA" w:rsidRPr="00C13C7C">
        <w:t xml:space="preserve">packaging </w:t>
      </w:r>
      <w:r w:rsidR="00CB02DA" w:rsidRPr="00C13C7C">
        <w:rPr>
          <w:i/>
        </w:rPr>
        <w:t>can</w:t>
      </w:r>
      <w:r w:rsidR="00CB02DA" w:rsidRPr="00C13C7C">
        <w:t xml:space="preserve"> act as an advertising or promotional tool, and </w:t>
      </w:r>
      <w:r w:rsidR="00CB02DA" w:rsidRPr="00C13C7C">
        <w:rPr>
          <w:i/>
        </w:rPr>
        <w:t>has</w:t>
      </w:r>
      <w:r w:rsidR="00CB02DA" w:rsidRPr="00C13C7C">
        <w:t xml:space="preserve"> been utilised as such by tobacco companies operating in </w:t>
      </w:r>
      <w:r w:rsidR="000D20A5" w:rsidRPr="00C13C7C">
        <w:t>Australia's dark</w:t>
      </w:r>
      <w:r w:rsidR="00CB02DA" w:rsidRPr="00C13C7C">
        <w:t xml:space="preserve"> market</w:t>
      </w:r>
      <w:r w:rsidR="00325E5E" w:rsidRPr="00C13C7C">
        <w:t>;</w:t>
      </w:r>
      <w:r w:rsidR="000D20A5" w:rsidRPr="00C13C7C">
        <w:rPr>
          <w:rStyle w:val="FootnoteReference"/>
        </w:rPr>
        <w:footnoteReference w:id="50"/>
      </w:r>
      <w:r w:rsidR="00325E5E" w:rsidRPr="00C13C7C">
        <w:t xml:space="preserve"> (ii) there is a body of evidence emanating from qualified sources supporting the proposition that the plain packaging of tobacco products reduces the appeal of those products to consumers;</w:t>
      </w:r>
      <w:r w:rsidR="000D20A5" w:rsidRPr="00C13C7C">
        <w:rPr>
          <w:rStyle w:val="FootnoteReference"/>
        </w:rPr>
        <w:footnoteReference w:id="51"/>
      </w:r>
      <w:r w:rsidR="00325E5E" w:rsidRPr="00C13C7C">
        <w:t xml:space="preserve"> and (iii) the complainants had not shown that this reduction in appeal would not be capable of influencing young people's perceptions and decision-making to impact upon initiation of tobacco use, or that tobacco plain packaging would not be capable of affecting the ability of smokers to quit smoking or to remain quit.</w:t>
      </w:r>
      <w:r w:rsidR="0062291A" w:rsidRPr="00C13C7C">
        <w:rPr>
          <w:rStyle w:val="FootnoteReference"/>
        </w:rPr>
        <w:footnoteReference w:id="52"/>
      </w:r>
      <w:r w:rsidR="00325E5E" w:rsidRPr="00C13C7C">
        <w:t xml:space="preserve">  </w:t>
      </w:r>
    </w:p>
    <w:p w14:paraId="35E6C5A0" w14:textId="50EB0461" w:rsidR="00E2413E" w:rsidRPr="00C13C7C" w:rsidRDefault="009B7941" w:rsidP="00AC3698">
      <w:pPr>
        <w:pStyle w:val="ListBullet"/>
      </w:pPr>
      <w:r>
        <w:t>T</w:t>
      </w:r>
      <w:r w:rsidR="00325E5E" w:rsidRPr="00C13C7C">
        <w:t xml:space="preserve">he complainants had not persuaded the Panel that the TPP measures would not be capable of </w:t>
      </w:r>
      <w:r w:rsidR="00325E5E" w:rsidRPr="00C13C7C">
        <w:rPr>
          <w:u w:val="single"/>
        </w:rPr>
        <w:t>increasing the effectiveness of GHWs (the second mechanism)</w:t>
      </w:r>
      <w:r w:rsidR="00325E5E" w:rsidRPr="00C13C7C">
        <w:t xml:space="preserve"> and thereby contribute to Australia's objective by </w:t>
      </w:r>
      <w:r w:rsidR="00FD6ABE">
        <w:t xml:space="preserve">affecting </w:t>
      </w:r>
      <w:r w:rsidR="00325E5E" w:rsidRPr="00C13C7C">
        <w:t>smoking behaviours such as initiation, cessation and relapse.</w:t>
      </w:r>
      <w:r w:rsidR="0062291A" w:rsidRPr="00C13C7C">
        <w:rPr>
          <w:rStyle w:val="FootnoteReference"/>
        </w:rPr>
        <w:footnoteReference w:id="53"/>
      </w:r>
      <w:r w:rsidR="00325E5E" w:rsidRPr="00C13C7C">
        <w:t xml:space="preserve">  In reaching this conclusion, the Panel likewise made a series of intermed</w:t>
      </w:r>
      <w:r w:rsidR="00414895" w:rsidRPr="00C13C7C">
        <w:t>ia</w:t>
      </w:r>
      <w:r w:rsidR="00504B61">
        <w:t>te</w:t>
      </w:r>
      <w:r w:rsidR="00414895" w:rsidRPr="00C13C7C">
        <w:t xml:space="preserve"> findings</w:t>
      </w:r>
      <w:r w:rsidR="000B0540">
        <w:t xml:space="preserve"> that</w:t>
      </w:r>
      <w:r w:rsidR="00414895" w:rsidRPr="00C13C7C">
        <w:t>: (i) </w:t>
      </w:r>
      <w:r w:rsidR="00325E5E" w:rsidRPr="00C13C7C">
        <w:t xml:space="preserve"> the complainants had failed to establish that GHWs could not be made </w:t>
      </w:r>
      <w:r w:rsidR="00325E5E" w:rsidRPr="00C13C7C">
        <w:rPr>
          <w:i/>
        </w:rPr>
        <w:t>more</w:t>
      </w:r>
      <w:r w:rsidR="00325E5E" w:rsidRPr="00C13C7C">
        <w:t xml:space="preserve"> effective, despite the high level of knowledge or risk awareness in Australia;</w:t>
      </w:r>
      <w:r w:rsidR="0062291A" w:rsidRPr="00C13C7C">
        <w:rPr>
          <w:rStyle w:val="FootnoteReference"/>
        </w:rPr>
        <w:footnoteReference w:id="54"/>
      </w:r>
      <w:r w:rsidR="00325E5E" w:rsidRPr="00C13C7C">
        <w:t xml:space="preserve"> (ii) there was evidence supporting the proposition that, in the presence of tobacco plain packaging, the impact and effectiveness of GHWs was increased;</w:t>
      </w:r>
      <w:r w:rsidR="0062291A" w:rsidRPr="00C13C7C">
        <w:rPr>
          <w:rStyle w:val="FootnoteReference"/>
        </w:rPr>
        <w:footnoteReference w:id="55"/>
      </w:r>
      <w:r w:rsidR="00325E5E" w:rsidRPr="00C13C7C">
        <w:t xml:space="preserve"> and (iii) the complainants had not </w:t>
      </w:r>
      <w:r w:rsidR="00325E5E" w:rsidRPr="00C13C7C">
        <w:lastRenderedPageBreak/>
        <w:t xml:space="preserve">demonstrated that the removal of branding elements which communicate messages </w:t>
      </w:r>
      <w:r w:rsidR="00E2413E" w:rsidRPr="00C13C7C">
        <w:t>which compete with or detract from GHWs could not be capable of influencing smoking behaviours, including initiation and cessation.</w:t>
      </w:r>
      <w:r w:rsidR="0062291A" w:rsidRPr="00C13C7C">
        <w:rPr>
          <w:rStyle w:val="FootnoteReference"/>
        </w:rPr>
        <w:footnoteReference w:id="56"/>
      </w:r>
      <w:r w:rsidR="00E2413E" w:rsidRPr="00C13C7C">
        <w:t xml:space="preserve"> </w:t>
      </w:r>
    </w:p>
    <w:p w14:paraId="13735C7B" w14:textId="6ED14E71" w:rsidR="00CB02DA" w:rsidRPr="00C13C7C" w:rsidRDefault="009B7941" w:rsidP="00AC3698">
      <w:pPr>
        <w:pStyle w:val="ListBullet"/>
      </w:pPr>
      <w:r>
        <w:t>T</w:t>
      </w:r>
      <w:r w:rsidR="00E2413E" w:rsidRPr="00C13C7C">
        <w:t xml:space="preserve">he complainants had not persuaded the Panel that the TPP measures, by </w:t>
      </w:r>
      <w:r w:rsidR="00E2413E" w:rsidRPr="00C13C7C">
        <w:rPr>
          <w:u w:val="single"/>
        </w:rPr>
        <w:t>reducing the ability of tobacco packaging to mislead consumers about the harmful effects of smoking (the third mechanism)</w:t>
      </w:r>
      <w:r w:rsidR="00E2413E" w:rsidRPr="00C13C7C">
        <w:t xml:space="preserve">, would not be capable of impacting </w:t>
      </w:r>
      <w:r w:rsidR="007123E6">
        <w:t>s</w:t>
      </w:r>
      <w:r w:rsidR="00E2413E" w:rsidRPr="00C13C7C">
        <w:t>moking cessation.</w:t>
      </w:r>
      <w:r w:rsidR="0062291A" w:rsidRPr="00C13C7C">
        <w:rPr>
          <w:rStyle w:val="FootnoteReference"/>
        </w:rPr>
        <w:footnoteReference w:id="57"/>
      </w:r>
      <w:r w:rsidR="00FD6ABE">
        <w:t xml:space="preserve">  In reaching this conclusion t</w:t>
      </w:r>
      <w:r w:rsidR="00E2413E" w:rsidRPr="00C13C7C">
        <w:t>he Panel again made a series of intermedia</w:t>
      </w:r>
      <w:r w:rsidR="00504B61">
        <w:t>te</w:t>
      </w:r>
      <w:r w:rsidR="00E2413E" w:rsidRPr="00C13C7C">
        <w:t xml:space="preserve"> findings</w:t>
      </w:r>
      <w:r w:rsidR="00FD6ABE">
        <w:t xml:space="preserve"> that</w:t>
      </w:r>
      <w:r w:rsidR="00E2413E" w:rsidRPr="00C13C7C">
        <w:t>: (i) the complainants had not demonstrated that the TPP measures were not capable of reducing the ability of the pack to mislead consumers about the harmfulness of tobacco use;</w:t>
      </w:r>
      <w:r w:rsidR="0062291A" w:rsidRPr="00C13C7C">
        <w:rPr>
          <w:rStyle w:val="FootnoteReference"/>
        </w:rPr>
        <w:footnoteReference w:id="58"/>
      </w:r>
      <w:r w:rsidR="00E2413E" w:rsidRPr="00C13C7C">
        <w:t xml:space="preserve"> (ii) </w:t>
      </w:r>
      <w:r w:rsidR="00FD6ABE">
        <w:t>t</w:t>
      </w:r>
      <w:r w:rsidR="00E2413E" w:rsidRPr="00C13C7C">
        <w:t>he complainants had not persuaded the Panel that the TPP measures could not operate as intended to a greater extent than what was already possible under existing laws;</w:t>
      </w:r>
      <w:r w:rsidR="0062291A" w:rsidRPr="00C13C7C">
        <w:rPr>
          <w:rStyle w:val="FootnoteReference"/>
        </w:rPr>
        <w:footnoteReference w:id="59"/>
      </w:r>
      <w:r w:rsidR="00E2413E" w:rsidRPr="00C13C7C">
        <w:t xml:space="preserve"> and (iii) the complainants had not demonstrated that the TPP measures, by reducing the ability of tobacco packaging to mislead consumers about the harmful effects of smoking, would not have an effect on smoking behaviours, such as cessation.</w:t>
      </w:r>
      <w:r w:rsidR="0062291A" w:rsidRPr="00C13C7C">
        <w:rPr>
          <w:rStyle w:val="FootnoteReference"/>
        </w:rPr>
        <w:footnoteReference w:id="60"/>
      </w:r>
      <w:r w:rsidR="00E2413E" w:rsidRPr="00C13C7C">
        <w:t xml:space="preserve"> </w:t>
      </w:r>
    </w:p>
    <w:p w14:paraId="71278315" w14:textId="3D1CC60C" w:rsidR="005727BB" w:rsidRPr="00C13C7C" w:rsidRDefault="0062291A" w:rsidP="00A571E6">
      <w:pPr>
        <w:pStyle w:val="WTONumbered"/>
        <w:ind w:left="0" w:firstLine="0"/>
      </w:pPr>
      <w:r w:rsidRPr="00C13C7C">
        <w:t xml:space="preserve">After spending over 100 pages </w:t>
      </w:r>
      <w:r w:rsidR="00FD6ABE">
        <w:t xml:space="preserve">of its </w:t>
      </w:r>
      <w:r w:rsidR="009664F4">
        <w:t>r</w:t>
      </w:r>
      <w:r w:rsidR="00FD6ABE">
        <w:t xml:space="preserve">eport </w:t>
      </w:r>
      <w:r w:rsidR="00830DDB">
        <w:t>carefully reviewing the pre</w:t>
      </w:r>
      <w:r w:rsidR="00830DDB">
        <w:noBreakHyphen/>
      </w:r>
      <w:r w:rsidRPr="00C13C7C">
        <w:t xml:space="preserve">implementation evidence, the Panel concluded that the complainants had not demonstrated that the TPP measures were incapable of </w:t>
      </w:r>
      <w:r w:rsidR="00127287">
        <w:t xml:space="preserve">contributing to Australia's </w:t>
      </w:r>
      <w:r w:rsidR="003607B4">
        <w:t xml:space="preserve">public health </w:t>
      </w:r>
      <w:r w:rsidR="00127287">
        <w:t xml:space="preserve">objective based on </w:t>
      </w:r>
      <w:r w:rsidR="003607B4">
        <w:t xml:space="preserve">the </w:t>
      </w:r>
      <w:r w:rsidR="00127287">
        <w:t>design, structure, and operation</w:t>
      </w:r>
      <w:r w:rsidR="003607B4">
        <w:t xml:space="preserve"> of the measures</w:t>
      </w:r>
      <w:r w:rsidRPr="00C13C7C">
        <w:t xml:space="preserve">.  </w:t>
      </w:r>
    </w:p>
    <w:p w14:paraId="1CB600AA" w14:textId="20F24513" w:rsidR="005727BB" w:rsidRPr="00C13C7C" w:rsidRDefault="005727BB" w:rsidP="000A5E4B">
      <w:pPr>
        <w:pStyle w:val="Heading3"/>
      </w:pPr>
      <w:r w:rsidRPr="00C13C7C">
        <w:t xml:space="preserve">The Appellants' </w:t>
      </w:r>
      <w:r w:rsidR="00414895" w:rsidRPr="00C13C7C">
        <w:t>Assertions that the Panel Ac</w:t>
      </w:r>
      <w:r w:rsidR="00504B61">
        <w:t>ted Inconsistently with Article </w:t>
      </w:r>
      <w:r w:rsidR="00414895" w:rsidRPr="00C13C7C">
        <w:t xml:space="preserve">11 of the DSU </w:t>
      </w:r>
      <w:r w:rsidR="00DA39CA">
        <w:t xml:space="preserve">with </w:t>
      </w:r>
      <w:r w:rsidR="007123E6">
        <w:t>R</w:t>
      </w:r>
      <w:r w:rsidR="00DA39CA">
        <w:t>espect to the Pre</w:t>
      </w:r>
      <w:r w:rsidR="00DA39CA">
        <w:noBreakHyphen/>
      </w:r>
      <w:r w:rsidR="00C13C7C">
        <w:t xml:space="preserve">Implementation Evidence </w:t>
      </w:r>
      <w:r w:rsidR="00FD6ABE">
        <w:t>A</w:t>
      </w:r>
      <w:r w:rsidRPr="00C13C7C">
        <w:t>re Unfounded</w:t>
      </w:r>
    </w:p>
    <w:p w14:paraId="7D3CDA77" w14:textId="75BCF872" w:rsidR="00004B9E" w:rsidRPr="00C13C7C" w:rsidRDefault="00FD6ABE" w:rsidP="00A571E6">
      <w:pPr>
        <w:pStyle w:val="WTONumbered"/>
        <w:ind w:left="0" w:firstLine="0"/>
      </w:pPr>
      <w:r>
        <w:t>T</w:t>
      </w:r>
      <w:r w:rsidR="005727BB" w:rsidRPr="00C13C7C">
        <w:t>he Dominican Republic claims that the Panel acted inconsistently wi</w:t>
      </w:r>
      <w:r w:rsidR="00504B61">
        <w:t>th Article </w:t>
      </w:r>
      <w:r w:rsidR="003607B4">
        <w:t>11 of the DSU by</w:t>
      </w:r>
      <w:r w:rsidR="005727BB" w:rsidRPr="00C13C7C">
        <w:t xml:space="preserve"> failing to engage with evidence demonstrating that</w:t>
      </w:r>
      <w:r w:rsidR="00205C8D">
        <w:t xml:space="preserve"> </w:t>
      </w:r>
      <w:r w:rsidR="005727BB" w:rsidRPr="00C13C7C">
        <w:t xml:space="preserve">branded tobacco packaging </w:t>
      </w:r>
      <w:r w:rsidR="00205C8D">
        <w:rPr>
          <w:i/>
        </w:rPr>
        <w:t xml:space="preserve">in Australia </w:t>
      </w:r>
      <w:r w:rsidR="005727BB" w:rsidRPr="00C13C7C">
        <w:t>was not appealing</w:t>
      </w:r>
      <w:r w:rsidR="003607B4">
        <w:t>.</w:t>
      </w:r>
      <w:r w:rsidR="006C4532" w:rsidRPr="00C13C7C">
        <w:rPr>
          <w:rStyle w:val="FootnoteReference"/>
        </w:rPr>
        <w:footnoteReference w:id="61"/>
      </w:r>
      <w:r w:rsidR="005727BB" w:rsidRPr="00C13C7C">
        <w:t xml:space="preserve"> </w:t>
      </w:r>
      <w:r w:rsidR="003607B4">
        <w:t xml:space="preserve"> The Dominican Republic also claims</w:t>
      </w:r>
      <w:r w:rsidR="005727BB" w:rsidRPr="00C13C7C">
        <w:t xml:space="preserve"> that the Panel's reasoning was "internally incoherent"</w:t>
      </w:r>
      <w:r w:rsidR="003607B4">
        <w:t>,</w:t>
      </w:r>
      <w:r w:rsidR="005727BB" w:rsidRPr="00C13C7C">
        <w:t xml:space="preserve"> </w:t>
      </w:r>
      <w:r w:rsidR="003607B4">
        <w:t>because the Dominican Republic alleges that its evidence</w:t>
      </w:r>
      <w:r w:rsidR="005727BB" w:rsidRPr="00C13C7C">
        <w:t xml:space="preserve"> directly contradicts the Panel's finding that tobacco packaging is used to convey positive associations to the consumers.</w:t>
      </w:r>
      <w:r w:rsidR="006C4532" w:rsidRPr="00C13C7C">
        <w:rPr>
          <w:rStyle w:val="FootnoteReference"/>
        </w:rPr>
        <w:footnoteReference w:id="62"/>
      </w:r>
      <w:r w:rsidR="005727BB" w:rsidRPr="00C13C7C">
        <w:t xml:space="preserve">  The</w:t>
      </w:r>
      <w:r w:rsidR="00205C8D">
        <w:t>se claims are unsustainable.</w:t>
      </w:r>
    </w:p>
    <w:p w14:paraId="7AEECCA6" w14:textId="01722E12" w:rsidR="00D8350F" w:rsidRPr="00C13C7C" w:rsidRDefault="005727BB" w:rsidP="00A571E6">
      <w:pPr>
        <w:pStyle w:val="WTONumbered"/>
        <w:ind w:left="0" w:firstLine="0"/>
      </w:pPr>
      <w:r w:rsidRPr="00C13C7C">
        <w:t xml:space="preserve">The Panel </w:t>
      </w:r>
      <w:r w:rsidR="00205C8D">
        <w:t>expressly took</w:t>
      </w:r>
      <w:r w:rsidRPr="00C13C7C">
        <w:t xml:space="preserve"> into account evidence sp</w:t>
      </w:r>
      <w:r w:rsidR="005D24B5" w:rsidRPr="00C13C7C">
        <w:t>ecific to the Australian market</w:t>
      </w:r>
      <w:r w:rsidRPr="00C13C7C">
        <w:t xml:space="preserve"> </w:t>
      </w:r>
      <w:r w:rsidR="005D24B5" w:rsidRPr="00C13C7C">
        <w:rPr>
          <w:i/>
        </w:rPr>
        <w:t>and</w:t>
      </w:r>
      <w:r w:rsidR="005D24B5" w:rsidRPr="00C13C7C">
        <w:t xml:space="preserve"> acknowledged the Dominican Republic's argument that "even before the TPP measures were introduced, Australia's packaging had negative appeal".</w:t>
      </w:r>
      <w:r w:rsidR="006C4532" w:rsidRPr="00C13C7C">
        <w:rPr>
          <w:rStyle w:val="FootnoteReference"/>
        </w:rPr>
        <w:footnoteReference w:id="63"/>
      </w:r>
      <w:r w:rsidR="00C15B17">
        <w:t xml:space="preserve">  </w:t>
      </w:r>
      <w:r w:rsidR="00205C8D">
        <w:lastRenderedPageBreak/>
        <w:t xml:space="preserve">Moreover, </w:t>
      </w:r>
      <w:r w:rsidR="00205C8D">
        <w:rPr>
          <w:rFonts w:cs="Times New Roman"/>
          <w:lang w:val="en-AU"/>
        </w:rPr>
        <w:t>t</w:t>
      </w:r>
      <w:r w:rsidR="00E93B63" w:rsidRPr="00570834">
        <w:rPr>
          <w:rFonts w:cs="Times New Roman"/>
          <w:lang w:val="en-AU"/>
        </w:rPr>
        <w:t xml:space="preserve">he Dominican Republic's argument </w:t>
      </w:r>
      <w:r w:rsidR="00205C8D">
        <w:rPr>
          <w:rFonts w:cs="Times New Roman"/>
          <w:lang w:val="en-AU"/>
        </w:rPr>
        <w:t xml:space="preserve">regarding the internal coherence of the Panel's findings </w:t>
      </w:r>
      <w:r w:rsidR="00E93B63" w:rsidRPr="00570834">
        <w:rPr>
          <w:rFonts w:cs="Times New Roman"/>
          <w:lang w:val="en-AU"/>
        </w:rPr>
        <w:t>implies that the perception of tobacco products prior</w:t>
      </w:r>
      <w:r w:rsidR="00830DDB">
        <w:rPr>
          <w:rFonts w:cs="Times New Roman"/>
          <w:lang w:val="en-AU"/>
        </w:rPr>
        <w:t xml:space="preserve"> to</w:t>
      </w:r>
      <w:r w:rsidR="00E93B63" w:rsidRPr="00570834">
        <w:rPr>
          <w:rFonts w:cs="Times New Roman"/>
          <w:lang w:val="en-AU"/>
        </w:rPr>
        <w:t xml:space="preserve"> the introduction of the TPP measures </w:t>
      </w:r>
      <w:r w:rsidR="00E93B63" w:rsidRPr="00E93B63">
        <w:rPr>
          <w:rFonts w:cs="Times New Roman"/>
          <w:i/>
          <w:lang w:val="en-AU"/>
        </w:rPr>
        <w:t>was as negative as Australia could reasonably hope to achieve</w:t>
      </w:r>
      <w:r w:rsidR="00E93B63">
        <w:rPr>
          <w:rFonts w:cs="Times New Roman"/>
          <w:lang w:val="en-AU"/>
        </w:rPr>
        <w:t xml:space="preserve">.  </w:t>
      </w:r>
      <w:r w:rsidR="00205C8D">
        <w:rPr>
          <w:rFonts w:cs="Times New Roman"/>
          <w:lang w:val="en-AU"/>
        </w:rPr>
        <w:t xml:space="preserve">The Dominican Republic's claim that the pre-implementation evidence demonstrated that the appeal of tobacco packaging could not be further reduced in Australia is also </w:t>
      </w:r>
      <w:r w:rsidR="005D24B5" w:rsidRPr="00C13C7C">
        <w:t xml:space="preserve">irreconcilable with the findings of its own expert that the TPP measures </w:t>
      </w:r>
      <w:r w:rsidR="005D24B5" w:rsidRPr="00E93B63">
        <w:rPr>
          <w:i/>
        </w:rPr>
        <w:t>have in fact reduced the appeal of tobacco packaging in Australia</w:t>
      </w:r>
      <w:r w:rsidR="005D24B5" w:rsidRPr="00C13C7C">
        <w:t>.</w:t>
      </w:r>
      <w:r w:rsidR="006C4532" w:rsidRPr="00C13C7C">
        <w:rPr>
          <w:rStyle w:val="FootnoteReference"/>
        </w:rPr>
        <w:footnoteReference w:id="64"/>
      </w:r>
      <w:r w:rsidR="005D24B5" w:rsidRPr="00C13C7C">
        <w:t xml:space="preserve">  </w:t>
      </w:r>
    </w:p>
    <w:p w14:paraId="28D29084" w14:textId="7724B41D" w:rsidR="00FF1E7C" w:rsidRPr="00C13C7C" w:rsidRDefault="000B0540" w:rsidP="00A571E6">
      <w:pPr>
        <w:pStyle w:val="WTONumbered"/>
        <w:ind w:left="0" w:firstLine="0"/>
      </w:pPr>
      <w:r>
        <w:t>In addition</w:t>
      </w:r>
      <w:r w:rsidR="00414895" w:rsidRPr="00C13C7C">
        <w:t xml:space="preserve">, </w:t>
      </w:r>
      <w:r w:rsidR="00004B9E" w:rsidRPr="00C13C7C">
        <w:t xml:space="preserve">Honduras claims that the Panel failed to conduct an objective assessment of the matter before it because it </w:t>
      </w:r>
      <w:r w:rsidR="00C13C7C">
        <w:t xml:space="preserve">assigned probative value to </w:t>
      </w:r>
      <w:r>
        <w:t xml:space="preserve">the </w:t>
      </w:r>
      <w:r w:rsidR="00C13C7C">
        <w:t>pre</w:t>
      </w:r>
      <w:r w:rsidR="00C13C7C">
        <w:noBreakHyphen/>
      </w:r>
      <w:r w:rsidR="00004B9E" w:rsidRPr="00C13C7C">
        <w:t>implementation evidence, despite "serious limitations" in that evidence,</w:t>
      </w:r>
      <w:r w:rsidR="006C4532" w:rsidRPr="00C13C7C">
        <w:rPr>
          <w:rStyle w:val="FootnoteReference"/>
        </w:rPr>
        <w:footnoteReference w:id="65"/>
      </w:r>
      <w:r w:rsidR="00004B9E" w:rsidRPr="00C13C7C">
        <w:t xml:space="preserve"> and maintains that the Panel erroneously concluded that</w:t>
      </w:r>
      <w:r w:rsidR="00C13C7C">
        <w:t xml:space="preserve"> any limitations in the pre</w:t>
      </w:r>
      <w:r w:rsidR="00C13C7C">
        <w:noBreakHyphen/>
      </w:r>
      <w:r w:rsidR="00004B9E" w:rsidRPr="00C13C7C">
        <w:t>implementation evidence could be overcome when viewed in the context of the wider literature.</w:t>
      </w:r>
      <w:r w:rsidR="006C4532" w:rsidRPr="00C13C7C">
        <w:rPr>
          <w:rStyle w:val="FootnoteReference"/>
        </w:rPr>
        <w:footnoteReference w:id="66"/>
      </w:r>
      <w:r w:rsidR="00004B9E" w:rsidRPr="00C13C7C">
        <w:t xml:space="preserve">  </w:t>
      </w:r>
      <w:r w:rsidR="00414895" w:rsidRPr="00C13C7C">
        <w:t>These cla</w:t>
      </w:r>
      <w:r w:rsidR="00205C8D">
        <w:t xml:space="preserve">ims of error must be rejected, because </w:t>
      </w:r>
      <w:r w:rsidR="00414895" w:rsidRPr="00C13C7C">
        <w:t xml:space="preserve">Honduras's assertions </w:t>
      </w:r>
      <w:r w:rsidR="00004B9E" w:rsidRPr="00C13C7C">
        <w:t xml:space="preserve">are </w:t>
      </w:r>
      <w:r w:rsidR="00C24274">
        <w:t xml:space="preserve">squarely </w:t>
      </w:r>
      <w:r w:rsidR="00004B9E" w:rsidRPr="00C13C7C">
        <w:t>directed at the Panel's discretion to assess the credibility, determine the weight, and make findings on the basis of the</w:t>
      </w:r>
      <w:r w:rsidR="00C24274">
        <w:t xml:space="preserve"> evidence on the </w:t>
      </w:r>
      <w:r w:rsidR="007123E6">
        <w:t>p</w:t>
      </w:r>
      <w:r w:rsidR="00C24274">
        <w:t xml:space="preserve">anel record.  </w:t>
      </w:r>
      <w:r w:rsidR="00414895" w:rsidRPr="00C13C7C">
        <w:t xml:space="preserve"> </w:t>
      </w:r>
    </w:p>
    <w:p w14:paraId="08878D6B" w14:textId="651C0A5F" w:rsidR="00FF1E7C" w:rsidRPr="00C13C7C" w:rsidRDefault="000B0540" w:rsidP="00A571E6">
      <w:pPr>
        <w:pStyle w:val="WTONumbered"/>
        <w:ind w:left="0" w:firstLine="0"/>
      </w:pPr>
      <w:r>
        <w:t>F</w:t>
      </w:r>
      <w:r w:rsidR="00FF1E7C" w:rsidRPr="00C13C7C">
        <w:t>inally, both the Dominican Republic and Honduras claim that the Panel acted inconsistently w</w:t>
      </w:r>
      <w:r w:rsidR="00504B61">
        <w:t>ith Article </w:t>
      </w:r>
      <w:r w:rsidR="00FF1E7C" w:rsidRPr="00C13C7C">
        <w:t>11 of the DSU by faili</w:t>
      </w:r>
      <w:r w:rsidR="00830DDB">
        <w:t>ng to ascertain whether the pre</w:t>
      </w:r>
      <w:r w:rsidR="00830DDB">
        <w:noBreakHyphen/>
      </w:r>
      <w:r w:rsidR="00FF1E7C" w:rsidRPr="00C13C7C">
        <w:t>implementation evidence was corroborated by the post-implementation evidence.</w:t>
      </w:r>
      <w:r w:rsidR="009D19AF" w:rsidRPr="00C13C7C">
        <w:rPr>
          <w:rStyle w:val="FootnoteReference"/>
        </w:rPr>
        <w:footnoteReference w:id="67"/>
      </w:r>
      <w:r w:rsidR="00FF1E7C" w:rsidRPr="00C13C7C">
        <w:t xml:space="preserve">  </w:t>
      </w:r>
      <w:r w:rsidR="00C24274">
        <w:t>This assertion is demonstrably false.  In relation to the post-implementation "proximal" outcomes evidence, for example, the Panel found that the TPP measures have "</w:t>
      </w:r>
      <w:r w:rsidR="00C24274" w:rsidRPr="00C24274">
        <w:rPr>
          <w:lang w:val="en-AU"/>
        </w:rPr>
        <w:t xml:space="preserve">in fact reduced the appeal of tobacco products, </w:t>
      </w:r>
      <w:r w:rsidR="00C24274" w:rsidRPr="00C24274">
        <w:rPr>
          <w:u w:val="single"/>
          <w:lang w:val="en-AU"/>
        </w:rPr>
        <w:t>as anticipated in a number of the pre-implementation studies criticized by the complainants</w:t>
      </w:r>
      <w:r w:rsidR="00C24274" w:rsidRPr="00C24274">
        <w:rPr>
          <w:lang w:val="en-AU"/>
        </w:rPr>
        <w:t>.</w:t>
      </w:r>
      <w:r w:rsidR="00C24274">
        <w:rPr>
          <w:lang w:val="en-AU"/>
        </w:rPr>
        <w:t>"</w:t>
      </w:r>
      <w:r w:rsidR="00C24274" w:rsidRPr="00C24274">
        <w:rPr>
          <w:vertAlign w:val="superscript"/>
          <w:lang w:val="en-AU"/>
        </w:rPr>
        <w:footnoteReference w:id="68"/>
      </w:r>
      <w:r w:rsidR="00C24274" w:rsidRPr="00C24274">
        <w:rPr>
          <w:lang w:val="en-AU"/>
        </w:rPr>
        <w:t xml:space="preserve">  </w:t>
      </w:r>
    </w:p>
    <w:p w14:paraId="108EB34F" w14:textId="27DFD9D3" w:rsidR="00414895" w:rsidRPr="00C13C7C" w:rsidRDefault="00414895" w:rsidP="00A571E6">
      <w:pPr>
        <w:pStyle w:val="WTONumbered"/>
        <w:ind w:left="0" w:firstLine="0"/>
      </w:pPr>
      <w:r w:rsidRPr="00C13C7C">
        <w:t xml:space="preserve">In sum, the appellants' </w:t>
      </w:r>
      <w:r w:rsidR="00C24274">
        <w:t xml:space="preserve">limited </w:t>
      </w:r>
      <w:r w:rsidRPr="00C13C7C">
        <w:t xml:space="preserve">claims of error </w:t>
      </w:r>
      <w:r w:rsidR="00C24274">
        <w:t>in relation to the Panel's analysis of the pre-implementation evidence</w:t>
      </w:r>
      <w:r w:rsidRPr="00C13C7C">
        <w:t xml:space="preserve"> are misleading and incorrect, and must be rejected.  </w:t>
      </w:r>
    </w:p>
    <w:p w14:paraId="2CCA9FFE" w14:textId="79C7834D" w:rsidR="00C77D3D" w:rsidRPr="00C13C7C" w:rsidRDefault="000A5E4B" w:rsidP="000A5E4B">
      <w:pPr>
        <w:pStyle w:val="Heading2"/>
      </w:pPr>
      <w:r>
        <w:t xml:space="preserve">Claims </w:t>
      </w:r>
      <w:r w:rsidR="00FD6ABE">
        <w:t>Regarding</w:t>
      </w:r>
      <w:r>
        <w:t xml:space="preserve"> the </w:t>
      </w:r>
      <w:r w:rsidR="00C77D3D" w:rsidRPr="00C13C7C">
        <w:t>Post-Implementation Evidence</w:t>
      </w:r>
    </w:p>
    <w:p w14:paraId="7A32225F" w14:textId="528B3065" w:rsidR="009B590D" w:rsidRPr="00C13C7C" w:rsidRDefault="00D879D2" w:rsidP="00A571E6">
      <w:pPr>
        <w:pStyle w:val="WTONumbered"/>
        <w:ind w:left="0" w:firstLine="0"/>
      </w:pPr>
      <w:r w:rsidRPr="00D879D2">
        <w:t>The appellants have focused the bulk of their extensive claims under Article 11 on the Panel's analysis of the empirical evidence relating to the application of the measures following their entry into force in December 2012 (i.e. the "</w:t>
      </w:r>
      <w:r w:rsidRPr="00D879D2">
        <w:rPr>
          <w:u w:val="single"/>
        </w:rPr>
        <w:t>post</w:t>
      </w:r>
      <w:r w:rsidRPr="00D879D2">
        <w:rPr>
          <w:u w:val="single"/>
        </w:rPr>
        <w:noBreakHyphen/>
        <w:t>implementation</w:t>
      </w:r>
      <w:r w:rsidRPr="00D879D2">
        <w:t xml:space="preserve"> evidence").  Australia will address the appellants' claims in relation to the Panel's analysis of the evidence </w:t>
      </w:r>
      <w:r w:rsidR="003607B4">
        <w:t>concerning</w:t>
      </w:r>
      <w:r w:rsidRPr="00D879D2">
        <w:t xml:space="preserve"> "proximal" outcomes (Appendix A) and "distal" outco</w:t>
      </w:r>
      <w:r>
        <w:t xml:space="preserve">mes (Appendix B) in Part </w:t>
      </w:r>
      <w:r w:rsidR="00830DDB">
        <w:fldChar w:fldCharType="begin"/>
      </w:r>
      <w:r w:rsidR="00830DDB">
        <w:instrText xml:space="preserve"> REF _Ref526173613 \w \h </w:instrText>
      </w:r>
      <w:r w:rsidR="00830DDB">
        <w:fldChar w:fldCharType="separate"/>
      </w:r>
      <w:r w:rsidR="00830DDB">
        <w:t>IV.E.1</w:t>
      </w:r>
      <w:r w:rsidR="00830DDB">
        <w:fldChar w:fldCharType="end"/>
      </w:r>
      <w:r>
        <w:t xml:space="preserve"> below</w:t>
      </w:r>
      <w:r w:rsidRPr="00D879D2">
        <w:t xml:space="preserve">, and will address the appellants' claims in relation to the Panel's analysis of the evidence relating to smoking behaviours (Appendices C and D) in Part </w:t>
      </w:r>
      <w:r w:rsidR="00830DDB">
        <w:fldChar w:fldCharType="begin"/>
      </w:r>
      <w:r w:rsidR="00830DDB">
        <w:instrText xml:space="preserve"> REF _Ref526173623 \w \h </w:instrText>
      </w:r>
      <w:r w:rsidR="00830DDB">
        <w:fldChar w:fldCharType="separate"/>
      </w:r>
      <w:r w:rsidR="00830DDB">
        <w:t>IV.E.2</w:t>
      </w:r>
      <w:r w:rsidR="00830DDB">
        <w:fldChar w:fldCharType="end"/>
      </w:r>
      <w:r>
        <w:t xml:space="preserve"> below. </w:t>
      </w:r>
    </w:p>
    <w:p w14:paraId="0088DC03" w14:textId="4B6CCD43" w:rsidR="00B50195" w:rsidRPr="00C13C7C" w:rsidRDefault="00E80794" w:rsidP="000A5E4B">
      <w:pPr>
        <w:pStyle w:val="Heading3"/>
      </w:pPr>
      <w:bookmarkStart w:id="6" w:name="_Ref526173613"/>
      <w:r w:rsidRPr="00C13C7C">
        <w:lastRenderedPageBreak/>
        <w:t xml:space="preserve">The Appellants' Claims </w:t>
      </w:r>
      <w:r w:rsidR="00FD6ABE">
        <w:t>Regarding</w:t>
      </w:r>
      <w:r w:rsidRPr="00C13C7C">
        <w:t xml:space="preserve"> </w:t>
      </w:r>
      <w:r w:rsidR="00B50195" w:rsidRPr="00C13C7C">
        <w:t xml:space="preserve">Appendices A </w:t>
      </w:r>
      <w:r w:rsidR="00830DDB">
        <w:t>and</w:t>
      </w:r>
      <w:r w:rsidR="00B50195" w:rsidRPr="00C13C7C">
        <w:t xml:space="preserve"> B</w:t>
      </w:r>
      <w:r w:rsidRPr="00C13C7C">
        <w:t xml:space="preserve"> Are Unfounded</w:t>
      </w:r>
      <w:bookmarkEnd w:id="6"/>
    </w:p>
    <w:p w14:paraId="17F586FA" w14:textId="3236C5B0" w:rsidR="00B50195" w:rsidRPr="00C13C7C" w:rsidRDefault="006E5F2E" w:rsidP="00A571E6">
      <w:pPr>
        <w:pStyle w:val="WTONumbered"/>
        <w:ind w:left="0" w:firstLine="0"/>
      </w:pPr>
      <w:r w:rsidRPr="00C13C7C">
        <w:t xml:space="preserve">The Panel commenced its analysis of the post-implementation evidence in </w:t>
      </w:r>
      <w:r w:rsidRPr="00C13C7C">
        <w:rPr>
          <w:u w:val="single"/>
        </w:rPr>
        <w:t>Appendix A</w:t>
      </w:r>
      <w:r w:rsidRPr="00C13C7C">
        <w:t xml:space="preserve"> by assessing the studies that focused on the impact of the TPP measures and enlarged GHWs on non-behavioural proximal outcomes </w:t>
      </w:r>
      <w:r w:rsidR="003441FF" w:rsidRPr="00C13C7C">
        <w:t>(i.e. reduced appeal of tobacco products, increased effectiveness of GHWs, and reduced ability of the pack to mislead consumers about the harmful effects of smoking)</w:t>
      </w:r>
      <w:r w:rsidRPr="00C13C7C">
        <w:t>.  The Panel concluded that there was empirical evidence, supported by findings of the complainants' own experts, that the TPP measures have reduced the appeal of tobacco products and increased the noticeability of GHWs.</w:t>
      </w:r>
      <w:r w:rsidRPr="00C13C7C">
        <w:rPr>
          <w:rStyle w:val="FootnoteReference"/>
        </w:rPr>
        <w:footnoteReference w:id="69"/>
      </w:r>
      <w:r w:rsidRPr="00C13C7C">
        <w:t xml:space="preserve">  The Panel considered that this evidence "confirms, rather than discredits, the 'hypothesized direction'" of the TPP measures.</w:t>
      </w:r>
      <w:r w:rsidRPr="00C13C7C">
        <w:rPr>
          <w:rStyle w:val="FootnoteReference"/>
        </w:rPr>
        <w:footnoteReference w:id="70"/>
      </w:r>
      <w:r w:rsidRPr="00C13C7C">
        <w:t xml:space="preserve">  </w:t>
      </w:r>
    </w:p>
    <w:p w14:paraId="782F29C3" w14:textId="3A333C49" w:rsidR="000C2491" w:rsidRPr="00C13C7C" w:rsidRDefault="00E64F5F" w:rsidP="00A571E6">
      <w:pPr>
        <w:pStyle w:val="WTONumbered"/>
        <w:ind w:left="0" w:firstLine="0"/>
      </w:pPr>
      <w:r w:rsidRPr="00C13C7C">
        <w:t>Having made these findings</w:t>
      </w:r>
      <w:r w:rsidR="003441FF" w:rsidRPr="00C13C7C">
        <w:t xml:space="preserve">, the Panel then considered the impact of the TPP measures on "distal outcomes" in </w:t>
      </w:r>
      <w:r w:rsidR="003441FF" w:rsidRPr="00C13C7C">
        <w:rPr>
          <w:u w:val="single"/>
        </w:rPr>
        <w:t>Appendix B</w:t>
      </w:r>
      <w:r w:rsidR="003441FF" w:rsidRPr="00C13C7C">
        <w:t xml:space="preserve"> (i.e. quitting-related cognitions, pack concealment, quit attempts, etc.).  </w:t>
      </w:r>
      <w:r w:rsidRPr="00C13C7C">
        <w:t>Despite the inherent challenges in the data, as identified by the Panel,</w:t>
      </w:r>
      <w:r w:rsidRPr="00C13C7C">
        <w:rPr>
          <w:rStyle w:val="FootnoteReference"/>
        </w:rPr>
        <w:footnoteReference w:id="71"/>
      </w:r>
      <w:r w:rsidRPr="00C13C7C">
        <w:t xml:space="preserve"> the Panel nonetheless concluded that while </w:t>
      </w:r>
      <w:r w:rsidR="000C2491" w:rsidRPr="00C13C7C">
        <w:t>some of the results were "limited" or "limited and mixed", the available post-implementation empirical evi</w:t>
      </w:r>
      <w:r w:rsidR="00FD6ABE">
        <w:t xml:space="preserve">dence on the "distal" outcomes </w:t>
      </w:r>
      <w:r w:rsidR="000C2491" w:rsidRPr="00C13C7C">
        <w:t>suggest</w:t>
      </w:r>
      <w:r w:rsidR="00FD6ABE">
        <w:t>s</w:t>
      </w:r>
      <w:r w:rsidR="000C2491" w:rsidRPr="00C13C7C">
        <w:t xml:space="preserve"> that the TPP measures are operating as expected in terms of </w:t>
      </w:r>
      <w:r w:rsidR="00FD6ABE">
        <w:t>statistically significant effects</w:t>
      </w:r>
      <w:r w:rsidR="000C2491" w:rsidRPr="00C13C7C">
        <w:t xml:space="preserve"> on avoidant behaviours and increased calls to Quitline.</w:t>
      </w:r>
      <w:r w:rsidR="00141C43" w:rsidRPr="00C13C7C">
        <w:rPr>
          <w:rStyle w:val="FootnoteReference"/>
        </w:rPr>
        <w:footnoteReference w:id="72"/>
      </w:r>
      <w:r w:rsidR="000C2491" w:rsidRPr="00C13C7C">
        <w:t xml:space="preserve">  Furthermore, the Pa</w:t>
      </w:r>
      <w:r w:rsidR="00FD6ABE">
        <w:t>nel rejected the complainants' argument</w:t>
      </w:r>
      <w:r w:rsidR="000C2491" w:rsidRPr="00C13C7C">
        <w:t xml:space="preserve"> that, even if the TPP measures had the expected effects on antecedent behaviours (which they maintained, it had not), then these effects would</w:t>
      </w:r>
      <w:r w:rsidRPr="00C13C7C">
        <w:t xml:space="preserve"> be susceptible to "wear out".</w:t>
      </w:r>
      <w:r w:rsidR="00141C43" w:rsidRPr="00C13C7C">
        <w:rPr>
          <w:rStyle w:val="FootnoteReference"/>
        </w:rPr>
        <w:footnoteReference w:id="73"/>
      </w:r>
    </w:p>
    <w:p w14:paraId="693B601E" w14:textId="5A771C88" w:rsidR="00701BFF" w:rsidRPr="00C13C7C" w:rsidRDefault="003607B4" w:rsidP="00A571E6">
      <w:pPr>
        <w:pStyle w:val="WTONumbered"/>
        <w:ind w:left="0" w:firstLine="0"/>
      </w:pPr>
      <w:r>
        <w:t xml:space="preserve">The appellants' claims </w:t>
      </w:r>
      <w:r w:rsidR="00504B61">
        <w:t>under Article </w:t>
      </w:r>
      <w:r w:rsidR="000C2491" w:rsidRPr="00C13C7C">
        <w:t xml:space="preserve">11 of the DSU in relation to the Panel's </w:t>
      </w:r>
      <w:r>
        <w:t>analysis of the evidence in</w:t>
      </w:r>
      <w:r w:rsidR="00701BFF" w:rsidRPr="00C13C7C">
        <w:t xml:space="preserve"> Appendices A and B</w:t>
      </w:r>
      <w:r>
        <w:t xml:space="preserve"> </w:t>
      </w:r>
      <w:r w:rsidR="00FD6ABE">
        <w:t xml:space="preserve">also </w:t>
      </w:r>
      <w:r>
        <w:t>lack merit and</w:t>
      </w:r>
      <w:r w:rsidR="00701BFF" w:rsidRPr="00C13C7C">
        <w:t xml:space="preserve"> should be rejected.</w:t>
      </w:r>
    </w:p>
    <w:p w14:paraId="3315CB03" w14:textId="6DCB8030" w:rsidR="009B590D" w:rsidRPr="00C13C7C" w:rsidRDefault="000C2491" w:rsidP="00A571E6">
      <w:pPr>
        <w:pStyle w:val="WTONumbered"/>
        <w:ind w:left="0" w:firstLine="0"/>
      </w:pPr>
      <w:r w:rsidRPr="00C13C7C">
        <w:t xml:space="preserve"> </w:t>
      </w:r>
      <w:r w:rsidR="00701BFF" w:rsidRPr="00C13C7C">
        <w:t>First, both appellants argue that the Panel's findings are "incoherent" or lack a "reasoned and adequate basis".</w:t>
      </w:r>
      <w:r w:rsidR="00141C43" w:rsidRPr="00C13C7C">
        <w:rPr>
          <w:rStyle w:val="FootnoteReference"/>
        </w:rPr>
        <w:footnoteReference w:id="74"/>
      </w:r>
      <w:r w:rsidR="00701BFF" w:rsidRPr="00C13C7C">
        <w:t xml:space="preserve">  Specifically, the appellants argue that</w:t>
      </w:r>
      <w:r w:rsidR="00E64F5F" w:rsidRPr="00C13C7C">
        <w:t>,</w:t>
      </w:r>
      <w:r w:rsidR="00701BFF" w:rsidRPr="00C13C7C">
        <w:t xml:space="preserve"> in its holistic assessment of the evidence, the Panel relied on the "positive" evidence of "proximal" outcomes in Appendix A demonstrating that the TPP measures were having the </w:t>
      </w:r>
      <w:r w:rsidR="00701BFF" w:rsidRPr="00C13C7C">
        <w:lastRenderedPageBreak/>
        <w:t>effects anticipated in the pre-implementation studies, while "ignoring" or "zeroing out" other "limited" or "limited and mixed" evidence in Appendices A and B.</w:t>
      </w:r>
      <w:r w:rsidR="00141C43" w:rsidRPr="00C13C7C">
        <w:rPr>
          <w:rStyle w:val="FootnoteReference"/>
        </w:rPr>
        <w:footnoteReference w:id="75"/>
      </w:r>
      <w:r w:rsidR="00701BFF" w:rsidRPr="00C13C7C">
        <w:t xml:space="preserve">  </w:t>
      </w:r>
    </w:p>
    <w:p w14:paraId="743ECB24" w14:textId="13E6842B" w:rsidR="00701BFF" w:rsidRPr="00C13C7C" w:rsidRDefault="00C556EF" w:rsidP="00A571E6">
      <w:pPr>
        <w:pStyle w:val="WTONumbered"/>
        <w:ind w:left="0" w:firstLine="0"/>
      </w:pPr>
      <w:r>
        <w:t xml:space="preserve">What </w:t>
      </w:r>
      <w:r>
        <w:rPr>
          <w:rFonts w:cs="Times New Roman"/>
        </w:rPr>
        <w:t>the appellants are challenging is</w:t>
      </w:r>
      <w:r w:rsidRPr="00B24AF6">
        <w:rPr>
          <w:rFonts w:cs="Times New Roman"/>
        </w:rPr>
        <w:t xml:space="preserve"> the Panel's discretion to assess the credibility, determine the weight, and make findings on the basis of the ev</w:t>
      </w:r>
      <w:r>
        <w:rPr>
          <w:rFonts w:cs="Times New Roman"/>
        </w:rPr>
        <w:t>idence on the p</w:t>
      </w:r>
      <w:r w:rsidRPr="00B24AF6">
        <w:rPr>
          <w:rFonts w:cs="Times New Roman"/>
        </w:rPr>
        <w:t xml:space="preserve">anel record. </w:t>
      </w:r>
      <w:r w:rsidR="009664F4">
        <w:rPr>
          <w:rFonts w:cs="Times New Roman"/>
        </w:rPr>
        <w:t xml:space="preserve"> </w:t>
      </w:r>
      <w:r>
        <w:rPr>
          <w:rFonts w:cs="Times New Roman"/>
        </w:rPr>
        <w:t>T</w:t>
      </w:r>
      <w:r w:rsidRPr="00B24AF6">
        <w:rPr>
          <w:rFonts w:cs="Times New Roman"/>
        </w:rPr>
        <w:t xml:space="preserve">he appellants ignore </w:t>
      </w:r>
      <w:r w:rsidR="000B0540">
        <w:rPr>
          <w:rFonts w:cs="Times New Roman"/>
        </w:rPr>
        <w:t xml:space="preserve">the fact </w:t>
      </w:r>
      <w:r w:rsidRPr="00B24AF6">
        <w:rPr>
          <w:rFonts w:cs="Times New Roman"/>
        </w:rPr>
        <w:t xml:space="preserve">that the Panel weighed the evidence in Appendices A and B cognizant of the limitations of the post-implementation data and in relation to the complainants' undisputed burden of </w:t>
      </w:r>
      <w:r w:rsidRPr="00A571E6">
        <w:t>proving</w:t>
      </w:r>
      <w:r w:rsidRPr="00B24AF6">
        <w:rPr>
          <w:rFonts w:cs="Times New Roman"/>
        </w:rPr>
        <w:t xml:space="preserve"> that the TPP measures are </w:t>
      </w:r>
      <w:r w:rsidRPr="00B24AF6">
        <w:rPr>
          <w:rFonts w:cs="Times New Roman"/>
          <w:i/>
        </w:rPr>
        <w:t>incapable</w:t>
      </w:r>
      <w:r w:rsidRPr="00B24AF6">
        <w:rPr>
          <w:rFonts w:cs="Times New Roman"/>
        </w:rPr>
        <w:t xml:space="preserve"> of contributing to Australia's objective through the operation of the proposed "causal chain".  The evidence in Appendices A and B was more than sufficient to support the Panel's overall finding that the complainants had not met this </w:t>
      </w:r>
      <w:r w:rsidRPr="00B24AF6">
        <w:rPr>
          <w:rFonts w:cs="Times New Roman"/>
          <w:i/>
        </w:rPr>
        <w:t xml:space="preserve">prima facie </w:t>
      </w:r>
      <w:r w:rsidRPr="00B24AF6">
        <w:rPr>
          <w:rFonts w:cs="Times New Roman"/>
        </w:rPr>
        <w:t>burden.</w:t>
      </w:r>
    </w:p>
    <w:p w14:paraId="49F53A1E" w14:textId="5423B021" w:rsidR="0090121C" w:rsidRPr="00C13C7C" w:rsidRDefault="00701BFF" w:rsidP="00A571E6">
      <w:pPr>
        <w:pStyle w:val="WTONumbered"/>
        <w:ind w:left="0" w:firstLine="0"/>
      </w:pPr>
      <w:r w:rsidRPr="00C13C7C">
        <w:t xml:space="preserve">Second, the Dominican Republic argues that the Panel's summary of the </w:t>
      </w:r>
      <w:r w:rsidR="003607B4">
        <w:t>effect</w:t>
      </w:r>
      <w:r w:rsidRPr="00C13C7C">
        <w:t xml:space="preserve"> of the TPP measures on distal outcomes "lacks coherence" with the Panel's own finding</w:t>
      </w:r>
      <w:r w:rsidR="00E17ED0" w:rsidRPr="00C13C7C">
        <w:t>s in Appendix B of its Report.</w:t>
      </w:r>
      <w:r w:rsidR="00141C43" w:rsidRPr="00C13C7C">
        <w:rPr>
          <w:rStyle w:val="FootnoteReference"/>
        </w:rPr>
        <w:footnoteReference w:id="76"/>
      </w:r>
      <w:r w:rsidR="00E17ED0" w:rsidRPr="00C13C7C">
        <w:t xml:space="preserve">  </w:t>
      </w:r>
      <w:r w:rsidR="00E64F5F" w:rsidRPr="00C13C7C">
        <w:t xml:space="preserve">These arguments need not detain the Appellate Body long.  </w:t>
      </w:r>
      <w:r w:rsidR="00812B3E" w:rsidRPr="00C13C7C">
        <w:t xml:space="preserve">Each of the </w:t>
      </w:r>
      <w:r w:rsidR="003607B4">
        <w:t xml:space="preserve">Dominican Republic's </w:t>
      </w:r>
      <w:r w:rsidR="00812B3E" w:rsidRPr="00C13C7C">
        <w:t>allegations under this "second claim of error" relies on a selective reading of the P</w:t>
      </w:r>
      <w:r w:rsidR="003607B4">
        <w:t>anel's analysis and conclusions.  Once the Dominican Republic's mis</w:t>
      </w:r>
      <w:r w:rsidR="0081443B">
        <w:t>representations are corrected, its</w:t>
      </w:r>
      <w:r w:rsidR="00812B3E" w:rsidRPr="00C13C7C">
        <w:t xml:space="preserve"> arguments </w:t>
      </w:r>
      <w:r w:rsidR="00141C43" w:rsidRPr="00C13C7C">
        <w:t>lack any foundation</w:t>
      </w:r>
      <w:r w:rsidR="00812B3E" w:rsidRPr="00C13C7C">
        <w:t xml:space="preserve">.  </w:t>
      </w:r>
    </w:p>
    <w:p w14:paraId="6109F48A" w14:textId="7A308B4A" w:rsidR="0090121C" w:rsidRPr="00C13C7C" w:rsidRDefault="00701BFF" w:rsidP="00A571E6">
      <w:pPr>
        <w:pStyle w:val="WTONumbered"/>
        <w:ind w:left="0" w:firstLine="0"/>
      </w:pPr>
      <w:r w:rsidRPr="00C13C7C">
        <w:t xml:space="preserve">Third, the Dominican Republic argues that the Panel's assessment of the robustness of certain of the parties' evidence in Appendix </w:t>
      </w:r>
      <w:r w:rsidR="00504B61">
        <w:t>B was inconsistent with Article </w:t>
      </w:r>
      <w:r w:rsidRPr="00C13C7C">
        <w:t>11 of the DSU</w:t>
      </w:r>
      <w:r w:rsidR="0090121C" w:rsidRPr="00C13C7C">
        <w:t xml:space="preserve">.  </w:t>
      </w:r>
      <w:r w:rsidR="00C556EF">
        <w:t>Given that these claims of error are self-evidently not material to the Panel contribution findings,</w:t>
      </w:r>
      <w:r w:rsidR="00C556EF">
        <w:rPr>
          <w:rStyle w:val="FootnoteReference"/>
        </w:rPr>
        <w:footnoteReference w:id="77"/>
      </w:r>
      <w:r w:rsidR="00B514FE">
        <w:t xml:space="preserve"> Australia does not believe that they merit further attention.  </w:t>
      </w:r>
    </w:p>
    <w:p w14:paraId="1E13FFFF" w14:textId="53697BC8" w:rsidR="0090121C" w:rsidRPr="00C13C7C" w:rsidRDefault="00B514FE" w:rsidP="00A571E6">
      <w:pPr>
        <w:pStyle w:val="WTONumbered"/>
        <w:ind w:left="0" w:firstLine="0"/>
      </w:pPr>
      <w:r>
        <w:t>In sum, the</w:t>
      </w:r>
      <w:r w:rsidR="00E80794" w:rsidRPr="00C13C7C">
        <w:t xml:space="preserve"> appellan</w:t>
      </w:r>
      <w:r w:rsidR="00504B61">
        <w:t>ts' claims under Article </w:t>
      </w:r>
      <w:r w:rsidR="00E80794" w:rsidRPr="00C13C7C">
        <w:t xml:space="preserve">11 with respect to "proximal" and "distal" outcomes are wholly lacking in merit, </w:t>
      </w:r>
      <w:r>
        <w:t>and</w:t>
      </w:r>
      <w:r w:rsidR="00E64F5F" w:rsidRPr="00C13C7C">
        <w:t xml:space="preserve"> </w:t>
      </w:r>
      <w:r w:rsidR="00E80794" w:rsidRPr="00C13C7C">
        <w:t xml:space="preserve">should be rejected.  </w:t>
      </w:r>
    </w:p>
    <w:p w14:paraId="306B74C0" w14:textId="1A08CB71" w:rsidR="00B50195" w:rsidRPr="00C13C7C" w:rsidRDefault="00E80794" w:rsidP="000A5E4B">
      <w:pPr>
        <w:pStyle w:val="Heading3"/>
      </w:pPr>
      <w:bookmarkStart w:id="7" w:name="_Ref526173623"/>
      <w:r w:rsidRPr="00C13C7C">
        <w:t xml:space="preserve">The Appellants' Claims </w:t>
      </w:r>
      <w:r w:rsidR="00FD6ABE">
        <w:t>Regarding</w:t>
      </w:r>
      <w:r w:rsidRPr="00C13C7C">
        <w:t xml:space="preserve"> Appendices C </w:t>
      </w:r>
      <w:r w:rsidR="00830DDB">
        <w:t>and</w:t>
      </w:r>
      <w:r w:rsidRPr="00C13C7C">
        <w:t xml:space="preserve"> D Are Unfounded</w:t>
      </w:r>
      <w:bookmarkEnd w:id="7"/>
      <w:r w:rsidRPr="00C13C7C">
        <w:t xml:space="preserve"> </w:t>
      </w:r>
    </w:p>
    <w:p w14:paraId="52AEF5DE" w14:textId="3F43F0AF" w:rsidR="007035D1" w:rsidRPr="007035D1" w:rsidRDefault="007035D1" w:rsidP="00A571E6">
      <w:pPr>
        <w:pStyle w:val="WTONumbered"/>
        <w:ind w:left="0" w:firstLine="0"/>
      </w:pPr>
      <w:r w:rsidRPr="007035D1">
        <w:t>Having found that the early post-implementation evidence on proximal and distal outcomes confirmed that the TPP measures were operating "as intended", the Panel proceeded to examine the post-implementation evidence concerning rates of tobacco smoking (prevalence) and the volume of tobacco products sold (consumption).  The Panel detailed its findings on prevalence and consumption in Appendices C and D, respectively.</w:t>
      </w:r>
    </w:p>
    <w:p w14:paraId="1D1B3080" w14:textId="77777777" w:rsidR="007035D1" w:rsidRPr="007035D1" w:rsidRDefault="007035D1" w:rsidP="00A571E6">
      <w:pPr>
        <w:pStyle w:val="WTONumbered"/>
        <w:ind w:left="0" w:firstLine="0"/>
      </w:pPr>
      <w:r w:rsidRPr="007035D1">
        <w:lastRenderedPageBreak/>
        <w:t xml:space="preserve">Initially, the complainants sought to demonstrate that the TPP measures are not apt to contribute to Australia's legitimate objective because the measures had "backfired" by causing an </w:t>
      </w:r>
      <w:r w:rsidRPr="007035D1">
        <w:rPr>
          <w:i/>
        </w:rPr>
        <w:t>increase</w:t>
      </w:r>
      <w:r w:rsidRPr="007035D1">
        <w:t xml:space="preserve"> in at least certain categories of prevalence and consumption.  The complainants abandoned this position when the evidence established that rates of prevalence and consumption had continued to </w:t>
      </w:r>
      <w:r w:rsidRPr="007035D1">
        <w:rPr>
          <w:i/>
        </w:rPr>
        <w:t>decline</w:t>
      </w:r>
      <w:r w:rsidRPr="007035D1">
        <w:t xml:space="preserve"> following the implementation of the TPP measures.  The complainants then changed tactics and sought to prove that </w:t>
      </w:r>
      <w:r w:rsidRPr="007035D1">
        <w:rPr>
          <w:i/>
        </w:rPr>
        <w:t>no portion</w:t>
      </w:r>
      <w:r w:rsidRPr="007035D1">
        <w:t xml:space="preserve"> of the observed declines in prevalence and consumption could be </w:t>
      </w:r>
      <w:r w:rsidRPr="007035D1">
        <w:rPr>
          <w:i/>
        </w:rPr>
        <w:t>attributed</w:t>
      </w:r>
      <w:r w:rsidRPr="007035D1">
        <w:t xml:space="preserve"> to the effects of the TPP measures.  To this end, the complainants sought to prove, first, that declines in prevalence and consumption had not </w:t>
      </w:r>
      <w:r w:rsidRPr="007035D1">
        <w:rPr>
          <w:i/>
        </w:rPr>
        <w:t xml:space="preserve">accelerated </w:t>
      </w:r>
      <w:r w:rsidRPr="007035D1">
        <w:t>since the implementation of the TPP measures in December 2012.</w:t>
      </w:r>
      <w:r w:rsidRPr="007035D1">
        <w:rPr>
          <w:vertAlign w:val="superscript"/>
        </w:rPr>
        <w:footnoteReference w:id="78"/>
      </w:r>
      <w:r w:rsidRPr="007035D1">
        <w:t xml:space="preserve">  Second, the complainants submitted econometric models purporting to show that the TPP measures had not made a statistically significant contribution to the observed declines.</w:t>
      </w:r>
      <w:r w:rsidRPr="007035D1">
        <w:rPr>
          <w:vertAlign w:val="superscript"/>
        </w:rPr>
        <w:footnoteReference w:id="79"/>
      </w:r>
    </w:p>
    <w:p w14:paraId="372052BA" w14:textId="62F988C9" w:rsidR="007035D1" w:rsidRPr="007035D1" w:rsidRDefault="007035D1" w:rsidP="00A571E6">
      <w:pPr>
        <w:pStyle w:val="WTONumbered"/>
        <w:ind w:left="0" w:firstLine="0"/>
      </w:pPr>
      <w:r w:rsidRPr="007035D1">
        <w:t>I</w:t>
      </w:r>
      <w:r w:rsidR="00830DDB">
        <w:t>n its</w:t>
      </w:r>
      <w:r w:rsidRPr="007035D1">
        <w:t xml:space="preserve"> assessment of the evidence on prevalence (Appendix C) and consumption (Appendix D), the Panel divided its analysis into three steps.  First, the Panel examined evidence relating to whether prevalence or consumption "has decreased following the implementation of the TPP measures".</w:t>
      </w:r>
      <w:r w:rsidRPr="007035D1">
        <w:rPr>
          <w:vertAlign w:val="superscript"/>
        </w:rPr>
        <w:footnoteReference w:id="80"/>
      </w:r>
      <w:r w:rsidRPr="007035D1">
        <w:t xml:space="preserve">  Second, the Panel examined evidence relating to whether the reduction in prevalence or consumption "has accelerated" following the impl</w:t>
      </w:r>
      <w:r w:rsidR="007123E6">
        <w:t>ementation of the TPP measures.</w:t>
      </w:r>
      <w:r w:rsidRPr="007035D1">
        <w:rPr>
          <w:vertAlign w:val="superscript"/>
        </w:rPr>
        <w:footnoteReference w:id="81"/>
      </w:r>
      <w:r w:rsidRPr="007035D1">
        <w:t xml:space="preserve">  Third, the Panel examined evidence relating to whether the TPP measures "have contributed to a reduction" in smoking prevalence or consumption, "by isolating and quantifying the different factors that can explain the evolution" of prevalence and consumption.</w:t>
      </w:r>
      <w:r w:rsidRPr="007035D1">
        <w:rPr>
          <w:vertAlign w:val="superscript"/>
        </w:rPr>
        <w:footnoteReference w:id="82"/>
      </w:r>
    </w:p>
    <w:p w14:paraId="6E127432" w14:textId="52F7FF4F" w:rsidR="007035D1" w:rsidRPr="007035D1" w:rsidRDefault="007035D1" w:rsidP="00A571E6">
      <w:pPr>
        <w:pStyle w:val="WTONumbered"/>
        <w:ind w:left="0" w:firstLine="0"/>
      </w:pPr>
      <w:r w:rsidRPr="007035D1">
        <w:t xml:space="preserve">With respect to the first and second steps in its analyses, the Panel found that  prevalence and consumption had </w:t>
      </w:r>
      <w:r w:rsidRPr="007035D1">
        <w:rPr>
          <w:i/>
        </w:rPr>
        <w:t>declined</w:t>
      </w:r>
      <w:r w:rsidRPr="007035D1">
        <w:t xml:space="preserve"> and the rate of decline had </w:t>
      </w:r>
      <w:r w:rsidRPr="007035D1">
        <w:rPr>
          <w:i/>
        </w:rPr>
        <w:t>accelerated</w:t>
      </w:r>
      <w:r w:rsidRPr="007035D1">
        <w:t xml:space="preserve"> following the implementation of the TPP measures.  The appellants do not challenge the first finding.  Only the Dominican Republic challenges the finding of </w:t>
      </w:r>
      <w:r w:rsidRPr="007035D1">
        <w:rPr>
          <w:i/>
        </w:rPr>
        <w:t xml:space="preserve">acceleration </w:t>
      </w:r>
      <w:r w:rsidRPr="007035D1">
        <w:t xml:space="preserve">in the case of prevalence, but this challenge is based on a blatant mischaracterisation of </w:t>
      </w:r>
      <w:r w:rsidR="00504B61">
        <w:t>the</w:t>
      </w:r>
      <w:r w:rsidRPr="007035D1">
        <w:t xml:space="preserve"> Panel</w:t>
      </w:r>
      <w:r w:rsidR="00504B61">
        <w:t>'s earlier findings</w:t>
      </w:r>
      <w:r w:rsidRPr="007035D1">
        <w:t>.  In Australia's view, there is no credible dispute that prevalence and consumption declined following the implementation of the TPP measures, and that the rates of decline accelerated in both cases.</w:t>
      </w:r>
    </w:p>
    <w:p w14:paraId="55009F12" w14:textId="5EB1B14B" w:rsidR="007035D1" w:rsidRPr="007035D1" w:rsidRDefault="007035D1" w:rsidP="00A571E6">
      <w:pPr>
        <w:pStyle w:val="WTONumbered"/>
        <w:ind w:left="0" w:firstLine="0"/>
      </w:pPr>
      <w:r w:rsidRPr="007035D1">
        <w:t xml:space="preserve">With respect to the third step in its analyses, the Panel identified multiple flaws in the complainants' econometric models purporting to demonstrate that </w:t>
      </w:r>
      <w:r w:rsidRPr="007035D1">
        <w:rPr>
          <w:i/>
        </w:rPr>
        <w:t xml:space="preserve">no portion </w:t>
      </w:r>
      <w:r w:rsidRPr="007035D1">
        <w:t xml:space="preserve">of the observed declines in prevalence and consumption could be attributed to the TPP measures, as opposed to other factors that affect prevalence and consumption.  Among the principal flaws that the Panel identified was the fact that many of the complainants' prevalence models suggested that </w:t>
      </w:r>
      <w:r w:rsidRPr="007035D1">
        <w:rPr>
          <w:i/>
        </w:rPr>
        <w:t>undisputed</w:t>
      </w:r>
      <w:r w:rsidRPr="007035D1">
        <w:t xml:space="preserve"> determinants of prevalence – such as the price of tobacco products and increases in excise taxes – did not have a statistically significant effect upon rates of prevalence.  The Panel </w:t>
      </w:r>
      <w:r w:rsidRPr="007035D1">
        <w:lastRenderedPageBreak/>
        <w:t xml:space="preserve">identified similar flaws in the complainants' consumption models, including the fact that many of these models sought to control for tobacco prices as a separate determinant of consumption without acknowledging that the TPP measures themselves affect tobacco prices.  The Panel questioned the validity and probative value of econometric evidence that produced these types of anomalous results and that contained these types of flaws, while purporting to prove that the TPP measures had made </w:t>
      </w:r>
      <w:r w:rsidRPr="007035D1">
        <w:rPr>
          <w:i/>
        </w:rPr>
        <w:t xml:space="preserve">no </w:t>
      </w:r>
      <w:r w:rsidRPr="007035D1">
        <w:t>contribution to the observed declines in prevalence and consumption.</w:t>
      </w:r>
    </w:p>
    <w:p w14:paraId="13E34797" w14:textId="77777777" w:rsidR="007035D1" w:rsidRPr="007035D1" w:rsidRDefault="007035D1" w:rsidP="00A571E6">
      <w:pPr>
        <w:pStyle w:val="WTONumbered"/>
        <w:ind w:left="0" w:firstLine="0"/>
      </w:pPr>
      <w:r w:rsidRPr="007035D1">
        <w:t>During the course of the panel proceedings, Australia's econometric experts, principally Dr Tasneem Chipty, submitted rebuttal evidence identifying flaws in the complainants' econometric models and further demonstrating that, once the principal flaws in these models were corrected, the model results were consistent with a negative and statistically significant contribution of the TPP measures to the observed declines in prevalence and consumption.  The Panel found that Dr Chipty's modifications of the complainants' models had addressed "some" or "a number of" the concerns that the Panel had identified while reviewing those models.</w:t>
      </w:r>
      <w:r w:rsidRPr="007035D1">
        <w:rPr>
          <w:vertAlign w:val="superscript"/>
        </w:rPr>
        <w:footnoteReference w:id="83"/>
      </w:r>
      <w:r w:rsidRPr="007035D1">
        <w:t xml:space="preserve">  So modified, and in light of all the econometric evidence on the record, the Panel considered that there was "some econometric evidence" suggesting that the TPP measures had contributed, along with enlarged GHWs, to the observed declines in prevalence and consumption.</w:t>
      </w:r>
      <w:r w:rsidRPr="007035D1">
        <w:rPr>
          <w:vertAlign w:val="superscript"/>
        </w:rPr>
        <w:footnoteReference w:id="84"/>
      </w:r>
      <w:r w:rsidRPr="007035D1">
        <w:t xml:space="preserve"> </w:t>
      </w:r>
    </w:p>
    <w:p w14:paraId="113E1B5D" w14:textId="1A01667B" w:rsidR="007035D1" w:rsidRPr="007035D1" w:rsidRDefault="007035D1" w:rsidP="00A571E6">
      <w:pPr>
        <w:pStyle w:val="WTONumbered"/>
        <w:ind w:left="0" w:firstLine="0"/>
      </w:pPr>
      <w:r w:rsidRPr="007035D1">
        <w:t>The appellants' challenges to the Panel's factual findings on prevalence and consumption relate overwhelmingly to the third step of its analyses, i.e. to the Panel's evaluation of the complainants' evidence that purported to isolate and quantify the determinants of prevalence and consumption, and thereby prove that no portion of the observed declines in prevalence and consumption could be attributed to the TPP measures.  Most of the a</w:t>
      </w:r>
      <w:r w:rsidR="00504B61">
        <w:t>ppellants' claims under Article </w:t>
      </w:r>
      <w:r w:rsidRPr="007035D1">
        <w:t xml:space="preserve">11 of the DSU in respect of these findings involve a challenge to the manner in which the Panel evaluated complex econometric evidence.  These claims centre on issues such </w:t>
      </w:r>
      <w:r w:rsidR="00830DDB">
        <w:t xml:space="preserve">as </w:t>
      </w:r>
      <w:r w:rsidRPr="007035D1">
        <w:t>the appropriate econometric controls for the effects of tobacco prices and taxes, the proper specification of time trends within econometric models, whether certain variables within the models were correlated and therefore conveyed the same information, and whether certain explanatory and dependent variables were potentially endogenous.</w:t>
      </w:r>
    </w:p>
    <w:p w14:paraId="16AC7868" w14:textId="77777777" w:rsidR="007035D1" w:rsidRPr="007035D1" w:rsidRDefault="007035D1" w:rsidP="00A571E6">
      <w:pPr>
        <w:pStyle w:val="WTONumbered"/>
        <w:ind w:left="0" w:firstLine="0"/>
      </w:pPr>
      <w:r w:rsidRPr="007035D1">
        <w:t>In lieu of summarising Australia's rebuttal on each and every one of these technical issues, it suffices to note that the appellants' challenges to the Panel's factual findings are based on several recurring errors by the appellants.</w:t>
      </w:r>
    </w:p>
    <w:p w14:paraId="7193FB67" w14:textId="77777777" w:rsidR="007035D1" w:rsidRPr="007035D1" w:rsidRDefault="007035D1" w:rsidP="00A571E6">
      <w:pPr>
        <w:pStyle w:val="WTONumbered"/>
        <w:ind w:left="0" w:firstLine="0"/>
      </w:pPr>
      <w:r w:rsidRPr="007035D1">
        <w:t xml:space="preserve">The appellants' claims are based on </w:t>
      </w:r>
      <w:r w:rsidRPr="007035D1">
        <w:rPr>
          <w:b/>
        </w:rPr>
        <w:t>mischaracterisations of what the Panel found</w:t>
      </w:r>
      <w:r w:rsidRPr="000C6BAA">
        <w:t xml:space="preserve">. </w:t>
      </w:r>
      <w:r w:rsidRPr="007035D1">
        <w:t xml:space="preserve"> A prime example of this phenomenon is the Dominican Republic's claim that the Panel failed to undertake an objective assessment of the "benchmark rate of decline" in steps 2 and 3 of its prevalence analysis.  This claim is based on the premise that the Panel identified a "benchmark rate of decline" in the first step of its analysis, when in fact it did not.</w:t>
      </w:r>
    </w:p>
    <w:p w14:paraId="5520A583" w14:textId="05837070" w:rsidR="007035D1" w:rsidRPr="007035D1" w:rsidRDefault="007035D1" w:rsidP="00A571E6">
      <w:pPr>
        <w:pStyle w:val="WTONumbered"/>
        <w:ind w:left="0" w:firstLine="0"/>
      </w:pPr>
      <w:r w:rsidRPr="007035D1">
        <w:lastRenderedPageBreak/>
        <w:t xml:space="preserve">The appellants </w:t>
      </w:r>
      <w:r w:rsidRPr="007035D1">
        <w:rPr>
          <w:b/>
        </w:rPr>
        <w:t>misapprehend the Panel's role as trier of fact</w:t>
      </w:r>
      <w:r w:rsidRPr="007035D1">
        <w:t xml:space="preserve">.  Many of the appellants' claims presuppose that the Panel was required to act as a mere passive recipient of evidence submitted by the parties and was not allowed to engage </w:t>
      </w:r>
      <w:r w:rsidR="00FD6ABE">
        <w:t xml:space="preserve">meaningfully </w:t>
      </w:r>
      <w:r w:rsidRPr="007035D1">
        <w:t xml:space="preserve">with that evidence.  The appellants' claims </w:t>
      </w:r>
      <w:r w:rsidR="00FD6ABE">
        <w:t>ignore</w:t>
      </w:r>
      <w:r w:rsidRPr="007035D1">
        <w:t xml:space="preserve"> the Appellate Body's prior recognition that, in order to discharge its duty as the trier of fact, a panel must </w:t>
      </w:r>
      <w:r w:rsidR="00FD6ABE">
        <w:t xml:space="preserve">properly </w:t>
      </w:r>
      <w:r w:rsidRPr="007035D1">
        <w:t>"scrutinize" econometric evidence and "reach conclusions with respect to the probative value it accords".</w:t>
      </w:r>
      <w:r w:rsidRPr="007035D1">
        <w:rPr>
          <w:vertAlign w:val="superscript"/>
        </w:rPr>
        <w:footnoteReference w:id="85"/>
      </w:r>
      <w:r w:rsidRPr="007035D1">
        <w:t xml:space="preserve">  That is exactly what the Panel did in this dispute.</w:t>
      </w:r>
    </w:p>
    <w:p w14:paraId="607A7F9C" w14:textId="088F7F1C" w:rsidR="007035D1" w:rsidRPr="007035D1" w:rsidRDefault="007035D1" w:rsidP="00A571E6">
      <w:pPr>
        <w:pStyle w:val="WTONumbered"/>
        <w:ind w:left="0" w:firstLine="0"/>
      </w:pPr>
      <w:r w:rsidRPr="007035D1">
        <w:t xml:space="preserve">The appellants' claims </w:t>
      </w:r>
      <w:r w:rsidRPr="007035D1">
        <w:rPr>
          <w:b/>
        </w:rPr>
        <w:t xml:space="preserve">misapprehend the burden </w:t>
      </w:r>
      <w:r w:rsidR="007123E6">
        <w:rPr>
          <w:b/>
        </w:rPr>
        <w:t xml:space="preserve">of </w:t>
      </w:r>
      <w:r w:rsidRPr="007035D1">
        <w:rPr>
          <w:b/>
        </w:rPr>
        <w:t xml:space="preserve">proof </w:t>
      </w:r>
      <w:r w:rsidRPr="007035D1">
        <w:t>and the role that it played in the Panel's assessment of the statistical</w:t>
      </w:r>
      <w:r w:rsidR="00830DDB">
        <w:t xml:space="preserve"> and econometric evidence.  The </w:t>
      </w:r>
      <w:r w:rsidRPr="007035D1">
        <w:t xml:space="preserve">Panel properly understood that the complainants submitted econometric evidence to </w:t>
      </w:r>
      <w:r w:rsidRPr="00504B61">
        <w:rPr>
          <w:i/>
        </w:rPr>
        <w:t>prove</w:t>
      </w:r>
      <w:r w:rsidRPr="007035D1">
        <w:t xml:space="preserve"> that no portion of the observed declines in prevalence and consumption could be attributed to the TPP measures.  The Panel also understood that Australia's econometric evidence was </w:t>
      </w:r>
      <w:r w:rsidRPr="007035D1">
        <w:rPr>
          <w:i/>
        </w:rPr>
        <w:t>rebuttal</w:t>
      </w:r>
      <w:r w:rsidRPr="007035D1">
        <w:t xml:space="preserve"> evidence submitted to show that the complainants' models did not prove what they purported to prove.  The appellants repeatedly mischaracterise the nature of the Panel's findings in respect of Australia's rebuttal evidence.  The Panel did not find, and had no need to find, that Australia's rebuttal evidence </w:t>
      </w:r>
      <w:r w:rsidR="00504B61">
        <w:t xml:space="preserve">had </w:t>
      </w:r>
      <w:r w:rsidR="00FD6ABE">
        <w:t>fully resolved</w:t>
      </w:r>
      <w:r w:rsidRPr="007035D1">
        <w:t xml:space="preserve"> </w:t>
      </w:r>
      <w:r w:rsidRPr="007035D1">
        <w:rPr>
          <w:i/>
        </w:rPr>
        <w:t>all</w:t>
      </w:r>
      <w:r w:rsidRPr="007035D1">
        <w:t xml:space="preserve"> of the concerns that the Panel had identified in respect of the </w:t>
      </w:r>
      <w:r w:rsidRPr="007035D1">
        <w:rPr>
          <w:i/>
        </w:rPr>
        <w:t>complainants'</w:t>
      </w:r>
      <w:r w:rsidRPr="007035D1">
        <w:t xml:space="preserve"> econometric evidence in order to conclude that the complainants' evidence, as modified by Dr Chipty, provided "some econometric evidence" in support of the conclusion that the TPP measures had contributed to the observed declines in prevalence and consumption.   </w:t>
      </w:r>
    </w:p>
    <w:p w14:paraId="567E6886" w14:textId="01878F84" w:rsidR="007035D1" w:rsidRPr="007035D1" w:rsidRDefault="007035D1" w:rsidP="00A571E6">
      <w:pPr>
        <w:pStyle w:val="WTONumbered"/>
        <w:ind w:left="0" w:firstLine="0"/>
      </w:pPr>
      <w:r w:rsidRPr="007035D1">
        <w:t xml:space="preserve">Many of the appellants' claims overlook the well-settled principle that a panel is </w:t>
      </w:r>
      <w:r w:rsidRPr="007035D1">
        <w:rPr>
          <w:b/>
        </w:rPr>
        <w:t xml:space="preserve">not required to test its reasoning </w:t>
      </w:r>
      <w:r w:rsidRPr="007035D1">
        <w:t>with the parties in advance of circulating its report.</w:t>
      </w:r>
      <w:r w:rsidRPr="007035D1">
        <w:rPr>
          <w:vertAlign w:val="superscript"/>
        </w:rPr>
        <w:footnoteReference w:id="86"/>
      </w:r>
      <w:r w:rsidRPr="007035D1">
        <w:t xml:space="preserve">  A panel does not </w:t>
      </w:r>
      <w:r w:rsidR="00504B61">
        <w:t>violate</w:t>
      </w:r>
      <w:r w:rsidRPr="007035D1">
        <w:t xml:space="preserve"> due process so long as its reasoning does not "depart so radically" from issues and evidence presented to the panel that the parties were "left guessing as to what proof they would have needed to adduce."</w:t>
      </w:r>
      <w:r w:rsidRPr="007035D1">
        <w:rPr>
          <w:vertAlign w:val="superscript"/>
        </w:rPr>
        <w:footnoteReference w:id="87"/>
      </w:r>
      <w:r w:rsidRPr="007035D1">
        <w:t xml:space="preserve">  The allegedly "new" issues raised in the Panel Report that the appellants now challenge, such as the Panel's references to potential multicollinearity and non-stationarity in their models, were issues that emerged directly from the parties' extensive expert submissions.  The appellants had more than ample opportunity to persuade the Panel of the validity and probative value of their econometric evidence, and ultimately were unable to do so.</w:t>
      </w:r>
    </w:p>
    <w:p w14:paraId="4A7CC940" w14:textId="06088951" w:rsidR="007035D1" w:rsidRPr="007035D1" w:rsidRDefault="007035D1" w:rsidP="00A571E6">
      <w:pPr>
        <w:pStyle w:val="WTONumbered"/>
        <w:ind w:left="0" w:firstLine="0"/>
      </w:pPr>
      <w:r w:rsidRPr="007035D1">
        <w:t xml:space="preserve">The appellants' claims that they were "denied an opportunity to comment" on certain of the Panel's findings, and thereby deprived of their right to due process, overlook </w:t>
      </w:r>
      <w:r w:rsidRPr="007035D1">
        <w:rPr>
          <w:b/>
        </w:rPr>
        <w:t>the availability of interim review under Article</w:t>
      </w:r>
      <w:r w:rsidR="00504B61">
        <w:rPr>
          <w:b/>
        </w:rPr>
        <w:t> </w:t>
      </w:r>
      <w:r w:rsidRPr="007035D1">
        <w:rPr>
          <w:b/>
        </w:rPr>
        <w:t>15.2 of the DSU</w:t>
      </w:r>
      <w:r w:rsidRPr="00830DDB">
        <w:t>.</w:t>
      </w:r>
      <w:r w:rsidRPr="007035D1">
        <w:rPr>
          <w:b/>
        </w:rPr>
        <w:t xml:space="preserve">  </w:t>
      </w:r>
      <w:r w:rsidR="00830DDB">
        <w:t>The </w:t>
      </w:r>
      <w:r w:rsidRPr="007035D1">
        <w:t xml:space="preserve">appellants raised </w:t>
      </w:r>
      <w:r w:rsidRPr="007035D1">
        <w:rPr>
          <w:u w:val="single"/>
        </w:rPr>
        <w:t>none</w:t>
      </w:r>
      <w:r w:rsidRPr="007035D1">
        <w:t xml:space="preserve"> of the issues that they now identify on appeal during the interim review stage, even though every one of these issues is a type of issue that parties to other disputes have raised in prior interim reviews.  To whatever extent the Panel identified issues in its interim report that the appellants could not reasonably have anticipated, the appellants had an opportunity to raises their concerns with the Panel and elected not to do so.</w:t>
      </w:r>
    </w:p>
    <w:p w14:paraId="30417DA8" w14:textId="074972EC" w:rsidR="007035D1" w:rsidRPr="007035D1" w:rsidRDefault="007035D1" w:rsidP="00A571E6">
      <w:pPr>
        <w:pStyle w:val="WTONumbered"/>
        <w:ind w:left="0" w:firstLine="0"/>
      </w:pPr>
      <w:r w:rsidRPr="007035D1">
        <w:lastRenderedPageBreak/>
        <w:t xml:space="preserve">The appellants overlook the fact that the Panel evaluated the validity and probative value of their econometric evidence in light of </w:t>
      </w:r>
      <w:r w:rsidRPr="007035D1">
        <w:rPr>
          <w:b/>
        </w:rPr>
        <w:t>the constantly changing nature of the complainants' evidence</w:t>
      </w:r>
      <w:r w:rsidRPr="00830DDB">
        <w:t>.</w:t>
      </w:r>
      <w:r w:rsidRPr="007035D1">
        <w:t xml:space="preserve">  The Panel identified numerous instances in which the complainants' experts changed their positions on important methodological issues, often with the effect of invalidating the results reported in their prior submissions.  Instead of confronting the implications of flaws identified in their earlier model specifications, the complainants' experts frequently changed </w:t>
      </w:r>
      <w:r w:rsidRPr="007035D1">
        <w:rPr>
          <w:i/>
        </w:rPr>
        <w:t>other</w:t>
      </w:r>
      <w:r w:rsidRPr="007035D1">
        <w:t xml:space="preserve"> aspects of their models, or abandoned prior models altogether, in an attempt to move the goalposts and start the debate all over again.  The Panel appropriately </w:t>
      </w:r>
      <w:r w:rsidR="007123E6">
        <w:t xml:space="preserve">took </w:t>
      </w:r>
      <w:r w:rsidRPr="007035D1">
        <w:t>this consideration into account when evaluating the weight to accord to the complainants' econometric evidence.</w:t>
      </w:r>
    </w:p>
    <w:p w14:paraId="5B7E74F7" w14:textId="77777777" w:rsidR="007035D1" w:rsidRPr="007035D1" w:rsidRDefault="007035D1" w:rsidP="00A571E6">
      <w:pPr>
        <w:pStyle w:val="WTONumbered"/>
        <w:ind w:left="0" w:firstLine="0"/>
      </w:pPr>
      <w:r w:rsidRPr="007035D1">
        <w:t xml:space="preserve">Finally, many of the appellants' challenges to the Panel's factual findings on prevalence and consumption are a thinly-disguised attempt to </w:t>
      </w:r>
      <w:r w:rsidRPr="007035D1">
        <w:rPr>
          <w:b/>
        </w:rPr>
        <w:t>re-litigate factual issues or have the Appellate Body re-weigh the evidence.</w:t>
      </w:r>
    </w:p>
    <w:p w14:paraId="1D5A06E4" w14:textId="4B98ABB5" w:rsidR="007035D1" w:rsidRPr="007035D1" w:rsidRDefault="007035D1" w:rsidP="00A571E6">
      <w:pPr>
        <w:pStyle w:val="WTONumbered"/>
        <w:ind w:left="0" w:firstLine="0"/>
      </w:pPr>
      <w:r w:rsidRPr="007035D1">
        <w:t xml:space="preserve">Each of the </w:t>
      </w:r>
      <w:r w:rsidR="000B0540">
        <w:t>appellants</w:t>
      </w:r>
      <w:r w:rsidRPr="007035D1">
        <w:t xml:space="preserve">' challenges to the Panel's findings on prevalence and consumption are unfounded for one or more of the reasons enumerated above. </w:t>
      </w:r>
    </w:p>
    <w:p w14:paraId="01625A77" w14:textId="44B899F5" w:rsidR="00D25C51" w:rsidRPr="00C13C7C" w:rsidRDefault="007035D1" w:rsidP="00A571E6">
      <w:pPr>
        <w:pStyle w:val="WTONumbered"/>
        <w:ind w:left="0" w:firstLine="0"/>
      </w:pPr>
      <w:r w:rsidRPr="007035D1">
        <w:t xml:space="preserve">In addition to their failure to establish a lack of objective assessment in any respect, the appellants do not even </w:t>
      </w:r>
      <w:r w:rsidRPr="007035D1">
        <w:rPr>
          <w:i/>
        </w:rPr>
        <w:t>attempt</w:t>
      </w:r>
      <w:r w:rsidRPr="007035D1">
        <w:t xml:space="preserve"> to demonstrate, beyond sheer assertion, that any one of the alleged errors of objective assessment, or any combination thereof, was </w:t>
      </w:r>
      <w:r w:rsidRPr="007035D1">
        <w:rPr>
          <w:i/>
        </w:rPr>
        <w:t>material</w:t>
      </w:r>
      <w:r w:rsidRPr="007035D1">
        <w:t xml:space="preserve"> to the Panel's intermediate findings on prevalence and consumption.  As summarised in Part </w:t>
      </w:r>
      <w:r w:rsidR="00830DDB">
        <w:fldChar w:fldCharType="begin"/>
      </w:r>
      <w:r w:rsidR="00830DDB">
        <w:instrText xml:space="preserve"> REF _Ref526181307 \w \h </w:instrText>
      </w:r>
      <w:r w:rsidR="00830DDB">
        <w:fldChar w:fldCharType="separate"/>
      </w:r>
      <w:r w:rsidR="00830DDB">
        <w:t>IV.C</w:t>
      </w:r>
      <w:r w:rsidR="00830DDB">
        <w:fldChar w:fldCharType="end"/>
      </w:r>
      <w:r w:rsidRPr="007035D1">
        <w:t xml:space="preserve"> above, the appellants' claims that the Panel's findings on prevalence and consumption reflect a lack of objective assessment are a key input to their challenge to the Panel's </w:t>
      </w:r>
      <w:r w:rsidRPr="007035D1">
        <w:rPr>
          <w:i/>
        </w:rPr>
        <w:t>overall</w:t>
      </w:r>
      <w:r w:rsidRPr="007035D1">
        <w:t xml:space="preserve"> finding on contribution.  The appellants have </w:t>
      </w:r>
      <w:r w:rsidR="000B0540">
        <w:t>failed to</w:t>
      </w:r>
      <w:r w:rsidRPr="007035D1">
        <w:t xml:space="preserve"> establish the </w:t>
      </w:r>
      <w:r w:rsidR="000B0540">
        <w:t xml:space="preserve">essential </w:t>
      </w:r>
      <w:r w:rsidRPr="007035D1">
        <w:t>predicate of this broader challenge.</w:t>
      </w:r>
    </w:p>
    <w:p w14:paraId="782C68BD" w14:textId="26370970" w:rsidR="00B50195" w:rsidRPr="00C13C7C" w:rsidRDefault="000A5E4B" w:rsidP="000A5E4B">
      <w:pPr>
        <w:pStyle w:val="Heading2"/>
      </w:pPr>
      <w:r>
        <w:t>CONCLUSION</w:t>
      </w:r>
    </w:p>
    <w:p w14:paraId="57EFDBEC" w14:textId="77777777" w:rsidR="00D25C51" w:rsidRPr="00C13C7C" w:rsidRDefault="00D25C51" w:rsidP="00A571E6">
      <w:pPr>
        <w:pStyle w:val="WTONumbered"/>
        <w:ind w:left="0" w:firstLine="0"/>
      </w:pPr>
      <w:r w:rsidRPr="00C13C7C">
        <w:t xml:space="preserve">Australia submits that the appellants' requests for reversal of the Panel's findings should be dismissed in their entirety, for the reasons outlined above.  </w:t>
      </w:r>
    </w:p>
    <w:p w14:paraId="3C3C0071" w14:textId="654F5DF5" w:rsidR="00B63141" w:rsidRPr="00C13C7C" w:rsidRDefault="00D25C51" w:rsidP="00A571E6">
      <w:pPr>
        <w:pStyle w:val="WTONumbered"/>
        <w:ind w:left="0" w:firstLine="0"/>
      </w:pPr>
      <w:r w:rsidRPr="00C13C7C">
        <w:t>The appellants' claims of legal error are specious, and their numerous claims that the Panel ac</w:t>
      </w:r>
      <w:r w:rsidR="00504B61">
        <w:t>ted inconsistently with Article </w:t>
      </w:r>
      <w:r w:rsidRPr="00C13C7C">
        <w:t xml:space="preserve">11 of the DSU in its assessment of contribution </w:t>
      </w:r>
      <w:r w:rsidR="00C13C7C">
        <w:t>are unfounded</w:t>
      </w:r>
      <w:r w:rsidRPr="00C13C7C">
        <w:t xml:space="preserve">.  As is evident from the foregoing, the appellants have failed to establish that the Panel exceeded the bounds of its </w:t>
      </w:r>
      <w:r w:rsidR="006D2896">
        <w:t>discretion as the trier of fact</w:t>
      </w:r>
      <w:r w:rsidR="00504B61">
        <w:t xml:space="preserve"> under Article </w:t>
      </w:r>
      <w:r w:rsidRPr="00C13C7C">
        <w:t>11 of the DSU in finding that the complainants failed to demonstrate that the TPP measures are not apt to make a contribution to Australia's public health objectives.</w:t>
      </w:r>
      <w:r w:rsidR="00703E91">
        <w:rPr>
          <w:rStyle w:val="FootnoteReference"/>
        </w:rPr>
        <w:footnoteReference w:id="88"/>
      </w:r>
      <w:r w:rsidRPr="00C13C7C">
        <w:t xml:space="preserve"> </w:t>
      </w:r>
    </w:p>
    <w:sectPr w:rsidR="00B63141" w:rsidRPr="00C13C7C" w:rsidSect="00492BE6">
      <w:footerReference w:type="even" r:id="rId14"/>
      <w:footerReference w:type="default" r:id="rId15"/>
      <w:pgSz w:w="11900" w:h="1682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D2846" w14:textId="77777777" w:rsidR="003607B4" w:rsidRDefault="003607B4" w:rsidP="00B965E2">
      <w:r>
        <w:separator/>
      </w:r>
    </w:p>
  </w:endnote>
  <w:endnote w:type="continuationSeparator" w:id="0">
    <w:p w14:paraId="161DAF92" w14:textId="77777777" w:rsidR="003607B4" w:rsidRDefault="003607B4" w:rsidP="00B9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48AE" w14:textId="77777777" w:rsidR="00AB17E0" w:rsidRDefault="00AB1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709112"/>
      <w:docPartObj>
        <w:docPartGallery w:val="Page Numbers (Bottom of Page)"/>
        <w:docPartUnique/>
      </w:docPartObj>
    </w:sdtPr>
    <w:sdtEndPr>
      <w:rPr>
        <w:noProof/>
      </w:rPr>
    </w:sdtEndPr>
    <w:sdtContent>
      <w:p w14:paraId="098CF2F4" w14:textId="77777777" w:rsidR="007C6993" w:rsidRDefault="007C699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5130BC" w14:textId="77777777" w:rsidR="007C6993" w:rsidRDefault="007C6993" w:rsidP="0068125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62AD" w14:textId="77777777" w:rsidR="007C6993" w:rsidRDefault="007C6993">
    <w:pPr>
      <w:pStyle w:val="Footer"/>
      <w:jc w:val="center"/>
    </w:pPr>
  </w:p>
  <w:p w14:paraId="1CF66928" w14:textId="77777777" w:rsidR="007C6993" w:rsidRDefault="007C6993" w:rsidP="005B08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F022" w14:textId="77777777" w:rsidR="003607B4" w:rsidRDefault="003607B4" w:rsidP="00183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EE3740" w14:textId="77777777" w:rsidR="003607B4" w:rsidRDefault="003607B4">
    <w:pPr>
      <w:pStyle w:val="Footer"/>
    </w:pPr>
  </w:p>
  <w:p w14:paraId="634B2A58" w14:textId="77777777" w:rsidR="00930F42" w:rsidRDefault="00930F4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4CD9F" w14:textId="1B03DDEC" w:rsidR="003607B4" w:rsidRDefault="003607B4" w:rsidP="00183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17E0">
      <w:rPr>
        <w:rStyle w:val="PageNumber"/>
        <w:noProof/>
      </w:rPr>
      <w:t>1</w:t>
    </w:r>
    <w:r>
      <w:rPr>
        <w:rStyle w:val="PageNumber"/>
      </w:rPr>
      <w:fldChar w:fldCharType="end"/>
    </w:r>
  </w:p>
  <w:p w14:paraId="5DB13788" w14:textId="77777777" w:rsidR="003607B4" w:rsidRDefault="003607B4">
    <w:pPr>
      <w:pStyle w:val="Footer"/>
    </w:pPr>
  </w:p>
  <w:p w14:paraId="168A0F68" w14:textId="77777777" w:rsidR="00930F42" w:rsidRDefault="00930F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6E882" w14:textId="77777777" w:rsidR="003607B4" w:rsidRDefault="003607B4" w:rsidP="00B965E2">
      <w:r>
        <w:separator/>
      </w:r>
    </w:p>
  </w:footnote>
  <w:footnote w:type="continuationSeparator" w:id="0">
    <w:p w14:paraId="2F8EC634" w14:textId="77777777" w:rsidR="003607B4" w:rsidRDefault="003607B4" w:rsidP="00B965E2">
      <w:pPr>
        <w:jc w:val="right"/>
      </w:pPr>
      <w:r>
        <w:t>_______________________</w:t>
      </w:r>
    </w:p>
  </w:footnote>
  <w:footnote w:type="continuationNotice" w:id="1">
    <w:p w14:paraId="782025F1" w14:textId="77777777" w:rsidR="003607B4" w:rsidRPr="00B965E2" w:rsidRDefault="003607B4" w:rsidP="00B965E2">
      <w:pPr>
        <w:jc w:val="right"/>
        <w:rPr>
          <w:i/>
          <w:sz w:val="20"/>
          <w:szCs w:val="20"/>
        </w:rPr>
      </w:pPr>
      <w:r w:rsidRPr="00B965E2">
        <w:rPr>
          <w:i/>
          <w:sz w:val="20"/>
          <w:szCs w:val="20"/>
        </w:rPr>
        <w:t>(continued)</w:t>
      </w:r>
    </w:p>
  </w:footnote>
  <w:footnote w:id="2">
    <w:p w14:paraId="6EE4C3D9" w14:textId="36AC9D45" w:rsidR="003607B4" w:rsidRPr="009664F4" w:rsidRDefault="003607B4" w:rsidP="00B50195">
      <w:pPr>
        <w:pStyle w:val="FootnoteText"/>
        <w:rPr>
          <w:lang w:val="en-GB"/>
        </w:rPr>
      </w:pPr>
      <w:r w:rsidRPr="009664F4">
        <w:rPr>
          <w:rStyle w:val="FootnoteReference"/>
          <w:lang w:val="en-GB"/>
        </w:rPr>
        <w:footnoteRef/>
      </w:r>
      <w:r w:rsidRPr="009664F4">
        <w:rPr>
          <w:lang w:val="en-GB"/>
        </w:rPr>
        <w:t xml:space="preserve"> Honduras's appellant's submission, para. 11.  See also Dominican Republic's appellant's submission, para. 1245. </w:t>
      </w:r>
    </w:p>
  </w:footnote>
  <w:footnote w:id="3">
    <w:p w14:paraId="593A475A" w14:textId="77777777" w:rsidR="003607B4" w:rsidRPr="009664F4" w:rsidRDefault="003607B4" w:rsidP="00B50195">
      <w:pPr>
        <w:pStyle w:val="FootnoteText"/>
        <w:rPr>
          <w:lang w:val="en-GB"/>
        </w:rPr>
      </w:pPr>
      <w:r w:rsidRPr="009664F4">
        <w:rPr>
          <w:rStyle w:val="FootnoteReference"/>
          <w:lang w:val="en-GB"/>
        </w:rPr>
        <w:footnoteRef/>
      </w:r>
      <w:r w:rsidRPr="009664F4">
        <w:rPr>
          <w:lang w:val="en-GB"/>
        </w:rPr>
        <w:t xml:space="preserve"> The Panel Report consists of 889 pages in the main body of the Report, plus 152 pages of analysis of the post-implementation evidence and 226 pages of annexures.</w:t>
      </w:r>
    </w:p>
  </w:footnote>
  <w:footnote w:id="4">
    <w:p w14:paraId="2BD03AB6" w14:textId="77777777" w:rsidR="003607B4" w:rsidRPr="009664F4" w:rsidRDefault="003607B4" w:rsidP="00B50195">
      <w:pPr>
        <w:pStyle w:val="FootnoteText"/>
        <w:rPr>
          <w:lang w:val="en-GB"/>
        </w:rPr>
      </w:pPr>
      <w:r w:rsidRPr="009664F4">
        <w:rPr>
          <w:rStyle w:val="FootnoteReference"/>
          <w:lang w:val="en-GB"/>
        </w:rPr>
        <w:footnoteRef/>
      </w:r>
      <w:r w:rsidRPr="009664F4">
        <w:rPr>
          <w:lang w:val="en-GB"/>
        </w:rPr>
        <w:t xml:space="preserve"> The expert reports submitted by the parties included nearly 30 reports addressing complex econometric analyses of data; nearly 25 reports on public health, psychology and behavioural theory; seven literature reviews commissioned by the complainants; eight reports on marketing theory; four reports on illicit trade and market conditions; and six reports on alternative measures and regulatory compliance.</w:t>
      </w:r>
    </w:p>
  </w:footnote>
  <w:footnote w:id="5">
    <w:p w14:paraId="2110F67E" w14:textId="67650E85"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7.636.</w:t>
      </w:r>
    </w:p>
  </w:footnote>
  <w:footnote w:id="6">
    <w:p w14:paraId="53A301B4" w14:textId="77777777" w:rsidR="003607B4" w:rsidRPr="009664F4" w:rsidRDefault="003607B4" w:rsidP="00B50195">
      <w:pPr>
        <w:pStyle w:val="FootnoteText"/>
        <w:rPr>
          <w:lang w:val="en-GB"/>
        </w:rPr>
      </w:pPr>
      <w:r w:rsidRPr="009664F4">
        <w:rPr>
          <w:rStyle w:val="FootnoteReference"/>
          <w:lang w:val="en-GB"/>
        </w:rPr>
        <w:footnoteRef/>
      </w:r>
      <w:r w:rsidRPr="009664F4">
        <w:rPr>
          <w:lang w:val="en-GB"/>
        </w:rPr>
        <w:t xml:space="preserve"> Panel Report, para. 7.1037.</w:t>
      </w:r>
    </w:p>
  </w:footnote>
  <w:footnote w:id="7">
    <w:p w14:paraId="5F0017EB" w14:textId="77777777" w:rsidR="003607B4" w:rsidRPr="009664F4" w:rsidRDefault="003607B4" w:rsidP="000A5E4B">
      <w:pPr>
        <w:pStyle w:val="FootnoteText"/>
        <w:rPr>
          <w:lang w:val="en-GB"/>
        </w:rPr>
      </w:pPr>
      <w:r w:rsidRPr="009664F4">
        <w:rPr>
          <w:rStyle w:val="FootnoteReference"/>
          <w:lang w:val="en-GB"/>
        </w:rPr>
        <w:footnoteRef/>
      </w:r>
      <w:r w:rsidRPr="009664F4">
        <w:rPr>
          <w:lang w:val="en-GB"/>
        </w:rPr>
        <w:t xml:space="preserve"> </w:t>
      </w:r>
      <w:r w:rsidRPr="009664F4">
        <w:rPr>
          <w:szCs w:val="20"/>
          <w:lang w:val="en-GB"/>
        </w:rPr>
        <w:t>Panel Report, para. 7.1974.</w:t>
      </w:r>
    </w:p>
  </w:footnote>
  <w:footnote w:id="8">
    <w:p w14:paraId="21A26BD6" w14:textId="77777777" w:rsidR="003607B4" w:rsidRPr="009664F4" w:rsidRDefault="003607B4" w:rsidP="000A5E4B">
      <w:pPr>
        <w:pStyle w:val="FootnoteText"/>
        <w:rPr>
          <w:szCs w:val="20"/>
          <w:lang w:val="en-GB"/>
        </w:rPr>
      </w:pPr>
      <w:r w:rsidRPr="009664F4">
        <w:rPr>
          <w:rStyle w:val="FootnoteReference"/>
          <w:szCs w:val="20"/>
          <w:lang w:val="en-GB"/>
        </w:rPr>
        <w:footnoteRef/>
      </w:r>
      <w:r w:rsidRPr="009664F4">
        <w:rPr>
          <w:szCs w:val="20"/>
          <w:lang w:val="en-GB"/>
        </w:rPr>
        <w:t xml:space="preserve"> Panel Report, para. 7.1974.</w:t>
      </w:r>
    </w:p>
  </w:footnote>
  <w:footnote w:id="9">
    <w:p w14:paraId="4B294FD2" w14:textId="77777777" w:rsidR="003607B4" w:rsidRPr="009664F4" w:rsidRDefault="003607B4" w:rsidP="000A5E4B">
      <w:pPr>
        <w:pStyle w:val="FootnoteText"/>
        <w:rPr>
          <w:szCs w:val="20"/>
          <w:lang w:val="en-GB"/>
        </w:rPr>
      </w:pPr>
      <w:r w:rsidRPr="009664F4">
        <w:rPr>
          <w:rStyle w:val="FootnoteReference"/>
          <w:szCs w:val="20"/>
          <w:lang w:val="en-GB"/>
        </w:rPr>
        <w:footnoteRef/>
      </w:r>
      <w:r w:rsidRPr="009664F4">
        <w:rPr>
          <w:szCs w:val="20"/>
          <w:lang w:val="en-GB"/>
        </w:rPr>
        <w:t xml:space="preserve"> Honduras's appellant's submission, para. 349.</w:t>
      </w:r>
    </w:p>
  </w:footnote>
  <w:footnote w:id="10">
    <w:p w14:paraId="0AE7F7A5" w14:textId="77777777" w:rsidR="003607B4" w:rsidRPr="009664F4" w:rsidRDefault="003607B4" w:rsidP="000A5E4B">
      <w:pPr>
        <w:pStyle w:val="FootnoteText"/>
        <w:rPr>
          <w:szCs w:val="20"/>
          <w:lang w:val="en-GB"/>
        </w:rPr>
      </w:pPr>
      <w:r w:rsidRPr="009664F4">
        <w:rPr>
          <w:rStyle w:val="FootnoteReference"/>
          <w:szCs w:val="20"/>
          <w:lang w:val="en-GB"/>
        </w:rPr>
        <w:footnoteRef/>
      </w:r>
      <w:r w:rsidRPr="009664F4">
        <w:rPr>
          <w:szCs w:val="20"/>
          <w:lang w:val="en-GB"/>
        </w:rPr>
        <w:t xml:space="preserve"> Honduras's appellant's submission, para. 429.  </w:t>
      </w:r>
    </w:p>
  </w:footnote>
  <w:footnote w:id="11">
    <w:p w14:paraId="00142BF1" w14:textId="77777777" w:rsidR="003607B4" w:rsidRPr="009664F4" w:rsidRDefault="003607B4" w:rsidP="000A5E4B">
      <w:pPr>
        <w:pStyle w:val="FootnoteText"/>
        <w:rPr>
          <w:szCs w:val="20"/>
          <w:lang w:val="en-GB"/>
        </w:rPr>
      </w:pPr>
      <w:r w:rsidRPr="009664F4">
        <w:rPr>
          <w:rStyle w:val="FootnoteReference"/>
          <w:szCs w:val="20"/>
          <w:lang w:val="en-GB"/>
        </w:rPr>
        <w:footnoteRef/>
      </w:r>
      <w:r w:rsidRPr="009664F4">
        <w:rPr>
          <w:szCs w:val="20"/>
          <w:lang w:val="en-GB"/>
        </w:rPr>
        <w:t xml:space="preserve"> Panel Report, para. 7.2000 (emphasis original).</w:t>
      </w:r>
    </w:p>
  </w:footnote>
  <w:footnote w:id="12">
    <w:p w14:paraId="20E67C78" w14:textId="316D9BD3" w:rsidR="003607B4" w:rsidRPr="009664F4" w:rsidRDefault="003607B4" w:rsidP="000A5E4B">
      <w:pPr>
        <w:pStyle w:val="FootnoteText"/>
        <w:rPr>
          <w:szCs w:val="20"/>
          <w:lang w:val="en-GB"/>
        </w:rPr>
      </w:pPr>
      <w:r w:rsidRPr="009664F4">
        <w:rPr>
          <w:rStyle w:val="FootnoteReference"/>
          <w:szCs w:val="20"/>
          <w:lang w:val="en-GB"/>
        </w:rPr>
        <w:footnoteRef/>
      </w:r>
      <w:r w:rsidRPr="009664F4">
        <w:rPr>
          <w:szCs w:val="20"/>
          <w:lang w:val="en-GB"/>
        </w:rPr>
        <w:t xml:space="preserve"> Honduras's appellant's submission, para. 52.  </w:t>
      </w:r>
    </w:p>
  </w:footnote>
  <w:footnote w:id="13">
    <w:p w14:paraId="4541B8C0" w14:textId="54FFB56F" w:rsidR="003607B4" w:rsidRPr="009664F4" w:rsidRDefault="003607B4" w:rsidP="000A5E4B">
      <w:pPr>
        <w:pStyle w:val="FootnoteText"/>
        <w:rPr>
          <w:szCs w:val="20"/>
          <w:lang w:val="en-GB"/>
        </w:rPr>
      </w:pPr>
      <w:r w:rsidRPr="009664F4">
        <w:rPr>
          <w:rStyle w:val="FootnoteReference"/>
          <w:szCs w:val="20"/>
          <w:lang w:val="en-GB"/>
        </w:rPr>
        <w:footnoteRef/>
      </w:r>
      <w:r w:rsidRPr="009664F4">
        <w:rPr>
          <w:szCs w:val="20"/>
          <w:lang w:val="en-GB"/>
        </w:rPr>
        <w:t xml:space="preserve"> Honduras's appellant's submission, para. 146.</w:t>
      </w:r>
    </w:p>
  </w:footnote>
  <w:footnote w:id="14">
    <w:p w14:paraId="055964DC" w14:textId="70E0549D" w:rsidR="003607B4" w:rsidRPr="009664F4" w:rsidRDefault="003607B4" w:rsidP="000A5E4B">
      <w:pPr>
        <w:pStyle w:val="FootnoteText"/>
        <w:rPr>
          <w:szCs w:val="20"/>
          <w:lang w:val="en-GB"/>
        </w:rPr>
      </w:pPr>
      <w:r w:rsidRPr="009664F4">
        <w:rPr>
          <w:rStyle w:val="FootnoteReference"/>
          <w:szCs w:val="20"/>
          <w:lang w:val="en-GB"/>
        </w:rPr>
        <w:footnoteRef/>
      </w:r>
      <w:r w:rsidRPr="009664F4">
        <w:rPr>
          <w:szCs w:val="20"/>
          <w:lang w:val="en-GB"/>
        </w:rPr>
        <w:t xml:space="preserve"> Honduras's appellant's submission, para. 54.</w:t>
      </w:r>
    </w:p>
  </w:footnote>
  <w:footnote w:id="15">
    <w:p w14:paraId="517F0DDC" w14:textId="77777777" w:rsidR="003607B4" w:rsidRPr="009664F4" w:rsidRDefault="003607B4" w:rsidP="000A5E4B">
      <w:pPr>
        <w:pStyle w:val="FootnoteText"/>
        <w:rPr>
          <w:szCs w:val="20"/>
          <w:lang w:val="en-GB"/>
        </w:rPr>
      </w:pPr>
      <w:r w:rsidRPr="009664F4">
        <w:rPr>
          <w:rStyle w:val="FootnoteReference"/>
          <w:szCs w:val="20"/>
          <w:lang w:val="en-GB"/>
        </w:rPr>
        <w:footnoteRef/>
      </w:r>
      <w:r w:rsidRPr="009664F4">
        <w:rPr>
          <w:szCs w:val="20"/>
          <w:lang w:val="en-GB"/>
        </w:rPr>
        <w:t xml:space="preserve"> Honduras's appellant's submission, para. 231.</w:t>
      </w:r>
    </w:p>
  </w:footnote>
  <w:footnote w:id="16">
    <w:p w14:paraId="124384C5" w14:textId="77777777" w:rsidR="003607B4" w:rsidRPr="009664F4" w:rsidRDefault="003607B4" w:rsidP="000A5E4B">
      <w:pPr>
        <w:pStyle w:val="FootnoteText"/>
        <w:rPr>
          <w:szCs w:val="20"/>
          <w:lang w:val="en-GB"/>
        </w:rPr>
      </w:pPr>
      <w:r w:rsidRPr="009664F4">
        <w:rPr>
          <w:rStyle w:val="FootnoteReference"/>
          <w:szCs w:val="20"/>
          <w:lang w:val="en-GB"/>
        </w:rPr>
        <w:footnoteRef/>
      </w:r>
      <w:r w:rsidRPr="009664F4">
        <w:rPr>
          <w:szCs w:val="20"/>
          <w:lang w:val="en-GB"/>
        </w:rPr>
        <w:t xml:space="preserve"> Honduras's appellant's submission, para. 266.</w:t>
      </w:r>
    </w:p>
  </w:footnote>
  <w:footnote w:id="17">
    <w:p w14:paraId="434936DC" w14:textId="77777777" w:rsidR="003607B4" w:rsidRPr="009664F4" w:rsidRDefault="003607B4" w:rsidP="000A5E4B">
      <w:pPr>
        <w:pStyle w:val="FootnoteText"/>
        <w:rPr>
          <w:szCs w:val="20"/>
          <w:lang w:val="en-GB"/>
        </w:rPr>
      </w:pPr>
      <w:r w:rsidRPr="009664F4">
        <w:rPr>
          <w:rStyle w:val="FootnoteReference"/>
          <w:szCs w:val="20"/>
          <w:lang w:val="en-GB"/>
        </w:rPr>
        <w:footnoteRef/>
      </w:r>
      <w:r w:rsidRPr="009664F4">
        <w:rPr>
          <w:szCs w:val="20"/>
          <w:lang w:val="en-GB"/>
        </w:rPr>
        <w:t xml:space="preserve"> Panel Report, para. 7.2563 (emphasis added).  </w:t>
      </w:r>
    </w:p>
  </w:footnote>
  <w:footnote w:id="18">
    <w:p w14:paraId="468AED99" w14:textId="77777777" w:rsidR="003607B4" w:rsidRPr="009664F4" w:rsidRDefault="003607B4" w:rsidP="00FF4B8B">
      <w:pPr>
        <w:pStyle w:val="FootnoteText"/>
        <w:rPr>
          <w:lang w:val="en-GB"/>
        </w:rPr>
      </w:pPr>
      <w:r w:rsidRPr="009664F4">
        <w:rPr>
          <w:rStyle w:val="FootnoteReference"/>
          <w:lang w:val="en-GB"/>
        </w:rPr>
        <w:footnoteRef/>
      </w:r>
      <w:r w:rsidRPr="009664F4">
        <w:rPr>
          <w:lang w:val="en-GB"/>
        </w:rPr>
        <w:t xml:space="preserve"> Appellate Body Report, </w:t>
      </w:r>
      <w:r w:rsidRPr="009664F4">
        <w:rPr>
          <w:i/>
          <w:lang w:val="en-GB"/>
        </w:rPr>
        <w:t>US – Tuna II (Mexico)</w:t>
      </w:r>
      <w:r w:rsidRPr="009664F4">
        <w:rPr>
          <w:lang w:val="en-GB"/>
        </w:rPr>
        <w:t>, para. 319.</w:t>
      </w:r>
    </w:p>
  </w:footnote>
  <w:footnote w:id="19">
    <w:p w14:paraId="5AC9E43E" w14:textId="77777777" w:rsidR="003607B4" w:rsidRPr="009664F4" w:rsidRDefault="003607B4" w:rsidP="00FF4B8B">
      <w:pPr>
        <w:pStyle w:val="FootnoteText"/>
        <w:rPr>
          <w:lang w:val="en-GB"/>
        </w:rPr>
      </w:pPr>
      <w:r w:rsidRPr="009664F4">
        <w:rPr>
          <w:rStyle w:val="FootnoteReference"/>
          <w:lang w:val="en-GB"/>
        </w:rPr>
        <w:footnoteRef/>
      </w:r>
      <w:r w:rsidRPr="009664F4">
        <w:rPr>
          <w:lang w:val="en-GB"/>
        </w:rPr>
        <w:t xml:space="preserve"> Appellate Body Report, </w:t>
      </w:r>
      <w:r w:rsidRPr="009664F4">
        <w:rPr>
          <w:i/>
          <w:lang w:val="en-GB"/>
        </w:rPr>
        <w:t>US – COOL</w:t>
      </w:r>
      <w:r w:rsidRPr="009664F4">
        <w:rPr>
          <w:lang w:val="en-GB"/>
        </w:rPr>
        <w:t>, para. 477.</w:t>
      </w:r>
    </w:p>
  </w:footnote>
  <w:footnote w:id="20">
    <w:p w14:paraId="0E45FA50" w14:textId="6F7977C1" w:rsidR="003607B4" w:rsidRPr="009664F4" w:rsidRDefault="003607B4" w:rsidP="00FF4B8B">
      <w:pPr>
        <w:pStyle w:val="FootnoteText"/>
        <w:rPr>
          <w:lang w:val="en-GB"/>
        </w:rPr>
      </w:pPr>
      <w:r w:rsidRPr="009664F4">
        <w:rPr>
          <w:rStyle w:val="FootnoteReference"/>
          <w:lang w:val="en-GB"/>
        </w:rPr>
        <w:footnoteRef/>
      </w:r>
      <w:r w:rsidRPr="009664F4">
        <w:rPr>
          <w:lang w:val="en-GB"/>
        </w:rPr>
        <w:t xml:space="preserve"> See Appellate Body Report, </w:t>
      </w:r>
      <w:r w:rsidRPr="009664F4">
        <w:rPr>
          <w:i/>
          <w:lang w:val="en-GB"/>
        </w:rPr>
        <w:t>US – COOL (Article</w:t>
      </w:r>
      <w:r w:rsidR="00504B61" w:rsidRPr="009664F4">
        <w:rPr>
          <w:i/>
          <w:lang w:val="en-GB"/>
        </w:rPr>
        <w:t> </w:t>
      </w:r>
      <w:r w:rsidRPr="009664F4">
        <w:rPr>
          <w:i/>
          <w:lang w:val="en-GB"/>
        </w:rPr>
        <w:t>21.5 – Canada and Mexico)</w:t>
      </w:r>
      <w:r w:rsidRPr="009664F4">
        <w:rPr>
          <w:lang w:val="en-GB"/>
        </w:rPr>
        <w:t>, para. 5.208 and footnote 643 thereto.</w:t>
      </w:r>
    </w:p>
  </w:footnote>
  <w:footnote w:id="21">
    <w:p w14:paraId="2DA09619" w14:textId="77777777" w:rsidR="003607B4" w:rsidRPr="009664F4" w:rsidRDefault="003607B4" w:rsidP="00FF4B8B">
      <w:pPr>
        <w:pStyle w:val="FootnoteText"/>
        <w:rPr>
          <w:lang w:val="en-GB"/>
        </w:rPr>
      </w:pPr>
      <w:r w:rsidRPr="009664F4">
        <w:rPr>
          <w:rStyle w:val="FootnoteReference"/>
          <w:lang w:val="en-GB"/>
        </w:rPr>
        <w:footnoteRef/>
      </w:r>
      <w:r w:rsidRPr="009664F4">
        <w:rPr>
          <w:lang w:val="en-GB"/>
        </w:rPr>
        <w:t xml:space="preserve"> Panel Report, para. 7.1074.</w:t>
      </w:r>
    </w:p>
  </w:footnote>
  <w:footnote w:id="22">
    <w:p w14:paraId="04AAF80E" w14:textId="77777777" w:rsidR="003607B4" w:rsidRPr="009664F4" w:rsidRDefault="003607B4" w:rsidP="00FF4B8B">
      <w:pPr>
        <w:pStyle w:val="FootnoteText"/>
        <w:rPr>
          <w:szCs w:val="20"/>
          <w:lang w:val="en-GB"/>
        </w:rPr>
      </w:pPr>
      <w:r w:rsidRPr="009664F4">
        <w:rPr>
          <w:rStyle w:val="FootnoteReference"/>
          <w:sz w:val="20"/>
          <w:szCs w:val="20"/>
          <w:lang w:val="en-GB"/>
        </w:rPr>
        <w:footnoteRef/>
      </w:r>
      <w:r w:rsidRPr="009664F4">
        <w:rPr>
          <w:szCs w:val="20"/>
          <w:lang w:val="en-GB"/>
        </w:rPr>
        <w:t xml:space="preserve"> Appellate Body Report, </w:t>
      </w:r>
      <w:r w:rsidRPr="009664F4">
        <w:rPr>
          <w:i/>
          <w:szCs w:val="20"/>
          <w:lang w:val="en-GB"/>
        </w:rPr>
        <w:t>EC – Hormones</w:t>
      </w:r>
      <w:r w:rsidRPr="009664F4">
        <w:rPr>
          <w:szCs w:val="20"/>
          <w:lang w:val="en-GB"/>
        </w:rPr>
        <w:t>, para. 156.</w:t>
      </w:r>
    </w:p>
  </w:footnote>
  <w:footnote w:id="23">
    <w:p w14:paraId="2DFAE2B1" w14:textId="07259DCB" w:rsidR="003607B4" w:rsidRPr="009664F4" w:rsidRDefault="003607B4" w:rsidP="00FF4B8B">
      <w:pPr>
        <w:pStyle w:val="FootnoteText"/>
        <w:rPr>
          <w:szCs w:val="20"/>
          <w:lang w:val="en-GB"/>
        </w:rPr>
      </w:pPr>
      <w:r w:rsidRPr="009664F4">
        <w:rPr>
          <w:rStyle w:val="FootnoteReference"/>
          <w:sz w:val="20"/>
          <w:szCs w:val="20"/>
          <w:lang w:val="en-GB"/>
        </w:rPr>
        <w:footnoteRef/>
      </w:r>
      <w:r w:rsidRPr="009664F4">
        <w:rPr>
          <w:szCs w:val="20"/>
          <w:lang w:val="en-GB"/>
        </w:rPr>
        <w:t xml:space="preserve"> Appellate Body Report, </w:t>
      </w:r>
      <w:r w:rsidR="00504B61" w:rsidRPr="009664F4">
        <w:rPr>
          <w:i/>
          <w:szCs w:val="20"/>
          <w:lang w:val="en-GB"/>
        </w:rPr>
        <w:t>US – Upland Cotton (Article </w:t>
      </w:r>
      <w:r w:rsidRPr="009664F4">
        <w:rPr>
          <w:i/>
          <w:szCs w:val="20"/>
          <w:lang w:val="en-GB"/>
        </w:rPr>
        <w:t>21.5 – Brazil)</w:t>
      </w:r>
      <w:r w:rsidRPr="009664F4">
        <w:rPr>
          <w:szCs w:val="20"/>
          <w:lang w:val="en-GB"/>
        </w:rPr>
        <w:t xml:space="preserve">, paras. 357-358 and 406. </w:t>
      </w:r>
    </w:p>
  </w:footnote>
  <w:footnote w:id="24">
    <w:p w14:paraId="0CD75D39" w14:textId="0A4B6C37" w:rsidR="003607B4" w:rsidRPr="009664F4" w:rsidRDefault="003607B4" w:rsidP="00FF4B8B">
      <w:pPr>
        <w:pStyle w:val="FootnoteText"/>
        <w:rPr>
          <w:szCs w:val="20"/>
          <w:lang w:val="en-GB"/>
        </w:rPr>
      </w:pPr>
      <w:r w:rsidRPr="009664F4">
        <w:rPr>
          <w:rStyle w:val="FootnoteReference"/>
          <w:sz w:val="20"/>
          <w:szCs w:val="20"/>
          <w:lang w:val="en-GB"/>
        </w:rPr>
        <w:footnoteRef/>
      </w:r>
      <w:r w:rsidRPr="009664F4">
        <w:rPr>
          <w:szCs w:val="20"/>
          <w:lang w:val="en-GB"/>
        </w:rPr>
        <w:t xml:space="preserve"> Appellate Body Report, </w:t>
      </w:r>
      <w:r w:rsidR="00504B61" w:rsidRPr="009664F4">
        <w:rPr>
          <w:i/>
          <w:szCs w:val="20"/>
          <w:lang w:val="en-GB"/>
        </w:rPr>
        <w:t>US – Tuna II (Article </w:t>
      </w:r>
      <w:r w:rsidRPr="009664F4">
        <w:rPr>
          <w:i/>
          <w:szCs w:val="20"/>
          <w:lang w:val="en-GB"/>
        </w:rPr>
        <w:t>21.5 – Mexico)</w:t>
      </w:r>
      <w:r w:rsidRPr="009664F4">
        <w:rPr>
          <w:szCs w:val="20"/>
          <w:lang w:val="en-GB"/>
        </w:rPr>
        <w:t>, para. 7.177.</w:t>
      </w:r>
    </w:p>
  </w:footnote>
  <w:footnote w:id="25">
    <w:p w14:paraId="0116709D" w14:textId="4478DDEF" w:rsidR="003607B4" w:rsidRPr="009664F4" w:rsidRDefault="003607B4">
      <w:pPr>
        <w:pStyle w:val="FootnoteText"/>
        <w:rPr>
          <w:lang w:val="en-GB"/>
        </w:rPr>
      </w:pPr>
      <w:r w:rsidRPr="009664F4">
        <w:rPr>
          <w:rStyle w:val="FootnoteReference"/>
          <w:lang w:val="en-GB"/>
        </w:rPr>
        <w:footnoteRef/>
      </w:r>
      <w:r w:rsidRPr="009664F4">
        <w:rPr>
          <w:lang w:val="en-GB"/>
        </w:rPr>
        <w:t xml:space="preserve"> See Dominican Republic's appellant's submission, para. 33.  </w:t>
      </w:r>
    </w:p>
  </w:footnote>
  <w:footnote w:id="26">
    <w:p w14:paraId="4701A5C5" w14:textId="7D87A934" w:rsidR="007C6993" w:rsidRPr="009664F4" w:rsidRDefault="007C6993">
      <w:pPr>
        <w:pStyle w:val="FootnoteText"/>
        <w:rPr>
          <w:lang w:val="en-GB"/>
        </w:rPr>
      </w:pPr>
      <w:r w:rsidRPr="009664F4">
        <w:rPr>
          <w:rStyle w:val="FootnoteReference"/>
          <w:lang w:val="en-GB"/>
        </w:rPr>
        <w:footnoteRef/>
      </w:r>
      <w:r w:rsidRPr="009664F4">
        <w:rPr>
          <w:lang w:val="en-GB"/>
        </w:rPr>
        <w:t xml:space="preserve"> Appellate Body Report, </w:t>
      </w:r>
      <w:r w:rsidRPr="009664F4">
        <w:rPr>
          <w:i/>
          <w:lang w:val="en-GB"/>
        </w:rPr>
        <w:t>US – Tuna II (Mexico) (Article 21.5 – Mexico),</w:t>
      </w:r>
      <w:r w:rsidRPr="009664F4">
        <w:rPr>
          <w:lang w:val="en-GB"/>
        </w:rPr>
        <w:t xml:space="preserve"> para. 7.177.</w:t>
      </w:r>
    </w:p>
  </w:footnote>
  <w:footnote w:id="27">
    <w:p w14:paraId="3AB6255F" w14:textId="545292F7" w:rsidR="007C6993" w:rsidRPr="009664F4" w:rsidRDefault="007C6993">
      <w:pPr>
        <w:pStyle w:val="FootnoteText"/>
        <w:rPr>
          <w:lang w:val="en-GB"/>
        </w:rPr>
      </w:pPr>
      <w:r w:rsidRPr="009664F4">
        <w:rPr>
          <w:rStyle w:val="FootnoteReference"/>
          <w:lang w:val="en-GB"/>
        </w:rPr>
        <w:footnoteRef/>
      </w:r>
      <w:r w:rsidRPr="009664F4">
        <w:rPr>
          <w:lang w:val="en-GB"/>
        </w:rPr>
        <w:t xml:space="preserve"> Appellate Body Report, </w:t>
      </w:r>
      <w:r w:rsidRPr="009664F4">
        <w:rPr>
          <w:i/>
          <w:lang w:val="en-GB"/>
        </w:rPr>
        <w:t>US – Tuna II (Mexico) (Article 21.5 – Mexico),</w:t>
      </w:r>
      <w:r w:rsidRPr="009664F4">
        <w:rPr>
          <w:lang w:val="en-GB"/>
        </w:rPr>
        <w:t xml:space="preserve"> para. 7.177.</w:t>
      </w:r>
    </w:p>
  </w:footnote>
  <w:footnote w:id="28">
    <w:p w14:paraId="372566A2" w14:textId="20949962" w:rsidR="003607B4" w:rsidRPr="009664F4" w:rsidRDefault="003607B4">
      <w:pPr>
        <w:pStyle w:val="FootnoteText"/>
        <w:rPr>
          <w:lang w:val="en-GB"/>
        </w:rPr>
      </w:pPr>
      <w:r w:rsidRPr="009664F4">
        <w:rPr>
          <w:rStyle w:val="FootnoteReference"/>
          <w:lang w:val="en-GB"/>
        </w:rPr>
        <w:footnoteRef/>
      </w:r>
      <w:r w:rsidRPr="009664F4">
        <w:rPr>
          <w:lang w:val="en-GB"/>
        </w:rPr>
        <w:t xml:space="preserve"> Including a 152</w:t>
      </w:r>
      <w:r w:rsidR="007123E6" w:rsidRPr="009664F4">
        <w:rPr>
          <w:lang w:val="en-GB"/>
        </w:rPr>
        <w:t>-</w:t>
      </w:r>
      <w:r w:rsidRPr="009664F4">
        <w:rPr>
          <w:lang w:val="en-GB"/>
        </w:rPr>
        <w:t xml:space="preserve">page analysis of the post-implementation evidence in Appendices A-E.  </w:t>
      </w:r>
    </w:p>
  </w:footnote>
  <w:footnote w:id="29">
    <w:p w14:paraId="6E9F85B0" w14:textId="1BA9A1A1" w:rsidR="003607B4" w:rsidRPr="009664F4" w:rsidRDefault="003607B4">
      <w:pPr>
        <w:pStyle w:val="FootnoteText"/>
        <w:rPr>
          <w:lang w:val="en-GB"/>
        </w:rPr>
      </w:pPr>
      <w:r w:rsidRPr="009664F4">
        <w:rPr>
          <w:rStyle w:val="FootnoteReference"/>
          <w:lang w:val="en-GB"/>
        </w:rPr>
        <w:footnoteRef/>
      </w:r>
      <w:r w:rsidRPr="009664F4">
        <w:rPr>
          <w:lang w:val="en-GB"/>
        </w:rPr>
        <w:t xml:space="preserve"> Appellate Body Report, </w:t>
      </w:r>
      <w:r w:rsidRPr="009664F4">
        <w:rPr>
          <w:i/>
          <w:lang w:val="en-GB"/>
        </w:rPr>
        <w:t>Philippines – Distilled Spirits</w:t>
      </w:r>
      <w:r w:rsidRPr="009664F4">
        <w:rPr>
          <w:lang w:val="en-GB"/>
        </w:rPr>
        <w:t xml:space="preserve">, para. 135, quoting Appellate Body Report, </w:t>
      </w:r>
      <w:r w:rsidRPr="009664F4">
        <w:rPr>
          <w:i/>
          <w:lang w:val="en-GB"/>
        </w:rPr>
        <w:t>Brazil – Retreaded Tyres</w:t>
      </w:r>
      <w:r w:rsidRPr="009664F4">
        <w:rPr>
          <w:lang w:val="en-GB"/>
        </w:rPr>
        <w:t xml:space="preserve">, para. 185, in turn referring to Appellate Body Report, </w:t>
      </w:r>
      <w:r w:rsidRPr="009664F4">
        <w:rPr>
          <w:i/>
          <w:lang w:val="en-GB"/>
        </w:rPr>
        <w:t>EC </w:t>
      </w:r>
      <w:r w:rsidRPr="009664F4">
        <w:rPr>
          <w:i/>
          <w:lang w:val="en-GB"/>
        </w:rPr>
        <w:noBreakHyphen/>
        <w:t> Hormones</w:t>
      </w:r>
      <w:r w:rsidRPr="009664F4">
        <w:rPr>
          <w:lang w:val="en-GB"/>
        </w:rPr>
        <w:t xml:space="preserve">, paras. 132-133. </w:t>
      </w:r>
    </w:p>
  </w:footnote>
  <w:footnote w:id="30">
    <w:p w14:paraId="75EE8305" w14:textId="12F4F5D6" w:rsidR="003607B4" w:rsidRPr="009664F4" w:rsidRDefault="003607B4">
      <w:pPr>
        <w:pStyle w:val="FootnoteText"/>
        <w:rPr>
          <w:lang w:val="en-GB"/>
        </w:rPr>
      </w:pPr>
      <w:r w:rsidRPr="009664F4">
        <w:rPr>
          <w:rStyle w:val="FootnoteReference"/>
          <w:lang w:val="en-GB"/>
        </w:rPr>
        <w:footnoteRef/>
      </w:r>
      <w:r w:rsidRPr="009664F4">
        <w:rPr>
          <w:lang w:val="en-GB"/>
        </w:rPr>
        <w:t xml:space="preserve"> See Appellate Body Report, </w:t>
      </w:r>
      <w:r w:rsidRPr="009664F4">
        <w:rPr>
          <w:i/>
          <w:lang w:val="en-GB"/>
        </w:rPr>
        <w:t>Japan – Apples</w:t>
      </w:r>
      <w:r w:rsidRPr="009664F4">
        <w:rPr>
          <w:lang w:val="en-GB"/>
        </w:rPr>
        <w:t xml:space="preserve">, para. 221.  </w:t>
      </w:r>
    </w:p>
  </w:footnote>
  <w:footnote w:id="31">
    <w:p w14:paraId="3CCD205D" w14:textId="6BE2F56B" w:rsidR="003607B4" w:rsidRPr="009664F4" w:rsidRDefault="003607B4">
      <w:pPr>
        <w:pStyle w:val="FootnoteText"/>
        <w:rPr>
          <w:lang w:val="en-GB"/>
        </w:rPr>
      </w:pPr>
      <w:r w:rsidRPr="009664F4">
        <w:rPr>
          <w:rStyle w:val="FootnoteReference"/>
          <w:lang w:val="en-GB"/>
        </w:rPr>
        <w:footnoteRef/>
      </w:r>
      <w:r w:rsidRPr="009664F4">
        <w:rPr>
          <w:lang w:val="en-GB"/>
        </w:rPr>
        <w:t xml:space="preserve"> See Appellate Body Report, </w:t>
      </w:r>
      <w:r w:rsidRPr="009664F4">
        <w:rPr>
          <w:i/>
          <w:lang w:val="en-GB"/>
        </w:rPr>
        <w:t>Japan – Apples</w:t>
      </w:r>
      <w:r w:rsidRPr="009664F4">
        <w:rPr>
          <w:lang w:val="en-GB"/>
        </w:rPr>
        <w:t xml:space="preserve">, para. 222.  </w:t>
      </w:r>
    </w:p>
  </w:footnote>
  <w:footnote w:id="32">
    <w:p w14:paraId="4A8FF293" w14:textId="06B6E5AC" w:rsidR="003607B4" w:rsidRPr="009664F4" w:rsidRDefault="003607B4">
      <w:pPr>
        <w:pStyle w:val="FootnoteText"/>
        <w:rPr>
          <w:lang w:val="en-GB"/>
        </w:rPr>
      </w:pPr>
      <w:r w:rsidRPr="009664F4">
        <w:rPr>
          <w:rStyle w:val="FootnoteReference"/>
          <w:lang w:val="en-GB"/>
        </w:rPr>
        <w:footnoteRef/>
      </w:r>
      <w:r w:rsidRPr="009664F4">
        <w:rPr>
          <w:lang w:val="en-GB"/>
        </w:rPr>
        <w:t xml:space="preserve"> See Appellate Body Report, </w:t>
      </w:r>
      <w:r w:rsidR="00504B61" w:rsidRPr="009664F4">
        <w:rPr>
          <w:i/>
          <w:lang w:val="en-GB"/>
        </w:rPr>
        <w:t>EC – Aircraft (Article </w:t>
      </w:r>
      <w:r w:rsidRPr="009664F4">
        <w:rPr>
          <w:i/>
          <w:lang w:val="en-GB"/>
        </w:rPr>
        <w:t>21.5 – US)</w:t>
      </w:r>
      <w:r w:rsidRPr="009664F4">
        <w:rPr>
          <w:lang w:val="en-GB"/>
        </w:rPr>
        <w:t xml:space="preserve">, para. 5.148.  </w:t>
      </w:r>
    </w:p>
  </w:footnote>
  <w:footnote w:id="33">
    <w:p w14:paraId="310BFD16" w14:textId="513F2115" w:rsidR="003607B4" w:rsidRPr="009664F4" w:rsidRDefault="003607B4">
      <w:pPr>
        <w:pStyle w:val="FootnoteText"/>
        <w:rPr>
          <w:lang w:val="en-GB"/>
        </w:rPr>
      </w:pPr>
      <w:r w:rsidRPr="009664F4">
        <w:rPr>
          <w:rStyle w:val="FootnoteReference"/>
          <w:lang w:val="en-GB"/>
        </w:rPr>
        <w:footnoteRef/>
      </w:r>
      <w:r w:rsidRPr="009664F4">
        <w:rPr>
          <w:lang w:val="en-GB"/>
        </w:rPr>
        <w:t xml:space="preserve"> Appellate Body Report, </w:t>
      </w:r>
      <w:r w:rsidRPr="009664F4">
        <w:rPr>
          <w:i/>
          <w:lang w:val="en-GB"/>
        </w:rPr>
        <w:t>US – Aircraft</w:t>
      </w:r>
      <w:r w:rsidRPr="009664F4">
        <w:rPr>
          <w:lang w:val="en-GB"/>
        </w:rPr>
        <w:t xml:space="preserve">, para. 992.  </w:t>
      </w:r>
    </w:p>
  </w:footnote>
  <w:footnote w:id="34">
    <w:p w14:paraId="7D62D355" w14:textId="1D15AD34" w:rsidR="003607B4" w:rsidRPr="009664F4" w:rsidRDefault="003607B4">
      <w:pPr>
        <w:pStyle w:val="FootnoteText"/>
        <w:rPr>
          <w:lang w:val="en-GB"/>
        </w:rPr>
      </w:pPr>
      <w:r w:rsidRPr="009664F4">
        <w:rPr>
          <w:rStyle w:val="FootnoteReference"/>
          <w:lang w:val="en-GB"/>
        </w:rPr>
        <w:footnoteRef/>
      </w:r>
      <w:r w:rsidRPr="009664F4">
        <w:rPr>
          <w:lang w:val="en-GB"/>
        </w:rPr>
        <w:t xml:space="preserve"> </w:t>
      </w:r>
      <w:r w:rsidRPr="009664F4">
        <w:rPr>
          <w:rFonts w:cs="Times New Roman"/>
          <w:szCs w:val="20"/>
          <w:lang w:val="en-GB"/>
        </w:rPr>
        <w:t xml:space="preserve">See Appellate Body Reports, </w:t>
      </w:r>
      <w:r w:rsidRPr="009664F4">
        <w:rPr>
          <w:rFonts w:cs="Times New Roman"/>
          <w:i/>
          <w:szCs w:val="20"/>
          <w:lang w:val="en-GB"/>
        </w:rPr>
        <w:t>EC – Aircraft</w:t>
      </w:r>
      <w:r w:rsidRPr="009664F4">
        <w:rPr>
          <w:rFonts w:cs="Times New Roman"/>
          <w:szCs w:val="20"/>
          <w:lang w:val="en-GB"/>
        </w:rPr>
        <w:t xml:space="preserve">, para. 1335; </w:t>
      </w:r>
      <w:r w:rsidRPr="009664F4">
        <w:rPr>
          <w:rFonts w:cs="Times New Roman"/>
          <w:i/>
          <w:iCs/>
          <w:szCs w:val="20"/>
          <w:lang w:val="en-GB"/>
        </w:rPr>
        <w:t>US – Upland Cotton (Article 21.5 – Brazil)</w:t>
      </w:r>
      <w:r w:rsidRPr="009664F4">
        <w:rPr>
          <w:rFonts w:cs="Times New Roman"/>
          <w:szCs w:val="20"/>
          <w:lang w:val="en-GB"/>
        </w:rPr>
        <w:t xml:space="preserve">, para. 294; </w:t>
      </w:r>
      <w:r w:rsidRPr="009664F4">
        <w:rPr>
          <w:rFonts w:cs="Times New Roman"/>
          <w:i/>
          <w:szCs w:val="20"/>
          <w:lang w:val="en-GB"/>
        </w:rPr>
        <w:t>US – COOL</w:t>
      </w:r>
      <w:r w:rsidRPr="009664F4">
        <w:rPr>
          <w:rFonts w:cs="Times New Roman"/>
          <w:szCs w:val="20"/>
          <w:lang w:val="en-GB"/>
        </w:rPr>
        <w:t>, para. 323.</w:t>
      </w:r>
    </w:p>
  </w:footnote>
  <w:footnote w:id="35">
    <w:p w14:paraId="40D1F2C3" w14:textId="46237A59" w:rsidR="003607B4" w:rsidRPr="009664F4" w:rsidRDefault="003607B4">
      <w:pPr>
        <w:pStyle w:val="FootnoteText"/>
        <w:rPr>
          <w:lang w:val="en-GB"/>
        </w:rPr>
      </w:pPr>
      <w:r w:rsidRPr="009664F4">
        <w:rPr>
          <w:rStyle w:val="FootnoteReference"/>
          <w:lang w:val="en-GB"/>
        </w:rPr>
        <w:footnoteRef/>
      </w:r>
      <w:r w:rsidRPr="009664F4">
        <w:rPr>
          <w:lang w:val="en-GB"/>
        </w:rPr>
        <w:t xml:space="preserve"> Australia notes that the appellants only challenge the Panel's analysi</w:t>
      </w:r>
      <w:r w:rsidR="00504B61" w:rsidRPr="009664F4">
        <w:rPr>
          <w:lang w:val="en-GB"/>
        </w:rPr>
        <w:t>s of contribution under Article </w:t>
      </w:r>
      <w:r w:rsidRPr="009664F4">
        <w:rPr>
          <w:lang w:val="en-GB"/>
        </w:rPr>
        <w:t>2.2 of the TBT Agreement, and therefore discusses the proper allocation of the burden of proof under that provision.  Honduras alone claims that the Panel ac</w:t>
      </w:r>
      <w:r w:rsidR="00504B61" w:rsidRPr="009664F4">
        <w:rPr>
          <w:lang w:val="en-GB"/>
        </w:rPr>
        <w:t>ted inconsistently with Article </w:t>
      </w:r>
      <w:r w:rsidRPr="009664F4">
        <w:rPr>
          <w:lang w:val="en-GB"/>
        </w:rPr>
        <w:t>11 of the DSU in its assessment of contribution under Article</w:t>
      </w:r>
      <w:r w:rsidR="00504B61" w:rsidRPr="009664F4">
        <w:rPr>
          <w:lang w:val="en-GB"/>
        </w:rPr>
        <w:t> </w:t>
      </w:r>
      <w:r w:rsidRPr="009664F4">
        <w:rPr>
          <w:lang w:val="en-GB"/>
        </w:rPr>
        <w:t>20 of the TRIPS Agreement, but does not distinguish between the arguments under t</w:t>
      </w:r>
      <w:r w:rsidR="00504B61" w:rsidRPr="009664F4">
        <w:rPr>
          <w:lang w:val="en-GB"/>
        </w:rPr>
        <w:t>hat provision and under Article </w:t>
      </w:r>
      <w:r w:rsidRPr="009664F4">
        <w:rPr>
          <w:lang w:val="en-GB"/>
        </w:rPr>
        <w:t xml:space="preserve">2.2 of the TBT Agreement.  The arguments advanced by Australia in this section apply </w:t>
      </w:r>
      <w:r w:rsidRPr="009664F4">
        <w:rPr>
          <w:i/>
          <w:lang w:val="en-GB"/>
        </w:rPr>
        <w:t>mutatis mutandis</w:t>
      </w:r>
      <w:r w:rsidR="00504B61" w:rsidRPr="009664F4">
        <w:rPr>
          <w:lang w:val="en-GB"/>
        </w:rPr>
        <w:t xml:space="preserve"> in the context of Article </w:t>
      </w:r>
      <w:r w:rsidRPr="009664F4">
        <w:rPr>
          <w:lang w:val="en-GB"/>
        </w:rPr>
        <w:t xml:space="preserve">20 of the TRIPS Agreement as well.  </w:t>
      </w:r>
    </w:p>
  </w:footnote>
  <w:footnote w:id="36">
    <w:p w14:paraId="49378FBE" w14:textId="77777777" w:rsidR="003607B4" w:rsidRPr="009664F4" w:rsidRDefault="003607B4" w:rsidP="002C6D6F">
      <w:pPr>
        <w:pStyle w:val="FootnoteText"/>
        <w:rPr>
          <w:lang w:val="en-GB"/>
        </w:rPr>
      </w:pPr>
      <w:r w:rsidRPr="009664F4">
        <w:rPr>
          <w:rStyle w:val="FootnoteReference"/>
          <w:lang w:val="en-GB"/>
        </w:rPr>
        <w:footnoteRef/>
      </w:r>
      <w:r w:rsidRPr="009664F4">
        <w:rPr>
          <w:lang w:val="en-GB"/>
        </w:rPr>
        <w:t xml:space="preserve"> Panel Report, para. 7.485 (emphasis added).</w:t>
      </w:r>
    </w:p>
  </w:footnote>
  <w:footnote w:id="37">
    <w:p w14:paraId="739250F3" w14:textId="77777777" w:rsidR="003607B4" w:rsidRPr="009664F4" w:rsidRDefault="003607B4" w:rsidP="002C6D6F">
      <w:pPr>
        <w:pStyle w:val="FootnoteText"/>
        <w:rPr>
          <w:lang w:val="en-GB"/>
        </w:rPr>
      </w:pPr>
      <w:r w:rsidRPr="009664F4">
        <w:rPr>
          <w:rStyle w:val="FootnoteReference"/>
          <w:lang w:val="en-GB"/>
        </w:rPr>
        <w:footnoteRef/>
      </w:r>
      <w:r w:rsidRPr="009664F4">
        <w:rPr>
          <w:lang w:val="en-GB"/>
        </w:rPr>
        <w:t xml:space="preserve"> See, e.g. Dominican Republic's first written submission, para. 377; Dominican Republic's second written submission, para. 368; Honduras's first written submission, para. 581; Honduras's second written submission, para. 55.</w:t>
      </w:r>
    </w:p>
  </w:footnote>
  <w:footnote w:id="38">
    <w:p w14:paraId="4F386DD1" w14:textId="77777777" w:rsidR="003607B4" w:rsidRPr="009664F4" w:rsidRDefault="003607B4" w:rsidP="002C6D6F">
      <w:pPr>
        <w:pStyle w:val="FootnoteText"/>
        <w:rPr>
          <w:lang w:val="en-GB"/>
        </w:rPr>
      </w:pPr>
      <w:r w:rsidRPr="009664F4">
        <w:rPr>
          <w:rStyle w:val="FootnoteReference"/>
          <w:lang w:val="en-GB"/>
        </w:rPr>
        <w:footnoteRef/>
      </w:r>
      <w:r w:rsidRPr="009664F4">
        <w:rPr>
          <w:lang w:val="en-GB"/>
        </w:rPr>
        <w:t xml:space="preserve"> Panel Report, para. 7.1207.</w:t>
      </w:r>
    </w:p>
  </w:footnote>
  <w:footnote w:id="39">
    <w:p w14:paraId="42D9C836" w14:textId="77777777" w:rsidR="003607B4" w:rsidRPr="009664F4" w:rsidRDefault="003607B4" w:rsidP="002C6D6F">
      <w:pPr>
        <w:pStyle w:val="FootnoteText"/>
        <w:rPr>
          <w:lang w:val="en-GB"/>
        </w:rPr>
      </w:pPr>
      <w:r w:rsidRPr="009664F4">
        <w:rPr>
          <w:rStyle w:val="FootnoteReference"/>
          <w:lang w:val="en-GB"/>
        </w:rPr>
        <w:footnoteRef/>
      </w:r>
      <w:r w:rsidRPr="009664F4">
        <w:rPr>
          <w:lang w:val="en-GB"/>
        </w:rPr>
        <w:t xml:space="preserve"> Panel Report, para. 7.929 (emphasis added).</w:t>
      </w:r>
    </w:p>
  </w:footnote>
  <w:footnote w:id="40">
    <w:p w14:paraId="0BF7C5BD" w14:textId="77777777" w:rsidR="003607B4" w:rsidRPr="009664F4" w:rsidRDefault="003607B4" w:rsidP="002C6D6F">
      <w:pPr>
        <w:pStyle w:val="FootnoteText"/>
        <w:rPr>
          <w:lang w:val="en-GB"/>
        </w:rPr>
      </w:pPr>
      <w:r w:rsidRPr="009664F4">
        <w:rPr>
          <w:rStyle w:val="FootnoteReference"/>
          <w:lang w:val="en-GB"/>
        </w:rPr>
        <w:footnoteRef/>
      </w:r>
      <w:r w:rsidRPr="009664F4">
        <w:rPr>
          <w:lang w:val="en-GB"/>
        </w:rPr>
        <w:t xml:space="preserve"> Panel Report, para. 7.1036.</w:t>
      </w:r>
    </w:p>
  </w:footnote>
  <w:footnote w:id="41">
    <w:p w14:paraId="3B699CC2" w14:textId="77777777" w:rsidR="003607B4" w:rsidRPr="009664F4" w:rsidRDefault="003607B4" w:rsidP="002C6D6F">
      <w:pPr>
        <w:pStyle w:val="FootnoteText"/>
        <w:rPr>
          <w:lang w:val="en-GB"/>
        </w:rPr>
      </w:pPr>
      <w:r w:rsidRPr="009664F4">
        <w:rPr>
          <w:rStyle w:val="FootnoteReference"/>
          <w:lang w:val="en-GB"/>
        </w:rPr>
        <w:footnoteRef/>
      </w:r>
      <w:r w:rsidRPr="009664F4">
        <w:rPr>
          <w:lang w:val="en-GB"/>
        </w:rPr>
        <w:t xml:space="preserve"> Panel Report, para. 7.1037.</w:t>
      </w:r>
    </w:p>
  </w:footnote>
  <w:footnote w:id="42">
    <w:p w14:paraId="5DAF81B0" w14:textId="77777777" w:rsidR="003607B4" w:rsidRPr="009664F4" w:rsidRDefault="003607B4" w:rsidP="002C6D6F">
      <w:pPr>
        <w:pStyle w:val="FootnoteText"/>
        <w:rPr>
          <w:lang w:val="en-GB"/>
        </w:rPr>
      </w:pPr>
      <w:r w:rsidRPr="009664F4">
        <w:rPr>
          <w:rStyle w:val="FootnoteReference"/>
          <w:lang w:val="en-GB"/>
        </w:rPr>
        <w:footnoteRef/>
      </w:r>
      <w:r w:rsidRPr="009664F4">
        <w:rPr>
          <w:lang w:val="en-GB"/>
        </w:rPr>
        <w:t xml:space="preserve"> Panel Report, para. 7.1025 (emphasis added).</w:t>
      </w:r>
    </w:p>
  </w:footnote>
  <w:footnote w:id="43">
    <w:p w14:paraId="6FC9459D" w14:textId="77777777" w:rsidR="003607B4" w:rsidRPr="009664F4" w:rsidRDefault="003607B4" w:rsidP="008A005B">
      <w:pPr>
        <w:pStyle w:val="FootnoteText"/>
        <w:rPr>
          <w:szCs w:val="20"/>
          <w:lang w:val="en-GB"/>
        </w:rPr>
      </w:pPr>
      <w:r w:rsidRPr="009664F4">
        <w:rPr>
          <w:rStyle w:val="FootnoteReference"/>
          <w:rFonts w:cs="Times New Roman"/>
          <w:sz w:val="20"/>
          <w:szCs w:val="20"/>
          <w:lang w:val="en-GB"/>
        </w:rPr>
        <w:footnoteRef/>
      </w:r>
      <w:r w:rsidRPr="009664F4">
        <w:rPr>
          <w:szCs w:val="20"/>
          <w:lang w:val="en-GB"/>
        </w:rPr>
        <w:t xml:space="preserve"> See, e.g. Appellate Body Report, </w:t>
      </w:r>
      <w:r w:rsidRPr="009664F4">
        <w:rPr>
          <w:i/>
          <w:szCs w:val="20"/>
          <w:lang w:val="en-GB"/>
        </w:rPr>
        <w:t>US – Large Civil Aircraft (2</w:t>
      </w:r>
      <w:r w:rsidRPr="009664F4">
        <w:rPr>
          <w:i/>
          <w:szCs w:val="20"/>
          <w:vertAlign w:val="superscript"/>
          <w:lang w:val="en-GB"/>
        </w:rPr>
        <w:t>nd</w:t>
      </w:r>
      <w:r w:rsidRPr="009664F4">
        <w:rPr>
          <w:i/>
          <w:szCs w:val="20"/>
          <w:lang w:val="en-GB"/>
        </w:rPr>
        <w:t xml:space="preserve"> Complaint)</w:t>
      </w:r>
      <w:r w:rsidRPr="009664F4">
        <w:rPr>
          <w:szCs w:val="20"/>
          <w:lang w:val="en-GB"/>
        </w:rPr>
        <w:t>, para. 722.</w:t>
      </w:r>
    </w:p>
  </w:footnote>
  <w:footnote w:id="44">
    <w:p w14:paraId="4380719F" w14:textId="77777777" w:rsidR="003607B4" w:rsidRPr="009664F4" w:rsidRDefault="003607B4" w:rsidP="00C7111F">
      <w:pPr>
        <w:pStyle w:val="FootnoteText"/>
        <w:rPr>
          <w:szCs w:val="20"/>
          <w:lang w:val="en-GB"/>
        </w:rPr>
      </w:pPr>
      <w:r w:rsidRPr="009664F4">
        <w:rPr>
          <w:rStyle w:val="FootnoteReference"/>
          <w:sz w:val="20"/>
          <w:szCs w:val="20"/>
          <w:lang w:val="en-GB"/>
        </w:rPr>
        <w:footnoteRef/>
      </w:r>
      <w:r w:rsidRPr="009664F4">
        <w:rPr>
          <w:szCs w:val="20"/>
          <w:lang w:val="en-GB"/>
        </w:rPr>
        <w:t xml:space="preserve"> See, e.g. Dominican Republic's appellant's submission, para. 626.</w:t>
      </w:r>
    </w:p>
  </w:footnote>
  <w:footnote w:id="45">
    <w:p w14:paraId="73BA1599" w14:textId="77777777" w:rsidR="003607B4" w:rsidRPr="009664F4" w:rsidRDefault="003607B4" w:rsidP="000A01F2">
      <w:pPr>
        <w:pStyle w:val="FootnoteText"/>
        <w:rPr>
          <w:szCs w:val="20"/>
          <w:lang w:val="en-GB"/>
        </w:rPr>
      </w:pPr>
      <w:r w:rsidRPr="009664F4">
        <w:rPr>
          <w:rStyle w:val="FootnoteReference"/>
          <w:sz w:val="20"/>
          <w:szCs w:val="20"/>
          <w:lang w:val="en-GB"/>
        </w:rPr>
        <w:footnoteRef/>
      </w:r>
      <w:r w:rsidRPr="009664F4">
        <w:rPr>
          <w:szCs w:val="20"/>
          <w:lang w:val="en-GB"/>
        </w:rPr>
        <w:t xml:space="preserve"> Panel Report, para. 7.938.</w:t>
      </w:r>
    </w:p>
  </w:footnote>
  <w:footnote w:id="46">
    <w:p w14:paraId="5790398A" w14:textId="77777777" w:rsidR="003607B4" w:rsidRPr="009664F4" w:rsidRDefault="003607B4" w:rsidP="00435948">
      <w:pPr>
        <w:pStyle w:val="FootnoteText"/>
        <w:rPr>
          <w:szCs w:val="20"/>
          <w:lang w:val="en-GB"/>
        </w:rPr>
      </w:pPr>
      <w:r w:rsidRPr="009664F4">
        <w:rPr>
          <w:rStyle w:val="FootnoteReference"/>
          <w:sz w:val="20"/>
          <w:szCs w:val="20"/>
          <w:lang w:val="en-GB"/>
        </w:rPr>
        <w:footnoteRef/>
      </w:r>
      <w:r w:rsidRPr="009664F4">
        <w:rPr>
          <w:szCs w:val="20"/>
          <w:lang w:val="en-GB"/>
        </w:rPr>
        <w:t xml:space="preserve"> Panel Report, para. 7.1037.</w:t>
      </w:r>
    </w:p>
  </w:footnote>
  <w:footnote w:id="47">
    <w:p w14:paraId="51739A5F" w14:textId="2AEE00BC" w:rsidR="00FD6ABE" w:rsidRPr="009664F4" w:rsidRDefault="00FD6ABE">
      <w:pPr>
        <w:pStyle w:val="FootnoteText"/>
        <w:rPr>
          <w:lang w:val="en-GB"/>
        </w:rPr>
      </w:pPr>
      <w:r w:rsidRPr="009664F4">
        <w:rPr>
          <w:rStyle w:val="FootnoteReference"/>
          <w:lang w:val="en-GB"/>
        </w:rPr>
        <w:footnoteRef/>
      </w:r>
      <w:r w:rsidRPr="009664F4">
        <w:rPr>
          <w:lang w:val="en-GB"/>
        </w:rPr>
        <w:t xml:space="preserve"> While the Dominican Republic challenges the Panel's finding that declines in smoking prevalence </w:t>
      </w:r>
      <w:r w:rsidRPr="009664F4">
        <w:rPr>
          <w:i/>
          <w:lang w:val="en-GB"/>
        </w:rPr>
        <w:t>accelerated</w:t>
      </w:r>
      <w:r w:rsidRPr="009664F4">
        <w:rPr>
          <w:lang w:val="en-GB"/>
        </w:rPr>
        <w:t xml:space="preserve"> following the implementation of the TPP measures, Australia demonstrates that this claim is based on a clear misreading of the Panel's findings. </w:t>
      </w:r>
    </w:p>
  </w:footnote>
  <w:footnote w:id="48">
    <w:p w14:paraId="3FF95CED" w14:textId="77777777" w:rsidR="003607B4" w:rsidRPr="009664F4" w:rsidRDefault="003607B4" w:rsidP="008A0184">
      <w:pPr>
        <w:pStyle w:val="FootnoteText"/>
        <w:rPr>
          <w:szCs w:val="20"/>
          <w:lang w:val="en-GB"/>
        </w:rPr>
      </w:pPr>
      <w:r w:rsidRPr="009664F4">
        <w:rPr>
          <w:rStyle w:val="FootnoteReference"/>
          <w:sz w:val="20"/>
          <w:szCs w:val="20"/>
          <w:lang w:val="en-GB"/>
        </w:rPr>
        <w:footnoteRef/>
      </w:r>
      <w:r w:rsidRPr="009664F4">
        <w:rPr>
          <w:szCs w:val="20"/>
          <w:lang w:val="en-GB"/>
        </w:rPr>
        <w:t xml:space="preserve"> Panel Report, para. 7.1025 (emphasis added).</w:t>
      </w:r>
    </w:p>
  </w:footnote>
  <w:footnote w:id="49">
    <w:p w14:paraId="6A02DF05" w14:textId="649E50EF"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paras. 7.777</w:t>
      </w:r>
      <w:r w:rsidR="009664F4" w:rsidRPr="009664F4">
        <w:rPr>
          <w:lang w:val="en-GB"/>
        </w:rPr>
        <w:t xml:space="preserve">, </w:t>
      </w:r>
      <w:r w:rsidRPr="009664F4">
        <w:rPr>
          <w:lang w:val="en-GB"/>
        </w:rPr>
        <w:t xml:space="preserve">7.778. </w:t>
      </w:r>
    </w:p>
  </w:footnote>
  <w:footnote w:id="50">
    <w:p w14:paraId="2636DF7E" w14:textId="6FC789C7"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paras. 7.655-7.662, 7.659, 7.638.  </w:t>
      </w:r>
    </w:p>
  </w:footnote>
  <w:footnote w:id="51">
    <w:p w14:paraId="4A173F67" w14:textId="780DF708" w:rsidR="003607B4" w:rsidRPr="009664F4" w:rsidRDefault="003607B4">
      <w:pPr>
        <w:pStyle w:val="FootnoteText"/>
        <w:rPr>
          <w:lang w:val="en-GB"/>
        </w:rPr>
      </w:pPr>
      <w:r w:rsidRPr="009664F4">
        <w:rPr>
          <w:rStyle w:val="FootnoteReference"/>
          <w:lang w:val="en-GB"/>
        </w:rPr>
        <w:footnoteRef/>
      </w:r>
      <w:r w:rsidRPr="009664F4">
        <w:rPr>
          <w:lang w:val="en-GB"/>
        </w:rPr>
        <w:t xml:space="preserve"> Pa</w:t>
      </w:r>
      <w:r w:rsidR="009664F4" w:rsidRPr="009664F4">
        <w:rPr>
          <w:lang w:val="en-GB"/>
        </w:rPr>
        <w:t xml:space="preserve">nel Report, paras. 7.667, 7.682, </w:t>
      </w:r>
      <w:r w:rsidRPr="009664F4">
        <w:rPr>
          <w:lang w:val="en-GB"/>
        </w:rPr>
        <w:t xml:space="preserve">7.683.  </w:t>
      </w:r>
    </w:p>
  </w:footnote>
  <w:footnote w:id="52">
    <w:p w14:paraId="3DBE2AE8" w14:textId="0B293121"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paras. 7.774-7.778. </w:t>
      </w:r>
    </w:p>
  </w:footnote>
  <w:footnote w:id="53">
    <w:p w14:paraId="31BA7400" w14:textId="20BA4C38"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7.869. </w:t>
      </w:r>
    </w:p>
  </w:footnote>
  <w:footnote w:id="54">
    <w:p w14:paraId="18B7186C" w14:textId="24A3FF6E"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7.843. </w:t>
      </w:r>
    </w:p>
  </w:footnote>
  <w:footnote w:id="55">
    <w:p w14:paraId="2E41ACEF" w14:textId="0A717673"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7.825. </w:t>
      </w:r>
    </w:p>
  </w:footnote>
  <w:footnote w:id="56">
    <w:p w14:paraId="1B9D9FF0" w14:textId="3F3B9E41"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paras. 7.860, 7.863. </w:t>
      </w:r>
    </w:p>
  </w:footnote>
  <w:footnote w:id="57">
    <w:p w14:paraId="72B1E3EA" w14:textId="59BDF92A"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7.924.  </w:t>
      </w:r>
    </w:p>
  </w:footnote>
  <w:footnote w:id="58">
    <w:p w14:paraId="0BBE18B6" w14:textId="52D2F713"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7.904.</w:t>
      </w:r>
    </w:p>
  </w:footnote>
  <w:footnote w:id="59">
    <w:p w14:paraId="39EB3ED6" w14:textId="09228F08"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7.917. </w:t>
      </w:r>
    </w:p>
  </w:footnote>
  <w:footnote w:id="60">
    <w:p w14:paraId="3E10AEFE" w14:textId="2C3CFB03"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7.924. </w:t>
      </w:r>
    </w:p>
  </w:footnote>
  <w:footnote w:id="61">
    <w:p w14:paraId="61549917" w14:textId="5C47DBA4" w:rsidR="003607B4" w:rsidRPr="009664F4" w:rsidRDefault="003607B4">
      <w:pPr>
        <w:pStyle w:val="FootnoteText"/>
        <w:rPr>
          <w:lang w:val="en-GB"/>
        </w:rPr>
      </w:pPr>
      <w:r w:rsidRPr="009664F4">
        <w:rPr>
          <w:rStyle w:val="FootnoteReference"/>
          <w:lang w:val="en-GB"/>
        </w:rPr>
        <w:footnoteRef/>
      </w:r>
      <w:r w:rsidRPr="009664F4">
        <w:rPr>
          <w:lang w:val="en-GB"/>
        </w:rPr>
        <w:t xml:space="preserve"> Dominican Republic's appellant's submission, para. 700. </w:t>
      </w:r>
    </w:p>
  </w:footnote>
  <w:footnote w:id="62">
    <w:p w14:paraId="1704BB5A" w14:textId="5B60C430" w:rsidR="003607B4" w:rsidRPr="009664F4" w:rsidRDefault="003607B4">
      <w:pPr>
        <w:pStyle w:val="FootnoteText"/>
        <w:rPr>
          <w:lang w:val="en-GB"/>
        </w:rPr>
      </w:pPr>
      <w:r w:rsidRPr="009664F4">
        <w:rPr>
          <w:rStyle w:val="FootnoteReference"/>
          <w:lang w:val="en-GB"/>
        </w:rPr>
        <w:footnoteRef/>
      </w:r>
      <w:r w:rsidRPr="009664F4">
        <w:rPr>
          <w:lang w:val="en-GB"/>
        </w:rPr>
        <w:t xml:space="preserve"> Dominican Republic's appellant's submission, para. 740. </w:t>
      </w:r>
    </w:p>
  </w:footnote>
  <w:footnote w:id="63">
    <w:p w14:paraId="2183B8B8" w14:textId="4E5E7311"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paras. 7.657, 7.436.</w:t>
      </w:r>
    </w:p>
  </w:footnote>
  <w:footnote w:id="64">
    <w:p w14:paraId="567141F9" w14:textId="061C5F27" w:rsidR="003607B4" w:rsidRPr="009664F4" w:rsidRDefault="003607B4" w:rsidP="006C4532">
      <w:pPr>
        <w:pStyle w:val="FootnoteText"/>
        <w:rPr>
          <w:lang w:val="en-GB"/>
        </w:rPr>
      </w:pPr>
      <w:r w:rsidRPr="009664F4">
        <w:rPr>
          <w:rStyle w:val="FootnoteReference"/>
          <w:lang w:val="en-GB"/>
        </w:rPr>
        <w:footnoteRef/>
      </w:r>
      <w:r w:rsidRPr="009664F4">
        <w:rPr>
          <w:lang w:val="en-GB"/>
        </w:rPr>
        <w:t xml:space="preserve"> Ajzen</w:t>
      </w:r>
      <w:r w:rsidR="00DA39CA" w:rsidRPr="009664F4">
        <w:rPr>
          <w:lang w:val="en-GB"/>
        </w:rPr>
        <w:t xml:space="preserve"> et al. Data Report (</w:t>
      </w:r>
      <w:r w:rsidRPr="009664F4">
        <w:rPr>
          <w:lang w:val="en-GB"/>
        </w:rPr>
        <w:t>DOM/IDN-2</w:t>
      </w:r>
      <w:r w:rsidR="00DA39CA" w:rsidRPr="009664F4">
        <w:rPr>
          <w:lang w:val="en-GB"/>
        </w:rPr>
        <w:t>)</w:t>
      </w:r>
      <w:r w:rsidRPr="009664F4">
        <w:rPr>
          <w:lang w:val="en-GB"/>
        </w:rPr>
        <w:t xml:space="preserve">, paras. 90 and 106. </w:t>
      </w:r>
    </w:p>
  </w:footnote>
  <w:footnote w:id="65">
    <w:p w14:paraId="1272476D" w14:textId="4DD4FC40" w:rsidR="003607B4" w:rsidRPr="009664F4" w:rsidRDefault="003607B4">
      <w:pPr>
        <w:pStyle w:val="FootnoteText"/>
        <w:rPr>
          <w:lang w:val="en-GB"/>
        </w:rPr>
      </w:pPr>
      <w:r w:rsidRPr="009664F4">
        <w:rPr>
          <w:rStyle w:val="FootnoteReference"/>
          <w:lang w:val="en-GB"/>
        </w:rPr>
        <w:footnoteRef/>
      </w:r>
      <w:r w:rsidRPr="009664F4">
        <w:rPr>
          <w:lang w:val="en-GB"/>
        </w:rPr>
        <w:t xml:space="preserve"> Honduras's appellant's submission, para. 800. </w:t>
      </w:r>
    </w:p>
  </w:footnote>
  <w:footnote w:id="66">
    <w:p w14:paraId="0FD95F60" w14:textId="447664CA" w:rsidR="003607B4" w:rsidRPr="009664F4" w:rsidRDefault="003607B4">
      <w:pPr>
        <w:pStyle w:val="FootnoteText"/>
        <w:rPr>
          <w:lang w:val="en-GB"/>
        </w:rPr>
      </w:pPr>
      <w:r w:rsidRPr="009664F4">
        <w:rPr>
          <w:rStyle w:val="FootnoteReference"/>
          <w:lang w:val="en-GB"/>
        </w:rPr>
        <w:footnoteRef/>
      </w:r>
      <w:r w:rsidRPr="009664F4">
        <w:rPr>
          <w:lang w:val="en-GB"/>
        </w:rPr>
        <w:t xml:space="preserve"> Honduras's appellant's submission, para. 801.  </w:t>
      </w:r>
    </w:p>
  </w:footnote>
  <w:footnote w:id="67">
    <w:p w14:paraId="7D8F0FA6" w14:textId="0326CE52" w:rsidR="003607B4" w:rsidRPr="009664F4" w:rsidRDefault="003607B4">
      <w:pPr>
        <w:pStyle w:val="FootnoteText"/>
        <w:rPr>
          <w:lang w:val="en-GB"/>
        </w:rPr>
      </w:pPr>
      <w:r w:rsidRPr="009664F4">
        <w:rPr>
          <w:rStyle w:val="FootnoteReference"/>
          <w:lang w:val="en-GB"/>
        </w:rPr>
        <w:footnoteRef/>
      </w:r>
      <w:r w:rsidRPr="009664F4">
        <w:rPr>
          <w:lang w:val="en-GB"/>
        </w:rPr>
        <w:t xml:space="preserve"> Dominican Republic's appellant's submission, para. 747-779; Honduras's appellant's submission, paras. 806-814.  </w:t>
      </w:r>
    </w:p>
  </w:footnote>
  <w:footnote w:id="68">
    <w:p w14:paraId="0C81CADE" w14:textId="77777777" w:rsidR="003607B4" w:rsidRPr="009664F4" w:rsidRDefault="003607B4" w:rsidP="00C24274">
      <w:pPr>
        <w:pStyle w:val="FootnoteText"/>
        <w:rPr>
          <w:rFonts w:cs="Times New Roman"/>
          <w:szCs w:val="20"/>
          <w:lang w:val="en-GB"/>
        </w:rPr>
      </w:pPr>
      <w:r w:rsidRPr="009664F4">
        <w:rPr>
          <w:rStyle w:val="FootnoteReference"/>
          <w:rFonts w:cs="Times New Roman"/>
          <w:sz w:val="20"/>
          <w:szCs w:val="20"/>
          <w:lang w:val="en-GB"/>
        </w:rPr>
        <w:footnoteRef/>
      </w:r>
      <w:r w:rsidRPr="009664F4">
        <w:rPr>
          <w:rFonts w:cs="Times New Roman"/>
          <w:szCs w:val="20"/>
          <w:lang w:val="en-GB"/>
        </w:rPr>
        <w:t xml:space="preserve"> Panel Report, para. 7.1036 (emphasis added).</w:t>
      </w:r>
    </w:p>
  </w:footnote>
  <w:footnote w:id="69">
    <w:p w14:paraId="04F2A993" w14:textId="5DC33D95"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7.955; Panel Report, Appendix A, para. 29. </w:t>
      </w:r>
    </w:p>
  </w:footnote>
  <w:footnote w:id="70">
    <w:p w14:paraId="143AC1F0" w14:textId="6BCC20AE"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7.954. </w:t>
      </w:r>
    </w:p>
  </w:footnote>
  <w:footnote w:id="71">
    <w:p w14:paraId="6FD6CBB6" w14:textId="45BB530D" w:rsidR="003607B4" w:rsidRPr="009664F4" w:rsidRDefault="003607B4" w:rsidP="00E64F5F">
      <w:pPr>
        <w:pStyle w:val="FootnoteText"/>
        <w:rPr>
          <w:lang w:val="en-GB"/>
        </w:rPr>
      </w:pPr>
      <w:r w:rsidRPr="009664F4">
        <w:rPr>
          <w:rStyle w:val="FootnoteReference"/>
          <w:lang w:val="en-GB"/>
        </w:rPr>
        <w:footnoteRef/>
      </w:r>
      <w:r w:rsidRPr="009664F4">
        <w:rPr>
          <w:lang w:val="en-GB"/>
        </w:rPr>
        <w:t xml:space="preserve"> Panel Report, Appendix B, para. 118 (the Panel noted that the survey data used in the studies may be more suited to analysing the impact of the TPP measures and enlarged GHWs on "proximal" outcomes than more "distal" outcomes, especially because none of the survey datasets "track non-smokers who might have taken up smoking in the absence of the TPP measures and enlarged GHWs.").  </w:t>
      </w:r>
    </w:p>
  </w:footnote>
  <w:footnote w:id="72">
    <w:p w14:paraId="3377FEB4" w14:textId="41584BFC"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7.963. </w:t>
      </w:r>
    </w:p>
  </w:footnote>
  <w:footnote w:id="73">
    <w:p w14:paraId="08E769B9" w14:textId="4C3D7C04" w:rsidR="003607B4" w:rsidRPr="009664F4" w:rsidRDefault="003607B4">
      <w:pPr>
        <w:pStyle w:val="FootnoteText"/>
        <w:rPr>
          <w:lang w:val="en-GB"/>
        </w:rPr>
      </w:pPr>
      <w:r w:rsidRPr="009664F4">
        <w:rPr>
          <w:rStyle w:val="FootnoteReference"/>
          <w:lang w:val="en-GB"/>
        </w:rPr>
        <w:footnoteRef/>
      </w:r>
      <w:r w:rsidRPr="009664F4">
        <w:rPr>
          <w:lang w:val="en-GB"/>
        </w:rPr>
        <w:t xml:space="preserve"> Panel Report, para. 7.941.  The Panel noted that it was not persuaded that the examples cited by the complainants to support this argument were directly transposable to the effects of the TPP measures on relevant behavioural outcomes.</w:t>
      </w:r>
    </w:p>
  </w:footnote>
  <w:footnote w:id="74">
    <w:p w14:paraId="6A99028D" w14:textId="1A4E8C22" w:rsidR="003607B4" w:rsidRPr="009664F4" w:rsidRDefault="003607B4">
      <w:pPr>
        <w:pStyle w:val="FootnoteText"/>
        <w:rPr>
          <w:lang w:val="en-GB"/>
        </w:rPr>
      </w:pPr>
      <w:r w:rsidRPr="009664F4">
        <w:rPr>
          <w:rStyle w:val="FootnoteReference"/>
          <w:lang w:val="en-GB"/>
        </w:rPr>
        <w:footnoteRef/>
      </w:r>
      <w:r w:rsidRPr="009664F4">
        <w:rPr>
          <w:lang w:val="en-GB"/>
        </w:rPr>
        <w:t xml:space="preserve"> See, e.g. Dominican Republic's appellant submission, paras. 893-919; Honduras's appellant submission, paras. 755-794.  </w:t>
      </w:r>
    </w:p>
  </w:footnote>
  <w:footnote w:id="75">
    <w:p w14:paraId="10429764" w14:textId="769289BF" w:rsidR="003607B4" w:rsidRPr="009664F4" w:rsidRDefault="003607B4">
      <w:pPr>
        <w:pStyle w:val="FootnoteText"/>
        <w:rPr>
          <w:lang w:val="en-GB"/>
        </w:rPr>
      </w:pPr>
      <w:r w:rsidRPr="009664F4">
        <w:rPr>
          <w:rStyle w:val="FootnoteReference"/>
          <w:lang w:val="en-GB"/>
        </w:rPr>
        <w:footnoteRef/>
      </w:r>
      <w:r w:rsidRPr="009664F4">
        <w:rPr>
          <w:lang w:val="en-GB"/>
        </w:rPr>
        <w:t xml:space="preserve"> See, e.g. Dominican Republic's appellant's submission, paras. 877-878, 881; Honduras's appellant's submission, paras. 773-775.  </w:t>
      </w:r>
    </w:p>
  </w:footnote>
  <w:footnote w:id="76">
    <w:p w14:paraId="3FDD0801" w14:textId="30876FC4" w:rsidR="003607B4" w:rsidRPr="009664F4" w:rsidRDefault="003607B4">
      <w:pPr>
        <w:pStyle w:val="FootnoteText"/>
        <w:rPr>
          <w:lang w:val="en-GB"/>
        </w:rPr>
      </w:pPr>
      <w:r w:rsidRPr="009664F4">
        <w:rPr>
          <w:rStyle w:val="FootnoteReference"/>
          <w:lang w:val="en-GB"/>
        </w:rPr>
        <w:footnoteRef/>
      </w:r>
      <w:r w:rsidRPr="009664F4">
        <w:rPr>
          <w:lang w:val="en-GB"/>
        </w:rPr>
        <w:t xml:space="preserve"> Dominican Republic's appellant's submission, section II.F.3.c.  </w:t>
      </w:r>
    </w:p>
  </w:footnote>
  <w:footnote w:id="77">
    <w:p w14:paraId="60AE9492" w14:textId="15A2B44A" w:rsidR="003607B4" w:rsidRPr="009664F4" w:rsidRDefault="003607B4">
      <w:pPr>
        <w:pStyle w:val="FootnoteText"/>
        <w:rPr>
          <w:lang w:val="en-GB"/>
        </w:rPr>
      </w:pPr>
      <w:r w:rsidRPr="009664F4">
        <w:rPr>
          <w:rStyle w:val="FootnoteReference"/>
          <w:lang w:val="en-GB"/>
        </w:rPr>
        <w:footnoteRef/>
      </w:r>
      <w:r w:rsidRPr="009664F4">
        <w:rPr>
          <w:lang w:val="en-GB"/>
        </w:rPr>
        <w:t xml:space="preserve"> The Dominican Republic expressly acknowledges in relation to its first "robustness claim" that "[f]rom a 'big picture' perspective, this difference [in duration of the statistically significant increase in calls to Quitline] is not material to an assessment of the success of the TPP measures."  </w:t>
      </w:r>
      <w:r w:rsidRPr="009664F4">
        <w:rPr>
          <w:rFonts w:cs="Times New Roman"/>
          <w:szCs w:val="20"/>
          <w:lang w:val="en-GB"/>
        </w:rPr>
        <w:t>Dominican Republic's appellant's submission, para. 971.</w:t>
      </w:r>
      <w:r w:rsidRPr="009664F4">
        <w:rPr>
          <w:lang w:val="en-GB"/>
        </w:rPr>
        <w:t xml:space="preserve">  Nonetheless, the Dominican Republic devotes nearly </w:t>
      </w:r>
      <w:r w:rsidRPr="009664F4">
        <w:rPr>
          <w:i/>
          <w:lang w:val="en-GB"/>
        </w:rPr>
        <w:t>20 pages</w:t>
      </w:r>
      <w:r w:rsidRPr="009664F4">
        <w:rPr>
          <w:lang w:val="en-GB"/>
        </w:rPr>
        <w:t xml:space="preserve"> of its appellant submission to its argument that the Panel erred in its assessment of the Quitline calls evidence.</w:t>
      </w:r>
    </w:p>
  </w:footnote>
  <w:footnote w:id="78">
    <w:p w14:paraId="701DF0BE" w14:textId="77777777" w:rsidR="007035D1" w:rsidRPr="009664F4" w:rsidRDefault="007035D1" w:rsidP="007035D1">
      <w:pPr>
        <w:pStyle w:val="FootnoteText"/>
        <w:rPr>
          <w:szCs w:val="20"/>
          <w:lang w:val="en-GB"/>
        </w:rPr>
      </w:pPr>
      <w:r w:rsidRPr="009664F4">
        <w:rPr>
          <w:rStyle w:val="FootnoteReference"/>
          <w:sz w:val="20"/>
          <w:szCs w:val="20"/>
          <w:lang w:val="en-GB"/>
        </w:rPr>
        <w:footnoteRef/>
      </w:r>
      <w:r w:rsidRPr="009664F4">
        <w:rPr>
          <w:szCs w:val="20"/>
          <w:lang w:val="en-GB"/>
        </w:rPr>
        <w:t xml:space="preserve"> Panel Report, para. 7.971(b); Panel Report, para. 7.977(b).</w:t>
      </w:r>
    </w:p>
  </w:footnote>
  <w:footnote w:id="79">
    <w:p w14:paraId="47A991D9" w14:textId="77777777" w:rsidR="007035D1" w:rsidRPr="009664F4" w:rsidRDefault="007035D1" w:rsidP="007035D1">
      <w:pPr>
        <w:pStyle w:val="FootnoteText"/>
        <w:rPr>
          <w:szCs w:val="20"/>
          <w:lang w:val="en-GB"/>
        </w:rPr>
      </w:pPr>
      <w:r w:rsidRPr="009664F4">
        <w:rPr>
          <w:rStyle w:val="FootnoteReference"/>
          <w:sz w:val="20"/>
          <w:szCs w:val="20"/>
          <w:lang w:val="en-GB"/>
        </w:rPr>
        <w:footnoteRef/>
      </w:r>
      <w:r w:rsidRPr="009664F4">
        <w:rPr>
          <w:szCs w:val="20"/>
          <w:lang w:val="en-GB"/>
        </w:rPr>
        <w:t xml:space="preserve"> Panel Report, para. 7.971(c); Panel Report, para. 7.977(c).</w:t>
      </w:r>
    </w:p>
  </w:footnote>
  <w:footnote w:id="80">
    <w:p w14:paraId="4F4D102B" w14:textId="77777777" w:rsidR="007035D1" w:rsidRPr="009664F4" w:rsidRDefault="007035D1" w:rsidP="007035D1">
      <w:pPr>
        <w:pStyle w:val="FootnoteText"/>
        <w:rPr>
          <w:lang w:val="en-GB"/>
        </w:rPr>
      </w:pPr>
      <w:r w:rsidRPr="009664F4">
        <w:rPr>
          <w:rStyle w:val="FootnoteReference"/>
          <w:lang w:val="en-GB"/>
        </w:rPr>
        <w:footnoteRef/>
      </w:r>
      <w:r w:rsidRPr="009664F4">
        <w:rPr>
          <w:lang w:val="en-GB"/>
        </w:rPr>
        <w:t xml:space="preserve"> Panel Report, Appendix C, para. 5; Panel Report, Appendix D, para. 6.</w:t>
      </w:r>
    </w:p>
  </w:footnote>
  <w:footnote w:id="81">
    <w:p w14:paraId="5A720F65" w14:textId="77777777" w:rsidR="007035D1" w:rsidRPr="009664F4" w:rsidRDefault="007035D1" w:rsidP="007035D1">
      <w:pPr>
        <w:pStyle w:val="FootnoteText"/>
        <w:rPr>
          <w:lang w:val="en-GB"/>
        </w:rPr>
      </w:pPr>
      <w:r w:rsidRPr="009664F4">
        <w:rPr>
          <w:rStyle w:val="FootnoteReference"/>
          <w:lang w:val="en-GB"/>
        </w:rPr>
        <w:footnoteRef/>
      </w:r>
      <w:r w:rsidRPr="009664F4">
        <w:rPr>
          <w:lang w:val="en-GB"/>
        </w:rPr>
        <w:t xml:space="preserve"> Panel Report, Appendix C, para. 5; Panel Report, Appendix D, para. 6.</w:t>
      </w:r>
    </w:p>
  </w:footnote>
  <w:footnote w:id="82">
    <w:p w14:paraId="64C5845C" w14:textId="77777777" w:rsidR="007035D1" w:rsidRPr="009664F4" w:rsidRDefault="007035D1" w:rsidP="007035D1">
      <w:pPr>
        <w:pStyle w:val="FootnoteText"/>
        <w:rPr>
          <w:lang w:val="en-GB"/>
        </w:rPr>
      </w:pPr>
      <w:r w:rsidRPr="009664F4">
        <w:rPr>
          <w:rStyle w:val="FootnoteReference"/>
          <w:lang w:val="en-GB"/>
        </w:rPr>
        <w:footnoteRef/>
      </w:r>
      <w:r w:rsidRPr="009664F4">
        <w:rPr>
          <w:lang w:val="en-GB"/>
        </w:rPr>
        <w:t xml:space="preserve"> Panel Report, Appendix C, para. 5; Panel Report, Appendix D, para. 6.</w:t>
      </w:r>
    </w:p>
  </w:footnote>
  <w:footnote w:id="83">
    <w:p w14:paraId="0873A221" w14:textId="77777777" w:rsidR="007035D1" w:rsidRPr="009664F4" w:rsidRDefault="007035D1" w:rsidP="007035D1">
      <w:pPr>
        <w:pStyle w:val="FootnoteText"/>
        <w:rPr>
          <w:lang w:val="en-GB"/>
        </w:rPr>
      </w:pPr>
      <w:r w:rsidRPr="009664F4">
        <w:rPr>
          <w:rStyle w:val="FootnoteReference"/>
          <w:lang w:val="en-GB"/>
        </w:rPr>
        <w:footnoteRef/>
      </w:r>
      <w:r w:rsidRPr="009664F4">
        <w:rPr>
          <w:lang w:val="en-GB"/>
        </w:rPr>
        <w:t xml:space="preserve"> Panel Report, Appendix D, para. 115; Appendix C, para. 120.</w:t>
      </w:r>
    </w:p>
  </w:footnote>
  <w:footnote w:id="84">
    <w:p w14:paraId="571F8442" w14:textId="77777777" w:rsidR="007035D1" w:rsidRPr="009664F4" w:rsidRDefault="007035D1" w:rsidP="007035D1">
      <w:pPr>
        <w:pStyle w:val="FootnoteText"/>
        <w:rPr>
          <w:lang w:val="en-GB"/>
        </w:rPr>
      </w:pPr>
      <w:r w:rsidRPr="009664F4">
        <w:rPr>
          <w:rStyle w:val="FootnoteReference"/>
          <w:lang w:val="en-GB"/>
        </w:rPr>
        <w:footnoteRef/>
      </w:r>
      <w:r w:rsidRPr="009664F4">
        <w:rPr>
          <w:lang w:val="en-GB"/>
        </w:rPr>
        <w:t xml:space="preserve"> Panel Report, Appendix C, para. 123(c); Appendix D, 137(c).</w:t>
      </w:r>
    </w:p>
  </w:footnote>
  <w:footnote w:id="85">
    <w:p w14:paraId="6F21C19F" w14:textId="35B9F1E7" w:rsidR="007035D1" w:rsidRPr="009664F4" w:rsidRDefault="007035D1" w:rsidP="007035D1">
      <w:pPr>
        <w:pStyle w:val="FootnoteText"/>
        <w:rPr>
          <w:lang w:val="en-GB"/>
        </w:rPr>
      </w:pPr>
      <w:r w:rsidRPr="009664F4">
        <w:rPr>
          <w:rStyle w:val="FootnoteReference"/>
          <w:lang w:val="en-GB"/>
        </w:rPr>
        <w:footnoteRef/>
      </w:r>
      <w:r w:rsidRPr="009664F4">
        <w:rPr>
          <w:lang w:val="en-GB"/>
        </w:rPr>
        <w:t xml:space="preserve"> Appellate Body Report, </w:t>
      </w:r>
      <w:r w:rsidR="00504B61" w:rsidRPr="009664F4">
        <w:rPr>
          <w:i/>
          <w:lang w:val="en-GB"/>
        </w:rPr>
        <w:t>US – Upland Cotton (Article </w:t>
      </w:r>
      <w:r w:rsidRPr="009664F4">
        <w:rPr>
          <w:i/>
          <w:lang w:val="en-GB"/>
        </w:rPr>
        <w:t>21.5 – Brazil),</w:t>
      </w:r>
      <w:r w:rsidRPr="009664F4">
        <w:rPr>
          <w:lang w:val="en-GB"/>
        </w:rPr>
        <w:t xml:space="preserve"> para. 357.</w:t>
      </w:r>
    </w:p>
  </w:footnote>
  <w:footnote w:id="86">
    <w:p w14:paraId="7D0DF54E" w14:textId="77777777" w:rsidR="007035D1" w:rsidRPr="009664F4" w:rsidRDefault="007035D1" w:rsidP="007035D1">
      <w:pPr>
        <w:pStyle w:val="FootnoteText"/>
        <w:rPr>
          <w:szCs w:val="20"/>
          <w:lang w:val="en-GB"/>
        </w:rPr>
      </w:pPr>
      <w:r w:rsidRPr="009664F4">
        <w:rPr>
          <w:rStyle w:val="FootnoteReference"/>
          <w:sz w:val="20"/>
          <w:szCs w:val="20"/>
          <w:lang w:val="en-GB"/>
        </w:rPr>
        <w:footnoteRef/>
      </w:r>
      <w:r w:rsidRPr="009664F4">
        <w:rPr>
          <w:szCs w:val="20"/>
          <w:lang w:val="en-GB"/>
        </w:rPr>
        <w:t xml:space="preserve"> See e.g. Appellate Body Report, </w:t>
      </w:r>
      <w:r w:rsidRPr="009664F4">
        <w:rPr>
          <w:i/>
          <w:szCs w:val="20"/>
          <w:lang w:val="en-GB"/>
        </w:rPr>
        <w:t>US – Tuna II (Article 21.5 – Mexico),</w:t>
      </w:r>
      <w:r w:rsidRPr="009664F4">
        <w:rPr>
          <w:szCs w:val="20"/>
          <w:lang w:val="en-GB"/>
        </w:rPr>
        <w:t xml:space="preserve"> para. 7.177.  </w:t>
      </w:r>
    </w:p>
  </w:footnote>
  <w:footnote w:id="87">
    <w:p w14:paraId="1B88BDFB" w14:textId="77777777" w:rsidR="007035D1" w:rsidRPr="009664F4" w:rsidRDefault="007035D1" w:rsidP="007035D1">
      <w:pPr>
        <w:pStyle w:val="FootnoteText"/>
        <w:rPr>
          <w:szCs w:val="20"/>
          <w:lang w:val="en-GB"/>
        </w:rPr>
      </w:pPr>
      <w:r w:rsidRPr="009664F4">
        <w:rPr>
          <w:rStyle w:val="FootnoteReference"/>
          <w:sz w:val="20"/>
          <w:szCs w:val="20"/>
          <w:lang w:val="en-GB"/>
        </w:rPr>
        <w:footnoteRef/>
      </w:r>
      <w:r w:rsidRPr="009664F4">
        <w:rPr>
          <w:szCs w:val="20"/>
          <w:lang w:val="en-GB"/>
        </w:rPr>
        <w:t xml:space="preserve"> Appellate Body Report, </w:t>
      </w:r>
      <w:r w:rsidRPr="009664F4">
        <w:rPr>
          <w:i/>
          <w:szCs w:val="20"/>
          <w:lang w:val="en-GB"/>
        </w:rPr>
        <w:t>US – Tuna II (Article 21.5 – Mexico),</w:t>
      </w:r>
      <w:r w:rsidRPr="009664F4">
        <w:rPr>
          <w:szCs w:val="20"/>
          <w:lang w:val="en-GB"/>
        </w:rPr>
        <w:t xml:space="preserve"> para. 7.177.</w:t>
      </w:r>
    </w:p>
  </w:footnote>
  <w:footnote w:id="88">
    <w:p w14:paraId="30D46562" w14:textId="4224EDE8" w:rsidR="00703E91" w:rsidRPr="009664F4" w:rsidRDefault="00703E91" w:rsidP="00703E91">
      <w:pPr>
        <w:pStyle w:val="FootnoteText"/>
        <w:rPr>
          <w:lang w:val="en-GB"/>
        </w:rPr>
      </w:pPr>
      <w:r w:rsidRPr="009664F4">
        <w:rPr>
          <w:rStyle w:val="FootnoteReference"/>
          <w:lang w:val="en-GB"/>
        </w:rPr>
        <w:footnoteRef/>
      </w:r>
      <w:r w:rsidRPr="009664F4">
        <w:rPr>
          <w:lang w:val="en-GB"/>
        </w:rPr>
        <w:t xml:space="preserve"> Pursuant to the </w:t>
      </w:r>
      <w:r w:rsidRPr="009664F4">
        <w:rPr>
          <w:i/>
          <w:iCs/>
          <w:lang w:val="en-GB"/>
        </w:rPr>
        <w:t>Guidelines in Respect of Executive Summaries of Written Submissions</w:t>
      </w:r>
      <w:r w:rsidRPr="009664F4">
        <w:rPr>
          <w:lang w:val="en-GB"/>
        </w:rPr>
        <w:t xml:space="preserve">, WT/AB/23 (11 March 2015), Australia indicates that </w:t>
      </w:r>
      <w:r w:rsidR="002171F7">
        <w:rPr>
          <w:lang w:val="en-GB"/>
        </w:rPr>
        <w:t xml:space="preserve">this executive summary contains 11,767 </w:t>
      </w:r>
      <w:r w:rsidRPr="009664F4">
        <w:rPr>
          <w:lang w:val="en-GB"/>
        </w:rPr>
        <w:t xml:space="preserve">words (including footnotes), and that this is ten percent </w:t>
      </w:r>
      <w:r w:rsidR="002171F7">
        <w:rPr>
          <w:lang w:val="en-GB"/>
        </w:rPr>
        <w:t xml:space="preserve">or less </w:t>
      </w:r>
      <w:r w:rsidRPr="009664F4">
        <w:rPr>
          <w:lang w:val="en-GB"/>
        </w:rPr>
        <w:t>of the total word count of Australia</w:t>
      </w:r>
      <w:r w:rsidR="000C6BAA">
        <w:rPr>
          <w:lang w:val="en-GB"/>
        </w:rPr>
        <w:t>'</w:t>
      </w:r>
      <w:r w:rsidRPr="009664F4">
        <w:rPr>
          <w:lang w:val="en-GB"/>
        </w:rPr>
        <w:t>s appellee</w:t>
      </w:r>
      <w:r w:rsidR="00D07BBE">
        <w:rPr>
          <w:lang w:val="en-GB"/>
        </w:rPr>
        <w:t xml:space="preserve"> </w:t>
      </w:r>
      <w:r w:rsidR="002171F7">
        <w:rPr>
          <w:lang w:val="en-GB"/>
        </w:rPr>
        <w:t>submission, which is 129,096 words.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3EA68" w14:textId="77777777" w:rsidR="00AB17E0" w:rsidRDefault="00AB1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single" w:sz="4" w:space="0" w:color="auto"/>
      </w:tblBorders>
      <w:tblLook w:val="01E0" w:firstRow="1" w:lastRow="1" w:firstColumn="1" w:lastColumn="1" w:noHBand="0" w:noVBand="0"/>
    </w:tblPr>
    <w:tblGrid>
      <w:gridCol w:w="4221"/>
      <w:gridCol w:w="4187"/>
    </w:tblGrid>
    <w:tr w:rsidR="007C6993" w:rsidRPr="00C43A12" w14:paraId="280D9B7D" w14:textId="77777777" w:rsidTr="00C46E1A">
      <w:tc>
        <w:tcPr>
          <w:tcW w:w="4221" w:type="dxa"/>
          <w:shd w:val="clear" w:color="auto" w:fill="auto"/>
        </w:tcPr>
        <w:p w14:paraId="36ABAFE0" w14:textId="77777777" w:rsidR="007C6993" w:rsidRDefault="007C6993" w:rsidP="00C46E1A">
          <w:pPr>
            <w:tabs>
              <w:tab w:val="center" w:pos="4320"/>
              <w:tab w:val="right" w:pos="8640"/>
            </w:tabs>
            <w:rPr>
              <w:rFonts w:eastAsia="Times New Roman" w:cs="Times New Roman"/>
              <w:i/>
              <w:sz w:val="18"/>
              <w:lang w:val="en-US"/>
            </w:rPr>
          </w:pPr>
          <w:r>
            <w:rPr>
              <w:rFonts w:eastAsia="Times New Roman" w:cs="Times New Roman"/>
              <w:i/>
              <w:sz w:val="18"/>
              <w:lang w:val="en-US"/>
            </w:rPr>
            <w:t>Australia – Tobacco Plain Packaging (WT/DS441/DS435)</w:t>
          </w:r>
        </w:p>
        <w:p w14:paraId="7386E6E9" w14:textId="77777777" w:rsidR="007C6993" w:rsidRPr="009F0F49" w:rsidRDefault="007C6993" w:rsidP="00C46E1A">
          <w:pPr>
            <w:tabs>
              <w:tab w:val="center" w:pos="4320"/>
              <w:tab w:val="right" w:pos="8640"/>
            </w:tabs>
            <w:rPr>
              <w:rFonts w:eastAsia="Times New Roman" w:cs="Times New Roman"/>
              <w:i/>
              <w:sz w:val="8"/>
              <w:szCs w:val="8"/>
              <w:lang w:val="en-US"/>
            </w:rPr>
          </w:pPr>
        </w:p>
      </w:tc>
      <w:tc>
        <w:tcPr>
          <w:tcW w:w="4187" w:type="dxa"/>
          <w:shd w:val="clear" w:color="auto" w:fill="auto"/>
        </w:tcPr>
        <w:p w14:paraId="23B306DF" w14:textId="69C80CCC" w:rsidR="00C43A12" w:rsidRPr="00C43A12" w:rsidRDefault="00C43A12" w:rsidP="00C46E1A">
          <w:pPr>
            <w:tabs>
              <w:tab w:val="center" w:pos="4320"/>
              <w:tab w:val="right" w:pos="8640"/>
            </w:tabs>
            <w:jc w:val="right"/>
            <w:rPr>
              <w:rFonts w:eastAsia="Times New Roman" w:cs="Times New Roman"/>
              <w:sz w:val="18"/>
              <w:lang w:val="en-US"/>
            </w:rPr>
          </w:pPr>
          <w:r w:rsidRPr="00C43A12">
            <w:rPr>
              <w:rFonts w:eastAsia="Times New Roman" w:cs="Times New Roman"/>
              <w:bCs/>
              <w:sz w:val="18"/>
            </w:rPr>
            <w:t>Executive Summary of Australia</w:t>
          </w:r>
          <w:r>
            <w:rPr>
              <w:rFonts w:eastAsia="Times New Roman" w:cs="Times New Roman"/>
              <w:bCs/>
              <w:sz w:val="18"/>
            </w:rPr>
            <w:t>'s</w:t>
          </w:r>
          <w:r w:rsidRPr="00C43A12">
            <w:rPr>
              <w:rFonts w:eastAsia="Times New Roman" w:cs="Times New Roman"/>
              <w:bCs/>
              <w:sz w:val="18"/>
            </w:rPr>
            <w:t xml:space="preserve"> </w:t>
          </w:r>
          <w:r>
            <w:rPr>
              <w:rFonts w:eastAsia="Times New Roman" w:cs="Times New Roman"/>
              <w:bCs/>
              <w:sz w:val="18"/>
            </w:rPr>
            <w:br/>
          </w:r>
          <w:r w:rsidR="002171F7">
            <w:rPr>
              <w:rFonts w:eastAsia="Times New Roman" w:cs="Times New Roman"/>
              <w:bCs/>
              <w:sz w:val="18"/>
            </w:rPr>
            <w:t xml:space="preserve">Appellee </w:t>
          </w:r>
          <w:r w:rsidRPr="00C43A12">
            <w:rPr>
              <w:rFonts w:eastAsia="Times New Roman" w:cs="Times New Roman"/>
              <w:bCs/>
              <w:sz w:val="18"/>
            </w:rPr>
            <w:t>Submission</w:t>
          </w:r>
        </w:p>
        <w:p w14:paraId="7AFF1D22" w14:textId="77777777" w:rsidR="007C6993" w:rsidRPr="00C43A12" w:rsidRDefault="007C6993" w:rsidP="00C46E1A">
          <w:pPr>
            <w:tabs>
              <w:tab w:val="center" w:pos="4320"/>
              <w:tab w:val="right" w:pos="8640"/>
            </w:tabs>
            <w:jc w:val="right"/>
            <w:rPr>
              <w:rFonts w:eastAsia="Times New Roman" w:cs="Times New Roman"/>
              <w:sz w:val="18"/>
              <w:lang w:val="en-US"/>
            </w:rPr>
          </w:pPr>
          <w:r w:rsidRPr="00C43A12">
            <w:rPr>
              <w:rFonts w:eastAsia="Times New Roman" w:cs="Times New Roman"/>
              <w:sz w:val="18"/>
              <w:lang w:val="en-US"/>
            </w:rPr>
            <w:t>2 October 2018</w:t>
          </w:r>
        </w:p>
      </w:tc>
    </w:tr>
  </w:tbl>
  <w:p w14:paraId="2D12C0BC" w14:textId="77777777" w:rsidR="007C6993" w:rsidRPr="003469E2" w:rsidRDefault="007C6993" w:rsidP="00346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C8D4" w14:textId="77777777" w:rsidR="00AB17E0" w:rsidRDefault="00AB1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9235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7B2B2C"/>
    <w:multiLevelType w:val="hybridMultilevel"/>
    <w:tmpl w:val="913C0E06"/>
    <w:lvl w:ilvl="0" w:tplc="5C742604">
      <w:start w:val="1"/>
      <w:numFmt w:val="decimal"/>
      <w:pStyle w:val="WTONumbered"/>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809E1"/>
    <w:multiLevelType w:val="multilevel"/>
    <w:tmpl w:val="542A453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1"/>
  </w:num>
  <w:num w:numId="2">
    <w:abstractNumId w:val="2"/>
  </w:num>
  <w:num w:numId="3">
    <w:abstractNumId w:val="2"/>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25"/>
    <w:rsid w:val="0000243B"/>
    <w:rsid w:val="00004214"/>
    <w:rsid w:val="00004A3E"/>
    <w:rsid w:val="00004B9E"/>
    <w:rsid w:val="00005149"/>
    <w:rsid w:val="00006E45"/>
    <w:rsid w:val="00010B45"/>
    <w:rsid w:val="00011328"/>
    <w:rsid w:val="0001254E"/>
    <w:rsid w:val="00012FE2"/>
    <w:rsid w:val="00013C09"/>
    <w:rsid w:val="000172A2"/>
    <w:rsid w:val="00023487"/>
    <w:rsid w:val="000322B7"/>
    <w:rsid w:val="00036DE5"/>
    <w:rsid w:val="00037DFA"/>
    <w:rsid w:val="0004026F"/>
    <w:rsid w:val="00040B1A"/>
    <w:rsid w:val="000458AD"/>
    <w:rsid w:val="0005424B"/>
    <w:rsid w:val="000545E7"/>
    <w:rsid w:val="00065B17"/>
    <w:rsid w:val="00065C2D"/>
    <w:rsid w:val="000667E3"/>
    <w:rsid w:val="00066EB9"/>
    <w:rsid w:val="00072D78"/>
    <w:rsid w:val="00073DE9"/>
    <w:rsid w:val="000744A5"/>
    <w:rsid w:val="00094BF1"/>
    <w:rsid w:val="00095811"/>
    <w:rsid w:val="000961EE"/>
    <w:rsid w:val="00096433"/>
    <w:rsid w:val="000A01F2"/>
    <w:rsid w:val="000A15DB"/>
    <w:rsid w:val="000A53B6"/>
    <w:rsid w:val="000A5E4B"/>
    <w:rsid w:val="000B0540"/>
    <w:rsid w:val="000B21D2"/>
    <w:rsid w:val="000B27FB"/>
    <w:rsid w:val="000B2BE4"/>
    <w:rsid w:val="000B64EA"/>
    <w:rsid w:val="000C04A3"/>
    <w:rsid w:val="000C10E8"/>
    <w:rsid w:val="000C2491"/>
    <w:rsid w:val="000C2AE9"/>
    <w:rsid w:val="000C6BAA"/>
    <w:rsid w:val="000C7A51"/>
    <w:rsid w:val="000D0378"/>
    <w:rsid w:val="000D1B7C"/>
    <w:rsid w:val="000D20A5"/>
    <w:rsid w:val="000D5742"/>
    <w:rsid w:val="000D5BA1"/>
    <w:rsid w:val="000E2E92"/>
    <w:rsid w:val="000E3CB3"/>
    <w:rsid w:val="000E58B3"/>
    <w:rsid w:val="000E6D2E"/>
    <w:rsid w:val="000E6DD1"/>
    <w:rsid w:val="00104A76"/>
    <w:rsid w:val="001067B7"/>
    <w:rsid w:val="00110F82"/>
    <w:rsid w:val="00120949"/>
    <w:rsid w:val="00121E34"/>
    <w:rsid w:val="001248CA"/>
    <w:rsid w:val="0012520C"/>
    <w:rsid w:val="00125895"/>
    <w:rsid w:val="00127287"/>
    <w:rsid w:val="00141470"/>
    <w:rsid w:val="00141C43"/>
    <w:rsid w:val="001453CA"/>
    <w:rsid w:val="0014546B"/>
    <w:rsid w:val="00147437"/>
    <w:rsid w:val="00147FDD"/>
    <w:rsid w:val="0015258B"/>
    <w:rsid w:val="00154DE7"/>
    <w:rsid w:val="00156B0E"/>
    <w:rsid w:val="00166CE1"/>
    <w:rsid w:val="001701F3"/>
    <w:rsid w:val="00173030"/>
    <w:rsid w:val="0017378F"/>
    <w:rsid w:val="001752E6"/>
    <w:rsid w:val="001767D6"/>
    <w:rsid w:val="001833A1"/>
    <w:rsid w:val="00183F3F"/>
    <w:rsid w:val="00193317"/>
    <w:rsid w:val="00194289"/>
    <w:rsid w:val="0019684B"/>
    <w:rsid w:val="001A029C"/>
    <w:rsid w:val="001B29DF"/>
    <w:rsid w:val="001B747C"/>
    <w:rsid w:val="001C09A1"/>
    <w:rsid w:val="001C0F5B"/>
    <w:rsid w:val="001C2E66"/>
    <w:rsid w:val="001C53C6"/>
    <w:rsid w:val="001C7973"/>
    <w:rsid w:val="001D273F"/>
    <w:rsid w:val="001D37C2"/>
    <w:rsid w:val="001D5DA6"/>
    <w:rsid w:val="001D7E0D"/>
    <w:rsid w:val="001E0F62"/>
    <w:rsid w:val="001E2609"/>
    <w:rsid w:val="001E2CB4"/>
    <w:rsid w:val="001E418D"/>
    <w:rsid w:val="001E587C"/>
    <w:rsid w:val="001F05CA"/>
    <w:rsid w:val="001F0C4A"/>
    <w:rsid w:val="001F0DC9"/>
    <w:rsid w:val="001F2491"/>
    <w:rsid w:val="001F37C8"/>
    <w:rsid w:val="001F3C6D"/>
    <w:rsid w:val="001F7162"/>
    <w:rsid w:val="00202CC3"/>
    <w:rsid w:val="00203E8D"/>
    <w:rsid w:val="00205C8D"/>
    <w:rsid w:val="002079CA"/>
    <w:rsid w:val="00211B9E"/>
    <w:rsid w:val="00214310"/>
    <w:rsid w:val="0021569F"/>
    <w:rsid w:val="002171F7"/>
    <w:rsid w:val="00217363"/>
    <w:rsid w:val="00217BD1"/>
    <w:rsid w:val="00220453"/>
    <w:rsid w:val="00222732"/>
    <w:rsid w:val="00222905"/>
    <w:rsid w:val="002269C4"/>
    <w:rsid w:val="0023117C"/>
    <w:rsid w:val="00232F68"/>
    <w:rsid w:val="00233E8A"/>
    <w:rsid w:val="002352E9"/>
    <w:rsid w:val="002375A8"/>
    <w:rsid w:val="00240391"/>
    <w:rsid w:val="002418C5"/>
    <w:rsid w:val="00244E25"/>
    <w:rsid w:val="00245A61"/>
    <w:rsid w:val="00246144"/>
    <w:rsid w:val="0024770C"/>
    <w:rsid w:val="00251D68"/>
    <w:rsid w:val="002566C4"/>
    <w:rsid w:val="00260824"/>
    <w:rsid w:val="00262C9F"/>
    <w:rsid w:val="00264E9D"/>
    <w:rsid w:val="00265B4C"/>
    <w:rsid w:val="00270619"/>
    <w:rsid w:val="002721B5"/>
    <w:rsid w:val="002724D4"/>
    <w:rsid w:val="00275521"/>
    <w:rsid w:val="002809AD"/>
    <w:rsid w:val="00291F1F"/>
    <w:rsid w:val="00292FAE"/>
    <w:rsid w:val="00293B87"/>
    <w:rsid w:val="0029484F"/>
    <w:rsid w:val="00296718"/>
    <w:rsid w:val="00297198"/>
    <w:rsid w:val="002A06D5"/>
    <w:rsid w:val="002A0926"/>
    <w:rsid w:val="002A097C"/>
    <w:rsid w:val="002A3C75"/>
    <w:rsid w:val="002A41E6"/>
    <w:rsid w:val="002A4B70"/>
    <w:rsid w:val="002A69F8"/>
    <w:rsid w:val="002B217E"/>
    <w:rsid w:val="002B40C7"/>
    <w:rsid w:val="002B4506"/>
    <w:rsid w:val="002C00B2"/>
    <w:rsid w:val="002C2EA0"/>
    <w:rsid w:val="002C6634"/>
    <w:rsid w:val="002C6D6F"/>
    <w:rsid w:val="002C7C17"/>
    <w:rsid w:val="002D24C2"/>
    <w:rsid w:val="002D2607"/>
    <w:rsid w:val="002E1700"/>
    <w:rsid w:val="002F4920"/>
    <w:rsid w:val="002F5AA6"/>
    <w:rsid w:val="00300FE0"/>
    <w:rsid w:val="003125CD"/>
    <w:rsid w:val="00321CCE"/>
    <w:rsid w:val="00324EB6"/>
    <w:rsid w:val="00325E5E"/>
    <w:rsid w:val="00327355"/>
    <w:rsid w:val="003314D2"/>
    <w:rsid w:val="00332AA4"/>
    <w:rsid w:val="00341A50"/>
    <w:rsid w:val="00343C9E"/>
    <w:rsid w:val="003441FF"/>
    <w:rsid w:val="003454B2"/>
    <w:rsid w:val="003460F3"/>
    <w:rsid w:val="0034767C"/>
    <w:rsid w:val="0035081B"/>
    <w:rsid w:val="003508D5"/>
    <w:rsid w:val="003509F7"/>
    <w:rsid w:val="00356A8D"/>
    <w:rsid w:val="003578BF"/>
    <w:rsid w:val="003607B4"/>
    <w:rsid w:val="00365A61"/>
    <w:rsid w:val="00370CB5"/>
    <w:rsid w:val="00370EF9"/>
    <w:rsid w:val="003739D6"/>
    <w:rsid w:val="0037502A"/>
    <w:rsid w:val="0038163F"/>
    <w:rsid w:val="00382B96"/>
    <w:rsid w:val="003840E9"/>
    <w:rsid w:val="00386766"/>
    <w:rsid w:val="003924F7"/>
    <w:rsid w:val="00395195"/>
    <w:rsid w:val="00395474"/>
    <w:rsid w:val="00395697"/>
    <w:rsid w:val="00397589"/>
    <w:rsid w:val="003A0F97"/>
    <w:rsid w:val="003A7EC2"/>
    <w:rsid w:val="003B552B"/>
    <w:rsid w:val="003B71EE"/>
    <w:rsid w:val="003B781F"/>
    <w:rsid w:val="003B7DC4"/>
    <w:rsid w:val="003C0B2F"/>
    <w:rsid w:val="003C228C"/>
    <w:rsid w:val="003C6A2E"/>
    <w:rsid w:val="003C76FC"/>
    <w:rsid w:val="003E2946"/>
    <w:rsid w:val="003F2A3B"/>
    <w:rsid w:val="003F2CD2"/>
    <w:rsid w:val="003F4354"/>
    <w:rsid w:val="003F6EE4"/>
    <w:rsid w:val="00401782"/>
    <w:rsid w:val="00412F63"/>
    <w:rsid w:val="0041487A"/>
    <w:rsid w:val="00414895"/>
    <w:rsid w:val="00415F44"/>
    <w:rsid w:val="00421C69"/>
    <w:rsid w:val="00426BB8"/>
    <w:rsid w:val="00433435"/>
    <w:rsid w:val="00435948"/>
    <w:rsid w:val="00437C18"/>
    <w:rsid w:val="00437C3F"/>
    <w:rsid w:val="00442818"/>
    <w:rsid w:val="00444BFE"/>
    <w:rsid w:val="00446AF2"/>
    <w:rsid w:val="00450797"/>
    <w:rsid w:val="00453495"/>
    <w:rsid w:val="00454D2A"/>
    <w:rsid w:val="0045523B"/>
    <w:rsid w:val="004552AE"/>
    <w:rsid w:val="0045640A"/>
    <w:rsid w:val="00460A93"/>
    <w:rsid w:val="00461AB7"/>
    <w:rsid w:val="004637C9"/>
    <w:rsid w:val="004638AC"/>
    <w:rsid w:val="00464F91"/>
    <w:rsid w:val="00467859"/>
    <w:rsid w:val="00475459"/>
    <w:rsid w:val="004830DB"/>
    <w:rsid w:val="0048496D"/>
    <w:rsid w:val="004869B6"/>
    <w:rsid w:val="00490B7E"/>
    <w:rsid w:val="00492BE6"/>
    <w:rsid w:val="0049690A"/>
    <w:rsid w:val="004A0D10"/>
    <w:rsid w:val="004A18FC"/>
    <w:rsid w:val="004A6D69"/>
    <w:rsid w:val="004B15E2"/>
    <w:rsid w:val="004C4AD9"/>
    <w:rsid w:val="004C5E6C"/>
    <w:rsid w:val="004D31E1"/>
    <w:rsid w:val="004D64F4"/>
    <w:rsid w:val="004D656E"/>
    <w:rsid w:val="004E0C60"/>
    <w:rsid w:val="004E653E"/>
    <w:rsid w:val="004E77BE"/>
    <w:rsid w:val="004F2217"/>
    <w:rsid w:val="0050090F"/>
    <w:rsid w:val="00503C28"/>
    <w:rsid w:val="00504724"/>
    <w:rsid w:val="00504B61"/>
    <w:rsid w:val="00506B22"/>
    <w:rsid w:val="00517751"/>
    <w:rsid w:val="00523BA5"/>
    <w:rsid w:val="00527083"/>
    <w:rsid w:val="00541264"/>
    <w:rsid w:val="00541266"/>
    <w:rsid w:val="00542A67"/>
    <w:rsid w:val="00544397"/>
    <w:rsid w:val="00552A14"/>
    <w:rsid w:val="0055301D"/>
    <w:rsid w:val="00554901"/>
    <w:rsid w:val="005550A2"/>
    <w:rsid w:val="00555AD9"/>
    <w:rsid w:val="0056298D"/>
    <w:rsid w:val="00563FE2"/>
    <w:rsid w:val="0057066F"/>
    <w:rsid w:val="00570977"/>
    <w:rsid w:val="0057197C"/>
    <w:rsid w:val="005723F7"/>
    <w:rsid w:val="005727BB"/>
    <w:rsid w:val="0057405A"/>
    <w:rsid w:val="00576AAD"/>
    <w:rsid w:val="005807D9"/>
    <w:rsid w:val="00582DAA"/>
    <w:rsid w:val="005847D3"/>
    <w:rsid w:val="00587E83"/>
    <w:rsid w:val="00587FAE"/>
    <w:rsid w:val="00591D16"/>
    <w:rsid w:val="0059245A"/>
    <w:rsid w:val="00592C32"/>
    <w:rsid w:val="005959E8"/>
    <w:rsid w:val="00597044"/>
    <w:rsid w:val="005A7407"/>
    <w:rsid w:val="005B4237"/>
    <w:rsid w:val="005C167F"/>
    <w:rsid w:val="005C4AB9"/>
    <w:rsid w:val="005C6B6B"/>
    <w:rsid w:val="005C70A6"/>
    <w:rsid w:val="005C7877"/>
    <w:rsid w:val="005D0EA3"/>
    <w:rsid w:val="005D24B5"/>
    <w:rsid w:val="005E3006"/>
    <w:rsid w:val="005E7982"/>
    <w:rsid w:val="005F164C"/>
    <w:rsid w:val="005F3F74"/>
    <w:rsid w:val="00604318"/>
    <w:rsid w:val="00604D46"/>
    <w:rsid w:val="00612783"/>
    <w:rsid w:val="00612EF4"/>
    <w:rsid w:val="00614A73"/>
    <w:rsid w:val="0062126C"/>
    <w:rsid w:val="0062291A"/>
    <w:rsid w:val="00630C3A"/>
    <w:rsid w:val="00634662"/>
    <w:rsid w:val="0063532A"/>
    <w:rsid w:val="00636F2F"/>
    <w:rsid w:val="006370F3"/>
    <w:rsid w:val="00655D76"/>
    <w:rsid w:val="00656347"/>
    <w:rsid w:val="006565F3"/>
    <w:rsid w:val="00661C6D"/>
    <w:rsid w:val="006620B1"/>
    <w:rsid w:val="0066263A"/>
    <w:rsid w:val="0066350D"/>
    <w:rsid w:val="00664BBF"/>
    <w:rsid w:val="00665B93"/>
    <w:rsid w:val="006670B4"/>
    <w:rsid w:val="00676AF7"/>
    <w:rsid w:val="006771C3"/>
    <w:rsid w:val="006773FB"/>
    <w:rsid w:val="0068392F"/>
    <w:rsid w:val="006842B1"/>
    <w:rsid w:val="00684B45"/>
    <w:rsid w:val="006871CB"/>
    <w:rsid w:val="006A1146"/>
    <w:rsid w:val="006A5710"/>
    <w:rsid w:val="006A57CD"/>
    <w:rsid w:val="006A6767"/>
    <w:rsid w:val="006B5111"/>
    <w:rsid w:val="006B799B"/>
    <w:rsid w:val="006C0DA9"/>
    <w:rsid w:val="006C4532"/>
    <w:rsid w:val="006D2896"/>
    <w:rsid w:val="006D60A5"/>
    <w:rsid w:val="006E2203"/>
    <w:rsid w:val="006E3717"/>
    <w:rsid w:val="006E5F2E"/>
    <w:rsid w:val="006F29B7"/>
    <w:rsid w:val="006F5DBC"/>
    <w:rsid w:val="0070155F"/>
    <w:rsid w:val="00701BFF"/>
    <w:rsid w:val="00702E2D"/>
    <w:rsid w:val="007035D1"/>
    <w:rsid w:val="007037A9"/>
    <w:rsid w:val="00703E91"/>
    <w:rsid w:val="007123E6"/>
    <w:rsid w:val="00712F9E"/>
    <w:rsid w:val="0071759C"/>
    <w:rsid w:val="00720D9C"/>
    <w:rsid w:val="00720EB2"/>
    <w:rsid w:val="00722857"/>
    <w:rsid w:val="00723170"/>
    <w:rsid w:val="007246D4"/>
    <w:rsid w:val="00725207"/>
    <w:rsid w:val="00730467"/>
    <w:rsid w:val="00730A19"/>
    <w:rsid w:val="007342B9"/>
    <w:rsid w:val="00734B52"/>
    <w:rsid w:val="007378BC"/>
    <w:rsid w:val="0074122F"/>
    <w:rsid w:val="00745800"/>
    <w:rsid w:val="0074580E"/>
    <w:rsid w:val="00755663"/>
    <w:rsid w:val="007559E4"/>
    <w:rsid w:val="00757462"/>
    <w:rsid w:val="007619BD"/>
    <w:rsid w:val="00763FF5"/>
    <w:rsid w:val="0076420F"/>
    <w:rsid w:val="00764D3C"/>
    <w:rsid w:val="00770A81"/>
    <w:rsid w:val="00771589"/>
    <w:rsid w:val="00773D24"/>
    <w:rsid w:val="007766E7"/>
    <w:rsid w:val="00785ABE"/>
    <w:rsid w:val="00787CC5"/>
    <w:rsid w:val="007900DB"/>
    <w:rsid w:val="00790A84"/>
    <w:rsid w:val="00791821"/>
    <w:rsid w:val="0079253F"/>
    <w:rsid w:val="007942E9"/>
    <w:rsid w:val="007943F0"/>
    <w:rsid w:val="00797AA6"/>
    <w:rsid w:val="007A04D2"/>
    <w:rsid w:val="007A236E"/>
    <w:rsid w:val="007A2741"/>
    <w:rsid w:val="007A36FD"/>
    <w:rsid w:val="007A5132"/>
    <w:rsid w:val="007A7048"/>
    <w:rsid w:val="007A7ECF"/>
    <w:rsid w:val="007B0C28"/>
    <w:rsid w:val="007B2098"/>
    <w:rsid w:val="007B7957"/>
    <w:rsid w:val="007C2C6A"/>
    <w:rsid w:val="007C34B5"/>
    <w:rsid w:val="007C4386"/>
    <w:rsid w:val="007C438F"/>
    <w:rsid w:val="007C500D"/>
    <w:rsid w:val="007C6993"/>
    <w:rsid w:val="007D22CD"/>
    <w:rsid w:val="007D3CF8"/>
    <w:rsid w:val="007E1FFC"/>
    <w:rsid w:val="007E3902"/>
    <w:rsid w:val="007E42D0"/>
    <w:rsid w:val="007E4BEB"/>
    <w:rsid w:val="007E6518"/>
    <w:rsid w:val="007E7069"/>
    <w:rsid w:val="00802F68"/>
    <w:rsid w:val="0080364A"/>
    <w:rsid w:val="008044DC"/>
    <w:rsid w:val="008047E7"/>
    <w:rsid w:val="00810913"/>
    <w:rsid w:val="00811B4F"/>
    <w:rsid w:val="00812B3E"/>
    <w:rsid w:val="0081443B"/>
    <w:rsid w:val="008146B7"/>
    <w:rsid w:val="0081655C"/>
    <w:rsid w:val="00816C74"/>
    <w:rsid w:val="00821793"/>
    <w:rsid w:val="00822EAD"/>
    <w:rsid w:val="00824CD2"/>
    <w:rsid w:val="00827E6A"/>
    <w:rsid w:val="00830033"/>
    <w:rsid w:val="00830DDB"/>
    <w:rsid w:val="00834879"/>
    <w:rsid w:val="008354BF"/>
    <w:rsid w:val="00836999"/>
    <w:rsid w:val="008403BE"/>
    <w:rsid w:val="008420A2"/>
    <w:rsid w:val="00846031"/>
    <w:rsid w:val="00850CF0"/>
    <w:rsid w:val="0085180B"/>
    <w:rsid w:val="00852EC3"/>
    <w:rsid w:val="008567AE"/>
    <w:rsid w:val="008572FA"/>
    <w:rsid w:val="00857B7D"/>
    <w:rsid w:val="00863735"/>
    <w:rsid w:val="00866B37"/>
    <w:rsid w:val="00871713"/>
    <w:rsid w:val="00875E28"/>
    <w:rsid w:val="008804B1"/>
    <w:rsid w:val="008807C2"/>
    <w:rsid w:val="008816FE"/>
    <w:rsid w:val="00882E5D"/>
    <w:rsid w:val="008879DE"/>
    <w:rsid w:val="008903A0"/>
    <w:rsid w:val="00893150"/>
    <w:rsid w:val="008A005B"/>
    <w:rsid w:val="008A0184"/>
    <w:rsid w:val="008A63E5"/>
    <w:rsid w:val="008A7394"/>
    <w:rsid w:val="008B2E91"/>
    <w:rsid w:val="008B3AED"/>
    <w:rsid w:val="008B77A1"/>
    <w:rsid w:val="008B7C7B"/>
    <w:rsid w:val="008C491D"/>
    <w:rsid w:val="008C6E8B"/>
    <w:rsid w:val="008D0095"/>
    <w:rsid w:val="008D13CE"/>
    <w:rsid w:val="008D378F"/>
    <w:rsid w:val="008E2338"/>
    <w:rsid w:val="008E54BC"/>
    <w:rsid w:val="008E72AC"/>
    <w:rsid w:val="008F02C0"/>
    <w:rsid w:val="008F0300"/>
    <w:rsid w:val="008F195B"/>
    <w:rsid w:val="008F3AEF"/>
    <w:rsid w:val="008F3C1E"/>
    <w:rsid w:val="0090121C"/>
    <w:rsid w:val="00911F5D"/>
    <w:rsid w:val="009162A4"/>
    <w:rsid w:val="00925C8B"/>
    <w:rsid w:val="00930F42"/>
    <w:rsid w:val="0093251D"/>
    <w:rsid w:val="009333FB"/>
    <w:rsid w:val="0093635A"/>
    <w:rsid w:val="0093689B"/>
    <w:rsid w:val="00936B98"/>
    <w:rsid w:val="00942AE8"/>
    <w:rsid w:val="00944260"/>
    <w:rsid w:val="00946724"/>
    <w:rsid w:val="009520CE"/>
    <w:rsid w:val="009531A0"/>
    <w:rsid w:val="00953D2B"/>
    <w:rsid w:val="00954881"/>
    <w:rsid w:val="00954E6B"/>
    <w:rsid w:val="00960A19"/>
    <w:rsid w:val="00963DC0"/>
    <w:rsid w:val="009664F4"/>
    <w:rsid w:val="0096742D"/>
    <w:rsid w:val="0097197B"/>
    <w:rsid w:val="009743D3"/>
    <w:rsid w:val="00976484"/>
    <w:rsid w:val="00976E0B"/>
    <w:rsid w:val="00981428"/>
    <w:rsid w:val="00984CD0"/>
    <w:rsid w:val="00990AFD"/>
    <w:rsid w:val="00991195"/>
    <w:rsid w:val="00992917"/>
    <w:rsid w:val="009A2F88"/>
    <w:rsid w:val="009A4E04"/>
    <w:rsid w:val="009A50DA"/>
    <w:rsid w:val="009A6EE8"/>
    <w:rsid w:val="009B11B7"/>
    <w:rsid w:val="009B590D"/>
    <w:rsid w:val="009B6D1B"/>
    <w:rsid w:val="009B72B4"/>
    <w:rsid w:val="009B7941"/>
    <w:rsid w:val="009C3179"/>
    <w:rsid w:val="009C394C"/>
    <w:rsid w:val="009C5403"/>
    <w:rsid w:val="009C5FE7"/>
    <w:rsid w:val="009C7CF1"/>
    <w:rsid w:val="009D19AF"/>
    <w:rsid w:val="009D3F67"/>
    <w:rsid w:val="009D43A0"/>
    <w:rsid w:val="009D640F"/>
    <w:rsid w:val="009E273E"/>
    <w:rsid w:val="009E6386"/>
    <w:rsid w:val="009E6CB3"/>
    <w:rsid w:val="009F2EB1"/>
    <w:rsid w:val="009F3C90"/>
    <w:rsid w:val="009F5BB7"/>
    <w:rsid w:val="009F6E85"/>
    <w:rsid w:val="00A00D02"/>
    <w:rsid w:val="00A106C5"/>
    <w:rsid w:val="00A10EE5"/>
    <w:rsid w:val="00A14749"/>
    <w:rsid w:val="00A152B0"/>
    <w:rsid w:val="00A16BC3"/>
    <w:rsid w:val="00A2171B"/>
    <w:rsid w:val="00A316A0"/>
    <w:rsid w:val="00A3253F"/>
    <w:rsid w:val="00A35C3D"/>
    <w:rsid w:val="00A378EF"/>
    <w:rsid w:val="00A436C3"/>
    <w:rsid w:val="00A44351"/>
    <w:rsid w:val="00A55CC0"/>
    <w:rsid w:val="00A571E6"/>
    <w:rsid w:val="00A611DC"/>
    <w:rsid w:val="00A66723"/>
    <w:rsid w:val="00A70606"/>
    <w:rsid w:val="00A81519"/>
    <w:rsid w:val="00A83C4C"/>
    <w:rsid w:val="00A83ED7"/>
    <w:rsid w:val="00A8445B"/>
    <w:rsid w:val="00A851DF"/>
    <w:rsid w:val="00A90585"/>
    <w:rsid w:val="00AA4886"/>
    <w:rsid w:val="00AA5736"/>
    <w:rsid w:val="00AA670D"/>
    <w:rsid w:val="00AB17E0"/>
    <w:rsid w:val="00AB4F24"/>
    <w:rsid w:val="00AB5072"/>
    <w:rsid w:val="00AB6470"/>
    <w:rsid w:val="00AB7DC0"/>
    <w:rsid w:val="00AC1A7D"/>
    <w:rsid w:val="00AC3698"/>
    <w:rsid w:val="00AC5F19"/>
    <w:rsid w:val="00AC7C2C"/>
    <w:rsid w:val="00AC7C2F"/>
    <w:rsid w:val="00AD05ED"/>
    <w:rsid w:val="00AD0CE5"/>
    <w:rsid w:val="00AD1FF3"/>
    <w:rsid w:val="00AD2C85"/>
    <w:rsid w:val="00AD4119"/>
    <w:rsid w:val="00AD6D4E"/>
    <w:rsid w:val="00AE2855"/>
    <w:rsid w:val="00AE38D9"/>
    <w:rsid w:val="00AE5573"/>
    <w:rsid w:val="00AE7637"/>
    <w:rsid w:val="00B01B4A"/>
    <w:rsid w:val="00B036AC"/>
    <w:rsid w:val="00B07D70"/>
    <w:rsid w:val="00B167F0"/>
    <w:rsid w:val="00B16CB6"/>
    <w:rsid w:val="00B21F20"/>
    <w:rsid w:val="00B27F2A"/>
    <w:rsid w:val="00B338DF"/>
    <w:rsid w:val="00B35EE6"/>
    <w:rsid w:val="00B46EC0"/>
    <w:rsid w:val="00B50195"/>
    <w:rsid w:val="00B509FB"/>
    <w:rsid w:val="00B50E8B"/>
    <w:rsid w:val="00B514FE"/>
    <w:rsid w:val="00B523B3"/>
    <w:rsid w:val="00B54DE9"/>
    <w:rsid w:val="00B55E2A"/>
    <w:rsid w:val="00B61365"/>
    <w:rsid w:val="00B61FF2"/>
    <w:rsid w:val="00B63141"/>
    <w:rsid w:val="00B702CA"/>
    <w:rsid w:val="00B71FFB"/>
    <w:rsid w:val="00B76DD4"/>
    <w:rsid w:val="00B8387B"/>
    <w:rsid w:val="00B87080"/>
    <w:rsid w:val="00B90F14"/>
    <w:rsid w:val="00B92A70"/>
    <w:rsid w:val="00B965E2"/>
    <w:rsid w:val="00BA6553"/>
    <w:rsid w:val="00BA7D8A"/>
    <w:rsid w:val="00BB13C5"/>
    <w:rsid w:val="00BB60C4"/>
    <w:rsid w:val="00BB698D"/>
    <w:rsid w:val="00BB6EDC"/>
    <w:rsid w:val="00BC0FAA"/>
    <w:rsid w:val="00BC243F"/>
    <w:rsid w:val="00BC5A1C"/>
    <w:rsid w:val="00BC7DEB"/>
    <w:rsid w:val="00BD1161"/>
    <w:rsid w:val="00BD1EE9"/>
    <w:rsid w:val="00BD4AE5"/>
    <w:rsid w:val="00BE0CC4"/>
    <w:rsid w:val="00BE730E"/>
    <w:rsid w:val="00BF25C4"/>
    <w:rsid w:val="00C10CDD"/>
    <w:rsid w:val="00C13C7C"/>
    <w:rsid w:val="00C15B17"/>
    <w:rsid w:val="00C15F22"/>
    <w:rsid w:val="00C166B5"/>
    <w:rsid w:val="00C21909"/>
    <w:rsid w:val="00C21DC8"/>
    <w:rsid w:val="00C24274"/>
    <w:rsid w:val="00C24EF5"/>
    <w:rsid w:val="00C25F4F"/>
    <w:rsid w:val="00C26153"/>
    <w:rsid w:val="00C26CBD"/>
    <w:rsid w:val="00C4216D"/>
    <w:rsid w:val="00C43A12"/>
    <w:rsid w:val="00C45E6B"/>
    <w:rsid w:val="00C46641"/>
    <w:rsid w:val="00C467FB"/>
    <w:rsid w:val="00C54BFA"/>
    <w:rsid w:val="00C556EF"/>
    <w:rsid w:val="00C575CC"/>
    <w:rsid w:val="00C6147E"/>
    <w:rsid w:val="00C628DC"/>
    <w:rsid w:val="00C634FD"/>
    <w:rsid w:val="00C64421"/>
    <w:rsid w:val="00C66D03"/>
    <w:rsid w:val="00C679E3"/>
    <w:rsid w:val="00C70AB5"/>
    <w:rsid w:val="00C7111F"/>
    <w:rsid w:val="00C714EE"/>
    <w:rsid w:val="00C71CD4"/>
    <w:rsid w:val="00C73A98"/>
    <w:rsid w:val="00C77D3D"/>
    <w:rsid w:val="00C81520"/>
    <w:rsid w:val="00C816AD"/>
    <w:rsid w:val="00C83648"/>
    <w:rsid w:val="00C870FF"/>
    <w:rsid w:val="00C910D6"/>
    <w:rsid w:val="00C91842"/>
    <w:rsid w:val="00C91D25"/>
    <w:rsid w:val="00C94DDA"/>
    <w:rsid w:val="00CA0770"/>
    <w:rsid w:val="00CA22BC"/>
    <w:rsid w:val="00CA39AC"/>
    <w:rsid w:val="00CA4731"/>
    <w:rsid w:val="00CA4891"/>
    <w:rsid w:val="00CB02DA"/>
    <w:rsid w:val="00CB21E0"/>
    <w:rsid w:val="00CB35C6"/>
    <w:rsid w:val="00CC1A55"/>
    <w:rsid w:val="00CC3D77"/>
    <w:rsid w:val="00CC5F2F"/>
    <w:rsid w:val="00CC6BDF"/>
    <w:rsid w:val="00CD2D69"/>
    <w:rsid w:val="00CD6F6F"/>
    <w:rsid w:val="00CD7111"/>
    <w:rsid w:val="00CE23AB"/>
    <w:rsid w:val="00CE420D"/>
    <w:rsid w:val="00CF13CB"/>
    <w:rsid w:val="00CF22EB"/>
    <w:rsid w:val="00CF4D3E"/>
    <w:rsid w:val="00D02658"/>
    <w:rsid w:val="00D02A67"/>
    <w:rsid w:val="00D0377F"/>
    <w:rsid w:val="00D048BB"/>
    <w:rsid w:val="00D059A9"/>
    <w:rsid w:val="00D05A28"/>
    <w:rsid w:val="00D07BBE"/>
    <w:rsid w:val="00D10068"/>
    <w:rsid w:val="00D176DB"/>
    <w:rsid w:val="00D2047B"/>
    <w:rsid w:val="00D2430D"/>
    <w:rsid w:val="00D256A9"/>
    <w:rsid w:val="00D25C51"/>
    <w:rsid w:val="00D30C25"/>
    <w:rsid w:val="00D40AFB"/>
    <w:rsid w:val="00D429DF"/>
    <w:rsid w:val="00D42E21"/>
    <w:rsid w:val="00D476F4"/>
    <w:rsid w:val="00D47B22"/>
    <w:rsid w:val="00D518E3"/>
    <w:rsid w:val="00D53DF7"/>
    <w:rsid w:val="00D54BC9"/>
    <w:rsid w:val="00D552FE"/>
    <w:rsid w:val="00D558B6"/>
    <w:rsid w:val="00D5679C"/>
    <w:rsid w:val="00D6260E"/>
    <w:rsid w:val="00D65DF4"/>
    <w:rsid w:val="00D67A67"/>
    <w:rsid w:val="00D7086F"/>
    <w:rsid w:val="00D733B1"/>
    <w:rsid w:val="00D7436D"/>
    <w:rsid w:val="00D8350F"/>
    <w:rsid w:val="00D84DCD"/>
    <w:rsid w:val="00D865C6"/>
    <w:rsid w:val="00D879D2"/>
    <w:rsid w:val="00D87A71"/>
    <w:rsid w:val="00D924C9"/>
    <w:rsid w:val="00D96A06"/>
    <w:rsid w:val="00D96B52"/>
    <w:rsid w:val="00DA39CA"/>
    <w:rsid w:val="00DA61E8"/>
    <w:rsid w:val="00DA6E98"/>
    <w:rsid w:val="00DA7037"/>
    <w:rsid w:val="00DA722B"/>
    <w:rsid w:val="00DB22E3"/>
    <w:rsid w:val="00DB2C67"/>
    <w:rsid w:val="00DC702C"/>
    <w:rsid w:val="00DD2C55"/>
    <w:rsid w:val="00DD7B3B"/>
    <w:rsid w:val="00DE3C46"/>
    <w:rsid w:val="00DF3099"/>
    <w:rsid w:val="00DF3215"/>
    <w:rsid w:val="00DF5EA6"/>
    <w:rsid w:val="00E01F2B"/>
    <w:rsid w:val="00E025FE"/>
    <w:rsid w:val="00E02C33"/>
    <w:rsid w:val="00E1163D"/>
    <w:rsid w:val="00E13BE7"/>
    <w:rsid w:val="00E14A98"/>
    <w:rsid w:val="00E17ED0"/>
    <w:rsid w:val="00E2413E"/>
    <w:rsid w:val="00E25ED8"/>
    <w:rsid w:val="00E3078F"/>
    <w:rsid w:val="00E32F28"/>
    <w:rsid w:val="00E37847"/>
    <w:rsid w:val="00E37B39"/>
    <w:rsid w:val="00E408CF"/>
    <w:rsid w:val="00E41DB6"/>
    <w:rsid w:val="00E54091"/>
    <w:rsid w:val="00E62BD1"/>
    <w:rsid w:val="00E64F5F"/>
    <w:rsid w:val="00E6522A"/>
    <w:rsid w:val="00E6537C"/>
    <w:rsid w:val="00E80794"/>
    <w:rsid w:val="00E84023"/>
    <w:rsid w:val="00E853B9"/>
    <w:rsid w:val="00E860B4"/>
    <w:rsid w:val="00E8623F"/>
    <w:rsid w:val="00E912E0"/>
    <w:rsid w:val="00E9269C"/>
    <w:rsid w:val="00E9397F"/>
    <w:rsid w:val="00E93B63"/>
    <w:rsid w:val="00E9768C"/>
    <w:rsid w:val="00EA1C7D"/>
    <w:rsid w:val="00EA2943"/>
    <w:rsid w:val="00EB024B"/>
    <w:rsid w:val="00EC1F85"/>
    <w:rsid w:val="00EE4234"/>
    <w:rsid w:val="00EF05D2"/>
    <w:rsid w:val="00EF0B5A"/>
    <w:rsid w:val="00EF7187"/>
    <w:rsid w:val="00F03038"/>
    <w:rsid w:val="00F07F82"/>
    <w:rsid w:val="00F10B5C"/>
    <w:rsid w:val="00F22AB4"/>
    <w:rsid w:val="00F274B7"/>
    <w:rsid w:val="00F27589"/>
    <w:rsid w:val="00F3336C"/>
    <w:rsid w:val="00F4117F"/>
    <w:rsid w:val="00F41A2A"/>
    <w:rsid w:val="00F423E9"/>
    <w:rsid w:val="00F469A9"/>
    <w:rsid w:val="00F50290"/>
    <w:rsid w:val="00F50C86"/>
    <w:rsid w:val="00F52B1A"/>
    <w:rsid w:val="00F56054"/>
    <w:rsid w:val="00F56435"/>
    <w:rsid w:val="00F62805"/>
    <w:rsid w:val="00F631C4"/>
    <w:rsid w:val="00F76B3A"/>
    <w:rsid w:val="00F773E1"/>
    <w:rsid w:val="00F776E2"/>
    <w:rsid w:val="00F80809"/>
    <w:rsid w:val="00F81270"/>
    <w:rsid w:val="00F81FE3"/>
    <w:rsid w:val="00F83A09"/>
    <w:rsid w:val="00F87F60"/>
    <w:rsid w:val="00F96767"/>
    <w:rsid w:val="00FA10C2"/>
    <w:rsid w:val="00FA6497"/>
    <w:rsid w:val="00FB3069"/>
    <w:rsid w:val="00FB5AEE"/>
    <w:rsid w:val="00FB784A"/>
    <w:rsid w:val="00FC1965"/>
    <w:rsid w:val="00FC2275"/>
    <w:rsid w:val="00FC2AA0"/>
    <w:rsid w:val="00FC35B1"/>
    <w:rsid w:val="00FC396B"/>
    <w:rsid w:val="00FC4DD2"/>
    <w:rsid w:val="00FC555A"/>
    <w:rsid w:val="00FD0A1A"/>
    <w:rsid w:val="00FD56A5"/>
    <w:rsid w:val="00FD6ABE"/>
    <w:rsid w:val="00FD6CFE"/>
    <w:rsid w:val="00FD6F12"/>
    <w:rsid w:val="00FD7B1B"/>
    <w:rsid w:val="00FE4688"/>
    <w:rsid w:val="00FF1E7C"/>
    <w:rsid w:val="00FF38EA"/>
    <w:rsid w:val="00FF3B43"/>
    <w:rsid w:val="00FF4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EBD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698"/>
    <w:rPr>
      <w:rFonts w:ascii="Times New Roman" w:hAnsi="Times New Roman"/>
      <w:lang w:val="en-GB"/>
    </w:rPr>
  </w:style>
  <w:style w:type="paragraph" w:styleId="Heading1">
    <w:name w:val="heading 1"/>
    <w:link w:val="Heading1Char"/>
    <w:uiPriority w:val="9"/>
    <w:qFormat/>
    <w:rsid w:val="00A81519"/>
    <w:pPr>
      <w:keepNext/>
      <w:keepLines/>
      <w:numPr>
        <w:numId w:val="4"/>
      </w:numPr>
      <w:spacing w:before="240" w:after="240"/>
      <w:ind w:left="720" w:hanging="720"/>
      <w:outlineLvl w:val="0"/>
    </w:pPr>
    <w:rPr>
      <w:rFonts w:ascii="Times New Roman" w:eastAsiaTheme="majorEastAsia" w:hAnsi="Times New Roman" w:cstheme="majorBidi"/>
      <w:b/>
      <w:bCs/>
      <w:caps/>
      <w:lang w:val="en-GB"/>
    </w:rPr>
  </w:style>
  <w:style w:type="paragraph" w:styleId="Heading2">
    <w:name w:val="heading 2"/>
    <w:basedOn w:val="Heading1"/>
    <w:link w:val="Heading2Char"/>
    <w:uiPriority w:val="9"/>
    <w:unhideWhenUsed/>
    <w:qFormat/>
    <w:rsid w:val="002B4506"/>
    <w:pPr>
      <w:numPr>
        <w:ilvl w:val="1"/>
      </w:numPr>
      <w:spacing w:before="200"/>
      <w:ind w:left="1440" w:hanging="720"/>
      <w:outlineLvl w:val="1"/>
    </w:pPr>
    <w:rPr>
      <w:bCs w:val="0"/>
      <w:caps w:val="0"/>
    </w:rPr>
  </w:style>
  <w:style w:type="paragraph" w:styleId="Heading3">
    <w:name w:val="heading 3"/>
    <w:basedOn w:val="Heading2"/>
    <w:link w:val="Heading3Char"/>
    <w:uiPriority w:val="9"/>
    <w:unhideWhenUsed/>
    <w:qFormat/>
    <w:rsid w:val="00240391"/>
    <w:pPr>
      <w:numPr>
        <w:ilvl w:val="2"/>
      </w:numPr>
      <w:ind w:left="2160" w:hanging="720"/>
      <w:outlineLvl w:val="2"/>
    </w:pPr>
    <w:rPr>
      <w:b w:val="0"/>
      <w:bCs/>
    </w:rPr>
  </w:style>
  <w:style w:type="paragraph" w:styleId="Heading4">
    <w:name w:val="heading 4"/>
    <w:basedOn w:val="Normal"/>
    <w:link w:val="Heading4Char"/>
    <w:uiPriority w:val="9"/>
    <w:unhideWhenUsed/>
    <w:qFormat/>
    <w:rsid w:val="00A81519"/>
    <w:pPr>
      <w:keepNext/>
      <w:keepLines/>
      <w:numPr>
        <w:ilvl w:val="3"/>
        <w:numId w:val="4"/>
      </w:numPr>
      <w:spacing w:before="200" w:after="240"/>
      <w:ind w:left="2880" w:hanging="720"/>
      <w:outlineLvl w:val="3"/>
    </w:pPr>
    <w:rPr>
      <w:rFonts w:eastAsiaTheme="majorEastAsia" w:cstheme="majorBidi"/>
    </w:rPr>
  </w:style>
  <w:style w:type="paragraph" w:styleId="Heading5">
    <w:name w:val="heading 5"/>
    <w:basedOn w:val="Normal"/>
    <w:link w:val="Heading5Char"/>
    <w:uiPriority w:val="9"/>
    <w:unhideWhenUsed/>
    <w:qFormat/>
    <w:rsid w:val="00CC5F2F"/>
    <w:pPr>
      <w:keepNext/>
      <w:keepLines/>
      <w:numPr>
        <w:ilvl w:val="4"/>
        <w:numId w:val="3"/>
      </w:numPr>
      <w:spacing w:before="240" w:after="240"/>
      <w:ind w:left="3600" w:hanging="720"/>
      <w:outlineLvl w:val="4"/>
    </w:pPr>
    <w:rPr>
      <w:rFonts w:eastAsiaTheme="majorEastAsia" w:cstheme="majorBidi"/>
    </w:rPr>
  </w:style>
  <w:style w:type="paragraph" w:styleId="Heading6">
    <w:name w:val="heading 6"/>
    <w:basedOn w:val="Normal"/>
    <w:next w:val="Normal"/>
    <w:link w:val="Heading6Char"/>
    <w:uiPriority w:val="9"/>
    <w:unhideWhenUsed/>
    <w:qFormat/>
    <w:rsid w:val="00B21F20"/>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21F2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21F2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21F2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DD4"/>
    <w:rPr>
      <w:rFonts w:ascii="Lucida Grande" w:hAnsi="Lucida Grande"/>
      <w:sz w:val="18"/>
      <w:szCs w:val="18"/>
    </w:rPr>
  </w:style>
  <w:style w:type="character" w:customStyle="1" w:styleId="BalloonTextChar">
    <w:name w:val="Balloon Text Char"/>
    <w:basedOn w:val="DefaultParagraphFont"/>
    <w:link w:val="BalloonText"/>
    <w:uiPriority w:val="99"/>
    <w:semiHidden/>
    <w:rsid w:val="00B76DD4"/>
    <w:rPr>
      <w:rFonts w:ascii="Lucida Grande" w:hAnsi="Lucida Grande"/>
      <w:sz w:val="18"/>
      <w:szCs w:val="18"/>
    </w:rPr>
  </w:style>
  <w:style w:type="paragraph" w:styleId="BodyText">
    <w:name w:val="Body Text"/>
    <w:basedOn w:val="Normal"/>
    <w:link w:val="BodyTextChar"/>
    <w:uiPriority w:val="1"/>
    <w:unhideWhenUsed/>
    <w:qFormat/>
    <w:rsid w:val="00B76DD4"/>
    <w:pPr>
      <w:spacing w:after="240"/>
    </w:pPr>
  </w:style>
  <w:style w:type="character" w:customStyle="1" w:styleId="BodyTextChar">
    <w:name w:val="Body Text Char"/>
    <w:basedOn w:val="DefaultParagraphFont"/>
    <w:link w:val="BodyText"/>
    <w:uiPriority w:val="99"/>
    <w:semiHidden/>
    <w:rsid w:val="00B76DD4"/>
  </w:style>
  <w:style w:type="character" w:customStyle="1" w:styleId="Heading1Char">
    <w:name w:val="Heading 1 Char"/>
    <w:basedOn w:val="DefaultParagraphFont"/>
    <w:link w:val="Heading1"/>
    <w:uiPriority w:val="9"/>
    <w:rsid w:val="00A81519"/>
    <w:rPr>
      <w:rFonts w:ascii="Times New Roman" w:eastAsiaTheme="majorEastAsia" w:hAnsi="Times New Roman" w:cstheme="majorBidi"/>
      <w:b/>
      <w:bCs/>
      <w:caps/>
      <w:lang w:val="en-GB"/>
    </w:rPr>
  </w:style>
  <w:style w:type="character" w:customStyle="1" w:styleId="Heading2Char">
    <w:name w:val="Heading 2 Char"/>
    <w:basedOn w:val="DefaultParagraphFont"/>
    <w:link w:val="Heading2"/>
    <w:uiPriority w:val="9"/>
    <w:rsid w:val="002B4506"/>
    <w:rPr>
      <w:rFonts w:ascii="Times New Roman" w:eastAsiaTheme="majorEastAsia" w:hAnsi="Times New Roman" w:cstheme="majorBidi"/>
      <w:b/>
      <w:lang w:val="en-GB"/>
    </w:rPr>
  </w:style>
  <w:style w:type="paragraph" w:styleId="Title">
    <w:name w:val="Title"/>
    <w:basedOn w:val="Normal"/>
    <w:next w:val="Normal"/>
    <w:link w:val="TitleChar"/>
    <w:uiPriority w:val="10"/>
    <w:rsid w:val="00D05A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5A2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D05A28"/>
    <w:rPr>
      <w:rFonts w:ascii="Times New Roman" w:hAnsi="Times New Roman"/>
    </w:rPr>
  </w:style>
  <w:style w:type="paragraph" w:styleId="Subtitle">
    <w:name w:val="Subtitle"/>
    <w:basedOn w:val="Normal"/>
    <w:next w:val="Normal"/>
    <w:link w:val="SubtitleChar"/>
    <w:uiPriority w:val="11"/>
    <w:rsid w:val="00AD0CE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D0CE5"/>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AD0CE5"/>
    <w:rPr>
      <w:i/>
      <w:iCs/>
      <w:color w:val="808080" w:themeColor="text1" w:themeTint="7F"/>
    </w:rPr>
  </w:style>
  <w:style w:type="character" w:styleId="Emphasis">
    <w:name w:val="Emphasis"/>
    <w:basedOn w:val="DefaultParagraphFont"/>
    <w:uiPriority w:val="20"/>
    <w:rsid w:val="00AD0CE5"/>
    <w:rPr>
      <w:i/>
      <w:iCs/>
    </w:rPr>
  </w:style>
  <w:style w:type="character" w:styleId="IntenseEmphasis">
    <w:name w:val="Intense Emphasis"/>
    <w:basedOn w:val="DefaultParagraphFont"/>
    <w:uiPriority w:val="21"/>
    <w:rsid w:val="00AD0CE5"/>
    <w:rPr>
      <w:b/>
      <w:bCs/>
      <w:i/>
      <w:iCs/>
      <w:color w:val="4F81BD" w:themeColor="accent1"/>
    </w:rPr>
  </w:style>
  <w:style w:type="character" w:styleId="Strong">
    <w:name w:val="Strong"/>
    <w:basedOn w:val="DefaultParagraphFont"/>
    <w:uiPriority w:val="22"/>
    <w:rsid w:val="00AD0CE5"/>
    <w:rPr>
      <w:b/>
      <w:bCs/>
    </w:rPr>
  </w:style>
  <w:style w:type="paragraph" w:styleId="Quote">
    <w:name w:val="Quote"/>
    <w:basedOn w:val="Normal"/>
    <w:next w:val="Normal"/>
    <w:link w:val="QuoteChar"/>
    <w:uiPriority w:val="29"/>
    <w:rsid w:val="00AD0CE5"/>
    <w:rPr>
      <w:i/>
      <w:iCs/>
      <w:color w:val="000000" w:themeColor="text1"/>
    </w:rPr>
  </w:style>
  <w:style w:type="character" w:customStyle="1" w:styleId="QuoteChar">
    <w:name w:val="Quote Char"/>
    <w:basedOn w:val="DefaultParagraphFont"/>
    <w:link w:val="Quote"/>
    <w:uiPriority w:val="29"/>
    <w:rsid w:val="00AD0CE5"/>
    <w:rPr>
      <w:rFonts w:ascii="Times New Roman" w:hAnsi="Times New Roman"/>
      <w:i/>
      <w:iCs/>
      <w:color w:val="000000" w:themeColor="text1"/>
    </w:rPr>
  </w:style>
  <w:style w:type="paragraph" w:styleId="IntenseQuote">
    <w:name w:val="Intense Quote"/>
    <w:basedOn w:val="Normal"/>
    <w:next w:val="Normal"/>
    <w:link w:val="IntenseQuoteChar"/>
    <w:uiPriority w:val="30"/>
    <w:rsid w:val="00AD0CE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0CE5"/>
    <w:rPr>
      <w:rFonts w:ascii="Times New Roman" w:hAnsi="Times New Roman"/>
      <w:b/>
      <w:bCs/>
      <w:i/>
      <w:iCs/>
      <w:color w:val="4F81BD" w:themeColor="accent1"/>
    </w:rPr>
  </w:style>
  <w:style w:type="character" w:styleId="SubtleReference">
    <w:name w:val="Subtle Reference"/>
    <w:basedOn w:val="DefaultParagraphFont"/>
    <w:uiPriority w:val="31"/>
    <w:rsid w:val="00AD0CE5"/>
    <w:rPr>
      <w:smallCaps/>
      <w:color w:val="C0504D" w:themeColor="accent2"/>
      <w:u w:val="single"/>
    </w:rPr>
  </w:style>
  <w:style w:type="character" w:styleId="IntenseReference">
    <w:name w:val="Intense Reference"/>
    <w:basedOn w:val="DefaultParagraphFont"/>
    <w:uiPriority w:val="32"/>
    <w:rsid w:val="00AD0CE5"/>
    <w:rPr>
      <w:b/>
      <w:bCs/>
      <w:smallCaps/>
      <w:color w:val="C0504D" w:themeColor="accent2"/>
      <w:spacing w:val="5"/>
      <w:u w:val="single"/>
    </w:rPr>
  </w:style>
  <w:style w:type="character" w:styleId="BookTitle">
    <w:name w:val="Book Title"/>
    <w:basedOn w:val="DefaultParagraphFont"/>
    <w:uiPriority w:val="33"/>
    <w:rsid w:val="00AD0CE5"/>
    <w:rPr>
      <w:b/>
      <w:bCs/>
      <w:smallCaps/>
      <w:spacing w:val="5"/>
    </w:rPr>
  </w:style>
  <w:style w:type="paragraph" w:customStyle="1" w:styleId="WTOBodyText">
    <w:name w:val="WTO Body Text"/>
    <w:qFormat/>
    <w:rsid w:val="00F56054"/>
    <w:pPr>
      <w:spacing w:after="240"/>
    </w:pPr>
    <w:rPr>
      <w:rFonts w:ascii="Times New Roman" w:hAnsi="Times New Roman"/>
      <w:lang w:val="en-GB"/>
    </w:rPr>
  </w:style>
  <w:style w:type="paragraph" w:customStyle="1" w:styleId="WTONumbered">
    <w:name w:val="WTO (Numbered)"/>
    <w:basedOn w:val="WTOBodyText"/>
    <w:qFormat/>
    <w:rsid w:val="00C7111F"/>
    <w:pPr>
      <w:numPr>
        <w:numId w:val="1"/>
      </w:numPr>
      <w:jc w:val="both"/>
    </w:pPr>
  </w:style>
  <w:style w:type="paragraph" w:styleId="ListParagraph">
    <w:name w:val="List Paragraph"/>
    <w:basedOn w:val="Normal"/>
    <w:uiPriority w:val="34"/>
    <w:rsid w:val="00757462"/>
    <w:pPr>
      <w:ind w:left="720"/>
      <w:contextualSpacing/>
    </w:pPr>
  </w:style>
  <w:style w:type="paragraph" w:styleId="FootnoteText">
    <w:name w:val="footnote text"/>
    <w:aliases w:val="fn,footnote text,Footnotes,Footnote ak,ft,ALTS FOOTNOTE Char,fn Char,footnote text Char,Footnote Text Char1 Char,Footnote Text Char Char Char,Footnote Text Char1 Char Char Char,Footnote Text Char Char Char Char Char,fn cafc,Footnote Text 2"/>
    <w:basedOn w:val="Normal"/>
    <w:link w:val="FootnoteTextChar"/>
    <w:uiPriority w:val="5"/>
    <w:unhideWhenUsed/>
    <w:qFormat/>
    <w:rsid w:val="00AC3698"/>
    <w:pPr>
      <w:spacing w:after="120"/>
      <w:ind w:firstLine="720"/>
      <w:jc w:val="both"/>
    </w:pPr>
    <w:rPr>
      <w:sz w:val="20"/>
      <w:lang w:val="en-US"/>
    </w:rPr>
  </w:style>
  <w:style w:type="character" w:customStyle="1" w:styleId="FootnoteTextChar">
    <w:name w:val="Footnote Text Char"/>
    <w:aliases w:val="fn Char1,footnote text Char1,Footnotes Char,Footnote ak Char,ft Char,ALTS FOOTNOTE Char Char,fn Char Char,footnote text Char Char,Footnote Text Char1 Char Char,Footnote Text Char Char Char Char,Footnote Text Char1 Char Char Char Char"/>
    <w:basedOn w:val="DefaultParagraphFont"/>
    <w:link w:val="FootnoteText"/>
    <w:uiPriority w:val="5"/>
    <w:rsid w:val="00AC3698"/>
    <w:rPr>
      <w:rFonts w:ascii="Times New Roman" w:hAnsi="Times New Roman"/>
      <w:sz w:val="20"/>
    </w:rPr>
  </w:style>
  <w:style w:type="character" w:styleId="FootnoteReference">
    <w:name w:val="footnote reference"/>
    <w:aliases w:val="Ref,de nota al pie,Footnote Reference1,Ref1,de nota al pie1,註腳內容,de nota al pie + (Asian) MS Mincho,11 pt,Style 15,註?腳Ò®é»,11 p,註?腳內—e,-E Fußnotenzeichen,註????腳內—e,f?,註??腳內—e,11,16 Point,Superscript 6 Point,????,?????—e,註?腳內Ñe,1,fr"/>
    <w:basedOn w:val="DefaultParagraphFont"/>
    <w:link w:val="CharChar6CharCharCharCharCharChar"/>
    <w:uiPriority w:val="5"/>
    <w:unhideWhenUsed/>
    <w:qFormat/>
    <w:rsid w:val="00F41A2A"/>
    <w:rPr>
      <w:sz w:val="22"/>
      <w:szCs w:val="22"/>
      <w:vertAlign w:val="superscript"/>
    </w:rPr>
  </w:style>
  <w:style w:type="paragraph" w:customStyle="1" w:styleId="BlockQuote">
    <w:name w:val="Block Quote"/>
    <w:basedOn w:val="WTOBodyText"/>
    <w:qFormat/>
    <w:rsid w:val="0096742D"/>
    <w:pPr>
      <w:spacing w:before="240"/>
      <w:ind w:left="720" w:right="720"/>
    </w:pPr>
  </w:style>
  <w:style w:type="character" w:customStyle="1" w:styleId="Heading3Char">
    <w:name w:val="Heading 3 Char"/>
    <w:basedOn w:val="DefaultParagraphFont"/>
    <w:link w:val="Heading3"/>
    <w:uiPriority w:val="9"/>
    <w:rsid w:val="00240391"/>
    <w:rPr>
      <w:rFonts w:ascii="Times New Roman" w:eastAsiaTheme="majorEastAsia" w:hAnsi="Times New Roman" w:cstheme="majorBidi"/>
      <w:bCs/>
      <w:lang w:val="en-GB"/>
    </w:rPr>
  </w:style>
  <w:style w:type="character" w:customStyle="1" w:styleId="Heading4Char">
    <w:name w:val="Heading 4 Char"/>
    <w:basedOn w:val="DefaultParagraphFont"/>
    <w:link w:val="Heading4"/>
    <w:uiPriority w:val="9"/>
    <w:rsid w:val="00A81519"/>
    <w:rPr>
      <w:rFonts w:ascii="Times New Roman" w:eastAsiaTheme="majorEastAsia" w:hAnsi="Times New Roman" w:cstheme="majorBidi"/>
      <w:lang w:val="en-GB"/>
    </w:rPr>
  </w:style>
  <w:style w:type="character" w:customStyle="1" w:styleId="Heading5Char">
    <w:name w:val="Heading 5 Char"/>
    <w:basedOn w:val="DefaultParagraphFont"/>
    <w:link w:val="Heading5"/>
    <w:uiPriority w:val="9"/>
    <w:rsid w:val="00CC5F2F"/>
    <w:rPr>
      <w:rFonts w:ascii="Times New Roman" w:eastAsiaTheme="majorEastAsia" w:hAnsi="Times New Roman" w:cstheme="majorBidi"/>
      <w:lang w:val="en-GB"/>
    </w:rPr>
  </w:style>
  <w:style w:type="character" w:customStyle="1" w:styleId="Heading6Char">
    <w:name w:val="Heading 6 Char"/>
    <w:basedOn w:val="DefaultParagraphFont"/>
    <w:link w:val="Heading6"/>
    <w:uiPriority w:val="9"/>
    <w:rsid w:val="00E54091"/>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E54091"/>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E5409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E54091"/>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B965E2"/>
    <w:pPr>
      <w:tabs>
        <w:tab w:val="center" w:pos="4320"/>
        <w:tab w:val="right" w:pos="8640"/>
      </w:tabs>
    </w:pPr>
  </w:style>
  <w:style w:type="character" w:customStyle="1" w:styleId="HeaderChar">
    <w:name w:val="Header Char"/>
    <w:basedOn w:val="DefaultParagraphFont"/>
    <w:link w:val="Header"/>
    <w:uiPriority w:val="99"/>
    <w:rsid w:val="00B965E2"/>
    <w:rPr>
      <w:rFonts w:ascii="Times New Roman" w:hAnsi="Times New Roman"/>
      <w:lang w:val="en-GB"/>
    </w:rPr>
  </w:style>
  <w:style w:type="paragraph" w:styleId="Footer">
    <w:name w:val="footer"/>
    <w:basedOn w:val="Normal"/>
    <w:link w:val="FooterChar"/>
    <w:uiPriority w:val="99"/>
    <w:unhideWhenUsed/>
    <w:rsid w:val="00B965E2"/>
    <w:pPr>
      <w:tabs>
        <w:tab w:val="center" w:pos="4320"/>
        <w:tab w:val="right" w:pos="8640"/>
      </w:tabs>
    </w:pPr>
  </w:style>
  <w:style w:type="character" w:customStyle="1" w:styleId="FooterChar">
    <w:name w:val="Footer Char"/>
    <w:basedOn w:val="DefaultParagraphFont"/>
    <w:link w:val="Footer"/>
    <w:uiPriority w:val="99"/>
    <w:rsid w:val="00B965E2"/>
    <w:rPr>
      <w:rFonts w:ascii="Times New Roman" w:hAnsi="Times New Roman"/>
      <w:lang w:val="en-GB"/>
    </w:rPr>
  </w:style>
  <w:style w:type="character" w:styleId="PageNumber">
    <w:name w:val="page number"/>
    <w:basedOn w:val="DefaultParagraphFont"/>
    <w:uiPriority w:val="99"/>
    <w:semiHidden/>
    <w:unhideWhenUsed/>
    <w:rsid w:val="0057405A"/>
  </w:style>
  <w:style w:type="paragraph" w:styleId="BodyText2">
    <w:name w:val="Body Text 2"/>
    <w:basedOn w:val="Normal"/>
    <w:link w:val="BodyText2Char"/>
    <w:uiPriority w:val="1"/>
    <w:qFormat/>
    <w:rsid w:val="00C71CD4"/>
    <w:pPr>
      <w:tabs>
        <w:tab w:val="num" w:pos="907"/>
      </w:tabs>
      <w:spacing w:after="240"/>
      <w:ind w:left="907" w:hanging="340"/>
      <w:jc w:val="both"/>
    </w:pPr>
    <w:rPr>
      <w:rFonts w:ascii="Verdana" w:eastAsia="Calibri" w:hAnsi="Verdana" w:cs="Times New Roman"/>
      <w:sz w:val="18"/>
      <w:szCs w:val="22"/>
    </w:rPr>
  </w:style>
  <w:style w:type="character" w:customStyle="1" w:styleId="BodyText2Char">
    <w:name w:val="Body Text 2 Char"/>
    <w:basedOn w:val="DefaultParagraphFont"/>
    <w:link w:val="BodyText2"/>
    <w:uiPriority w:val="1"/>
    <w:rsid w:val="00C71CD4"/>
    <w:rPr>
      <w:rFonts w:ascii="Verdana" w:eastAsia="Calibri" w:hAnsi="Verdana" w:cs="Times New Roman"/>
      <w:sz w:val="18"/>
      <w:szCs w:val="22"/>
      <w:lang w:val="en-GB"/>
    </w:rPr>
  </w:style>
  <w:style w:type="paragraph" w:styleId="BodyText3">
    <w:name w:val="Body Text 3"/>
    <w:basedOn w:val="Normal"/>
    <w:link w:val="BodyText3Char"/>
    <w:uiPriority w:val="1"/>
    <w:qFormat/>
    <w:rsid w:val="00C71CD4"/>
    <w:pPr>
      <w:tabs>
        <w:tab w:val="num" w:pos="1247"/>
      </w:tabs>
      <w:spacing w:after="240"/>
      <w:ind w:left="1247" w:hanging="340"/>
      <w:jc w:val="both"/>
    </w:pPr>
    <w:rPr>
      <w:rFonts w:ascii="Verdana" w:eastAsia="Calibri" w:hAnsi="Verdana" w:cs="Times New Roman"/>
      <w:sz w:val="18"/>
      <w:szCs w:val="16"/>
    </w:rPr>
  </w:style>
  <w:style w:type="character" w:customStyle="1" w:styleId="BodyText3Char">
    <w:name w:val="Body Text 3 Char"/>
    <w:basedOn w:val="DefaultParagraphFont"/>
    <w:link w:val="BodyText3"/>
    <w:uiPriority w:val="1"/>
    <w:rsid w:val="00C71CD4"/>
    <w:rPr>
      <w:rFonts w:ascii="Verdana" w:eastAsia="Calibri" w:hAnsi="Verdana" w:cs="Times New Roman"/>
      <w:sz w:val="18"/>
      <w:szCs w:val="16"/>
      <w:lang w:val="en-GB"/>
    </w:rPr>
  </w:style>
  <w:style w:type="table" w:styleId="TableGrid">
    <w:name w:val="Table Grid"/>
    <w:aliases w:val="Table NEW"/>
    <w:basedOn w:val="TableNormal"/>
    <w:uiPriority w:val="59"/>
    <w:rsid w:val="00492BE6"/>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BE6"/>
    <w:rPr>
      <w:color w:val="0000FF" w:themeColor="hyperlink"/>
      <w:u w:val="single"/>
    </w:rPr>
  </w:style>
  <w:style w:type="paragraph" w:customStyle="1" w:styleId="CharChar6CharCharCharCharCharChar">
    <w:name w:val="Char Char6 Char Char Char Char Char Char"/>
    <w:aliases w:val="Char6 Char Char Char Char Char Char Char"/>
    <w:basedOn w:val="Normal"/>
    <w:link w:val="FootnoteReference"/>
    <w:uiPriority w:val="5"/>
    <w:rsid w:val="00B50195"/>
    <w:pPr>
      <w:spacing w:line="360" w:lineRule="auto"/>
      <w:jc w:val="center"/>
    </w:pPr>
    <w:rPr>
      <w:rFonts w:asciiTheme="minorHAnsi" w:hAnsiTheme="minorHAnsi"/>
      <w:sz w:val="22"/>
      <w:szCs w:val="22"/>
      <w:vertAlign w:val="superscript"/>
      <w:lang w:val="en-US"/>
    </w:rPr>
  </w:style>
  <w:style w:type="paragraph" w:styleId="ListBullet">
    <w:name w:val="List Bullet"/>
    <w:basedOn w:val="Normal"/>
    <w:uiPriority w:val="99"/>
    <w:unhideWhenUsed/>
    <w:rsid w:val="00AC3698"/>
    <w:pPr>
      <w:numPr>
        <w:numId w:val="5"/>
      </w:numPr>
      <w:spacing w:after="240"/>
      <w:ind w:left="1080"/>
    </w:pPr>
  </w:style>
  <w:style w:type="paragraph" w:customStyle="1" w:styleId="Default">
    <w:name w:val="Default"/>
    <w:rsid w:val="007C6993"/>
    <w:pPr>
      <w:widowControl w:val="0"/>
      <w:autoSpaceDE w:val="0"/>
      <w:autoSpaceDN w:val="0"/>
      <w:adjustRightInd w:val="0"/>
    </w:pPr>
    <w:rPr>
      <w:rFonts w:ascii="Verdana" w:eastAsiaTheme="minorHAnsi"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89634">
      <w:bodyDiv w:val="1"/>
      <w:marLeft w:val="0"/>
      <w:marRight w:val="0"/>
      <w:marTop w:val="0"/>
      <w:marBottom w:val="0"/>
      <w:divBdr>
        <w:top w:val="none" w:sz="0" w:space="0" w:color="auto"/>
        <w:left w:val="none" w:sz="0" w:space="0" w:color="auto"/>
        <w:bottom w:val="none" w:sz="0" w:space="0" w:color="auto"/>
        <w:right w:val="none" w:sz="0" w:space="0" w:color="auto"/>
      </w:divBdr>
    </w:div>
    <w:div w:id="763770477">
      <w:bodyDiv w:val="1"/>
      <w:marLeft w:val="0"/>
      <w:marRight w:val="0"/>
      <w:marTop w:val="0"/>
      <w:marBottom w:val="0"/>
      <w:divBdr>
        <w:top w:val="none" w:sz="0" w:space="0" w:color="auto"/>
        <w:left w:val="none" w:sz="0" w:space="0" w:color="auto"/>
        <w:bottom w:val="none" w:sz="0" w:space="0" w:color="auto"/>
        <w:right w:val="none" w:sz="0" w:space="0" w:color="auto"/>
      </w:divBdr>
      <w:divsChild>
        <w:div w:id="293290610">
          <w:marLeft w:val="0"/>
          <w:marRight w:val="0"/>
          <w:marTop w:val="0"/>
          <w:marBottom w:val="0"/>
          <w:divBdr>
            <w:top w:val="none" w:sz="0" w:space="0" w:color="auto"/>
            <w:left w:val="none" w:sz="0" w:space="0" w:color="auto"/>
            <w:bottom w:val="none" w:sz="0" w:space="0" w:color="auto"/>
            <w:right w:val="none" w:sz="0" w:space="0" w:color="auto"/>
          </w:divBdr>
          <w:divsChild>
            <w:div w:id="1393042044">
              <w:marLeft w:val="0"/>
              <w:marRight w:val="0"/>
              <w:marTop w:val="900"/>
              <w:marBottom w:val="0"/>
              <w:divBdr>
                <w:top w:val="none" w:sz="0" w:space="0" w:color="auto"/>
                <w:left w:val="none" w:sz="0" w:space="0" w:color="auto"/>
                <w:bottom w:val="none" w:sz="0" w:space="0" w:color="auto"/>
                <w:right w:val="none" w:sz="0" w:space="0" w:color="auto"/>
              </w:divBdr>
              <w:divsChild>
                <w:div w:id="903301327">
                  <w:marLeft w:val="0"/>
                  <w:marRight w:val="0"/>
                  <w:marTop w:val="0"/>
                  <w:marBottom w:val="0"/>
                  <w:divBdr>
                    <w:top w:val="none" w:sz="0" w:space="0" w:color="auto"/>
                    <w:left w:val="none" w:sz="0" w:space="0" w:color="auto"/>
                    <w:bottom w:val="none" w:sz="0" w:space="0" w:color="auto"/>
                    <w:right w:val="none" w:sz="0" w:space="0" w:color="auto"/>
                  </w:divBdr>
                  <w:divsChild>
                    <w:div w:id="928150874">
                      <w:marLeft w:val="0"/>
                      <w:marRight w:val="0"/>
                      <w:marTop w:val="0"/>
                      <w:marBottom w:val="0"/>
                      <w:divBdr>
                        <w:top w:val="none" w:sz="0" w:space="0" w:color="auto"/>
                        <w:left w:val="none" w:sz="0" w:space="0" w:color="auto"/>
                        <w:bottom w:val="none" w:sz="0" w:space="0" w:color="auto"/>
                        <w:right w:val="none" w:sz="0" w:space="0" w:color="auto"/>
                      </w:divBdr>
                      <w:divsChild>
                        <w:div w:id="2026326326">
                          <w:marLeft w:val="0"/>
                          <w:marRight w:val="0"/>
                          <w:marTop w:val="0"/>
                          <w:marBottom w:val="0"/>
                          <w:divBdr>
                            <w:top w:val="none" w:sz="0" w:space="0" w:color="auto"/>
                            <w:left w:val="none" w:sz="0" w:space="0" w:color="auto"/>
                            <w:bottom w:val="none" w:sz="0" w:space="0" w:color="auto"/>
                            <w:right w:val="none" w:sz="0" w:space="0" w:color="auto"/>
                          </w:divBdr>
                          <w:divsChild>
                            <w:div w:id="1068768027">
                              <w:marLeft w:val="0"/>
                              <w:marRight w:val="0"/>
                              <w:marTop w:val="0"/>
                              <w:marBottom w:val="0"/>
                              <w:divBdr>
                                <w:top w:val="none" w:sz="0" w:space="0" w:color="auto"/>
                                <w:left w:val="none" w:sz="0" w:space="0" w:color="auto"/>
                                <w:bottom w:val="none" w:sz="0" w:space="0" w:color="auto"/>
                                <w:right w:val="none" w:sz="0" w:space="0" w:color="auto"/>
                              </w:divBdr>
                              <w:divsChild>
                                <w:div w:id="890312517">
                                  <w:marLeft w:val="0"/>
                                  <w:marRight w:val="0"/>
                                  <w:marTop w:val="0"/>
                                  <w:marBottom w:val="0"/>
                                  <w:divBdr>
                                    <w:top w:val="none" w:sz="0" w:space="0" w:color="auto"/>
                                    <w:left w:val="none" w:sz="0" w:space="0" w:color="auto"/>
                                    <w:bottom w:val="none" w:sz="0" w:space="0" w:color="auto"/>
                                    <w:right w:val="none" w:sz="0" w:space="0" w:color="auto"/>
                                  </w:divBdr>
                                  <w:divsChild>
                                    <w:div w:id="2006013753">
                                      <w:marLeft w:val="0"/>
                                      <w:marRight w:val="0"/>
                                      <w:marTop w:val="0"/>
                                      <w:marBottom w:val="0"/>
                                      <w:divBdr>
                                        <w:top w:val="none" w:sz="0" w:space="0" w:color="auto"/>
                                        <w:left w:val="none" w:sz="0" w:space="0" w:color="auto"/>
                                        <w:bottom w:val="none" w:sz="0" w:space="0" w:color="auto"/>
                                        <w:right w:val="none" w:sz="0" w:space="0" w:color="auto"/>
                                      </w:divBdr>
                                      <w:divsChild>
                                        <w:div w:id="703948046">
                                          <w:marLeft w:val="0"/>
                                          <w:marRight w:val="0"/>
                                          <w:marTop w:val="15"/>
                                          <w:marBottom w:val="0"/>
                                          <w:divBdr>
                                            <w:top w:val="none" w:sz="0" w:space="0" w:color="auto"/>
                                            <w:left w:val="none" w:sz="0" w:space="0" w:color="auto"/>
                                            <w:bottom w:val="none" w:sz="0" w:space="0" w:color="auto"/>
                                            <w:right w:val="none" w:sz="0" w:space="0" w:color="auto"/>
                                          </w:divBdr>
                                          <w:divsChild>
                                            <w:div w:id="467865782">
                                              <w:marLeft w:val="0"/>
                                              <w:marRight w:val="0"/>
                                              <w:marTop w:val="0"/>
                                              <w:marBottom w:val="0"/>
                                              <w:divBdr>
                                                <w:top w:val="none" w:sz="0" w:space="0" w:color="auto"/>
                                                <w:left w:val="none" w:sz="0" w:space="0" w:color="auto"/>
                                                <w:bottom w:val="none" w:sz="0" w:space="0" w:color="auto"/>
                                                <w:right w:val="none" w:sz="0" w:space="0" w:color="auto"/>
                                              </w:divBdr>
                                              <w:divsChild>
                                                <w:div w:id="1324089789">
                                                  <w:marLeft w:val="0"/>
                                                  <w:marRight w:val="0"/>
                                                  <w:marTop w:val="0"/>
                                                  <w:marBottom w:val="0"/>
                                                  <w:divBdr>
                                                    <w:top w:val="none" w:sz="0" w:space="0" w:color="auto"/>
                                                    <w:left w:val="none" w:sz="0" w:space="0" w:color="auto"/>
                                                    <w:bottom w:val="none" w:sz="0" w:space="0" w:color="auto"/>
                                                    <w:right w:val="none" w:sz="0" w:space="0" w:color="auto"/>
                                                  </w:divBdr>
                                                </w:div>
                                                <w:div w:id="927428042">
                                                  <w:marLeft w:val="0"/>
                                                  <w:marRight w:val="0"/>
                                                  <w:marTop w:val="0"/>
                                                  <w:marBottom w:val="0"/>
                                                  <w:divBdr>
                                                    <w:top w:val="none" w:sz="0" w:space="0" w:color="auto"/>
                                                    <w:left w:val="none" w:sz="0" w:space="0" w:color="auto"/>
                                                    <w:bottom w:val="none" w:sz="0" w:space="0" w:color="auto"/>
                                                    <w:right w:val="none" w:sz="0" w:space="0" w:color="auto"/>
                                                  </w:divBdr>
                                                </w:div>
                                                <w:div w:id="197157726">
                                                  <w:marLeft w:val="0"/>
                                                  <w:marRight w:val="0"/>
                                                  <w:marTop w:val="0"/>
                                                  <w:marBottom w:val="0"/>
                                                  <w:divBdr>
                                                    <w:top w:val="none" w:sz="0" w:space="0" w:color="auto"/>
                                                    <w:left w:val="none" w:sz="0" w:space="0" w:color="auto"/>
                                                    <w:bottom w:val="none" w:sz="0" w:space="0" w:color="auto"/>
                                                    <w:right w:val="none" w:sz="0" w:space="0" w:color="auto"/>
                                                  </w:divBdr>
                                                </w:div>
                                                <w:div w:id="681247779">
                                                  <w:marLeft w:val="0"/>
                                                  <w:marRight w:val="0"/>
                                                  <w:marTop w:val="0"/>
                                                  <w:marBottom w:val="0"/>
                                                  <w:divBdr>
                                                    <w:top w:val="none" w:sz="0" w:space="0" w:color="auto"/>
                                                    <w:left w:val="none" w:sz="0" w:space="0" w:color="auto"/>
                                                    <w:bottom w:val="none" w:sz="0" w:space="0" w:color="auto"/>
                                                    <w:right w:val="none" w:sz="0" w:space="0" w:color="auto"/>
                                                  </w:divBdr>
                                                </w:div>
                                                <w:div w:id="815416367">
                                                  <w:marLeft w:val="0"/>
                                                  <w:marRight w:val="0"/>
                                                  <w:marTop w:val="0"/>
                                                  <w:marBottom w:val="0"/>
                                                  <w:divBdr>
                                                    <w:top w:val="none" w:sz="0" w:space="0" w:color="auto"/>
                                                    <w:left w:val="none" w:sz="0" w:space="0" w:color="auto"/>
                                                    <w:bottom w:val="none" w:sz="0" w:space="0" w:color="auto"/>
                                                    <w:right w:val="none" w:sz="0" w:space="0" w:color="auto"/>
                                                  </w:divBdr>
                                                </w:div>
                                                <w:div w:id="1412775055">
                                                  <w:marLeft w:val="0"/>
                                                  <w:marRight w:val="0"/>
                                                  <w:marTop w:val="0"/>
                                                  <w:marBottom w:val="0"/>
                                                  <w:divBdr>
                                                    <w:top w:val="none" w:sz="0" w:space="0" w:color="auto"/>
                                                    <w:left w:val="none" w:sz="0" w:space="0" w:color="auto"/>
                                                    <w:bottom w:val="none" w:sz="0" w:space="0" w:color="auto"/>
                                                    <w:right w:val="none" w:sz="0" w:space="0" w:color="auto"/>
                                                  </w:divBdr>
                                                </w:div>
                                                <w:div w:id="1348605170">
                                                  <w:marLeft w:val="0"/>
                                                  <w:marRight w:val="0"/>
                                                  <w:marTop w:val="0"/>
                                                  <w:marBottom w:val="0"/>
                                                  <w:divBdr>
                                                    <w:top w:val="none" w:sz="0" w:space="0" w:color="auto"/>
                                                    <w:left w:val="none" w:sz="0" w:space="0" w:color="auto"/>
                                                    <w:bottom w:val="none" w:sz="0" w:space="0" w:color="auto"/>
                                                    <w:right w:val="none" w:sz="0" w:space="0" w:color="auto"/>
                                                  </w:divBdr>
                                                </w:div>
                                                <w:div w:id="98642250">
                                                  <w:marLeft w:val="0"/>
                                                  <w:marRight w:val="0"/>
                                                  <w:marTop w:val="0"/>
                                                  <w:marBottom w:val="0"/>
                                                  <w:divBdr>
                                                    <w:top w:val="none" w:sz="0" w:space="0" w:color="auto"/>
                                                    <w:left w:val="none" w:sz="0" w:space="0" w:color="auto"/>
                                                    <w:bottom w:val="none" w:sz="0" w:space="0" w:color="auto"/>
                                                    <w:right w:val="none" w:sz="0" w:space="0" w:color="auto"/>
                                                  </w:divBdr>
                                                </w:div>
                                                <w:div w:id="385759490">
                                                  <w:marLeft w:val="0"/>
                                                  <w:marRight w:val="0"/>
                                                  <w:marTop w:val="0"/>
                                                  <w:marBottom w:val="0"/>
                                                  <w:divBdr>
                                                    <w:top w:val="none" w:sz="0" w:space="0" w:color="auto"/>
                                                    <w:left w:val="none" w:sz="0" w:space="0" w:color="auto"/>
                                                    <w:bottom w:val="none" w:sz="0" w:space="0" w:color="auto"/>
                                                    <w:right w:val="none" w:sz="0" w:space="0" w:color="auto"/>
                                                  </w:divBdr>
                                                </w:div>
                                                <w:div w:id="252596653">
                                                  <w:marLeft w:val="0"/>
                                                  <w:marRight w:val="0"/>
                                                  <w:marTop w:val="0"/>
                                                  <w:marBottom w:val="0"/>
                                                  <w:divBdr>
                                                    <w:top w:val="none" w:sz="0" w:space="0" w:color="auto"/>
                                                    <w:left w:val="none" w:sz="0" w:space="0" w:color="auto"/>
                                                    <w:bottom w:val="none" w:sz="0" w:space="0" w:color="auto"/>
                                                    <w:right w:val="none" w:sz="0" w:space="0" w:color="auto"/>
                                                  </w:divBdr>
                                                </w:div>
                                                <w:div w:id="132673741">
                                                  <w:marLeft w:val="0"/>
                                                  <w:marRight w:val="0"/>
                                                  <w:marTop w:val="0"/>
                                                  <w:marBottom w:val="0"/>
                                                  <w:divBdr>
                                                    <w:top w:val="none" w:sz="0" w:space="0" w:color="auto"/>
                                                    <w:left w:val="none" w:sz="0" w:space="0" w:color="auto"/>
                                                    <w:bottom w:val="none" w:sz="0" w:space="0" w:color="auto"/>
                                                    <w:right w:val="none" w:sz="0" w:space="0" w:color="auto"/>
                                                  </w:divBdr>
                                                </w:div>
                                                <w:div w:id="544097040">
                                                  <w:marLeft w:val="0"/>
                                                  <w:marRight w:val="0"/>
                                                  <w:marTop w:val="0"/>
                                                  <w:marBottom w:val="0"/>
                                                  <w:divBdr>
                                                    <w:top w:val="none" w:sz="0" w:space="0" w:color="auto"/>
                                                    <w:left w:val="none" w:sz="0" w:space="0" w:color="auto"/>
                                                    <w:bottom w:val="none" w:sz="0" w:space="0" w:color="auto"/>
                                                    <w:right w:val="none" w:sz="0" w:space="0" w:color="auto"/>
                                                  </w:divBdr>
                                                </w:div>
                                                <w:div w:id="1204051421">
                                                  <w:marLeft w:val="0"/>
                                                  <w:marRight w:val="0"/>
                                                  <w:marTop w:val="0"/>
                                                  <w:marBottom w:val="0"/>
                                                  <w:divBdr>
                                                    <w:top w:val="none" w:sz="0" w:space="0" w:color="auto"/>
                                                    <w:left w:val="none" w:sz="0" w:space="0" w:color="auto"/>
                                                    <w:bottom w:val="none" w:sz="0" w:space="0" w:color="auto"/>
                                                    <w:right w:val="none" w:sz="0" w:space="0" w:color="auto"/>
                                                  </w:divBdr>
                                                </w:div>
                                                <w:div w:id="11732896">
                                                  <w:marLeft w:val="0"/>
                                                  <w:marRight w:val="0"/>
                                                  <w:marTop w:val="0"/>
                                                  <w:marBottom w:val="0"/>
                                                  <w:divBdr>
                                                    <w:top w:val="none" w:sz="0" w:space="0" w:color="auto"/>
                                                    <w:left w:val="none" w:sz="0" w:space="0" w:color="auto"/>
                                                    <w:bottom w:val="none" w:sz="0" w:space="0" w:color="auto"/>
                                                    <w:right w:val="none" w:sz="0" w:space="0" w:color="auto"/>
                                                  </w:divBdr>
                                                </w:div>
                                                <w:div w:id="559444053">
                                                  <w:marLeft w:val="0"/>
                                                  <w:marRight w:val="0"/>
                                                  <w:marTop w:val="0"/>
                                                  <w:marBottom w:val="0"/>
                                                  <w:divBdr>
                                                    <w:top w:val="none" w:sz="0" w:space="0" w:color="auto"/>
                                                    <w:left w:val="none" w:sz="0" w:space="0" w:color="auto"/>
                                                    <w:bottom w:val="none" w:sz="0" w:space="0" w:color="auto"/>
                                                    <w:right w:val="none" w:sz="0" w:space="0" w:color="auto"/>
                                                  </w:divBdr>
                                                </w:div>
                                                <w:div w:id="66458259">
                                                  <w:marLeft w:val="0"/>
                                                  <w:marRight w:val="0"/>
                                                  <w:marTop w:val="0"/>
                                                  <w:marBottom w:val="0"/>
                                                  <w:divBdr>
                                                    <w:top w:val="none" w:sz="0" w:space="0" w:color="auto"/>
                                                    <w:left w:val="none" w:sz="0" w:space="0" w:color="auto"/>
                                                    <w:bottom w:val="none" w:sz="0" w:space="0" w:color="auto"/>
                                                    <w:right w:val="none" w:sz="0" w:space="0" w:color="auto"/>
                                                  </w:divBdr>
                                                </w:div>
                                                <w:div w:id="758453321">
                                                  <w:marLeft w:val="0"/>
                                                  <w:marRight w:val="0"/>
                                                  <w:marTop w:val="0"/>
                                                  <w:marBottom w:val="0"/>
                                                  <w:divBdr>
                                                    <w:top w:val="none" w:sz="0" w:space="0" w:color="auto"/>
                                                    <w:left w:val="none" w:sz="0" w:space="0" w:color="auto"/>
                                                    <w:bottom w:val="none" w:sz="0" w:space="0" w:color="auto"/>
                                                    <w:right w:val="none" w:sz="0" w:space="0" w:color="auto"/>
                                                  </w:divBdr>
                                                </w:div>
                                                <w:div w:id="856819802">
                                                  <w:marLeft w:val="0"/>
                                                  <w:marRight w:val="0"/>
                                                  <w:marTop w:val="0"/>
                                                  <w:marBottom w:val="0"/>
                                                  <w:divBdr>
                                                    <w:top w:val="none" w:sz="0" w:space="0" w:color="auto"/>
                                                    <w:left w:val="none" w:sz="0" w:space="0" w:color="auto"/>
                                                    <w:bottom w:val="none" w:sz="0" w:space="0" w:color="auto"/>
                                                    <w:right w:val="none" w:sz="0" w:space="0" w:color="auto"/>
                                                  </w:divBdr>
                                                </w:div>
                                                <w:div w:id="1995720410">
                                                  <w:marLeft w:val="0"/>
                                                  <w:marRight w:val="0"/>
                                                  <w:marTop w:val="0"/>
                                                  <w:marBottom w:val="0"/>
                                                  <w:divBdr>
                                                    <w:top w:val="none" w:sz="0" w:space="0" w:color="auto"/>
                                                    <w:left w:val="none" w:sz="0" w:space="0" w:color="auto"/>
                                                    <w:bottom w:val="none" w:sz="0" w:space="0" w:color="auto"/>
                                                    <w:right w:val="none" w:sz="0" w:space="0" w:color="auto"/>
                                                  </w:divBdr>
                                                </w:div>
                                                <w:div w:id="1167138149">
                                                  <w:marLeft w:val="0"/>
                                                  <w:marRight w:val="0"/>
                                                  <w:marTop w:val="0"/>
                                                  <w:marBottom w:val="0"/>
                                                  <w:divBdr>
                                                    <w:top w:val="none" w:sz="0" w:space="0" w:color="auto"/>
                                                    <w:left w:val="none" w:sz="0" w:space="0" w:color="auto"/>
                                                    <w:bottom w:val="none" w:sz="0" w:space="0" w:color="auto"/>
                                                    <w:right w:val="none" w:sz="0" w:space="0" w:color="auto"/>
                                                  </w:divBdr>
                                                </w:div>
                                                <w:div w:id="1244797200">
                                                  <w:marLeft w:val="0"/>
                                                  <w:marRight w:val="0"/>
                                                  <w:marTop w:val="0"/>
                                                  <w:marBottom w:val="0"/>
                                                  <w:divBdr>
                                                    <w:top w:val="none" w:sz="0" w:space="0" w:color="auto"/>
                                                    <w:left w:val="none" w:sz="0" w:space="0" w:color="auto"/>
                                                    <w:bottom w:val="none" w:sz="0" w:space="0" w:color="auto"/>
                                                    <w:right w:val="none" w:sz="0" w:space="0" w:color="auto"/>
                                                  </w:divBdr>
                                                </w:div>
                                                <w:div w:id="2025276596">
                                                  <w:marLeft w:val="0"/>
                                                  <w:marRight w:val="0"/>
                                                  <w:marTop w:val="0"/>
                                                  <w:marBottom w:val="0"/>
                                                  <w:divBdr>
                                                    <w:top w:val="none" w:sz="0" w:space="0" w:color="auto"/>
                                                    <w:left w:val="none" w:sz="0" w:space="0" w:color="auto"/>
                                                    <w:bottom w:val="none" w:sz="0" w:space="0" w:color="auto"/>
                                                    <w:right w:val="none" w:sz="0" w:space="0" w:color="auto"/>
                                                  </w:divBdr>
                                                </w:div>
                                                <w:div w:id="1097873809">
                                                  <w:marLeft w:val="0"/>
                                                  <w:marRight w:val="0"/>
                                                  <w:marTop w:val="0"/>
                                                  <w:marBottom w:val="0"/>
                                                  <w:divBdr>
                                                    <w:top w:val="none" w:sz="0" w:space="0" w:color="auto"/>
                                                    <w:left w:val="none" w:sz="0" w:space="0" w:color="auto"/>
                                                    <w:bottom w:val="none" w:sz="0" w:space="0" w:color="auto"/>
                                                    <w:right w:val="none" w:sz="0" w:space="0" w:color="auto"/>
                                                  </w:divBdr>
                                                </w:div>
                                                <w:div w:id="190073520">
                                                  <w:marLeft w:val="0"/>
                                                  <w:marRight w:val="0"/>
                                                  <w:marTop w:val="0"/>
                                                  <w:marBottom w:val="0"/>
                                                  <w:divBdr>
                                                    <w:top w:val="none" w:sz="0" w:space="0" w:color="auto"/>
                                                    <w:left w:val="none" w:sz="0" w:space="0" w:color="auto"/>
                                                    <w:bottom w:val="none" w:sz="0" w:space="0" w:color="auto"/>
                                                    <w:right w:val="none" w:sz="0" w:space="0" w:color="auto"/>
                                                  </w:divBdr>
                                                </w:div>
                                                <w:div w:id="1324775956">
                                                  <w:marLeft w:val="0"/>
                                                  <w:marRight w:val="0"/>
                                                  <w:marTop w:val="0"/>
                                                  <w:marBottom w:val="0"/>
                                                  <w:divBdr>
                                                    <w:top w:val="none" w:sz="0" w:space="0" w:color="auto"/>
                                                    <w:left w:val="none" w:sz="0" w:space="0" w:color="auto"/>
                                                    <w:bottom w:val="none" w:sz="0" w:space="0" w:color="auto"/>
                                                    <w:right w:val="none" w:sz="0" w:space="0" w:color="auto"/>
                                                  </w:divBdr>
                                                </w:div>
                                                <w:div w:id="2105302228">
                                                  <w:marLeft w:val="0"/>
                                                  <w:marRight w:val="0"/>
                                                  <w:marTop w:val="0"/>
                                                  <w:marBottom w:val="0"/>
                                                  <w:divBdr>
                                                    <w:top w:val="none" w:sz="0" w:space="0" w:color="auto"/>
                                                    <w:left w:val="none" w:sz="0" w:space="0" w:color="auto"/>
                                                    <w:bottom w:val="none" w:sz="0" w:space="0" w:color="auto"/>
                                                    <w:right w:val="none" w:sz="0" w:space="0" w:color="auto"/>
                                                  </w:divBdr>
                                                </w:div>
                                                <w:div w:id="1479804318">
                                                  <w:marLeft w:val="0"/>
                                                  <w:marRight w:val="0"/>
                                                  <w:marTop w:val="0"/>
                                                  <w:marBottom w:val="0"/>
                                                  <w:divBdr>
                                                    <w:top w:val="none" w:sz="0" w:space="0" w:color="auto"/>
                                                    <w:left w:val="none" w:sz="0" w:space="0" w:color="auto"/>
                                                    <w:bottom w:val="none" w:sz="0" w:space="0" w:color="auto"/>
                                                    <w:right w:val="none" w:sz="0" w:space="0" w:color="auto"/>
                                                  </w:divBdr>
                                                </w:div>
                                                <w:div w:id="208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797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7604E26285C429F22B1400DD34621" ma:contentTypeVersion="1" ma:contentTypeDescription="Create a new document." ma:contentTypeScope="" ma:versionID="76d212fe83a5057847ac599ac1969aa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8104BD-003A-409B-9703-2D4CC3896422}"/>
</file>

<file path=customXml/itemProps2.xml><?xml version="1.0" encoding="utf-8"?>
<ds:datastoreItem xmlns:ds="http://schemas.openxmlformats.org/officeDocument/2006/customXml" ds:itemID="{F58DB2FD-549D-4975-82C2-0011D8F274CD}"/>
</file>

<file path=customXml/itemProps3.xml><?xml version="1.0" encoding="utf-8"?>
<ds:datastoreItem xmlns:ds="http://schemas.openxmlformats.org/officeDocument/2006/customXml" ds:itemID="{3DFDC942-54D9-4197-94B0-BCE52055AF1B}"/>
</file>

<file path=customXml/itemProps4.xml><?xml version="1.0" encoding="utf-8"?>
<ds:datastoreItem xmlns:ds="http://schemas.openxmlformats.org/officeDocument/2006/customXml" ds:itemID="{BF7DDCF8-569C-4400-9E34-DC8D1B5B8935}"/>
</file>

<file path=docProps/app.xml><?xml version="1.0" encoding="utf-8"?>
<Properties xmlns="http://schemas.openxmlformats.org/officeDocument/2006/extended-properties" xmlns:vt="http://schemas.openxmlformats.org/officeDocument/2006/docPropsVTypes">
  <Template>Normal.dotm</Template>
  <TotalTime>0</TotalTime>
  <Pages>27</Pages>
  <Words>10429</Words>
  <Characters>59450</Characters>
  <Application>Microsoft Office Word</Application>
  <DocSecurity>0</DocSecurity>
  <Lines>495</Lines>
  <Paragraphs>139</Paragraphs>
  <ScaleCrop>false</ScaleCrop>
  <Company/>
  <LinksUpToDate>false</LinksUpToDate>
  <CharactersWithSpaces>69740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Australia's Appellee Submission</dc:title>
  <dc:creator/>
  <cp:lastModifiedBy/>
  <cp:revision>1</cp:revision>
  <dcterms:created xsi:type="dcterms:W3CDTF">2018-10-08T23:49:00Z</dcterms:created>
  <dcterms:modified xsi:type="dcterms:W3CDTF">2018-10-08T23:49:00Z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b2614a34-df02-4cc4-9d58-56bb8e744318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0x0101007DF7604E26285C429F22B1400DD34621</vt:lpwstr>
  </property>
  <property fmtid="{D5CDD505-2E9C-101B-9397-08002B2CF9AE}" pid="6" name="Order">
    <vt:r8>18000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