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Pr="00BA6BFA" w:rsidRDefault="00FE6F2A" w:rsidP="00F25A93">
      <w:pPr>
        <w:pStyle w:val="SpacebeforeTitle"/>
        <w:rPr>
          <w:color w:val="36424B" w:themeColor="text2" w:themeShade="BF"/>
        </w:rPr>
      </w:pPr>
    </w:p>
    <w:p w:rsidR="00992C76" w:rsidRPr="00BA6BFA" w:rsidRDefault="001415DA" w:rsidP="002E254F">
      <w:pPr>
        <w:pStyle w:val="Heading1"/>
      </w:pPr>
      <w:r w:rsidRPr="00BA6BFA">
        <w:t>a</w:t>
      </w:r>
      <w:r w:rsidR="00371554">
        <w:t>USTRALIAN NGO COOPERATION PROGRAM (A</w:t>
      </w:r>
      <w:r w:rsidRPr="00BA6BFA">
        <w:t>ncp</w:t>
      </w:r>
      <w:r w:rsidR="00371554">
        <w:t>)</w:t>
      </w:r>
      <w:r w:rsidRPr="00BA6BFA">
        <w:t xml:space="preserve"> annual reflections 201</w:t>
      </w:r>
      <w:r w:rsidR="00A03EFF">
        <w:t>9</w:t>
      </w:r>
      <w:r w:rsidRPr="00BA6BFA">
        <w:t>: outcomes document</w:t>
      </w:r>
      <w:r w:rsidR="00D37B04" w:rsidRPr="00BA6BFA">
        <w:t xml:space="preserve"> </w:t>
      </w:r>
    </w:p>
    <w:p w:rsidR="00992C76" w:rsidRPr="00BA6BFA" w:rsidRDefault="00992C76" w:rsidP="00897FA2">
      <w:pPr>
        <w:pStyle w:val="PhotoMargins"/>
        <w:rPr>
          <w:color w:val="36424B" w:themeColor="text2" w:themeShade="BF"/>
        </w:rPr>
      </w:pPr>
    </w:p>
    <w:p w:rsidR="001415DA" w:rsidRPr="00BA6BFA" w:rsidRDefault="001415DA" w:rsidP="001415DA">
      <w:pPr>
        <w:autoSpaceDE w:val="0"/>
        <w:autoSpaceDN w:val="0"/>
        <w:adjustRightInd w:val="0"/>
        <w:spacing w:after="0" w:line="276" w:lineRule="auto"/>
        <w:rPr>
          <w:rFonts w:eastAsia="Times New Roman"/>
          <w:color w:val="36424B" w:themeColor="text2" w:themeShade="BF"/>
        </w:rPr>
      </w:pPr>
      <w:r w:rsidRPr="00BA6BFA">
        <w:rPr>
          <w:rFonts w:eastAsia="Times New Roman"/>
          <w:color w:val="36424B" w:themeColor="text2" w:themeShade="BF"/>
        </w:rPr>
        <w:t xml:space="preserve">The </w:t>
      </w:r>
      <w:r w:rsidR="00A03EFF">
        <w:rPr>
          <w:rFonts w:eastAsia="Times New Roman"/>
          <w:color w:val="36424B" w:themeColor="text2" w:themeShade="BF"/>
        </w:rPr>
        <w:t>fifth</w:t>
      </w:r>
      <w:r w:rsidRPr="00BA6BFA">
        <w:rPr>
          <w:rFonts w:eastAsia="Times New Roman"/>
          <w:color w:val="36424B" w:themeColor="text2" w:themeShade="BF"/>
        </w:rPr>
        <w:t xml:space="preserve"> annual </w:t>
      </w:r>
      <w:r w:rsidR="009A55A7">
        <w:rPr>
          <w:rFonts w:eastAsia="Times New Roman"/>
          <w:color w:val="36424B" w:themeColor="text2" w:themeShade="BF"/>
        </w:rPr>
        <w:t>Australian NGO Cooperation Program (</w:t>
      </w:r>
      <w:r w:rsidRPr="00BA6BFA">
        <w:rPr>
          <w:rFonts w:eastAsia="Times New Roman"/>
          <w:color w:val="36424B" w:themeColor="text2" w:themeShade="BF"/>
        </w:rPr>
        <w:t>ANCP</w:t>
      </w:r>
      <w:r w:rsidR="009A55A7">
        <w:rPr>
          <w:rFonts w:eastAsia="Times New Roman"/>
          <w:color w:val="36424B" w:themeColor="text2" w:themeShade="BF"/>
        </w:rPr>
        <w:t>)</w:t>
      </w:r>
      <w:r w:rsidR="00A03EFF">
        <w:rPr>
          <w:rFonts w:eastAsia="Times New Roman"/>
          <w:color w:val="36424B" w:themeColor="text2" w:themeShade="BF"/>
        </w:rPr>
        <w:t xml:space="preserve"> Reflections Workshop </w:t>
      </w:r>
      <w:proofErr w:type="gramStart"/>
      <w:r w:rsidR="00A03EFF">
        <w:rPr>
          <w:rFonts w:eastAsia="Times New Roman"/>
          <w:color w:val="36424B" w:themeColor="text2" w:themeShade="BF"/>
        </w:rPr>
        <w:t>was held</w:t>
      </w:r>
      <w:proofErr w:type="gramEnd"/>
      <w:r w:rsidR="00A03EFF">
        <w:rPr>
          <w:rFonts w:eastAsia="Times New Roman"/>
          <w:color w:val="36424B" w:themeColor="text2" w:themeShade="BF"/>
        </w:rPr>
        <w:t xml:space="preserve"> o</w:t>
      </w:r>
      <w:r w:rsidRPr="00BA6BFA">
        <w:rPr>
          <w:rFonts w:eastAsia="Times New Roman"/>
          <w:color w:val="36424B" w:themeColor="text2" w:themeShade="BF"/>
        </w:rPr>
        <w:t xml:space="preserve">n </w:t>
      </w:r>
      <w:r w:rsidR="00A03EFF">
        <w:rPr>
          <w:rFonts w:eastAsia="Times New Roman"/>
          <w:color w:val="36424B" w:themeColor="text2" w:themeShade="BF"/>
        </w:rPr>
        <w:t>20 November 2019 in Canberra</w:t>
      </w:r>
      <w:r w:rsidRPr="00BA6BFA">
        <w:rPr>
          <w:rFonts w:eastAsia="Times New Roman"/>
          <w:color w:val="36424B" w:themeColor="text2" w:themeShade="BF"/>
        </w:rPr>
        <w:t>, with excellent attendance and participation by ANCP NGOs, ACFID and DFAT</w:t>
      </w:r>
      <w:r w:rsidR="00A03EFF">
        <w:rPr>
          <w:rFonts w:eastAsia="Times New Roman"/>
          <w:color w:val="36424B" w:themeColor="text2" w:themeShade="BF"/>
        </w:rPr>
        <w:t>. The purpose of the workshop</w:t>
      </w:r>
      <w:r w:rsidRPr="00BA6BFA">
        <w:rPr>
          <w:rFonts w:eastAsia="Times New Roman"/>
          <w:color w:val="36424B" w:themeColor="text2" w:themeShade="BF"/>
        </w:rPr>
        <w:t xml:space="preserve"> was to reflect on the highlights of </w:t>
      </w:r>
      <w:r w:rsidR="00A03EFF">
        <w:rPr>
          <w:rFonts w:eastAsia="Times New Roman"/>
          <w:color w:val="36424B" w:themeColor="text2" w:themeShade="BF"/>
        </w:rPr>
        <w:t>2018-19</w:t>
      </w:r>
      <w:r w:rsidRPr="00BA6BFA">
        <w:rPr>
          <w:rFonts w:eastAsia="Times New Roman"/>
          <w:color w:val="36424B" w:themeColor="text2" w:themeShade="BF"/>
        </w:rPr>
        <w:t>;</w:t>
      </w:r>
      <w:r w:rsidR="00EB5132">
        <w:rPr>
          <w:rFonts w:eastAsia="Times New Roman"/>
          <w:color w:val="36424B" w:themeColor="text2" w:themeShade="BF"/>
        </w:rPr>
        <w:t xml:space="preserve"> discuss the recent evaluation of Australia’s development assistance for ending violence against women</w:t>
      </w:r>
      <w:r w:rsidRPr="00BA6BFA">
        <w:rPr>
          <w:rFonts w:eastAsia="Times New Roman"/>
          <w:color w:val="36424B" w:themeColor="text2" w:themeShade="BF"/>
        </w:rPr>
        <w:t>;</w:t>
      </w:r>
      <w:r w:rsidR="00EB5132">
        <w:rPr>
          <w:rFonts w:eastAsia="Times New Roman"/>
          <w:color w:val="36424B" w:themeColor="text2" w:themeShade="BF"/>
        </w:rPr>
        <w:t xml:space="preserve"> receive updates and share learning from Gender Action Platform projects; discuss opportunities and challenges in targeting ANCP programming for children and young people; discuss the recent thematic review of Agriculture and Rural Development in the ANCP; receive an update on the Pacific Step-Up;</w:t>
      </w:r>
      <w:r w:rsidRPr="00BA6BFA">
        <w:rPr>
          <w:rFonts w:eastAsia="Times New Roman"/>
          <w:color w:val="36424B" w:themeColor="text2" w:themeShade="BF"/>
        </w:rPr>
        <w:t xml:space="preserve"> and provide an opportunity to provide feedback on ANCP and discuss emerging issues.</w:t>
      </w:r>
    </w:p>
    <w:p w:rsidR="002D5186" w:rsidRDefault="002D5186" w:rsidP="0048492D">
      <w:pPr>
        <w:rPr>
          <w:b/>
          <w:color w:val="36424B" w:themeColor="text2" w:themeShade="BF"/>
          <w:sz w:val="28"/>
          <w:szCs w:val="28"/>
        </w:rPr>
      </w:pPr>
    </w:p>
    <w:p w:rsidR="00774EE4" w:rsidRPr="002E254F" w:rsidRDefault="001415DA" w:rsidP="002E254F">
      <w:pPr>
        <w:pStyle w:val="Heading2"/>
      </w:pPr>
      <w:r w:rsidRPr="002E254F">
        <w:t xml:space="preserve">ANCP </w:t>
      </w:r>
      <w:r w:rsidR="00841A06" w:rsidRPr="002E254F">
        <w:t>highlights</w:t>
      </w:r>
      <w:r w:rsidR="00974DC0" w:rsidRPr="002E254F">
        <w:t xml:space="preserve"> </w:t>
      </w:r>
    </w:p>
    <w:p w:rsidR="00841A06" w:rsidRPr="00841A06" w:rsidRDefault="00841A06" w:rsidP="007B67F7">
      <w:pPr>
        <w:pStyle w:val="ListParagraph"/>
        <w:numPr>
          <w:ilvl w:val="0"/>
          <w:numId w:val="12"/>
        </w:numPr>
        <w:spacing w:after="120" w:line="276" w:lineRule="auto"/>
        <w:rPr>
          <w:rFonts w:asciiTheme="minorHAnsi" w:hAnsiTheme="minorHAnsi"/>
          <w:color w:val="36424B" w:themeColor="text2" w:themeShade="BF"/>
        </w:rPr>
      </w:pPr>
      <w:proofErr w:type="gramStart"/>
      <w:r w:rsidRPr="00841A06">
        <w:rPr>
          <w:rFonts w:asciiTheme="minorHAnsi" w:hAnsiTheme="minorHAnsi"/>
          <w:color w:val="36424B" w:themeColor="text2" w:themeShade="BF"/>
        </w:rPr>
        <w:t>The ANCP is a remarkable program, and has made significant achievements in the last year.</w:t>
      </w:r>
      <w:proofErr w:type="gramEnd"/>
      <w:r w:rsidRPr="00841A06">
        <w:rPr>
          <w:rFonts w:asciiTheme="minorHAnsi" w:hAnsiTheme="minorHAnsi"/>
          <w:color w:val="36424B" w:themeColor="text2" w:themeShade="BF"/>
        </w:rPr>
        <w:t xml:space="preserve">  In 2018-19 it funded 57 Australian </w:t>
      </w:r>
      <w:r w:rsidRPr="00371554">
        <w:rPr>
          <w:rFonts w:asciiTheme="minorHAnsi" w:hAnsiTheme="minorHAnsi"/>
          <w:color w:val="36424B" w:themeColor="text2" w:themeShade="BF"/>
        </w:rPr>
        <w:t xml:space="preserve">NGOs </w:t>
      </w:r>
      <w:r w:rsidR="005E39C3" w:rsidRPr="00371554">
        <w:rPr>
          <w:rFonts w:asciiTheme="minorHAnsi" w:hAnsiTheme="minorHAnsi"/>
          <w:color w:val="36424B" w:themeColor="text2" w:themeShade="BF"/>
        </w:rPr>
        <w:t xml:space="preserve">(ANGOs) </w:t>
      </w:r>
      <w:r w:rsidRPr="00371554">
        <w:rPr>
          <w:rFonts w:asciiTheme="minorHAnsi" w:hAnsiTheme="minorHAnsi"/>
          <w:color w:val="36424B" w:themeColor="text2" w:themeShade="BF"/>
        </w:rPr>
        <w:t>to</w:t>
      </w:r>
      <w:r w:rsidRPr="00841A06">
        <w:rPr>
          <w:rFonts w:asciiTheme="minorHAnsi" w:hAnsiTheme="minorHAnsi"/>
          <w:color w:val="36424B" w:themeColor="text2" w:themeShade="BF"/>
        </w:rPr>
        <w:t xml:space="preserve"> support 451 projects delivered in 57 countries, and reached </w:t>
      </w:r>
      <w:r w:rsidR="0067423F">
        <w:rPr>
          <w:rFonts w:asciiTheme="minorHAnsi" w:hAnsiTheme="minorHAnsi"/>
          <w:color w:val="36424B" w:themeColor="text2" w:themeShade="BF"/>
        </w:rPr>
        <w:t>over</w:t>
      </w:r>
      <w:r w:rsidRPr="00841A06">
        <w:rPr>
          <w:rFonts w:asciiTheme="minorHAnsi" w:hAnsiTheme="minorHAnsi"/>
          <w:color w:val="36424B" w:themeColor="text2" w:themeShade="BF"/>
        </w:rPr>
        <w:t xml:space="preserve"> 19 million people (58</w:t>
      </w:r>
      <w:r w:rsidR="00333894">
        <w:rPr>
          <w:rFonts w:asciiTheme="minorHAnsi" w:hAnsiTheme="minorHAnsi"/>
          <w:color w:val="36424B" w:themeColor="text2" w:themeShade="BF"/>
        </w:rPr>
        <w:t xml:space="preserve"> per cent </w:t>
      </w:r>
      <w:r w:rsidRPr="00841A06">
        <w:rPr>
          <w:rFonts w:asciiTheme="minorHAnsi" w:hAnsiTheme="minorHAnsi"/>
          <w:color w:val="36424B" w:themeColor="text2" w:themeShade="BF"/>
        </w:rPr>
        <w:t>female, 9</w:t>
      </w:r>
      <w:r w:rsidR="00333894">
        <w:rPr>
          <w:rFonts w:asciiTheme="minorHAnsi" w:hAnsiTheme="minorHAnsi"/>
          <w:color w:val="36424B" w:themeColor="text2" w:themeShade="BF"/>
        </w:rPr>
        <w:t xml:space="preserve"> per cent</w:t>
      </w:r>
      <w:r w:rsidRPr="00841A06">
        <w:rPr>
          <w:rFonts w:asciiTheme="minorHAnsi" w:hAnsiTheme="minorHAnsi"/>
          <w:color w:val="36424B" w:themeColor="text2" w:themeShade="BF"/>
        </w:rPr>
        <w:t xml:space="preserve"> people with a disability);</w:t>
      </w:r>
    </w:p>
    <w:p w:rsidR="00841A06" w:rsidRPr="00841A06" w:rsidRDefault="00841A06" w:rsidP="0088531A">
      <w:pPr>
        <w:pStyle w:val="ListParagraph"/>
        <w:numPr>
          <w:ilvl w:val="1"/>
          <w:numId w:val="11"/>
        </w:numPr>
        <w:spacing w:after="120" w:line="276" w:lineRule="auto"/>
        <w:ind w:left="993" w:hanging="426"/>
        <w:rPr>
          <w:rFonts w:asciiTheme="minorHAnsi" w:hAnsiTheme="minorHAnsi"/>
          <w:color w:val="36424B" w:themeColor="text2" w:themeShade="BF"/>
        </w:rPr>
      </w:pPr>
      <w:proofErr w:type="gramStart"/>
      <w:r w:rsidRPr="00841A06">
        <w:rPr>
          <w:rFonts w:asciiTheme="minorHAnsi" w:hAnsiTheme="minorHAnsi"/>
          <w:color w:val="36424B" w:themeColor="text2" w:themeShade="BF"/>
        </w:rPr>
        <w:t>56</w:t>
      </w:r>
      <w:r w:rsidR="00333894">
        <w:rPr>
          <w:rFonts w:asciiTheme="minorHAnsi" w:hAnsiTheme="minorHAnsi"/>
          <w:color w:val="36424B" w:themeColor="text2" w:themeShade="BF"/>
        </w:rPr>
        <w:t xml:space="preserve"> per cent</w:t>
      </w:r>
      <w:proofErr w:type="gramEnd"/>
      <w:r w:rsidRPr="00841A06">
        <w:rPr>
          <w:rFonts w:asciiTheme="minorHAnsi" w:hAnsiTheme="minorHAnsi"/>
          <w:color w:val="36424B" w:themeColor="text2" w:themeShade="BF"/>
        </w:rPr>
        <w:t xml:space="preserve"> of projects address</w:t>
      </w:r>
      <w:r w:rsidR="0067423F">
        <w:rPr>
          <w:rFonts w:asciiTheme="minorHAnsi" w:hAnsiTheme="minorHAnsi"/>
          <w:color w:val="36424B" w:themeColor="text2" w:themeShade="BF"/>
        </w:rPr>
        <w:t>ed gender issues; 51</w:t>
      </w:r>
      <w:r w:rsidR="00333894">
        <w:rPr>
          <w:rFonts w:asciiTheme="minorHAnsi" w:hAnsiTheme="minorHAnsi"/>
          <w:color w:val="36424B" w:themeColor="text2" w:themeShade="BF"/>
        </w:rPr>
        <w:t xml:space="preserve"> percent</w:t>
      </w:r>
      <w:r w:rsidR="0067423F">
        <w:rPr>
          <w:rFonts w:asciiTheme="minorHAnsi" w:hAnsiTheme="minorHAnsi"/>
          <w:color w:val="36424B" w:themeColor="text2" w:themeShade="BF"/>
        </w:rPr>
        <w:t xml:space="preserve"> addressed</w:t>
      </w:r>
      <w:r w:rsidRPr="00841A06">
        <w:rPr>
          <w:rFonts w:asciiTheme="minorHAnsi" w:hAnsiTheme="minorHAnsi"/>
          <w:color w:val="36424B" w:themeColor="text2" w:themeShade="BF"/>
        </w:rPr>
        <w:t xml:space="preserve"> disabi</w:t>
      </w:r>
      <w:r w:rsidR="0067423F">
        <w:rPr>
          <w:rFonts w:asciiTheme="minorHAnsi" w:hAnsiTheme="minorHAnsi"/>
          <w:color w:val="36424B" w:themeColor="text2" w:themeShade="BF"/>
        </w:rPr>
        <w:t>lity inclusion; and 46</w:t>
      </w:r>
      <w:r w:rsidR="00333894">
        <w:rPr>
          <w:rFonts w:asciiTheme="minorHAnsi" w:hAnsiTheme="minorHAnsi"/>
          <w:color w:val="36424B" w:themeColor="text2" w:themeShade="BF"/>
        </w:rPr>
        <w:t xml:space="preserve"> per cent</w:t>
      </w:r>
      <w:r w:rsidR="0067423F">
        <w:rPr>
          <w:rFonts w:asciiTheme="minorHAnsi" w:hAnsiTheme="minorHAnsi"/>
          <w:color w:val="36424B" w:themeColor="text2" w:themeShade="BF"/>
        </w:rPr>
        <w:t xml:space="preserve"> engaged</w:t>
      </w:r>
      <w:r w:rsidRPr="00841A06">
        <w:rPr>
          <w:rFonts w:asciiTheme="minorHAnsi" w:hAnsiTheme="minorHAnsi"/>
          <w:color w:val="36424B" w:themeColor="text2" w:themeShade="BF"/>
        </w:rPr>
        <w:t xml:space="preserve"> the private sector.</w:t>
      </w:r>
    </w:p>
    <w:p w:rsidR="00841A06" w:rsidRPr="00841A06" w:rsidRDefault="00841A06" w:rsidP="0088531A">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 xml:space="preserve">ANCP NGOs </w:t>
      </w:r>
      <w:r w:rsidRPr="00841A06">
        <w:rPr>
          <w:rFonts w:asciiTheme="minorHAnsi" w:hAnsiTheme="minorHAnsi"/>
          <w:color w:val="36424B" w:themeColor="text2" w:themeShade="BF"/>
        </w:rPr>
        <w:t>worked to build the capacity of over 1,200 in-country pa</w:t>
      </w:r>
      <w:r w:rsidR="0067423F">
        <w:rPr>
          <w:rFonts w:asciiTheme="minorHAnsi" w:hAnsiTheme="minorHAnsi"/>
          <w:color w:val="36424B" w:themeColor="text2" w:themeShade="BF"/>
        </w:rPr>
        <w:t>rtners and contributed over $40 </w:t>
      </w:r>
      <w:r w:rsidRPr="00841A06">
        <w:rPr>
          <w:rFonts w:asciiTheme="minorHAnsi" w:hAnsiTheme="minorHAnsi"/>
          <w:color w:val="36424B" w:themeColor="text2" w:themeShade="BF"/>
        </w:rPr>
        <w:t>million</w:t>
      </w:r>
      <w:r w:rsidR="0067423F">
        <w:rPr>
          <w:rFonts w:asciiTheme="minorHAnsi" w:hAnsiTheme="minorHAnsi"/>
          <w:color w:val="36424B" w:themeColor="text2" w:themeShade="BF"/>
        </w:rPr>
        <w:t xml:space="preserve"> of their own funds</w:t>
      </w:r>
      <w:r w:rsidRPr="00841A06">
        <w:rPr>
          <w:rFonts w:asciiTheme="minorHAnsi" w:hAnsiTheme="minorHAnsi"/>
          <w:color w:val="36424B" w:themeColor="text2" w:themeShade="BF"/>
        </w:rPr>
        <w:t>.</w:t>
      </w:r>
      <w:r>
        <w:rPr>
          <w:rFonts w:asciiTheme="minorHAnsi" w:hAnsiTheme="minorHAnsi"/>
          <w:color w:val="36424B" w:themeColor="text2" w:themeShade="BF"/>
        </w:rPr>
        <w:t xml:space="preserve"> </w:t>
      </w:r>
      <w:r w:rsidRPr="00841A06">
        <w:rPr>
          <w:rFonts w:asciiTheme="minorHAnsi" w:hAnsiTheme="minorHAnsi"/>
          <w:color w:val="36424B" w:themeColor="text2" w:themeShade="BF"/>
        </w:rPr>
        <w:t>This equals a 33</w:t>
      </w:r>
      <w:r w:rsidR="00333894">
        <w:rPr>
          <w:rFonts w:asciiTheme="minorHAnsi" w:hAnsiTheme="minorHAnsi"/>
          <w:color w:val="36424B" w:themeColor="text2" w:themeShade="BF"/>
        </w:rPr>
        <w:t xml:space="preserve"> per cent</w:t>
      </w:r>
      <w:r w:rsidRPr="00841A06">
        <w:rPr>
          <w:rFonts w:asciiTheme="minorHAnsi" w:hAnsiTheme="minorHAnsi"/>
          <w:color w:val="36424B" w:themeColor="text2" w:themeShade="BF"/>
        </w:rPr>
        <w:t xml:space="preserve"> match, which more than met the minimum 20</w:t>
      </w:r>
      <w:r w:rsidR="00333894">
        <w:rPr>
          <w:rFonts w:asciiTheme="minorHAnsi" w:hAnsiTheme="minorHAnsi"/>
          <w:color w:val="36424B" w:themeColor="text2" w:themeShade="BF"/>
        </w:rPr>
        <w:t xml:space="preserve"> per cent</w:t>
      </w:r>
      <w:r w:rsidRPr="00841A06">
        <w:rPr>
          <w:rFonts w:asciiTheme="minorHAnsi" w:hAnsiTheme="minorHAnsi"/>
          <w:color w:val="36424B" w:themeColor="text2" w:themeShade="BF"/>
        </w:rPr>
        <w:t xml:space="preserve"> match set for the program.</w:t>
      </w:r>
    </w:p>
    <w:p w:rsidR="00841A06" w:rsidRPr="00841A06" w:rsidRDefault="00841A06" w:rsidP="0088531A">
      <w:pPr>
        <w:pStyle w:val="ListParagraph"/>
        <w:numPr>
          <w:ilvl w:val="0"/>
          <w:numId w:val="12"/>
        </w:numPr>
        <w:spacing w:after="120" w:line="276" w:lineRule="auto"/>
        <w:rPr>
          <w:rFonts w:asciiTheme="minorHAnsi" w:hAnsiTheme="minorHAnsi"/>
          <w:color w:val="36424B" w:themeColor="text2" w:themeShade="BF"/>
        </w:rPr>
      </w:pPr>
      <w:r w:rsidRPr="00841A06">
        <w:rPr>
          <w:rFonts w:asciiTheme="minorHAnsi" w:hAnsiTheme="minorHAnsi"/>
          <w:color w:val="36424B" w:themeColor="text2" w:themeShade="BF"/>
        </w:rPr>
        <w:t xml:space="preserve">Two new NGOs have joined the program and </w:t>
      </w:r>
      <w:r>
        <w:rPr>
          <w:rFonts w:asciiTheme="minorHAnsi" w:hAnsiTheme="minorHAnsi"/>
          <w:color w:val="36424B" w:themeColor="text2" w:themeShade="BF"/>
        </w:rPr>
        <w:t>we</w:t>
      </w:r>
      <w:r w:rsidRPr="00841A06">
        <w:rPr>
          <w:rFonts w:asciiTheme="minorHAnsi" w:hAnsiTheme="minorHAnsi"/>
          <w:color w:val="36424B" w:themeColor="text2" w:themeShade="BF"/>
        </w:rPr>
        <w:t xml:space="preserve"> welcome</w:t>
      </w:r>
      <w:r w:rsidR="0067423F">
        <w:rPr>
          <w:rFonts w:asciiTheme="minorHAnsi" w:hAnsiTheme="minorHAnsi"/>
          <w:color w:val="36424B" w:themeColor="text2" w:themeShade="BF"/>
        </w:rPr>
        <w:t>d</w:t>
      </w:r>
      <w:r w:rsidRPr="00841A06">
        <w:rPr>
          <w:rFonts w:asciiTheme="minorHAnsi" w:hAnsiTheme="minorHAnsi"/>
          <w:color w:val="36424B" w:themeColor="text2" w:themeShade="BF"/>
        </w:rPr>
        <w:t xml:space="preserve"> Mary McKillop Today, and the Kyeema Foundation.</w:t>
      </w:r>
    </w:p>
    <w:p w:rsidR="002D5186" w:rsidRDefault="002D5186" w:rsidP="001415DA">
      <w:pPr>
        <w:rPr>
          <w:b/>
          <w:color w:val="36424B" w:themeColor="text2" w:themeShade="BF"/>
          <w:sz w:val="28"/>
          <w:szCs w:val="28"/>
        </w:rPr>
      </w:pPr>
    </w:p>
    <w:p w:rsidR="001415DA" w:rsidRPr="002E254F" w:rsidRDefault="00841A06" w:rsidP="002E254F">
      <w:pPr>
        <w:pStyle w:val="Heading2"/>
      </w:pPr>
      <w:r w:rsidRPr="002E254F">
        <w:t xml:space="preserve">Ending Violence </w:t>
      </w:r>
      <w:proofErr w:type="gramStart"/>
      <w:r w:rsidRPr="002E254F">
        <w:t>Against</w:t>
      </w:r>
      <w:proofErr w:type="gramEnd"/>
      <w:r w:rsidRPr="002E254F">
        <w:t xml:space="preserve"> Women and </w:t>
      </w:r>
      <w:r w:rsidR="0088531A" w:rsidRPr="002E254F">
        <w:t>G</w:t>
      </w:r>
      <w:r w:rsidRPr="002E254F">
        <w:t>irls</w:t>
      </w:r>
      <w:r w:rsidR="00371554" w:rsidRPr="002E254F">
        <w:t xml:space="preserve"> (EVAWG)</w:t>
      </w:r>
      <w:r w:rsidRPr="002E254F">
        <w:t>: Office of Development Effectiveness Evaluation</w:t>
      </w:r>
    </w:p>
    <w:p w:rsidR="00EE3A94" w:rsidRPr="00EE3A94" w:rsidRDefault="009A55A7" w:rsidP="0088531A">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DFAT</w:t>
      </w:r>
      <w:r w:rsidR="0088531A">
        <w:rPr>
          <w:rFonts w:asciiTheme="minorHAnsi" w:hAnsiTheme="minorHAnsi"/>
          <w:color w:val="36424B" w:themeColor="text2" w:themeShade="BF"/>
        </w:rPr>
        <w:t xml:space="preserve"> provided an overview of </w:t>
      </w:r>
      <w:r w:rsidR="00EE3A94" w:rsidRPr="00371554">
        <w:rPr>
          <w:rFonts w:asciiTheme="minorHAnsi" w:hAnsiTheme="minorHAnsi"/>
          <w:color w:val="36424B" w:themeColor="text2" w:themeShade="BF"/>
        </w:rPr>
        <w:t>ANCP EVAW</w:t>
      </w:r>
      <w:r w:rsidR="00371554" w:rsidRPr="00371554">
        <w:rPr>
          <w:rFonts w:asciiTheme="minorHAnsi" w:hAnsiTheme="minorHAnsi"/>
          <w:color w:val="36424B" w:themeColor="text2" w:themeShade="BF"/>
        </w:rPr>
        <w:t>G</w:t>
      </w:r>
      <w:r w:rsidR="00EE3A94" w:rsidRPr="00371554">
        <w:rPr>
          <w:rFonts w:asciiTheme="minorHAnsi" w:hAnsiTheme="minorHAnsi"/>
          <w:color w:val="36424B" w:themeColor="text2" w:themeShade="BF"/>
        </w:rPr>
        <w:t xml:space="preserve"> programming</w:t>
      </w:r>
      <w:r w:rsidR="00EE3A94" w:rsidRPr="00EE3A94">
        <w:rPr>
          <w:rFonts w:asciiTheme="minorHAnsi" w:hAnsiTheme="minorHAnsi"/>
          <w:color w:val="36424B" w:themeColor="text2" w:themeShade="BF"/>
        </w:rPr>
        <w:t xml:space="preserve"> </w:t>
      </w:r>
      <w:r w:rsidR="0088531A">
        <w:rPr>
          <w:rFonts w:asciiTheme="minorHAnsi" w:hAnsiTheme="minorHAnsi"/>
          <w:color w:val="36424B" w:themeColor="text2" w:themeShade="BF"/>
        </w:rPr>
        <w:t>(</w:t>
      </w:r>
      <w:r w:rsidR="00EE3A94" w:rsidRPr="00EE3A94">
        <w:rPr>
          <w:rFonts w:asciiTheme="minorHAnsi" w:hAnsiTheme="minorHAnsi"/>
          <w:color w:val="36424B" w:themeColor="text2" w:themeShade="BF"/>
        </w:rPr>
        <w:t>2018-19 Performance Report data):</w:t>
      </w:r>
    </w:p>
    <w:p w:rsidR="00EE3A94" w:rsidRDefault="009F7CA6" w:rsidP="0088531A">
      <w:pPr>
        <w:pStyle w:val="ListParagraph"/>
        <w:numPr>
          <w:ilvl w:val="1"/>
          <w:numId w:val="11"/>
        </w:numPr>
        <w:spacing w:after="120" w:line="276" w:lineRule="auto"/>
        <w:ind w:left="993" w:hanging="426"/>
        <w:rPr>
          <w:rFonts w:asciiTheme="minorHAnsi" w:hAnsiTheme="minorHAnsi"/>
          <w:color w:val="36424B" w:themeColor="text2" w:themeShade="BF"/>
        </w:rPr>
      </w:pPr>
      <w:r w:rsidRPr="00EE3A94">
        <w:rPr>
          <w:rFonts w:asciiTheme="minorHAnsi" w:hAnsiTheme="minorHAnsi"/>
          <w:color w:val="36424B" w:themeColor="text2" w:themeShade="BF"/>
        </w:rPr>
        <w:t>Eight</w:t>
      </w:r>
      <w:r w:rsidR="00EE3A94" w:rsidRPr="00EE3A94">
        <w:rPr>
          <w:rFonts w:asciiTheme="minorHAnsi" w:hAnsiTheme="minorHAnsi"/>
          <w:color w:val="36424B" w:themeColor="text2" w:themeShade="BF"/>
        </w:rPr>
        <w:t xml:space="preserve"> NGOs selected the primary DAC Code: 15180 Ending Violence </w:t>
      </w:r>
      <w:proofErr w:type="gramStart"/>
      <w:r w:rsidR="00EE3A94" w:rsidRPr="00EE3A94">
        <w:rPr>
          <w:rFonts w:asciiTheme="minorHAnsi" w:hAnsiTheme="minorHAnsi"/>
          <w:color w:val="36424B" w:themeColor="text2" w:themeShade="BF"/>
        </w:rPr>
        <w:t>Against</w:t>
      </w:r>
      <w:proofErr w:type="gramEnd"/>
      <w:r w:rsidR="00EE3A94" w:rsidRPr="00EE3A94">
        <w:rPr>
          <w:rFonts w:asciiTheme="minorHAnsi" w:hAnsiTheme="minorHAnsi"/>
          <w:color w:val="36424B" w:themeColor="text2" w:themeShade="BF"/>
        </w:rPr>
        <w:t xml:space="preserve"> Women and Girls</w:t>
      </w:r>
      <w:r w:rsidR="0067423F">
        <w:rPr>
          <w:rFonts w:asciiTheme="minorHAnsi" w:hAnsiTheme="minorHAnsi"/>
          <w:color w:val="36424B" w:themeColor="text2" w:themeShade="BF"/>
        </w:rPr>
        <w:t xml:space="preserve"> (EVAWG)</w:t>
      </w:r>
      <w:r w:rsidR="00EE3A94" w:rsidRPr="00EE3A94">
        <w:rPr>
          <w:rFonts w:asciiTheme="minorHAnsi" w:hAnsiTheme="minorHAnsi"/>
          <w:color w:val="36424B" w:themeColor="text2" w:themeShade="BF"/>
        </w:rPr>
        <w:t>: for 12 projects</w:t>
      </w:r>
      <w:r w:rsidR="00EE3A94">
        <w:rPr>
          <w:rFonts w:asciiTheme="minorHAnsi" w:hAnsiTheme="minorHAnsi"/>
          <w:color w:val="36424B" w:themeColor="text2" w:themeShade="BF"/>
        </w:rPr>
        <w:t xml:space="preserve"> </w:t>
      </w:r>
      <w:r w:rsidR="00EE3A94" w:rsidRPr="00EE3A94">
        <w:rPr>
          <w:rFonts w:asciiTheme="minorHAnsi" w:hAnsiTheme="minorHAnsi"/>
          <w:color w:val="36424B" w:themeColor="text2" w:themeShade="BF"/>
          <w:lang w:val="en-GB"/>
        </w:rPr>
        <w:t>in PNG, Sol</w:t>
      </w:r>
      <w:r w:rsidR="0067423F">
        <w:rPr>
          <w:rFonts w:asciiTheme="minorHAnsi" w:hAnsiTheme="minorHAnsi"/>
          <w:color w:val="36424B" w:themeColor="text2" w:themeShade="BF"/>
          <w:lang w:val="en-GB"/>
        </w:rPr>
        <w:t>omon Island</w:t>
      </w:r>
      <w:r w:rsidR="00EE3A94" w:rsidRPr="00EE3A94">
        <w:rPr>
          <w:rFonts w:asciiTheme="minorHAnsi" w:hAnsiTheme="minorHAnsi"/>
          <w:color w:val="36424B" w:themeColor="text2" w:themeShade="BF"/>
          <w:lang w:val="en-GB"/>
        </w:rPr>
        <w:t>s, Zambia, Cambodia, Vietnam, Laos, Myanmar, India, Kenya and Uganda.</w:t>
      </w:r>
      <w:r w:rsidR="00EE3A94" w:rsidRPr="00EE3A94">
        <w:rPr>
          <w:rFonts w:asciiTheme="minorHAnsi" w:hAnsiTheme="minorHAnsi"/>
          <w:color w:val="36424B" w:themeColor="text2" w:themeShade="BF"/>
        </w:rPr>
        <w:t xml:space="preserve"> </w:t>
      </w:r>
    </w:p>
    <w:p w:rsidR="0088531A" w:rsidRPr="0088531A" w:rsidRDefault="0067423F" w:rsidP="0088531A">
      <w:pPr>
        <w:pStyle w:val="ListParagraph"/>
        <w:numPr>
          <w:ilvl w:val="1"/>
          <w:numId w:val="11"/>
        </w:numPr>
        <w:spacing w:after="120" w:line="276" w:lineRule="auto"/>
        <w:ind w:left="993" w:hanging="426"/>
        <w:rPr>
          <w:rFonts w:ascii="Calibri Light" w:hAnsi="Calibri Light" w:cs="Calibri Light"/>
          <w:color w:val="36424B" w:themeColor="text2" w:themeShade="BF"/>
        </w:rPr>
      </w:pPr>
      <w:r w:rsidRPr="00EE3A94">
        <w:rPr>
          <w:rFonts w:ascii="Calibri Light" w:hAnsi="Calibri Light" w:cs="Calibri Light"/>
          <w:color w:val="36424B" w:themeColor="text2" w:themeShade="BF"/>
          <w:lang w:val="en-GB"/>
        </w:rPr>
        <w:t>NGOs allocated 2.1</w:t>
      </w:r>
      <w:r w:rsidR="00333894">
        <w:rPr>
          <w:rFonts w:ascii="Calibri Light" w:hAnsi="Calibri Light" w:cs="Calibri Light"/>
          <w:color w:val="36424B" w:themeColor="text2" w:themeShade="BF"/>
          <w:lang w:val="en-GB"/>
        </w:rPr>
        <w:t xml:space="preserve"> per cent</w:t>
      </w:r>
      <w:r w:rsidRPr="00EE3A94">
        <w:rPr>
          <w:rFonts w:ascii="Calibri Light" w:hAnsi="Calibri Light" w:cs="Calibri Light"/>
          <w:color w:val="36424B" w:themeColor="text2" w:themeShade="BF"/>
          <w:lang w:val="en-GB"/>
        </w:rPr>
        <w:t xml:space="preserve"> </w:t>
      </w:r>
      <w:r>
        <w:rPr>
          <w:rFonts w:ascii="Calibri Light" w:hAnsi="Calibri Light" w:cs="Calibri Light"/>
          <w:color w:val="36424B" w:themeColor="text2" w:themeShade="BF"/>
          <w:lang w:val="en-GB"/>
        </w:rPr>
        <w:t>(</w:t>
      </w:r>
      <w:r w:rsidRPr="00EE3A94">
        <w:rPr>
          <w:rFonts w:ascii="Calibri Light" w:hAnsi="Calibri Light" w:cs="Calibri Light"/>
          <w:color w:val="36424B" w:themeColor="text2" w:themeShade="BF"/>
          <w:lang w:val="en-GB"/>
        </w:rPr>
        <w:t>$2.6</w:t>
      </w:r>
      <w:r>
        <w:rPr>
          <w:rFonts w:ascii="Calibri Light" w:hAnsi="Calibri Light" w:cs="Calibri Light"/>
          <w:color w:val="36424B" w:themeColor="text2" w:themeShade="BF"/>
          <w:lang w:val="en-GB"/>
        </w:rPr>
        <w:t> </w:t>
      </w:r>
      <w:r w:rsidRPr="00EE3A94">
        <w:rPr>
          <w:rFonts w:ascii="Calibri Light" w:hAnsi="Calibri Light" w:cs="Calibri Light"/>
          <w:color w:val="36424B" w:themeColor="text2" w:themeShade="BF"/>
          <w:lang w:val="en-GB"/>
        </w:rPr>
        <w:t>m</w:t>
      </w:r>
      <w:r w:rsidR="009A55A7">
        <w:rPr>
          <w:rFonts w:ascii="Calibri Light" w:hAnsi="Calibri Light" w:cs="Calibri Light"/>
          <w:color w:val="36424B" w:themeColor="text2" w:themeShade="BF"/>
          <w:lang w:val="en-GB"/>
        </w:rPr>
        <w:t>illion</w:t>
      </w:r>
      <w:r>
        <w:rPr>
          <w:rFonts w:ascii="Calibri Light" w:hAnsi="Calibri Light" w:cs="Calibri Light"/>
          <w:color w:val="36424B" w:themeColor="text2" w:themeShade="BF"/>
          <w:lang w:val="en-GB"/>
        </w:rPr>
        <w:t>)</w:t>
      </w:r>
      <w:r w:rsidRPr="0088531A">
        <w:rPr>
          <w:rFonts w:ascii="Calibri Light" w:hAnsi="Calibri Light" w:cs="Calibri Light"/>
          <w:bCs/>
          <w:color w:val="36424B" w:themeColor="text2" w:themeShade="BF"/>
          <w:lang w:val="en-GB"/>
        </w:rPr>
        <w:t xml:space="preserve"> </w:t>
      </w:r>
      <w:r w:rsidR="00EE3A94" w:rsidRPr="0088531A">
        <w:rPr>
          <w:rFonts w:ascii="Calibri Light" w:hAnsi="Calibri Light" w:cs="Calibri Light"/>
          <w:bCs/>
          <w:color w:val="36424B" w:themeColor="text2" w:themeShade="BF"/>
          <w:lang w:val="en-GB"/>
        </w:rPr>
        <w:t>expenditure against EVAW</w:t>
      </w:r>
      <w:r w:rsidR="00371554">
        <w:rPr>
          <w:rFonts w:ascii="Calibri Light" w:hAnsi="Calibri Light" w:cs="Calibri Light"/>
          <w:bCs/>
          <w:color w:val="36424B" w:themeColor="text2" w:themeShade="BF"/>
          <w:lang w:val="en-GB"/>
        </w:rPr>
        <w:t>G</w:t>
      </w:r>
      <w:r w:rsidR="00EE3A94" w:rsidRPr="0088531A">
        <w:rPr>
          <w:rFonts w:ascii="Calibri Light" w:hAnsi="Calibri Light" w:cs="Calibri Light"/>
          <w:bCs/>
          <w:color w:val="36424B" w:themeColor="text2" w:themeShade="BF"/>
          <w:lang w:val="en-GB"/>
        </w:rPr>
        <w:t xml:space="preserve"> DAC Code</w:t>
      </w:r>
      <w:r w:rsidR="00EE3A94" w:rsidRPr="00EE3A94">
        <w:rPr>
          <w:rFonts w:ascii="Calibri Light" w:hAnsi="Calibri Light" w:cs="Calibri Light"/>
          <w:color w:val="36424B" w:themeColor="text2" w:themeShade="BF"/>
          <w:lang w:val="en-GB"/>
        </w:rPr>
        <w:t xml:space="preserve"> </w:t>
      </w:r>
      <w:r w:rsidRPr="00EE3A94">
        <w:rPr>
          <w:rFonts w:asciiTheme="minorHAnsi" w:hAnsiTheme="minorHAnsi"/>
          <w:color w:val="36424B" w:themeColor="text2" w:themeShade="BF"/>
        </w:rPr>
        <w:t>15180</w:t>
      </w:r>
      <w:r w:rsidR="00EE3A94" w:rsidRPr="00EE3A94">
        <w:rPr>
          <w:rFonts w:ascii="Calibri Light" w:hAnsi="Calibri Light" w:cs="Calibri Light"/>
          <w:color w:val="36424B" w:themeColor="text2" w:themeShade="BF"/>
          <w:lang w:val="en-GB"/>
        </w:rPr>
        <w:t>.</w:t>
      </w:r>
    </w:p>
    <w:p w:rsidR="0088531A" w:rsidRPr="0088531A" w:rsidRDefault="0088531A" w:rsidP="0088531A">
      <w:pPr>
        <w:pStyle w:val="ListParagraph"/>
        <w:numPr>
          <w:ilvl w:val="1"/>
          <w:numId w:val="11"/>
        </w:numPr>
        <w:spacing w:after="120" w:line="276" w:lineRule="auto"/>
        <w:ind w:left="993" w:hanging="426"/>
        <w:rPr>
          <w:rFonts w:ascii="Calibri Light" w:hAnsi="Calibri Light" w:cs="Calibri Light"/>
          <w:color w:val="36424B" w:themeColor="text2" w:themeShade="BF"/>
        </w:rPr>
      </w:pPr>
      <w:r>
        <w:rPr>
          <w:rFonts w:ascii="Calibri Light" w:hAnsi="Calibri Light" w:cs="Calibri Light"/>
          <w:bCs/>
          <w:color w:val="36424B" w:themeColor="text2" w:themeShade="BF"/>
          <w:lang w:val="en-GB"/>
        </w:rPr>
        <w:t>Two of six Gender Action Platform (GAP) NGOs deliver EVAWG specific projects, the remaining incorporate women’s safety elements.</w:t>
      </w:r>
    </w:p>
    <w:p w:rsidR="0088531A" w:rsidRDefault="0088531A" w:rsidP="0088531A">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lastRenderedPageBreak/>
        <w:t>ANCP NGOs</w:t>
      </w:r>
      <w:r w:rsidR="0067423F">
        <w:rPr>
          <w:rFonts w:ascii="Calibri Light" w:hAnsi="Calibri Light" w:cs="Calibri Light"/>
          <w:color w:val="36424B" w:themeColor="text2" w:themeShade="BF"/>
        </w:rPr>
        <w:t>’</w:t>
      </w:r>
      <w:r>
        <w:rPr>
          <w:rFonts w:ascii="Calibri Light" w:hAnsi="Calibri Light" w:cs="Calibri Light"/>
          <w:color w:val="36424B" w:themeColor="text2" w:themeShade="BF"/>
        </w:rPr>
        <w:t xml:space="preserve"> </w:t>
      </w:r>
      <w:r w:rsidR="0067423F">
        <w:rPr>
          <w:rFonts w:ascii="Calibri Light" w:hAnsi="Calibri Light" w:cs="Calibri Light"/>
          <w:color w:val="36424B" w:themeColor="text2" w:themeShade="BF"/>
        </w:rPr>
        <w:t>q</w:t>
      </w:r>
      <w:r>
        <w:rPr>
          <w:rFonts w:ascii="Calibri Light" w:hAnsi="Calibri Light" w:cs="Calibri Light"/>
          <w:color w:val="36424B" w:themeColor="text2" w:themeShade="BF"/>
        </w:rPr>
        <w:t xml:space="preserve">uantitative and qualitative data provides evidence </w:t>
      </w:r>
      <w:r w:rsidR="006A58AD">
        <w:rPr>
          <w:rFonts w:ascii="Calibri Light" w:hAnsi="Calibri Light" w:cs="Calibri Light"/>
          <w:color w:val="36424B" w:themeColor="text2" w:themeShade="BF"/>
        </w:rPr>
        <w:t xml:space="preserve">that </w:t>
      </w:r>
      <w:r>
        <w:rPr>
          <w:rFonts w:ascii="Calibri Light" w:hAnsi="Calibri Light" w:cs="Calibri Light"/>
          <w:color w:val="36424B" w:themeColor="text2" w:themeShade="BF"/>
        </w:rPr>
        <w:t xml:space="preserve">the majority of projects consider gender equality in programming </w:t>
      </w:r>
      <w:r w:rsidR="00C10D96">
        <w:rPr>
          <w:rFonts w:ascii="Calibri Light" w:hAnsi="Calibri Light" w:cs="Calibri Light"/>
          <w:color w:val="36424B" w:themeColor="text2" w:themeShade="BF"/>
        </w:rPr>
        <w:t xml:space="preserve">and incorporate sound gender analysis. </w:t>
      </w:r>
      <w:r>
        <w:rPr>
          <w:rFonts w:ascii="Calibri Light" w:hAnsi="Calibri Light" w:cs="Calibri Light"/>
          <w:color w:val="36424B" w:themeColor="text2" w:themeShade="BF"/>
        </w:rPr>
        <w:t xml:space="preserve">DFAT </w:t>
      </w:r>
      <w:r w:rsidR="00C10D96">
        <w:rPr>
          <w:rFonts w:ascii="Calibri Light" w:hAnsi="Calibri Light" w:cs="Calibri Light"/>
          <w:color w:val="36424B" w:themeColor="text2" w:themeShade="BF"/>
        </w:rPr>
        <w:t xml:space="preserve">reiterated </w:t>
      </w:r>
      <w:r w:rsidR="006A58AD">
        <w:rPr>
          <w:rFonts w:ascii="Calibri Light" w:hAnsi="Calibri Light" w:cs="Calibri Light"/>
          <w:color w:val="36424B" w:themeColor="text2" w:themeShade="BF"/>
        </w:rPr>
        <w:t xml:space="preserve">the </w:t>
      </w:r>
      <w:r w:rsidR="00C10D96">
        <w:rPr>
          <w:rFonts w:ascii="Calibri Light" w:hAnsi="Calibri Light" w:cs="Calibri Light"/>
          <w:color w:val="36424B" w:themeColor="text2" w:themeShade="BF"/>
        </w:rPr>
        <w:t>understanding that</w:t>
      </w:r>
      <w:r>
        <w:rPr>
          <w:rFonts w:ascii="Calibri Light" w:hAnsi="Calibri Light" w:cs="Calibri Light"/>
          <w:color w:val="36424B" w:themeColor="text2" w:themeShade="BF"/>
        </w:rPr>
        <w:t xml:space="preserve"> social norm changes tackling EVAWG take time</w:t>
      </w:r>
      <w:r w:rsidR="00A22D5A">
        <w:rPr>
          <w:rFonts w:ascii="Calibri Light" w:hAnsi="Calibri Light" w:cs="Calibri Light"/>
          <w:color w:val="36424B" w:themeColor="text2" w:themeShade="BF"/>
        </w:rPr>
        <w:t xml:space="preserve"> and long-term commitment</w:t>
      </w:r>
      <w:r>
        <w:rPr>
          <w:rFonts w:ascii="Calibri Light" w:hAnsi="Calibri Light" w:cs="Calibri Light"/>
          <w:color w:val="36424B" w:themeColor="text2" w:themeShade="BF"/>
        </w:rPr>
        <w:t xml:space="preserve">. </w:t>
      </w:r>
    </w:p>
    <w:p w:rsidR="0088531A" w:rsidRDefault="009A55A7" w:rsidP="0088531A">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The</w:t>
      </w:r>
      <w:r w:rsidR="0088531A">
        <w:rPr>
          <w:rFonts w:ascii="Calibri Light" w:hAnsi="Calibri Light" w:cs="Calibri Light"/>
          <w:color w:val="36424B" w:themeColor="text2" w:themeShade="BF"/>
        </w:rPr>
        <w:t xml:space="preserve"> Office of Development Effectiveness presented findings from its </w:t>
      </w:r>
      <w:r w:rsidR="00A22D5A">
        <w:rPr>
          <w:rFonts w:ascii="Calibri Light" w:hAnsi="Calibri Light" w:cs="Calibri Light"/>
          <w:color w:val="36424B" w:themeColor="text2" w:themeShade="BF"/>
        </w:rPr>
        <w:t xml:space="preserve">evaluation of 10 years of Australia’s ending violence against women and girls development assistance. </w:t>
      </w:r>
    </w:p>
    <w:p w:rsidR="00CB323B" w:rsidRDefault="0067423F" w:rsidP="0088531A">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The Evaluation found that </w:t>
      </w:r>
      <w:r w:rsidR="00C10D96">
        <w:rPr>
          <w:rFonts w:ascii="Calibri Light" w:hAnsi="Calibri Light" w:cs="Calibri Light"/>
          <w:color w:val="36424B" w:themeColor="text2" w:themeShade="BF"/>
        </w:rPr>
        <w:t>Australia has provided strong and sustained leadership and backed advocacy with substantial funding</w:t>
      </w:r>
      <w:r>
        <w:rPr>
          <w:rFonts w:ascii="Calibri Light" w:hAnsi="Calibri Light" w:cs="Calibri Light"/>
          <w:color w:val="36424B" w:themeColor="text2" w:themeShade="BF"/>
        </w:rPr>
        <w:t xml:space="preserve"> during this period</w:t>
      </w:r>
      <w:r w:rsidR="00C10D96">
        <w:rPr>
          <w:rFonts w:ascii="Calibri Light" w:hAnsi="Calibri Light" w:cs="Calibri Light"/>
          <w:color w:val="36424B" w:themeColor="text2" w:themeShade="BF"/>
        </w:rPr>
        <w:t xml:space="preserve">. We have a comprehensive approach </w:t>
      </w:r>
      <w:r>
        <w:rPr>
          <w:rFonts w:ascii="Calibri Light" w:hAnsi="Calibri Light" w:cs="Calibri Light"/>
          <w:color w:val="36424B" w:themeColor="text2" w:themeShade="BF"/>
        </w:rPr>
        <w:t xml:space="preserve">to addressing EVAWG </w:t>
      </w:r>
      <w:r w:rsidR="00C10D96">
        <w:rPr>
          <w:rFonts w:ascii="Calibri Light" w:hAnsi="Calibri Light" w:cs="Calibri Light"/>
          <w:color w:val="36424B" w:themeColor="text2" w:themeShade="BF"/>
        </w:rPr>
        <w:t xml:space="preserve">and have made a significant contribution in bringing about change. Australia has maintained and expanded long-term core funding to key </w:t>
      </w:r>
      <w:r>
        <w:rPr>
          <w:rFonts w:ascii="Calibri Light" w:hAnsi="Calibri Light" w:cs="Calibri Light"/>
          <w:color w:val="36424B" w:themeColor="text2" w:themeShade="BF"/>
        </w:rPr>
        <w:t>civil society organisations (</w:t>
      </w:r>
      <w:r w:rsidR="00C10D96">
        <w:rPr>
          <w:rFonts w:ascii="Calibri Light" w:hAnsi="Calibri Light" w:cs="Calibri Light"/>
          <w:color w:val="36424B" w:themeColor="text2" w:themeShade="BF"/>
        </w:rPr>
        <w:t>CSOs</w:t>
      </w:r>
      <w:r>
        <w:rPr>
          <w:rFonts w:ascii="Calibri Light" w:hAnsi="Calibri Light" w:cs="Calibri Light"/>
          <w:color w:val="36424B" w:themeColor="text2" w:themeShade="BF"/>
        </w:rPr>
        <w:t>)</w:t>
      </w:r>
      <w:r w:rsidR="006A58AD">
        <w:rPr>
          <w:rFonts w:ascii="Calibri Light" w:hAnsi="Calibri Light" w:cs="Calibri Light"/>
          <w:color w:val="36424B" w:themeColor="text2" w:themeShade="BF"/>
        </w:rPr>
        <w:t xml:space="preserve">; this </w:t>
      </w:r>
      <w:r w:rsidR="00C10D96">
        <w:rPr>
          <w:rFonts w:ascii="Calibri Light" w:hAnsi="Calibri Light" w:cs="Calibri Light"/>
          <w:color w:val="36424B" w:themeColor="text2" w:themeShade="BF"/>
        </w:rPr>
        <w:t>has been one of the most important and catalytic investments</w:t>
      </w:r>
      <w:r w:rsidR="009F7CA6">
        <w:rPr>
          <w:rFonts w:ascii="Calibri Light" w:hAnsi="Calibri Light" w:cs="Calibri Light"/>
          <w:color w:val="36424B" w:themeColor="text2" w:themeShade="BF"/>
        </w:rPr>
        <w:t xml:space="preserve">. CSOs have been crucial in advancing understanding of women’s rights, advocating strongly for an end to violence and providing much-needed services. </w:t>
      </w:r>
    </w:p>
    <w:p w:rsidR="009F7CA6" w:rsidRDefault="009F7CA6" w:rsidP="0088531A">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The ODE Evaluation highlighted areas for improvement including strengthening Australia’s leadership, better coordination of EVAWG efforts, more robust monitoring systems of partners, more rigorous evaluations of promising (preventing) programs and expand</w:t>
      </w:r>
      <w:r w:rsidR="006A58AD">
        <w:rPr>
          <w:rFonts w:ascii="Calibri Light" w:hAnsi="Calibri Light" w:cs="Calibri Light"/>
          <w:color w:val="36424B" w:themeColor="text2" w:themeShade="BF"/>
        </w:rPr>
        <w:t>ing</w:t>
      </w:r>
      <w:r>
        <w:rPr>
          <w:rFonts w:ascii="Calibri Light" w:hAnsi="Calibri Light" w:cs="Calibri Light"/>
          <w:color w:val="36424B" w:themeColor="text2" w:themeShade="BF"/>
        </w:rPr>
        <w:t xml:space="preserve"> private sector service provision. The report makes five recommendations: </w:t>
      </w:r>
    </w:p>
    <w:p w:rsidR="009F7CA6" w:rsidRDefault="009F7CA6" w:rsidP="009F7CA6">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Sustain and strengthen fragile gains</w:t>
      </w:r>
    </w:p>
    <w:p w:rsidR="009F7CA6" w:rsidRDefault="009F7CA6" w:rsidP="009F7CA6">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More support for development and implementation of EVAWG legislation</w:t>
      </w:r>
    </w:p>
    <w:p w:rsidR="009F7CA6" w:rsidRDefault="009F7CA6" w:rsidP="009F7CA6">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Continue to strengthen services for survivors</w:t>
      </w:r>
    </w:p>
    <w:p w:rsidR="009F7CA6" w:rsidRDefault="009F7CA6" w:rsidP="009F7CA6">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More focus on prevention</w:t>
      </w:r>
    </w:p>
    <w:p w:rsidR="009F7CA6" w:rsidRPr="0088531A" w:rsidRDefault="009F7CA6" w:rsidP="009F7CA6">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Continue to enhance evaluation and learning to improve EVAWG outcomes. </w:t>
      </w:r>
    </w:p>
    <w:p w:rsidR="00CB323B" w:rsidRPr="002E254F" w:rsidRDefault="00E4385C" w:rsidP="002E254F">
      <w:pPr>
        <w:pStyle w:val="Heading2"/>
      </w:pPr>
      <w:r w:rsidRPr="002E254F">
        <w:t>Discussion</w:t>
      </w:r>
    </w:p>
    <w:p w:rsidR="009F7CA6" w:rsidRDefault="00C10D96" w:rsidP="009C3745">
      <w:pPr>
        <w:pStyle w:val="ListParagraph"/>
        <w:numPr>
          <w:ilvl w:val="0"/>
          <w:numId w:val="12"/>
        </w:numPr>
        <w:spacing w:after="120" w:line="276" w:lineRule="auto"/>
        <w:rPr>
          <w:rFonts w:ascii="Calibri Light" w:hAnsi="Calibri Light" w:cs="Calibri Light"/>
          <w:color w:val="36424B" w:themeColor="text2" w:themeShade="BF"/>
        </w:rPr>
      </w:pPr>
      <w:r w:rsidRPr="00C10D96">
        <w:rPr>
          <w:rFonts w:ascii="Calibri Light" w:hAnsi="Calibri Light" w:cs="Calibri Light"/>
          <w:color w:val="36424B" w:themeColor="text2" w:themeShade="BF"/>
        </w:rPr>
        <w:t>Panel members and gender-focused NGOs agreed to share good</w:t>
      </w:r>
      <w:r w:rsidR="00CB323B" w:rsidRPr="00C10D96">
        <w:rPr>
          <w:rFonts w:ascii="Calibri Light" w:hAnsi="Calibri Light" w:cs="Calibri Light"/>
          <w:color w:val="36424B" w:themeColor="text2" w:themeShade="BF"/>
        </w:rPr>
        <w:t xml:space="preserve"> practice </w:t>
      </w:r>
      <w:r w:rsidRPr="00C10D96">
        <w:rPr>
          <w:rFonts w:ascii="Calibri Light" w:hAnsi="Calibri Light" w:cs="Calibri Light"/>
          <w:color w:val="36424B" w:themeColor="text2" w:themeShade="BF"/>
        </w:rPr>
        <w:t>in</w:t>
      </w:r>
      <w:r w:rsidR="00CB323B" w:rsidRPr="00C10D96">
        <w:rPr>
          <w:rFonts w:ascii="Calibri Light" w:hAnsi="Calibri Light" w:cs="Calibri Light"/>
          <w:color w:val="36424B" w:themeColor="text2" w:themeShade="BF"/>
        </w:rPr>
        <w:t xml:space="preserve"> progress</w:t>
      </w:r>
      <w:r w:rsidR="009B3F94">
        <w:rPr>
          <w:rFonts w:ascii="Calibri Light" w:hAnsi="Calibri Light" w:cs="Calibri Light"/>
          <w:color w:val="36424B" w:themeColor="text2" w:themeShade="BF"/>
        </w:rPr>
        <w:t>ing social norm change:</w:t>
      </w:r>
      <w:r w:rsidR="00E31E64">
        <w:rPr>
          <w:rFonts w:ascii="Calibri Light" w:hAnsi="Calibri Light" w:cs="Calibri Light"/>
          <w:color w:val="36424B" w:themeColor="text2" w:themeShade="BF"/>
        </w:rPr>
        <w:t xml:space="preserve"> Uniting World’s </w:t>
      </w:r>
      <w:hyperlink r:id="rId11" w:history="1">
        <w:r w:rsidR="00E31E64" w:rsidRPr="00E31E64">
          <w:rPr>
            <w:rStyle w:val="Hyperlink"/>
            <w:rFonts w:ascii="Calibri Light" w:hAnsi="Calibri Light" w:cs="Calibri Light"/>
          </w:rPr>
          <w:t xml:space="preserve">Gender </w:t>
        </w:r>
        <w:r w:rsidR="00E31E64">
          <w:rPr>
            <w:rStyle w:val="Hyperlink"/>
            <w:rFonts w:ascii="Calibri Light" w:hAnsi="Calibri Light" w:cs="Calibri Light"/>
          </w:rPr>
          <w:t xml:space="preserve">Equality </w:t>
        </w:r>
        <w:r w:rsidR="00E31E64" w:rsidRPr="00E31E64">
          <w:rPr>
            <w:rStyle w:val="Hyperlink"/>
            <w:rFonts w:ascii="Calibri Light" w:hAnsi="Calibri Light" w:cs="Calibri Light"/>
          </w:rPr>
          <w:t>Theology</w:t>
        </w:r>
      </w:hyperlink>
      <w:r w:rsidR="00E31E64">
        <w:rPr>
          <w:rFonts w:ascii="Calibri Light" w:hAnsi="Calibri Light" w:cs="Calibri Light"/>
          <w:color w:val="36424B" w:themeColor="text2" w:themeShade="BF"/>
        </w:rPr>
        <w:t xml:space="preserve"> Resources</w:t>
      </w:r>
      <w:r w:rsidR="009B3F94">
        <w:rPr>
          <w:rFonts w:ascii="Calibri Light" w:hAnsi="Calibri Light" w:cs="Calibri Light"/>
          <w:color w:val="36424B" w:themeColor="text2" w:themeShade="BF"/>
        </w:rPr>
        <w:t xml:space="preserve">, and Plan International Australia’s </w:t>
      </w:r>
      <w:hyperlink r:id="rId12" w:history="1">
        <w:r w:rsidR="009B3F94" w:rsidRPr="009B3F94">
          <w:rPr>
            <w:rStyle w:val="Hyperlink"/>
            <w:rFonts w:ascii="Calibri Light" w:hAnsi="Calibri Light" w:cs="Calibri Light"/>
          </w:rPr>
          <w:t>Gender and WASH monitoring tool</w:t>
        </w:r>
      </w:hyperlink>
      <w:r w:rsidR="009B3F94">
        <w:rPr>
          <w:rFonts w:ascii="Calibri Light" w:hAnsi="Calibri Light" w:cs="Calibri Light"/>
          <w:color w:val="36424B" w:themeColor="text2" w:themeShade="BF"/>
        </w:rPr>
        <w:t xml:space="preserve"> and other </w:t>
      </w:r>
      <w:hyperlink r:id="rId13" w:history="1">
        <w:r w:rsidR="009B3F94" w:rsidRPr="009B3F94">
          <w:rPr>
            <w:rStyle w:val="Hyperlink"/>
            <w:rFonts w:ascii="Calibri Light" w:hAnsi="Calibri Light" w:cs="Calibri Light"/>
          </w:rPr>
          <w:t>gender resources</w:t>
        </w:r>
      </w:hyperlink>
      <w:r w:rsidRPr="00C10D96">
        <w:rPr>
          <w:rFonts w:ascii="Calibri Light" w:hAnsi="Calibri Light" w:cs="Calibri Light"/>
          <w:color w:val="36424B" w:themeColor="text2" w:themeShade="BF"/>
        </w:rPr>
        <w:t xml:space="preserve">. </w:t>
      </w:r>
      <w:r w:rsidR="009B3F94">
        <w:rPr>
          <w:rFonts w:ascii="Calibri Light" w:hAnsi="Calibri Light" w:cs="Calibri Light"/>
          <w:color w:val="36424B" w:themeColor="text2" w:themeShade="BF"/>
        </w:rPr>
        <w:t xml:space="preserve">The </w:t>
      </w:r>
      <w:hyperlink r:id="rId14" w:history="1">
        <w:r w:rsidR="00CB323B" w:rsidRPr="00E31E64">
          <w:rPr>
            <w:rStyle w:val="Hyperlink"/>
            <w:rFonts w:ascii="Calibri Light" w:hAnsi="Calibri Light" w:cs="Calibri Light"/>
          </w:rPr>
          <w:t>Pacific Women Shaping Pacific Development</w:t>
        </w:r>
      </w:hyperlink>
      <w:r w:rsidR="00CB323B" w:rsidRPr="00C10D96">
        <w:rPr>
          <w:rFonts w:ascii="Calibri Light" w:hAnsi="Calibri Light" w:cs="Calibri Light"/>
          <w:color w:val="36424B" w:themeColor="text2" w:themeShade="BF"/>
        </w:rPr>
        <w:t xml:space="preserve"> program was another example of support in this sphere.</w:t>
      </w:r>
      <w:r w:rsidRPr="00C10D96">
        <w:rPr>
          <w:rFonts w:ascii="Calibri Light" w:hAnsi="Calibri Light" w:cs="Calibri Light"/>
          <w:color w:val="36424B" w:themeColor="text2" w:themeShade="BF"/>
        </w:rPr>
        <w:t xml:space="preserve"> </w:t>
      </w:r>
    </w:p>
    <w:p w:rsidR="009F7CA6" w:rsidRDefault="00C10D96" w:rsidP="009C3745">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ODE found</w:t>
      </w:r>
      <w:r w:rsidR="00CB323B" w:rsidRPr="00C10D96">
        <w:rPr>
          <w:rFonts w:ascii="Calibri Light" w:hAnsi="Calibri Light" w:cs="Calibri Light"/>
          <w:color w:val="36424B" w:themeColor="text2" w:themeShade="BF"/>
        </w:rPr>
        <w:t xml:space="preserve"> that many partner governments have formal commitments and therefore legislation on EVAWG.  </w:t>
      </w:r>
      <w:r w:rsidRPr="00C10D96">
        <w:rPr>
          <w:rFonts w:ascii="Calibri Light" w:hAnsi="Calibri Light" w:cs="Calibri Light"/>
          <w:color w:val="36424B" w:themeColor="text2" w:themeShade="BF"/>
        </w:rPr>
        <w:t>However,</w:t>
      </w:r>
      <w:r w:rsidR="00CB323B" w:rsidRPr="00C10D96">
        <w:rPr>
          <w:rFonts w:ascii="Calibri Light" w:hAnsi="Calibri Light" w:cs="Calibri Light"/>
          <w:color w:val="36424B" w:themeColor="text2" w:themeShade="BF"/>
        </w:rPr>
        <w:t xml:space="preserve"> </w:t>
      </w:r>
      <w:r w:rsidR="006A58AD">
        <w:rPr>
          <w:rFonts w:ascii="Calibri Light" w:hAnsi="Calibri Light" w:cs="Calibri Light"/>
          <w:color w:val="36424B" w:themeColor="text2" w:themeShade="BF"/>
        </w:rPr>
        <w:t xml:space="preserve">they </w:t>
      </w:r>
      <w:r w:rsidR="00CB323B" w:rsidRPr="00C10D96">
        <w:rPr>
          <w:rFonts w:ascii="Calibri Light" w:hAnsi="Calibri Light" w:cs="Calibri Light"/>
          <w:color w:val="36424B" w:themeColor="text2" w:themeShade="BF"/>
        </w:rPr>
        <w:t>lack a budget commitment to address EVAWG and to support implementation of EVAWG legislation. DFAT posts, including Ambassadors</w:t>
      </w:r>
      <w:r w:rsidR="0067423F">
        <w:rPr>
          <w:rFonts w:ascii="Calibri Light" w:hAnsi="Calibri Light" w:cs="Calibri Light"/>
          <w:color w:val="36424B" w:themeColor="text2" w:themeShade="BF"/>
        </w:rPr>
        <w:t>/High Commissioners</w:t>
      </w:r>
      <w:r w:rsidR="00CB323B" w:rsidRPr="00C10D96">
        <w:rPr>
          <w:rFonts w:ascii="Calibri Light" w:hAnsi="Calibri Light" w:cs="Calibri Light"/>
          <w:color w:val="36424B" w:themeColor="text2" w:themeShade="BF"/>
        </w:rPr>
        <w:t>, are continuing to work on this issue through representational work. ODE found it useful not to limit conversations to Ministries of Women’s Affair</w:t>
      </w:r>
      <w:r>
        <w:rPr>
          <w:rFonts w:ascii="Calibri Light" w:hAnsi="Calibri Light" w:cs="Calibri Light"/>
          <w:color w:val="36424B" w:themeColor="text2" w:themeShade="BF"/>
        </w:rPr>
        <w:t>s, engaging</w:t>
      </w:r>
      <w:r w:rsidR="00CB323B" w:rsidRPr="00C10D96">
        <w:rPr>
          <w:rFonts w:ascii="Calibri Light" w:hAnsi="Calibri Light" w:cs="Calibri Light"/>
          <w:color w:val="36424B" w:themeColor="text2" w:themeShade="BF"/>
        </w:rPr>
        <w:t xml:space="preserve"> with other Ministries (e.g. Ministries of Finance).</w:t>
      </w:r>
      <w:r w:rsidRPr="00C10D96">
        <w:rPr>
          <w:rFonts w:ascii="Calibri Light" w:hAnsi="Calibri Light" w:cs="Calibri Light"/>
          <w:color w:val="36424B" w:themeColor="text2" w:themeShade="BF"/>
        </w:rPr>
        <w:t xml:space="preserve"> </w:t>
      </w:r>
    </w:p>
    <w:p w:rsidR="00E4385C" w:rsidRDefault="00C10D96" w:rsidP="009C3745">
      <w:pPr>
        <w:pStyle w:val="ListParagraph"/>
        <w:numPr>
          <w:ilvl w:val="0"/>
          <w:numId w:val="12"/>
        </w:numPr>
        <w:spacing w:after="120" w:line="276" w:lineRule="auto"/>
        <w:rPr>
          <w:rFonts w:ascii="Calibri Light" w:hAnsi="Calibri Light" w:cs="Calibri Light"/>
          <w:color w:val="36424B" w:themeColor="text2" w:themeShade="BF"/>
        </w:rPr>
      </w:pPr>
      <w:r w:rsidRPr="00C10D96">
        <w:rPr>
          <w:rFonts w:ascii="Calibri Light" w:hAnsi="Calibri Light" w:cs="Calibri Light"/>
          <w:color w:val="36424B" w:themeColor="text2" w:themeShade="BF"/>
        </w:rPr>
        <w:t xml:space="preserve">ODE noted </w:t>
      </w:r>
      <w:r w:rsidR="006A58AD">
        <w:rPr>
          <w:rFonts w:ascii="Calibri Light" w:hAnsi="Calibri Light" w:cs="Calibri Light"/>
          <w:color w:val="36424B" w:themeColor="text2" w:themeShade="BF"/>
        </w:rPr>
        <w:t xml:space="preserve">that </w:t>
      </w:r>
      <w:r w:rsidRPr="00C10D96">
        <w:rPr>
          <w:rFonts w:ascii="Calibri Light" w:hAnsi="Calibri Light" w:cs="Calibri Light"/>
          <w:color w:val="36424B" w:themeColor="text2" w:themeShade="BF"/>
        </w:rPr>
        <w:t xml:space="preserve">the management response </w:t>
      </w:r>
      <w:proofErr w:type="gramStart"/>
      <w:r>
        <w:rPr>
          <w:rFonts w:ascii="Calibri Light" w:hAnsi="Calibri Light" w:cs="Calibri Light"/>
          <w:color w:val="36424B" w:themeColor="text2" w:themeShade="BF"/>
        </w:rPr>
        <w:t>was not yet published</w:t>
      </w:r>
      <w:proofErr w:type="gramEnd"/>
      <w:r>
        <w:rPr>
          <w:rFonts w:ascii="Calibri Light" w:hAnsi="Calibri Light" w:cs="Calibri Light"/>
          <w:color w:val="36424B" w:themeColor="text2" w:themeShade="BF"/>
        </w:rPr>
        <w:t>.</w:t>
      </w:r>
    </w:p>
    <w:p w:rsidR="00BE05D9" w:rsidRPr="00C10D96" w:rsidRDefault="00BE05D9" w:rsidP="009C3745">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At morning tea, GAP NGOs shared lessons on their projects including highlighting challenges and successes through informal small group presentations to the broader ANCP NGO cohort.  </w:t>
      </w:r>
    </w:p>
    <w:p w:rsidR="00C10D96" w:rsidRDefault="00C10D96" w:rsidP="001415DA">
      <w:pPr>
        <w:rPr>
          <w:b/>
          <w:color w:val="36424B" w:themeColor="text2" w:themeShade="BF"/>
          <w:sz w:val="28"/>
          <w:szCs w:val="28"/>
        </w:rPr>
      </w:pPr>
    </w:p>
    <w:p w:rsidR="00243397" w:rsidRPr="00BA6BFA" w:rsidRDefault="00841A06" w:rsidP="002E254F">
      <w:pPr>
        <w:pStyle w:val="Heading2"/>
      </w:pPr>
      <w:r w:rsidRPr="00841A06">
        <w:t>Opportunities and challenges in targeting ANCP programming for children &amp; young people</w:t>
      </w:r>
    </w:p>
    <w:p w:rsidR="00C15298" w:rsidRDefault="00C15298" w:rsidP="00C15298">
      <w:pPr>
        <w:pStyle w:val="ListParagraph"/>
        <w:numPr>
          <w:ilvl w:val="0"/>
          <w:numId w:val="12"/>
        </w:numPr>
        <w:spacing w:after="120" w:line="276" w:lineRule="auto"/>
        <w:rPr>
          <w:rFonts w:ascii="Calibri Light" w:hAnsi="Calibri Light" w:cs="Calibri Light"/>
          <w:color w:val="36424B" w:themeColor="text2" w:themeShade="BF"/>
        </w:rPr>
      </w:pPr>
      <w:r w:rsidRPr="00C15298">
        <w:rPr>
          <w:rFonts w:ascii="Calibri Light" w:hAnsi="Calibri Light" w:cs="Calibri Light"/>
          <w:color w:val="36424B" w:themeColor="text2" w:themeShade="BF"/>
        </w:rPr>
        <w:t xml:space="preserve"> </w:t>
      </w:r>
      <w:r w:rsidR="009A55A7">
        <w:rPr>
          <w:rFonts w:ascii="Calibri Light" w:hAnsi="Calibri Light" w:cs="Calibri Light"/>
          <w:color w:val="36424B" w:themeColor="text2" w:themeShade="BF"/>
        </w:rPr>
        <w:t>DFAT</w:t>
      </w:r>
      <w:r w:rsidRPr="00C15298">
        <w:rPr>
          <w:rFonts w:ascii="Calibri Light" w:hAnsi="Calibri Light" w:cs="Calibri Light"/>
          <w:color w:val="36424B" w:themeColor="text2" w:themeShade="BF"/>
        </w:rPr>
        <w:t xml:space="preserve"> provide</w:t>
      </w:r>
      <w:r>
        <w:rPr>
          <w:rFonts w:ascii="Calibri Light" w:hAnsi="Calibri Light" w:cs="Calibri Light"/>
          <w:color w:val="36424B" w:themeColor="text2" w:themeShade="BF"/>
        </w:rPr>
        <w:t>d</w:t>
      </w:r>
      <w:r w:rsidRPr="00C15298">
        <w:rPr>
          <w:rFonts w:ascii="Calibri Light" w:hAnsi="Calibri Light" w:cs="Calibri Light"/>
          <w:color w:val="36424B" w:themeColor="text2" w:themeShade="BF"/>
        </w:rPr>
        <w:t xml:space="preserve"> </w:t>
      </w:r>
      <w:r w:rsidR="0067423F">
        <w:rPr>
          <w:rFonts w:ascii="Calibri Light" w:hAnsi="Calibri Light" w:cs="Calibri Light"/>
          <w:color w:val="36424B" w:themeColor="text2" w:themeShade="BF"/>
        </w:rPr>
        <w:t xml:space="preserve">the </w:t>
      </w:r>
      <w:r w:rsidRPr="00C15298">
        <w:rPr>
          <w:rFonts w:ascii="Calibri Light" w:hAnsi="Calibri Light" w:cs="Calibri Light"/>
          <w:color w:val="36424B" w:themeColor="text2" w:themeShade="BF"/>
        </w:rPr>
        <w:t>context of ANCP programming for children and young people. In 2019-20, 112 ANCP projects are addressing child, children, infants and youth, representing more than 25</w:t>
      </w:r>
      <w:r w:rsidR="00333894">
        <w:rPr>
          <w:rFonts w:ascii="Calibri Light" w:hAnsi="Calibri Light" w:cs="Calibri Light"/>
          <w:color w:val="36424B" w:themeColor="text2" w:themeShade="BF"/>
        </w:rPr>
        <w:t xml:space="preserve"> per cent</w:t>
      </w:r>
      <w:r w:rsidRPr="00C15298">
        <w:rPr>
          <w:rFonts w:ascii="Calibri Light" w:hAnsi="Calibri Light" w:cs="Calibri Light"/>
          <w:color w:val="36424B" w:themeColor="text2" w:themeShade="BF"/>
        </w:rPr>
        <w:t xml:space="preserve"> of projects. </w:t>
      </w:r>
      <w:r w:rsidRPr="00C15298">
        <w:rPr>
          <w:rFonts w:ascii="Calibri Light" w:hAnsi="Calibri Light" w:cs="Calibri Light"/>
          <w:color w:val="36424B" w:themeColor="text2" w:themeShade="BF"/>
        </w:rPr>
        <w:lastRenderedPageBreak/>
        <w:t xml:space="preserve">There </w:t>
      </w:r>
      <w:r>
        <w:rPr>
          <w:rFonts w:ascii="Calibri Light" w:hAnsi="Calibri Light" w:cs="Calibri Light"/>
          <w:color w:val="36424B" w:themeColor="text2" w:themeShade="BF"/>
        </w:rPr>
        <w:t>are</w:t>
      </w:r>
      <w:r w:rsidRPr="00C15298">
        <w:rPr>
          <w:rFonts w:ascii="Calibri Light" w:hAnsi="Calibri Light" w:cs="Calibri Light"/>
          <w:color w:val="36424B" w:themeColor="text2" w:themeShade="BF"/>
        </w:rPr>
        <w:t xml:space="preserve"> </w:t>
      </w:r>
      <w:r>
        <w:rPr>
          <w:rFonts w:ascii="Calibri Light" w:hAnsi="Calibri Light" w:cs="Calibri Light"/>
          <w:color w:val="36424B" w:themeColor="text2" w:themeShade="BF"/>
        </w:rPr>
        <w:t>17 child protection projects in 10 countries delivered by six NGOs, representing $4.8</w:t>
      </w:r>
      <w:r w:rsidR="00333894">
        <w:rPr>
          <w:rFonts w:ascii="Calibri Light" w:hAnsi="Calibri Light" w:cs="Calibri Light"/>
          <w:color w:val="36424B" w:themeColor="text2" w:themeShade="BF"/>
        </w:rPr>
        <w:t xml:space="preserve"> </w:t>
      </w:r>
      <w:r>
        <w:rPr>
          <w:rFonts w:ascii="Calibri Light" w:hAnsi="Calibri Light" w:cs="Calibri Light"/>
          <w:color w:val="36424B" w:themeColor="text2" w:themeShade="BF"/>
        </w:rPr>
        <w:t>m</w:t>
      </w:r>
      <w:r w:rsidR="00333894">
        <w:rPr>
          <w:rFonts w:ascii="Calibri Light" w:hAnsi="Calibri Light" w:cs="Calibri Light"/>
          <w:color w:val="36424B" w:themeColor="text2" w:themeShade="BF"/>
        </w:rPr>
        <w:t>illion</w:t>
      </w:r>
      <w:r>
        <w:rPr>
          <w:rFonts w:ascii="Calibri Light" w:hAnsi="Calibri Light" w:cs="Calibri Light"/>
          <w:color w:val="36424B" w:themeColor="text2" w:themeShade="BF"/>
        </w:rPr>
        <w:t xml:space="preserve"> of ANCP funding. </w:t>
      </w:r>
    </w:p>
    <w:p w:rsidR="00487B6B" w:rsidRDefault="00C15298" w:rsidP="00C15298">
      <w:pPr>
        <w:pStyle w:val="ListParagraph"/>
        <w:numPr>
          <w:ilvl w:val="0"/>
          <w:numId w:val="12"/>
        </w:numPr>
        <w:spacing w:after="120" w:line="276" w:lineRule="auto"/>
        <w:rPr>
          <w:rFonts w:ascii="Calibri Light" w:hAnsi="Calibri Light" w:cs="Calibri Light"/>
          <w:color w:val="36424B" w:themeColor="text2" w:themeShade="BF"/>
        </w:rPr>
      </w:pPr>
      <w:r w:rsidRPr="00C15298">
        <w:rPr>
          <w:rFonts w:ascii="Calibri Light" w:hAnsi="Calibri Light" w:cs="Calibri Light"/>
          <w:color w:val="36424B" w:themeColor="text2" w:themeShade="BF"/>
        </w:rPr>
        <w:t>The Unseen Unsafe Consortium (</w:t>
      </w:r>
      <w:r w:rsidR="0067423F" w:rsidRPr="00C15298">
        <w:rPr>
          <w:rFonts w:ascii="Calibri Light" w:hAnsi="Calibri Light" w:cs="Calibri Light"/>
          <w:color w:val="36424B" w:themeColor="text2" w:themeShade="BF"/>
        </w:rPr>
        <w:t>ChildFund Australia</w:t>
      </w:r>
      <w:r w:rsidR="0067423F">
        <w:rPr>
          <w:rFonts w:ascii="Calibri Light" w:hAnsi="Calibri Light" w:cs="Calibri Light"/>
          <w:color w:val="36424B" w:themeColor="text2" w:themeShade="BF"/>
        </w:rPr>
        <w:t>,</w:t>
      </w:r>
      <w:r w:rsidR="0067423F" w:rsidRPr="00C15298">
        <w:rPr>
          <w:rFonts w:ascii="Calibri Light" w:hAnsi="Calibri Light" w:cs="Calibri Light"/>
          <w:color w:val="36424B" w:themeColor="text2" w:themeShade="BF"/>
        </w:rPr>
        <w:t xml:space="preserve"> </w:t>
      </w:r>
      <w:r w:rsidRPr="00C15298">
        <w:rPr>
          <w:rFonts w:ascii="Calibri Light" w:hAnsi="Calibri Light" w:cs="Calibri Light"/>
          <w:color w:val="36424B" w:themeColor="text2" w:themeShade="BF"/>
        </w:rPr>
        <w:t xml:space="preserve">Plan International Australia, </w:t>
      </w:r>
      <w:r w:rsidR="0067423F" w:rsidRPr="00C15298">
        <w:rPr>
          <w:rFonts w:ascii="Calibri Light" w:hAnsi="Calibri Light" w:cs="Calibri Light"/>
          <w:color w:val="36424B" w:themeColor="text2" w:themeShade="BF"/>
        </w:rPr>
        <w:t xml:space="preserve">Save the Children and </w:t>
      </w:r>
      <w:r w:rsidRPr="00C15298">
        <w:rPr>
          <w:rFonts w:ascii="Calibri Light" w:hAnsi="Calibri Light" w:cs="Calibri Light"/>
          <w:color w:val="36424B" w:themeColor="text2" w:themeShade="BF"/>
        </w:rPr>
        <w:t xml:space="preserve">World Vision Australia) presented findings from its report on the underinvestment in ending violence against children (EVAC) in the Pacific and Timor Leste. </w:t>
      </w:r>
      <w:r w:rsidR="009E037A">
        <w:rPr>
          <w:rFonts w:ascii="Calibri Light" w:hAnsi="Calibri Light" w:cs="Calibri Light"/>
          <w:color w:val="36424B" w:themeColor="text2" w:themeShade="BF"/>
        </w:rPr>
        <w:t>The report was commissioned in response to t</w:t>
      </w:r>
      <w:r w:rsidR="00487B6B" w:rsidRPr="00C15298">
        <w:rPr>
          <w:rFonts w:ascii="Calibri Light" w:hAnsi="Calibri Light" w:cs="Calibri Light"/>
          <w:color w:val="36424B" w:themeColor="text2" w:themeShade="BF"/>
        </w:rPr>
        <w:t xml:space="preserve">here </w:t>
      </w:r>
      <w:r w:rsidR="009E037A">
        <w:rPr>
          <w:rFonts w:ascii="Calibri Light" w:hAnsi="Calibri Light" w:cs="Calibri Light"/>
          <w:color w:val="36424B" w:themeColor="text2" w:themeShade="BF"/>
        </w:rPr>
        <w:t>being</w:t>
      </w:r>
      <w:r w:rsidR="00487B6B" w:rsidRPr="00C15298">
        <w:rPr>
          <w:rFonts w:ascii="Calibri Light" w:hAnsi="Calibri Light" w:cs="Calibri Light"/>
          <w:color w:val="36424B" w:themeColor="text2" w:themeShade="BF"/>
        </w:rPr>
        <w:t xml:space="preserve"> no evidence on the scale and impa</w:t>
      </w:r>
      <w:r w:rsidR="009E037A">
        <w:rPr>
          <w:rFonts w:ascii="Calibri Light" w:hAnsi="Calibri Light" w:cs="Calibri Light"/>
          <w:color w:val="36424B" w:themeColor="text2" w:themeShade="BF"/>
        </w:rPr>
        <w:t>ct of violence against children and n</w:t>
      </w:r>
      <w:r w:rsidR="00487B6B" w:rsidRPr="00C15298">
        <w:rPr>
          <w:rFonts w:ascii="Calibri Light" w:hAnsi="Calibri Light" w:cs="Calibri Light"/>
          <w:color w:val="36424B" w:themeColor="text2" w:themeShade="BF"/>
        </w:rPr>
        <w:t>o systems tracking spending targeting EVAC</w:t>
      </w:r>
      <w:r w:rsidR="009E037A">
        <w:rPr>
          <w:rFonts w:ascii="Calibri Light" w:hAnsi="Calibri Light" w:cs="Calibri Light"/>
          <w:color w:val="36424B" w:themeColor="text2" w:themeShade="BF"/>
        </w:rPr>
        <w:t xml:space="preserve">. </w:t>
      </w:r>
    </w:p>
    <w:p w:rsidR="00487B6B" w:rsidRDefault="009E037A" w:rsidP="009E037A">
      <w:pPr>
        <w:pStyle w:val="ListParagraph"/>
        <w:numPr>
          <w:ilvl w:val="0"/>
          <w:numId w:val="12"/>
        </w:numPr>
        <w:spacing w:after="120" w:line="276" w:lineRule="auto"/>
        <w:rPr>
          <w:rFonts w:ascii="Calibri Light" w:hAnsi="Calibri Light" w:cs="Calibri Light"/>
          <w:color w:val="36424B" w:themeColor="text2" w:themeShade="BF"/>
        </w:rPr>
      </w:pPr>
      <w:r w:rsidRPr="009E037A">
        <w:rPr>
          <w:rFonts w:ascii="Calibri Light" w:hAnsi="Calibri Light" w:cs="Calibri Light"/>
          <w:color w:val="36424B" w:themeColor="text2" w:themeShade="BF"/>
        </w:rPr>
        <w:t xml:space="preserve">The report found </w:t>
      </w:r>
      <w:r w:rsidR="00487B6B" w:rsidRPr="009E037A">
        <w:rPr>
          <w:rFonts w:ascii="Calibri Light" w:hAnsi="Calibri Light" w:cs="Calibri Light"/>
          <w:color w:val="36424B" w:themeColor="text2" w:themeShade="BF"/>
        </w:rPr>
        <w:t xml:space="preserve">4 million </w:t>
      </w:r>
      <w:r w:rsidRPr="009E037A">
        <w:rPr>
          <w:rFonts w:ascii="Calibri Light" w:hAnsi="Calibri Light" w:cs="Calibri Light"/>
          <w:color w:val="36424B" w:themeColor="text2" w:themeShade="BF"/>
        </w:rPr>
        <w:t>children across the region experience viole</w:t>
      </w:r>
      <w:r w:rsidR="006A58AD">
        <w:rPr>
          <w:rFonts w:ascii="Calibri Light" w:hAnsi="Calibri Light" w:cs="Calibri Light"/>
          <w:color w:val="36424B" w:themeColor="text2" w:themeShade="BF"/>
        </w:rPr>
        <w:t>n</w:t>
      </w:r>
      <w:r w:rsidRPr="009E037A">
        <w:rPr>
          <w:rFonts w:ascii="Calibri Light" w:hAnsi="Calibri Light" w:cs="Calibri Light"/>
          <w:color w:val="36424B" w:themeColor="text2" w:themeShade="BF"/>
        </w:rPr>
        <w:t xml:space="preserve">t discipline, 1 in 4 adolescent girls experience physical violence and 1 in 10 adolescent girls experience sexual violence. </w:t>
      </w:r>
      <w:r w:rsidR="0067423F">
        <w:rPr>
          <w:rFonts w:ascii="Calibri Light" w:hAnsi="Calibri Light" w:cs="Calibri Light"/>
          <w:color w:val="36424B" w:themeColor="text2" w:themeShade="BF"/>
        </w:rPr>
        <w:t xml:space="preserve">The Report found that </w:t>
      </w:r>
      <w:r>
        <w:rPr>
          <w:rFonts w:ascii="Calibri Light" w:hAnsi="Calibri Light" w:cs="Calibri Light"/>
          <w:color w:val="36424B" w:themeColor="text2" w:themeShade="BF"/>
        </w:rPr>
        <w:t>EVAC specific programs in 2017 w</w:t>
      </w:r>
      <w:r w:rsidR="006A58AD">
        <w:rPr>
          <w:rFonts w:ascii="Calibri Light" w:hAnsi="Calibri Light" w:cs="Calibri Light"/>
          <w:color w:val="36424B" w:themeColor="text2" w:themeShade="BF"/>
        </w:rPr>
        <w:t>ere</w:t>
      </w:r>
      <w:r>
        <w:rPr>
          <w:rFonts w:ascii="Calibri Light" w:hAnsi="Calibri Light" w:cs="Calibri Light"/>
          <w:color w:val="36424B" w:themeColor="text2" w:themeShade="BF"/>
        </w:rPr>
        <w:t xml:space="preserve"> $3.4</w:t>
      </w:r>
      <w:r w:rsidR="005E39C3">
        <w:rPr>
          <w:rFonts w:ascii="Calibri Light" w:hAnsi="Calibri Light" w:cs="Calibri Light"/>
          <w:color w:val="36424B" w:themeColor="text2" w:themeShade="BF"/>
        </w:rPr>
        <w:t xml:space="preserve"> </w:t>
      </w:r>
      <w:r>
        <w:rPr>
          <w:rFonts w:ascii="Calibri Light" w:hAnsi="Calibri Light" w:cs="Calibri Light"/>
          <w:color w:val="36424B" w:themeColor="text2" w:themeShade="BF"/>
        </w:rPr>
        <w:t>million or 0.1</w:t>
      </w:r>
      <w:r w:rsidR="00333894">
        <w:rPr>
          <w:rFonts w:ascii="Calibri Light" w:hAnsi="Calibri Light" w:cs="Calibri Light"/>
          <w:color w:val="36424B" w:themeColor="text2" w:themeShade="BF"/>
        </w:rPr>
        <w:t xml:space="preserve"> per cent</w:t>
      </w:r>
      <w:r w:rsidR="00371554">
        <w:rPr>
          <w:rFonts w:ascii="Calibri Light" w:hAnsi="Calibri Light" w:cs="Calibri Light"/>
          <w:color w:val="36424B" w:themeColor="text2" w:themeShade="BF"/>
        </w:rPr>
        <w:t xml:space="preserve"> </w:t>
      </w:r>
      <w:r>
        <w:rPr>
          <w:rFonts w:ascii="Calibri Light" w:hAnsi="Calibri Light" w:cs="Calibri Light"/>
          <w:color w:val="36424B" w:themeColor="text2" w:themeShade="BF"/>
        </w:rPr>
        <w:t>of ODA to the Pacific and Timor Le</w:t>
      </w:r>
      <w:r w:rsidR="0067423F">
        <w:rPr>
          <w:rFonts w:ascii="Calibri Light" w:hAnsi="Calibri Light" w:cs="Calibri Light"/>
          <w:color w:val="36424B" w:themeColor="text2" w:themeShade="BF"/>
        </w:rPr>
        <w:t>ste. The </w:t>
      </w:r>
      <w:r>
        <w:rPr>
          <w:rFonts w:ascii="Calibri Light" w:hAnsi="Calibri Light" w:cs="Calibri Light"/>
          <w:color w:val="36424B" w:themeColor="text2" w:themeShade="BF"/>
        </w:rPr>
        <w:t xml:space="preserve">report made the following key recommendations: </w:t>
      </w:r>
    </w:p>
    <w:p w:rsidR="009E037A" w:rsidRDefault="009E037A" w:rsidP="009E037A">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Development of child-centred policies and establishing dedicated resources to oversee the mainstreaming of child protection and child </w:t>
      </w:r>
      <w:r w:rsidR="00516900">
        <w:rPr>
          <w:rFonts w:ascii="Calibri Light" w:hAnsi="Calibri Light" w:cs="Calibri Light"/>
          <w:color w:val="36424B" w:themeColor="text2" w:themeShade="BF"/>
        </w:rPr>
        <w:t>rights</w:t>
      </w:r>
      <w:r>
        <w:rPr>
          <w:rFonts w:ascii="Calibri Light" w:hAnsi="Calibri Light" w:cs="Calibri Light"/>
          <w:color w:val="36424B" w:themeColor="text2" w:themeShade="BF"/>
        </w:rPr>
        <w:t xml:space="preserve"> across all thematic areas. </w:t>
      </w:r>
    </w:p>
    <w:p w:rsidR="009E037A" w:rsidRDefault="009E037A" w:rsidP="009E037A">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Develop an ‘EVAC’ policy marker to enable the tracking and reporting of expenditure on EVAC initiatives. </w:t>
      </w:r>
    </w:p>
    <w:p w:rsidR="009E037A" w:rsidRDefault="009E037A" w:rsidP="009E037A">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Strengthen intersectionality between violence against women and children programming</w:t>
      </w:r>
    </w:p>
    <w:p w:rsidR="009E037A" w:rsidRPr="009E037A" w:rsidRDefault="009E037A" w:rsidP="009E037A">
      <w:pPr>
        <w:pStyle w:val="ListParagraph"/>
        <w:numPr>
          <w:ilvl w:val="1"/>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Increased investment in EVAC-specific initiative</w:t>
      </w:r>
      <w:r w:rsidR="00516900">
        <w:rPr>
          <w:rFonts w:ascii="Calibri Light" w:hAnsi="Calibri Light" w:cs="Calibri Light"/>
          <w:color w:val="36424B" w:themeColor="text2" w:themeShade="BF"/>
        </w:rPr>
        <w:t xml:space="preserve">s in the Pacific and Timor </w:t>
      </w:r>
      <w:proofErr w:type="spellStart"/>
      <w:r w:rsidR="00516900">
        <w:rPr>
          <w:rFonts w:ascii="Calibri Light" w:hAnsi="Calibri Light" w:cs="Calibri Light"/>
          <w:color w:val="36424B" w:themeColor="text2" w:themeShade="BF"/>
        </w:rPr>
        <w:t>Leste</w:t>
      </w:r>
      <w:proofErr w:type="spellEnd"/>
      <w:r w:rsidR="00371554">
        <w:rPr>
          <w:rFonts w:ascii="Calibri Light" w:hAnsi="Calibri Light" w:cs="Calibri Light"/>
          <w:color w:val="36424B" w:themeColor="text2" w:themeShade="BF"/>
        </w:rPr>
        <w:t xml:space="preserve"> to 1.5</w:t>
      </w:r>
      <w:r w:rsidR="00333894">
        <w:rPr>
          <w:rFonts w:ascii="Calibri Light" w:hAnsi="Calibri Light" w:cs="Calibri Light"/>
          <w:color w:val="36424B" w:themeColor="text2" w:themeShade="BF"/>
        </w:rPr>
        <w:t xml:space="preserve"> per cent</w:t>
      </w:r>
      <w:r>
        <w:rPr>
          <w:rFonts w:ascii="Calibri Light" w:hAnsi="Calibri Light" w:cs="Calibri Light"/>
          <w:color w:val="36424B" w:themeColor="text2" w:themeShade="BF"/>
        </w:rPr>
        <w:t xml:space="preserve"> of ODA. </w:t>
      </w:r>
    </w:p>
    <w:p w:rsidR="00487B6B" w:rsidRDefault="009E037A" w:rsidP="009E037A">
      <w:pPr>
        <w:pStyle w:val="ListParagraph"/>
        <w:numPr>
          <w:ilvl w:val="0"/>
          <w:numId w:val="12"/>
        </w:numPr>
        <w:spacing w:after="120" w:line="276" w:lineRule="auto"/>
        <w:rPr>
          <w:rFonts w:ascii="Calibri Light" w:hAnsi="Calibri Light" w:cs="Calibri Light"/>
          <w:color w:val="36424B" w:themeColor="text2" w:themeShade="BF"/>
        </w:rPr>
      </w:pPr>
      <w:r w:rsidRPr="009E037A">
        <w:rPr>
          <w:rFonts w:ascii="Calibri Light" w:hAnsi="Calibri Light" w:cs="Calibri Light"/>
          <w:color w:val="36424B" w:themeColor="text2" w:themeShade="BF"/>
        </w:rPr>
        <w:t xml:space="preserve">The consortium called for </w:t>
      </w:r>
      <w:r w:rsidR="00487B6B" w:rsidRPr="009E037A">
        <w:rPr>
          <w:rFonts w:ascii="Calibri Light" w:hAnsi="Calibri Light" w:cs="Calibri Light"/>
          <w:color w:val="36424B" w:themeColor="text2" w:themeShade="BF"/>
        </w:rPr>
        <w:t xml:space="preserve">partnership </w:t>
      </w:r>
      <w:r w:rsidR="00516900">
        <w:rPr>
          <w:rFonts w:ascii="Calibri Light" w:hAnsi="Calibri Light" w:cs="Calibri Light"/>
          <w:color w:val="36424B" w:themeColor="text2" w:themeShade="BF"/>
        </w:rPr>
        <w:t xml:space="preserve">in </w:t>
      </w:r>
      <w:r w:rsidRPr="009E037A">
        <w:rPr>
          <w:rFonts w:ascii="Calibri Light" w:hAnsi="Calibri Light" w:cs="Calibri Light"/>
          <w:color w:val="36424B" w:themeColor="text2" w:themeShade="BF"/>
        </w:rPr>
        <w:t>EVAC</w:t>
      </w:r>
      <w:r w:rsidR="00487B6B" w:rsidRPr="009E037A">
        <w:rPr>
          <w:rFonts w:ascii="Calibri Light" w:hAnsi="Calibri Light" w:cs="Calibri Light"/>
          <w:color w:val="36424B" w:themeColor="text2" w:themeShade="BF"/>
        </w:rPr>
        <w:t xml:space="preserve"> programing</w:t>
      </w:r>
      <w:r w:rsidRPr="009E037A">
        <w:rPr>
          <w:rFonts w:ascii="Calibri Light" w:hAnsi="Calibri Light" w:cs="Calibri Light"/>
          <w:color w:val="36424B" w:themeColor="text2" w:themeShade="BF"/>
        </w:rPr>
        <w:t>, considering a</w:t>
      </w:r>
      <w:r w:rsidR="00487B6B" w:rsidRPr="009E037A">
        <w:rPr>
          <w:rFonts w:ascii="Calibri Light" w:hAnsi="Calibri Light" w:cs="Calibri Light"/>
          <w:color w:val="36424B" w:themeColor="text2" w:themeShade="BF"/>
        </w:rPr>
        <w:t xml:space="preserve"> socio-ecological approach</w:t>
      </w:r>
      <w:r w:rsidRPr="009E037A">
        <w:rPr>
          <w:rFonts w:ascii="Calibri Light" w:hAnsi="Calibri Light" w:cs="Calibri Light"/>
          <w:color w:val="36424B" w:themeColor="text2" w:themeShade="BF"/>
        </w:rPr>
        <w:t xml:space="preserve">; </w:t>
      </w:r>
      <w:r w:rsidR="00516900">
        <w:rPr>
          <w:rFonts w:ascii="Calibri Light" w:hAnsi="Calibri Light" w:cs="Calibri Light"/>
          <w:color w:val="36424B" w:themeColor="text2" w:themeShade="BF"/>
        </w:rPr>
        <w:t>collaboration to avoid</w:t>
      </w:r>
      <w:r w:rsidR="00487B6B" w:rsidRPr="009E037A">
        <w:rPr>
          <w:rFonts w:ascii="Calibri Light" w:hAnsi="Calibri Light" w:cs="Calibri Light"/>
          <w:color w:val="36424B" w:themeColor="text2" w:themeShade="BF"/>
        </w:rPr>
        <w:t xml:space="preserve"> duplication</w:t>
      </w:r>
      <w:r>
        <w:rPr>
          <w:rFonts w:ascii="Calibri Light" w:hAnsi="Calibri Light" w:cs="Calibri Light"/>
          <w:color w:val="36424B" w:themeColor="text2" w:themeShade="BF"/>
        </w:rPr>
        <w:t xml:space="preserve">; </w:t>
      </w:r>
      <w:r w:rsidR="00516900">
        <w:rPr>
          <w:rFonts w:ascii="Calibri Light" w:hAnsi="Calibri Light" w:cs="Calibri Light"/>
          <w:color w:val="36424B" w:themeColor="text2" w:themeShade="BF"/>
        </w:rPr>
        <w:t>and scaling</w:t>
      </w:r>
      <w:r w:rsidR="00487B6B" w:rsidRPr="009E037A">
        <w:rPr>
          <w:rFonts w:ascii="Calibri Light" w:hAnsi="Calibri Light" w:cs="Calibri Light"/>
          <w:color w:val="36424B" w:themeColor="text2" w:themeShade="BF"/>
        </w:rPr>
        <w:t xml:space="preserve"> existing models that tackle high levels of violence.</w:t>
      </w:r>
    </w:p>
    <w:p w:rsidR="00516900" w:rsidRPr="009E037A" w:rsidRDefault="00516900" w:rsidP="009E037A">
      <w:pPr>
        <w:pStyle w:val="ListParagraph"/>
        <w:numPr>
          <w:ilvl w:val="0"/>
          <w:numId w:val="12"/>
        </w:numPr>
        <w:spacing w:after="120" w:line="276" w:lineRule="auto"/>
        <w:rPr>
          <w:rFonts w:ascii="Calibri Light" w:hAnsi="Calibri Light" w:cs="Calibri Light"/>
          <w:color w:val="36424B" w:themeColor="text2" w:themeShade="BF"/>
        </w:rPr>
      </w:pPr>
      <w:r>
        <w:rPr>
          <w:rFonts w:ascii="Calibri Light" w:hAnsi="Calibri Light" w:cs="Calibri Light"/>
          <w:color w:val="36424B" w:themeColor="text2" w:themeShade="BF"/>
        </w:rPr>
        <w:t xml:space="preserve"> </w:t>
      </w:r>
      <w:proofErr w:type="spellStart"/>
      <w:r>
        <w:rPr>
          <w:rFonts w:ascii="Calibri Light" w:hAnsi="Calibri Light" w:cs="Calibri Light"/>
          <w:color w:val="36424B" w:themeColor="text2" w:themeShade="BF"/>
        </w:rPr>
        <w:t>Reledev</w:t>
      </w:r>
      <w:proofErr w:type="spellEnd"/>
      <w:r>
        <w:rPr>
          <w:rFonts w:ascii="Calibri Light" w:hAnsi="Calibri Light" w:cs="Calibri Light"/>
          <w:color w:val="36424B" w:themeColor="text2" w:themeShade="BF"/>
        </w:rPr>
        <w:t xml:space="preserve"> and Family Planning </w:t>
      </w:r>
      <w:r w:rsidR="005E39C3">
        <w:rPr>
          <w:rFonts w:ascii="Calibri Light" w:hAnsi="Calibri Light" w:cs="Calibri Light"/>
          <w:color w:val="36424B" w:themeColor="text2" w:themeShade="BF"/>
        </w:rPr>
        <w:t xml:space="preserve">Australia </w:t>
      </w:r>
      <w:r>
        <w:rPr>
          <w:rFonts w:ascii="Calibri Light" w:hAnsi="Calibri Light" w:cs="Calibri Light"/>
          <w:color w:val="36424B" w:themeColor="text2" w:themeShade="BF"/>
        </w:rPr>
        <w:t xml:space="preserve">presented challenges and learnings regarding their youth focused programming. </w:t>
      </w:r>
      <w:proofErr w:type="spellStart"/>
      <w:r>
        <w:rPr>
          <w:rFonts w:ascii="Calibri Light" w:hAnsi="Calibri Light" w:cs="Calibri Light"/>
          <w:color w:val="36424B" w:themeColor="text2" w:themeShade="BF"/>
        </w:rPr>
        <w:t>Reledev</w:t>
      </w:r>
      <w:proofErr w:type="spellEnd"/>
      <w:r>
        <w:rPr>
          <w:rFonts w:ascii="Calibri Light" w:hAnsi="Calibri Light" w:cs="Calibri Light"/>
          <w:color w:val="36424B" w:themeColor="text2" w:themeShade="BF"/>
        </w:rPr>
        <w:t xml:space="preserve"> is having success training </w:t>
      </w:r>
      <w:r w:rsidR="004A0186">
        <w:rPr>
          <w:rFonts w:ascii="Calibri Light" w:hAnsi="Calibri Light" w:cs="Calibri Light"/>
          <w:color w:val="36424B" w:themeColor="text2" w:themeShade="BF"/>
        </w:rPr>
        <w:t>young</w:t>
      </w:r>
      <w:r>
        <w:rPr>
          <w:rFonts w:ascii="Calibri Light" w:hAnsi="Calibri Light" w:cs="Calibri Light"/>
          <w:color w:val="36424B" w:themeColor="text2" w:themeShade="BF"/>
        </w:rPr>
        <w:t xml:space="preserve"> women in the tourism industry</w:t>
      </w:r>
      <w:r w:rsidR="0067423F" w:rsidRPr="0067423F">
        <w:rPr>
          <w:rFonts w:ascii="Calibri Light" w:hAnsi="Calibri Light" w:cs="Calibri Light"/>
          <w:color w:val="36424B" w:themeColor="text2" w:themeShade="BF"/>
        </w:rPr>
        <w:t xml:space="preserve"> </w:t>
      </w:r>
      <w:r w:rsidR="0067423F">
        <w:rPr>
          <w:rFonts w:ascii="Calibri Light" w:hAnsi="Calibri Light" w:cs="Calibri Light"/>
          <w:color w:val="36424B" w:themeColor="text2" w:themeShade="BF"/>
        </w:rPr>
        <w:t xml:space="preserve">with a family approach </w:t>
      </w:r>
      <w:r w:rsidR="004A0186">
        <w:rPr>
          <w:rFonts w:ascii="Calibri Light" w:hAnsi="Calibri Light" w:cs="Calibri Light"/>
          <w:color w:val="36424B" w:themeColor="text2" w:themeShade="BF"/>
        </w:rPr>
        <w:t xml:space="preserve">which helps address negative attitudes towards young women and their economic empowerment. Family Planning Australia are collaborating with other NGOs to reach hard to access youth to </w:t>
      </w:r>
      <w:r w:rsidR="006A58AD">
        <w:rPr>
          <w:rFonts w:ascii="Calibri Light" w:hAnsi="Calibri Light" w:cs="Calibri Light"/>
          <w:color w:val="36424B" w:themeColor="text2" w:themeShade="BF"/>
        </w:rPr>
        <w:t xml:space="preserve">provide </w:t>
      </w:r>
      <w:r w:rsidR="004A0186">
        <w:rPr>
          <w:rFonts w:ascii="Calibri Light" w:hAnsi="Calibri Light" w:cs="Calibri Light"/>
          <w:color w:val="36424B" w:themeColor="text2" w:themeShade="BF"/>
        </w:rPr>
        <w:t>sexual and reproductive health/family planning services. Family Planning specifically noted ethical limitations involved in engaging with youth.</w:t>
      </w:r>
    </w:p>
    <w:p w:rsidR="004A0186" w:rsidRDefault="004A0186" w:rsidP="00D6507E">
      <w:pPr>
        <w:rPr>
          <w:b/>
          <w:color w:val="36424B" w:themeColor="text2" w:themeShade="BF"/>
          <w:sz w:val="28"/>
          <w:szCs w:val="28"/>
        </w:rPr>
      </w:pPr>
    </w:p>
    <w:p w:rsidR="00D6507E" w:rsidRPr="00BA6BFA" w:rsidRDefault="00E4385C" w:rsidP="002E254F">
      <w:pPr>
        <w:pStyle w:val="Heading2"/>
      </w:pPr>
      <w:r w:rsidRPr="00E4385C">
        <w:t>ANCP Thematic Review: Agriculture and Rural Development in the ANCP</w:t>
      </w:r>
    </w:p>
    <w:p w:rsidR="00721948" w:rsidRPr="00721948" w:rsidRDefault="00721948" w:rsidP="00721948">
      <w:pPr>
        <w:pStyle w:val="ListParagraph"/>
        <w:numPr>
          <w:ilvl w:val="0"/>
          <w:numId w:val="12"/>
        </w:numPr>
        <w:spacing w:after="120" w:line="276" w:lineRule="auto"/>
        <w:rPr>
          <w:rFonts w:asciiTheme="minorHAnsi" w:hAnsiTheme="minorHAnsi"/>
          <w:color w:val="36424B" w:themeColor="text2" w:themeShade="BF"/>
        </w:rPr>
      </w:pPr>
      <w:r w:rsidRPr="00721948">
        <w:rPr>
          <w:rFonts w:asciiTheme="minorHAnsi" w:hAnsiTheme="minorHAnsi"/>
          <w:color w:val="36424B" w:themeColor="text2" w:themeShade="BF"/>
        </w:rPr>
        <w:t xml:space="preserve">2018-19 was the first year a thematic area in DFAT </w:t>
      </w:r>
      <w:proofErr w:type="gramStart"/>
      <w:r w:rsidRPr="00721948">
        <w:rPr>
          <w:rFonts w:asciiTheme="minorHAnsi" w:hAnsiTheme="minorHAnsi"/>
          <w:color w:val="36424B" w:themeColor="text2" w:themeShade="BF"/>
        </w:rPr>
        <w:t>was given</w:t>
      </w:r>
      <w:proofErr w:type="gramEnd"/>
      <w:r w:rsidRPr="00721948">
        <w:rPr>
          <w:rFonts w:asciiTheme="minorHAnsi" w:hAnsiTheme="minorHAnsi"/>
          <w:color w:val="36424B" w:themeColor="text2" w:themeShade="BF"/>
        </w:rPr>
        <w:t xml:space="preserve"> ANCP funds to conduct M&amp;E visits (similar to DFAT Posts </w:t>
      </w:r>
      <w:r w:rsidR="00B62872">
        <w:rPr>
          <w:rFonts w:asciiTheme="minorHAnsi" w:hAnsiTheme="minorHAnsi"/>
          <w:color w:val="36424B" w:themeColor="text2" w:themeShade="BF"/>
        </w:rPr>
        <w:t>conducting</w:t>
      </w:r>
      <w:r w:rsidRPr="00721948">
        <w:rPr>
          <w:rFonts w:asciiTheme="minorHAnsi" w:hAnsiTheme="minorHAnsi"/>
          <w:color w:val="36424B" w:themeColor="text2" w:themeShade="BF"/>
        </w:rPr>
        <w:t xml:space="preserve"> ANCP M&amp;E </w:t>
      </w:r>
      <w:r w:rsidR="00B62872">
        <w:rPr>
          <w:rFonts w:asciiTheme="minorHAnsi" w:hAnsiTheme="minorHAnsi"/>
          <w:color w:val="36424B" w:themeColor="text2" w:themeShade="BF"/>
        </w:rPr>
        <w:t>visits</w:t>
      </w:r>
      <w:r w:rsidR="00726BD3">
        <w:rPr>
          <w:rFonts w:asciiTheme="minorHAnsi" w:hAnsiTheme="minorHAnsi"/>
          <w:color w:val="36424B" w:themeColor="text2" w:themeShade="BF"/>
        </w:rPr>
        <w:t>). With the funds provided, DFAT’s</w:t>
      </w:r>
      <w:r w:rsidRPr="00721948">
        <w:rPr>
          <w:rFonts w:asciiTheme="minorHAnsi" w:hAnsiTheme="minorHAnsi"/>
          <w:color w:val="36424B" w:themeColor="text2" w:themeShade="BF"/>
        </w:rPr>
        <w:t xml:space="preserve"> Agriculture Development and Food Security Section visited ANCP projects in Cambodi</w:t>
      </w:r>
      <w:r>
        <w:rPr>
          <w:rFonts w:asciiTheme="minorHAnsi" w:hAnsiTheme="minorHAnsi"/>
          <w:color w:val="36424B" w:themeColor="text2" w:themeShade="BF"/>
        </w:rPr>
        <w:t xml:space="preserve">a, </w:t>
      </w:r>
      <w:r w:rsidR="00B62872">
        <w:rPr>
          <w:rFonts w:asciiTheme="minorHAnsi" w:hAnsiTheme="minorHAnsi"/>
          <w:color w:val="36424B" w:themeColor="text2" w:themeShade="BF"/>
        </w:rPr>
        <w:t>Indonesia</w:t>
      </w:r>
      <w:r>
        <w:rPr>
          <w:rFonts w:asciiTheme="minorHAnsi" w:hAnsiTheme="minorHAnsi"/>
          <w:color w:val="36424B" w:themeColor="text2" w:themeShade="BF"/>
        </w:rPr>
        <w:t xml:space="preserve">, </w:t>
      </w:r>
      <w:r w:rsidR="00B62872">
        <w:rPr>
          <w:rFonts w:asciiTheme="minorHAnsi" w:hAnsiTheme="minorHAnsi"/>
          <w:color w:val="36424B" w:themeColor="text2" w:themeShade="BF"/>
        </w:rPr>
        <w:t xml:space="preserve">Lao PDR </w:t>
      </w:r>
      <w:r>
        <w:rPr>
          <w:rFonts w:asciiTheme="minorHAnsi" w:hAnsiTheme="minorHAnsi"/>
          <w:color w:val="36424B" w:themeColor="text2" w:themeShade="BF"/>
        </w:rPr>
        <w:t>and Timor-</w:t>
      </w:r>
      <w:r w:rsidRPr="00721948">
        <w:rPr>
          <w:rFonts w:asciiTheme="minorHAnsi" w:hAnsiTheme="minorHAnsi"/>
          <w:color w:val="36424B" w:themeColor="text2" w:themeShade="BF"/>
        </w:rPr>
        <w:t>Leste.</w:t>
      </w:r>
    </w:p>
    <w:p w:rsidR="00721948" w:rsidRPr="00721948" w:rsidRDefault="00721948" w:rsidP="0072194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T</w:t>
      </w:r>
      <w:r w:rsidRPr="00721948">
        <w:rPr>
          <w:rFonts w:asciiTheme="minorHAnsi" w:hAnsiTheme="minorHAnsi"/>
          <w:color w:val="36424B" w:themeColor="text2" w:themeShade="BF"/>
        </w:rPr>
        <w:t>he Thematic Review focused o</w:t>
      </w:r>
      <w:r w:rsidR="00BA2EDB">
        <w:rPr>
          <w:rFonts w:asciiTheme="minorHAnsi" w:hAnsiTheme="minorHAnsi"/>
          <w:color w:val="36424B" w:themeColor="text2" w:themeShade="BF"/>
        </w:rPr>
        <w:t>n</w:t>
      </w:r>
      <w:r w:rsidR="005E39C3">
        <w:rPr>
          <w:rFonts w:asciiTheme="minorHAnsi" w:hAnsiTheme="minorHAnsi"/>
          <w:color w:val="36424B" w:themeColor="text2" w:themeShade="BF"/>
        </w:rPr>
        <w:t xml:space="preserve"> </w:t>
      </w:r>
      <w:r w:rsidR="005E39C3" w:rsidRPr="00425A24">
        <w:rPr>
          <w:rFonts w:asciiTheme="minorHAnsi" w:hAnsiTheme="minorHAnsi"/>
          <w:color w:val="36424B" w:themeColor="text2" w:themeShade="BF"/>
        </w:rPr>
        <w:t xml:space="preserve">linking </w:t>
      </w:r>
      <w:r w:rsidR="00371554" w:rsidRPr="00425A24">
        <w:rPr>
          <w:rFonts w:asciiTheme="minorHAnsi" w:hAnsiTheme="minorHAnsi"/>
          <w:color w:val="36424B" w:themeColor="text2" w:themeShade="BF"/>
        </w:rPr>
        <w:t>small</w:t>
      </w:r>
      <w:r w:rsidRPr="00425A24">
        <w:rPr>
          <w:rFonts w:asciiTheme="minorHAnsi" w:hAnsiTheme="minorHAnsi"/>
          <w:color w:val="36424B" w:themeColor="text2" w:themeShade="BF"/>
        </w:rPr>
        <w:t>holders to marke</w:t>
      </w:r>
      <w:r w:rsidR="00BA2EDB" w:rsidRPr="00425A24">
        <w:rPr>
          <w:rFonts w:asciiTheme="minorHAnsi" w:hAnsiTheme="minorHAnsi"/>
          <w:color w:val="36424B" w:themeColor="text2" w:themeShade="BF"/>
        </w:rPr>
        <w:t>t</w:t>
      </w:r>
      <w:r w:rsidRPr="00425A24">
        <w:rPr>
          <w:rFonts w:asciiTheme="minorHAnsi" w:hAnsiTheme="minorHAnsi"/>
          <w:color w:val="36424B" w:themeColor="text2" w:themeShade="BF"/>
        </w:rPr>
        <w:t xml:space="preserve"> in the agriculture</w:t>
      </w:r>
      <w:r w:rsidRPr="00721948">
        <w:rPr>
          <w:rFonts w:asciiTheme="minorHAnsi" w:hAnsiTheme="minorHAnsi"/>
          <w:color w:val="36424B" w:themeColor="text2" w:themeShade="BF"/>
        </w:rPr>
        <w:t xml:space="preserve"> sector and was undertaken to provide insights into how NGOs are addressing de</w:t>
      </w:r>
      <w:r w:rsidR="009A0FC2">
        <w:rPr>
          <w:rFonts w:asciiTheme="minorHAnsi" w:hAnsiTheme="minorHAnsi"/>
          <w:color w:val="36424B" w:themeColor="text2" w:themeShade="BF"/>
        </w:rPr>
        <w:t xml:space="preserve">velopment issues in this broad </w:t>
      </w:r>
      <w:r w:rsidRPr="00721948">
        <w:rPr>
          <w:rFonts w:asciiTheme="minorHAnsi" w:hAnsiTheme="minorHAnsi"/>
          <w:color w:val="36424B" w:themeColor="text2" w:themeShade="BF"/>
        </w:rPr>
        <w:t xml:space="preserve">sector through ANCP-supported projects. The review also identified opportunities for shared learning with a view to further strengthening development outcomes.  </w:t>
      </w:r>
    </w:p>
    <w:p w:rsidR="00BA2EDB" w:rsidRDefault="00721948" w:rsidP="00721948">
      <w:pPr>
        <w:pStyle w:val="ListParagraph"/>
        <w:numPr>
          <w:ilvl w:val="0"/>
          <w:numId w:val="12"/>
        </w:numPr>
        <w:spacing w:after="120" w:line="276" w:lineRule="auto"/>
        <w:rPr>
          <w:rFonts w:asciiTheme="minorHAnsi" w:hAnsiTheme="minorHAnsi"/>
          <w:color w:val="36424B" w:themeColor="text2" w:themeShade="BF"/>
        </w:rPr>
      </w:pPr>
      <w:r w:rsidRPr="00721948">
        <w:rPr>
          <w:rFonts w:asciiTheme="minorHAnsi" w:hAnsiTheme="minorHAnsi"/>
          <w:color w:val="36424B" w:themeColor="text2" w:themeShade="BF"/>
        </w:rPr>
        <w:t>Key findings of the review were threefold. 1) Agriculture and food security sector ma</w:t>
      </w:r>
      <w:r w:rsidR="0067423F">
        <w:rPr>
          <w:rFonts w:asciiTheme="minorHAnsi" w:hAnsiTheme="minorHAnsi"/>
          <w:color w:val="36424B" w:themeColor="text2" w:themeShade="BF"/>
        </w:rPr>
        <w:t>tters for the poor and the ANCP:</w:t>
      </w:r>
      <w:r w:rsidRPr="00721948">
        <w:rPr>
          <w:rFonts w:asciiTheme="minorHAnsi" w:hAnsiTheme="minorHAnsi"/>
          <w:color w:val="36424B" w:themeColor="text2" w:themeShade="BF"/>
        </w:rPr>
        <w:t xml:space="preserve"> poverty can</w:t>
      </w:r>
      <w:r w:rsidR="0067423F">
        <w:rPr>
          <w:rFonts w:asciiTheme="minorHAnsi" w:hAnsiTheme="minorHAnsi"/>
          <w:color w:val="36424B" w:themeColor="text2" w:themeShade="BF"/>
        </w:rPr>
        <w:t>no</w:t>
      </w:r>
      <w:r w:rsidRPr="00721948">
        <w:rPr>
          <w:rFonts w:asciiTheme="minorHAnsi" w:hAnsiTheme="minorHAnsi"/>
          <w:color w:val="36424B" w:themeColor="text2" w:themeShade="BF"/>
        </w:rPr>
        <w:t>t be eradicated without improving rural livelihoods</w:t>
      </w:r>
      <w:r w:rsidR="0067423F">
        <w:rPr>
          <w:rFonts w:asciiTheme="minorHAnsi" w:hAnsiTheme="minorHAnsi"/>
          <w:color w:val="36424B" w:themeColor="text2" w:themeShade="BF"/>
        </w:rPr>
        <w:t>;</w:t>
      </w:r>
      <w:r w:rsidRPr="00721948">
        <w:rPr>
          <w:rFonts w:asciiTheme="minorHAnsi" w:hAnsiTheme="minorHAnsi"/>
          <w:color w:val="36424B" w:themeColor="text2" w:themeShade="BF"/>
        </w:rPr>
        <w:t xml:space="preserve"> 2) scale and sustainability</w:t>
      </w:r>
      <w:r w:rsidR="0067423F">
        <w:rPr>
          <w:rFonts w:asciiTheme="minorHAnsi" w:hAnsiTheme="minorHAnsi"/>
          <w:color w:val="36424B" w:themeColor="text2" w:themeShade="BF"/>
        </w:rPr>
        <w:t>:</w:t>
      </w:r>
      <w:r w:rsidRPr="00721948">
        <w:rPr>
          <w:rFonts w:asciiTheme="minorHAnsi" w:hAnsiTheme="minorHAnsi"/>
          <w:color w:val="36424B" w:themeColor="text2" w:themeShade="BF"/>
        </w:rPr>
        <w:t xml:space="preserve"> even the smallest projects are making a difference</w:t>
      </w:r>
      <w:r w:rsidR="0067423F">
        <w:rPr>
          <w:rFonts w:asciiTheme="minorHAnsi" w:hAnsiTheme="minorHAnsi"/>
          <w:color w:val="36424B" w:themeColor="text2" w:themeShade="BF"/>
        </w:rPr>
        <w:t>;</w:t>
      </w:r>
      <w:r w:rsidRPr="00721948">
        <w:rPr>
          <w:rFonts w:asciiTheme="minorHAnsi" w:hAnsiTheme="minorHAnsi"/>
          <w:color w:val="36424B" w:themeColor="text2" w:themeShade="BF"/>
        </w:rPr>
        <w:t xml:space="preserve"> and 3) market interface</w:t>
      </w:r>
      <w:r w:rsidR="0067423F">
        <w:rPr>
          <w:rFonts w:asciiTheme="minorHAnsi" w:hAnsiTheme="minorHAnsi"/>
          <w:color w:val="36424B" w:themeColor="text2" w:themeShade="BF"/>
        </w:rPr>
        <w:t>:</w:t>
      </w:r>
      <w:r w:rsidRPr="00721948">
        <w:rPr>
          <w:rFonts w:asciiTheme="minorHAnsi" w:hAnsiTheme="minorHAnsi"/>
          <w:color w:val="36424B" w:themeColor="text2" w:themeShade="BF"/>
        </w:rPr>
        <w:t xml:space="preserve"> the extent and nature of market focus can be typified and considered more deliberately. </w:t>
      </w:r>
    </w:p>
    <w:p w:rsidR="00721948" w:rsidRPr="00721948" w:rsidRDefault="009A0FC2" w:rsidP="0072194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lastRenderedPageBreak/>
        <w:t>T</w:t>
      </w:r>
      <w:r w:rsidR="00721948" w:rsidRPr="00721948">
        <w:rPr>
          <w:rFonts w:asciiTheme="minorHAnsi" w:hAnsiTheme="minorHAnsi"/>
          <w:color w:val="36424B" w:themeColor="text2" w:themeShade="BF"/>
        </w:rPr>
        <w:t>hree recommendation</w:t>
      </w:r>
      <w:r>
        <w:rPr>
          <w:rFonts w:asciiTheme="minorHAnsi" w:hAnsiTheme="minorHAnsi"/>
          <w:color w:val="36424B" w:themeColor="text2" w:themeShade="BF"/>
        </w:rPr>
        <w:t>s</w:t>
      </w:r>
      <w:r w:rsidRPr="009A0FC2">
        <w:rPr>
          <w:rFonts w:asciiTheme="minorHAnsi" w:hAnsiTheme="minorHAnsi"/>
          <w:color w:val="36424B" w:themeColor="text2" w:themeShade="BF"/>
        </w:rPr>
        <w:t xml:space="preserve"> </w:t>
      </w:r>
      <w:r>
        <w:rPr>
          <w:rFonts w:asciiTheme="minorHAnsi" w:hAnsiTheme="minorHAnsi"/>
          <w:color w:val="36424B" w:themeColor="text2" w:themeShade="BF"/>
        </w:rPr>
        <w:t>conclude</w:t>
      </w:r>
      <w:r w:rsidRPr="009A0FC2">
        <w:rPr>
          <w:rFonts w:asciiTheme="minorHAnsi" w:hAnsiTheme="minorHAnsi"/>
          <w:color w:val="36424B" w:themeColor="text2" w:themeShade="BF"/>
        </w:rPr>
        <w:t xml:space="preserve"> </w:t>
      </w:r>
      <w:r>
        <w:rPr>
          <w:rFonts w:asciiTheme="minorHAnsi" w:hAnsiTheme="minorHAnsi"/>
          <w:color w:val="36424B" w:themeColor="text2" w:themeShade="BF"/>
        </w:rPr>
        <w:t>the ANCP Thematic Review</w:t>
      </w:r>
      <w:r w:rsidR="00721948" w:rsidRPr="00721948">
        <w:rPr>
          <w:rFonts w:asciiTheme="minorHAnsi" w:hAnsiTheme="minorHAnsi"/>
          <w:color w:val="36424B" w:themeColor="text2" w:themeShade="BF"/>
        </w:rPr>
        <w:t>, 1) focus on smallholders, 2) engage with markets and 3) help improve nutrition.</w:t>
      </w:r>
    </w:p>
    <w:p w:rsidR="00721948" w:rsidRPr="00721948" w:rsidRDefault="00721948" w:rsidP="002E254F">
      <w:pPr>
        <w:pStyle w:val="Heading2"/>
      </w:pPr>
      <w:r w:rsidRPr="00721948">
        <w:t>Discussion</w:t>
      </w:r>
    </w:p>
    <w:p w:rsidR="00721948" w:rsidRPr="00721948" w:rsidRDefault="00823B3F" w:rsidP="0072194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Similarities between ANCP projects and larger bilateral projects do exist. However, in most cases the different models of projects are looking at different aspects. For example</w:t>
      </w:r>
      <w:r w:rsidR="0039374C">
        <w:rPr>
          <w:rFonts w:asciiTheme="minorHAnsi" w:hAnsiTheme="minorHAnsi"/>
          <w:color w:val="36424B" w:themeColor="text2" w:themeShade="BF"/>
        </w:rPr>
        <w:t xml:space="preserve">, </w:t>
      </w:r>
      <w:hyperlink r:id="rId15" w:history="1">
        <w:r w:rsidR="0039374C" w:rsidRPr="00E539A6">
          <w:rPr>
            <w:rStyle w:val="Hyperlink"/>
            <w:rFonts w:cs="Times New Roman"/>
          </w:rPr>
          <w:t>PRISMA</w:t>
        </w:r>
      </w:hyperlink>
      <w:r w:rsidR="0039374C">
        <w:rPr>
          <w:rFonts w:asciiTheme="minorHAnsi" w:hAnsiTheme="minorHAnsi"/>
          <w:color w:val="36424B" w:themeColor="text2" w:themeShade="BF"/>
        </w:rPr>
        <w:t xml:space="preserve"> in Indonesia</w:t>
      </w:r>
      <w:r>
        <w:rPr>
          <w:rFonts w:asciiTheme="minorHAnsi" w:hAnsiTheme="minorHAnsi"/>
          <w:color w:val="36424B" w:themeColor="text2" w:themeShade="BF"/>
        </w:rPr>
        <w:t xml:space="preserve"> </w:t>
      </w:r>
      <w:r w:rsidR="0039374C">
        <w:rPr>
          <w:rFonts w:asciiTheme="minorHAnsi" w:hAnsiTheme="minorHAnsi"/>
          <w:color w:val="36424B" w:themeColor="text2" w:themeShade="BF"/>
        </w:rPr>
        <w:t>engage</w:t>
      </w:r>
      <w:r w:rsidR="009A0FC2">
        <w:rPr>
          <w:rFonts w:asciiTheme="minorHAnsi" w:hAnsiTheme="minorHAnsi"/>
          <w:color w:val="36424B" w:themeColor="text2" w:themeShade="BF"/>
        </w:rPr>
        <w:t>s</w:t>
      </w:r>
      <w:r w:rsidR="00721948" w:rsidRPr="00721948">
        <w:rPr>
          <w:rFonts w:asciiTheme="minorHAnsi" w:hAnsiTheme="minorHAnsi"/>
          <w:color w:val="36424B" w:themeColor="text2" w:themeShade="BF"/>
        </w:rPr>
        <w:t xml:space="preserve"> with a larger </w:t>
      </w:r>
      <w:r w:rsidR="00721948" w:rsidRPr="00425A24">
        <w:rPr>
          <w:rFonts w:asciiTheme="minorHAnsi" w:hAnsiTheme="minorHAnsi"/>
          <w:color w:val="36424B" w:themeColor="text2" w:themeShade="BF"/>
        </w:rPr>
        <w:t>range of private sector</w:t>
      </w:r>
      <w:r w:rsidR="00371554" w:rsidRPr="00425A24">
        <w:rPr>
          <w:rFonts w:asciiTheme="minorHAnsi" w:hAnsiTheme="minorHAnsi"/>
          <w:color w:val="36424B" w:themeColor="text2" w:themeShade="BF"/>
        </w:rPr>
        <w:t xml:space="preserve"> stakeholders</w:t>
      </w:r>
      <w:r w:rsidR="00721948" w:rsidRPr="00721948">
        <w:rPr>
          <w:rFonts w:asciiTheme="minorHAnsi" w:hAnsiTheme="minorHAnsi"/>
          <w:color w:val="36424B" w:themeColor="text2" w:themeShade="BF"/>
        </w:rPr>
        <w:t xml:space="preserve">, </w:t>
      </w:r>
      <w:r w:rsidR="0039374C">
        <w:rPr>
          <w:rFonts w:asciiTheme="minorHAnsi" w:hAnsiTheme="minorHAnsi"/>
          <w:color w:val="36424B" w:themeColor="text2" w:themeShade="BF"/>
        </w:rPr>
        <w:t>who</w:t>
      </w:r>
      <w:r w:rsidR="00721948" w:rsidRPr="00721948">
        <w:rPr>
          <w:rFonts w:asciiTheme="minorHAnsi" w:hAnsiTheme="minorHAnsi"/>
          <w:color w:val="36424B" w:themeColor="text2" w:themeShade="BF"/>
        </w:rPr>
        <w:t xml:space="preserve"> in turn</w:t>
      </w:r>
      <w:r w:rsidR="0039374C">
        <w:rPr>
          <w:rFonts w:asciiTheme="minorHAnsi" w:hAnsiTheme="minorHAnsi"/>
          <w:color w:val="36424B" w:themeColor="text2" w:themeShade="BF"/>
        </w:rPr>
        <w:t xml:space="preserve"> </w:t>
      </w:r>
      <w:r w:rsidR="00E539A6">
        <w:rPr>
          <w:rFonts w:asciiTheme="minorHAnsi" w:hAnsiTheme="minorHAnsi"/>
          <w:color w:val="36424B" w:themeColor="text2" w:themeShade="BF"/>
        </w:rPr>
        <w:t>work</w:t>
      </w:r>
      <w:r w:rsidR="00721948" w:rsidRPr="00721948">
        <w:rPr>
          <w:rFonts w:asciiTheme="minorHAnsi" w:hAnsiTheme="minorHAnsi"/>
          <w:color w:val="36424B" w:themeColor="text2" w:themeShade="BF"/>
        </w:rPr>
        <w:t xml:space="preserve"> with smal</w:t>
      </w:r>
      <w:r w:rsidR="00E539A6">
        <w:rPr>
          <w:rFonts w:asciiTheme="minorHAnsi" w:hAnsiTheme="minorHAnsi"/>
          <w:color w:val="36424B" w:themeColor="text2" w:themeShade="BF"/>
        </w:rPr>
        <w:t>lholders, whereas ANCP projects typically work directly with smallholders.</w:t>
      </w:r>
    </w:p>
    <w:p w:rsidR="00721948" w:rsidRPr="00721948" w:rsidRDefault="00BA2EDB" w:rsidP="0072194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D</w:t>
      </w:r>
      <w:r w:rsidRPr="00721948">
        <w:rPr>
          <w:rFonts w:asciiTheme="minorHAnsi" w:hAnsiTheme="minorHAnsi"/>
          <w:color w:val="36424B" w:themeColor="text2" w:themeShade="BF"/>
        </w:rPr>
        <w:t>evelopment results aren’t achieved quickly</w:t>
      </w:r>
      <w:r w:rsidR="00896F09">
        <w:rPr>
          <w:rFonts w:asciiTheme="minorHAnsi" w:hAnsiTheme="minorHAnsi"/>
          <w:color w:val="36424B" w:themeColor="text2" w:themeShade="BF"/>
        </w:rPr>
        <w:t xml:space="preserve"> and are exacerbated when working in very rural/remote areas. The ANCP recognises this and does not require fast results. </w:t>
      </w:r>
    </w:p>
    <w:p w:rsidR="00721948" w:rsidRPr="00721948" w:rsidRDefault="00BA2EDB" w:rsidP="0072194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 xml:space="preserve">Risk </w:t>
      </w:r>
      <w:r w:rsidR="00896F09">
        <w:rPr>
          <w:rFonts w:asciiTheme="minorHAnsi" w:hAnsiTheme="minorHAnsi"/>
          <w:color w:val="36424B" w:themeColor="text2" w:themeShade="BF"/>
        </w:rPr>
        <w:t>remains</w:t>
      </w:r>
      <w:r>
        <w:rPr>
          <w:rFonts w:asciiTheme="minorHAnsi" w:hAnsiTheme="minorHAnsi"/>
          <w:color w:val="36424B" w:themeColor="text2" w:themeShade="BF"/>
        </w:rPr>
        <w:t xml:space="preserve"> an important element</w:t>
      </w:r>
      <w:r w:rsidR="00896F09">
        <w:rPr>
          <w:rFonts w:asciiTheme="minorHAnsi" w:hAnsiTheme="minorHAnsi"/>
          <w:color w:val="36424B" w:themeColor="text2" w:themeShade="BF"/>
        </w:rPr>
        <w:t xml:space="preserve"> to consider</w:t>
      </w:r>
      <w:r>
        <w:rPr>
          <w:rFonts w:asciiTheme="minorHAnsi" w:hAnsiTheme="minorHAnsi"/>
          <w:color w:val="36424B" w:themeColor="text2" w:themeShade="BF"/>
        </w:rPr>
        <w:t xml:space="preserve"> as smallholders </w:t>
      </w:r>
      <w:r w:rsidRPr="00721948">
        <w:rPr>
          <w:rFonts w:asciiTheme="minorHAnsi" w:hAnsiTheme="minorHAnsi"/>
          <w:color w:val="36424B" w:themeColor="text2" w:themeShade="BF"/>
        </w:rPr>
        <w:t xml:space="preserve">won’t invest </w:t>
      </w:r>
      <w:r>
        <w:rPr>
          <w:rFonts w:asciiTheme="minorHAnsi" w:hAnsiTheme="minorHAnsi"/>
          <w:color w:val="36424B" w:themeColor="text2" w:themeShade="BF"/>
        </w:rPr>
        <w:t xml:space="preserve">in options </w:t>
      </w:r>
      <w:r w:rsidRPr="00721948">
        <w:rPr>
          <w:rFonts w:asciiTheme="minorHAnsi" w:hAnsiTheme="minorHAnsi"/>
          <w:color w:val="36424B" w:themeColor="text2" w:themeShade="BF"/>
        </w:rPr>
        <w:t>unless they know it will work</w:t>
      </w:r>
      <w:r>
        <w:rPr>
          <w:rFonts w:asciiTheme="minorHAnsi" w:hAnsiTheme="minorHAnsi"/>
          <w:color w:val="36424B" w:themeColor="text2" w:themeShade="BF"/>
        </w:rPr>
        <w:t>.</w:t>
      </w:r>
      <w:r w:rsidR="00896F09">
        <w:rPr>
          <w:rFonts w:asciiTheme="minorHAnsi" w:hAnsiTheme="minorHAnsi"/>
          <w:color w:val="36424B" w:themeColor="text2" w:themeShade="BF"/>
        </w:rPr>
        <w:t xml:space="preserve"> </w:t>
      </w:r>
      <w:r w:rsidR="00E539A6">
        <w:rPr>
          <w:rFonts w:asciiTheme="minorHAnsi" w:hAnsiTheme="minorHAnsi"/>
          <w:color w:val="36424B" w:themeColor="text2" w:themeShade="BF"/>
        </w:rPr>
        <w:t>The review considered this throughout.</w:t>
      </w:r>
    </w:p>
    <w:p w:rsidR="00E4385C" w:rsidRPr="00721948" w:rsidRDefault="00823B3F" w:rsidP="000B0A3A">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When addressing nutrition, limitations</w:t>
      </w:r>
      <w:r w:rsidR="00E236F8">
        <w:rPr>
          <w:rFonts w:asciiTheme="minorHAnsi" w:hAnsiTheme="minorHAnsi"/>
          <w:color w:val="36424B" w:themeColor="text2" w:themeShade="BF"/>
        </w:rPr>
        <w:t xml:space="preserve"> </w:t>
      </w:r>
      <w:r>
        <w:rPr>
          <w:rFonts w:asciiTheme="minorHAnsi" w:hAnsiTheme="minorHAnsi"/>
          <w:color w:val="36424B" w:themeColor="text2" w:themeShade="BF"/>
        </w:rPr>
        <w:t>(</w:t>
      </w:r>
      <w:r w:rsidR="00E236F8">
        <w:rPr>
          <w:rFonts w:asciiTheme="minorHAnsi" w:hAnsiTheme="minorHAnsi"/>
          <w:color w:val="36424B" w:themeColor="text2" w:themeShade="BF"/>
        </w:rPr>
        <w:t>particularly in the Pacific region</w:t>
      </w:r>
      <w:r>
        <w:rPr>
          <w:rFonts w:asciiTheme="minorHAnsi" w:hAnsiTheme="minorHAnsi"/>
          <w:color w:val="36424B" w:themeColor="text2" w:themeShade="BF"/>
        </w:rPr>
        <w:t>)</w:t>
      </w:r>
      <w:r w:rsidR="00E236F8">
        <w:rPr>
          <w:rFonts w:asciiTheme="minorHAnsi" w:hAnsiTheme="minorHAnsi"/>
          <w:color w:val="36424B" w:themeColor="text2" w:themeShade="BF"/>
        </w:rPr>
        <w:t xml:space="preserve"> </w:t>
      </w:r>
      <w:r>
        <w:rPr>
          <w:rFonts w:asciiTheme="minorHAnsi" w:hAnsiTheme="minorHAnsi"/>
          <w:color w:val="36424B" w:themeColor="text2" w:themeShade="BF"/>
        </w:rPr>
        <w:t>must be acknowledged</w:t>
      </w:r>
      <w:r w:rsidR="00721948" w:rsidRPr="00721948">
        <w:rPr>
          <w:rFonts w:asciiTheme="minorHAnsi" w:hAnsiTheme="minorHAnsi"/>
          <w:color w:val="36424B" w:themeColor="text2" w:themeShade="BF"/>
        </w:rPr>
        <w:t>.</w:t>
      </w:r>
    </w:p>
    <w:p w:rsidR="000B0A3A" w:rsidRPr="00BA6BFA" w:rsidRDefault="00E4385C" w:rsidP="002E254F">
      <w:pPr>
        <w:pStyle w:val="Heading2"/>
      </w:pPr>
      <w:r>
        <w:t>Pacific Step-Up</w:t>
      </w:r>
    </w:p>
    <w:p w:rsidR="00D406EC" w:rsidRDefault="0067423F" w:rsidP="007B67F7">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 xml:space="preserve">The Government’s Pacific </w:t>
      </w:r>
      <w:r w:rsidR="00D406EC">
        <w:rPr>
          <w:rFonts w:asciiTheme="minorHAnsi" w:hAnsiTheme="minorHAnsi"/>
          <w:color w:val="36424B" w:themeColor="text2" w:themeShade="BF"/>
        </w:rPr>
        <w:t xml:space="preserve">Step-up </w:t>
      </w:r>
      <w:proofErr w:type="gramStart"/>
      <w:r>
        <w:rPr>
          <w:rFonts w:asciiTheme="minorHAnsi" w:hAnsiTheme="minorHAnsi"/>
          <w:color w:val="36424B" w:themeColor="text2" w:themeShade="BF"/>
        </w:rPr>
        <w:t xml:space="preserve">is </w:t>
      </w:r>
      <w:r w:rsidR="00D406EC">
        <w:rPr>
          <w:rFonts w:asciiTheme="minorHAnsi" w:hAnsiTheme="minorHAnsi"/>
          <w:color w:val="36424B" w:themeColor="text2" w:themeShade="BF"/>
        </w:rPr>
        <w:t>based</w:t>
      </w:r>
      <w:proofErr w:type="gramEnd"/>
      <w:r w:rsidR="00D406EC">
        <w:rPr>
          <w:rFonts w:asciiTheme="minorHAnsi" w:hAnsiTheme="minorHAnsi"/>
          <w:color w:val="36424B" w:themeColor="text2" w:themeShade="BF"/>
        </w:rPr>
        <w:t xml:space="preserve"> on a shared histories and connected cultures</w:t>
      </w:r>
      <w:r w:rsidR="00DB54AC">
        <w:rPr>
          <w:rFonts w:asciiTheme="minorHAnsi" w:hAnsiTheme="minorHAnsi"/>
          <w:color w:val="36424B" w:themeColor="text2" w:themeShade="BF"/>
        </w:rPr>
        <w:t xml:space="preserve"> between Australia and Pacific Island nations. It is w</w:t>
      </w:r>
      <w:r w:rsidR="00D406EC">
        <w:rPr>
          <w:rFonts w:asciiTheme="minorHAnsi" w:hAnsiTheme="minorHAnsi"/>
          <w:color w:val="36424B" w:themeColor="text2" w:themeShade="BF"/>
        </w:rPr>
        <w:t>orking for a region of peace, harmony and prosperity.</w:t>
      </w:r>
    </w:p>
    <w:p w:rsidR="000B0A3A" w:rsidRPr="00D406EC" w:rsidRDefault="00E4385C" w:rsidP="007B67F7">
      <w:pPr>
        <w:pStyle w:val="ListParagraph"/>
        <w:numPr>
          <w:ilvl w:val="0"/>
          <w:numId w:val="12"/>
        </w:numPr>
        <w:spacing w:after="120" w:line="276" w:lineRule="auto"/>
        <w:rPr>
          <w:rFonts w:asciiTheme="minorHAnsi" w:hAnsiTheme="minorHAnsi"/>
          <w:color w:val="36424B" w:themeColor="text2" w:themeShade="BF"/>
        </w:rPr>
      </w:pPr>
      <w:r w:rsidRPr="00D406EC">
        <w:rPr>
          <w:rFonts w:asciiTheme="minorHAnsi" w:hAnsiTheme="minorHAnsi"/>
          <w:color w:val="36424B" w:themeColor="text2" w:themeShade="BF"/>
        </w:rPr>
        <w:t>Three pillars of Pacific Step-Up:</w:t>
      </w:r>
    </w:p>
    <w:p w:rsidR="00D406EC" w:rsidRDefault="00E4385C" w:rsidP="00726BD3">
      <w:pPr>
        <w:pStyle w:val="ListParagraph"/>
        <w:numPr>
          <w:ilvl w:val="1"/>
          <w:numId w:val="12"/>
        </w:numPr>
        <w:spacing w:line="276" w:lineRule="auto"/>
        <w:ind w:left="867" w:hanging="357"/>
        <w:rPr>
          <w:rFonts w:asciiTheme="minorHAnsi" w:hAnsiTheme="minorHAnsi"/>
          <w:color w:val="36424B" w:themeColor="text2" w:themeShade="BF"/>
        </w:rPr>
      </w:pPr>
      <w:r>
        <w:rPr>
          <w:rFonts w:asciiTheme="minorHAnsi" w:hAnsiTheme="minorHAnsi"/>
          <w:color w:val="36424B" w:themeColor="text2" w:themeShade="BF"/>
        </w:rPr>
        <w:t>Economic prosperity</w:t>
      </w:r>
      <w:r w:rsidR="00D406EC">
        <w:rPr>
          <w:rFonts w:asciiTheme="minorHAnsi" w:hAnsiTheme="minorHAnsi"/>
          <w:color w:val="36424B" w:themeColor="text2" w:themeShade="BF"/>
        </w:rPr>
        <w:t xml:space="preserve"> </w:t>
      </w:r>
    </w:p>
    <w:p w:rsidR="00E4385C" w:rsidRDefault="00E4385C" w:rsidP="00726BD3">
      <w:pPr>
        <w:pStyle w:val="ListParagraph"/>
        <w:numPr>
          <w:ilvl w:val="1"/>
          <w:numId w:val="12"/>
        </w:numPr>
        <w:spacing w:line="276" w:lineRule="auto"/>
        <w:ind w:left="867" w:hanging="357"/>
        <w:rPr>
          <w:rFonts w:asciiTheme="minorHAnsi" w:hAnsiTheme="minorHAnsi"/>
          <w:color w:val="36424B" w:themeColor="text2" w:themeShade="BF"/>
        </w:rPr>
      </w:pPr>
      <w:r>
        <w:rPr>
          <w:rFonts w:asciiTheme="minorHAnsi" w:hAnsiTheme="minorHAnsi"/>
          <w:color w:val="36424B" w:themeColor="text2" w:themeShade="BF"/>
        </w:rPr>
        <w:t>Security &amp; defence</w:t>
      </w:r>
      <w:r w:rsidR="00D406EC">
        <w:rPr>
          <w:rFonts w:asciiTheme="minorHAnsi" w:hAnsiTheme="minorHAnsi"/>
          <w:color w:val="36424B" w:themeColor="text2" w:themeShade="BF"/>
        </w:rPr>
        <w:t xml:space="preserve"> </w:t>
      </w:r>
    </w:p>
    <w:p w:rsidR="00E4385C" w:rsidRDefault="00E4385C" w:rsidP="00726BD3">
      <w:pPr>
        <w:pStyle w:val="ListParagraph"/>
        <w:numPr>
          <w:ilvl w:val="1"/>
          <w:numId w:val="12"/>
        </w:numPr>
        <w:spacing w:line="276" w:lineRule="auto"/>
        <w:ind w:left="867" w:hanging="357"/>
        <w:rPr>
          <w:rFonts w:asciiTheme="minorHAnsi" w:hAnsiTheme="minorHAnsi"/>
          <w:color w:val="36424B" w:themeColor="text2" w:themeShade="BF"/>
        </w:rPr>
      </w:pPr>
      <w:r>
        <w:rPr>
          <w:rFonts w:asciiTheme="minorHAnsi" w:hAnsiTheme="minorHAnsi"/>
          <w:color w:val="36424B" w:themeColor="text2" w:themeShade="BF"/>
        </w:rPr>
        <w:t>Connections between institutions &amp; people to people links</w:t>
      </w:r>
      <w:r w:rsidR="00D406EC">
        <w:rPr>
          <w:rFonts w:asciiTheme="minorHAnsi" w:hAnsiTheme="minorHAnsi"/>
          <w:color w:val="36424B" w:themeColor="text2" w:themeShade="BF"/>
        </w:rPr>
        <w:t xml:space="preserve"> </w:t>
      </w:r>
    </w:p>
    <w:p w:rsidR="00E4385C" w:rsidRDefault="00E4385C" w:rsidP="00726BD3">
      <w:pPr>
        <w:pStyle w:val="ListParagraph"/>
        <w:numPr>
          <w:ilvl w:val="0"/>
          <w:numId w:val="12"/>
        </w:numPr>
        <w:spacing w:before="120" w:after="120" w:line="276" w:lineRule="auto"/>
        <w:rPr>
          <w:rFonts w:asciiTheme="minorHAnsi" w:hAnsiTheme="minorHAnsi"/>
          <w:color w:val="36424B" w:themeColor="text2" w:themeShade="BF"/>
        </w:rPr>
      </w:pPr>
      <w:r>
        <w:rPr>
          <w:rFonts w:asciiTheme="minorHAnsi" w:hAnsiTheme="minorHAnsi"/>
          <w:color w:val="36424B" w:themeColor="text2" w:themeShade="BF"/>
        </w:rPr>
        <w:t>Step-up has involved significant increase in leader to leader and ministerial engagement between Australia and our Pacific neighbours.</w:t>
      </w:r>
      <w:r w:rsidR="00D406EC">
        <w:rPr>
          <w:rFonts w:asciiTheme="minorHAnsi" w:hAnsiTheme="minorHAnsi"/>
          <w:color w:val="36424B" w:themeColor="text2" w:themeShade="BF"/>
        </w:rPr>
        <w:t xml:space="preserve"> Increased engagement goes beyond political with a huge increase in visits between a </w:t>
      </w:r>
      <w:proofErr w:type="gramStart"/>
      <w:r w:rsidR="00D406EC">
        <w:rPr>
          <w:rFonts w:asciiTheme="minorHAnsi" w:hAnsiTheme="minorHAnsi"/>
          <w:color w:val="36424B" w:themeColor="text2" w:themeShade="BF"/>
        </w:rPr>
        <w:t>range</w:t>
      </w:r>
      <w:proofErr w:type="gramEnd"/>
      <w:r w:rsidR="00D406EC">
        <w:rPr>
          <w:rFonts w:asciiTheme="minorHAnsi" w:hAnsiTheme="minorHAnsi"/>
          <w:color w:val="36424B" w:themeColor="text2" w:themeShade="BF"/>
        </w:rPr>
        <w:t xml:space="preserve"> of </w:t>
      </w:r>
      <w:r w:rsidR="00BB260D">
        <w:rPr>
          <w:rFonts w:asciiTheme="minorHAnsi" w:hAnsiTheme="minorHAnsi"/>
          <w:color w:val="36424B" w:themeColor="text2" w:themeShade="BF"/>
        </w:rPr>
        <w:t>stakeholders</w:t>
      </w:r>
      <w:r w:rsidR="00D406EC">
        <w:rPr>
          <w:rFonts w:asciiTheme="minorHAnsi" w:hAnsiTheme="minorHAnsi"/>
          <w:color w:val="36424B" w:themeColor="text2" w:themeShade="BF"/>
        </w:rPr>
        <w:t xml:space="preserve"> including church groups.</w:t>
      </w:r>
    </w:p>
    <w:p w:rsidR="000B0A3A" w:rsidRPr="00D406EC" w:rsidRDefault="00E4385C" w:rsidP="007B67F7">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Office of the Pacific</w:t>
      </w:r>
      <w:r w:rsidR="00D406EC">
        <w:rPr>
          <w:rFonts w:asciiTheme="minorHAnsi" w:hAnsiTheme="minorHAnsi"/>
          <w:color w:val="36424B" w:themeColor="text2" w:themeShade="BF"/>
        </w:rPr>
        <w:t xml:space="preserve"> </w:t>
      </w:r>
      <w:r w:rsidR="00D406EC" w:rsidRPr="00D406EC">
        <w:rPr>
          <w:rFonts w:asciiTheme="minorHAnsi" w:hAnsiTheme="minorHAnsi"/>
          <w:color w:val="36424B" w:themeColor="text2" w:themeShade="BF"/>
        </w:rPr>
        <w:t xml:space="preserve">was established in </w:t>
      </w:r>
      <w:r w:rsidR="00D406EC">
        <w:rPr>
          <w:rFonts w:asciiTheme="minorHAnsi" w:hAnsiTheme="minorHAnsi"/>
          <w:color w:val="36424B" w:themeColor="text2" w:themeShade="BF"/>
        </w:rPr>
        <w:t>DFAT</w:t>
      </w:r>
      <w:r w:rsidR="00D406EC" w:rsidRPr="00D406EC">
        <w:rPr>
          <w:rFonts w:asciiTheme="minorHAnsi" w:hAnsiTheme="minorHAnsi"/>
          <w:color w:val="36424B" w:themeColor="text2" w:themeShade="BF"/>
        </w:rPr>
        <w:t xml:space="preserve"> to support Australia’s deepening engagement with the Pacific, to enhance whole-of-government coordination and to drive implementation of our regional activities, consistent with the priorities of Pacific countries.</w:t>
      </w:r>
      <w:r w:rsidR="00D406EC">
        <w:rPr>
          <w:rFonts w:asciiTheme="minorHAnsi" w:hAnsiTheme="minorHAnsi"/>
          <w:color w:val="36424B" w:themeColor="text2" w:themeShade="BF"/>
        </w:rPr>
        <w:t xml:space="preserve"> The Office is a whole of Government approach and staff </w:t>
      </w:r>
      <w:proofErr w:type="gramStart"/>
      <w:r w:rsidR="00D406EC">
        <w:rPr>
          <w:rFonts w:asciiTheme="minorHAnsi" w:hAnsiTheme="minorHAnsi"/>
          <w:color w:val="36424B" w:themeColor="text2" w:themeShade="BF"/>
        </w:rPr>
        <w:t>are drawn</w:t>
      </w:r>
      <w:proofErr w:type="gramEnd"/>
      <w:r w:rsidR="00D406EC">
        <w:rPr>
          <w:rFonts w:asciiTheme="minorHAnsi" w:hAnsiTheme="minorHAnsi"/>
          <w:color w:val="36424B" w:themeColor="text2" w:themeShade="BF"/>
        </w:rPr>
        <w:t xml:space="preserve"> from </w:t>
      </w:r>
      <w:r w:rsidR="00BB260D">
        <w:rPr>
          <w:rFonts w:asciiTheme="minorHAnsi" w:hAnsiTheme="minorHAnsi"/>
          <w:color w:val="36424B" w:themeColor="text2" w:themeShade="BF"/>
        </w:rPr>
        <w:t>other</w:t>
      </w:r>
      <w:r w:rsidR="00D406EC">
        <w:rPr>
          <w:rFonts w:asciiTheme="minorHAnsi" w:hAnsiTheme="minorHAnsi"/>
          <w:color w:val="36424B" w:themeColor="text2" w:themeShade="BF"/>
        </w:rPr>
        <w:t xml:space="preserve"> Government agencies and Departments including Defence, Home Affairs, Environment, Finance, AFP, Agriculture and Water Resources.</w:t>
      </w:r>
    </w:p>
    <w:p w:rsidR="00774EE4" w:rsidRPr="00BA6BFA" w:rsidRDefault="00E4385C" w:rsidP="002E254F">
      <w:pPr>
        <w:pStyle w:val="Heading2"/>
      </w:pPr>
      <w:r>
        <w:t>D</w:t>
      </w:r>
      <w:r w:rsidR="00D84E1E" w:rsidRPr="00BA6BFA">
        <w:t>iscussion</w:t>
      </w:r>
    </w:p>
    <w:p w:rsidR="00D84E1E" w:rsidRDefault="00D406EC" w:rsidP="007B67F7">
      <w:pPr>
        <w:pStyle w:val="ListParagraph"/>
        <w:numPr>
          <w:ilvl w:val="0"/>
          <w:numId w:val="12"/>
        </w:numPr>
        <w:spacing w:after="120" w:line="276" w:lineRule="auto"/>
        <w:rPr>
          <w:rFonts w:asciiTheme="minorHAnsi" w:hAnsiTheme="minorHAnsi"/>
          <w:color w:val="36424B" w:themeColor="text2" w:themeShade="BF"/>
        </w:rPr>
      </w:pPr>
      <w:r w:rsidRPr="00D406EC">
        <w:rPr>
          <w:rFonts w:asciiTheme="minorHAnsi" w:hAnsiTheme="minorHAnsi"/>
          <w:color w:val="36424B" w:themeColor="text2" w:themeShade="BF"/>
        </w:rPr>
        <w:t xml:space="preserve">Challenge to balance </w:t>
      </w:r>
      <w:r>
        <w:rPr>
          <w:rFonts w:asciiTheme="minorHAnsi" w:hAnsiTheme="minorHAnsi"/>
          <w:color w:val="36424B" w:themeColor="text2" w:themeShade="BF"/>
        </w:rPr>
        <w:t>the role of program delivery with an advocacy and leveraging role</w:t>
      </w:r>
      <w:r w:rsidR="007B2DD6">
        <w:rPr>
          <w:rFonts w:asciiTheme="minorHAnsi" w:hAnsiTheme="minorHAnsi"/>
          <w:color w:val="36424B" w:themeColor="text2" w:themeShade="BF"/>
        </w:rPr>
        <w:t>.</w:t>
      </w:r>
    </w:p>
    <w:p w:rsidR="00D406EC" w:rsidRPr="00D406EC" w:rsidRDefault="00D406EC" w:rsidP="007B67F7">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 xml:space="preserve">Discussion on the role of China. There is room for trilateral cooperation as evidenced by the </w:t>
      </w:r>
      <w:r w:rsidRPr="00D406EC">
        <w:rPr>
          <w:rFonts w:asciiTheme="minorHAnsi" w:hAnsiTheme="minorHAnsi"/>
          <w:color w:val="36424B" w:themeColor="text2" w:themeShade="BF"/>
        </w:rPr>
        <w:t>Australia-China-PNG Trilateral Malaria Project</w:t>
      </w:r>
      <w:r>
        <w:rPr>
          <w:rFonts w:asciiTheme="minorHAnsi" w:hAnsiTheme="minorHAnsi"/>
          <w:color w:val="36424B" w:themeColor="text2" w:themeShade="BF"/>
        </w:rPr>
        <w:t xml:space="preserve">. </w:t>
      </w:r>
    </w:p>
    <w:p w:rsidR="00E4385C" w:rsidRPr="00BA6BFA" w:rsidRDefault="00E4385C" w:rsidP="002E254F">
      <w:pPr>
        <w:pStyle w:val="Heading2"/>
      </w:pPr>
      <w:r>
        <w:t xml:space="preserve">You </w:t>
      </w:r>
      <w:proofErr w:type="gramStart"/>
      <w:r>
        <w:t>can’t</w:t>
      </w:r>
      <w:proofErr w:type="gramEnd"/>
      <w:r>
        <w:t xml:space="preserve"> ask that!</w:t>
      </w:r>
    </w:p>
    <w:p w:rsidR="00CE7798" w:rsidRPr="00CE7798" w:rsidRDefault="00CE7798" w:rsidP="00CE7798">
      <w:pPr>
        <w:pStyle w:val="ListParagraph"/>
        <w:numPr>
          <w:ilvl w:val="0"/>
          <w:numId w:val="12"/>
        </w:numPr>
        <w:spacing w:after="120" w:line="276" w:lineRule="auto"/>
        <w:rPr>
          <w:rFonts w:asciiTheme="minorHAnsi" w:hAnsiTheme="minorHAnsi"/>
          <w:color w:val="36424B" w:themeColor="text2" w:themeShade="BF"/>
        </w:rPr>
      </w:pPr>
      <w:r w:rsidRPr="00CE7798">
        <w:rPr>
          <w:rFonts w:asciiTheme="minorHAnsi" w:hAnsiTheme="minorHAnsi"/>
          <w:color w:val="36424B" w:themeColor="text2" w:themeShade="BF"/>
        </w:rPr>
        <w:t xml:space="preserve">As the Reflections Day neared its close, ANCP </w:t>
      </w:r>
      <w:r w:rsidR="005E39C3">
        <w:rPr>
          <w:rFonts w:asciiTheme="minorHAnsi" w:hAnsiTheme="minorHAnsi"/>
          <w:color w:val="36424B" w:themeColor="text2" w:themeShade="BF"/>
        </w:rPr>
        <w:t xml:space="preserve">(DFAT) </w:t>
      </w:r>
      <w:r w:rsidRPr="00CE7798">
        <w:rPr>
          <w:rFonts w:asciiTheme="minorHAnsi" w:hAnsiTheme="minorHAnsi"/>
          <w:color w:val="36424B" w:themeColor="text2" w:themeShade="BF"/>
        </w:rPr>
        <w:t xml:space="preserve">staff took the opportunity to provide brief updates.  </w:t>
      </w:r>
      <w:r w:rsidR="005E39C3">
        <w:rPr>
          <w:rFonts w:asciiTheme="minorHAnsi" w:hAnsiTheme="minorHAnsi"/>
          <w:color w:val="36424B" w:themeColor="text2" w:themeShade="BF"/>
        </w:rPr>
        <w:t>They</w:t>
      </w:r>
      <w:r w:rsidRPr="00CE7798">
        <w:rPr>
          <w:rFonts w:asciiTheme="minorHAnsi" w:hAnsiTheme="minorHAnsi"/>
          <w:color w:val="36424B" w:themeColor="text2" w:themeShade="BF"/>
        </w:rPr>
        <w:t xml:space="preserve"> provided an overview of the Program’s progress against the outcomes of the 2018 ANCP Annual Reflections.</w:t>
      </w:r>
      <w:r w:rsidR="009A55A7">
        <w:rPr>
          <w:rFonts w:asciiTheme="minorHAnsi" w:hAnsiTheme="minorHAnsi"/>
          <w:color w:val="36424B" w:themeColor="text2" w:themeShade="BF"/>
        </w:rPr>
        <w:t xml:space="preserve"> DFAT </w:t>
      </w:r>
      <w:r w:rsidR="005E39C3">
        <w:rPr>
          <w:rFonts w:asciiTheme="minorHAnsi" w:hAnsiTheme="minorHAnsi"/>
          <w:color w:val="36424B" w:themeColor="text2" w:themeShade="BF"/>
        </w:rPr>
        <w:t xml:space="preserve">also </w:t>
      </w:r>
      <w:r w:rsidR="009A55A7">
        <w:rPr>
          <w:rFonts w:asciiTheme="minorHAnsi" w:hAnsiTheme="minorHAnsi"/>
          <w:color w:val="36424B" w:themeColor="text2" w:themeShade="BF"/>
        </w:rPr>
        <w:t>noted t</w:t>
      </w:r>
      <w:r w:rsidRPr="00CE7798">
        <w:rPr>
          <w:rFonts w:asciiTheme="minorHAnsi" w:hAnsiTheme="minorHAnsi"/>
          <w:color w:val="36424B" w:themeColor="text2" w:themeShade="BF"/>
        </w:rPr>
        <w:t xml:space="preserve">he accreditation and reaccreditation activities currently under way, and </w:t>
      </w:r>
      <w:r w:rsidR="009A55A7">
        <w:rPr>
          <w:rFonts w:asciiTheme="minorHAnsi" w:hAnsiTheme="minorHAnsi"/>
          <w:color w:val="36424B" w:themeColor="text2" w:themeShade="BF"/>
        </w:rPr>
        <w:t xml:space="preserve">explained </w:t>
      </w:r>
      <w:r w:rsidRPr="00CE7798">
        <w:rPr>
          <w:rFonts w:asciiTheme="minorHAnsi" w:hAnsiTheme="minorHAnsi"/>
          <w:color w:val="36424B" w:themeColor="text2" w:themeShade="BF"/>
        </w:rPr>
        <w:t xml:space="preserve">the role of the Committee for Development Cooperation (CDC).  </w:t>
      </w:r>
      <w:r w:rsidR="009A55A7">
        <w:rPr>
          <w:rFonts w:asciiTheme="minorHAnsi" w:hAnsiTheme="minorHAnsi"/>
          <w:color w:val="36424B" w:themeColor="text2" w:themeShade="BF"/>
        </w:rPr>
        <w:t>DFAT</w:t>
      </w:r>
      <w:r w:rsidRPr="00CE7798">
        <w:rPr>
          <w:rFonts w:asciiTheme="minorHAnsi" w:hAnsiTheme="minorHAnsi"/>
          <w:color w:val="36424B" w:themeColor="text2" w:themeShade="BF"/>
        </w:rPr>
        <w:t xml:space="preserve"> reminded ANGOs of the 10 December 2019 deadline for downstream partners to be compliant with DFAT’s Preventing Sexual Exploitation, Abuse and Harassment (PSEAH) Policy.</w:t>
      </w:r>
    </w:p>
    <w:p w:rsidR="00CE7798" w:rsidRPr="00CE7798" w:rsidRDefault="00CE7798" w:rsidP="00CE7798">
      <w:pPr>
        <w:pStyle w:val="ListParagraph"/>
        <w:numPr>
          <w:ilvl w:val="0"/>
          <w:numId w:val="12"/>
        </w:numPr>
        <w:spacing w:after="120" w:line="276" w:lineRule="auto"/>
        <w:rPr>
          <w:rFonts w:asciiTheme="minorHAnsi" w:hAnsiTheme="minorHAnsi"/>
          <w:color w:val="36424B" w:themeColor="text2" w:themeShade="BF"/>
        </w:rPr>
      </w:pPr>
      <w:r w:rsidRPr="00CE7798">
        <w:rPr>
          <w:rFonts w:asciiTheme="minorHAnsi" w:hAnsiTheme="minorHAnsi"/>
          <w:color w:val="36424B" w:themeColor="text2" w:themeShade="BF"/>
        </w:rPr>
        <w:lastRenderedPageBreak/>
        <w:t>The panel noted that the recently announced aid policy review was a good opportunity for ANGOs to develop and share their views, recalling that others will be advocating hard.  The ANCP Manual provides guidance on balancing ANGO’s independence to advocate within the reputational value of being respectful of particular contexts and issues.</w:t>
      </w:r>
    </w:p>
    <w:p w:rsidR="00CE7798" w:rsidRPr="00CE7798" w:rsidRDefault="009A55A7" w:rsidP="00CE7798">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The facilitator</w:t>
      </w:r>
      <w:r w:rsidR="00CE7798" w:rsidRPr="00CE7798">
        <w:rPr>
          <w:rFonts w:asciiTheme="minorHAnsi" w:hAnsiTheme="minorHAnsi"/>
          <w:color w:val="36424B" w:themeColor="text2" w:themeShade="BF"/>
        </w:rPr>
        <w:t xml:space="preserve"> and the panel answered a number of questions on ANCP processes, agreeing that today’s attendee list would be circulated, that a list of ANCP projects is available online, that reaccreditation looks at an entire organisation not just its ANCP projects, </w:t>
      </w:r>
      <w:r w:rsidR="007B2DD6">
        <w:rPr>
          <w:rFonts w:asciiTheme="minorHAnsi" w:hAnsiTheme="minorHAnsi"/>
          <w:color w:val="36424B" w:themeColor="text2" w:themeShade="BF"/>
        </w:rPr>
        <w:t>the rationale behind collecting</w:t>
      </w:r>
      <w:r w:rsidR="00CE7798" w:rsidRPr="00CE7798">
        <w:rPr>
          <w:rFonts w:asciiTheme="minorHAnsi" w:hAnsiTheme="minorHAnsi"/>
          <w:color w:val="36424B" w:themeColor="text2" w:themeShade="BF"/>
        </w:rPr>
        <w:t xml:space="preserve"> indigenous-</w:t>
      </w:r>
      <w:r w:rsidR="007B2DD6">
        <w:rPr>
          <w:rFonts w:asciiTheme="minorHAnsi" w:hAnsiTheme="minorHAnsi"/>
          <w:color w:val="36424B" w:themeColor="text2" w:themeShade="BF"/>
        </w:rPr>
        <w:t>specific data</w:t>
      </w:r>
      <w:r w:rsidR="00CE7798" w:rsidRPr="00CE7798">
        <w:rPr>
          <w:rFonts w:asciiTheme="minorHAnsi" w:hAnsiTheme="minorHAnsi"/>
          <w:color w:val="36424B" w:themeColor="text2" w:themeShade="BF"/>
        </w:rPr>
        <w:t xml:space="preserve">, and that the ANCP funding policy review was continuing.  On the latter, the RDE threshold and the size of the </w:t>
      </w:r>
      <w:r w:rsidR="007B2DD6">
        <w:rPr>
          <w:rFonts w:asciiTheme="minorHAnsi" w:hAnsiTheme="minorHAnsi"/>
          <w:color w:val="36424B" w:themeColor="text2" w:themeShade="BF"/>
        </w:rPr>
        <w:t xml:space="preserve">base </w:t>
      </w:r>
      <w:r w:rsidR="00CE7798" w:rsidRPr="00CE7798">
        <w:rPr>
          <w:rFonts w:asciiTheme="minorHAnsi" w:hAnsiTheme="minorHAnsi"/>
          <w:color w:val="36424B" w:themeColor="text2" w:themeShade="BF"/>
        </w:rPr>
        <w:t>grant were key issues.  The panel also confirmed that ANCP funds could be used for capacity building of staff in developing countries.</w:t>
      </w:r>
    </w:p>
    <w:p w:rsidR="00CE7798" w:rsidRPr="00CE7798" w:rsidRDefault="00CE7798" w:rsidP="00CE7798">
      <w:pPr>
        <w:pStyle w:val="ListParagraph"/>
        <w:numPr>
          <w:ilvl w:val="0"/>
          <w:numId w:val="12"/>
        </w:numPr>
        <w:spacing w:after="120" w:line="276" w:lineRule="auto"/>
        <w:rPr>
          <w:rFonts w:asciiTheme="minorHAnsi" w:hAnsiTheme="minorHAnsi"/>
          <w:color w:val="36424B" w:themeColor="text2" w:themeShade="BF"/>
        </w:rPr>
      </w:pPr>
      <w:r w:rsidRPr="00CE7798">
        <w:rPr>
          <w:rFonts w:asciiTheme="minorHAnsi" w:hAnsiTheme="minorHAnsi"/>
          <w:color w:val="36424B" w:themeColor="text2" w:themeShade="BF"/>
        </w:rPr>
        <w:t xml:space="preserve">The panel highlighted the value of </w:t>
      </w:r>
      <w:r w:rsidR="007B2DD6">
        <w:rPr>
          <w:rFonts w:asciiTheme="minorHAnsi" w:hAnsiTheme="minorHAnsi"/>
          <w:color w:val="36424B" w:themeColor="text2" w:themeShade="BF"/>
        </w:rPr>
        <w:t xml:space="preserve">collaboration with </w:t>
      </w:r>
      <w:r w:rsidR="00EA1845">
        <w:rPr>
          <w:rFonts w:asciiTheme="minorHAnsi" w:hAnsiTheme="minorHAnsi"/>
          <w:color w:val="36424B" w:themeColor="text2" w:themeShade="BF"/>
        </w:rPr>
        <w:t xml:space="preserve">and between ANCP </w:t>
      </w:r>
      <w:r w:rsidR="007B2DD6">
        <w:rPr>
          <w:rFonts w:asciiTheme="minorHAnsi" w:hAnsiTheme="minorHAnsi"/>
          <w:color w:val="36424B" w:themeColor="text2" w:themeShade="BF"/>
        </w:rPr>
        <w:t xml:space="preserve">ANGOs </w:t>
      </w:r>
      <w:r w:rsidRPr="00CE7798">
        <w:rPr>
          <w:rFonts w:asciiTheme="minorHAnsi" w:hAnsiTheme="minorHAnsi"/>
          <w:color w:val="36424B" w:themeColor="text2" w:themeShade="BF"/>
        </w:rPr>
        <w:t xml:space="preserve">focused on gender issues, not just seeking guidance and advice from DFAT.  </w:t>
      </w:r>
      <w:r w:rsidR="00EA1845">
        <w:rPr>
          <w:rFonts w:asciiTheme="minorHAnsi" w:hAnsiTheme="minorHAnsi"/>
          <w:color w:val="36424B" w:themeColor="text2" w:themeShade="BF"/>
        </w:rPr>
        <w:t xml:space="preserve">The </w:t>
      </w:r>
      <w:r w:rsidR="009A55A7">
        <w:rPr>
          <w:rFonts w:asciiTheme="minorHAnsi" w:hAnsiTheme="minorHAnsi"/>
          <w:color w:val="36424B" w:themeColor="text2" w:themeShade="BF"/>
        </w:rPr>
        <w:t>p</w:t>
      </w:r>
      <w:r w:rsidR="00EA1845">
        <w:rPr>
          <w:rFonts w:asciiTheme="minorHAnsi" w:hAnsiTheme="minorHAnsi"/>
          <w:color w:val="36424B" w:themeColor="text2" w:themeShade="BF"/>
        </w:rPr>
        <w:t>anel also noted that e</w:t>
      </w:r>
      <w:r w:rsidRPr="00CE7798">
        <w:rPr>
          <w:rFonts w:asciiTheme="minorHAnsi" w:hAnsiTheme="minorHAnsi"/>
          <w:color w:val="36424B" w:themeColor="text2" w:themeShade="BF"/>
        </w:rPr>
        <w:t xml:space="preserve">nding violence against women and girls </w:t>
      </w:r>
      <w:proofErr w:type="gramStart"/>
      <w:r w:rsidRPr="00CE7798">
        <w:rPr>
          <w:rFonts w:asciiTheme="minorHAnsi" w:hAnsiTheme="minorHAnsi"/>
          <w:color w:val="36424B" w:themeColor="text2" w:themeShade="BF"/>
        </w:rPr>
        <w:t>will</w:t>
      </w:r>
      <w:proofErr w:type="gramEnd"/>
      <w:r w:rsidRPr="00CE7798">
        <w:rPr>
          <w:rFonts w:asciiTheme="minorHAnsi" w:hAnsiTheme="minorHAnsi"/>
          <w:color w:val="36424B" w:themeColor="text2" w:themeShade="BF"/>
        </w:rPr>
        <w:t xml:space="preserve"> be an enduring but achievable challenge, particularly in the Pacific.</w:t>
      </w:r>
    </w:p>
    <w:p w:rsidR="00EA1845" w:rsidRPr="004A0186" w:rsidRDefault="00EA1845" w:rsidP="00EA1845">
      <w:pPr>
        <w:pStyle w:val="ListParagraph"/>
        <w:numPr>
          <w:ilvl w:val="0"/>
          <w:numId w:val="12"/>
        </w:numPr>
        <w:spacing w:after="120" w:line="276" w:lineRule="auto"/>
        <w:rPr>
          <w:rFonts w:asciiTheme="minorHAnsi" w:hAnsiTheme="minorHAnsi"/>
          <w:color w:val="36424B" w:themeColor="text2" w:themeShade="BF"/>
        </w:rPr>
      </w:pPr>
      <w:r>
        <w:rPr>
          <w:rFonts w:asciiTheme="minorHAnsi" w:hAnsiTheme="minorHAnsi"/>
          <w:color w:val="36424B" w:themeColor="text2" w:themeShade="BF"/>
        </w:rPr>
        <w:t>Survey results from 18 respondents confirmed NGOs find Annual Reflections ‘extremely worth</w:t>
      </w:r>
      <w:r w:rsidR="00333894">
        <w:rPr>
          <w:rFonts w:asciiTheme="minorHAnsi" w:hAnsiTheme="minorHAnsi"/>
          <w:color w:val="36424B" w:themeColor="text2" w:themeShade="BF"/>
        </w:rPr>
        <w:t>while’ or ‘very worthwhile’ (88 per cent) with 11 per cent</w:t>
      </w:r>
      <w:r>
        <w:rPr>
          <w:rFonts w:asciiTheme="minorHAnsi" w:hAnsiTheme="minorHAnsi"/>
          <w:color w:val="36424B" w:themeColor="text2" w:themeShade="BF"/>
        </w:rPr>
        <w:t xml:space="preserve"> deeming it ‘somewhat worthwhile’. </w:t>
      </w:r>
      <w:proofErr w:type="gramStart"/>
      <w:r>
        <w:rPr>
          <w:rFonts w:asciiTheme="minorHAnsi" w:hAnsiTheme="minorHAnsi"/>
          <w:color w:val="36424B" w:themeColor="text2" w:themeShade="BF"/>
        </w:rPr>
        <w:t>November 2020 was the clear preference for next year’s event (72</w:t>
      </w:r>
      <w:r w:rsidR="00333894">
        <w:rPr>
          <w:rFonts w:asciiTheme="minorHAnsi" w:hAnsiTheme="minorHAnsi"/>
          <w:color w:val="36424B" w:themeColor="text2" w:themeShade="BF"/>
        </w:rPr>
        <w:t xml:space="preserve"> per cent</w:t>
      </w:r>
      <w:r>
        <w:rPr>
          <w:rFonts w:asciiTheme="minorHAnsi" w:hAnsiTheme="minorHAnsi"/>
          <w:color w:val="36424B" w:themeColor="text2" w:themeShade="BF"/>
        </w:rPr>
        <w:t>) but slightly lower results for holding it in Canberra again (66</w:t>
      </w:r>
      <w:r w:rsidR="00333894">
        <w:rPr>
          <w:rFonts w:asciiTheme="minorHAnsi" w:hAnsiTheme="minorHAnsi"/>
          <w:color w:val="36424B" w:themeColor="text2" w:themeShade="BF"/>
        </w:rPr>
        <w:t xml:space="preserve"> per cent</w:t>
      </w:r>
      <w:r>
        <w:rPr>
          <w:rFonts w:asciiTheme="minorHAnsi" w:hAnsiTheme="minorHAnsi"/>
          <w:color w:val="36424B" w:themeColor="text2" w:themeShade="BF"/>
        </w:rPr>
        <w:t>) largely due to cost and time associated with travel to Canberra.</w:t>
      </w:r>
      <w:proofErr w:type="gramEnd"/>
      <w:r>
        <w:rPr>
          <w:rFonts w:asciiTheme="minorHAnsi" w:hAnsiTheme="minorHAnsi"/>
          <w:color w:val="36424B" w:themeColor="text2" w:themeShade="BF"/>
        </w:rPr>
        <w:t xml:space="preserve"> Overall positive feedback about the logistics, agenda and facilities with some recommendations for improvements next year.</w:t>
      </w:r>
    </w:p>
    <w:p w:rsidR="00B13938" w:rsidRPr="00BA6BFA" w:rsidRDefault="00B13938" w:rsidP="002E254F">
      <w:pPr>
        <w:pStyle w:val="Heading2"/>
      </w:pPr>
      <w:bookmarkStart w:id="0" w:name="_GoBack"/>
      <w:r w:rsidRPr="00BA6BFA">
        <w:t>Next Steps</w:t>
      </w:r>
    </w:p>
    <w:bookmarkEnd w:id="0"/>
    <w:p w:rsidR="007B2DD6" w:rsidRDefault="00B13938" w:rsidP="00EA1845">
      <w:pPr>
        <w:pStyle w:val="ListParagraph"/>
        <w:numPr>
          <w:ilvl w:val="0"/>
          <w:numId w:val="12"/>
        </w:numPr>
        <w:spacing w:after="120" w:line="276" w:lineRule="auto"/>
        <w:rPr>
          <w:rFonts w:asciiTheme="minorHAnsi" w:hAnsiTheme="minorHAnsi"/>
          <w:color w:val="36424B" w:themeColor="text2" w:themeShade="BF"/>
        </w:rPr>
      </w:pPr>
      <w:r w:rsidRPr="00BA6BFA">
        <w:rPr>
          <w:rFonts w:asciiTheme="minorHAnsi" w:hAnsiTheme="minorHAnsi"/>
          <w:color w:val="36424B" w:themeColor="text2" w:themeShade="BF"/>
        </w:rPr>
        <w:t>DFAT will:</w:t>
      </w:r>
      <w:r w:rsidR="007B2DD6">
        <w:rPr>
          <w:rFonts w:asciiTheme="minorHAnsi" w:hAnsiTheme="minorHAnsi"/>
          <w:color w:val="36424B" w:themeColor="text2" w:themeShade="BF"/>
        </w:rPr>
        <w:t xml:space="preserve"> </w:t>
      </w:r>
    </w:p>
    <w:p w:rsidR="00EA1845" w:rsidRDefault="00EA1845" w:rsidP="00EA1845">
      <w:pPr>
        <w:pStyle w:val="ListParagraph"/>
        <w:numPr>
          <w:ilvl w:val="1"/>
          <w:numId w:val="13"/>
        </w:numPr>
        <w:spacing w:after="120" w:line="276" w:lineRule="auto"/>
        <w:rPr>
          <w:rFonts w:asciiTheme="minorHAnsi" w:hAnsiTheme="minorHAnsi"/>
          <w:color w:val="36424B" w:themeColor="text2" w:themeShade="BF"/>
        </w:rPr>
      </w:pPr>
      <w:r w:rsidRPr="00EA1845">
        <w:rPr>
          <w:rFonts w:asciiTheme="minorHAnsi" w:hAnsiTheme="minorHAnsi"/>
          <w:color w:val="36424B" w:themeColor="text2" w:themeShade="BF"/>
        </w:rPr>
        <w:t xml:space="preserve">engage </w:t>
      </w:r>
      <w:r>
        <w:rPr>
          <w:rFonts w:asciiTheme="minorHAnsi" w:hAnsiTheme="minorHAnsi"/>
          <w:color w:val="36424B" w:themeColor="text2" w:themeShade="BF"/>
        </w:rPr>
        <w:t xml:space="preserve">ANCP </w:t>
      </w:r>
      <w:r w:rsidRPr="00371554">
        <w:rPr>
          <w:rFonts w:asciiTheme="minorHAnsi" w:hAnsiTheme="minorHAnsi"/>
          <w:color w:val="36424B" w:themeColor="text2" w:themeShade="BF"/>
        </w:rPr>
        <w:t xml:space="preserve">NGOs to refresh </w:t>
      </w:r>
      <w:r w:rsidR="00371554" w:rsidRPr="00371554">
        <w:rPr>
          <w:rFonts w:asciiTheme="minorHAnsi" w:hAnsiTheme="minorHAnsi"/>
          <w:color w:val="36424B" w:themeColor="text2" w:themeShade="BF"/>
        </w:rPr>
        <w:t>terms of reference</w:t>
      </w:r>
      <w:r w:rsidRPr="00371554">
        <w:rPr>
          <w:rFonts w:asciiTheme="minorHAnsi" w:hAnsiTheme="minorHAnsi"/>
          <w:color w:val="36424B" w:themeColor="text2" w:themeShade="BF"/>
        </w:rPr>
        <w:t xml:space="preserve"> </w:t>
      </w:r>
      <w:r w:rsidR="00371554" w:rsidRPr="00371554">
        <w:rPr>
          <w:rFonts w:asciiTheme="minorHAnsi" w:hAnsiTheme="minorHAnsi"/>
          <w:color w:val="36424B" w:themeColor="text2" w:themeShade="BF"/>
        </w:rPr>
        <w:t xml:space="preserve">for </w:t>
      </w:r>
      <w:r w:rsidRPr="00371554">
        <w:rPr>
          <w:rFonts w:asciiTheme="minorHAnsi" w:hAnsiTheme="minorHAnsi"/>
          <w:color w:val="36424B" w:themeColor="text2" w:themeShade="BF"/>
        </w:rPr>
        <w:t>the MEL Reference Group and develop a work plan for 2020, including finalising the refreshed ANCP MELF and refining the SSC</w:t>
      </w:r>
      <w:r w:rsidRPr="00EA1845">
        <w:rPr>
          <w:rFonts w:asciiTheme="minorHAnsi" w:hAnsiTheme="minorHAnsi"/>
          <w:color w:val="36424B" w:themeColor="text2" w:themeShade="BF"/>
        </w:rPr>
        <w:t xml:space="preserve"> </w:t>
      </w:r>
      <w:r>
        <w:rPr>
          <w:rFonts w:asciiTheme="minorHAnsi" w:hAnsiTheme="minorHAnsi"/>
          <w:color w:val="36424B" w:themeColor="text2" w:themeShade="BF"/>
        </w:rPr>
        <w:t>process;</w:t>
      </w:r>
    </w:p>
    <w:p w:rsidR="00EA1845" w:rsidRPr="00EA1845" w:rsidRDefault="00EA1845" w:rsidP="00EA1845">
      <w:pPr>
        <w:pStyle w:val="ListParagraph"/>
        <w:numPr>
          <w:ilvl w:val="1"/>
          <w:numId w:val="13"/>
        </w:numPr>
        <w:spacing w:after="120" w:line="276" w:lineRule="auto"/>
        <w:rPr>
          <w:rFonts w:asciiTheme="minorHAnsi" w:hAnsiTheme="minorHAnsi"/>
          <w:color w:val="36424B" w:themeColor="text2" w:themeShade="BF"/>
        </w:rPr>
      </w:pPr>
      <w:proofErr w:type="gramStart"/>
      <w:r w:rsidRPr="00EA1845">
        <w:rPr>
          <w:rFonts w:asciiTheme="minorHAnsi" w:hAnsiTheme="minorHAnsi"/>
          <w:color w:val="36424B" w:themeColor="text2" w:themeShade="BF"/>
        </w:rPr>
        <w:t>deliberate</w:t>
      </w:r>
      <w:proofErr w:type="gramEnd"/>
      <w:r w:rsidRPr="00EA1845">
        <w:rPr>
          <w:rFonts w:asciiTheme="minorHAnsi" w:hAnsiTheme="minorHAnsi"/>
          <w:color w:val="36424B" w:themeColor="text2" w:themeShade="BF"/>
        </w:rPr>
        <w:t xml:space="preserve"> on the results of the MEL priority topics in conjunction with plans to focus next year’s learning event on findings from the GAP evaluations</w:t>
      </w:r>
      <w:r>
        <w:rPr>
          <w:rFonts w:asciiTheme="minorHAnsi" w:hAnsiTheme="minorHAnsi"/>
          <w:color w:val="36424B" w:themeColor="text2" w:themeShade="BF"/>
        </w:rPr>
        <w:t>.</w:t>
      </w:r>
    </w:p>
    <w:sectPr w:rsidR="00EA1845" w:rsidRPr="00EA1845" w:rsidSect="00FC322F">
      <w:headerReference w:type="default" r:id="rId16"/>
      <w:footerReference w:type="default" r:id="rId17"/>
      <w:headerReference w:type="first" r:id="rId18"/>
      <w:footerReference w:type="first" r:id="rId19"/>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07" w:rsidRDefault="001F4D07" w:rsidP="00D37B04">
      <w:r>
        <w:separator/>
      </w:r>
    </w:p>
  </w:endnote>
  <w:endnote w:type="continuationSeparator" w:id="0">
    <w:p w:rsidR="001F4D07" w:rsidRDefault="001F4D0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57468239" wp14:editId="5746823A">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57468241" wp14:editId="57468242">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07" w:rsidRPr="008C5A0E" w:rsidRDefault="001F4D07" w:rsidP="00D37B04">
      <w:pPr>
        <w:pStyle w:val="Footer"/>
      </w:pPr>
    </w:p>
  </w:footnote>
  <w:footnote w:type="continuationSeparator" w:id="0">
    <w:p w:rsidR="001F4D07" w:rsidRDefault="001F4D0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7468237" wp14:editId="57468238">
          <wp:simplePos x="0" y="0"/>
          <wp:positionH relativeFrom="page">
            <wp:posOffset>12700</wp:posOffset>
          </wp:positionH>
          <wp:positionV relativeFrom="page">
            <wp:posOffset>0</wp:posOffset>
          </wp:positionV>
          <wp:extent cx="7559040" cy="10692765"/>
          <wp:effectExtent l="0" t="0" r="3810"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2E254F">
      <w:rPr>
        <w:noProof/>
      </w:rPr>
      <w:t>March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5746823B" wp14:editId="5746823C">
          <wp:simplePos x="0" y="0"/>
          <wp:positionH relativeFrom="page">
            <wp:posOffset>5724525</wp:posOffset>
          </wp:positionH>
          <wp:positionV relativeFrom="page">
            <wp:posOffset>918210</wp:posOffset>
          </wp:positionV>
          <wp:extent cx="1115640" cy="512640"/>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746823D" wp14:editId="5746823E">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746823F" wp14:editId="57468240">
          <wp:simplePos x="0" y="0"/>
          <wp:positionH relativeFrom="page">
            <wp:posOffset>12700</wp:posOffset>
          </wp:positionH>
          <wp:positionV relativeFrom="page">
            <wp:posOffset>0</wp:posOffset>
          </wp:positionV>
          <wp:extent cx="7559040" cy="10692130"/>
          <wp:effectExtent l="0" t="0" r="3810"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DBD"/>
    <w:multiLevelType w:val="hybridMultilevel"/>
    <w:tmpl w:val="142A0B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A544CF"/>
    <w:multiLevelType w:val="hybridMultilevel"/>
    <w:tmpl w:val="EF9239E8"/>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EDA79F5"/>
    <w:multiLevelType w:val="hybridMultilevel"/>
    <w:tmpl w:val="F0A6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E5904F3"/>
    <w:multiLevelType w:val="hybridMultilevel"/>
    <w:tmpl w:val="28464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06F0B"/>
    <w:multiLevelType w:val="hybridMultilevel"/>
    <w:tmpl w:val="893E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07B6D"/>
    <w:multiLevelType w:val="hybridMultilevel"/>
    <w:tmpl w:val="A4109074"/>
    <w:lvl w:ilvl="0" w:tplc="B9A21E8E">
      <w:start w:val="1"/>
      <w:numFmt w:val="decimal"/>
      <w:lvlText w:val="%1."/>
      <w:lvlJc w:val="left"/>
      <w:pPr>
        <w:ind w:left="284" w:hanging="284"/>
      </w:pPr>
      <w:rPr>
        <w:rFonts w:hint="default"/>
        <w:b w:val="0"/>
      </w:rPr>
    </w:lvl>
    <w:lvl w:ilvl="1" w:tplc="1CA8BFA6">
      <w:start w:val="2018"/>
      <w:numFmt w:val="bullet"/>
      <w:lvlText w:val="-"/>
      <w:lvlJc w:val="left"/>
      <w:pPr>
        <w:ind w:left="873" w:hanging="360"/>
      </w:pPr>
      <w:rPr>
        <w:rFonts w:ascii="Calibri" w:eastAsia="Calibri" w:hAnsi="Calibri" w:cs="Times New Roman"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118226B"/>
    <w:multiLevelType w:val="hybridMultilevel"/>
    <w:tmpl w:val="17C8BA86"/>
    <w:lvl w:ilvl="0" w:tplc="B9A21E8E">
      <w:start w:val="1"/>
      <w:numFmt w:val="decimal"/>
      <w:lvlText w:val="%1."/>
      <w:lvlJc w:val="left"/>
      <w:pPr>
        <w:ind w:left="284" w:hanging="284"/>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3B18CD"/>
    <w:multiLevelType w:val="hybridMultilevel"/>
    <w:tmpl w:val="38CC5C58"/>
    <w:lvl w:ilvl="0" w:tplc="B9A21E8E">
      <w:start w:val="1"/>
      <w:numFmt w:val="decimal"/>
      <w:lvlText w:val="%1."/>
      <w:lvlJc w:val="left"/>
      <w:pPr>
        <w:ind w:left="284" w:hanging="284"/>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921D02"/>
    <w:multiLevelType w:val="hybridMultilevel"/>
    <w:tmpl w:val="78409544"/>
    <w:lvl w:ilvl="0" w:tplc="525E568C">
      <w:start w:val="17"/>
      <w:numFmt w:val="decimal"/>
      <w:lvlText w:val="%1."/>
      <w:lvlJc w:val="left"/>
      <w:pPr>
        <w:ind w:left="567" w:hanging="567"/>
      </w:pPr>
      <w:rPr>
        <w:rFonts w:hint="default"/>
      </w:rPr>
    </w:lvl>
    <w:lvl w:ilvl="1" w:tplc="1CA8BFA6">
      <w:start w:val="2018"/>
      <w:numFmt w:val="bullet"/>
      <w:lvlText w:val="-"/>
      <w:lvlJc w:val="left"/>
      <w:pPr>
        <w:ind w:left="1440" w:hanging="360"/>
      </w:pPr>
      <w:rPr>
        <w:rFonts w:ascii="Calibri" w:eastAsia="Calibri" w:hAnsi="Calibri"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45A4A"/>
    <w:multiLevelType w:val="hybridMultilevel"/>
    <w:tmpl w:val="44A4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722558"/>
    <w:multiLevelType w:val="hybridMultilevel"/>
    <w:tmpl w:val="286C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572C5"/>
    <w:multiLevelType w:val="hybridMultilevel"/>
    <w:tmpl w:val="8F2AABE4"/>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52553D9F"/>
    <w:multiLevelType w:val="multilevel"/>
    <w:tmpl w:val="A6FA45D0"/>
    <w:numStyleLink w:val="BulletsList"/>
  </w:abstractNum>
  <w:abstractNum w:abstractNumId="16" w15:restartNumberingAfterBreak="0">
    <w:nsid w:val="533C5F49"/>
    <w:multiLevelType w:val="hybridMultilevel"/>
    <w:tmpl w:val="74FC79D0"/>
    <w:lvl w:ilvl="0" w:tplc="B9A21E8E">
      <w:start w:val="1"/>
      <w:numFmt w:val="decimal"/>
      <w:lvlText w:val="%1."/>
      <w:lvlJc w:val="left"/>
      <w:pPr>
        <w:ind w:left="284" w:hanging="284"/>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C628B6"/>
    <w:multiLevelType w:val="hybridMultilevel"/>
    <w:tmpl w:val="0826F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67731"/>
    <w:multiLevelType w:val="hybridMultilevel"/>
    <w:tmpl w:val="DC92780A"/>
    <w:lvl w:ilvl="0" w:tplc="3C7A6C2A">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F">
      <w:start w:val="1"/>
      <w:numFmt w:val="decimal"/>
      <w:lvlText w:val="%3."/>
      <w:lvlJc w:val="left"/>
      <w:pPr>
        <w:ind w:left="1080" w:hanging="360"/>
      </w:pPr>
      <w:rPr>
        <w:rFont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6A12B8"/>
    <w:multiLevelType w:val="hybridMultilevel"/>
    <w:tmpl w:val="C2D60E5E"/>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5B516AFE"/>
    <w:multiLevelType w:val="hybridMultilevel"/>
    <w:tmpl w:val="A0046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3D666B7"/>
    <w:multiLevelType w:val="hybridMultilevel"/>
    <w:tmpl w:val="8E420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B12092"/>
    <w:multiLevelType w:val="hybridMultilevel"/>
    <w:tmpl w:val="73C6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00695"/>
    <w:multiLevelType w:val="hybridMultilevel"/>
    <w:tmpl w:val="8654AFAC"/>
    <w:lvl w:ilvl="0" w:tplc="E34446FE">
      <w:start w:val="1"/>
      <w:numFmt w:val="bullet"/>
      <w:lvlText w:val="•"/>
      <w:lvlJc w:val="left"/>
      <w:pPr>
        <w:tabs>
          <w:tab w:val="num" w:pos="720"/>
        </w:tabs>
        <w:ind w:left="720" w:hanging="360"/>
      </w:pPr>
      <w:rPr>
        <w:rFonts w:ascii="Arial" w:hAnsi="Arial" w:hint="default"/>
      </w:rPr>
    </w:lvl>
    <w:lvl w:ilvl="1" w:tplc="09961D88" w:tentative="1">
      <w:start w:val="1"/>
      <w:numFmt w:val="bullet"/>
      <w:lvlText w:val="•"/>
      <w:lvlJc w:val="left"/>
      <w:pPr>
        <w:tabs>
          <w:tab w:val="num" w:pos="1440"/>
        </w:tabs>
        <w:ind w:left="1440" w:hanging="360"/>
      </w:pPr>
      <w:rPr>
        <w:rFonts w:ascii="Arial" w:hAnsi="Arial" w:hint="default"/>
      </w:rPr>
    </w:lvl>
    <w:lvl w:ilvl="2" w:tplc="5C9C56FC" w:tentative="1">
      <w:start w:val="1"/>
      <w:numFmt w:val="bullet"/>
      <w:lvlText w:val="•"/>
      <w:lvlJc w:val="left"/>
      <w:pPr>
        <w:tabs>
          <w:tab w:val="num" w:pos="2160"/>
        </w:tabs>
        <w:ind w:left="2160" w:hanging="360"/>
      </w:pPr>
      <w:rPr>
        <w:rFonts w:ascii="Arial" w:hAnsi="Arial" w:hint="default"/>
      </w:rPr>
    </w:lvl>
    <w:lvl w:ilvl="3" w:tplc="7BA634FE" w:tentative="1">
      <w:start w:val="1"/>
      <w:numFmt w:val="bullet"/>
      <w:lvlText w:val="•"/>
      <w:lvlJc w:val="left"/>
      <w:pPr>
        <w:tabs>
          <w:tab w:val="num" w:pos="2880"/>
        </w:tabs>
        <w:ind w:left="2880" w:hanging="360"/>
      </w:pPr>
      <w:rPr>
        <w:rFonts w:ascii="Arial" w:hAnsi="Arial" w:hint="default"/>
      </w:rPr>
    </w:lvl>
    <w:lvl w:ilvl="4" w:tplc="7A1C0B0E" w:tentative="1">
      <w:start w:val="1"/>
      <w:numFmt w:val="bullet"/>
      <w:lvlText w:val="•"/>
      <w:lvlJc w:val="left"/>
      <w:pPr>
        <w:tabs>
          <w:tab w:val="num" w:pos="3600"/>
        </w:tabs>
        <w:ind w:left="3600" w:hanging="360"/>
      </w:pPr>
      <w:rPr>
        <w:rFonts w:ascii="Arial" w:hAnsi="Arial" w:hint="default"/>
      </w:rPr>
    </w:lvl>
    <w:lvl w:ilvl="5" w:tplc="9DC40A2C" w:tentative="1">
      <w:start w:val="1"/>
      <w:numFmt w:val="bullet"/>
      <w:lvlText w:val="•"/>
      <w:lvlJc w:val="left"/>
      <w:pPr>
        <w:tabs>
          <w:tab w:val="num" w:pos="4320"/>
        </w:tabs>
        <w:ind w:left="4320" w:hanging="360"/>
      </w:pPr>
      <w:rPr>
        <w:rFonts w:ascii="Arial" w:hAnsi="Arial" w:hint="default"/>
      </w:rPr>
    </w:lvl>
    <w:lvl w:ilvl="6" w:tplc="A5A2A4E0" w:tentative="1">
      <w:start w:val="1"/>
      <w:numFmt w:val="bullet"/>
      <w:lvlText w:val="•"/>
      <w:lvlJc w:val="left"/>
      <w:pPr>
        <w:tabs>
          <w:tab w:val="num" w:pos="5040"/>
        </w:tabs>
        <w:ind w:left="5040" w:hanging="360"/>
      </w:pPr>
      <w:rPr>
        <w:rFonts w:ascii="Arial" w:hAnsi="Arial" w:hint="default"/>
      </w:rPr>
    </w:lvl>
    <w:lvl w:ilvl="7" w:tplc="8DC2B058" w:tentative="1">
      <w:start w:val="1"/>
      <w:numFmt w:val="bullet"/>
      <w:lvlText w:val="•"/>
      <w:lvlJc w:val="left"/>
      <w:pPr>
        <w:tabs>
          <w:tab w:val="num" w:pos="5760"/>
        </w:tabs>
        <w:ind w:left="5760" w:hanging="360"/>
      </w:pPr>
      <w:rPr>
        <w:rFonts w:ascii="Arial" w:hAnsi="Arial" w:hint="default"/>
      </w:rPr>
    </w:lvl>
    <w:lvl w:ilvl="8" w:tplc="A6FE0F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104F44"/>
    <w:multiLevelType w:val="hybridMultilevel"/>
    <w:tmpl w:val="B242001A"/>
    <w:lvl w:ilvl="0" w:tplc="0C09000F">
      <w:start w:val="1"/>
      <w:numFmt w:val="decimal"/>
      <w:lvlText w:val="%1."/>
      <w:lvlJc w:val="left"/>
      <w:pPr>
        <w:ind w:left="567" w:hanging="567"/>
      </w:pPr>
      <w:rPr>
        <w:rFonts w:hint="default"/>
      </w:rPr>
    </w:lvl>
    <w:lvl w:ilvl="1" w:tplc="1CA8BFA6">
      <w:start w:val="2018"/>
      <w:numFmt w:val="bullet"/>
      <w:lvlText w:val="-"/>
      <w:lvlJc w:val="left"/>
      <w:pPr>
        <w:ind w:left="1440" w:hanging="360"/>
      </w:pPr>
      <w:rPr>
        <w:rFonts w:ascii="Calibri" w:eastAsia="Calibri"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985381F"/>
    <w:multiLevelType w:val="hybridMultilevel"/>
    <w:tmpl w:val="8F2AABE4"/>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27"/>
  </w:num>
  <w:num w:numId="2">
    <w:abstractNumId w:val="1"/>
  </w:num>
  <w:num w:numId="3">
    <w:abstractNumId w:val="8"/>
  </w:num>
  <w:num w:numId="4">
    <w:abstractNumId w:val="19"/>
  </w:num>
  <w:num w:numId="5">
    <w:abstractNumId w:val="22"/>
  </w:num>
  <w:num w:numId="6">
    <w:abstractNumId w:val="8"/>
  </w:num>
  <w:num w:numId="7">
    <w:abstractNumId w:val="1"/>
  </w:num>
  <w:num w:numId="8">
    <w:abstractNumId w:val="4"/>
  </w:num>
  <w:num w:numId="9">
    <w:abstractNumId w:val="28"/>
  </w:num>
  <w:num w:numId="10">
    <w:abstractNumId w:val="15"/>
  </w:num>
  <w:num w:numId="11">
    <w:abstractNumId w:val="26"/>
  </w:num>
  <w:num w:numId="12">
    <w:abstractNumId w:val="7"/>
  </w:num>
  <w:num w:numId="13">
    <w:abstractNumId w:val="11"/>
  </w:num>
  <w:num w:numId="14">
    <w:abstractNumId w:val="20"/>
  </w:num>
  <w:num w:numId="15">
    <w:abstractNumId w:val="18"/>
  </w:num>
  <w:num w:numId="16">
    <w:abstractNumId w:val="29"/>
  </w:num>
  <w:num w:numId="17">
    <w:abstractNumId w:val="2"/>
  </w:num>
  <w:num w:numId="18">
    <w:abstractNumId w:val="14"/>
  </w:num>
  <w:num w:numId="19">
    <w:abstractNumId w:val="23"/>
  </w:num>
  <w:num w:numId="20">
    <w:abstractNumId w:val="21"/>
  </w:num>
  <w:num w:numId="21">
    <w:abstractNumId w:val="12"/>
  </w:num>
  <w:num w:numId="22">
    <w:abstractNumId w:val="3"/>
  </w:num>
  <w:num w:numId="23">
    <w:abstractNumId w:val="13"/>
  </w:num>
  <w:num w:numId="24">
    <w:abstractNumId w:val="6"/>
  </w:num>
  <w:num w:numId="25">
    <w:abstractNumId w:val="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4"/>
  </w:num>
  <w:num w:numId="29">
    <w:abstractNumId w:val="25"/>
  </w:num>
  <w:num w:numId="30">
    <w:abstractNumId w:val="17"/>
  </w:num>
  <w:num w:numId="31">
    <w:abstractNumId w:val="16"/>
  </w:num>
  <w:num w:numId="32">
    <w:abstractNumId w:val="9"/>
  </w:num>
  <w:num w:numId="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01DA8"/>
    <w:rsid w:val="000020C1"/>
    <w:rsid w:val="00012548"/>
    <w:rsid w:val="0002080A"/>
    <w:rsid w:val="0002782F"/>
    <w:rsid w:val="00035BBF"/>
    <w:rsid w:val="00050806"/>
    <w:rsid w:val="000546D9"/>
    <w:rsid w:val="00054E4D"/>
    <w:rsid w:val="00060073"/>
    <w:rsid w:val="000616C6"/>
    <w:rsid w:val="000854FD"/>
    <w:rsid w:val="000B0A3A"/>
    <w:rsid w:val="000B37F5"/>
    <w:rsid w:val="000B503B"/>
    <w:rsid w:val="000D66D6"/>
    <w:rsid w:val="000F1A1C"/>
    <w:rsid w:val="00103808"/>
    <w:rsid w:val="00113288"/>
    <w:rsid w:val="001214BE"/>
    <w:rsid w:val="0013101C"/>
    <w:rsid w:val="001415DA"/>
    <w:rsid w:val="001461D6"/>
    <w:rsid w:val="001541EA"/>
    <w:rsid w:val="00173803"/>
    <w:rsid w:val="001839BD"/>
    <w:rsid w:val="001D663E"/>
    <w:rsid w:val="001E1DC0"/>
    <w:rsid w:val="001F4D07"/>
    <w:rsid w:val="00203277"/>
    <w:rsid w:val="00205B2E"/>
    <w:rsid w:val="00222663"/>
    <w:rsid w:val="00243397"/>
    <w:rsid w:val="00252C04"/>
    <w:rsid w:val="00265C7E"/>
    <w:rsid w:val="0028602A"/>
    <w:rsid w:val="002B5E10"/>
    <w:rsid w:val="002C793D"/>
    <w:rsid w:val="002D0C62"/>
    <w:rsid w:val="002D5186"/>
    <w:rsid w:val="002D5B25"/>
    <w:rsid w:val="002E254F"/>
    <w:rsid w:val="002F4F2B"/>
    <w:rsid w:val="003002C0"/>
    <w:rsid w:val="00301144"/>
    <w:rsid w:val="003031C6"/>
    <w:rsid w:val="00304984"/>
    <w:rsid w:val="00312BF8"/>
    <w:rsid w:val="003148B7"/>
    <w:rsid w:val="003158C3"/>
    <w:rsid w:val="003274CD"/>
    <w:rsid w:val="00333501"/>
    <w:rsid w:val="00333894"/>
    <w:rsid w:val="003457C4"/>
    <w:rsid w:val="0035119D"/>
    <w:rsid w:val="00371554"/>
    <w:rsid w:val="00384D40"/>
    <w:rsid w:val="0039344A"/>
    <w:rsid w:val="0039374C"/>
    <w:rsid w:val="00395163"/>
    <w:rsid w:val="003B4F12"/>
    <w:rsid w:val="003F2041"/>
    <w:rsid w:val="00402ACC"/>
    <w:rsid w:val="004120EC"/>
    <w:rsid w:val="00423F31"/>
    <w:rsid w:val="00425A24"/>
    <w:rsid w:val="00431899"/>
    <w:rsid w:val="00434215"/>
    <w:rsid w:val="00442055"/>
    <w:rsid w:val="0046775D"/>
    <w:rsid w:val="00482AE8"/>
    <w:rsid w:val="0048492D"/>
    <w:rsid w:val="00486804"/>
    <w:rsid w:val="00487B6B"/>
    <w:rsid w:val="004939C4"/>
    <w:rsid w:val="004A0186"/>
    <w:rsid w:val="004B3775"/>
    <w:rsid w:val="004C6342"/>
    <w:rsid w:val="004D0BA0"/>
    <w:rsid w:val="004E058F"/>
    <w:rsid w:val="004E3B87"/>
    <w:rsid w:val="00510921"/>
    <w:rsid w:val="00510AD3"/>
    <w:rsid w:val="00513348"/>
    <w:rsid w:val="00513AD8"/>
    <w:rsid w:val="00516900"/>
    <w:rsid w:val="005204D2"/>
    <w:rsid w:val="00522396"/>
    <w:rsid w:val="00533B5D"/>
    <w:rsid w:val="00536EC3"/>
    <w:rsid w:val="005615D2"/>
    <w:rsid w:val="005A20F6"/>
    <w:rsid w:val="005A586E"/>
    <w:rsid w:val="005B55E8"/>
    <w:rsid w:val="005D3655"/>
    <w:rsid w:val="005E00FD"/>
    <w:rsid w:val="005E39C3"/>
    <w:rsid w:val="005E4830"/>
    <w:rsid w:val="00606E81"/>
    <w:rsid w:val="00622B86"/>
    <w:rsid w:val="00623BA1"/>
    <w:rsid w:val="006346BC"/>
    <w:rsid w:val="0064678E"/>
    <w:rsid w:val="0066652A"/>
    <w:rsid w:val="006719C3"/>
    <w:rsid w:val="0067423F"/>
    <w:rsid w:val="00680522"/>
    <w:rsid w:val="00682167"/>
    <w:rsid w:val="006A58AD"/>
    <w:rsid w:val="006C42AF"/>
    <w:rsid w:val="006E183B"/>
    <w:rsid w:val="006E4F94"/>
    <w:rsid w:val="007117A1"/>
    <w:rsid w:val="00711D8E"/>
    <w:rsid w:val="00712672"/>
    <w:rsid w:val="00721948"/>
    <w:rsid w:val="00726BD3"/>
    <w:rsid w:val="00734E3F"/>
    <w:rsid w:val="00736985"/>
    <w:rsid w:val="00745DF5"/>
    <w:rsid w:val="0076250F"/>
    <w:rsid w:val="007706B8"/>
    <w:rsid w:val="00774EE4"/>
    <w:rsid w:val="0077752C"/>
    <w:rsid w:val="00780FA5"/>
    <w:rsid w:val="007971D1"/>
    <w:rsid w:val="007A5269"/>
    <w:rsid w:val="007B2DD6"/>
    <w:rsid w:val="007B6200"/>
    <w:rsid w:val="007B67F7"/>
    <w:rsid w:val="007F3395"/>
    <w:rsid w:val="00801B9F"/>
    <w:rsid w:val="0080204D"/>
    <w:rsid w:val="00805B9C"/>
    <w:rsid w:val="00823B3F"/>
    <w:rsid w:val="0083052F"/>
    <w:rsid w:val="00841A06"/>
    <w:rsid w:val="008475F0"/>
    <w:rsid w:val="008557A7"/>
    <w:rsid w:val="00870928"/>
    <w:rsid w:val="00873607"/>
    <w:rsid w:val="0088531A"/>
    <w:rsid w:val="00885A62"/>
    <w:rsid w:val="0089405C"/>
    <w:rsid w:val="00896F09"/>
    <w:rsid w:val="00897FA2"/>
    <w:rsid w:val="008A5AFE"/>
    <w:rsid w:val="008C5A0E"/>
    <w:rsid w:val="00930E07"/>
    <w:rsid w:val="00943730"/>
    <w:rsid w:val="00961E72"/>
    <w:rsid w:val="00974DC0"/>
    <w:rsid w:val="00975CA5"/>
    <w:rsid w:val="00983AED"/>
    <w:rsid w:val="00986590"/>
    <w:rsid w:val="00992C76"/>
    <w:rsid w:val="009969D6"/>
    <w:rsid w:val="009A0FC2"/>
    <w:rsid w:val="009A3DD2"/>
    <w:rsid w:val="009A55A7"/>
    <w:rsid w:val="009B3F94"/>
    <w:rsid w:val="009B4D3B"/>
    <w:rsid w:val="009B7942"/>
    <w:rsid w:val="009D7407"/>
    <w:rsid w:val="009E037A"/>
    <w:rsid w:val="009E0866"/>
    <w:rsid w:val="009E273C"/>
    <w:rsid w:val="009F1350"/>
    <w:rsid w:val="009F6423"/>
    <w:rsid w:val="009F7CA6"/>
    <w:rsid w:val="00A03EFF"/>
    <w:rsid w:val="00A175B3"/>
    <w:rsid w:val="00A22D5A"/>
    <w:rsid w:val="00A24A62"/>
    <w:rsid w:val="00A31C9F"/>
    <w:rsid w:val="00A4144F"/>
    <w:rsid w:val="00A61B4D"/>
    <w:rsid w:val="00A80F95"/>
    <w:rsid w:val="00A91795"/>
    <w:rsid w:val="00A97BF1"/>
    <w:rsid w:val="00AA298A"/>
    <w:rsid w:val="00AA315B"/>
    <w:rsid w:val="00AC164A"/>
    <w:rsid w:val="00AC2063"/>
    <w:rsid w:val="00AE448A"/>
    <w:rsid w:val="00AF2050"/>
    <w:rsid w:val="00B03CA8"/>
    <w:rsid w:val="00B13938"/>
    <w:rsid w:val="00B33C0A"/>
    <w:rsid w:val="00B55E19"/>
    <w:rsid w:val="00B62872"/>
    <w:rsid w:val="00B80C6E"/>
    <w:rsid w:val="00B828AE"/>
    <w:rsid w:val="00B94758"/>
    <w:rsid w:val="00BA2EDB"/>
    <w:rsid w:val="00BA4B6D"/>
    <w:rsid w:val="00BA6BFA"/>
    <w:rsid w:val="00BB260D"/>
    <w:rsid w:val="00BB26C5"/>
    <w:rsid w:val="00BB5FA9"/>
    <w:rsid w:val="00BB78D3"/>
    <w:rsid w:val="00BC31BD"/>
    <w:rsid w:val="00BE05D9"/>
    <w:rsid w:val="00BF4DE6"/>
    <w:rsid w:val="00BF5D2A"/>
    <w:rsid w:val="00C06B13"/>
    <w:rsid w:val="00C10D96"/>
    <w:rsid w:val="00C15298"/>
    <w:rsid w:val="00C27D25"/>
    <w:rsid w:val="00C42541"/>
    <w:rsid w:val="00C42CDE"/>
    <w:rsid w:val="00C5182A"/>
    <w:rsid w:val="00C63EE9"/>
    <w:rsid w:val="00C92F9C"/>
    <w:rsid w:val="00CA16F3"/>
    <w:rsid w:val="00CA37B1"/>
    <w:rsid w:val="00CB1959"/>
    <w:rsid w:val="00CB323B"/>
    <w:rsid w:val="00CB65AB"/>
    <w:rsid w:val="00CC741B"/>
    <w:rsid w:val="00CD0E4B"/>
    <w:rsid w:val="00CE4C89"/>
    <w:rsid w:val="00CE7798"/>
    <w:rsid w:val="00CF07BA"/>
    <w:rsid w:val="00D0296C"/>
    <w:rsid w:val="00D32D6F"/>
    <w:rsid w:val="00D37B04"/>
    <w:rsid w:val="00D406EC"/>
    <w:rsid w:val="00D410F5"/>
    <w:rsid w:val="00D540C6"/>
    <w:rsid w:val="00D64BD1"/>
    <w:rsid w:val="00D6507E"/>
    <w:rsid w:val="00D84E1E"/>
    <w:rsid w:val="00D92254"/>
    <w:rsid w:val="00D94FBC"/>
    <w:rsid w:val="00D95EEB"/>
    <w:rsid w:val="00DB54AC"/>
    <w:rsid w:val="00DB73C5"/>
    <w:rsid w:val="00DC30B0"/>
    <w:rsid w:val="00DD26A9"/>
    <w:rsid w:val="00DE084C"/>
    <w:rsid w:val="00E03D18"/>
    <w:rsid w:val="00E14F51"/>
    <w:rsid w:val="00E1697C"/>
    <w:rsid w:val="00E17171"/>
    <w:rsid w:val="00E236F8"/>
    <w:rsid w:val="00E23A0D"/>
    <w:rsid w:val="00E31E64"/>
    <w:rsid w:val="00E357B7"/>
    <w:rsid w:val="00E4385C"/>
    <w:rsid w:val="00E53800"/>
    <w:rsid w:val="00E539A6"/>
    <w:rsid w:val="00E6081F"/>
    <w:rsid w:val="00E8296D"/>
    <w:rsid w:val="00E8457B"/>
    <w:rsid w:val="00EA04B2"/>
    <w:rsid w:val="00EA1845"/>
    <w:rsid w:val="00EA20F3"/>
    <w:rsid w:val="00EB5132"/>
    <w:rsid w:val="00ED2831"/>
    <w:rsid w:val="00ED43D1"/>
    <w:rsid w:val="00ED4B45"/>
    <w:rsid w:val="00EE25F4"/>
    <w:rsid w:val="00EE3A94"/>
    <w:rsid w:val="00EE4EE1"/>
    <w:rsid w:val="00EF4574"/>
    <w:rsid w:val="00EF5FB3"/>
    <w:rsid w:val="00F25A93"/>
    <w:rsid w:val="00F2684E"/>
    <w:rsid w:val="00F5404C"/>
    <w:rsid w:val="00F57CC8"/>
    <w:rsid w:val="00F729EF"/>
    <w:rsid w:val="00F744A2"/>
    <w:rsid w:val="00F77CAE"/>
    <w:rsid w:val="00F82271"/>
    <w:rsid w:val="00F83428"/>
    <w:rsid w:val="00F96BB9"/>
    <w:rsid w:val="00FC322F"/>
    <w:rsid w:val="00FD5905"/>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C077B93-004F-4695-AB1E-B7956485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2E254F"/>
    <w:pPr>
      <w:outlineLvl w:val="1"/>
    </w:pPr>
    <w:rPr>
      <w:b/>
      <w:color w:val="36424B" w:themeColor="text2" w:themeShade="BF"/>
      <w:sz w:val="28"/>
      <w:szCs w:val="28"/>
    </w:rPr>
  </w:style>
  <w:style w:type="paragraph" w:styleId="Heading3">
    <w:name w:val="heading 3"/>
    <w:basedOn w:val="Heading2"/>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2E254F"/>
    <w:rPr>
      <w:b/>
      <w:color w:val="36424B" w:themeColor="text2" w:themeShade="BF"/>
      <w:sz w:val="28"/>
      <w:szCs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pPr>
    <w:rPr>
      <w:bCs/>
    </w:rPr>
  </w:style>
  <w:style w:type="paragraph" w:customStyle="1" w:styleId="Heading3Numbered">
    <w:name w:val="Heading 3 Numbered"/>
    <w:basedOn w:val="Heading3"/>
    <w:next w:val="Normal"/>
    <w:qFormat/>
    <w:rsid w:val="00ED2831"/>
    <w:pPr>
      <w:numPr>
        <w:ilvl w:val="2"/>
        <w:numId w:val="6"/>
      </w:numPr>
      <w:spacing w:before="30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locked/>
    <w:rsid w:val="001415DA"/>
    <w:pPr>
      <w:suppressAutoHyphens w:val="0"/>
      <w:spacing w:before="0" w:after="0" w:line="240" w:lineRule="auto"/>
      <w:ind w:left="720"/>
    </w:pPr>
    <w:rPr>
      <w:rFonts w:ascii="Calibri" w:hAnsi="Calibri" w:cs="Times New Roman"/>
      <w:color w:val="auto"/>
      <w:lang w:val="en-AU"/>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1415DA"/>
    <w:rPr>
      <w:rFonts w:ascii="Calibri" w:hAnsi="Calibri" w:cs="Times New Roman"/>
    </w:rPr>
  </w:style>
  <w:style w:type="paragraph" w:customStyle="1" w:styleId="paranol2">
    <w:name w:val="paranol2"/>
    <w:basedOn w:val="Normal"/>
    <w:uiPriority w:val="99"/>
    <w:rsid w:val="001415DA"/>
    <w:pPr>
      <w:suppressAutoHyphens w:val="0"/>
      <w:spacing w:before="180" w:after="180" w:line="240" w:lineRule="auto"/>
    </w:pPr>
    <w:rPr>
      <w:rFonts w:ascii="Times New Roman" w:hAnsi="Times New Roman" w:cs="Times New Roman"/>
      <w:color w:val="444444"/>
      <w:sz w:val="24"/>
      <w:szCs w:val="24"/>
      <w:lang w:val="en-AU" w:eastAsia="en-AU"/>
    </w:rPr>
  </w:style>
  <w:style w:type="character" w:styleId="FollowedHyperlink">
    <w:name w:val="FollowedHyperlink"/>
    <w:basedOn w:val="DefaultParagraphFont"/>
    <w:uiPriority w:val="99"/>
    <w:semiHidden/>
    <w:unhideWhenUsed/>
    <w:rsid w:val="00467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91635">
      <w:bodyDiv w:val="1"/>
      <w:marLeft w:val="0"/>
      <w:marRight w:val="0"/>
      <w:marTop w:val="0"/>
      <w:marBottom w:val="0"/>
      <w:divBdr>
        <w:top w:val="none" w:sz="0" w:space="0" w:color="auto"/>
        <w:left w:val="none" w:sz="0" w:space="0" w:color="auto"/>
        <w:bottom w:val="none" w:sz="0" w:space="0" w:color="auto"/>
        <w:right w:val="none" w:sz="0" w:space="0" w:color="auto"/>
      </w:divBdr>
      <w:divsChild>
        <w:div w:id="2007243251">
          <w:marLeft w:val="547"/>
          <w:marRight w:val="0"/>
          <w:marTop w:val="120"/>
          <w:marBottom w:val="0"/>
          <w:divBdr>
            <w:top w:val="none" w:sz="0" w:space="0" w:color="auto"/>
            <w:left w:val="none" w:sz="0" w:space="0" w:color="auto"/>
            <w:bottom w:val="none" w:sz="0" w:space="0" w:color="auto"/>
            <w:right w:val="none" w:sz="0" w:space="0" w:color="auto"/>
          </w:divBdr>
        </w:div>
      </w:divsChild>
    </w:div>
    <w:div w:id="17340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org.au/learn/publ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lan.org.au/-/media/plan/documents/resources/2018/20181022gender-and-wash-monitoring-tool_oct-2018_lowr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ingworld.org.au/gendertheology/" TargetMode="External"/><Relationship Id="rId5" Type="http://schemas.openxmlformats.org/officeDocument/2006/relationships/numbering" Target="numbering.xml"/><Relationship Id="rId15" Type="http://schemas.openxmlformats.org/officeDocument/2006/relationships/hyperlink" Target="https://aip-prisma.or.id/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cificwomen.org/key-pacific-women-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schemas.microsoft.com/office/2006/documentManagement/types"/>
    <ds:schemaRef ds:uri="6b894c73-1921-4299-aefc-49f5a4cb1310"/>
    <ds:schemaRef ds:uri="http://purl.org/dc/elements/1.1/"/>
    <ds:schemaRef ds:uri="349e11ad-1311-4134-818c-bb844dbfed54"/>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B41D7-D608-41E2-AB82-0699CEC3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Alexander, Jennifer K</dc:creator>
  <cp:lastModifiedBy>Cameron Owers</cp:lastModifiedBy>
  <cp:revision>4</cp:revision>
  <cp:lastPrinted>2018-10-11T04:57:00Z</cp:lastPrinted>
  <dcterms:created xsi:type="dcterms:W3CDTF">2020-02-12T06:04:00Z</dcterms:created>
  <dcterms:modified xsi:type="dcterms:W3CDTF">2020-03-16T00:30:00Z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96018711-2924-43bf-8dfe-0d48e0bf9eb9</vt:lpwstr>
  </property>
  <property fmtid="{D5CDD505-2E9C-101B-9397-08002B2CF9AE}" pid="3" name="ContentTypeId">
    <vt:lpwstr>0x01010068D47A3238F547F295FC4399B890905A00EB5D4F438FF3914DA696AB2B9777A65B</vt:lpwstr>
  </property>
  <property fmtid="{D5CDD505-2E9C-101B-9397-08002B2CF9AE}" pid="4" name="SEC">
    <vt:lpwstr>UNCLASSIFIED</vt:lpwstr>
  </property>
  <property fmtid="{D5CDD505-2E9C-101B-9397-08002B2CF9AE}" pid="5" name="DLM">
    <vt:lpwstr>No DLM</vt:lpwstr>
  </property>
</Properties>
</file>