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2DA653D1" w:rsidR="00FA5EFD" w:rsidRPr="00DB7579" w:rsidRDefault="002E500A" w:rsidP="00690AE1">
      <w:pPr>
        <w:pStyle w:val="Heading1"/>
      </w:pPr>
      <w:r w:rsidRPr="00DB7579">
        <w:t xml:space="preserve">2020-21 </w:t>
      </w:r>
      <w:r w:rsidR="001B0F9D" w:rsidRPr="00DB7579">
        <w:t>ASEAN and Southeast Asia Regional</w:t>
      </w:r>
      <w:r w:rsidR="001F7F4D" w:rsidRPr="00DB7579">
        <w:t xml:space="preserve"> D</w:t>
      </w:r>
      <w:r w:rsidR="00382CE7" w:rsidRPr="00DB7579">
        <w:t>evelopment</w:t>
      </w:r>
      <w:r w:rsidR="001F7F4D" w:rsidRPr="00DB7579">
        <w:t xml:space="preserve"> </w:t>
      </w:r>
      <w:r w:rsidRPr="00DB7579">
        <w:t>P</w:t>
      </w:r>
      <w:r w:rsidR="00382CE7" w:rsidRPr="00DB7579">
        <w:t xml:space="preserve">rogram </w:t>
      </w:r>
      <w:r w:rsidRPr="00DB7579">
        <w:t>P</w:t>
      </w:r>
      <w:r w:rsidR="00382CE7" w:rsidRPr="00DB7579">
        <w:t>rogress</w:t>
      </w:r>
      <w:r w:rsidRPr="00DB7579">
        <w:t xml:space="preserve"> R</w:t>
      </w:r>
      <w:r w:rsidR="00382CE7" w:rsidRPr="00DB7579">
        <w:t>eport</w:t>
      </w:r>
    </w:p>
    <w:p w14:paraId="3F367B3A" w14:textId="76EF9877" w:rsidR="00DB57B7" w:rsidRDefault="003F7B2C" w:rsidP="0022374D">
      <w:r w:rsidRPr="003F7B2C">
        <w:rPr>
          <w:noProof/>
        </w:rPr>
        <w:drawing>
          <wp:inline distT="0" distB="0" distL="0" distR="0" wp14:anchorId="4805E56A" wp14:editId="764DC6BA">
            <wp:extent cx="6756400" cy="2647950"/>
            <wp:effectExtent l="0" t="0" r="6350" b="0"/>
            <wp:docPr id="7" name="Picture 7" descr="2020-21 Budget estimate. Total ODA $38.4 million. Bilateral program budget $0. Regional program budget $38.4 million. Global program budget $0. Other government departments budget $0.&#10;Our development program to ASEAN and Southeast Asia contributes to achieving the following Sustainable Development Goals: 1,5,6,7,8,10 and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2020-21 Budget estimate. Total ODA $38.4 million. Bilateral program budget $0. Regional program budget $38.4 million. Global program budget $0. Other government departments budget $0.&#10;Our development program to ASEAN and Southeast Asia contributes to achieving the following Sustainable Development Goals: 1,5,6,7,8,10 and 13.&#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428"/>
                    <a:stretch/>
                  </pic:blipFill>
                  <pic:spPr bwMode="auto">
                    <a:xfrm>
                      <a:off x="0" y="0"/>
                      <a:ext cx="6756400" cy="2647950"/>
                    </a:xfrm>
                    <a:prstGeom prst="rect">
                      <a:avLst/>
                    </a:prstGeom>
                    <a:noFill/>
                    <a:ln>
                      <a:noFill/>
                    </a:ln>
                    <a:extLst>
                      <a:ext uri="{53640926-AAD7-44D8-BBD7-CCE9431645EC}">
                        <a14:shadowObscured xmlns:a14="http://schemas.microsoft.com/office/drawing/2010/main"/>
                      </a:ext>
                    </a:extLst>
                  </pic:spPr>
                </pic:pic>
              </a:graphicData>
            </a:graphic>
          </wp:inline>
        </w:drawing>
      </w:r>
    </w:p>
    <w:p w14:paraId="0381B505" w14:textId="5E84896A" w:rsidR="00471C32" w:rsidRPr="00DB7579" w:rsidRDefault="00C84C30" w:rsidP="00D35B2A">
      <w:pPr>
        <w:pStyle w:val="Heading2"/>
      </w:pPr>
      <w:r w:rsidRPr="00DB7579">
        <w:t xml:space="preserve">CONTEXT </w:t>
      </w:r>
    </w:p>
    <w:p w14:paraId="1B551812" w14:textId="65D01DCE" w:rsidR="00C30787" w:rsidRDefault="0060528A" w:rsidP="009F5302">
      <w:pPr>
        <w:pStyle w:val="Bullet1"/>
        <w:numPr>
          <w:ilvl w:val="0"/>
          <w:numId w:val="0"/>
        </w:numPr>
        <w:tabs>
          <w:tab w:val="left" w:pos="567"/>
        </w:tabs>
        <w:spacing w:before="60" w:line="240" w:lineRule="auto"/>
      </w:pPr>
      <w:r>
        <w:t xml:space="preserve">A </w:t>
      </w:r>
      <w:r w:rsidR="00C30787" w:rsidRPr="00DB7579">
        <w:t>peaceful, inclusive, and resilient region is in Australia’s interests</w:t>
      </w:r>
      <w:r w:rsidR="00C30787" w:rsidRPr="00DB7579">
        <w:rPr>
          <w:rFonts w:cstheme="minorHAnsi"/>
          <w:szCs w:val="24"/>
        </w:rPr>
        <w:t xml:space="preserve">, and is also a priority for </w:t>
      </w:r>
      <w:r w:rsidR="00DE74D1">
        <w:rPr>
          <w:rFonts w:cstheme="minorHAnsi"/>
          <w:szCs w:val="24"/>
        </w:rPr>
        <w:t>t</w:t>
      </w:r>
      <w:r w:rsidR="00DE74D1" w:rsidRPr="00DE74D1">
        <w:rPr>
          <w:rFonts w:cstheme="minorHAnsi"/>
          <w:szCs w:val="24"/>
        </w:rPr>
        <w:t xml:space="preserve">he Association of Southeast Asian Nations </w:t>
      </w:r>
      <w:r w:rsidR="00DE74D1">
        <w:rPr>
          <w:rFonts w:cstheme="minorHAnsi"/>
          <w:szCs w:val="24"/>
        </w:rPr>
        <w:t>(</w:t>
      </w:r>
      <w:r w:rsidR="00C30787" w:rsidRPr="00DB7579">
        <w:rPr>
          <w:rFonts w:cstheme="minorHAnsi"/>
          <w:szCs w:val="24"/>
        </w:rPr>
        <w:t>ASEAN</w:t>
      </w:r>
      <w:r w:rsidR="00DE74D1">
        <w:rPr>
          <w:rFonts w:cstheme="minorHAnsi"/>
          <w:szCs w:val="24"/>
        </w:rPr>
        <w:t>)</w:t>
      </w:r>
      <w:r w:rsidR="00C30787" w:rsidRPr="00DB7579">
        <w:rPr>
          <w:rFonts w:cstheme="minorHAnsi"/>
          <w:szCs w:val="24"/>
        </w:rPr>
        <w:t xml:space="preserve"> as reflected in ASEAN’s Outlook on the Indo-Pacific.</w:t>
      </w:r>
      <w:r w:rsidR="00C30787" w:rsidRPr="00DB7579">
        <w:t xml:space="preserve"> </w:t>
      </w:r>
      <w:r w:rsidR="00C30787">
        <w:t xml:space="preserve">Australia has long-standing investments in development cooperation to address shared regional challenges. </w:t>
      </w:r>
      <w:r w:rsidR="00C30787" w:rsidRPr="00DB7579">
        <w:t xml:space="preserve">As ASEAN’s oldest Dialogue Partner, </w:t>
      </w:r>
      <w:r w:rsidR="00C30787" w:rsidRPr="00875AE7">
        <w:rPr>
          <w:b/>
          <w:bCs/>
        </w:rPr>
        <w:t>Australia’s cooperation with ASEAN continues to play an important role</w:t>
      </w:r>
      <w:r w:rsidR="00C30787" w:rsidRPr="00DB7579">
        <w:t xml:space="preserve"> in addressing the health and economic challenges brought on by COVID-19.</w:t>
      </w:r>
    </w:p>
    <w:p w14:paraId="2AD7B2CD" w14:textId="735EEA72" w:rsidR="009F5302" w:rsidRPr="00DB7579" w:rsidRDefault="00B86C91" w:rsidP="009F5302">
      <w:pPr>
        <w:pStyle w:val="Bullet1"/>
        <w:numPr>
          <w:ilvl w:val="0"/>
          <w:numId w:val="0"/>
        </w:numPr>
        <w:tabs>
          <w:tab w:val="left" w:pos="567"/>
        </w:tabs>
        <w:spacing w:before="60" w:line="240" w:lineRule="auto"/>
      </w:pPr>
      <w:r w:rsidRPr="00DB7579">
        <w:t>In Southeast Asia</w:t>
      </w:r>
      <w:r w:rsidRPr="00DB7579" w:rsidDel="00C17192">
        <w:t xml:space="preserve"> </w:t>
      </w:r>
      <w:r w:rsidR="00782672" w:rsidRPr="00DB7579">
        <w:t>COVID-19 continues to present complex, transboundary development and economic challenges</w:t>
      </w:r>
      <w:r w:rsidR="00EE7176" w:rsidRPr="00DB7579">
        <w:t>.</w:t>
      </w:r>
      <w:r w:rsidR="00D843B6" w:rsidRPr="00DB7579">
        <w:t xml:space="preserve"> The pandemic is testing the </w:t>
      </w:r>
      <w:r w:rsidR="00D10D20" w:rsidRPr="00DB7579">
        <w:t xml:space="preserve">region’s </w:t>
      </w:r>
      <w:r w:rsidR="00CB2A16" w:rsidRPr="00DB7579">
        <w:t xml:space="preserve">gains </w:t>
      </w:r>
      <w:r w:rsidR="00D843B6" w:rsidRPr="00DB7579">
        <w:t xml:space="preserve">in economic growth, poverty reduction, gender equality and political stability. </w:t>
      </w:r>
      <w:r w:rsidR="00782672" w:rsidRPr="00875AE7">
        <w:rPr>
          <w:b/>
          <w:bCs/>
        </w:rPr>
        <w:t>For most of 2020</w:t>
      </w:r>
      <w:r w:rsidR="00C44B9A" w:rsidRPr="00875AE7">
        <w:rPr>
          <w:b/>
          <w:bCs/>
        </w:rPr>
        <w:t>,</w:t>
      </w:r>
      <w:r w:rsidR="00782672" w:rsidRPr="00875AE7">
        <w:rPr>
          <w:b/>
          <w:bCs/>
        </w:rPr>
        <w:t xml:space="preserve"> Southeast Asia</w:t>
      </w:r>
      <w:r w:rsidR="003701C8" w:rsidRPr="00875AE7">
        <w:rPr>
          <w:b/>
          <w:bCs/>
        </w:rPr>
        <w:t xml:space="preserve"> </w:t>
      </w:r>
      <w:r w:rsidR="00782672" w:rsidRPr="00875AE7">
        <w:rPr>
          <w:b/>
          <w:bCs/>
        </w:rPr>
        <w:t xml:space="preserve">successfully contained the spread of </w:t>
      </w:r>
      <w:r w:rsidR="00144782" w:rsidRPr="00875AE7">
        <w:rPr>
          <w:b/>
          <w:bCs/>
        </w:rPr>
        <w:t>COVID-19</w:t>
      </w:r>
      <w:r w:rsidR="000B26A0" w:rsidRPr="00875AE7">
        <w:rPr>
          <w:b/>
          <w:bCs/>
        </w:rPr>
        <w:t>, b</w:t>
      </w:r>
      <w:r w:rsidR="00CB2A16" w:rsidRPr="00875AE7">
        <w:rPr>
          <w:b/>
          <w:bCs/>
        </w:rPr>
        <w:t>ut</w:t>
      </w:r>
      <w:r w:rsidR="00DB1588" w:rsidRPr="00875AE7">
        <w:rPr>
          <w:b/>
          <w:bCs/>
        </w:rPr>
        <w:t xml:space="preserve"> </w:t>
      </w:r>
      <w:r w:rsidR="00CB2A16" w:rsidRPr="00875AE7">
        <w:rPr>
          <w:b/>
          <w:bCs/>
        </w:rPr>
        <w:t>the more infectious</w:t>
      </w:r>
      <w:r w:rsidR="00782672" w:rsidRPr="00875AE7">
        <w:rPr>
          <w:b/>
          <w:bCs/>
        </w:rPr>
        <w:t xml:space="preserve"> Delta variant</w:t>
      </w:r>
      <w:r w:rsidR="00CB2A16" w:rsidRPr="00875AE7">
        <w:rPr>
          <w:b/>
          <w:bCs/>
        </w:rPr>
        <w:t xml:space="preserve"> is</w:t>
      </w:r>
      <w:r w:rsidR="00001643" w:rsidRPr="00875AE7">
        <w:rPr>
          <w:b/>
          <w:bCs/>
        </w:rPr>
        <w:t xml:space="preserve"> now</w:t>
      </w:r>
      <w:r w:rsidR="00CB2A16" w:rsidRPr="00875AE7">
        <w:rPr>
          <w:b/>
          <w:bCs/>
        </w:rPr>
        <w:t xml:space="preserve"> pushing </w:t>
      </w:r>
      <w:r w:rsidR="00782672" w:rsidRPr="00875AE7">
        <w:rPr>
          <w:b/>
          <w:bCs/>
        </w:rPr>
        <w:t xml:space="preserve">fragile healthcare systems to the brink and suppressing </w:t>
      </w:r>
      <w:r w:rsidR="00CB2A16" w:rsidRPr="00875AE7">
        <w:rPr>
          <w:b/>
          <w:bCs/>
        </w:rPr>
        <w:t>economic growth</w:t>
      </w:r>
      <w:r w:rsidR="00BD3D5B" w:rsidRPr="00DB7579">
        <w:t>.</w:t>
      </w:r>
      <w:r w:rsidR="00CB2A16" w:rsidRPr="00DB7579">
        <w:t xml:space="preserve"> </w:t>
      </w:r>
    </w:p>
    <w:p w14:paraId="2D56504D" w14:textId="7E191094" w:rsidR="009F5302" w:rsidRPr="00DB7579" w:rsidRDefault="009F5302" w:rsidP="009F5302">
      <w:pPr>
        <w:pStyle w:val="Bullet1"/>
        <w:numPr>
          <w:ilvl w:val="0"/>
          <w:numId w:val="0"/>
        </w:numPr>
        <w:tabs>
          <w:tab w:val="left" w:pos="567"/>
        </w:tabs>
        <w:spacing w:before="60" w:line="240" w:lineRule="auto"/>
      </w:pPr>
      <w:r w:rsidRPr="00DB7579">
        <w:t xml:space="preserve">Achieving high COVID-19 vaccination rates is critical to combatting the pandemic and supporting economic recovery in the region. Vaccination coverage varies greatly across Southeast Asia. </w:t>
      </w:r>
    </w:p>
    <w:p w14:paraId="051A477E" w14:textId="50CF1D4A" w:rsidR="00E54FB0" w:rsidRPr="00DB7579" w:rsidRDefault="009F5302" w:rsidP="00902A8F">
      <w:pPr>
        <w:pStyle w:val="Bullet1"/>
        <w:numPr>
          <w:ilvl w:val="0"/>
          <w:numId w:val="0"/>
        </w:numPr>
        <w:tabs>
          <w:tab w:val="left" w:pos="567"/>
        </w:tabs>
        <w:spacing w:before="60" w:line="240" w:lineRule="auto"/>
      </w:pPr>
      <w:r w:rsidRPr="00DB7579">
        <w:t xml:space="preserve">After years of declining rates of poverty, </w:t>
      </w:r>
      <w:r w:rsidRPr="00875AE7">
        <w:t>in 2020 poverty across Southeast Asia rose</w:t>
      </w:r>
      <w:r w:rsidRPr="00DB7579">
        <w:t xml:space="preserve"> in comparison to pre-COVID-19 forecasts. If COVID-19 containment measures and restrictions are prolonged, poverty and inequality will increase further in some </w:t>
      </w:r>
      <w:r w:rsidR="00001643" w:rsidRPr="00DB7579">
        <w:t xml:space="preserve">Southeast Asian </w:t>
      </w:r>
      <w:r w:rsidRPr="00DB7579">
        <w:t>economies.</w:t>
      </w:r>
    </w:p>
    <w:p w14:paraId="1C8AD9E1" w14:textId="4EB7A182" w:rsidR="00133899" w:rsidRPr="00DB7579" w:rsidRDefault="00C73EDB" w:rsidP="00902A8F">
      <w:pPr>
        <w:pStyle w:val="Bullet1"/>
        <w:numPr>
          <w:ilvl w:val="0"/>
          <w:numId w:val="0"/>
        </w:numPr>
        <w:tabs>
          <w:tab w:val="left" w:pos="567"/>
        </w:tabs>
        <w:spacing w:before="60" w:line="240" w:lineRule="auto"/>
      </w:pPr>
      <w:r w:rsidRPr="00DB7579">
        <w:rPr>
          <w:rFonts w:cstheme="minorHAnsi"/>
          <w:szCs w:val="24"/>
        </w:rPr>
        <w:t>M</w:t>
      </w:r>
      <w:r w:rsidR="00CC4FB9" w:rsidRPr="00DB7579">
        <w:rPr>
          <w:rFonts w:cstheme="minorHAnsi"/>
          <w:szCs w:val="24"/>
        </w:rPr>
        <w:t>ost</w:t>
      </w:r>
      <w:r w:rsidR="000A0428" w:rsidRPr="00DB7579">
        <w:rPr>
          <w:rFonts w:cstheme="minorHAnsi"/>
          <w:szCs w:val="24"/>
        </w:rPr>
        <w:t xml:space="preserve"> </w:t>
      </w:r>
      <w:r w:rsidR="00E20FC7" w:rsidRPr="00DB7579">
        <w:rPr>
          <w:rFonts w:cstheme="minorHAnsi"/>
          <w:szCs w:val="24"/>
        </w:rPr>
        <w:t>Southeast Asia</w:t>
      </w:r>
      <w:r w:rsidR="00CC4FB9" w:rsidRPr="00DB7579">
        <w:rPr>
          <w:rFonts w:cstheme="minorHAnsi"/>
          <w:szCs w:val="24"/>
        </w:rPr>
        <w:t>n</w:t>
      </w:r>
      <w:r w:rsidR="00E20FC7" w:rsidRPr="00DB7579">
        <w:rPr>
          <w:rFonts w:cstheme="minorHAnsi"/>
          <w:szCs w:val="24"/>
        </w:rPr>
        <w:t xml:space="preserve"> </w:t>
      </w:r>
      <w:r w:rsidR="000A0428" w:rsidRPr="00DB7579">
        <w:rPr>
          <w:rFonts w:cstheme="minorHAnsi"/>
          <w:szCs w:val="24"/>
        </w:rPr>
        <w:t xml:space="preserve">domestic </w:t>
      </w:r>
      <w:r w:rsidR="00E20FC7" w:rsidRPr="00DB7579">
        <w:rPr>
          <w:rFonts w:cstheme="minorHAnsi"/>
          <w:szCs w:val="24"/>
        </w:rPr>
        <w:t xml:space="preserve">economies are </w:t>
      </w:r>
      <w:r w:rsidRPr="00DB7579">
        <w:rPr>
          <w:rFonts w:cstheme="minorHAnsi"/>
          <w:szCs w:val="24"/>
        </w:rPr>
        <w:t xml:space="preserve">still </w:t>
      </w:r>
      <w:r w:rsidR="00E20FC7" w:rsidRPr="00DB7579">
        <w:rPr>
          <w:rFonts w:cstheme="minorHAnsi"/>
          <w:szCs w:val="24"/>
        </w:rPr>
        <w:t>forecast to grow during 2021</w:t>
      </w:r>
      <w:r w:rsidR="008646DB">
        <w:rPr>
          <w:rFonts w:cstheme="minorHAnsi"/>
          <w:szCs w:val="24"/>
        </w:rPr>
        <w:t>, with the Asia</w:t>
      </w:r>
      <w:r w:rsidR="00E353E9">
        <w:rPr>
          <w:rFonts w:cstheme="minorHAnsi"/>
          <w:szCs w:val="24"/>
        </w:rPr>
        <w:t>n</w:t>
      </w:r>
      <w:r w:rsidR="008646DB">
        <w:rPr>
          <w:rFonts w:cstheme="minorHAnsi"/>
          <w:szCs w:val="24"/>
        </w:rPr>
        <w:t xml:space="preserve"> Development Bank </w:t>
      </w:r>
      <w:r w:rsidR="00D17D7F">
        <w:rPr>
          <w:rFonts w:cstheme="minorHAnsi"/>
          <w:szCs w:val="24"/>
        </w:rPr>
        <w:t xml:space="preserve">(ADB) </w:t>
      </w:r>
      <w:r w:rsidR="008646DB">
        <w:rPr>
          <w:rFonts w:cstheme="minorHAnsi"/>
          <w:szCs w:val="24"/>
        </w:rPr>
        <w:t xml:space="preserve">forecasting a growth rate of 3.1 per cent for the region. </w:t>
      </w:r>
      <w:r w:rsidR="00902A8F" w:rsidRPr="00DB7579">
        <w:rPr>
          <w:rFonts w:cstheme="minorHAnsi"/>
          <w:szCs w:val="24"/>
        </w:rPr>
        <w:t xml:space="preserve"> </w:t>
      </w:r>
      <w:r w:rsidRPr="00875AE7">
        <w:t xml:space="preserve">Economies </w:t>
      </w:r>
      <w:r w:rsidR="009F5302" w:rsidRPr="00875AE7">
        <w:t xml:space="preserve">with large manufacturing-focused </w:t>
      </w:r>
      <w:r w:rsidRPr="00875AE7">
        <w:t>sectors are showing resilience</w:t>
      </w:r>
      <w:r w:rsidR="009F5302" w:rsidRPr="00875AE7">
        <w:t xml:space="preserve">, whereas </w:t>
      </w:r>
      <w:r w:rsidRPr="00875AE7">
        <w:t xml:space="preserve">those </w:t>
      </w:r>
      <w:r w:rsidR="009F5302" w:rsidRPr="00875AE7">
        <w:t xml:space="preserve">reliant on travel and tourism </w:t>
      </w:r>
      <w:r w:rsidRPr="00875AE7">
        <w:t>remain vulnerable</w:t>
      </w:r>
      <w:r w:rsidR="009F5302" w:rsidRPr="00DB7579">
        <w:t xml:space="preserve">. Domestic consumption is supporting the economic recovery across the </w:t>
      </w:r>
      <w:proofErr w:type="gramStart"/>
      <w:r w:rsidR="009F5302" w:rsidRPr="00DB7579">
        <w:t>region,</w:t>
      </w:r>
      <w:proofErr w:type="gramEnd"/>
      <w:r w:rsidR="009F5302" w:rsidRPr="00DB7579">
        <w:t xml:space="preserve"> however</w:t>
      </w:r>
      <w:r w:rsidR="00D17D7F">
        <w:t>,</w:t>
      </w:r>
      <w:r w:rsidR="009F5302" w:rsidRPr="00DB7579">
        <w:t xml:space="preserve"> it </w:t>
      </w:r>
      <w:r w:rsidR="00D35B2A">
        <w:t>is</w:t>
      </w:r>
      <w:r w:rsidR="009F5302" w:rsidRPr="00DB7579">
        <w:t xml:space="preserve"> constrained by ongoing lockdowns. </w:t>
      </w:r>
    </w:p>
    <w:p w14:paraId="22900C6A" w14:textId="56661CAE" w:rsidR="00EC608A" w:rsidRPr="00DB7579" w:rsidRDefault="00FC1216" w:rsidP="00D35B2A">
      <w:pPr>
        <w:pStyle w:val="Heading2"/>
      </w:pPr>
      <w:r w:rsidRPr="00DB7579">
        <w:t>AUSTRALIA’S RESPONS</w:t>
      </w:r>
      <w:r w:rsidR="00193C49" w:rsidRPr="00DB7579">
        <w:t xml:space="preserve">E </w:t>
      </w:r>
      <w:r w:rsidR="00A46B28" w:rsidRPr="00DB7579">
        <w:t>and</w:t>
      </w:r>
      <w:r w:rsidR="00193C49" w:rsidRPr="00DB7579">
        <w:t xml:space="preserve"> PROGRAM HIGHLIGHTS</w:t>
      </w:r>
    </w:p>
    <w:p w14:paraId="38B72628" w14:textId="3CB0DE41" w:rsidR="00054576" w:rsidRPr="00DB7579" w:rsidRDefault="00C17192" w:rsidP="0068435E">
      <w:pPr>
        <w:spacing w:before="0" w:line="240" w:lineRule="auto"/>
      </w:pPr>
      <w:r w:rsidRPr="00DB7579">
        <w:t xml:space="preserve">Australia’s well-established development program adapted quickly to </w:t>
      </w:r>
      <w:r w:rsidR="009B2ADA" w:rsidRPr="00DB7579">
        <w:t xml:space="preserve">address the immediate health, </w:t>
      </w:r>
      <w:r w:rsidR="00E938F2" w:rsidRPr="00DB7579">
        <w:t>humanitarian</w:t>
      </w:r>
      <w:r w:rsidR="009B2ADA" w:rsidRPr="00DB7579">
        <w:t xml:space="preserve"> and economic recovery needs of our partners </w:t>
      </w:r>
      <w:r w:rsidRPr="00DB7579">
        <w:t xml:space="preserve">during the initial stages of the </w:t>
      </w:r>
      <w:r w:rsidR="009B2ADA" w:rsidRPr="00DB7579">
        <w:t xml:space="preserve">COVID-19 </w:t>
      </w:r>
      <w:r w:rsidR="00001643" w:rsidRPr="00DB7579">
        <w:t>pandemic</w:t>
      </w:r>
      <w:r w:rsidRPr="00DB7579">
        <w:t xml:space="preserve">. </w:t>
      </w:r>
      <w:r w:rsidR="00054576" w:rsidRPr="00DB7579">
        <w:t>Despite the challenging environment</w:t>
      </w:r>
      <w:r w:rsidR="00FC49D3">
        <w:t xml:space="preserve"> </w:t>
      </w:r>
      <w:r w:rsidR="007A6FF5">
        <w:t>in</w:t>
      </w:r>
      <w:r w:rsidR="00FC49D3">
        <w:t xml:space="preserve"> the reporting period</w:t>
      </w:r>
      <w:r w:rsidR="00054576" w:rsidRPr="00DB7579">
        <w:t xml:space="preserve">, our </w:t>
      </w:r>
      <w:r w:rsidR="001961FC" w:rsidRPr="00DB7579">
        <w:t xml:space="preserve">program </w:t>
      </w:r>
      <w:r w:rsidR="00054576" w:rsidRPr="00DB7579">
        <w:t xml:space="preserve">remains on track to </w:t>
      </w:r>
      <w:r w:rsidR="00B27F83" w:rsidRPr="00DB7579">
        <w:t xml:space="preserve">achieve regional </w:t>
      </w:r>
      <w:r w:rsidR="001961FC" w:rsidRPr="00DB7579">
        <w:t>h</w:t>
      </w:r>
      <w:r w:rsidR="00054576" w:rsidRPr="00DB7579">
        <w:t xml:space="preserve">ealth </w:t>
      </w:r>
      <w:r w:rsidR="001961FC" w:rsidRPr="00DB7579">
        <w:t>s</w:t>
      </w:r>
      <w:r w:rsidR="00054576" w:rsidRPr="00DB7579">
        <w:t xml:space="preserve">ecurity, </w:t>
      </w:r>
      <w:proofErr w:type="gramStart"/>
      <w:r w:rsidR="001961FC" w:rsidRPr="00DB7579">
        <w:t>s</w:t>
      </w:r>
      <w:r w:rsidR="00054576" w:rsidRPr="00DB7579">
        <w:t>tability</w:t>
      </w:r>
      <w:proofErr w:type="gramEnd"/>
      <w:r w:rsidR="00054576" w:rsidRPr="00DB7579">
        <w:t xml:space="preserve"> and </w:t>
      </w:r>
      <w:r w:rsidR="001961FC" w:rsidRPr="00DB7579">
        <w:t>e</w:t>
      </w:r>
      <w:r w:rsidR="00054576" w:rsidRPr="00DB7579">
        <w:t xml:space="preserve">conomic </w:t>
      </w:r>
      <w:r w:rsidR="00DA022D" w:rsidRPr="00DB7579">
        <w:t>r</w:t>
      </w:r>
      <w:r w:rsidR="00054576" w:rsidRPr="00DB7579">
        <w:t>ecovery</w:t>
      </w:r>
      <w:r w:rsidR="00001643" w:rsidRPr="00DB7579">
        <w:t xml:space="preserve"> goals</w:t>
      </w:r>
      <w:r w:rsidR="00054576" w:rsidRPr="00DB7579">
        <w:t xml:space="preserve">. </w:t>
      </w:r>
      <w:r w:rsidR="00E353E9" w:rsidRPr="00CD68DB">
        <w:t>Progress across investments towards expected outcomes has been uneven reflecting a challenging operating environment.</w:t>
      </w:r>
    </w:p>
    <w:p w14:paraId="78092441" w14:textId="5CF386A5" w:rsidR="00E458E7" w:rsidRPr="001133EA" w:rsidRDefault="00297FD1" w:rsidP="006C7C8B">
      <w:pPr>
        <w:pStyle w:val="Heading3"/>
      </w:pPr>
      <w:r w:rsidRPr="001133EA">
        <w:lastRenderedPageBreak/>
        <w:t>Health Security</w:t>
      </w:r>
    </w:p>
    <w:p w14:paraId="63D57689" w14:textId="39B5A7A3" w:rsidR="00C44B74" w:rsidRPr="0089160E" w:rsidRDefault="00C44B74" w:rsidP="00C44B74">
      <w:pPr>
        <w:spacing w:line="240" w:lineRule="auto"/>
      </w:pPr>
      <w:bookmarkStart w:id="0" w:name="_Hlk84279629"/>
      <w:r w:rsidRPr="00DB7579">
        <w:t xml:space="preserve">Australia </w:t>
      </w:r>
      <w:r w:rsidRPr="0089160E">
        <w:t>responded to the COVID-19 pandemic in Southeast Asia to help address gaps in health systems to bolster health security, expand efforts to contain the virus, and facilitate supply chains for essential goods.</w:t>
      </w:r>
    </w:p>
    <w:p w14:paraId="15791CD8" w14:textId="2C6DA5B2" w:rsidR="00D35B2A" w:rsidRPr="0089160E" w:rsidRDefault="00C44B74" w:rsidP="00C44B74">
      <w:pPr>
        <w:spacing w:line="240" w:lineRule="auto"/>
        <w:rPr>
          <w:shd w:val="clear" w:color="auto" w:fill="FFFFFF"/>
        </w:rPr>
      </w:pPr>
      <w:r w:rsidRPr="0089160E">
        <w:rPr>
          <w:shd w:val="clear" w:color="auto" w:fill="FFFFFF"/>
        </w:rPr>
        <w:t xml:space="preserve">Australia supported safe and effective COVID-19 vaccine rollouts in Southeast Asia through multilateral and regional initiatives and bilateral activities. In 2020-21, Australia provided immediate support and funding to </w:t>
      </w:r>
      <w:r w:rsidR="00A25225" w:rsidRPr="0089160E">
        <w:rPr>
          <w:shd w:val="clear" w:color="auto" w:fill="FFFFFF"/>
        </w:rPr>
        <w:t>deliver</w:t>
      </w:r>
      <w:r w:rsidRPr="0089160E">
        <w:rPr>
          <w:shd w:val="clear" w:color="auto" w:fill="FFFFFF"/>
        </w:rPr>
        <w:t xml:space="preserve"> vaccine doses across Southeast Asia. </w:t>
      </w:r>
      <w:r w:rsidRPr="0089160E">
        <w:rPr>
          <w:b/>
          <w:bCs/>
          <w:shd w:val="clear" w:color="auto" w:fill="FFFFFF"/>
        </w:rPr>
        <w:t>Between 2020-2023, Australia has committed $300 million to Southeast Asia as a part of the regional COVID-19 Vaccine Access and Health Security Initiative (VAHSI)</w:t>
      </w:r>
      <w:r w:rsidRPr="0089160E">
        <w:rPr>
          <w:shd w:val="clear" w:color="auto" w:fill="FFFFFF"/>
        </w:rPr>
        <w:t xml:space="preserve">. This funding </w:t>
      </w:r>
      <w:r w:rsidRPr="0089160E">
        <w:rPr>
          <w:b/>
          <w:bCs/>
          <w:shd w:val="clear" w:color="auto" w:fill="FFFFFF"/>
        </w:rPr>
        <w:t xml:space="preserve">included a commitment of $21 million to support the ASEAN Centre for Public Health Emergencies and Emerging Diseases, </w:t>
      </w:r>
      <w:r w:rsidRPr="0089160E">
        <w:rPr>
          <w:shd w:val="clear" w:color="auto" w:fill="FFFFFF"/>
        </w:rPr>
        <w:t xml:space="preserve">to enhance regional capacity to prepare, detect and respond to pandemics. We are also providing $130 million to the </w:t>
      </w:r>
      <w:r w:rsidR="00DE74D1" w:rsidRPr="00DE74D1">
        <w:rPr>
          <w:shd w:val="clear" w:color="auto" w:fill="FFFFFF"/>
        </w:rPr>
        <w:t>COVID-19 Vaccines Global Access</w:t>
      </w:r>
      <w:r w:rsidR="00DE74D1">
        <w:rPr>
          <w:shd w:val="clear" w:color="auto" w:fill="FFFFFF"/>
        </w:rPr>
        <w:t xml:space="preserve"> </w:t>
      </w:r>
      <w:r w:rsidRPr="0089160E">
        <w:rPr>
          <w:shd w:val="clear" w:color="auto" w:fill="FFFFFF"/>
        </w:rPr>
        <w:t>Advance Market Commitment (</w:t>
      </w:r>
      <w:r w:rsidR="00DE74D1" w:rsidRPr="0089160E">
        <w:rPr>
          <w:shd w:val="clear" w:color="auto" w:fill="FFFFFF"/>
        </w:rPr>
        <w:t xml:space="preserve">COVAX </w:t>
      </w:r>
      <w:r w:rsidRPr="0089160E">
        <w:rPr>
          <w:shd w:val="clear" w:color="auto" w:fill="FFFFFF"/>
        </w:rPr>
        <w:t xml:space="preserve">AMC). </w:t>
      </w:r>
    </w:p>
    <w:p w14:paraId="73CBC284" w14:textId="77567243" w:rsidR="00C44B74" w:rsidRPr="009F6548" w:rsidRDefault="00C44B74" w:rsidP="00C44B74">
      <w:pPr>
        <w:spacing w:line="240" w:lineRule="auto"/>
        <w:rPr>
          <w:rFonts w:ascii="Times New Roman" w:hAnsi="Times New Roman" w:cs="Times New Roman"/>
          <w:sz w:val="24"/>
          <w:szCs w:val="24"/>
          <w:lang w:eastAsia="en-AU"/>
        </w:rPr>
      </w:pPr>
      <w:r w:rsidRPr="00190CA0">
        <w:rPr>
          <w:shd w:val="clear" w:color="auto" w:fill="FFFFFF"/>
        </w:rPr>
        <w:t>Complementing these commitments</w:t>
      </w:r>
      <w:r w:rsidRPr="009F6548">
        <w:rPr>
          <w:shd w:val="clear" w:color="auto" w:fill="FFFFFF"/>
        </w:rPr>
        <w:t xml:space="preserve">, on 11 June 2021, Prime Minister Morrison joined leaders from </w:t>
      </w:r>
      <w:r w:rsidR="00DE74D1">
        <w:rPr>
          <w:shd w:val="clear" w:color="auto" w:fill="FFFFFF"/>
        </w:rPr>
        <w:t>t</w:t>
      </w:r>
      <w:r w:rsidR="00DE74D1" w:rsidRPr="00DE74D1">
        <w:rPr>
          <w:shd w:val="clear" w:color="auto" w:fill="FFFFFF"/>
        </w:rPr>
        <w:t xml:space="preserve">he Group of Seven </w:t>
      </w:r>
      <w:r w:rsidR="00DE74D1">
        <w:rPr>
          <w:shd w:val="clear" w:color="auto" w:fill="FFFFFF"/>
        </w:rPr>
        <w:t>(</w:t>
      </w:r>
      <w:r w:rsidRPr="009F6548">
        <w:rPr>
          <w:shd w:val="clear" w:color="auto" w:fill="FFFFFF"/>
        </w:rPr>
        <w:t>G7</w:t>
      </w:r>
      <w:r w:rsidR="00DE74D1">
        <w:rPr>
          <w:shd w:val="clear" w:color="auto" w:fill="FFFFFF"/>
        </w:rPr>
        <w:t>)</w:t>
      </w:r>
      <w:r w:rsidRPr="009F6548">
        <w:rPr>
          <w:shd w:val="clear" w:color="auto" w:fill="FFFFFF"/>
        </w:rPr>
        <w:t xml:space="preserve"> counterparts by committing to </w:t>
      </w:r>
      <w:r>
        <w:rPr>
          <w:shd w:val="clear" w:color="auto" w:fill="FFFFFF"/>
        </w:rPr>
        <w:t xml:space="preserve">share </w:t>
      </w:r>
      <w:r w:rsidRPr="009F6548">
        <w:rPr>
          <w:shd w:val="clear" w:color="auto" w:fill="FFFFFF"/>
        </w:rPr>
        <w:t xml:space="preserve">at least an additional 20 million vaccine doses from Australia’s domestic vaccine supply across the Indo-Pacific region. </w:t>
      </w:r>
    </w:p>
    <w:p w14:paraId="122530B7" w14:textId="684B3E93" w:rsidR="00A305AB" w:rsidRPr="00DB7579" w:rsidRDefault="007A6FF5" w:rsidP="00A305AB">
      <w:pPr>
        <w:spacing w:before="0" w:line="240" w:lineRule="auto"/>
        <w:rPr>
          <w:shd w:val="clear" w:color="auto" w:fill="FFFFFF"/>
        </w:rPr>
      </w:pPr>
      <w:bookmarkStart w:id="1" w:name="_Hlk82679871"/>
      <w:bookmarkEnd w:id="0"/>
      <w:r>
        <w:t>In</w:t>
      </w:r>
      <w:r w:rsidR="00FC49D3" w:rsidRPr="007A6FF5">
        <w:t xml:space="preserve"> the reporting period,</w:t>
      </w:r>
      <w:r w:rsidR="00FC49D3">
        <w:rPr>
          <w:b/>
          <w:bCs/>
        </w:rPr>
        <w:t xml:space="preserve"> </w:t>
      </w:r>
      <w:r w:rsidR="00A305AB" w:rsidRPr="00875AE7">
        <w:rPr>
          <w:b/>
          <w:bCs/>
        </w:rPr>
        <w:t>Australia’s Indo-Pacific Centre for Health Security (CHS) strengthened Public Health Emergency Operation Centre facilities across the region</w:t>
      </w:r>
      <w:r w:rsidR="00A305AB" w:rsidRPr="00DB7579">
        <w:t xml:space="preserve">, delivered enhanced training, </w:t>
      </w:r>
      <w:r w:rsidR="00A305AB" w:rsidRPr="00875AE7">
        <w:t>supported stronger surveillance</w:t>
      </w:r>
      <w:r w:rsidR="00380494" w:rsidRPr="00875AE7">
        <w:t xml:space="preserve"> (including for COVID-19)</w:t>
      </w:r>
      <w:r w:rsidR="00A305AB" w:rsidRPr="00875AE7">
        <w:t>, and improved laboratory and response activities</w:t>
      </w:r>
      <w:r w:rsidR="00A305AB" w:rsidRPr="00DB7579">
        <w:t xml:space="preserve">. </w:t>
      </w:r>
      <w:bookmarkEnd w:id="1"/>
      <w:r w:rsidR="00A305AB" w:rsidRPr="00DB7579">
        <w:t>In addition, CHS</w:t>
      </w:r>
      <w:r w:rsidR="00D35B2A">
        <w:t xml:space="preserve"> provided</w:t>
      </w:r>
      <w:r w:rsidR="00A305AB" w:rsidRPr="00DB7579">
        <w:t xml:space="preserve"> biosafety training from the </w:t>
      </w:r>
      <w:r w:rsidR="00DE74D1" w:rsidRPr="00DE74D1">
        <w:t>Commonwealth Scientific and Industrial Research Organisation</w:t>
      </w:r>
      <w:r w:rsidR="00A305AB" w:rsidRPr="00DB7579">
        <w:t xml:space="preserve"> Australian Centre Disease Preparedness to </w:t>
      </w:r>
      <w:r w:rsidR="00D35B2A">
        <w:t xml:space="preserve">strengthen animal health systems and </w:t>
      </w:r>
      <w:r w:rsidR="00A305AB" w:rsidRPr="00DB7579">
        <w:t>help address future zoonotic spill-overs</w:t>
      </w:r>
      <w:r w:rsidR="00B141C5">
        <w:rPr>
          <w:shd w:val="clear" w:color="auto" w:fill="FFFFFF"/>
        </w:rPr>
        <w:t xml:space="preserve">. </w:t>
      </w:r>
    </w:p>
    <w:p w14:paraId="78E9FAEF" w14:textId="381DCB75" w:rsidR="002F6B45" w:rsidRPr="00DB7579" w:rsidRDefault="002F6B45" w:rsidP="002F6B45">
      <w:pPr>
        <w:spacing w:line="240" w:lineRule="auto"/>
      </w:pPr>
      <w:r w:rsidRPr="00875AE7">
        <w:rPr>
          <w:shd w:val="clear" w:color="auto" w:fill="FFFFFF"/>
        </w:rPr>
        <w:t>Australia supported women’s health across the region through the Mekong Women’s Empowerment Project (Empower</w:t>
      </w:r>
      <w:r w:rsidRPr="0089160E">
        <w:rPr>
          <w:shd w:val="clear" w:color="auto" w:fill="FFFFFF"/>
        </w:rPr>
        <w:t>)</w:t>
      </w:r>
      <w:r w:rsidRPr="00DB7579">
        <w:rPr>
          <w:shd w:val="clear" w:color="auto" w:fill="FFFFFF"/>
        </w:rPr>
        <w:t xml:space="preserve">. Empower has </w:t>
      </w:r>
      <w:r w:rsidRPr="00875AE7">
        <w:rPr>
          <w:b/>
          <w:bCs/>
          <w:shd w:val="clear" w:color="auto" w:fill="FFFFFF"/>
        </w:rPr>
        <w:t xml:space="preserve">strengthened the capacity of 418 frontline </w:t>
      </w:r>
      <w:r w:rsidR="00DE74D1">
        <w:rPr>
          <w:b/>
          <w:bCs/>
          <w:shd w:val="clear" w:color="auto" w:fill="FFFFFF"/>
        </w:rPr>
        <w:t>women</w:t>
      </w:r>
      <w:r w:rsidRPr="00875AE7">
        <w:rPr>
          <w:b/>
          <w:bCs/>
          <w:shd w:val="clear" w:color="auto" w:fill="FFFFFF"/>
        </w:rPr>
        <w:t xml:space="preserve"> healthcare workers</w:t>
      </w:r>
      <w:r w:rsidRPr="00DB7579">
        <w:rPr>
          <w:shd w:val="clear" w:color="auto" w:fill="FFFFFF"/>
        </w:rPr>
        <w:t xml:space="preserve"> to provide high quality, comprehensive, equitable and affordable Sexual Reproductive Health and Family Planning services to target populations in Cambodia, Myanmar and Vietnam.</w:t>
      </w:r>
    </w:p>
    <w:p w14:paraId="434C8CEC" w14:textId="2B100837" w:rsidR="002F6B45" w:rsidRPr="00DB7579" w:rsidRDefault="002F6B45" w:rsidP="002F6B45">
      <w:pPr>
        <w:shd w:val="clear" w:color="auto" w:fill="FFFFFF"/>
        <w:suppressAutoHyphens w:val="0"/>
        <w:spacing w:before="0" w:line="240" w:lineRule="auto"/>
      </w:pPr>
      <w:r w:rsidRPr="00875AE7">
        <w:t>A two</w:t>
      </w:r>
      <w:r w:rsidR="00DE74D1">
        <w:t>-</w:t>
      </w:r>
      <w:r w:rsidRPr="00875AE7">
        <w:t xml:space="preserve">year </w:t>
      </w:r>
      <w:bookmarkStart w:id="2" w:name="_Hlk84489410"/>
      <w:r w:rsidRPr="008D0341">
        <w:rPr>
          <w:b/>
          <w:bCs/>
        </w:rPr>
        <w:t xml:space="preserve">$44 million Indo-Pacific Sexual and Reproductive Health and Rights COVID-19 Response </w:t>
      </w:r>
      <w:bookmarkEnd w:id="2"/>
      <w:r w:rsidRPr="00875AE7">
        <w:t>was announced in June 2021 to support the urgent, unmet needs</w:t>
      </w:r>
      <w:r w:rsidRPr="00875AE7">
        <w:rPr>
          <w:b/>
          <w:bCs/>
        </w:rPr>
        <w:t xml:space="preserve"> </w:t>
      </w:r>
      <w:r w:rsidRPr="00DB7579">
        <w:t>for sexual and reproductive health services across the region resulting from the pandemic. The initiative focuses on expanding resilient ways of working such as telehealth, tele counselling, developing an app and mobile outreach. Countries in</w:t>
      </w:r>
      <w:r w:rsidR="003E00C0">
        <w:t xml:space="preserve"> Southeast Asia </w:t>
      </w:r>
      <w:r w:rsidRPr="00DB7579">
        <w:t xml:space="preserve">include Cambodia, Indonesia, Laos, Myanmar, Philippines, Timor-Leste and Vietnam. </w:t>
      </w:r>
    </w:p>
    <w:p w14:paraId="2623D4FF" w14:textId="3400C024" w:rsidR="00FD7ABA" w:rsidRPr="00DB7579" w:rsidRDefault="00FD7ABA" w:rsidP="00FD7ABA">
      <w:pPr>
        <w:spacing w:before="0" w:line="240" w:lineRule="auto"/>
        <w:rPr>
          <w:shd w:val="clear" w:color="auto" w:fill="FFFFFF"/>
        </w:rPr>
      </w:pPr>
      <w:r w:rsidRPr="00DB7579">
        <w:rPr>
          <w:shd w:val="clear" w:color="auto" w:fill="FFFFFF"/>
        </w:rPr>
        <w:t xml:space="preserve">The </w:t>
      </w:r>
      <w:r w:rsidRPr="00875AE7">
        <w:rPr>
          <w:shd w:val="clear" w:color="auto" w:fill="FFFFFF"/>
        </w:rPr>
        <w:t>new</w:t>
      </w:r>
      <w:r w:rsidRPr="00875AE7">
        <w:rPr>
          <w:b/>
          <w:bCs/>
          <w:shd w:val="clear" w:color="auto" w:fill="FFFFFF"/>
        </w:rPr>
        <w:t xml:space="preserve"> ASEAN-Australia Health Security Program</w:t>
      </w:r>
      <w:r w:rsidRPr="00DB7579">
        <w:rPr>
          <w:shd w:val="clear" w:color="auto" w:fill="FFFFFF"/>
        </w:rPr>
        <w:t xml:space="preserve"> </w:t>
      </w:r>
      <w:r w:rsidR="002F6B45" w:rsidRPr="00DB7579">
        <w:rPr>
          <w:shd w:val="clear" w:color="auto" w:fill="FFFFFF"/>
        </w:rPr>
        <w:t>is aimed at reducing</w:t>
      </w:r>
      <w:r w:rsidRPr="00DB7579">
        <w:rPr>
          <w:shd w:val="clear" w:color="auto" w:fill="FFFFFF"/>
        </w:rPr>
        <w:t xml:space="preserve"> the risk of pandemics from zoonotic disease outbreaks by implementing One Health approaches,</w:t>
      </w:r>
      <w:r w:rsidR="002F6B45" w:rsidRPr="00DB7579">
        <w:rPr>
          <w:shd w:val="clear" w:color="auto" w:fill="FFFFFF"/>
        </w:rPr>
        <w:t xml:space="preserve"> </w:t>
      </w:r>
      <w:r w:rsidRPr="00DB7579">
        <w:rPr>
          <w:shd w:val="clear" w:color="auto" w:fill="FFFFFF"/>
        </w:rPr>
        <w:t>working at the nexus of human, animal and environmental health in ASEAN and providing scholarships for ASEAN’s health officials.</w:t>
      </w:r>
    </w:p>
    <w:p w14:paraId="1D48D073" w14:textId="21745D64" w:rsidR="00297FD1" w:rsidRPr="00DB7579" w:rsidRDefault="00297FD1" w:rsidP="006C7C8B">
      <w:pPr>
        <w:pStyle w:val="Heading3"/>
      </w:pPr>
      <w:r w:rsidRPr="00DB7579">
        <w:t>Stability</w:t>
      </w:r>
    </w:p>
    <w:p w14:paraId="48D95C02" w14:textId="624A5C76" w:rsidR="008815F1" w:rsidRPr="00DB7579" w:rsidRDefault="008815F1" w:rsidP="008815F1">
      <w:pPr>
        <w:pStyle w:val="Bullet1"/>
        <w:numPr>
          <w:ilvl w:val="0"/>
          <w:numId w:val="0"/>
        </w:numPr>
        <w:spacing w:before="120"/>
      </w:pPr>
      <w:r w:rsidRPr="00DB7579">
        <w:t xml:space="preserve">Australia is committed to supporting stability in Southeast Asia and collaborated with ASEAN member states to address shared security issues such as maritime security, cybersecurity, </w:t>
      </w:r>
      <w:r w:rsidR="00824380" w:rsidRPr="00DB7579">
        <w:t xml:space="preserve">trafficking in persons </w:t>
      </w:r>
      <w:r w:rsidRPr="00DB7579">
        <w:t xml:space="preserve">and transnational crime. </w:t>
      </w:r>
    </w:p>
    <w:p w14:paraId="11F175F3" w14:textId="54154CC0" w:rsidR="00F3333D" w:rsidRPr="00DB7579" w:rsidRDefault="00FE3093" w:rsidP="00F3333D">
      <w:pPr>
        <w:shd w:val="clear" w:color="auto" w:fill="FFFFFF"/>
        <w:suppressAutoHyphens w:val="0"/>
        <w:spacing w:line="240" w:lineRule="auto"/>
      </w:pPr>
      <w:r w:rsidRPr="00DB7579">
        <w:rPr>
          <w:rFonts w:eastAsia="Times New Roman" w:cstheme="minorHAnsi"/>
          <w:lang w:val="en-AU" w:eastAsia="en-AU"/>
        </w:rPr>
        <w:t>Australia</w:t>
      </w:r>
      <w:r w:rsidR="008815F1" w:rsidRPr="00DB7579">
        <w:rPr>
          <w:rFonts w:eastAsia="Times New Roman" w:cstheme="minorHAnsi"/>
          <w:lang w:val="en-AU" w:eastAsia="en-AU"/>
        </w:rPr>
        <w:t>’s</w:t>
      </w:r>
      <w:r w:rsidRPr="00DB7579">
        <w:rPr>
          <w:rFonts w:eastAsia="Times New Roman" w:cstheme="minorHAnsi"/>
          <w:lang w:val="en-AU" w:eastAsia="en-AU"/>
        </w:rPr>
        <w:t xml:space="preserve"> </w:t>
      </w:r>
      <w:r w:rsidR="008815F1" w:rsidRPr="00DB7579">
        <w:rPr>
          <w:rFonts w:eastAsia="Times New Roman" w:cstheme="minorHAnsi"/>
          <w:lang w:val="en-AU" w:eastAsia="en-AU"/>
        </w:rPr>
        <w:t xml:space="preserve">four-year, </w:t>
      </w:r>
      <w:r w:rsidR="008815F1" w:rsidRPr="00875AE7">
        <w:rPr>
          <w:rFonts w:eastAsia="Times New Roman" w:cstheme="minorHAnsi"/>
          <w:b/>
          <w:bCs/>
          <w:lang w:val="en-AU" w:eastAsia="en-AU"/>
        </w:rPr>
        <w:t xml:space="preserve">$232 million </w:t>
      </w:r>
      <w:r w:rsidR="00B24400" w:rsidRPr="00875AE7">
        <w:rPr>
          <w:rFonts w:eastAsia="Times New Roman" w:cstheme="minorHAnsi"/>
          <w:b/>
          <w:bCs/>
          <w:lang w:val="en-AU" w:eastAsia="en-AU"/>
        </w:rPr>
        <w:t xml:space="preserve">Mekong-Australia </w:t>
      </w:r>
      <w:r w:rsidR="00707107" w:rsidRPr="00875AE7">
        <w:rPr>
          <w:rFonts w:eastAsia="Times New Roman" w:cstheme="minorHAnsi"/>
          <w:b/>
          <w:bCs/>
          <w:lang w:val="en-AU" w:eastAsia="en-AU"/>
        </w:rPr>
        <w:t>Partnership</w:t>
      </w:r>
      <w:r w:rsidR="00B24400" w:rsidRPr="00875AE7">
        <w:rPr>
          <w:rFonts w:eastAsia="Times New Roman" w:cstheme="minorHAnsi"/>
          <w:b/>
          <w:bCs/>
          <w:lang w:val="en-AU" w:eastAsia="en-AU"/>
        </w:rPr>
        <w:t xml:space="preserve"> (MAP)</w:t>
      </w:r>
      <w:r w:rsidR="005668D1" w:rsidRPr="00875AE7">
        <w:rPr>
          <w:rFonts w:eastAsia="Times New Roman" w:cstheme="minorHAnsi"/>
          <w:b/>
          <w:bCs/>
          <w:lang w:val="en-AU" w:eastAsia="en-AU"/>
        </w:rPr>
        <w:t xml:space="preserve"> </w:t>
      </w:r>
      <w:r w:rsidR="005668D1" w:rsidRPr="00DB7579">
        <w:rPr>
          <w:rFonts w:eastAsia="Times New Roman" w:cstheme="minorHAnsi"/>
          <w:lang w:val="en-AU" w:eastAsia="en-AU"/>
        </w:rPr>
        <w:t xml:space="preserve">builds on our long-standing bilateral programs with Mekong states </w:t>
      </w:r>
      <w:r w:rsidR="007C68B8" w:rsidRPr="00DB7579">
        <w:rPr>
          <w:rFonts w:cstheme="minorHAnsi"/>
          <w:shd w:val="clear" w:color="auto" w:fill="FFFFFF"/>
        </w:rPr>
        <w:t xml:space="preserve">to </w:t>
      </w:r>
      <w:r w:rsidR="005668D1" w:rsidRPr="00DB7579">
        <w:rPr>
          <w:rFonts w:cstheme="minorHAnsi"/>
          <w:shd w:val="clear" w:color="auto" w:fill="FFFFFF"/>
        </w:rPr>
        <w:t>increase economic resilience</w:t>
      </w:r>
      <w:r w:rsidR="007C68B8" w:rsidRPr="00DB7579">
        <w:rPr>
          <w:rFonts w:cstheme="minorHAnsi"/>
          <w:shd w:val="clear" w:color="auto" w:fill="FFFFFF"/>
        </w:rPr>
        <w:t xml:space="preserve">, </w:t>
      </w:r>
      <w:r w:rsidR="005668D1" w:rsidRPr="00DB7579">
        <w:rPr>
          <w:rFonts w:cstheme="minorHAnsi"/>
          <w:shd w:val="clear" w:color="auto" w:fill="FFFFFF"/>
        </w:rPr>
        <w:t>provide scholarships for future leaders, boost trade and investment</w:t>
      </w:r>
      <w:r w:rsidR="00E6285B">
        <w:rPr>
          <w:rFonts w:cstheme="minorHAnsi"/>
          <w:shd w:val="clear" w:color="auto" w:fill="FFFFFF"/>
        </w:rPr>
        <w:t>,</w:t>
      </w:r>
      <w:r w:rsidR="005668D1" w:rsidRPr="00DB7579">
        <w:rPr>
          <w:rFonts w:cstheme="minorHAnsi"/>
          <w:shd w:val="clear" w:color="auto" w:fill="FFFFFF"/>
        </w:rPr>
        <w:t xml:space="preserve"> </w:t>
      </w:r>
      <w:r w:rsidR="007C68B8" w:rsidRPr="00DB7579">
        <w:rPr>
          <w:rFonts w:cstheme="minorHAnsi"/>
          <w:shd w:val="clear" w:color="auto" w:fill="FFFFFF"/>
        </w:rPr>
        <w:t>build environmental resilience, and strengthen cyber and technology capabilities in the Mekong subregion</w:t>
      </w:r>
      <w:r w:rsidR="00B141C5">
        <w:rPr>
          <w:rFonts w:cstheme="minorHAnsi"/>
          <w:shd w:val="clear" w:color="auto" w:fill="FFFFFF"/>
        </w:rPr>
        <w:t xml:space="preserve">. </w:t>
      </w:r>
    </w:p>
    <w:p w14:paraId="5764FBD2" w14:textId="2CDAF6A7" w:rsidR="000A7B4D" w:rsidRPr="00DB7579" w:rsidRDefault="00F3333D" w:rsidP="00DA022D">
      <w:pPr>
        <w:shd w:val="clear" w:color="auto" w:fill="FFFFFF"/>
        <w:suppressAutoHyphens w:val="0"/>
        <w:spacing w:line="240" w:lineRule="auto"/>
        <w:rPr>
          <w:rFonts w:eastAsia="Times New Roman" w:cstheme="minorHAnsi"/>
          <w:lang w:val="en-AU" w:eastAsia="en-AU"/>
        </w:rPr>
      </w:pPr>
      <w:r w:rsidRPr="00DB7579">
        <w:t xml:space="preserve">In 2021, </w:t>
      </w:r>
      <w:r w:rsidRPr="00875AE7">
        <w:rPr>
          <w:b/>
          <w:bCs/>
        </w:rPr>
        <w:t>Australia continued deepening cyber and critical technology capacity and resilience through the Cyber and Critical Tech Cooperation Program</w:t>
      </w:r>
      <w:r w:rsidR="00C113F2" w:rsidRPr="00875AE7">
        <w:rPr>
          <w:b/>
          <w:bCs/>
        </w:rPr>
        <w:t xml:space="preserve"> </w:t>
      </w:r>
      <w:r w:rsidRPr="00875AE7">
        <w:rPr>
          <w:b/>
          <w:bCs/>
        </w:rPr>
        <w:t xml:space="preserve">as a part of </w:t>
      </w:r>
      <w:r w:rsidR="00C113F2" w:rsidRPr="00875AE7">
        <w:rPr>
          <w:b/>
          <w:bCs/>
        </w:rPr>
        <w:t xml:space="preserve">the </w:t>
      </w:r>
      <w:r w:rsidRPr="00875AE7">
        <w:rPr>
          <w:b/>
          <w:bCs/>
        </w:rPr>
        <w:t>MAP</w:t>
      </w:r>
      <w:r w:rsidRPr="00DB7579">
        <w:t xml:space="preserve">. </w:t>
      </w:r>
      <w:r w:rsidR="00B24400" w:rsidRPr="00DB7579">
        <w:rPr>
          <w:rFonts w:eastAsia="Times New Roman" w:cstheme="minorHAnsi"/>
          <w:lang w:val="en-AU" w:eastAsia="en-AU"/>
        </w:rPr>
        <w:t>In addition</w:t>
      </w:r>
      <w:r w:rsidRPr="00DB7579">
        <w:rPr>
          <w:rFonts w:eastAsia="Times New Roman" w:cstheme="minorHAnsi"/>
          <w:lang w:val="en-AU" w:eastAsia="en-AU"/>
        </w:rPr>
        <w:t>,</w:t>
      </w:r>
      <w:r w:rsidR="00BF2A94" w:rsidRPr="00DB7579">
        <w:rPr>
          <w:rFonts w:eastAsia="Times New Roman" w:cstheme="minorHAnsi"/>
          <w:lang w:val="en-AU" w:eastAsia="en-AU"/>
        </w:rPr>
        <w:t xml:space="preserve"> the </w:t>
      </w:r>
      <w:r w:rsidR="00427830" w:rsidRPr="00DB7579">
        <w:rPr>
          <w:rFonts w:eastAsia="Times New Roman" w:cstheme="minorHAnsi"/>
          <w:lang w:val="en-AU" w:eastAsia="en-AU"/>
        </w:rPr>
        <w:t>Mekong-Australia Partnership on Transnational Crime </w:t>
      </w:r>
      <w:r w:rsidRPr="00DB7579">
        <w:rPr>
          <w:rFonts w:eastAsia="Times New Roman" w:cstheme="minorHAnsi"/>
          <w:lang w:val="en-AU" w:eastAsia="en-AU"/>
        </w:rPr>
        <w:t xml:space="preserve">commenced </w:t>
      </w:r>
      <w:r w:rsidR="00B24400" w:rsidRPr="00DB7579">
        <w:rPr>
          <w:rFonts w:eastAsia="Times New Roman" w:cstheme="minorHAnsi"/>
          <w:lang w:val="en-AU" w:eastAsia="en-AU"/>
        </w:rPr>
        <w:t xml:space="preserve">in March 2021. </w:t>
      </w:r>
      <w:r w:rsidR="008815F1" w:rsidRPr="00DB7579">
        <w:rPr>
          <w:rFonts w:eastAsia="Times New Roman" w:cstheme="minorHAnsi"/>
          <w:lang w:val="en-AU" w:eastAsia="en-AU"/>
        </w:rPr>
        <w:t xml:space="preserve">It will invest </w:t>
      </w:r>
      <w:r w:rsidR="00427830" w:rsidRPr="00DB7579">
        <w:rPr>
          <w:rFonts w:eastAsia="Times New Roman" w:cstheme="minorHAnsi"/>
          <w:lang w:val="en-AU" w:eastAsia="en-AU"/>
        </w:rPr>
        <w:t>$30 million</w:t>
      </w:r>
      <w:r w:rsidR="00D843B6" w:rsidRPr="00DB7579">
        <w:rPr>
          <w:rFonts w:eastAsia="Times New Roman" w:cstheme="minorHAnsi"/>
          <w:lang w:val="en-AU" w:eastAsia="en-AU"/>
        </w:rPr>
        <w:t xml:space="preserve"> </w:t>
      </w:r>
      <w:r w:rsidR="00427830" w:rsidRPr="00DB7579">
        <w:rPr>
          <w:rFonts w:eastAsia="Times New Roman" w:cstheme="minorHAnsi"/>
          <w:lang w:val="en-AU" w:eastAsia="en-AU"/>
        </w:rPr>
        <w:t>over eight years (2021- 2029) to strengthen regional cooperation and information</w:t>
      </w:r>
      <w:r w:rsidR="008815F1" w:rsidRPr="00DB7579">
        <w:rPr>
          <w:rFonts w:eastAsia="Times New Roman" w:cstheme="minorHAnsi"/>
          <w:lang w:val="en-AU" w:eastAsia="en-AU"/>
        </w:rPr>
        <w:t>-</w:t>
      </w:r>
      <w:r w:rsidR="00427830" w:rsidRPr="00DB7579">
        <w:rPr>
          <w:rFonts w:eastAsia="Times New Roman" w:cstheme="minorHAnsi"/>
          <w:lang w:val="en-AU" w:eastAsia="en-AU"/>
        </w:rPr>
        <w:t xml:space="preserve">sharing to respond to </w:t>
      </w:r>
      <w:r w:rsidR="006969DA" w:rsidRPr="00DB7579">
        <w:rPr>
          <w:rFonts w:eastAsia="Times New Roman" w:cstheme="minorHAnsi"/>
          <w:lang w:val="en-AU" w:eastAsia="en-AU"/>
        </w:rPr>
        <w:t xml:space="preserve">cross-border </w:t>
      </w:r>
      <w:r w:rsidR="00427830" w:rsidRPr="00DB7579">
        <w:rPr>
          <w:rFonts w:eastAsia="Times New Roman" w:cstheme="minorHAnsi"/>
          <w:lang w:val="en-AU" w:eastAsia="en-AU"/>
        </w:rPr>
        <w:t xml:space="preserve">threats, </w:t>
      </w:r>
      <w:r w:rsidR="006969DA" w:rsidRPr="00DB7579">
        <w:rPr>
          <w:rFonts w:eastAsia="Times New Roman" w:cstheme="minorHAnsi"/>
          <w:lang w:val="en-AU" w:eastAsia="en-AU"/>
        </w:rPr>
        <w:t>such as</w:t>
      </w:r>
      <w:r w:rsidR="00427830" w:rsidRPr="00DB7579">
        <w:rPr>
          <w:rFonts w:eastAsia="Times New Roman" w:cstheme="minorHAnsi"/>
          <w:lang w:val="en-AU" w:eastAsia="en-AU"/>
        </w:rPr>
        <w:t xml:space="preserve"> illicit drugs, child sexual exploitation and financial crimes. </w:t>
      </w:r>
    </w:p>
    <w:p w14:paraId="458B24F5" w14:textId="67354194" w:rsidR="00110460" w:rsidRPr="00DB7579" w:rsidRDefault="00902A8F" w:rsidP="005242C8">
      <w:pPr>
        <w:suppressAutoHyphens w:val="0"/>
        <w:spacing w:after="0" w:line="240" w:lineRule="auto"/>
        <w:rPr>
          <w:rFonts w:ascii="Times New Roman" w:hAnsi="Times New Roman" w:cs="Times New Roman"/>
          <w:color w:val="auto"/>
          <w:sz w:val="24"/>
          <w:szCs w:val="24"/>
          <w:lang w:val="en-AU" w:eastAsia="en-AU"/>
        </w:rPr>
      </w:pPr>
      <w:r w:rsidRPr="00DB7579">
        <w:t xml:space="preserve">An open, inclusive, safe and rules-based maritime domain plays a vital role in the region’s prosperity and security. In 2020-21, Australia </w:t>
      </w:r>
      <w:r w:rsidR="00110460" w:rsidRPr="00DB7579">
        <w:rPr>
          <w:rFonts w:eastAsia="Times New Roman"/>
        </w:rPr>
        <w:t xml:space="preserve">partnered with Vietnam to </w:t>
      </w:r>
      <w:r w:rsidR="00110460" w:rsidRPr="00875AE7">
        <w:rPr>
          <w:rFonts w:eastAsia="Times New Roman"/>
          <w:b/>
          <w:bCs/>
        </w:rPr>
        <w:t xml:space="preserve">provide technical advice on implementation of the </w:t>
      </w:r>
      <w:r w:rsidR="00110460" w:rsidRPr="00DE74D1">
        <w:rPr>
          <w:rFonts w:eastAsia="Times New Roman"/>
          <w:b/>
          <w:bCs/>
        </w:rPr>
        <w:t>Strategy for the Sustainable Development of Vietnam’s Maritime Economy</w:t>
      </w:r>
      <w:r w:rsidR="00110460" w:rsidRPr="00DE74D1">
        <w:rPr>
          <w:rFonts w:eastAsia="Times New Roman"/>
        </w:rPr>
        <w:t xml:space="preserve"> </w:t>
      </w:r>
      <w:r w:rsidR="00110460" w:rsidRPr="00DB7579">
        <w:rPr>
          <w:rFonts w:eastAsia="Times New Roman"/>
        </w:rPr>
        <w:t>by drawing on international best practices and Australia’s experience in managing our domestic maritime environment.</w:t>
      </w:r>
    </w:p>
    <w:p w14:paraId="49B46531" w14:textId="360651AA" w:rsidR="00322F62" w:rsidRDefault="00322F62" w:rsidP="00322F62">
      <w:pPr>
        <w:shd w:val="clear" w:color="auto" w:fill="FFFFFF"/>
        <w:suppressAutoHyphens w:val="0"/>
        <w:spacing w:line="240" w:lineRule="auto"/>
      </w:pPr>
      <w:r w:rsidRPr="00DB7579">
        <w:lastRenderedPageBreak/>
        <w:t xml:space="preserve">To address possible increases in irregular migration, </w:t>
      </w:r>
      <w:r w:rsidRPr="00875AE7">
        <w:t>our ASEAN-Australia Counter</w:t>
      </w:r>
      <w:r w:rsidRPr="00875AE7">
        <w:noBreakHyphen/>
        <w:t xml:space="preserve">Trafficking program is strengthening ASEAN criminal justice systems, supporting just punishment of </w:t>
      </w:r>
      <w:r w:rsidR="003E00C0" w:rsidRPr="00875AE7">
        <w:t>traffickers</w:t>
      </w:r>
      <w:r w:rsidRPr="00875AE7">
        <w:t xml:space="preserve"> and protecting </w:t>
      </w:r>
      <w:r w:rsidR="005F238D" w:rsidRPr="00875AE7">
        <w:t>victims’</w:t>
      </w:r>
      <w:r w:rsidR="005F238D">
        <w:t xml:space="preserve"> rights</w:t>
      </w:r>
      <w:r w:rsidRPr="00875AE7">
        <w:t xml:space="preserve">. </w:t>
      </w:r>
    </w:p>
    <w:p w14:paraId="7DB4A1B4" w14:textId="1C0410AF" w:rsidR="004939F1" w:rsidRPr="0089160E" w:rsidRDefault="004939F1" w:rsidP="00322F62">
      <w:pPr>
        <w:shd w:val="clear" w:color="auto" w:fill="FFFFFF"/>
        <w:suppressAutoHyphens w:val="0"/>
        <w:spacing w:line="240" w:lineRule="auto"/>
      </w:pPr>
      <w:r>
        <w:t xml:space="preserve">ASEAN member states have made significant progress towards gender equality in recent years. However, </w:t>
      </w:r>
      <w:r w:rsidRPr="00906877">
        <w:t>COVID-19 is having a disproportionate impact on women and girls in Southeast Asia</w:t>
      </w:r>
      <w:r>
        <w:t xml:space="preserve"> with marked economic, health and social consequences for women. Women are disproportionately represented in the informal sector in Southeast Asia which is significantly impacted by </w:t>
      </w:r>
      <w:r w:rsidR="000B2366">
        <w:t>COVID-19 containment</w:t>
      </w:r>
      <w:r>
        <w:t xml:space="preserve"> measures</w:t>
      </w:r>
      <w:r w:rsidR="000B2366">
        <w:t xml:space="preserve">, resulting in exacerbated </w:t>
      </w:r>
      <w:r>
        <w:t>income inequalities.</w:t>
      </w:r>
    </w:p>
    <w:p w14:paraId="63B53999" w14:textId="2E75E415" w:rsidR="00427830" w:rsidRPr="00DB7579" w:rsidRDefault="00297FD1" w:rsidP="006C7C8B">
      <w:pPr>
        <w:pStyle w:val="Heading3"/>
      </w:pPr>
      <w:r w:rsidRPr="00DB7579">
        <w:t>Economic recovery</w:t>
      </w:r>
      <w:r w:rsidR="00427830" w:rsidRPr="00DB7579">
        <w:rPr>
          <w:rFonts w:ascii="Arial" w:eastAsia="Times New Roman" w:hAnsi="Arial" w:cs="Arial"/>
          <w:lang w:val="en-AU" w:eastAsia="en-AU"/>
        </w:rPr>
        <w:t> </w:t>
      </w:r>
    </w:p>
    <w:p w14:paraId="5ED14D62" w14:textId="3A4C3114" w:rsidR="00AB2348" w:rsidRPr="00DB7579" w:rsidRDefault="00144242" w:rsidP="00AC59FA">
      <w:pPr>
        <w:rPr>
          <w:rFonts w:eastAsia="Times New Roman"/>
        </w:rPr>
      </w:pPr>
      <w:r w:rsidRPr="00DB7579">
        <w:rPr>
          <w:rFonts w:eastAsia="Times New Roman"/>
        </w:rPr>
        <w:t xml:space="preserve">Australia continues to </w:t>
      </w:r>
      <w:r w:rsidR="00F3333D" w:rsidRPr="00DB7579">
        <w:rPr>
          <w:rFonts w:eastAsia="Times New Roman"/>
        </w:rPr>
        <w:t xml:space="preserve">support </w:t>
      </w:r>
      <w:r w:rsidRPr="00DB7579">
        <w:rPr>
          <w:rFonts w:eastAsia="Times New Roman"/>
        </w:rPr>
        <w:t xml:space="preserve">the </w:t>
      </w:r>
      <w:r w:rsidR="006969DA" w:rsidRPr="00DB7579">
        <w:rPr>
          <w:rFonts w:eastAsia="Times New Roman"/>
        </w:rPr>
        <w:t xml:space="preserve">region’s </w:t>
      </w:r>
      <w:r w:rsidRPr="00DB7579">
        <w:rPr>
          <w:rFonts w:eastAsia="Times New Roman"/>
        </w:rPr>
        <w:t>economic recovery</w:t>
      </w:r>
      <w:r w:rsidR="00AB2348" w:rsidRPr="00DB7579">
        <w:rPr>
          <w:rFonts w:eastAsia="Times New Roman"/>
        </w:rPr>
        <w:t xml:space="preserve"> though a range of programs</w:t>
      </w:r>
      <w:r w:rsidRPr="00DB7579">
        <w:rPr>
          <w:rFonts w:eastAsia="Times New Roman"/>
        </w:rPr>
        <w:t xml:space="preserve">. </w:t>
      </w:r>
    </w:p>
    <w:p w14:paraId="404170E4" w14:textId="7025070E" w:rsidR="00133F10" w:rsidRPr="00DB7579" w:rsidRDefault="00DA0399" w:rsidP="00AC59FA">
      <w:pPr>
        <w:rPr>
          <w:rFonts w:cstheme="minorHAnsi"/>
        </w:rPr>
      </w:pPr>
      <w:r w:rsidRPr="00DB7579">
        <w:rPr>
          <w:rFonts w:cstheme="minorHAnsi"/>
        </w:rPr>
        <w:t xml:space="preserve">Australia </w:t>
      </w:r>
      <w:r w:rsidRPr="00875AE7">
        <w:rPr>
          <w:rFonts w:cstheme="minorHAnsi"/>
          <w:b/>
          <w:bCs/>
        </w:rPr>
        <w:t>commenced the</w:t>
      </w:r>
      <w:r w:rsidRPr="00622217">
        <w:rPr>
          <w:rFonts w:cstheme="minorHAnsi"/>
          <w:b/>
          <w:bCs/>
        </w:rPr>
        <w:t xml:space="preserve"> </w:t>
      </w:r>
      <w:r w:rsidR="00DC76E3" w:rsidRPr="008D0341">
        <w:rPr>
          <w:rFonts w:cstheme="minorHAnsi"/>
          <w:b/>
          <w:bCs/>
        </w:rPr>
        <w:t xml:space="preserve">Partnerships for Infrastructure (P4I) </w:t>
      </w:r>
      <w:r w:rsidR="006969DA" w:rsidRPr="008D0341">
        <w:rPr>
          <w:rFonts w:cstheme="minorHAnsi"/>
          <w:b/>
          <w:bCs/>
        </w:rPr>
        <w:t xml:space="preserve">program </w:t>
      </w:r>
      <w:r w:rsidR="00DC76E3" w:rsidRPr="008D0341">
        <w:rPr>
          <w:rFonts w:cstheme="minorHAnsi"/>
          <w:b/>
          <w:bCs/>
        </w:rPr>
        <w:t>in January 2021</w:t>
      </w:r>
      <w:r w:rsidR="00DC76E3" w:rsidRPr="00DB7579">
        <w:rPr>
          <w:rFonts w:cstheme="minorHAnsi"/>
        </w:rPr>
        <w:t xml:space="preserve">, </w:t>
      </w:r>
      <w:r w:rsidR="00BF2A94" w:rsidRPr="00DB7579">
        <w:rPr>
          <w:rFonts w:cstheme="minorHAnsi"/>
        </w:rPr>
        <w:t xml:space="preserve">to </w:t>
      </w:r>
      <w:r w:rsidR="00DC76E3" w:rsidRPr="00DB7579">
        <w:rPr>
          <w:rFonts w:cstheme="minorHAnsi"/>
        </w:rPr>
        <w:t xml:space="preserve">support the development of quality infrastructure. P4I </w:t>
      </w:r>
      <w:r w:rsidR="00055644" w:rsidRPr="00DB7579">
        <w:rPr>
          <w:rFonts w:cstheme="minorHAnsi"/>
        </w:rPr>
        <w:t xml:space="preserve">engaged with </w:t>
      </w:r>
      <w:r w:rsidR="00DC76E3" w:rsidRPr="00DB7579">
        <w:rPr>
          <w:rFonts w:cstheme="minorHAnsi"/>
        </w:rPr>
        <w:t>stakeholder</w:t>
      </w:r>
      <w:r w:rsidR="006969DA" w:rsidRPr="00DB7579">
        <w:rPr>
          <w:rFonts w:cstheme="minorHAnsi"/>
        </w:rPr>
        <w:t>s</w:t>
      </w:r>
      <w:r w:rsidR="00DC76E3" w:rsidRPr="00DB7579">
        <w:rPr>
          <w:rFonts w:cstheme="minorHAnsi"/>
        </w:rPr>
        <w:t xml:space="preserve"> across the region </w:t>
      </w:r>
      <w:r w:rsidR="00055644" w:rsidRPr="00DB7579">
        <w:rPr>
          <w:rFonts w:cstheme="minorHAnsi"/>
        </w:rPr>
        <w:t>and provided partners</w:t>
      </w:r>
      <w:r w:rsidR="00DC76E3" w:rsidRPr="00DB7579">
        <w:rPr>
          <w:rFonts w:cstheme="minorHAnsi"/>
        </w:rPr>
        <w:t xml:space="preserve"> technical advice, access to Australian </w:t>
      </w:r>
      <w:r w:rsidR="00DC76E3" w:rsidRPr="0089160E">
        <w:rPr>
          <w:rFonts w:cstheme="minorHAnsi"/>
        </w:rPr>
        <w:t xml:space="preserve">expertise and regional learning opportunities. </w:t>
      </w:r>
      <w:r w:rsidR="007669CA">
        <w:rPr>
          <w:rFonts w:cstheme="minorHAnsi"/>
        </w:rPr>
        <w:t xml:space="preserve">The program </w:t>
      </w:r>
      <w:r w:rsidR="00DC76E3" w:rsidRPr="0089160E">
        <w:rPr>
          <w:rFonts w:cstheme="minorHAnsi"/>
        </w:rPr>
        <w:t>has a pipeline of more than 40 potential activities across the region</w:t>
      </w:r>
      <w:r w:rsidR="00A25225" w:rsidRPr="0089160E">
        <w:rPr>
          <w:rFonts w:cstheme="minorHAnsi"/>
        </w:rPr>
        <w:t>.</w:t>
      </w:r>
    </w:p>
    <w:p w14:paraId="29DDB545" w14:textId="2117EB71" w:rsidR="001E270E" w:rsidRPr="00DB7579" w:rsidRDefault="007C68B8" w:rsidP="008D5E8B">
      <w:pPr>
        <w:shd w:val="clear" w:color="auto" w:fill="FFFFFF"/>
        <w:suppressAutoHyphens w:val="0"/>
        <w:spacing w:before="0" w:line="240" w:lineRule="auto"/>
        <w:rPr>
          <w:rFonts w:eastAsia="Times New Roman" w:cstheme="minorHAnsi"/>
          <w:b/>
          <w:bCs/>
          <w:lang w:val="en-AU" w:eastAsia="en-AU"/>
        </w:rPr>
      </w:pPr>
      <w:r w:rsidRPr="00875AE7">
        <w:rPr>
          <w:rFonts w:cstheme="minorHAnsi"/>
          <w:shd w:val="clear" w:color="auto" w:fill="FFFFFF"/>
        </w:rPr>
        <w:t xml:space="preserve">The </w:t>
      </w:r>
      <w:r w:rsidR="008B2C87" w:rsidRPr="00875AE7">
        <w:rPr>
          <w:rFonts w:cstheme="minorHAnsi"/>
          <w:shd w:val="clear" w:color="auto" w:fill="FFFFFF"/>
        </w:rPr>
        <w:t>MAP</w:t>
      </w:r>
      <w:r w:rsidRPr="00875AE7">
        <w:rPr>
          <w:rFonts w:cstheme="minorHAnsi"/>
          <w:shd w:val="clear" w:color="auto" w:fill="FFFFFF"/>
        </w:rPr>
        <w:t xml:space="preserve"> – Water, Energy, Climate </w:t>
      </w:r>
      <w:r w:rsidR="008646DB">
        <w:rPr>
          <w:rFonts w:cstheme="minorHAnsi"/>
          <w:shd w:val="clear" w:color="auto" w:fill="FFFFFF"/>
        </w:rPr>
        <w:t>P</w:t>
      </w:r>
      <w:r w:rsidRPr="00875AE7">
        <w:rPr>
          <w:rFonts w:cstheme="minorHAnsi"/>
          <w:shd w:val="clear" w:color="auto" w:fill="FFFFFF"/>
        </w:rPr>
        <w:t>rogram</w:t>
      </w:r>
      <w:r w:rsidRPr="00DB7579">
        <w:rPr>
          <w:rFonts w:cstheme="minorHAnsi"/>
          <w:shd w:val="clear" w:color="auto" w:fill="FFFFFF"/>
        </w:rPr>
        <w:t xml:space="preserve"> </w:t>
      </w:r>
      <w:r w:rsidRPr="00875AE7">
        <w:rPr>
          <w:rFonts w:cstheme="minorHAnsi"/>
          <w:b/>
          <w:bCs/>
          <w:shd w:val="clear" w:color="auto" w:fill="FFFFFF"/>
        </w:rPr>
        <w:t>supported the Mekong River Commission to develop the Basin Development Strategy and Strategic Plan</w:t>
      </w:r>
      <w:r w:rsidR="008B2C87" w:rsidRPr="00DB7579">
        <w:rPr>
          <w:rFonts w:cstheme="minorHAnsi"/>
          <w:shd w:val="clear" w:color="auto" w:fill="FFFFFF"/>
        </w:rPr>
        <w:t xml:space="preserve"> and</w:t>
      </w:r>
      <w:r w:rsidRPr="00DB7579">
        <w:rPr>
          <w:rFonts w:cstheme="minorHAnsi"/>
          <w:shd w:val="clear" w:color="auto" w:fill="FFFFFF"/>
        </w:rPr>
        <w:t xml:space="preserve"> set the strategic direction of the commission for the next decade. The program provided regional forums on river data transparency and standards</w:t>
      </w:r>
      <w:r w:rsidR="00902A8F" w:rsidRPr="00DB7579">
        <w:rPr>
          <w:rFonts w:cstheme="minorHAnsi"/>
          <w:shd w:val="clear" w:color="auto" w:fill="FFFFFF"/>
        </w:rPr>
        <w:t xml:space="preserve"> </w:t>
      </w:r>
      <w:r w:rsidRPr="00DB7579">
        <w:rPr>
          <w:rFonts w:cstheme="minorHAnsi"/>
          <w:shd w:val="clear" w:color="auto" w:fill="FFFFFF"/>
        </w:rPr>
        <w:t xml:space="preserve">and </w:t>
      </w:r>
      <w:r w:rsidR="008B2C87" w:rsidRPr="00DB7579">
        <w:rPr>
          <w:rFonts w:cstheme="minorHAnsi"/>
          <w:shd w:val="clear" w:color="auto" w:fill="FFFFFF"/>
        </w:rPr>
        <w:t xml:space="preserve">developed </w:t>
      </w:r>
      <w:r w:rsidRPr="00DB7579">
        <w:rPr>
          <w:rFonts w:cstheme="minorHAnsi"/>
          <w:shd w:val="clear" w:color="auto" w:fill="FFFFFF"/>
        </w:rPr>
        <w:t xml:space="preserve">pumped storage hydropower as an alternative energy technology. </w:t>
      </w:r>
    </w:p>
    <w:p w14:paraId="76DC8636" w14:textId="62A414BD" w:rsidR="00BF2A94" w:rsidRPr="00DB7579" w:rsidRDefault="00BF2A94" w:rsidP="008D5E8B">
      <w:pPr>
        <w:shd w:val="clear" w:color="auto" w:fill="FFFFFF"/>
        <w:suppressAutoHyphens w:val="0"/>
        <w:spacing w:before="0" w:line="240" w:lineRule="auto"/>
        <w:rPr>
          <w:rFonts w:eastAsia="Times New Roman" w:cstheme="minorHAnsi"/>
          <w:lang w:val="en-AU" w:eastAsia="en-AU"/>
        </w:rPr>
      </w:pPr>
      <w:r w:rsidRPr="00875AE7">
        <w:rPr>
          <w:rFonts w:eastAsia="Times New Roman" w:cstheme="minorHAnsi"/>
          <w:lang w:val="en-AU" w:eastAsia="en-AU"/>
        </w:rPr>
        <w:t xml:space="preserve">Australia undertook a mid-term review </w:t>
      </w:r>
      <w:r w:rsidR="006969DA" w:rsidRPr="00875AE7">
        <w:rPr>
          <w:rFonts w:eastAsia="Times New Roman" w:cstheme="minorHAnsi"/>
          <w:lang w:val="en-AU" w:eastAsia="en-AU"/>
        </w:rPr>
        <w:t xml:space="preserve">in 2021 </w:t>
      </w:r>
      <w:r w:rsidRPr="00875AE7">
        <w:rPr>
          <w:rFonts w:eastAsia="Times New Roman" w:cstheme="minorHAnsi"/>
          <w:lang w:val="en-AU" w:eastAsia="en-AU"/>
        </w:rPr>
        <w:t xml:space="preserve">of </w:t>
      </w:r>
      <w:r w:rsidR="006969DA" w:rsidRPr="00875AE7">
        <w:rPr>
          <w:rFonts w:eastAsia="Times New Roman" w:cstheme="minorHAnsi"/>
          <w:lang w:val="en-AU" w:eastAsia="en-AU"/>
        </w:rPr>
        <w:t xml:space="preserve">a regional women’s economic empowerment program, </w:t>
      </w:r>
      <w:r w:rsidRPr="00875AE7">
        <w:rPr>
          <w:rFonts w:eastAsia="Times New Roman" w:cstheme="minorHAnsi"/>
          <w:lang w:val="en-AU" w:eastAsia="en-AU"/>
        </w:rPr>
        <w:t>Investing in Women (IW)</w:t>
      </w:r>
      <w:r w:rsidR="006969DA" w:rsidRPr="00875AE7">
        <w:rPr>
          <w:rFonts w:eastAsia="Times New Roman" w:cstheme="minorHAnsi"/>
          <w:lang w:val="en-AU" w:eastAsia="en-AU"/>
        </w:rPr>
        <w:t>,</w:t>
      </w:r>
      <w:r w:rsidRPr="00875AE7">
        <w:rPr>
          <w:rFonts w:eastAsia="Times New Roman" w:cstheme="minorHAnsi"/>
          <w:lang w:val="en-AU" w:eastAsia="en-AU"/>
        </w:rPr>
        <w:t xml:space="preserve"> which confirmed it is on track to reach its end of program outcomes. In 2020-21, there were 13 new investments in </w:t>
      </w:r>
      <w:r w:rsidR="002D3A3D" w:rsidRPr="00875AE7">
        <w:rPr>
          <w:rFonts w:eastAsia="Times New Roman" w:cstheme="minorHAnsi"/>
          <w:lang w:val="en-AU" w:eastAsia="en-AU"/>
        </w:rPr>
        <w:t>w</w:t>
      </w:r>
      <w:r w:rsidR="003806F4" w:rsidRPr="00875AE7">
        <w:rPr>
          <w:rFonts w:eastAsia="Times New Roman" w:cstheme="minorHAnsi"/>
          <w:lang w:val="en-AU" w:eastAsia="en-AU"/>
        </w:rPr>
        <w:t>omen-led micro, small and</w:t>
      </w:r>
      <w:r w:rsidR="003806F4" w:rsidRPr="00DB7579">
        <w:rPr>
          <w:rFonts w:eastAsia="Times New Roman" w:cstheme="minorHAnsi"/>
          <w:lang w:val="en-AU" w:eastAsia="en-AU"/>
        </w:rPr>
        <w:t xml:space="preserve"> medium-sized enterprises </w:t>
      </w:r>
      <w:r w:rsidRPr="00DB7579">
        <w:rPr>
          <w:rFonts w:eastAsia="Times New Roman" w:cstheme="minorHAnsi"/>
          <w:lang w:val="en-AU" w:eastAsia="en-AU"/>
        </w:rPr>
        <w:t>totalling $2.2 million and leveraging a further $25.8 million private sector investment and $2.4 million in leveraged public co-investment.</w:t>
      </w:r>
    </w:p>
    <w:p w14:paraId="35FC7B46" w14:textId="18563C8A" w:rsidR="00A22889" w:rsidRPr="00DB7579" w:rsidRDefault="00B51B57" w:rsidP="008B2C87">
      <w:pPr>
        <w:shd w:val="clear" w:color="auto" w:fill="FFFFFF"/>
        <w:suppressAutoHyphens w:val="0"/>
        <w:spacing w:before="0" w:line="240" w:lineRule="auto"/>
      </w:pPr>
      <w:r w:rsidRPr="00875AE7">
        <w:rPr>
          <w:b/>
          <w:bCs/>
        </w:rPr>
        <w:t>T</w:t>
      </w:r>
      <w:r w:rsidR="006736D3" w:rsidRPr="00875AE7">
        <w:rPr>
          <w:b/>
          <w:bCs/>
        </w:rPr>
        <w:t xml:space="preserve">he ASEAN Australia Development Cooperation Program Phase II </w:t>
      </w:r>
      <w:r w:rsidR="006E06D3" w:rsidRPr="00875AE7">
        <w:rPr>
          <w:b/>
          <w:bCs/>
        </w:rPr>
        <w:t xml:space="preserve">supported </w:t>
      </w:r>
      <w:r w:rsidRPr="00875AE7">
        <w:rPr>
          <w:rFonts w:eastAsia="Times New Roman" w:cstheme="minorHAnsi"/>
          <w:b/>
          <w:bCs/>
          <w:lang w:val="en-AU" w:eastAsia="en-AU"/>
        </w:rPr>
        <w:t>the development and implementation of high-quality economic strategies</w:t>
      </w:r>
      <w:r w:rsidR="004B5326" w:rsidRPr="00DB7579">
        <w:rPr>
          <w:rFonts w:eastAsia="Times New Roman" w:cstheme="minorHAnsi"/>
          <w:lang w:val="en-AU" w:eastAsia="en-AU"/>
        </w:rPr>
        <w:t xml:space="preserve">, </w:t>
      </w:r>
      <w:r w:rsidR="008F115E" w:rsidRPr="00DB7579">
        <w:rPr>
          <w:rFonts w:eastAsia="Times New Roman" w:cstheme="minorHAnsi"/>
          <w:lang w:val="en-AU" w:eastAsia="en-AU"/>
        </w:rPr>
        <w:t>including</w:t>
      </w:r>
      <w:r w:rsidRPr="00DB7579">
        <w:rPr>
          <w:rFonts w:eastAsia="Times New Roman" w:cstheme="minorHAnsi"/>
          <w:lang w:val="en-AU" w:eastAsia="en-AU"/>
        </w:rPr>
        <w:t xml:space="preserve"> the Fourth Industrial Revolution strategy</w:t>
      </w:r>
      <w:r w:rsidR="004B5326" w:rsidRPr="00DB7579">
        <w:rPr>
          <w:rFonts w:eastAsia="Times New Roman" w:cstheme="minorHAnsi"/>
          <w:lang w:val="en-AU" w:eastAsia="en-AU"/>
        </w:rPr>
        <w:t xml:space="preserve"> </w:t>
      </w:r>
      <w:r w:rsidR="00740EC5" w:rsidRPr="00DB7579">
        <w:rPr>
          <w:rFonts w:eastAsia="Times New Roman" w:cstheme="minorHAnsi"/>
          <w:lang w:val="en-AU" w:eastAsia="en-AU"/>
        </w:rPr>
        <w:t>which has</w:t>
      </w:r>
      <w:r w:rsidR="004B5326" w:rsidRPr="00DB7579">
        <w:rPr>
          <w:rFonts w:eastAsia="Times New Roman" w:cstheme="minorHAnsi"/>
          <w:lang w:val="en-AU" w:eastAsia="en-AU"/>
        </w:rPr>
        <w:t xml:space="preserve"> support</w:t>
      </w:r>
      <w:r w:rsidR="00740EC5" w:rsidRPr="00DB7579">
        <w:rPr>
          <w:rFonts w:eastAsia="Times New Roman" w:cstheme="minorHAnsi"/>
          <w:lang w:val="en-AU" w:eastAsia="en-AU"/>
        </w:rPr>
        <w:t>ed</w:t>
      </w:r>
      <w:r w:rsidR="004B5326" w:rsidRPr="00DB7579">
        <w:rPr>
          <w:rFonts w:eastAsia="Times New Roman" w:cstheme="minorHAnsi"/>
          <w:lang w:val="en-AU" w:eastAsia="en-AU"/>
        </w:rPr>
        <w:t xml:space="preserve"> vital regional supply chains during the pandemic. </w:t>
      </w:r>
      <w:r w:rsidR="007669CA">
        <w:rPr>
          <w:rFonts w:eastAsia="Times New Roman" w:cstheme="minorHAnsi"/>
          <w:lang w:val="en-AU" w:eastAsia="en-AU"/>
        </w:rPr>
        <w:t xml:space="preserve">This program </w:t>
      </w:r>
      <w:r w:rsidR="004B5326" w:rsidRPr="00DB7579">
        <w:rPr>
          <w:rFonts w:eastAsia="Times New Roman" w:cstheme="minorHAnsi"/>
          <w:lang w:val="en-AU" w:eastAsia="en-AU"/>
        </w:rPr>
        <w:t>continue</w:t>
      </w:r>
      <w:r w:rsidR="00FF2F4F" w:rsidRPr="00DB7579">
        <w:rPr>
          <w:rFonts w:eastAsia="Times New Roman" w:cstheme="minorHAnsi"/>
          <w:lang w:val="en-AU" w:eastAsia="en-AU"/>
        </w:rPr>
        <w:t>d</w:t>
      </w:r>
      <w:r w:rsidR="004B5326" w:rsidRPr="00DB7579">
        <w:rPr>
          <w:rFonts w:eastAsia="Times New Roman" w:cstheme="minorHAnsi"/>
          <w:lang w:val="en-AU" w:eastAsia="en-AU"/>
        </w:rPr>
        <w:t xml:space="preserve"> to</w:t>
      </w:r>
      <w:r w:rsidRPr="00DB7579">
        <w:rPr>
          <w:rFonts w:eastAsia="Times New Roman" w:cstheme="minorHAnsi"/>
          <w:lang w:val="en-AU" w:eastAsia="en-AU"/>
        </w:rPr>
        <w:t xml:space="preserve"> enhance regional economic connectivity and narrow the development gap among ASEAN </w:t>
      </w:r>
      <w:r w:rsidR="00C724CF" w:rsidRPr="00DB7579">
        <w:rPr>
          <w:rFonts w:eastAsia="Times New Roman" w:cstheme="minorHAnsi"/>
          <w:lang w:val="en-AU" w:eastAsia="en-AU"/>
        </w:rPr>
        <w:t>m</w:t>
      </w:r>
      <w:r w:rsidRPr="00DB7579">
        <w:rPr>
          <w:rFonts w:eastAsia="Times New Roman" w:cstheme="minorHAnsi"/>
          <w:lang w:val="en-AU" w:eastAsia="en-AU"/>
        </w:rPr>
        <w:t xml:space="preserve">ember </w:t>
      </w:r>
      <w:r w:rsidR="00C724CF" w:rsidRPr="00DB7579">
        <w:rPr>
          <w:rFonts w:eastAsia="Times New Roman" w:cstheme="minorHAnsi"/>
          <w:lang w:val="en-AU" w:eastAsia="en-AU"/>
        </w:rPr>
        <w:t>s</w:t>
      </w:r>
      <w:r w:rsidRPr="00DB7579">
        <w:rPr>
          <w:rFonts w:eastAsia="Times New Roman" w:cstheme="minorHAnsi"/>
          <w:lang w:val="en-AU" w:eastAsia="en-AU"/>
        </w:rPr>
        <w:t>tates</w:t>
      </w:r>
      <w:r w:rsidR="001961FC" w:rsidRPr="00DB7579">
        <w:rPr>
          <w:rFonts w:eastAsia="Times New Roman" w:cstheme="minorHAnsi"/>
          <w:lang w:val="en-AU" w:eastAsia="en-AU"/>
        </w:rPr>
        <w:t>.</w:t>
      </w:r>
    </w:p>
    <w:p w14:paraId="354436D5" w14:textId="1D1643AA" w:rsidR="008F115E" w:rsidRPr="00DB7579" w:rsidRDefault="00FD7ABA" w:rsidP="0068435E">
      <w:pPr>
        <w:shd w:val="clear" w:color="auto" w:fill="FFFFFF"/>
        <w:suppressAutoHyphens w:val="0"/>
        <w:spacing w:before="0" w:line="240" w:lineRule="auto"/>
      </w:pPr>
      <w:r w:rsidRPr="00DB7579">
        <w:t>The ASEAN</w:t>
      </w:r>
      <w:r w:rsidRPr="00DB7579">
        <w:noBreakHyphen/>
        <w:t>Australia Digital Trade Standards Initiative</w:t>
      </w:r>
      <w:r w:rsidR="00144C05" w:rsidRPr="00DB7579">
        <w:t>, to which Australia contributed a further $2 million in 2020,</w:t>
      </w:r>
      <w:r w:rsidRPr="00DB7579">
        <w:t xml:space="preserve"> </w:t>
      </w:r>
      <w:r w:rsidR="00FF2F4F" w:rsidRPr="00DB7579">
        <w:t xml:space="preserve">harmonised </w:t>
      </w:r>
      <w:r w:rsidRPr="00DB7579">
        <w:t>digital trade standards and remov</w:t>
      </w:r>
      <w:r w:rsidR="008F115E" w:rsidRPr="00DB7579">
        <w:t>e</w:t>
      </w:r>
      <w:r w:rsidRPr="00DB7579">
        <w:t xml:space="preserve"> non-tariff barriers to trade. </w:t>
      </w:r>
    </w:p>
    <w:p w14:paraId="29860949" w14:textId="4E02F5BF" w:rsidR="000C4E79" w:rsidRPr="00DB7579" w:rsidRDefault="00AB2348" w:rsidP="005242C8">
      <w:pPr>
        <w:suppressAutoHyphens w:val="0"/>
        <w:spacing w:before="0" w:line="240" w:lineRule="auto"/>
        <w:rPr>
          <w:color w:val="auto"/>
          <w:lang w:val="en-AU"/>
        </w:rPr>
      </w:pPr>
      <w:bookmarkStart w:id="3" w:name="_Hlk82774534"/>
      <w:r w:rsidRPr="00DB7579">
        <w:t xml:space="preserve">The </w:t>
      </w:r>
      <w:r w:rsidR="00B11BC3" w:rsidRPr="00DB7579">
        <w:t>ASEAN-Australia-New Zealand Free Trade Area (</w:t>
      </w:r>
      <w:r w:rsidRPr="00DB7579">
        <w:t>AANZFTA</w:t>
      </w:r>
      <w:r w:rsidR="00B11BC3" w:rsidRPr="00DB7579">
        <w:t>)</w:t>
      </w:r>
      <w:r w:rsidRPr="00DB7579">
        <w:t xml:space="preserve"> </w:t>
      </w:r>
      <w:r w:rsidR="000C4E79" w:rsidRPr="00DB7579">
        <w:t xml:space="preserve">Economic Cooperation Support Program continues to support regional economic integration by assisting ASEAN implement the AANZFTA agreement and </w:t>
      </w:r>
      <w:r w:rsidR="00110460" w:rsidRPr="00DB7579">
        <w:t>realise</w:t>
      </w:r>
      <w:r w:rsidR="000C4E79" w:rsidRPr="00DB7579">
        <w:t xml:space="preserve"> the benefits of greater trade liberalisation and regional economic integration.</w:t>
      </w:r>
    </w:p>
    <w:p w14:paraId="161F0FB3" w14:textId="213557C9" w:rsidR="000C4E79" w:rsidRPr="00DB7579" w:rsidRDefault="000C4E79" w:rsidP="000C4E79">
      <w:r w:rsidRPr="00875AE7">
        <w:rPr>
          <w:b/>
          <w:bCs/>
        </w:rPr>
        <w:t xml:space="preserve">The ASEAN-led Regional Comprehensive Economic Partnership (RCEP) </w:t>
      </w:r>
      <w:r w:rsidR="00110460" w:rsidRPr="00875AE7">
        <w:rPr>
          <w:b/>
          <w:bCs/>
        </w:rPr>
        <w:t>is supporting</w:t>
      </w:r>
      <w:r w:rsidRPr="00875AE7">
        <w:rPr>
          <w:b/>
          <w:bCs/>
        </w:rPr>
        <w:t xml:space="preserve"> regional economic integration</w:t>
      </w:r>
      <w:r w:rsidR="00110460" w:rsidRPr="00875AE7">
        <w:rPr>
          <w:b/>
          <w:bCs/>
        </w:rPr>
        <w:t xml:space="preserve"> by addressing </w:t>
      </w:r>
      <w:r w:rsidRPr="00875AE7">
        <w:rPr>
          <w:b/>
          <w:bCs/>
        </w:rPr>
        <w:t>non-tariff barriers</w:t>
      </w:r>
      <w:r w:rsidRPr="00DB7579">
        <w:t xml:space="preserve">, including in areas such as biosecurity and technical standards, </w:t>
      </w:r>
      <w:r w:rsidR="00110460" w:rsidRPr="00DB7579">
        <w:t>and</w:t>
      </w:r>
      <w:r w:rsidRPr="00DB7579">
        <w:t xml:space="preserve"> improving cooperation and compliance with World Trade Organization rules. Australia is developing a new $46 million investment to deliver economic cooperation under RCEP and AANZFTA</w:t>
      </w:r>
      <w:r w:rsidR="00110460" w:rsidRPr="00DB7579">
        <w:t>,</w:t>
      </w:r>
      <w:r w:rsidRPr="00DB7579">
        <w:t xml:space="preserve"> which will support implementation of both agreements.</w:t>
      </w:r>
    </w:p>
    <w:bookmarkEnd w:id="3"/>
    <w:p w14:paraId="035DF317" w14:textId="6C746F93" w:rsidR="006E06D3" w:rsidRPr="00DB7579" w:rsidRDefault="00FD7ABA" w:rsidP="00DA022D">
      <w:pPr>
        <w:shd w:val="clear" w:color="auto" w:fill="FFFFFF"/>
        <w:suppressAutoHyphens w:val="0"/>
        <w:spacing w:line="240" w:lineRule="auto"/>
      </w:pPr>
      <w:r w:rsidRPr="00875AE7">
        <w:rPr>
          <w:b/>
          <w:bCs/>
        </w:rPr>
        <w:t xml:space="preserve">The Tripartite Action to Enhance the Contribution of Labour Migration to Growth and Development in ASEAN (TRIANGLE) </w:t>
      </w:r>
      <w:r w:rsidR="006E06D3" w:rsidRPr="00875AE7">
        <w:rPr>
          <w:b/>
          <w:bCs/>
        </w:rPr>
        <w:t xml:space="preserve">strengthened </w:t>
      </w:r>
      <w:r w:rsidRPr="00875AE7">
        <w:rPr>
          <w:b/>
          <w:bCs/>
        </w:rPr>
        <w:t xml:space="preserve">labour migration governance frameworks and </w:t>
      </w:r>
      <w:r w:rsidR="006E06D3" w:rsidRPr="00875AE7">
        <w:rPr>
          <w:b/>
          <w:bCs/>
        </w:rPr>
        <w:t xml:space="preserve">mitigated </w:t>
      </w:r>
      <w:r w:rsidRPr="00875AE7">
        <w:rPr>
          <w:b/>
          <w:bCs/>
        </w:rPr>
        <w:t>exploitation</w:t>
      </w:r>
      <w:r w:rsidRPr="00DB7579">
        <w:t xml:space="preserve"> of vulnerable migrant workers</w:t>
      </w:r>
      <w:r w:rsidR="00D24D52" w:rsidRPr="00DB7579">
        <w:t xml:space="preserve">. In 2020, </w:t>
      </w:r>
      <w:r w:rsidR="00B51B57" w:rsidRPr="00DB7579">
        <w:t xml:space="preserve">TRIANGLE </w:t>
      </w:r>
      <w:r w:rsidR="009569F9" w:rsidRPr="00DB7579">
        <w:t>worked</w:t>
      </w:r>
      <w:r w:rsidR="00D24D52" w:rsidRPr="00DB7579">
        <w:t xml:space="preserve"> to protect the rights of migrant workers through input to legislation and policies in Lao</w:t>
      </w:r>
      <w:r w:rsidR="00C724CF" w:rsidRPr="00DB7579">
        <w:t>s</w:t>
      </w:r>
      <w:r w:rsidR="00D24D52" w:rsidRPr="00DB7579">
        <w:t>, Vietnam and Thailand.</w:t>
      </w:r>
      <w:r w:rsidR="00015EE8" w:rsidRPr="00DB7579">
        <w:t xml:space="preserve"> </w:t>
      </w:r>
      <w:r w:rsidR="000A1908" w:rsidRPr="00DB7579">
        <w:t xml:space="preserve">Migrant Worker Resource Centres provided direct support, including counselling, training, legal </w:t>
      </w:r>
      <w:r w:rsidR="003E00C0" w:rsidRPr="00DB7579">
        <w:t>assistance,</w:t>
      </w:r>
      <w:r w:rsidR="000A1908" w:rsidRPr="00DB7579">
        <w:t xml:space="preserve"> and COVID-19 emergency support. </w:t>
      </w:r>
    </w:p>
    <w:p w14:paraId="27EEDD48" w14:textId="2DB01024" w:rsidR="00FD7ABA" w:rsidRPr="00875AE7" w:rsidRDefault="00144C05" w:rsidP="00DA022D">
      <w:pPr>
        <w:shd w:val="clear" w:color="auto" w:fill="FFFFFF"/>
        <w:suppressAutoHyphens w:val="0"/>
        <w:spacing w:line="240" w:lineRule="auto"/>
      </w:pPr>
      <w:r w:rsidRPr="00875AE7">
        <w:t xml:space="preserve">Under the ASEAN-Australia Smart Cities </w:t>
      </w:r>
      <w:r w:rsidR="00E6285B">
        <w:t>I</w:t>
      </w:r>
      <w:r w:rsidRPr="00875AE7">
        <w:t xml:space="preserve">nitiative, </w:t>
      </w:r>
      <w:r w:rsidR="00FD7ABA" w:rsidRPr="00875AE7">
        <w:t>Australia is supporting ASEAN member states to build liveable cities</w:t>
      </w:r>
      <w:r w:rsidR="009508C5">
        <w:t>.</w:t>
      </w:r>
      <w:r w:rsidR="00FD7ABA" w:rsidRPr="00875AE7">
        <w:t xml:space="preserve"> </w:t>
      </w:r>
      <w:r w:rsidR="00B51B57" w:rsidRPr="00875AE7">
        <w:t>For example, i</w:t>
      </w:r>
      <w:r w:rsidR="00FD7ABA" w:rsidRPr="00875AE7">
        <w:t xml:space="preserve">n the Philippines city of Baguio we are working with the city government on a flood forecasting and early warning system to mitigate impacts and protect residents, especially the vulnerable. </w:t>
      </w:r>
    </w:p>
    <w:p w14:paraId="72EFDE35" w14:textId="5667F07F" w:rsidR="009D6BC0" w:rsidRPr="00DB7579" w:rsidRDefault="002C77D9" w:rsidP="008E55FD">
      <w:pPr>
        <w:pStyle w:val="Bullet1"/>
        <w:numPr>
          <w:ilvl w:val="0"/>
          <w:numId w:val="0"/>
        </w:numPr>
      </w:pPr>
      <w:r w:rsidRPr="00DB7579">
        <w:rPr>
          <w:rFonts w:eastAsia="Times New Roman" w:cstheme="minorHAnsi"/>
          <w:lang w:val="en-AU" w:eastAsia="en-AU"/>
        </w:rPr>
        <w:t xml:space="preserve">Australia </w:t>
      </w:r>
      <w:r w:rsidR="004F1AFB" w:rsidRPr="00DB7579">
        <w:rPr>
          <w:rFonts w:eastAsia="Times New Roman" w:cstheme="minorHAnsi"/>
          <w:lang w:val="en-AU" w:eastAsia="en-AU"/>
        </w:rPr>
        <w:t xml:space="preserve">supported </w:t>
      </w:r>
      <w:r w:rsidRPr="00DB7579">
        <w:rPr>
          <w:rFonts w:eastAsia="Times New Roman" w:cstheme="minorHAnsi"/>
          <w:lang w:val="en-AU" w:eastAsia="en-AU"/>
        </w:rPr>
        <w:t xml:space="preserve">the </w:t>
      </w:r>
      <w:r w:rsidR="00DC76E3" w:rsidRPr="00DB7579">
        <w:t>Malaysia and Thailand Reform Partnership</w:t>
      </w:r>
      <w:r w:rsidRPr="00DB7579">
        <w:t xml:space="preserve">. </w:t>
      </w:r>
      <w:r w:rsidR="00BF2A94" w:rsidRPr="00DB7579">
        <w:t xml:space="preserve">The </w:t>
      </w:r>
      <w:r w:rsidR="008B2C87" w:rsidRPr="00DB7579">
        <w:t xml:space="preserve">coalition </w:t>
      </w:r>
      <w:r w:rsidR="00BF2A94" w:rsidRPr="00DB7579">
        <w:t xml:space="preserve">is facilitated by </w:t>
      </w:r>
      <w:r w:rsidR="00DE74D1">
        <w:t>T</w:t>
      </w:r>
      <w:r w:rsidR="00BF2A94" w:rsidRPr="00DB7579">
        <w:t xml:space="preserve">he </w:t>
      </w:r>
      <w:r w:rsidR="00DC76E3" w:rsidRPr="00DB7579">
        <w:t>Asia Foundation</w:t>
      </w:r>
      <w:r w:rsidRPr="00DB7579">
        <w:t xml:space="preserve"> </w:t>
      </w:r>
      <w:r w:rsidR="00BF2A94" w:rsidRPr="00DB7579">
        <w:t xml:space="preserve">and addressed </w:t>
      </w:r>
      <w:r w:rsidR="00DC76E3" w:rsidRPr="00DB7579">
        <w:t xml:space="preserve">critical reforms </w:t>
      </w:r>
      <w:r w:rsidR="00BF2A94" w:rsidRPr="00DB7579">
        <w:t xml:space="preserve">in </w:t>
      </w:r>
      <w:r w:rsidR="00DC76E3" w:rsidRPr="00DB7579">
        <w:t>economic recovery through innovative policy solutions for quality basic education and competition policy in Thailand, and women’s workforce productivity in Malaysia.</w:t>
      </w:r>
    </w:p>
    <w:p w14:paraId="280935BA" w14:textId="045ED686" w:rsidR="00A25225" w:rsidRDefault="00A25225">
      <w:pPr>
        <w:suppressAutoHyphens w:val="0"/>
        <w:spacing w:before="0" w:after="120" w:line="440" w:lineRule="atLeast"/>
        <w:rPr>
          <w:rFonts w:asciiTheme="majorHAnsi" w:eastAsiaTheme="majorEastAsia" w:hAnsiTheme="majorHAnsi" w:cstheme="majorBidi"/>
          <w:b/>
          <w:caps/>
          <w:szCs w:val="26"/>
        </w:rPr>
      </w:pPr>
      <w:r>
        <w:br w:type="page"/>
      </w:r>
    </w:p>
    <w:p w14:paraId="063A3CD9" w14:textId="51BBADD9" w:rsidR="002F1CAC" w:rsidRDefault="002F1CAC" w:rsidP="00D35B2A">
      <w:pPr>
        <w:pStyle w:val="Heading2"/>
      </w:pPr>
      <w:r w:rsidRPr="00DB7579">
        <w:lastRenderedPageBreak/>
        <w:t>Annex 1: Progress against COVID-19 Response plan results indicators</w:t>
      </w:r>
    </w:p>
    <w:p w14:paraId="60F1549B" w14:textId="1118A1BC" w:rsidR="006C7C8B" w:rsidRPr="006C7C8B" w:rsidRDefault="00D63070" w:rsidP="00A41306">
      <w:pPr>
        <w:pStyle w:val="Heading3"/>
      </w:pPr>
      <w:r w:rsidRPr="006C7C8B">
        <w:t>Health Security</w:t>
      </w:r>
    </w:p>
    <w:tbl>
      <w:tblPr>
        <w:tblStyle w:val="TableGrid"/>
        <w:tblpPr w:leftFromText="180" w:rightFromText="180" w:vertAnchor="text" w:horzAnchor="margin" w:tblpY="274"/>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3823"/>
        <w:gridCol w:w="6713"/>
      </w:tblGrid>
      <w:tr w:rsidR="00A25225" w:rsidRPr="00DB7579" w14:paraId="4D5784DE" w14:textId="77777777" w:rsidTr="00A25225">
        <w:trPr>
          <w:tblHeader/>
        </w:trPr>
        <w:tc>
          <w:tcPr>
            <w:tcW w:w="3823" w:type="dxa"/>
            <w:shd w:val="clear" w:color="auto" w:fill="A2DCD1" w:themeFill="accent1" w:themeFillTint="99"/>
          </w:tcPr>
          <w:p w14:paraId="7B990F36" w14:textId="77777777" w:rsidR="00A25225" w:rsidRPr="00DB7579" w:rsidRDefault="00A25225" w:rsidP="006C7C8B">
            <w:pPr>
              <w:spacing w:before="0" w:after="0" w:line="240" w:lineRule="auto"/>
              <w:jc w:val="center"/>
              <w:rPr>
                <w:b/>
                <w:sz w:val="20"/>
                <w:szCs w:val="20"/>
              </w:rPr>
            </w:pPr>
            <w:r w:rsidRPr="00DB7579">
              <w:rPr>
                <w:b/>
                <w:sz w:val="20"/>
                <w:szCs w:val="20"/>
              </w:rPr>
              <w:t>Key Results Indicators</w:t>
            </w:r>
          </w:p>
        </w:tc>
        <w:tc>
          <w:tcPr>
            <w:tcW w:w="6713" w:type="dxa"/>
            <w:shd w:val="clear" w:color="auto" w:fill="A2DCD1" w:themeFill="accent1" w:themeFillTint="99"/>
          </w:tcPr>
          <w:p w14:paraId="39E97C6F" w14:textId="77777777" w:rsidR="00A25225" w:rsidRPr="00DB7579" w:rsidRDefault="00A25225" w:rsidP="006C7C8B">
            <w:pPr>
              <w:spacing w:before="0" w:after="0" w:line="240" w:lineRule="auto"/>
              <w:ind w:left="100"/>
              <w:jc w:val="center"/>
              <w:rPr>
                <w:sz w:val="20"/>
                <w:szCs w:val="20"/>
              </w:rPr>
            </w:pPr>
            <w:r w:rsidRPr="00DB7579">
              <w:rPr>
                <w:b/>
                <w:sz w:val="20"/>
                <w:szCs w:val="20"/>
              </w:rPr>
              <w:t>Progress/Result</w:t>
            </w:r>
          </w:p>
        </w:tc>
      </w:tr>
      <w:tr w:rsidR="00A25225" w:rsidRPr="00DB7579" w14:paraId="632E5AC0" w14:textId="77777777" w:rsidTr="00A25225">
        <w:trPr>
          <w:tblHeader/>
        </w:trPr>
        <w:tc>
          <w:tcPr>
            <w:tcW w:w="3823" w:type="dxa"/>
          </w:tcPr>
          <w:p w14:paraId="31910A9F" w14:textId="77777777" w:rsidR="00A25225" w:rsidRPr="008D0341" w:rsidRDefault="00A25225" w:rsidP="006C7C8B">
            <w:pPr>
              <w:spacing w:before="0" w:after="0" w:line="240" w:lineRule="auto"/>
              <w:rPr>
                <w:sz w:val="20"/>
                <w:szCs w:val="20"/>
              </w:rPr>
            </w:pPr>
            <w:r w:rsidRPr="008D0341">
              <w:rPr>
                <w:sz w:val="20"/>
                <w:szCs w:val="20"/>
              </w:rPr>
              <w:t>Evidence that partner countries in Southeast Asia have improved responses to health security threats</w:t>
            </w:r>
            <w:r w:rsidRPr="008D0341">
              <w:rPr>
                <w:sz w:val="20"/>
                <w:szCs w:val="20"/>
              </w:rPr>
              <w:tab/>
            </w:r>
          </w:p>
        </w:tc>
        <w:tc>
          <w:tcPr>
            <w:tcW w:w="6713" w:type="dxa"/>
          </w:tcPr>
          <w:p w14:paraId="245144AA" w14:textId="77777777" w:rsidR="00A25225" w:rsidRPr="008D0341" w:rsidRDefault="00A25225" w:rsidP="006C7C8B">
            <w:pPr>
              <w:spacing w:before="0" w:after="0" w:line="240" w:lineRule="auto"/>
              <w:rPr>
                <w:sz w:val="20"/>
                <w:szCs w:val="20"/>
              </w:rPr>
            </w:pPr>
            <w:r w:rsidRPr="008D0341">
              <w:rPr>
                <w:sz w:val="20"/>
                <w:szCs w:val="20"/>
              </w:rPr>
              <w:t xml:space="preserve">Under VAHSI, Australia’s funding has purchased over 1,900 cold-chain refrigerators for Vietnam and supported critical communications on national COVID-19 vaccination campaigns in Cambodia, Indonesia and Vietnam. </w:t>
            </w:r>
          </w:p>
          <w:p w14:paraId="5CC3EB7F" w14:textId="77777777" w:rsidR="00A25225" w:rsidRPr="008D0341" w:rsidRDefault="00A25225" w:rsidP="006C7C8B">
            <w:pPr>
              <w:spacing w:before="0" w:after="0" w:line="240" w:lineRule="auto"/>
              <w:rPr>
                <w:sz w:val="20"/>
                <w:szCs w:val="20"/>
              </w:rPr>
            </w:pPr>
            <w:r w:rsidRPr="008D0341">
              <w:rPr>
                <w:sz w:val="20"/>
                <w:szCs w:val="20"/>
              </w:rPr>
              <w:t>Australia’s contribution to COVAX AMC has supported the delivery of over 17 million vaccine doses to the region in 2020-21.</w:t>
            </w:r>
          </w:p>
        </w:tc>
      </w:tr>
      <w:tr w:rsidR="00A25225" w:rsidRPr="00DB7579" w14:paraId="143B9C45" w14:textId="77777777" w:rsidTr="00A25225">
        <w:trPr>
          <w:tblHeader/>
        </w:trPr>
        <w:tc>
          <w:tcPr>
            <w:tcW w:w="3823" w:type="dxa"/>
          </w:tcPr>
          <w:p w14:paraId="045C5C02" w14:textId="77777777" w:rsidR="00A25225" w:rsidRPr="008D0341" w:rsidRDefault="00A25225" w:rsidP="006C7C8B">
            <w:pPr>
              <w:spacing w:before="0" w:after="0" w:line="240" w:lineRule="auto"/>
              <w:rPr>
                <w:sz w:val="20"/>
                <w:szCs w:val="20"/>
              </w:rPr>
            </w:pPr>
            <w:r w:rsidRPr="008D0341">
              <w:rPr>
                <w:sz w:val="20"/>
                <w:szCs w:val="20"/>
              </w:rPr>
              <w:t>Coordinated surveillance systems in place in the animal health and public health sectors for zoonotic diseases / pathogens in countries in Southeast Asia</w:t>
            </w:r>
          </w:p>
        </w:tc>
        <w:tc>
          <w:tcPr>
            <w:tcW w:w="6713" w:type="dxa"/>
          </w:tcPr>
          <w:p w14:paraId="66426D8D" w14:textId="77777777" w:rsidR="00A25225" w:rsidRDefault="00A25225" w:rsidP="006C7C8B">
            <w:pPr>
              <w:spacing w:before="0" w:after="0" w:line="240" w:lineRule="auto"/>
              <w:rPr>
                <w:sz w:val="20"/>
                <w:szCs w:val="20"/>
              </w:rPr>
            </w:pPr>
            <w:r>
              <w:rPr>
                <w:sz w:val="20"/>
                <w:szCs w:val="20"/>
              </w:rPr>
              <w:t>C</w:t>
            </w:r>
            <w:r w:rsidRPr="008D0341">
              <w:rPr>
                <w:sz w:val="20"/>
                <w:szCs w:val="20"/>
              </w:rPr>
              <w:t>om</w:t>
            </w:r>
            <w:r>
              <w:rPr>
                <w:sz w:val="20"/>
                <w:szCs w:val="20"/>
              </w:rPr>
              <w:t xml:space="preserve">menced funding </w:t>
            </w:r>
            <w:r w:rsidRPr="008D0341">
              <w:rPr>
                <w:sz w:val="20"/>
                <w:szCs w:val="20"/>
              </w:rPr>
              <w:t>the Food and Agriculture Organisation Strengthening Mechanisms on Animal health for a Resilient ASEAN</w:t>
            </w:r>
            <w:r>
              <w:rPr>
                <w:sz w:val="20"/>
                <w:szCs w:val="20"/>
              </w:rPr>
              <w:t xml:space="preserve"> project </w:t>
            </w:r>
            <w:r w:rsidRPr="008D0341">
              <w:rPr>
                <w:sz w:val="20"/>
                <w:szCs w:val="20"/>
              </w:rPr>
              <w:t>to prevent, detect and respond to animal and zoonotic diseases with pandemic potential</w:t>
            </w:r>
            <w:r>
              <w:rPr>
                <w:sz w:val="20"/>
                <w:szCs w:val="20"/>
              </w:rPr>
              <w:t xml:space="preserve"> in ASEAN. </w:t>
            </w:r>
          </w:p>
          <w:p w14:paraId="1D71963D" w14:textId="77777777" w:rsidR="00A25225" w:rsidRPr="008D0341" w:rsidRDefault="00A25225" w:rsidP="006C7C8B">
            <w:pPr>
              <w:spacing w:before="0" w:after="0" w:line="240" w:lineRule="auto"/>
              <w:rPr>
                <w:sz w:val="20"/>
                <w:szCs w:val="20"/>
              </w:rPr>
            </w:pPr>
          </w:p>
          <w:p w14:paraId="299D57BC" w14:textId="77777777" w:rsidR="00A25225" w:rsidRPr="008D0341" w:rsidRDefault="00A25225" w:rsidP="006C7C8B">
            <w:pPr>
              <w:spacing w:before="0" w:after="0" w:line="240" w:lineRule="auto"/>
              <w:rPr>
                <w:sz w:val="20"/>
                <w:szCs w:val="20"/>
              </w:rPr>
            </w:pPr>
            <w:r>
              <w:rPr>
                <w:sz w:val="20"/>
                <w:szCs w:val="20"/>
              </w:rPr>
              <w:t>Continued support under the</w:t>
            </w:r>
            <w:r w:rsidRPr="008D0341">
              <w:rPr>
                <w:sz w:val="20"/>
                <w:szCs w:val="20"/>
              </w:rPr>
              <w:t xml:space="preserve"> Australia</w:t>
            </w:r>
            <w:r>
              <w:rPr>
                <w:sz w:val="20"/>
                <w:szCs w:val="20"/>
              </w:rPr>
              <w:t>-</w:t>
            </w:r>
            <w:r w:rsidRPr="008D0341">
              <w:rPr>
                <w:sz w:val="20"/>
                <w:szCs w:val="20"/>
              </w:rPr>
              <w:t>OIE One Health Partnership</w:t>
            </w:r>
            <w:r>
              <w:rPr>
                <w:sz w:val="20"/>
                <w:szCs w:val="20"/>
              </w:rPr>
              <w:t xml:space="preserve"> to </w:t>
            </w:r>
            <w:r w:rsidRPr="008D0341">
              <w:rPr>
                <w:sz w:val="20"/>
                <w:szCs w:val="20"/>
              </w:rPr>
              <w:t>improv</w:t>
            </w:r>
            <w:r>
              <w:rPr>
                <w:sz w:val="20"/>
                <w:szCs w:val="20"/>
              </w:rPr>
              <w:t>e</w:t>
            </w:r>
            <w:r w:rsidRPr="008D0341">
              <w:rPr>
                <w:sz w:val="20"/>
                <w:szCs w:val="20"/>
              </w:rPr>
              <w:t xml:space="preserve"> reporting to Global Animal Health Information Systems through online user training for the new OIE WAHIS platform. </w:t>
            </w:r>
            <w:r>
              <w:rPr>
                <w:sz w:val="20"/>
                <w:szCs w:val="20"/>
              </w:rPr>
              <w:t xml:space="preserve">By </w:t>
            </w:r>
            <w:r w:rsidRPr="008D0341">
              <w:rPr>
                <w:sz w:val="20"/>
                <w:szCs w:val="20"/>
              </w:rPr>
              <w:t>July 2020</w:t>
            </w:r>
            <w:r>
              <w:rPr>
                <w:sz w:val="20"/>
                <w:szCs w:val="20"/>
              </w:rPr>
              <w:t>, this</w:t>
            </w:r>
            <w:r w:rsidRPr="008D0341">
              <w:rPr>
                <w:sz w:val="20"/>
                <w:szCs w:val="20"/>
              </w:rPr>
              <w:t xml:space="preserve"> platform had 30 participants</w:t>
            </w:r>
            <w:r>
              <w:rPr>
                <w:sz w:val="20"/>
                <w:szCs w:val="20"/>
              </w:rPr>
              <w:t xml:space="preserve"> across ASEAN</w:t>
            </w:r>
            <w:r w:rsidRPr="008D0341">
              <w:rPr>
                <w:sz w:val="20"/>
                <w:szCs w:val="20"/>
              </w:rPr>
              <w:t>.</w:t>
            </w:r>
          </w:p>
        </w:tc>
      </w:tr>
      <w:tr w:rsidR="00A25225" w:rsidRPr="00DB7579" w14:paraId="71E14249" w14:textId="77777777" w:rsidTr="00A25225">
        <w:trPr>
          <w:tblHeader/>
        </w:trPr>
        <w:tc>
          <w:tcPr>
            <w:tcW w:w="3823" w:type="dxa"/>
          </w:tcPr>
          <w:p w14:paraId="4DE6B5CB" w14:textId="77777777" w:rsidR="00A25225" w:rsidRPr="008D0341" w:rsidRDefault="00A25225" w:rsidP="006C7C8B">
            <w:pPr>
              <w:spacing w:before="0" w:after="0" w:line="240" w:lineRule="auto"/>
              <w:rPr>
                <w:sz w:val="20"/>
                <w:szCs w:val="20"/>
              </w:rPr>
            </w:pPr>
            <w:r w:rsidRPr="008D0341">
              <w:rPr>
                <w:sz w:val="20"/>
                <w:szCs w:val="20"/>
              </w:rPr>
              <w:t>Evidence of strengthened health systems in Southeast Asia, including for health emergency preparedness, resulting from Australian support to partner countries</w:t>
            </w:r>
          </w:p>
        </w:tc>
        <w:tc>
          <w:tcPr>
            <w:tcW w:w="6713" w:type="dxa"/>
          </w:tcPr>
          <w:p w14:paraId="26D90577" w14:textId="5534D2C6" w:rsidR="00A25225" w:rsidRPr="008D0341" w:rsidRDefault="00A25225" w:rsidP="006C7C8B">
            <w:pPr>
              <w:spacing w:before="0" w:after="0" w:line="240" w:lineRule="auto"/>
              <w:rPr>
                <w:sz w:val="20"/>
                <w:szCs w:val="20"/>
              </w:rPr>
            </w:pPr>
            <w:r>
              <w:rPr>
                <w:sz w:val="20"/>
                <w:szCs w:val="20"/>
              </w:rPr>
              <w:t>Supported</w:t>
            </w:r>
            <w:r w:rsidRPr="008D0341">
              <w:rPr>
                <w:sz w:val="20"/>
                <w:szCs w:val="20"/>
              </w:rPr>
              <w:t xml:space="preserve"> the ASEAN COVID</w:t>
            </w:r>
            <w:r w:rsidRPr="008D0341">
              <w:rPr>
                <w:rFonts w:ascii="Cambria Math" w:hAnsi="Cambria Math"/>
                <w:sz w:val="20"/>
                <w:szCs w:val="20"/>
              </w:rPr>
              <w:noBreakHyphen/>
            </w:r>
            <w:r w:rsidRPr="008D0341">
              <w:rPr>
                <w:sz w:val="20"/>
                <w:szCs w:val="20"/>
              </w:rPr>
              <w:t>19 Response Fund,</w:t>
            </w:r>
            <w:r>
              <w:rPr>
                <w:sz w:val="20"/>
                <w:szCs w:val="20"/>
              </w:rPr>
              <w:t xml:space="preserve"> </w:t>
            </w:r>
            <w:r w:rsidRPr="008D0341">
              <w:rPr>
                <w:sz w:val="20"/>
                <w:szCs w:val="20"/>
              </w:rPr>
              <w:t xml:space="preserve">a mechanism for ASEAN member states to purchase vaccines in partnership with </w:t>
            </w:r>
            <w:r w:rsidR="00DE74D1" w:rsidRPr="00DE74D1">
              <w:rPr>
                <w:sz w:val="20"/>
                <w:szCs w:val="20"/>
              </w:rPr>
              <w:t>United Nations Children's Fund</w:t>
            </w:r>
            <w:r w:rsidRPr="008D0341">
              <w:rPr>
                <w:sz w:val="20"/>
                <w:szCs w:val="20"/>
              </w:rPr>
              <w:t>.</w:t>
            </w:r>
          </w:p>
          <w:p w14:paraId="6EB35C1A" w14:textId="77777777" w:rsidR="00A25225" w:rsidRPr="008D0341" w:rsidRDefault="00A25225" w:rsidP="006C7C8B">
            <w:pPr>
              <w:spacing w:before="0" w:after="0" w:line="240" w:lineRule="auto"/>
              <w:rPr>
                <w:sz w:val="20"/>
                <w:szCs w:val="20"/>
              </w:rPr>
            </w:pPr>
            <w:r>
              <w:rPr>
                <w:sz w:val="20"/>
                <w:szCs w:val="20"/>
              </w:rPr>
              <w:t>On-going support to the</w:t>
            </w:r>
            <w:r w:rsidRPr="008D0341">
              <w:rPr>
                <w:sz w:val="20"/>
                <w:szCs w:val="20"/>
              </w:rPr>
              <w:t xml:space="preserve"> Public Health Emergency Operating Centres project </w:t>
            </w:r>
            <w:r>
              <w:rPr>
                <w:sz w:val="20"/>
                <w:szCs w:val="20"/>
              </w:rPr>
              <w:t xml:space="preserve">to </w:t>
            </w:r>
            <w:r w:rsidRPr="008D0341">
              <w:rPr>
                <w:sz w:val="20"/>
                <w:szCs w:val="20"/>
              </w:rPr>
              <w:t>build capacity for the 1</w:t>
            </w:r>
            <w:r>
              <w:rPr>
                <w:sz w:val="20"/>
                <w:szCs w:val="20"/>
              </w:rPr>
              <w:t>,</w:t>
            </w:r>
            <w:r w:rsidRPr="008D0341">
              <w:rPr>
                <w:sz w:val="20"/>
                <w:szCs w:val="20"/>
              </w:rPr>
              <w:t>300 participants and strengthens facilities through improving infrastructure and equipment</w:t>
            </w:r>
            <w:r>
              <w:rPr>
                <w:sz w:val="20"/>
                <w:szCs w:val="20"/>
              </w:rPr>
              <w:t xml:space="preserve"> in</w:t>
            </w:r>
            <w:r w:rsidRPr="00D43741">
              <w:rPr>
                <w:sz w:val="20"/>
                <w:szCs w:val="20"/>
              </w:rPr>
              <w:t xml:space="preserve"> Laos, Cambodia and Myanmar.</w:t>
            </w:r>
            <w:r>
              <w:rPr>
                <w:sz w:val="20"/>
                <w:szCs w:val="20"/>
              </w:rPr>
              <w:t xml:space="preserve"> This</w:t>
            </w:r>
            <w:r w:rsidRPr="008D0341">
              <w:rPr>
                <w:sz w:val="20"/>
                <w:szCs w:val="20"/>
              </w:rPr>
              <w:t xml:space="preserve"> enhance</w:t>
            </w:r>
            <w:r>
              <w:rPr>
                <w:sz w:val="20"/>
                <w:szCs w:val="20"/>
              </w:rPr>
              <w:t>s</w:t>
            </w:r>
            <w:r w:rsidRPr="008D0341">
              <w:rPr>
                <w:sz w:val="20"/>
                <w:szCs w:val="20"/>
              </w:rPr>
              <w:t xml:space="preserve"> disease surveillance capacities and suppor</w:t>
            </w:r>
            <w:r>
              <w:rPr>
                <w:sz w:val="20"/>
                <w:szCs w:val="20"/>
              </w:rPr>
              <w:t>ts</w:t>
            </w:r>
            <w:r w:rsidRPr="008D0341">
              <w:rPr>
                <w:sz w:val="20"/>
                <w:szCs w:val="20"/>
              </w:rPr>
              <w:t xml:space="preserve"> COVID-19 preparedness and response</w:t>
            </w:r>
            <w:r>
              <w:rPr>
                <w:sz w:val="20"/>
                <w:szCs w:val="20"/>
              </w:rPr>
              <w:t xml:space="preserve">. </w:t>
            </w:r>
          </w:p>
        </w:tc>
      </w:tr>
      <w:tr w:rsidR="00A25225" w:rsidRPr="00DB7579" w14:paraId="63A2FDED" w14:textId="77777777" w:rsidTr="00A25225">
        <w:trPr>
          <w:tblHeader/>
        </w:trPr>
        <w:tc>
          <w:tcPr>
            <w:tcW w:w="3823" w:type="dxa"/>
          </w:tcPr>
          <w:p w14:paraId="69B8D9A3" w14:textId="77777777" w:rsidR="00A25225" w:rsidRPr="008D0341" w:rsidRDefault="00A25225" w:rsidP="006C7C8B">
            <w:pPr>
              <w:spacing w:before="0" w:after="0" w:line="240" w:lineRule="auto"/>
              <w:rPr>
                <w:sz w:val="20"/>
                <w:szCs w:val="20"/>
              </w:rPr>
            </w:pPr>
            <w:r w:rsidRPr="008D0341">
              <w:rPr>
                <w:sz w:val="20"/>
                <w:szCs w:val="20"/>
              </w:rPr>
              <w:t>Examples of Australia’s support for ASEAN-led efforts to strengthen regional architecture for responding to public health emergencies</w:t>
            </w:r>
          </w:p>
        </w:tc>
        <w:tc>
          <w:tcPr>
            <w:tcW w:w="6713" w:type="dxa"/>
          </w:tcPr>
          <w:p w14:paraId="73822A70" w14:textId="77777777" w:rsidR="00A25225" w:rsidRPr="008D0341" w:rsidRDefault="00A25225" w:rsidP="006C7C8B">
            <w:pPr>
              <w:spacing w:before="0" w:after="0" w:line="240" w:lineRule="auto"/>
              <w:rPr>
                <w:sz w:val="20"/>
                <w:szCs w:val="20"/>
              </w:rPr>
            </w:pPr>
            <w:r>
              <w:rPr>
                <w:sz w:val="20"/>
                <w:szCs w:val="20"/>
              </w:rPr>
              <w:t>S</w:t>
            </w:r>
            <w:r w:rsidRPr="008D0341">
              <w:rPr>
                <w:sz w:val="20"/>
                <w:szCs w:val="20"/>
              </w:rPr>
              <w:t>upport</w:t>
            </w:r>
            <w:r>
              <w:rPr>
                <w:sz w:val="20"/>
                <w:szCs w:val="20"/>
              </w:rPr>
              <w:t>ed, in partnership with Japan, the</w:t>
            </w:r>
            <w:r w:rsidRPr="008D0341">
              <w:rPr>
                <w:sz w:val="20"/>
                <w:szCs w:val="20"/>
              </w:rPr>
              <w:t xml:space="preserve"> establishment of the ASEAN Centre for Public Health Emergencies and Emerging Diseases</w:t>
            </w:r>
            <w:r>
              <w:rPr>
                <w:sz w:val="20"/>
                <w:szCs w:val="20"/>
              </w:rPr>
              <w:t>. The Centre will</w:t>
            </w:r>
            <w:r w:rsidRPr="008D0341">
              <w:rPr>
                <w:sz w:val="20"/>
                <w:szCs w:val="20"/>
              </w:rPr>
              <w:t xml:space="preserve"> enhance regional capacity to prepare and respond to pandemics. </w:t>
            </w:r>
          </w:p>
        </w:tc>
      </w:tr>
      <w:tr w:rsidR="00A25225" w:rsidRPr="00DB7579" w14:paraId="74C532E7" w14:textId="77777777" w:rsidTr="00A25225">
        <w:trPr>
          <w:tblHeader/>
        </w:trPr>
        <w:tc>
          <w:tcPr>
            <w:tcW w:w="3823" w:type="dxa"/>
          </w:tcPr>
          <w:p w14:paraId="7EF45505" w14:textId="77777777" w:rsidR="00A25225" w:rsidRPr="008D0341" w:rsidRDefault="00A25225" w:rsidP="006C7C8B">
            <w:pPr>
              <w:spacing w:before="0" w:after="0" w:line="240" w:lineRule="auto"/>
              <w:rPr>
                <w:sz w:val="20"/>
                <w:szCs w:val="20"/>
              </w:rPr>
            </w:pPr>
            <w:r w:rsidRPr="008D0341">
              <w:rPr>
                <w:sz w:val="20"/>
                <w:szCs w:val="20"/>
              </w:rPr>
              <w:t>Contraceptive protection from unplanned pregnancies made available through Australian support in Cambodia, Myanmar and Vietnam (target 62,000 in Apr 2020-Mar 2021)</w:t>
            </w:r>
          </w:p>
        </w:tc>
        <w:tc>
          <w:tcPr>
            <w:tcW w:w="6713" w:type="dxa"/>
          </w:tcPr>
          <w:p w14:paraId="7E6E9E8B" w14:textId="6686EBF1" w:rsidR="00A25225" w:rsidRPr="008D0341" w:rsidRDefault="00A25225" w:rsidP="006C7C8B">
            <w:pPr>
              <w:spacing w:before="0" w:after="0" w:line="240" w:lineRule="auto"/>
              <w:rPr>
                <w:sz w:val="20"/>
                <w:szCs w:val="20"/>
              </w:rPr>
            </w:pPr>
            <w:r>
              <w:rPr>
                <w:sz w:val="20"/>
                <w:szCs w:val="20"/>
              </w:rPr>
              <w:t>T</w:t>
            </w:r>
            <w:r w:rsidRPr="008D0341">
              <w:rPr>
                <w:sz w:val="20"/>
                <w:szCs w:val="20"/>
              </w:rPr>
              <w:t>he Empower Program provided protection to 61,731 participants</w:t>
            </w:r>
            <w:r>
              <w:rPr>
                <w:sz w:val="20"/>
                <w:szCs w:val="20"/>
              </w:rPr>
              <w:t>.</w:t>
            </w:r>
          </w:p>
        </w:tc>
      </w:tr>
    </w:tbl>
    <w:p w14:paraId="5696B3DC" w14:textId="77777777" w:rsidR="00D63070" w:rsidRPr="006C7C8B" w:rsidRDefault="00D63070" w:rsidP="006C7C8B">
      <w:pPr>
        <w:pStyle w:val="Heading3"/>
      </w:pPr>
      <w:r w:rsidRPr="006C7C8B">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3823"/>
        <w:gridCol w:w="6713"/>
      </w:tblGrid>
      <w:tr w:rsidR="00D63070" w:rsidRPr="00DB7579" w14:paraId="08CC0B14" w14:textId="77777777" w:rsidTr="00327D44">
        <w:trPr>
          <w:tblHeader/>
        </w:trPr>
        <w:tc>
          <w:tcPr>
            <w:tcW w:w="3823" w:type="dxa"/>
            <w:shd w:val="clear" w:color="auto" w:fill="A2DCD1" w:themeFill="accent1" w:themeFillTint="99"/>
            <w:vAlign w:val="bottom"/>
          </w:tcPr>
          <w:p w14:paraId="6E7EDCCE" w14:textId="77777777" w:rsidR="00D63070" w:rsidRPr="00DB7579" w:rsidRDefault="00D63070" w:rsidP="00327D44">
            <w:pPr>
              <w:widowControl w:val="0"/>
              <w:spacing w:before="0" w:after="0" w:line="240" w:lineRule="auto"/>
              <w:jc w:val="center"/>
              <w:rPr>
                <w:sz w:val="20"/>
                <w:szCs w:val="20"/>
              </w:rPr>
            </w:pPr>
            <w:r w:rsidRPr="00DB7579">
              <w:rPr>
                <w:b/>
                <w:sz w:val="20"/>
                <w:szCs w:val="20"/>
              </w:rPr>
              <w:t>Key Results Indicators</w:t>
            </w:r>
          </w:p>
        </w:tc>
        <w:tc>
          <w:tcPr>
            <w:tcW w:w="6713" w:type="dxa"/>
            <w:shd w:val="clear" w:color="auto" w:fill="A2DCD1" w:themeFill="accent1" w:themeFillTint="99"/>
            <w:vAlign w:val="bottom"/>
          </w:tcPr>
          <w:p w14:paraId="13E9BB88" w14:textId="77777777" w:rsidR="00D63070" w:rsidRPr="00DB7579" w:rsidRDefault="00D63070" w:rsidP="00327D44">
            <w:pPr>
              <w:widowControl w:val="0"/>
              <w:spacing w:before="0" w:after="0" w:line="240" w:lineRule="auto"/>
              <w:jc w:val="center"/>
              <w:rPr>
                <w:sz w:val="20"/>
                <w:szCs w:val="20"/>
              </w:rPr>
            </w:pPr>
            <w:r w:rsidRPr="00DB7579">
              <w:rPr>
                <w:b/>
                <w:sz w:val="20"/>
                <w:szCs w:val="20"/>
              </w:rPr>
              <w:t>Progress/Result</w:t>
            </w:r>
          </w:p>
        </w:tc>
      </w:tr>
      <w:tr w:rsidR="00D63070" w:rsidRPr="00DB7579" w14:paraId="6D15F27A" w14:textId="77777777" w:rsidTr="00327D44">
        <w:trPr>
          <w:tblHeader/>
        </w:trPr>
        <w:tc>
          <w:tcPr>
            <w:tcW w:w="3823" w:type="dxa"/>
          </w:tcPr>
          <w:p w14:paraId="16D1BA5C" w14:textId="77777777" w:rsidR="00D63070" w:rsidRPr="008D0341" w:rsidRDefault="00D63070" w:rsidP="00327D44">
            <w:pPr>
              <w:spacing w:before="0" w:after="0"/>
              <w:rPr>
                <w:sz w:val="20"/>
                <w:szCs w:val="20"/>
              </w:rPr>
            </w:pPr>
            <w:r w:rsidRPr="008D0341">
              <w:rPr>
                <w:sz w:val="20"/>
                <w:szCs w:val="20"/>
              </w:rPr>
              <w:t>Evidence of technical and policy support for ASEAN-led processes in priority political security areas (maritime security, cybersecurity, women, peace and security and transnational crime)</w:t>
            </w:r>
          </w:p>
        </w:tc>
        <w:tc>
          <w:tcPr>
            <w:tcW w:w="6713" w:type="dxa"/>
          </w:tcPr>
          <w:p w14:paraId="06E728D4" w14:textId="2E215735" w:rsidR="00D63070" w:rsidRPr="008D0341" w:rsidRDefault="0089160E" w:rsidP="00327D44">
            <w:pPr>
              <w:spacing w:before="0" w:after="0"/>
              <w:rPr>
                <w:sz w:val="20"/>
                <w:szCs w:val="20"/>
              </w:rPr>
            </w:pPr>
            <w:r>
              <w:rPr>
                <w:sz w:val="20"/>
                <w:szCs w:val="20"/>
              </w:rPr>
              <w:t xml:space="preserve">Partnered with </w:t>
            </w:r>
            <w:r w:rsidR="00D63070" w:rsidRPr="008D0341">
              <w:rPr>
                <w:sz w:val="20"/>
                <w:szCs w:val="20"/>
              </w:rPr>
              <w:t xml:space="preserve">Singapore to </w:t>
            </w:r>
            <w:r w:rsidR="00506014">
              <w:rPr>
                <w:sz w:val="20"/>
                <w:szCs w:val="20"/>
              </w:rPr>
              <w:t>stage</w:t>
            </w:r>
            <w:r w:rsidR="00506014" w:rsidRPr="008D0341">
              <w:rPr>
                <w:sz w:val="20"/>
                <w:szCs w:val="20"/>
              </w:rPr>
              <w:t xml:space="preserve"> </w:t>
            </w:r>
            <w:r w:rsidR="00D63070" w:rsidRPr="008D0341">
              <w:rPr>
                <w:sz w:val="20"/>
                <w:szCs w:val="20"/>
              </w:rPr>
              <w:t xml:space="preserve">the East Asia Summit Workshop – Regional Cyber Capacity Building: Seizing the Fourth Industrial Revolution </w:t>
            </w:r>
            <w:r w:rsidR="00506014">
              <w:rPr>
                <w:sz w:val="20"/>
                <w:szCs w:val="20"/>
              </w:rPr>
              <w:t>(</w:t>
            </w:r>
            <w:r w:rsidR="00D63070" w:rsidRPr="008D0341">
              <w:rPr>
                <w:sz w:val="20"/>
                <w:szCs w:val="20"/>
              </w:rPr>
              <w:t>September 2020</w:t>
            </w:r>
            <w:r w:rsidR="00506014">
              <w:rPr>
                <w:sz w:val="20"/>
                <w:szCs w:val="20"/>
              </w:rPr>
              <w:t>)</w:t>
            </w:r>
            <w:r w:rsidR="00D63070" w:rsidRPr="008D0341">
              <w:rPr>
                <w:sz w:val="20"/>
                <w:szCs w:val="20"/>
              </w:rPr>
              <w:t>. A</w:t>
            </w:r>
            <w:r w:rsidR="00506014">
              <w:rPr>
                <w:sz w:val="20"/>
                <w:szCs w:val="20"/>
              </w:rPr>
              <w:t>l</w:t>
            </w:r>
            <w:r w:rsidR="00D63070" w:rsidRPr="008D0341">
              <w:rPr>
                <w:sz w:val="20"/>
                <w:szCs w:val="20"/>
              </w:rPr>
              <w:t>so support</w:t>
            </w:r>
            <w:r w:rsidR="00506014">
              <w:rPr>
                <w:sz w:val="20"/>
                <w:szCs w:val="20"/>
              </w:rPr>
              <w:t>ed</w:t>
            </w:r>
            <w:r w:rsidR="00D63070" w:rsidRPr="008D0341">
              <w:rPr>
                <w:sz w:val="20"/>
                <w:szCs w:val="20"/>
              </w:rPr>
              <w:t xml:space="preserve"> technical analysis </w:t>
            </w:r>
            <w:r w:rsidR="00506014">
              <w:rPr>
                <w:sz w:val="20"/>
                <w:szCs w:val="20"/>
              </w:rPr>
              <w:t>of</w:t>
            </w:r>
            <w:r w:rsidR="00506014" w:rsidRPr="008D0341">
              <w:rPr>
                <w:sz w:val="20"/>
                <w:szCs w:val="20"/>
              </w:rPr>
              <w:t xml:space="preserve"> </w:t>
            </w:r>
            <w:r w:rsidR="00D63070" w:rsidRPr="008D0341">
              <w:rPr>
                <w:sz w:val="20"/>
                <w:szCs w:val="20"/>
              </w:rPr>
              <w:t xml:space="preserve">opportunities for </w:t>
            </w:r>
            <w:r w:rsidR="00506014">
              <w:rPr>
                <w:sz w:val="20"/>
                <w:szCs w:val="20"/>
              </w:rPr>
              <w:t xml:space="preserve">the </w:t>
            </w:r>
            <w:r w:rsidR="00D63070" w:rsidRPr="008D0341">
              <w:rPr>
                <w:sz w:val="20"/>
                <w:szCs w:val="20"/>
              </w:rPr>
              <w:t xml:space="preserve">integration of Women, Peace and Security principles into ASEAN’s COVID-19 recovery. </w:t>
            </w:r>
          </w:p>
        </w:tc>
      </w:tr>
      <w:tr w:rsidR="00D63070" w:rsidRPr="00DB7579" w14:paraId="0F1BF818" w14:textId="77777777" w:rsidTr="00327D44">
        <w:trPr>
          <w:tblHeader/>
        </w:trPr>
        <w:tc>
          <w:tcPr>
            <w:tcW w:w="3823" w:type="dxa"/>
          </w:tcPr>
          <w:p w14:paraId="7E042BA0" w14:textId="118947B1" w:rsidR="00D63070" w:rsidRPr="008D0341" w:rsidRDefault="00D63070" w:rsidP="00327D44">
            <w:pPr>
              <w:spacing w:before="0" w:after="0"/>
              <w:rPr>
                <w:sz w:val="20"/>
                <w:szCs w:val="20"/>
              </w:rPr>
            </w:pPr>
            <w:r w:rsidRPr="008D0341">
              <w:rPr>
                <w:sz w:val="20"/>
                <w:szCs w:val="20"/>
              </w:rPr>
              <w:t xml:space="preserve">Number of </w:t>
            </w:r>
            <w:r w:rsidR="00DE74D1">
              <w:rPr>
                <w:sz w:val="20"/>
                <w:szCs w:val="20"/>
              </w:rPr>
              <w:t>men</w:t>
            </w:r>
            <w:r w:rsidRPr="008D0341">
              <w:rPr>
                <w:sz w:val="20"/>
                <w:szCs w:val="20"/>
              </w:rPr>
              <w:t xml:space="preserve"> and </w:t>
            </w:r>
            <w:r w:rsidR="00DE74D1">
              <w:rPr>
                <w:sz w:val="20"/>
                <w:szCs w:val="20"/>
              </w:rPr>
              <w:t>woman</w:t>
            </w:r>
            <w:r w:rsidRPr="008D0341">
              <w:rPr>
                <w:sz w:val="20"/>
                <w:szCs w:val="20"/>
              </w:rPr>
              <w:t xml:space="preserve"> police and law and justice officials trained (pending targets)</w:t>
            </w:r>
          </w:p>
        </w:tc>
        <w:tc>
          <w:tcPr>
            <w:tcW w:w="6713" w:type="dxa"/>
          </w:tcPr>
          <w:p w14:paraId="010A9C54" w14:textId="0F17BA64" w:rsidR="00D63070" w:rsidRPr="008D0341" w:rsidRDefault="00506014" w:rsidP="00327D44">
            <w:pPr>
              <w:spacing w:before="0" w:after="0"/>
              <w:rPr>
                <w:sz w:val="20"/>
                <w:szCs w:val="20"/>
              </w:rPr>
            </w:pPr>
            <w:r>
              <w:rPr>
                <w:sz w:val="20"/>
                <w:szCs w:val="20"/>
              </w:rPr>
              <w:t>Through</w:t>
            </w:r>
            <w:r w:rsidRPr="008D0341">
              <w:rPr>
                <w:sz w:val="20"/>
                <w:szCs w:val="20"/>
              </w:rPr>
              <w:t xml:space="preserve"> </w:t>
            </w:r>
            <w:r w:rsidR="00D63070" w:rsidRPr="008D0341">
              <w:rPr>
                <w:sz w:val="20"/>
                <w:szCs w:val="20"/>
              </w:rPr>
              <w:t>ASEAN-Australia Counter Trafficking Program (ASEAN</w:t>
            </w:r>
            <w:r>
              <w:rPr>
                <w:sz w:val="20"/>
                <w:szCs w:val="20"/>
              </w:rPr>
              <w:t>-</w:t>
            </w:r>
            <w:r w:rsidR="00D63070" w:rsidRPr="008D0341">
              <w:rPr>
                <w:sz w:val="20"/>
                <w:szCs w:val="20"/>
              </w:rPr>
              <w:t xml:space="preserve">ACT) trained </w:t>
            </w:r>
            <w:r w:rsidR="0089160E">
              <w:rPr>
                <w:sz w:val="20"/>
                <w:szCs w:val="20"/>
              </w:rPr>
              <w:t>2,037</w:t>
            </w:r>
            <w:r w:rsidR="00D63070" w:rsidRPr="008D0341">
              <w:rPr>
                <w:sz w:val="20"/>
                <w:szCs w:val="20"/>
              </w:rPr>
              <w:t xml:space="preserve"> law and justice officials</w:t>
            </w:r>
            <w:r w:rsidR="0089160E">
              <w:rPr>
                <w:sz w:val="20"/>
                <w:szCs w:val="20"/>
              </w:rPr>
              <w:t xml:space="preserve"> (37</w:t>
            </w:r>
            <w:r w:rsidR="00DE74D1">
              <w:rPr>
                <w:sz w:val="20"/>
                <w:szCs w:val="20"/>
              </w:rPr>
              <w:t xml:space="preserve"> per cent</w:t>
            </w:r>
            <w:r w:rsidR="0089160E">
              <w:rPr>
                <w:sz w:val="20"/>
                <w:szCs w:val="20"/>
              </w:rPr>
              <w:t xml:space="preserve"> men, 62</w:t>
            </w:r>
            <w:r w:rsidR="00DE74D1">
              <w:rPr>
                <w:sz w:val="20"/>
                <w:szCs w:val="20"/>
              </w:rPr>
              <w:t xml:space="preserve"> per cent</w:t>
            </w:r>
            <w:r w:rsidR="0089160E">
              <w:rPr>
                <w:sz w:val="20"/>
                <w:szCs w:val="20"/>
              </w:rPr>
              <w:t xml:space="preserve"> women, 0.2</w:t>
            </w:r>
            <w:r w:rsidR="00DE74D1">
              <w:rPr>
                <w:sz w:val="20"/>
                <w:szCs w:val="20"/>
              </w:rPr>
              <w:t xml:space="preserve"> per cent</w:t>
            </w:r>
            <w:r w:rsidR="0089160E">
              <w:rPr>
                <w:sz w:val="20"/>
                <w:szCs w:val="20"/>
              </w:rPr>
              <w:t xml:space="preserve"> other).</w:t>
            </w:r>
            <w:r w:rsidR="00D63070" w:rsidRPr="008D0341">
              <w:rPr>
                <w:sz w:val="20"/>
                <w:szCs w:val="20"/>
              </w:rPr>
              <w:t xml:space="preserve"> </w:t>
            </w:r>
          </w:p>
        </w:tc>
      </w:tr>
      <w:tr w:rsidR="00D63070" w:rsidRPr="00DB7579" w14:paraId="1DB2D18D" w14:textId="77777777" w:rsidTr="008D0341">
        <w:trPr>
          <w:trHeight w:val="2528"/>
          <w:tblHeader/>
        </w:trPr>
        <w:tc>
          <w:tcPr>
            <w:tcW w:w="3823" w:type="dxa"/>
          </w:tcPr>
          <w:p w14:paraId="3F095F53" w14:textId="77777777" w:rsidR="00D63070" w:rsidRPr="008D0341" w:rsidRDefault="00D63070" w:rsidP="00327D44">
            <w:pPr>
              <w:pStyle w:val="Bullet1"/>
              <w:numPr>
                <w:ilvl w:val="0"/>
                <w:numId w:val="0"/>
              </w:numPr>
              <w:rPr>
                <w:sz w:val="20"/>
                <w:szCs w:val="20"/>
              </w:rPr>
            </w:pPr>
            <w:r w:rsidRPr="008D0341">
              <w:rPr>
                <w:sz w:val="20"/>
                <w:szCs w:val="20"/>
              </w:rPr>
              <w:t>High quality, transnational crime and border security analysis produced to inform policy frameworks and operational strategies</w:t>
            </w:r>
          </w:p>
        </w:tc>
        <w:tc>
          <w:tcPr>
            <w:tcW w:w="6713" w:type="dxa"/>
          </w:tcPr>
          <w:p w14:paraId="0FD9C1B7" w14:textId="10D20ACF" w:rsidR="00506014" w:rsidRDefault="00506014" w:rsidP="00327D44">
            <w:pPr>
              <w:pStyle w:val="Bullet1"/>
              <w:numPr>
                <w:ilvl w:val="0"/>
                <w:numId w:val="0"/>
              </w:numPr>
              <w:rPr>
                <w:sz w:val="20"/>
                <w:szCs w:val="20"/>
              </w:rPr>
            </w:pPr>
            <w:r>
              <w:rPr>
                <w:sz w:val="20"/>
                <w:szCs w:val="20"/>
              </w:rPr>
              <w:t xml:space="preserve">Through </w:t>
            </w:r>
            <w:r w:rsidR="00D63070" w:rsidRPr="00B203D7">
              <w:rPr>
                <w:sz w:val="20"/>
                <w:szCs w:val="20"/>
              </w:rPr>
              <w:t>ASEA</w:t>
            </w:r>
            <w:r w:rsidR="00D63070" w:rsidRPr="0089160E">
              <w:rPr>
                <w:sz w:val="20"/>
                <w:szCs w:val="20"/>
              </w:rPr>
              <w:t>N</w:t>
            </w:r>
            <w:r w:rsidR="00B141C5" w:rsidRPr="00B203D7">
              <w:rPr>
                <w:sz w:val="20"/>
                <w:szCs w:val="20"/>
              </w:rPr>
              <w:t>-</w:t>
            </w:r>
            <w:r w:rsidR="00D63070" w:rsidRPr="008D0341">
              <w:rPr>
                <w:sz w:val="20"/>
                <w:szCs w:val="20"/>
              </w:rPr>
              <w:t>ACT</w:t>
            </w:r>
            <w:r>
              <w:rPr>
                <w:sz w:val="20"/>
                <w:szCs w:val="20"/>
              </w:rPr>
              <w:t xml:space="preserve">, </w:t>
            </w:r>
            <w:r w:rsidR="00D63070" w:rsidRPr="008D0341">
              <w:rPr>
                <w:sz w:val="20"/>
                <w:szCs w:val="20"/>
              </w:rPr>
              <w:t xml:space="preserve">built </w:t>
            </w:r>
            <w:r w:rsidRPr="00D43741">
              <w:rPr>
                <w:sz w:val="20"/>
                <w:szCs w:val="20"/>
              </w:rPr>
              <w:t>counter</w:t>
            </w:r>
            <w:r>
              <w:rPr>
                <w:sz w:val="20"/>
                <w:szCs w:val="20"/>
              </w:rPr>
              <w:t xml:space="preserve">-people </w:t>
            </w:r>
            <w:r w:rsidRPr="00D43741">
              <w:rPr>
                <w:sz w:val="20"/>
                <w:szCs w:val="20"/>
              </w:rPr>
              <w:t xml:space="preserve">trafficking </w:t>
            </w:r>
            <w:r w:rsidR="00D63070" w:rsidRPr="008D0341">
              <w:rPr>
                <w:sz w:val="20"/>
                <w:szCs w:val="20"/>
              </w:rPr>
              <w:t>capacit</w:t>
            </w:r>
            <w:r>
              <w:rPr>
                <w:sz w:val="20"/>
                <w:szCs w:val="20"/>
              </w:rPr>
              <w:t>ies</w:t>
            </w:r>
            <w:r w:rsidR="00D63070" w:rsidRPr="008D0341">
              <w:rPr>
                <w:sz w:val="20"/>
                <w:szCs w:val="20"/>
              </w:rPr>
              <w:t xml:space="preserve"> </w:t>
            </w:r>
            <w:r>
              <w:rPr>
                <w:sz w:val="20"/>
                <w:szCs w:val="20"/>
              </w:rPr>
              <w:t>for</w:t>
            </w:r>
            <w:r w:rsidR="00D63070" w:rsidRPr="008D0341">
              <w:rPr>
                <w:sz w:val="20"/>
                <w:szCs w:val="20"/>
              </w:rPr>
              <w:t xml:space="preserve"> police, investigators, judiciary and policymakers in Cambodia, Laos, the Philippines, Thailand and Vietnam. </w:t>
            </w:r>
          </w:p>
          <w:p w14:paraId="659AD7BE" w14:textId="3CA3DF44" w:rsidR="00D63070" w:rsidRPr="008D0341" w:rsidRDefault="00506014" w:rsidP="00327D44">
            <w:pPr>
              <w:pStyle w:val="Bullet1"/>
              <w:numPr>
                <w:ilvl w:val="0"/>
                <w:numId w:val="0"/>
              </w:numPr>
              <w:rPr>
                <w:sz w:val="20"/>
                <w:szCs w:val="20"/>
              </w:rPr>
            </w:pPr>
            <w:r>
              <w:rPr>
                <w:sz w:val="20"/>
                <w:szCs w:val="20"/>
              </w:rPr>
              <w:t xml:space="preserve">Advocated for the </w:t>
            </w:r>
            <w:r w:rsidR="00D63070" w:rsidRPr="008D0341">
              <w:rPr>
                <w:sz w:val="20"/>
                <w:szCs w:val="20"/>
              </w:rPr>
              <w:t>rights</w:t>
            </w:r>
            <w:r>
              <w:rPr>
                <w:sz w:val="20"/>
                <w:szCs w:val="20"/>
              </w:rPr>
              <w:t xml:space="preserve"> of trafficked people</w:t>
            </w:r>
            <w:r w:rsidR="00D63070" w:rsidRPr="008D0341">
              <w:rPr>
                <w:sz w:val="20"/>
                <w:szCs w:val="20"/>
              </w:rPr>
              <w:t xml:space="preserve"> </w:t>
            </w:r>
            <w:r>
              <w:rPr>
                <w:sz w:val="20"/>
                <w:szCs w:val="20"/>
              </w:rPr>
              <w:t>by</w:t>
            </w:r>
            <w:r w:rsidRPr="008D0341">
              <w:rPr>
                <w:sz w:val="20"/>
                <w:szCs w:val="20"/>
              </w:rPr>
              <w:t xml:space="preserve"> </w:t>
            </w:r>
            <w:r>
              <w:rPr>
                <w:sz w:val="20"/>
                <w:szCs w:val="20"/>
              </w:rPr>
              <w:t>supporting</w:t>
            </w:r>
            <w:r w:rsidRPr="008D0341">
              <w:rPr>
                <w:sz w:val="20"/>
                <w:szCs w:val="20"/>
              </w:rPr>
              <w:t xml:space="preserve"> </w:t>
            </w:r>
            <w:r w:rsidR="00D63070" w:rsidRPr="008D0341">
              <w:rPr>
                <w:sz w:val="20"/>
                <w:szCs w:val="20"/>
              </w:rPr>
              <w:t xml:space="preserve">ASEAN Members </w:t>
            </w:r>
            <w:r>
              <w:rPr>
                <w:sz w:val="20"/>
                <w:szCs w:val="20"/>
              </w:rPr>
              <w:t xml:space="preserve">to comply with </w:t>
            </w:r>
            <w:r w:rsidR="00D63070" w:rsidRPr="008D0341">
              <w:rPr>
                <w:sz w:val="20"/>
                <w:szCs w:val="20"/>
              </w:rPr>
              <w:t xml:space="preserve">their obligations under the </w:t>
            </w:r>
            <w:r w:rsidR="00D63070" w:rsidRPr="00DE74D1">
              <w:rPr>
                <w:sz w:val="20"/>
                <w:szCs w:val="20"/>
              </w:rPr>
              <w:t>ASEAN Convention against Trafficking in Persons, Especially Women and Children.</w:t>
            </w:r>
          </w:p>
          <w:p w14:paraId="00537B6E" w14:textId="4B8600D9" w:rsidR="00D63070" w:rsidRPr="008D0341" w:rsidRDefault="00506014" w:rsidP="00327D44">
            <w:pPr>
              <w:pStyle w:val="Bullet1"/>
              <w:numPr>
                <w:ilvl w:val="0"/>
                <w:numId w:val="0"/>
              </w:numPr>
              <w:rPr>
                <w:sz w:val="20"/>
                <w:szCs w:val="20"/>
              </w:rPr>
            </w:pPr>
            <w:r>
              <w:rPr>
                <w:sz w:val="20"/>
                <w:szCs w:val="20"/>
              </w:rPr>
              <w:t>A</w:t>
            </w:r>
            <w:r w:rsidRPr="00D43741">
              <w:rPr>
                <w:sz w:val="20"/>
                <w:szCs w:val="20"/>
              </w:rPr>
              <w:t>s part of the broader Mekong-Australia Partnership</w:t>
            </w:r>
            <w:r w:rsidR="00546B3A">
              <w:rPr>
                <w:sz w:val="20"/>
                <w:szCs w:val="20"/>
              </w:rPr>
              <w:t xml:space="preserve"> (MAP)</w:t>
            </w:r>
            <w:r>
              <w:rPr>
                <w:sz w:val="20"/>
                <w:szCs w:val="20"/>
              </w:rPr>
              <w:t>, s</w:t>
            </w:r>
            <w:r w:rsidR="00D63070" w:rsidRPr="008D0341">
              <w:rPr>
                <w:sz w:val="20"/>
                <w:szCs w:val="20"/>
              </w:rPr>
              <w:t>upport</w:t>
            </w:r>
            <w:r>
              <w:rPr>
                <w:sz w:val="20"/>
                <w:szCs w:val="20"/>
              </w:rPr>
              <w:t>ed</w:t>
            </w:r>
            <w:r w:rsidR="00D63070" w:rsidRPr="008D0341">
              <w:rPr>
                <w:sz w:val="20"/>
                <w:szCs w:val="20"/>
              </w:rPr>
              <w:t xml:space="preserve"> </w:t>
            </w:r>
            <w:r>
              <w:rPr>
                <w:sz w:val="20"/>
                <w:szCs w:val="20"/>
              </w:rPr>
              <w:t>ASEAN region</w:t>
            </w:r>
            <w:r w:rsidR="00D63070" w:rsidRPr="008D0341">
              <w:rPr>
                <w:sz w:val="20"/>
                <w:szCs w:val="20"/>
              </w:rPr>
              <w:t xml:space="preserve"> engagement with critical tech</w:t>
            </w:r>
            <w:r>
              <w:rPr>
                <w:sz w:val="20"/>
                <w:szCs w:val="20"/>
              </w:rPr>
              <w:t>nology</w:t>
            </w:r>
            <w:r w:rsidR="00D63070" w:rsidRPr="008D0341">
              <w:rPr>
                <w:sz w:val="20"/>
                <w:szCs w:val="20"/>
              </w:rPr>
              <w:t xml:space="preserve"> standards</w:t>
            </w:r>
            <w:r>
              <w:rPr>
                <w:sz w:val="20"/>
                <w:szCs w:val="20"/>
              </w:rPr>
              <w:t xml:space="preserve"> and </w:t>
            </w:r>
            <w:r w:rsidR="00D63070" w:rsidRPr="008D0341">
              <w:rPr>
                <w:sz w:val="20"/>
                <w:szCs w:val="20"/>
              </w:rPr>
              <w:t>strengthen</w:t>
            </w:r>
            <w:r>
              <w:rPr>
                <w:sz w:val="20"/>
                <w:szCs w:val="20"/>
              </w:rPr>
              <w:t>ed</w:t>
            </w:r>
            <w:r w:rsidR="00D63070" w:rsidRPr="008D0341">
              <w:rPr>
                <w:sz w:val="20"/>
                <w:szCs w:val="20"/>
              </w:rPr>
              <w:t xml:space="preserve"> cyber and critical tech</w:t>
            </w:r>
            <w:r>
              <w:rPr>
                <w:sz w:val="20"/>
                <w:szCs w:val="20"/>
              </w:rPr>
              <w:t>nology</w:t>
            </w:r>
            <w:r w:rsidR="00D63070" w:rsidRPr="008D0341">
              <w:rPr>
                <w:sz w:val="20"/>
                <w:szCs w:val="20"/>
              </w:rPr>
              <w:t xml:space="preserve"> resilience in the Mekong</w:t>
            </w:r>
            <w:r>
              <w:rPr>
                <w:sz w:val="20"/>
                <w:szCs w:val="20"/>
              </w:rPr>
              <w:t xml:space="preserve">. </w:t>
            </w:r>
          </w:p>
        </w:tc>
      </w:tr>
      <w:tr w:rsidR="00D63070" w:rsidRPr="00DB7579" w14:paraId="09A51829" w14:textId="77777777" w:rsidTr="00327D44">
        <w:trPr>
          <w:tblHeader/>
        </w:trPr>
        <w:tc>
          <w:tcPr>
            <w:tcW w:w="3823" w:type="dxa"/>
          </w:tcPr>
          <w:p w14:paraId="701DD69A" w14:textId="77777777" w:rsidR="00D63070" w:rsidRPr="008D0341" w:rsidRDefault="00D63070" w:rsidP="00327D44">
            <w:pPr>
              <w:spacing w:before="0" w:after="0"/>
              <w:rPr>
                <w:sz w:val="20"/>
                <w:szCs w:val="20"/>
              </w:rPr>
            </w:pPr>
            <w:bookmarkStart w:id="4" w:name="_Hlk82435798"/>
            <w:r w:rsidRPr="008D0341">
              <w:rPr>
                <w:sz w:val="20"/>
                <w:szCs w:val="20"/>
              </w:rPr>
              <w:t>Examples of technical advice provided to domestic maritime agencies in partner countries to increase efficiency and coordination</w:t>
            </w:r>
            <w:bookmarkEnd w:id="4"/>
          </w:p>
        </w:tc>
        <w:tc>
          <w:tcPr>
            <w:tcW w:w="6713" w:type="dxa"/>
          </w:tcPr>
          <w:p w14:paraId="43BECC01" w14:textId="1CAC7A6D" w:rsidR="00D63070" w:rsidRPr="008D0341" w:rsidRDefault="00506014" w:rsidP="00327D44">
            <w:pPr>
              <w:suppressAutoHyphens w:val="0"/>
              <w:spacing w:before="0" w:after="0" w:line="240" w:lineRule="auto"/>
              <w:rPr>
                <w:sz w:val="20"/>
                <w:szCs w:val="20"/>
              </w:rPr>
            </w:pPr>
            <w:r>
              <w:rPr>
                <w:rFonts w:eastAsia="Times New Roman"/>
                <w:sz w:val="20"/>
                <w:szCs w:val="20"/>
              </w:rPr>
              <w:t xml:space="preserve">Provided </w:t>
            </w:r>
            <w:r w:rsidR="00D63070" w:rsidRPr="008D0341">
              <w:rPr>
                <w:rFonts w:eastAsia="Times New Roman"/>
                <w:sz w:val="20"/>
                <w:szCs w:val="20"/>
              </w:rPr>
              <w:t>technical advice</w:t>
            </w:r>
            <w:r>
              <w:rPr>
                <w:rFonts w:eastAsia="Times New Roman"/>
                <w:sz w:val="20"/>
                <w:szCs w:val="20"/>
              </w:rPr>
              <w:t xml:space="preserve"> Vietnam</w:t>
            </w:r>
            <w:r w:rsidR="00D63070" w:rsidRPr="008D0341">
              <w:rPr>
                <w:rFonts w:eastAsia="Times New Roman"/>
                <w:sz w:val="20"/>
                <w:szCs w:val="20"/>
              </w:rPr>
              <w:t xml:space="preserve"> </w:t>
            </w:r>
            <w:r>
              <w:rPr>
                <w:rFonts w:eastAsia="Times New Roman"/>
                <w:sz w:val="20"/>
                <w:szCs w:val="20"/>
              </w:rPr>
              <w:t xml:space="preserve">to implement </w:t>
            </w:r>
            <w:r w:rsidRPr="00DE74D1">
              <w:rPr>
                <w:rFonts w:eastAsia="Times New Roman"/>
                <w:i/>
                <w:iCs/>
                <w:sz w:val="20"/>
                <w:szCs w:val="20"/>
              </w:rPr>
              <w:t xml:space="preserve">its </w:t>
            </w:r>
            <w:r w:rsidR="00D63070" w:rsidRPr="00DE74D1">
              <w:rPr>
                <w:rFonts w:eastAsia="Times New Roman"/>
                <w:i/>
                <w:iCs/>
                <w:sz w:val="20"/>
                <w:szCs w:val="20"/>
              </w:rPr>
              <w:t>Strategy for the Sustainable Development of Vietnam’s Maritime Economy</w:t>
            </w:r>
            <w:r>
              <w:rPr>
                <w:rFonts w:eastAsia="Times New Roman"/>
                <w:sz w:val="20"/>
                <w:szCs w:val="20"/>
              </w:rPr>
              <w:t xml:space="preserve">. Advice </w:t>
            </w:r>
            <w:r w:rsidR="00546B3A">
              <w:rPr>
                <w:rFonts w:eastAsia="Times New Roman"/>
                <w:sz w:val="20"/>
                <w:szCs w:val="20"/>
              </w:rPr>
              <w:t>drew</w:t>
            </w:r>
            <w:r w:rsidR="00D63070" w:rsidRPr="008D0341">
              <w:rPr>
                <w:rFonts w:eastAsia="Times New Roman"/>
                <w:sz w:val="20"/>
                <w:szCs w:val="20"/>
              </w:rPr>
              <w:t xml:space="preserve"> on international best practices and Australia’s experience in managing our domestic maritime environment. In addition, </w:t>
            </w:r>
            <w:r w:rsidR="00546B3A">
              <w:rPr>
                <w:rFonts w:eastAsia="Times New Roman"/>
                <w:sz w:val="20"/>
                <w:szCs w:val="20"/>
              </w:rPr>
              <w:t>also</w:t>
            </w:r>
            <w:r w:rsidR="00546B3A" w:rsidRPr="008D0341">
              <w:rPr>
                <w:rFonts w:eastAsia="Times New Roman"/>
                <w:sz w:val="20"/>
                <w:szCs w:val="20"/>
              </w:rPr>
              <w:t xml:space="preserve"> </w:t>
            </w:r>
            <w:r w:rsidR="00546B3A">
              <w:rPr>
                <w:sz w:val="20"/>
                <w:szCs w:val="20"/>
              </w:rPr>
              <w:t>supported</w:t>
            </w:r>
            <w:r w:rsidR="00D63070" w:rsidRPr="008D0341">
              <w:rPr>
                <w:sz w:val="20"/>
                <w:szCs w:val="20"/>
              </w:rPr>
              <w:t xml:space="preserve"> interagency coordination </w:t>
            </w:r>
            <w:r w:rsidR="00546B3A">
              <w:rPr>
                <w:sz w:val="20"/>
                <w:szCs w:val="20"/>
              </w:rPr>
              <w:t>on</w:t>
            </w:r>
            <w:r w:rsidR="00546B3A" w:rsidRPr="008D0341">
              <w:rPr>
                <w:sz w:val="20"/>
                <w:szCs w:val="20"/>
              </w:rPr>
              <w:t xml:space="preserve"> </w:t>
            </w:r>
            <w:r w:rsidR="00D63070" w:rsidRPr="008D0341">
              <w:rPr>
                <w:sz w:val="20"/>
                <w:szCs w:val="20"/>
              </w:rPr>
              <w:t xml:space="preserve">maritime engagements across the </w:t>
            </w:r>
            <w:r w:rsidR="00546B3A">
              <w:rPr>
                <w:sz w:val="20"/>
                <w:szCs w:val="20"/>
              </w:rPr>
              <w:t xml:space="preserve">ASEAN </w:t>
            </w:r>
            <w:r w:rsidR="00D63070" w:rsidRPr="008D0341">
              <w:rPr>
                <w:sz w:val="20"/>
                <w:szCs w:val="20"/>
              </w:rPr>
              <w:t>region.</w:t>
            </w:r>
          </w:p>
        </w:tc>
      </w:tr>
      <w:tr w:rsidR="00D63070" w:rsidRPr="00DB7579" w14:paraId="01327DAC" w14:textId="77777777" w:rsidTr="008D0341">
        <w:trPr>
          <w:trHeight w:val="1027"/>
          <w:tblHeader/>
        </w:trPr>
        <w:tc>
          <w:tcPr>
            <w:tcW w:w="3823" w:type="dxa"/>
          </w:tcPr>
          <w:p w14:paraId="1D9C8F8C" w14:textId="77777777" w:rsidR="00D63070" w:rsidRPr="008D0341" w:rsidRDefault="00D63070" w:rsidP="00327D44">
            <w:pPr>
              <w:spacing w:before="0" w:after="0"/>
              <w:rPr>
                <w:sz w:val="20"/>
                <w:szCs w:val="20"/>
              </w:rPr>
            </w:pPr>
            <w:r w:rsidRPr="008D0341">
              <w:rPr>
                <w:sz w:val="20"/>
                <w:szCs w:val="20"/>
              </w:rPr>
              <w:t>Examples of policy advice and progress on reform initiatives with Southeast Asia governments and civil society networks</w:t>
            </w:r>
          </w:p>
        </w:tc>
        <w:tc>
          <w:tcPr>
            <w:tcW w:w="6713" w:type="dxa"/>
          </w:tcPr>
          <w:p w14:paraId="1A3BBF9C" w14:textId="4E13E571" w:rsidR="00D63070" w:rsidRPr="008D0341" w:rsidRDefault="00B141C5" w:rsidP="00327D44">
            <w:pPr>
              <w:pStyle w:val="Bullet1"/>
              <w:numPr>
                <w:ilvl w:val="0"/>
                <w:numId w:val="0"/>
              </w:numPr>
              <w:rPr>
                <w:sz w:val="20"/>
                <w:szCs w:val="20"/>
              </w:rPr>
            </w:pPr>
            <w:r w:rsidRPr="008D0341">
              <w:rPr>
                <w:sz w:val="20"/>
                <w:szCs w:val="20"/>
              </w:rPr>
              <w:t>Research g</w:t>
            </w:r>
            <w:r w:rsidR="00D63070" w:rsidRPr="008D0341">
              <w:rPr>
                <w:sz w:val="20"/>
                <w:szCs w:val="20"/>
              </w:rPr>
              <w:t>rants to the Australian National University, the Brookings Institution and The Asia Foundation enhanced understanding</w:t>
            </w:r>
            <w:r w:rsidRPr="008D0341">
              <w:rPr>
                <w:sz w:val="20"/>
                <w:szCs w:val="20"/>
              </w:rPr>
              <w:t>s</w:t>
            </w:r>
            <w:r w:rsidR="00D63070" w:rsidRPr="008D0341">
              <w:rPr>
                <w:sz w:val="20"/>
                <w:szCs w:val="20"/>
              </w:rPr>
              <w:t xml:space="preserve"> in Australia and Southeast Asia of domestic and regional dynamics influencing stability in Southeast Asia, </w:t>
            </w:r>
            <w:r w:rsidRPr="008D0341">
              <w:rPr>
                <w:sz w:val="20"/>
                <w:szCs w:val="20"/>
              </w:rPr>
              <w:t xml:space="preserve">contributing </w:t>
            </w:r>
            <w:r w:rsidR="00D63070" w:rsidRPr="008D0341">
              <w:rPr>
                <w:sz w:val="20"/>
                <w:szCs w:val="20"/>
              </w:rPr>
              <w:t xml:space="preserve">to better informed policy and programs. </w:t>
            </w:r>
          </w:p>
        </w:tc>
      </w:tr>
      <w:tr w:rsidR="00D63070" w:rsidRPr="00DB7579" w14:paraId="64808C7C" w14:textId="77777777" w:rsidTr="00327D44">
        <w:trPr>
          <w:tblHeader/>
        </w:trPr>
        <w:tc>
          <w:tcPr>
            <w:tcW w:w="3823" w:type="dxa"/>
          </w:tcPr>
          <w:p w14:paraId="090BD33B" w14:textId="77777777" w:rsidR="00D63070" w:rsidRPr="008D0341" w:rsidRDefault="00D63070" w:rsidP="00327D44">
            <w:pPr>
              <w:spacing w:before="0" w:after="0"/>
              <w:rPr>
                <w:sz w:val="20"/>
                <w:szCs w:val="20"/>
              </w:rPr>
            </w:pPr>
            <w:r w:rsidRPr="008D0341">
              <w:rPr>
                <w:sz w:val="20"/>
                <w:szCs w:val="20"/>
              </w:rPr>
              <w:t>Evidence of increased women’s leadership and participation in water resources and renewable energy projects / policy development processes</w:t>
            </w:r>
          </w:p>
        </w:tc>
        <w:tc>
          <w:tcPr>
            <w:tcW w:w="6713" w:type="dxa"/>
          </w:tcPr>
          <w:p w14:paraId="25B32433" w14:textId="5334CF14" w:rsidR="00D63070" w:rsidRPr="008D0341" w:rsidRDefault="00546B3A" w:rsidP="00327D44">
            <w:pPr>
              <w:shd w:val="clear" w:color="auto" w:fill="FFFFFF"/>
              <w:suppressAutoHyphens w:val="0"/>
              <w:spacing w:before="0" w:line="240" w:lineRule="auto"/>
              <w:rPr>
                <w:rFonts w:eastAsia="Times New Roman" w:cstheme="minorHAnsi"/>
                <w:b/>
                <w:bCs/>
                <w:sz w:val="20"/>
                <w:szCs w:val="20"/>
                <w:lang w:val="en-AU" w:eastAsia="en-AU"/>
              </w:rPr>
            </w:pPr>
            <w:r>
              <w:rPr>
                <w:sz w:val="20"/>
                <w:szCs w:val="20"/>
              </w:rPr>
              <w:t>S</w:t>
            </w:r>
            <w:r w:rsidR="00D63070" w:rsidRPr="008D0341">
              <w:rPr>
                <w:sz w:val="20"/>
                <w:szCs w:val="20"/>
              </w:rPr>
              <w:t xml:space="preserve">trengthened community and civil society networks with 592 representatives, including 280 women, </w:t>
            </w:r>
            <w:r>
              <w:rPr>
                <w:sz w:val="20"/>
                <w:szCs w:val="20"/>
              </w:rPr>
              <w:t>to support</w:t>
            </w:r>
            <w:r w:rsidR="00D63070" w:rsidRPr="008D0341">
              <w:rPr>
                <w:rFonts w:cstheme="minorHAnsi"/>
                <w:sz w:val="20"/>
                <w:szCs w:val="20"/>
                <w:shd w:val="clear" w:color="auto" w:fill="FFFFFF"/>
              </w:rPr>
              <w:t xml:space="preserve"> </w:t>
            </w:r>
            <w:r>
              <w:rPr>
                <w:rFonts w:cstheme="minorHAnsi"/>
                <w:sz w:val="20"/>
                <w:szCs w:val="20"/>
                <w:shd w:val="clear" w:color="auto" w:fill="FFFFFF"/>
              </w:rPr>
              <w:t>advocacy</w:t>
            </w:r>
            <w:r w:rsidR="00D63070" w:rsidRPr="008D0341">
              <w:rPr>
                <w:rFonts w:cstheme="minorHAnsi"/>
                <w:sz w:val="20"/>
                <w:szCs w:val="20"/>
                <w:shd w:val="clear" w:color="auto" w:fill="FFFFFF"/>
              </w:rPr>
              <w:t xml:space="preserve"> </w:t>
            </w:r>
            <w:r>
              <w:rPr>
                <w:rFonts w:cstheme="minorHAnsi"/>
                <w:sz w:val="20"/>
                <w:szCs w:val="20"/>
                <w:shd w:val="clear" w:color="auto" w:fill="FFFFFF"/>
              </w:rPr>
              <w:t xml:space="preserve">by </w:t>
            </w:r>
            <w:r w:rsidR="00D63070" w:rsidRPr="008D0341">
              <w:rPr>
                <w:rFonts w:cstheme="minorHAnsi"/>
                <w:sz w:val="20"/>
                <w:szCs w:val="20"/>
                <w:shd w:val="clear" w:color="auto" w:fill="FFFFFF"/>
              </w:rPr>
              <w:t>downstream countries</w:t>
            </w:r>
            <w:r>
              <w:rPr>
                <w:rFonts w:cstheme="minorHAnsi"/>
                <w:sz w:val="20"/>
                <w:szCs w:val="20"/>
                <w:shd w:val="clear" w:color="auto" w:fill="FFFFFF"/>
              </w:rPr>
              <w:t xml:space="preserve"> on</w:t>
            </w:r>
            <w:r w:rsidR="00D63070" w:rsidRPr="008D0341">
              <w:rPr>
                <w:rFonts w:cstheme="minorHAnsi"/>
                <w:sz w:val="20"/>
                <w:szCs w:val="20"/>
                <w:shd w:val="clear" w:color="auto" w:fill="FFFFFF"/>
              </w:rPr>
              <w:t xml:space="preserve"> river development and dam reservoir operations.</w:t>
            </w:r>
          </w:p>
        </w:tc>
      </w:tr>
    </w:tbl>
    <w:p w14:paraId="329A4BF9" w14:textId="77777777" w:rsidR="00D63070" w:rsidRPr="00DB7579" w:rsidRDefault="00D63070" w:rsidP="006C7C8B">
      <w:pPr>
        <w:pStyle w:val="Heading3"/>
      </w:pPr>
      <w:r w:rsidRPr="00DB7579">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3681"/>
        <w:gridCol w:w="6855"/>
      </w:tblGrid>
      <w:tr w:rsidR="00D63070" w:rsidRPr="00DB7579" w14:paraId="737A6007" w14:textId="77777777" w:rsidTr="0089160E">
        <w:trPr>
          <w:tblHeader/>
        </w:trPr>
        <w:tc>
          <w:tcPr>
            <w:tcW w:w="3681" w:type="dxa"/>
            <w:shd w:val="clear" w:color="auto" w:fill="A2DCD1" w:themeFill="accent1" w:themeFillTint="99"/>
            <w:vAlign w:val="bottom"/>
          </w:tcPr>
          <w:p w14:paraId="64616639" w14:textId="77777777" w:rsidR="00D63070" w:rsidRPr="00DB7579" w:rsidRDefault="00D63070" w:rsidP="00327D44">
            <w:pPr>
              <w:widowControl w:val="0"/>
              <w:spacing w:before="0" w:after="0" w:line="240" w:lineRule="auto"/>
              <w:jc w:val="center"/>
              <w:rPr>
                <w:sz w:val="20"/>
                <w:szCs w:val="20"/>
              </w:rPr>
            </w:pPr>
            <w:r w:rsidRPr="00DB7579">
              <w:rPr>
                <w:b/>
                <w:sz w:val="20"/>
                <w:szCs w:val="20"/>
              </w:rPr>
              <w:t>Key Results Indicators</w:t>
            </w:r>
          </w:p>
        </w:tc>
        <w:tc>
          <w:tcPr>
            <w:tcW w:w="6855" w:type="dxa"/>
            <w:shd w:val="clear" w:color="auto" w:fill="A2DCD1" w:themeFill="accent1" w:themeFillTint="99"/>
            <w:vAlign w:val="bottom"/>
          </w:tcPr>
          <w:p w14:paraId="079B7F96" w14:textId="77777777" w:rsidR="00D63070" w:rsidRPr="00DB7579" w:rsidRDefault="00D63070" w:rsidP="00327D44">
            <w:pPr>
              <w:widowControl w:val="0"/>
              <w:spacing w:before="0" w:after="0" w:line="240" w:lineRule="auto"/>
              <w:jc w:val="center"/>
              <w:rPr>
                <w:sz w:val="20"/>
                <w:szCs w:val="20"/>
              </w:rPr>
            </w:pPr>
            <w:r w:rsidRPr="00DB7579">
              <w:rPr>
                <w:b/>
                <w:sz w:val="20"/>
                <w:szCs w:val="20"/>
              </w:rPr>
              <w:t>Progress/Result</w:t>
            </w:r>
          </w:p>
        </w:tc>
      </w:tr>
      <w:tr w:rsidR="00D63070" w:rsidRPr="00DB7579" w14:paraId="1A286913" w14:textId="77777777" w:rsidTr="0089160E">
        <w:trPr>
          <w:tblHeader/>
        </w:trPr>
        <w:tc>
          <w:tcPr>
            <w:tcW w:w="3681" w:type="dxa"/>
          </w:tcPr>
          <w:p w14:paraId="38C2D1C6" w14:textId="77777777" w:rsidR="00D63070" w:rsidRPr="0089160E" w:rsidRDefault="00D63070" w:rsidP="00327D44">
            <w:pPr>
              <w:spacing w:before="0" w:after="0"/>
              <w:rPr>
                <w:sz w:val="20"/>
                <w:szCs w:val="20"/>
              </w:rPr>
            </w:pPr>
            <w:r w:rsidRPr="0089160E">
              <w:rPr>
                <w:sz w:val="20"/>
                <w:szCs w:val="20"/>
              </w:rPr>
              <w:t>Evidence of policy support and/or change for water, energy and infrastructure decision-making including new government-to-government collaboration on planning, procurement, regulation, and inclusion of gender and social analysis</w:t>
            </w:r>
            <w:r w:rsidRPr="0089160E">
              <w:rPr>
                <w:sz w:val="20"/>
                <w:szCs w:val="20"/>
              </w:rPr>
              <w:tab/>
            </w:r>
          </w:p>
        </w:tc>
        <w:tc>
          <w:tcPr>
            <w:tcW w:w="6855" w:type="dxa"/>
          </w:tcPr>
          <w:p w14:paraId="24F65BB1" w14:textId="6242A6D3" w:rsidR="00D63070" w:rsidRPr="008D0341" w:rsidRDefault="001870E5" w:rsidP="00327D44">
            <w:pPr>
              <w:spacing w:before="0" w:after="0"/>
              <w:rPr>
                <w:rFonts w:cstheme="minorHAnsi"/>
                <w:sz w:val="20"/>
                <w:szCs w:val="20"/>
              </w:rPr>
            </w:pPr>
            <w:r>
              <w:rPr>
                <w:sz w:val="20"/>
                <w:szCs w:val="20"/>
              </w:rPr>
              <w:t>Provided</w:t>
            </w:r>
            <w:r w:rsidR="00D63070" w:rsidRPr="008D0341">
              <w:rPr>
                <w:sz w:val="20"/>
                <w:szCs w:val="20"/>
              </w:rPr>
              <w:t xml:space="preserve"> technical </w:t>
            </w:r>
            <w:r>
              <w:rPr>
                <w:sz w:val="20"/>
                <w:szCs w:val="20"/>
              </w:rPr>
              <w:t>advice</w:t>
            </w:r>
            <w:r w:rsidRPr="008D0341">
              <w:rPr>
                <w:sz w:val="20"/>
                <w:szCs w:val="20"/>
              </w:rPr>
              <w:t xml:space="preserve"> </w:t>
            </w:r>
            <w:r>
              <w:rPr>
                <w:sz w:val="20"/>
                <w:szCs w:val="20"/>
              </w:rPr>
              <w:t>to</w:t>
            </w:r>
            <w:r w:rsidRPr="008D0341">
              <w:rPr>
                <w:sz w:val="20"/>
                <w:szCs w:val="20"/>
              </w:rPr>
              <w:t xml:space="preserve"> </w:t>
            </w:r>
            <w:r w:rsidR="00D63070" w:rsidRPr="008D0341">
              <w:rPr>
                <w:sz w:val="20"/>
                <w:szCs w:val="20"/>
              </w:rPr>
              <w:t>support water data management and modelling, development of water plans, and review of hydropower projects in the Mekong subregion.</w:t>
            </w:r>
          </w:p>
        </w:tc>
      </w:tr>
      <w:tr w:rsidR="00D63070" w:rsidRPr="00DB7579" w14:paraId="7DAA6245" w14:textId="77777777" w:rsidTr="0089160E">
        <w:trPr>
          <w:tblHeader/>
        </w:trPr>
        <w:tc>
          <w:tcPr>
            <w:tcW w:w="3681" w:type="dxa"/>
          </w:tcPr>
          <w:p w14:paraId="1B53B43A" w14:textId="1B2219DE" w:rsidR="00D63070" w:rsidRPr="0089160E" w:rsidRDefault="00D63070" w:rsidP="00327D44">
            <w:pPr>
              <w:spacing w:before="0" w:after="0"/>
              <w:rPr>
                <w:sz w:val="20"/>
                <w:szCs w:val="20"/>
              </w:rPr>
            </w:pPr>
            <w:r w:rsidRPr="0089160E">
              <w:rPr>
                <w:sz w:val="20"/>
                <w:szCs w:val="20"/>
              </w:rPr>
              <w:t>Examples of policy and technical advice provided to partner countries or regional organisations on responding to the immediate economic impacts of COVID</w:t>
            </w:r>
            <w:r w:rsidR="002C2383">
              <w:rPr>
                <w:sz w:val="20"/>
                <w:szCs w:val="20"/>
              </w:rPr>
              <w:t>-</w:t>
            </w:r>
            <w:r w:rsidRPr="0089160E">
              <w:rPr>
                <w:sz w:val="20"/>
                <w:szCs w:val="20"/>
              </w:rPr>
              <w:t>19 and longer term sustainable and inclusive economic recovery</w:t>
            </w:r>
          </w:p>
        </w:tc>
        <w:tc>
          <w:tcPr>
            <w:tcW w:w="6855" w:type="dxa"/>
          </w:tcPr>
          <w:p w14:paraId="7535E2FE" w14:textId="7D0BDEE2" w:rsidR="00D63070" w:rsidRPr="008D0341" w:rsidRDefault="001870E5" w:rsidP="00327D44">
            <w:pPr>
              <w:spacing w:before="0"/>
              <w:rPr>
                <w:rFonts w:cstheme="minorHAnsi"/>
                <w:color w:val="0070C0"/>
                <w:sz w:val="20"/>
                <w:szCs w:val="20"/>
              </w:rPr>
            </w:pPr>
            <w:r>
              <w:rPr>
                <w:sz w:val="20"/>
                <w:szCs w:val="20"/>
              </w:rPr>
              <w:t>S</w:t>
            </w:r>
            <w:r w:rsidR="00D63070" w:rsidRPr="008D0341">
              <w:rPr>
                <w:sz w:val="20"/>
                <w:szCs w:val="20"/>
              </w:rPr>
              <w:t xml:space="preserve">upported </w:t>
            </w:r>
            <w:r>
              <w:rPr>
                <w:sz w:val="20"/>
                <w:szCs w:val="20"/>
              </w:rPr>
              <w:t xml:space="preserve">the </w:t>
            </w:r>
            <w:r w:rsidR="00D63070" w:rsidRPr="008D0341">
              <w:rPr>
                <w:sz w:val="20"/>
                <w:szCs w:val="20"/>
              </w:rPr>
              <w:t>development of the ASEAN</w:t>
            </w:r>
            <w:r>
              <w:rPr>
                <w:sz w:val="20"/>
                <w:szCs w:val="20"/>
              </w:rPr>
              <w:t xml:space="preserve"> policies including: </w:t>
            </w:r>
            <w:r w:rsidR="00D63070" w:rsidRPr="008D0341">
              <w:rPr>
                <w:sz w:val="20"/>
                <w:szCs w:val="20"/>
              </w:rPr>
              <w:t xml:space="preserve">Fourth Industrial Revolution </w:t>
            </w:r>
            <w:r>
              <w:rPr>
                <w:sz w:val="20"/>
                <w:szCs w:val="20"/>
              </w:rPr>
              <w:t>S</w:t>
            </w:r>
            <w:r w:rsidR="00D63070" w:rsidRPr="008D0341">
              <w:rPr>
                <w:sz w:val="20"/>
                <w:szCs w:val="20"/>
              </w:rPr>
              <w:t>trategy</w:t>
            </w:r>
            <w:r>
              <w:rPr>
                <w:sz w:val="20"/>
                <w:szCs w:val="20"/>
              </w:rPr>
              <w:t>; P</w:t>
            </w:r>
            <w:r w:rsidR="00D63070" w:rsidRPr="008D0341">
              <w:rPr>
                <w:sz w:val="20"/>
                <w:szCs w:val="20"/>
              </w:rPr>
              <w:t xml:space="preserve">riority </w:t>
            </w:r>
            <w:r>
              <w:rPr>
                <w:sz w:val="20"/>
                <w:szCs w:val="20"/>
              </w:rPr>
              <w:t>Lo</w:t>
            </w:r>
            <w:r w:rsidR="00D63070" w:rsidRPr="008D0341">
              <w:rPr>
                <w:sz w:val="20"/>
                <w:szCs w:val="20"/>
              </w:rPr>
              <w:t xml:space="preserve">gistics </w:t>
            </w:r>
            <w:r>
              <w:rPr>
                <w:sz w:val="20"/>
                <w:szCs w:val="20"/>
              </w:rPr>
              <w:t>R</w:t>
            </w:r>
            <w:r w:rsidR="00D63070" w:rsidRPr="008D0341">
              <w:rPr>
                <w:sz w:val="20"/>
                <w:szCs w:val="20"/>
              </w:rPr>
              <w:t xml:space="preserve">outes and </w:t>
            </w:r>
            <w:r>
              <w:rPr>
                <w:sz w:val="20"/>
                <w:szCs w:val="20"/>
              </w:rPr>
              <w:t>V</w:t>
            </w:r>
            <w:r w:rsidR="00D63070" w:rsidRPr="008D0341">
              <w:rPr>
                <w:sz w:val="20"/>
                <w:szCs w:val="20"/>
              </w:rPr>
              <w:t xml:space="preserve">ital </w:t>
            </w:r>
            <w:r>
              <w:rPr>
                <w:sz w:val="20"/>
                <w:szCs w:val="20"/>
              </w:rPr>
              <w:t>R</w:t>
            </w:r>
            <w:r w:rsidR="00D63070" w:rsidRPr="008D0341">
              <w:rPr>
                <w:sz w:val="20"/>
                <w:szCs w:val="20"/>
              </w:rPr>
              <w:t xml:space="preserve">egional </w:t>
            </w:r>
            <w:r>
              <w:rPr>
                <w:sz w:val="20"/>
                <w:szCs w:val="20"/>
              </w:rPr>
              <w:t>S</w:t>
            </w:r>
            <w:r w:rsidR="00D63070" w:rsidRPr="008D0341">
              <w:rPr>
                <w:sz w:val="20"/>
                <w:szCs w:val="20"/>
              </w:rPr>
              <w:t xml:space="preserve">upply </w:t>
            </w:r>
            <w:r>
              <w:rPr>
                <w:sz w:val="20"/>
                <w:szCs w:val="20"/>
              </w:rPr>
              <w:t>C</w:t>
            </w:r>
            <w:r w:rsidR="00D63070" w:rsidRPr="008D0341">
              <w:rPr>
                <w:sz w:val="20"/>
                <w:szCs w:val="20"/>
              </w:rPr>
              <w:t xml:space="preserve">hains </w:t>
            </w:r>
            <w:r>
              <w:rPr>
                <w:sz w:val="20"/>
                <w:szCs w:val="20"/>
              </w:rPr>
              <w:t>F</w:t>
            </w:r>
            <w:r w:rsidR="00D63070" w:rsidRPr="008D0341">
              <w:rPr>
                <w:sz w:val="20"/>
                <w:szCs w:val="20"/>
              </w:rPr>
              <w:t>ramework</w:t>
            </w:r>
            <w:r>
              <w:rPr>
                <w:sz w:val="20"/>
                <w:szCs w:val="20"/>
              </w:rPr>
              <w:t xml:space="preserve">; </w:t>
            </w:r>
            <w:r w:rsidR="00D63070" w:rsidRPr="008D0341">
              <w:rPr>
                <w:sz w:val="20"/>
                <w:szCs w:val="20"/>
              </w:rPr>
              <w:t xml:space="preserve">Methodologies for </w:t>
            </w:r>
            <w:r>
              <w:rPr>
                <w:sz w:val="20"/>
                <w:szCs w:val="20"/>
              </w:rPr>
              <w:t>C</w:t>
            </w:r>
            <w:r w:rsidR="00D63070" w:rsidRPr="008D0341">
              <w:rPr>
                <w:sz w:val="20"/>
                <w:szCs w:val="20"/>
              </w:rPr>
              <w:t>onducting Ex-Ante Regulatory Review on Draft Non-Tariff Measures</w:t>
            </w:r>
            <w:r>
              <w:rPr>
                <w:sz w:val="20"/>
                <w:szCs w:val="20"/>
              </w:rPr>
              <w:t xml:space="preserve">; </w:t>
            </w:r>
            <w:r w:rsidR="00D63070" w:rsidRPr="008D0341">
              <w:rPr>
                <w:sz w:val="20"/>
                <w:szCs w:val="20"/>
              </w:rPr>
              <w:t>and</w:t>
            </w:r>
            <w:r>
              <w:rPr>
                <w:sz w:val="20"/>
                <w:szCs w:val="20"/>
              </w:rPr>
              <w:t xml:space="preserve"> </w:t>
            </w:r>
            <w:r w:rsidR="00D63070" w:rsidRPr="008D0341">
              <w:rPr>
                <w:sz w:val="20"/>
                <w:szCs w:val="20"/>
              </w:rPr>
              <w:t>the Initiative for ASEAN Integration</w:t>
            </w:r>
            <w:r>
              <w:rPr>
                <w:sz w:val="20"/>
                <w:szCs w:val="20"/>
              </w:rPr>
              <w:t xml:space="preserve"> (</w:t>
            </w:r>
            <w:r w:rsidR="00D63070" w:rsidRPr="008D0341">
              <w:rPr>
                <w:sz w:val="20"/>
                <w:szCs w:val="20"/>
              </w:rPr>
              <w:t>which works to narrow the development gap between ASEAN member states</w:t>
            </w:r>
            <w:r>
              <w:rPr>
                <w:sz w:val="20"/>
                <w:szCs w:val="20"/>
              </w:rPr>
              <w:t>)</w:t>
            </w:r>
            <w:r w:rsidR="00D63070" w:rsidRPr="008D0341">
              <w:rPr>
                <w:sz w:val="20"/>
                <w:szCs w:val="20"/>
              </w:rPr>
              <w:t>.</w:t>
            </w:r>
          </w:p>
          <w:p w14:paraId="2F5226E1" w14:textId="02E0EF38" w:rsidR="00D63070" w:rsidRPr="008D0341" w:rsidRDefault="001870E5" w:rsidP="00327D44">
            <w:pPr>
              <w:spacing w:before="0" w:after="0"/>
              <w:rPr>
                <w:rFonts w:cstheme="minorHAnsi"/>
                <w:sz w:val="20"/>
                <w:szCs w:val="20"/>
              </w:rPr>
            </w:pPr>
            <w:r>
              <w:rPr>
                <w:sz w:val="20"/>
                <w:szCs w:val="20"/>
              </w:rPr>
              <w:t>Supported the development of</w:t>
            </w:r>
            <w:r w:rsidR="00D63070" w:rsidRPr="008D0341">
              <w:rPr>
                <w:sz w:val="20"/>
                <w:szCs w:val="20"/>
              </w:rPr>
              <w:t xml:space="preserve"> national engagement reports </w:t>
            </w:r>
            <w:r>
              <w:rPr>
                <w:sz w:val="20"/>
                <w:szCs w:val="20"/>
              </w:rPr>
              <w:t>that</w:t>
            </w:r>
            <w:r w:rsidR="00D63070" w:rsidRPr="008D0341">
              <w:rPr>
                <w:sz w:val="20"/>
                <w:szCs w:val="20"/>
              </w:rPr>
              <w:t xml:space="preserve"> </w:t>
            </w:r>
            <w:r>
              <w:rPr>
                <w:sz w:val="20"/>
                <w:szCs w:val="20"/>
              </w:rPr>
              <w:t>detail</w:t>
            </w:r>
            <w:r w:rsidRPr="008D0341">
              <w:rPr>
                <w:sz w:val="20"/>
                <w:szCs w:val="20"/>
              </w:rPr>
              <w:t xml:space="preserve"> </w:t>
            </w:r>
            <w:r w:rsidR="00D63070" w:rsidRPr="008D0341">
              <w:rPr>
                <w:sz w:val="20"/>
                <w:szCs w:val="20"/>
              </w:rPr>
              <w:t xml:space="preserve">how implementation and harmonisation of international </w:t>
            </w:r>
            <w:r>
              <w:rPr>
                <w:sz w:val="20"/>
                <w:szCs w:val="20"/>
              </w:rPr>
              <w:t>d</w:t>
            </w:r>
            <w:r w:rsidRPr="00DB7579">
              <w:t xml:space="preserve">igital </w:t>
            </w:r>
            <w:r>
              <w:t>s</w:t>
            </w:r>
            <w:r w:rsidRPr="00DB7579">
              <w:t xml:space="preserve">tandards </w:t>
            </w:r>
            <w:r w:rsidR="00D63070" w:rsidRPr="008D0341">
              <w:rPr>
                <w:sz w:val="20"/>
                <w:szCs w:val="20"/>
              </w:rPr>
              <w:t xml:space="preserve">can increase trade. </w:t>
            </w:r>
            <w:r>
              <w:rPr>
                <w:sz w:val="20"/>
                <w:szCs w:val="20"/>
              </w:rPr>
              <w:t xml:space="preserve">Included </w:t>
            </w:r>
            <w:r w:rsidR="00D63070" w:rsidRPr="008D0341">
              <w:rPr>
                <w:sz w:val="20"/>
                <w:szCs w:val="20"/>
              </w:rPr>
              <w:t>workshops among National Standard Bodies and government agencies on issues including artificial intelligence, 5G and digital transactions.</w:t>
            </w:r>
          </w:p>
        </w:tc>
      </w:tr>
      <w:tr w:rsidR="00D63070" w:rsidRPr="00DB7579" w14:paraId="2C8BFFBE" w14:textId="77777777" w:rsidTr="0089160E">
        <w:trPr>
          <w:tblHeader/>
        </w:trPr>
        <w:tc>
          <w:tcPr>
            <w:tcW w:w="3681" w:type="dxa"/>
          </w:tcPr>
          <w:p w14:paraId="0C88FDC9" w14:textId="77777777" w:rsidR="00D63070" w:rsidRPr="0089160E" w:rsidRDefault="00D63070" w:rsidP="00327D44">
            <w:pPr>
              <w:spacing w:before="0" w:after="0"/>
              <w:rPr>
                <w:sz w:val="20"/>
                <w:szCs w:val="20"/>
              </w:rPr>
            </w:pPr>
            <w:r w:rsidRPr="0089160E">
              <w:rPr>
                <w:sz w:val="20"/>
                <w:szCs w:val="20"/>
              </w:rPr>
              <w:t>Evidence of policy, legislative and/or technical support on labour migration, reducing remittance costs, protection and gender equality for migrant workers</w:t>
            </w:r>
          </w:p>
        </w:tc>
        <w:tc>
          <w:tcPr>
            <w:tcW w:w="6855" w:type="dxa"/>
            <w:vAlign w:val="bottom"/>
          </w:tcPr>
          <w:p w14:paraId="5F2D1FD3" w14:textId="77777777" w:rsidR="0089160E" w:rsidRDefault="0089160E" w:rsidP="0089160E">
            <w:pPr>
              <w:spacing w:before="0"/>
              <w:rPr>
                <w:sz w:val="20"/>
                <w:szCs w:val="20"/>
              </w:rPr>
            </w:pPr>
            <w:r>
              <w:rPr>
                <w:sz w:val="20"/>
                <w:szCs w:val="20"/>
              </w:rPr>
              <w:t xml:space="preserve">Supported technical inputs to draft legislation and policies in Laos, Vietnam and Thailand for migrant workers’ rights. </w:t>
            </w:r>
          </w:p>
          <w:p w14:paraId="7E7CC04A" w14:textId="634C3928" w:rsidR="00D63070" w:rsidRDefault="001870E5" w:rsidP="00327D44">
            <w:pPr>
              <w:spacing w:before="0"/>
              <w:rPr>
                <w:sz w:val="20"/>
                <w:szCs w:val="20"/>
              </w:rPr>
            </w:pPr>
            <w:r>
              <w:rPr>
                <w:sz w:val="20"/>
                <w:szCs w:val="20"/>
              </w:rPr>
              <w:t>Supported</w:t>
            </w:r>
            <w:r w:rsidR="00D63070" w:rsidRPr="008D0341">
              <w:rPr>
                <w:sz w:val="20"/>
                <w:szCs w:val="20"/>
              </w:rPr>
              <w:t xml:space="preserve"> Migrant Worker Resource Centres </w:t>
            </w:r>
            <w:r w:rsidR="00CF70E1">
              <w:rPr>
                <w:sz w:val="20"/>
                <w:szCs w:val="20"/>
              </w:rPr>
              <w:t>to provide</w:t>
            </w:r>
            <w:r w:rsidR="00D63070" w:rsidRPr="008D0341">
              <w:rPr>
                <w:sz w:val="20"/>
                <w:szCs w:val="20"/>
              </w:rPr>
              <w:t xml:space="preserve"> services to 21,223 migrant workers, including counselling, training, and legal assistance</w:t>
            </w:r>
            <w:r w:rsidR="00CF70E1">
              <w:rPr>
                <w:sz w:val="20"/>
                <w:szCs w:val="20"/>
              </w:rPr>
              <w:t xml:space="preserve">, plus additional </w:t>
            </w:r>
            <w:r w:rsidR="00D63070" w:rsidRPr="008D0341">
              <w:rPr>
                <w:sz w:val="20"/>
                <w:szCs w:val="20"/>
              </w:rPr>
              <w:t xml:space="preserve">emergency support to 29,954 migrant workers. </w:t>
            </w:r>
            <w:r w:rsidR="00CF70E1">
              <w:rPr>
                <w:sz w:val="20"/>
                <w:szCs w:val="20"/>
              </w:rPr>
              <w:t>Also supported</w:t>
            </w:r>
            <w:r w:rsidR="00D63070" w:rsidRPr="008D0341">
              <w:rPr>
                <w:sz w:val="20"/>
                <w:szCs w:val="20"/>
              </w:rPr>
              <w:t xml:space="preserve"> capacity building</w:t>
            </w:r>
            <w:r w:rsidR="00CF70E1">
              <w:rPr>
                <w:sz w:val="20"/>
                <w:szCs w:val="20"/>
              </w:rPr>
              <w:t xml:space="preserve"> on migrant workers’ issues</w:t>
            </w:r>
            <w:r w:rsidR="00D63070" w:rsidRPr="008D0341">
              <w:rPr>
                <w:sz w:val="20"/>
                <w:szCs w:val="20"/>
              </w:rPr>
              <w:t xml:space="preserve"> for 3,029 government, employer, and civil society representatives. </w:t>
            </w:r>
          </w:p>
          <w:p w14:paraId="47A111CF" w14:textId="77777777" w:rsidR="0089160E" w:rsidRDefault="0089160E" w:rsidP="0089160E">
            <w:pPr>
              <w:spacing w:before="0"/>
              <w:rPr>
                <w:rFonts w:cstheme="minorHAnsi"/>
                <w:sz w:val="20"/>
                <w:szCs w:val="20"/>
              </w:rPr>
            </w:pPr>
            <w:r>
              <w:rPr>
                <w:rFonts w:cstheme="minorHAnsi"/>
                <w:sz w:val="20"/>
                <w:szCs w:val="20"/>
              </w:rPr>
              <w:t xml:space="preserve">Launched the </w:t>
            </w:r>
            <w:proofErr w:type="spellStart"/>
            <w:r>
              <w:rPr>
                <w:rFonts w:cstheme="minorHAnsi"/>
                <w:sz w:val="20"/>
                <w:szCs w:val="20"/>
              </w:rPr>
              <w:t>SaverAsia</w:t>
            </w:r>
            <w:proofErr w:type="spellEnd"/>
            <w:r>
              <w:rPr>
                <w:rFonts w:cstheme="minorHAnsi"/>
                <w:sz w:val="20"/>
                <w:szCs w:val="20"/>
              </w:rPr>
              <w:t xml:space="preserve"> mobile app in November 2020. The app aims to reduce remittance costs by allowing migrant workers to compare and select the best rate and service to send remittances home.</w:t>
            </w:r>
          </w:p>
          <w:p w14:paraId="12E9C089" w14:textId="7997EA62" w:rsidR="00D63070" w:rsidRPr="008D0341" w:rsidRDefault="0089160E" w:rsidP="00327D44">
            <w:pPr>
              <w:spacing w:before="0"/>
              <w:rPr>
                <w:rFonts w:cstheme="minorHAnsi"/>
                <w:sz w:val="20"/>
                <w:szCs w:val="20"/>
              </w:rPr>
            </w:pPr>
            <w:r>
              <w:rPr>
                <w:rFonts w:cstheme="minorHAnsi"/>
                <w:sz w:val="20"/>
                <w:szCs w:val="20"/>
              </w:rPr>
              <w:t>Published “By Women, For Women', a guidance document which provides a framework for building sustainable migrant women's peer support networks. This regional tool will be piloted in Cambodia in 2021.</w:t>
            </w:r>
          </w:p>
        </w:tc>
      </w:tr>
      <w:tr w:rsidR="00D63070" w:rsidRPr="00DB7579" w14:paraId="600227FF" w14:textId="77777777" w:rsidTr="0089160E">
        <w:trPr>
          <w:tblHeader/>
        </w:trPr>
        <w:tc>
          <w:tcPr>
            <w:tcW w:w="3681" w:type="dxa"/>
          </w:tcPr>
          <w:p w14:paraId="11DEE9CD" w14:textId="6A9B60CB" w:rsidR="00D63070" w:rsidRPr="008D0341" w:rsidRDefault="00D63070" w:rsidP="00327D44">
            <w:pPr>
              <w:spacing w:before="0" w:after="0"/>
              <w:rPr>
                <w:sz w:val="20"/>
                <w:szCs w:val="20"/>
              </w:rPr>
            </w:pPr>
            <w:bookmarkStart w:id="5" w:name="_Hlk82435845"/>
            <w:r w:rsidRPr="008D0341">
              <w:rPr>
                <w:sz w:val="20"/>
                <w:szCs w:val="20"/>
              </w:rPr>
              <w:t xml:space="preserve">Examples of ASEAN policy development, technical advice and capacity building to enable ASEAN to promote regional economic integration, including number of </w:t>
            </w:r>
            <w:r w:rsidR="00DE74D1">
              <w:rPr>
                <w:sz w:val="20"/>
                <w:szCs w:val="20"/>
              </w:rPr>
              <w:t>men</w:t>
            </w:r>
            <w:r w:rsidRPr="008D0341">
              <w:rPr>
                <w:sz w:val="20"/>
                <w:szCs w:val="20"/>
              </w:rPr>
              <w:t xml:space="preserve"> and </w:t>
            </w:r>
            <w:r w:rsidR="00DE74D1">
              <w:rPr>
                <w:sz w:val="20"/>
                <w:szCs w:val="20"/>
              </w:rPr>
              <w:t>woman</w:t>
            </w:r>
            <w:r w:rsidRPr="008D0341">
              <w:rPr>
                <w:sz w:val="20"/>
                <w:szCs w:val="20"/>
              </w:rPr>
              <w:t xml:space="preserve"> officials trained to enhance the implementation of Free Trade Agreements and other related instruments</w:t>
            </w:r>
            <w:bookmarkEnd w:id="5"/>
          </w:p>
        </w:tc>
        <w:tc>
          <w:tcPr>
            <w:tcW w:w="6855" w:type="dxa"/>
          </w:tcPr>
          <w:p w14:paraId="2FBC25C8" w14:textId="328F71D0" w:rsidR="00D63070" w:rsidRPr="008D0341" w:rsidRDefault="00CF70E1" w:rsidP="00327D44">
            <w:pPr>
              <w:spacing w:before="0"/>
              <w:rPr>
                <w:sz w:val="20"/>
                <w:szCs w:val="20"/>
              </w:rPr>
            </w:pPr>
            <w:r>
              <w:rPr>
                <w:sz w:val="20"/>
                <w:szCs w:val="20"/>
              </w:rPr>
              <w:t>D</w:t>
            </w:r>
            <w:r w:rsidR="00D63070" w:rsidRPr="008D0341">
              <w:rPr>
                <w:sz w:val="20"/>
                <w:szCs w:val="20"/>
              </w:rPr>
              <w:t xml:space="preserve">elivered capacity building and technical support </w:t>
            </w:r>
            <w:r>
              <w:rPr>
                <w:sz w:val="20"/>
                <w:szCs w:val="20"/>
              </w:rPr>
              <w:t xml:space="preserve">to </w:t>
            </w:r>
            <w:proofErr w:type="gramStart"/>
            <w:r>
              <w:rPr>
                <w:sz w:val="20"/>
                <w:szCs w:val="20"/>
              </w:rPr>
              <w:t>improve:</w:t>
            </w:r>
            <w:proofErr w:type="gramEnd"/>
            <w:r>
              <w:rPr>
                <w:sz w:val="20"/>
                <w:szCs w:val="20"/>
              </w:rPr>
              <w:t xml:space="preserve"> </w:t>
            </w:r>
            <w:r w:rsidR="00D63070" w:rsidRPr="008D0341">
              <w:rPr>
                <w:sz w:val="20"/>
                <w:szCs w:val="20"/>
              </w:rPr>
              <w:t>competition laws and policies,</w:t>
            </w:r>
            <w:r>
              <w:rPr>
                <w:sz w:val="20"/>
                <w:szCs w:val="20"/>
              </w:rPr>
              <w:t xml:space="preserve"> the </w:t>
            </w:r>
            <w:r w:rsidR="00D63070" w:rsidRPr="008D0341">
              <w:rPr>
                <w:sz w:val="20"/>
                <w:szCs w:val="20"/>
              </w:rPr>
              <w:t>mutual recognition of qualifications within ASEAN, patent examination processes and market access for agricultural products. </w:t>
            </w:r>
            <w:r>
              <w:rPr>
                <w:sz w:val="20"/>
                <w:szCs w:val="20"/>
              </w:rPr>
              <w:t>This included</w:t>
            </w:r>
            <w:r w:rsidR="00D63070" w:rsidRPr="008D0341">
              <w:rPr>
                <w:sz w:val="20"/>
                <w:szCs w:val="20"/>
              </w:rPr>
              <w:t xml:space="preserve"> train</w:t>
            </w:r>
            <w:r>
              <w:rPr>
                <w:sz w:val="20"/>
                <w:szCs w:val="20"/>
              </w:rPr>
              <w:t>ing</w:t>
            </w:r>
            <w:r w:rsidR="00D63070" w:rsidRPr="008D0341">
              <w:rPr>
                <w:sz w:val="20"/>
                <w:szCs w:val="20"/>
              </w:rPr>
              <w:t xml:space="preserve"> 77 officials (40 </w:t>
            </w:r>
            <w:r w:rsidR="00DE74D1">
              <w:rPr>
                <w:sz w:val="20"/>
                <w:szCs w:val="20"/>
              </w:rPr>
              <w:t>women</w:t>
            </w:r>
            <w:r w:rsidR="00D63070" w:rsidRPr="008D0341">
              <w:rPr>
                <w:sz w:val="20"/>
                <w:szCs w:val="20"/>
              </w:rPr>
              <w:t xml:space="preserve"> and 37 </w:t>
            </w:r>
            <w:r w:rsidR="00DE74D1">
              <w:rPr>
                <w:sz w:val="20"/>
                <w:szCs w:val="20"/>
              </w:rPr>
              <w:t>men</w:t>
            </w:r>
            <w:r w:rsidR="00D63070" w:rsidRPr="008D0341">
              <w:rPr>
                <w:sz w:val="20"/>
                <w:szCs w:val="20"/>
              </w:rPr>
              <w:t>).</w:t>
            </w:r>
          </w:p>
        </w:tc>
      </w:tr>
      <w:tr w:rsidR="00D63070" w:rsidRPr="00DB7579" w14:paraId="5639CAAA" w14:textId="77777777" w:rsidTr="0089160E">
        <w:trPr>
          <w:tblHeader/>
        </w:trPr>
        <w:tc>
          <w:tcPr>
            <w:tcW w:w="3681" w:type="dxa"/>
          </w:tcPr>
          <w:p w14:paraId="4DC54045" w14:textId="77777777" w:rsidR="00D63070" w:rsidRPr="008D0341" w:rsidRDefault="00D63070" w:rsidP="00327D44">
            <w:pPr>
              <w:spacing w:before="0" w:after="0"/>
              <w:rPr>
                <w:sz w:val="20"/>
                <w:szCs w:val="20"/>
              </w:rPr>
            </w:pPr>
            <w:r w:rsidRPr="008D0341">
              <w:rPr>
                <w:sz w:val="20"/>
                <w:szCs w:val="20"/>
              </w:rPr>
              <w:t>Examples of technical, policy and capacity building support provided to expand women’s economic opportunities in Southeast Asia</w:t>
            </w:r>
          </w:p>
        </w:tc>
        <w:tc>
          <w:tcPr>
            <w:tcW w:w="6855" w:type="dxa"/>
          </w:tcPr>
          <w:p w14:paraId="233F80B8" w14:textId="2F29B4D8" w:rsidR="00D63070" w:rsidRPr="008D0341" w:rsidRDefault="00CF70E1" w:rsidP="00327D44">
            <w:pPr>
              <w:spacing w:before="0" w:after="0"/>
              <w:rPr>
                <w:sz w:val="20"/>
                <w:szCs w:val="20"/>
              </w:rPr>
            </w:pPr>
            <w:r>
              <w:rPr>
                <w:rFonts w:eastAsia="Times New Roman" w:cstheme="minorHAnsi"/>
                <w:sz w:val="20"/>
                <w:szCs w:val="20"/>
                <w:lang w:val="en-AU" w:eastAsia="en-AU"/>
              </w:rPr>
              <w:t xml:space="preserve">In the ASEAN region, supported a </w:t>
            </w:r>
            <w:r w:rsidRPr="00D43741">
              <w:rPr>
                <w:rFonts w:eastAsia="Times New Roman" w:cstheme="minorHAnsi"/>
                <w:sz w:val="20"/>
                <w:szCs w:val="20"/>
                <w:lang w:val="en-AU" w:eastAsia="en-AU"/>
              </w:rPr>
              <w:t>22 per cent increase in jobs</w:t>
            </w:r>
            <w:r>
              <w:rPr>
                <w:rFonts w:eastAsia="Times New Roman" w:cstheme="minorHAnsi"/>
                <w:sz w:val="20"/>
                <w:szCs w:val="20"/>
                <w:lang w:val="en-AU" w:eastAsia="en-AU"/>
              </w:rPr>
              <w:t xml:space="preserve"> in</w:t>
            </w:r>
            <w:r w:rsidRPr="00D43741">
              <w:rPr>
                <w:rFonts w:eastAsia="Times New Roman" w:cstheme="minorHAnsi"/>
                <w:sz w:val="20"/>
                <w:szCs w:val="20"/>
                <w:lang w:val="en-AU" w:eastAsia="en-AU"/>
              </w:rPr>
              <w:t xml:space="preserve"> </w:t>
            </w:r>
            <w:r>
              <w:rPr>
                <w:rFonts w:eastAsia="Times New Roman" w:cstheme="minorHAnsi"/>
                <w:sz w:val="20"/>
                <w:szCs w:val="20"/>
                <w:lang w:val="en-AU" w:eastAsia="en-AU"/>
              </w:rPr>
              <w:t>the s</w:t>
            </w:r>
            <w:r w:rsidRPr="00D43741">
              <w:rPr>
                <w:rFonts w:eastAsia="Times New Roman" w:cstheme="minorHAnsi"/>
                <w:sz w:val="20"/>
                <w:szCs w:val="20"/>
                <w:lang w:val="en-AU" w:eastAsia="en-AU"/>
              </w:rPr>
              <w:t xml:space="preserve">mall and </w:t>
            </w:r>
            <w:r>
              <w:rPr>
                <w:rFonts w:eastAsia="Times New Roman" w:cstheme="minorHAnsi"/>
                <w:sz w:val="20"/>
                <w:szCs w:val="20"/>
                <w:lang w:val="en-AU" w:eastAsia="en-AU"/>
              </w:rPr>
              <w:t>m</w:t>
            </w:r>
            <w:r w:rsidRPr="00D43741">
              <w:rPr>
                <w:rFonts w:eastAsia="Times New Roman" w:cstheme="minorHAnsi"/>
                <w:sz w:val="20"/>
                <w:szCs w:val="20"/>
                <w:lang w:val="en-AU" w:eastAsia="en-AU"/>
              </w:rPr>
              <w:t xml:space="preserve">edium </w:t>
            </w:r>
            <w:r>
              <w:rPr>
                <w:rFonts w:eastAsia="Times New Roman" w:cstheme="minorHAnsi"/>
                <w:sz w:val="20"/>
                <w:szCs w:val="20"/>
                <w:lang w:val="en-AU" w:eastAsia="en-AU"/>
              </w:rPr>
              <w:t>e</w:t>
            </w:r>
            <w:r w:rsidRPr="00D43741">
              <w:rPr>
                <w:rFonts w:eastAsia="Times New Roman" w:cstheme="minorHAnsi"/>
                <w:sz w:val="20"/>
                <w:szCs w:val="20"/>
                <w:lang w:val="en-AU" w:eastAsia="en-AU"/>
              </w:rPr>
              <w:t>nterprises</w:t>
            </w:r>
            <w:r>
              <w:rPr>
                <w:rFonts w:eastAsia="Times New Roman" w:cstheme="minorHAnsi"/>
                <w:sz w:val="20"/>
                <w:szCs w:val="20"/>
                <w:lang w:val="en-AU" w:eastAsia="en-AU"/>
              </w:rPr>
              <w:t xml:space="preserve"> under the Investing in Women (IW) program</w:t>
            </w:r>
            <w:r w:rsidR="002C2383">
              <w:rPr>
                <w:rFonts w:eastAsia="Times New Roman" w:cstheme="minorHAnsi"/>
                <w:sz w:val="20"/>
                <w:szCs w:val="20"/>
                <w:lang w:val="en-AU" w:eastAsia="en-AU"/>
              </w:rPr>
              <w:t xml:space="preserve">. </w:t>
            </w:r>
            <w:r>
              <w:rPr>
                <w:rFonts w:eastAsia="Times New Roman" w:cstheme="minorHAnsi"/>
                <w:sz w:val="20"/>
                <w:szCs w:val="20"/>
                <w:lang w:val="en-AU" w:eastAsia="en-AU"/>
              </w:rPr>
              <w:t>Of these jobs,</w:t>
            </w:r>
            <w:r w:rsidR="00D63070" w:rsidRPr="008D0341">
              <w:rPr>
                <w:rFonts w:eastAsia="Times New Roman" w:cstheme="minorHAnsi"/>
                <w:sz w:val="20"/>
                <w:szCs w:val="20"/>
                <w:lang w:val="en-AU" w:eastAsia="en-AU"/>
              </w:rPr>
              <w:t xml:space="preserve"> 58</w:t>
            </w:r>
            <w:r w:rsidR="00B141C5" w:rsidRPr="008D0341">
              <w:rPr>
                <w:rFonts w:eastAsia="Times New Roman" w:cstheme="minorHAnsi"/>
                <w:sz w:val="20"/>
                <w:szCs w:val="20"/>
                <w:lang w:val="en-AU" w:eastAsia="en-AU"/>
              </w:rPr>
              <w:t xml:space="preserve"> per cent</w:t>
            </w:r>
            <w:r>
              <w:rPr>
                <w:rFonts w:eastAsia="Times New Roman" w:cstheme="minorHAnsi"/>
                <w:sz w:val="20"/>
                <w:szCs w:val="20"/>
                <w:lang w:val="en-AU" w:eastAsia="en-AU"/>
              </w:rPr>
              <w:t xml:space="preserve"> </w:t>
            </w:r>
            <w:r w:rsidR="00D63070" w:rsidRPr="008D0341">
              <w:rPr>
                <w:rFonts w:eastAsia="Times New Roman" w:cstheme="minorHAnsi"/>
                <w:sz w:val="20"/>
                <w:szCs w:val="20"/>
                <w:lang w:val="en-AU" w:eastAsia="en-AU"/>
              </w:rPr>
              <w:t xml:space="preserve">were </w:t>
            </w:r>
            <w:r w:rsidR="00DE74D1">
              <w:rPr>
                <w:rFonts w:eastAsia="Times New Roman" w:cstheme="minorHAnsi"/>
                <w:sz w:val="20"/>
                <w:szCs w:val="20"/>
                <w:lang w:val="en-AU" w:eastAsia="en-AU"/>
              </w:rPr>
              <w:t>women</w:t>
            </w:r>
            <w:r w:rsidR="00D63070" w:rsidRPr="008D0341">
              <w:rPr>
                <w:rFonts w:eastAsia="Times New Roman" w:cstheme="minorHAnsi"/>
                <w:sz w:val="20"/>
                <w:szCs w:val="20"/>
                <w:lang w:val="en-AU" w:eastAsia="en-AU"/>
              </w:rPr>
              <w:t xml:space="preserve"> employees. </w:t>
            </w:r>
            <w:r w:rsidR="00D63070" w:rsidRPr="008D0341">
              <w:rPr>
                <w:sz w:val="20"/>
                <w:szCs w:val="20"/>
              </w:rPr>
              <w:t xml:space="preserve">IW </w:t>
            </w:r>
            <w:r>
              <w:rPr>
                <w:sz w:val="20"/>
                <w:szCs w:val="20"/>
              </w:rPr>
              <w:t xml:space="preserve">also </w:t>
            </w:r>
            <w:r w:rsidR="00D63070" w:rsidRPr="008D0341">
              <w:rPr>
                <w:sz w:val="20"/>
                <w:szCs w:val="20"/>
              </w:rPr>
              <w:t>supported Vietnam Business Coalition for Women Empowerment to incorporate 6 workplace gender equality recommendations into the Corporate Sustainability Index</w:t>
            </w:r>
            <w:r>
              <w:rPr>
                <w:sz w:val="20"/>
                <w:szCs w:val="20"/>
              </w:rPr>
              <w:t xml:space="preserve"> </w:t>
            </w:r>
            <w:r w:rsidR="00D63070" w:rsidRPr="008D0341">
              <w:rPr>
                <w:sz w:val="20"/>
                <w:szCs w:val="20"/>
              </w:rPr>
              <w:t>to track gender equality indicators.</w:t>
            </w:r>
          </w:p>
        </w:tc>
      </w:tr>
    </w:tbl>
    <w:p w14:paraId="2F13E6BA" w14:textId="2DA5761F" w:rsidR="00D63070" w:rsidRPr="00DB7579" w:rsidRDefault="00D63070" w:rsidP="00A81730">
      <w:pPr>
        <w:sectPr w:rsidR="00D63070" w:rsidRPr="00DB7579" w:rsidSect="003F7B2C">
          <w:headerReference w:type="default" r:id="rId9"/>
          <w:footerReference w:type="default" r:id="rId10"/>
          <w:headerReference w:type="first" r:id="rId11"/>
          <w:footerReference w:type="first" r:id="rId12"/>
          <w:type w:val="continuous"/>
          <w:pgSz w:w="11906" w:h="16838" w:code="9"/>
          <w:pgMar w:top="1559" w:right="566" w:bottom="993" w:left="680" w:header="567" w:footer="340" w:gutter="0"/>
          <w:cols w:space="397"/>
          <w:titlePg/>
          <w:docGrid w:linePitch="360"/>
        </w:sectPr>
      </w:pPr>
    </w:p>
    <w:p w14:paraId="06ABEE3D" w14:textId="62B75A66" w:rsidR="00D1231A" w:rsidRPr="00DB7579" w:rsidRDefault="00121DDD" w:rsidP="00D35B2A">
      <w:pPr>
        <w:pStyle w:val="Heading2"/>
      </w:pPr>
      <w:bookmarkStart w:id="17" w:name="_Hlk82098863"/>
      <w:r w:rsidRPr="00DB7579">
        <w:t>Annex 2</w:t>
      </w:r>
      <w:r w:rsidR="00D1231A" w:rsidRPr="00DB7579">
        <w:t>: Investment Performance</w:t>
      </w:r>
      <w:r w:rsidR="000F78C9" w:rsidRPr="00DB7579">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305B7B" w:rsidRPr="00DB7579" w14:paraId="69FD1E5F"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287BF78E" w14:textId="77777777" w:rsidR="00AC551D" w:rsidRPr="00DB7579" w:rsidRDefault="00AC551D" w:rsidP="00AF18F4">
            <w:pPr>
              <w:suppressAutoHyphens w:val="0"/>
              <w:spacing w:before="0" w:after="0" w:line="240" w:lineRule="auto"/>
              <w:jc w:val="center"/>
              <w:rPr>
                <w:rFonts w:asciiTheme="minorHAnsi" w:eastAsia="Times New Roman" w:hAnsiTheme="minorHAnsi" w:cstheme="minorHAnsi"/>
                <w:b/>
                <w:bCs/>
                <w:sz w:val="20"/>
                <w:szCs w:val="20"/>
                <w:lang w:val="en-AU" w:eastAsia="en-AU"/>
              </w:rPr>
            </w:pPr>
            <w:r w:rsidRPr="00DB7579">
              <w:rPr>
                <w:rFonts w:eastAsia="Times New Roman" w:cstheme="minorHAnsi"/>
                <w:b/>
                <w:bCs/>
                <w:sz w:val="20"/>
                <w:szCs w:val="20"/>
                <w:lang w:val="en-AU" w:eastAsia="en-AU"/>
              </w:rPr>
              <w:t>Investment Details</w:t>
            </w:r>
          </w:p>
        </w:tc>
        <w:tc>
          <w:tcPr>
            <w:tcW w:w="1134" w:type="dxa"/>
            <w:shd w:val="clear" w:color="auto" w:fill="A2DCD1" w:themeFill="accent1" w:themeFillTint="99"/>
            <w:noWrap/>
            <w:hideMark/>
          </w:tcPr>
          <w:p w14:paraId="36D4C187" w14:textId="0A6684A1" w:rsidR="00AC551D" w:rsidRPr="00DB7579"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B7579">
              <w:rPr>
                <w:rFonts w:eastAsia="Times New Roman" w:cstheme="minorHAnsi"/>
                <w:b/>
                <w:bCs/>
                <w:sz w:val="20"/>
                <w:szCs w:val="20"/>
                <w:lang w:val="en-AU" w:eastAsia="en-AU"/>
              </w:rPr>
              <w:t>Year</w:t>
            </w:r>
          </w:p>
        </w:tc>
        <w:tc>
          <w:tcPr>
            <w:tcW w:w="1276" w:type="dxa"/>
            <w:shd w:val="clear" w:color="auto" w:fill="A2DCD1" w:themeFill="accent1" w:themeFillTint="99"/>
            <w:noWrap/>
            <w:hideMark/>
          </w:tcPr>
          <w:p w14:paraId="1B1121B3" w14:textId="77777777" w:rsidR="00AC551D" w:rsidRPr="00DB7579"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B7579">
              <w:rPr>
                <w:rFonts w:eastAsia="Times New Roman" w:cstheme="minorHAnsi"/>
                <w:b/>
                <w:bCs/>
                <w:sz w:val="20"/>
                <w:szCs w:val="20"/>
                <w:lang w:val="en-AU" w:eastAsia="en-AU"/>
              </w:rPr>
              <w:t>Effectiveness</w:t>
            </w:r>
          </w:p>
        </w:tc>
        <w:tc>
          <w:tcPr>
            <w:tcW w:w="1134" w:type="dxa"/>
            <w:shd w:val="clear" w:color="auto" w:fill="A2DCD1" w:themeFill="accent1" w:themeFillTint="99"/>
            <w:noWrap/>
            <w:hideMark/>
          </w:tcPr>
          <w:p w14:paraId="7B4698B4" w14:textId="77777777" w:rsidR="00AC551D" w:rsidRPr="00DB7579"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B7579">
              <w:rPr>
                <w:rFonts w:eastAsia="Times New Roman" w:cstheme="minorHAnsi"/>
                <w:b/>
                <w:bCs/>
                <w:sz w:val="20"/>
                <w:szCs w:val="20"/>
                <w:lang w:val="en-AU" w:eastAsia="en-AU"/>
              </w:rPr>
              <w:t>Efficiency</w:t>
            </w:r>
          </w:p>
        </w:tc>
        <w:tc>
          <w:tcPr>
            <w:tcW w:w="1276" w:type="dxa"/>
            <w:shd w:val="clear" w:color="auto" w:fill="A2DCD1" w:themeFill="accent1" w:themeFillTint="99"/>
            <w:noWrap/>
            <w:hideMark/>
          </w:tcPr>
          <w:p w14:paraId="5E5D38EF" w14:textId="4CC6B5C6" w:rsidR="00AC551D" w:rsidRPr="00DB7579"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B7579">
              <w:rPr>
                <w:rFonts w:eastAsia="Times New Roman" w:cstheme="minorHAnsi"/>
                <w:b/>
                <w:bCs/>
                <w:sz w:val="20"/>
                <w:szCs w:val="20"/>
                <w:lang w:val="en-AU" w:eastAsia="en-AU"/>
              </w:rPr>
              <w:t>Gender Equality</w:t>
            </w:r>
          </w:p>
        </w:tc>
      </w:tr>
      <w:tr w:rsidR="00305B7B" w:rsidRPr="00DB7579" w14:paraId="1867487D"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vAlign w:val="bottom"/>
            <w:hideMark/>
          </w:tcPr>
          <w:p w14:paraId="2E831155" w14:textId="47E0B4B5" w:rsidR="00AC551D" w:rsidRPr="00DB7579" w:rsidRDefault="0003138F" w:rsidP="00AF18F4">
            <w:pPr>
              <w:suppressAutoHyphens w:val="0"/>
              <w:spacing w:before="0" w:after="0" w:line="240" w:lineRule="auto"/>
              <w:rPr>
                <w:rFonts w:asciiTheme="minorHAnsi" w:eastAsia="Times New Roman" w:hAnsiTheme="minorHAnsi" w:cstheme="minorHAnsi"/>
                <w:b/>
                <w:bCs/>
                <w:color w:val="595959" w:themeColor="text1" w:themeTint="A6"/>
                <w:sz w:val="20"/>
                <w:szCs w:val="20"/>
                <w:lang w:val="en-AU" w:eastAsia="en-AU"/>
              </w:rPr>
            </w:pPr>
            <w:r w:rsidRPr="00DB7579">
              <w:rPr>
                <w:rFonts w:eastAsia="Times New Roman" w:cstheme="minorHAnsi"/>
                <w:b/>
                <w:bCs/>
                <w:color w:val="595959" w:themeColor="text1" w:themeTint="A6"/>
                <w:sz w:val="20"/>
                <w:szCs w:val="20"/>
                <w:lang w:eastAsia="en-AU"/>
              </w:rPr>
              <w:t xml:space="preserve">Open, Inclusive and Accountable Governance </w:t>
            </w:r>
          </w:p>
        </w:tc>
        <w:tc>
          <w:tcPr>
            <w:tcW w:w="1134" w:type="dxa"/>
            <w:shd w:val="clear" w:color="auto" w:fill="F2F2F2" w:themeFill="background1" w:themeFillShade="F2"/>
            <w:hideMark/>
          </w:tcPr>
          <w:p w14:paraId="753CB627" w14:textId="77777777" w:rsidR="00AC551D" w:rsidRPr="00DB7579"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2021</w:t>
            </w:r>
          </w:p>
        </w:tc>
        <w:tc>
          <w:tcPr>
            <w:tcW w:w="1276" w:type="dxa"/>
            <w:shd w:val="clear" w:color="auto" w:fill="F2F2F2" w:themeFill="background1" w:themeFillShade="F2"/>
            <w:noWrap/>
            <w:hideMark/>
          </w:tcPr>
          <w:p w14:paraId="3524F2ED" w14:textId="12815EF2" w:rsidR="00AC551D" w:rsidRPr="00DB7579" w:rsidRDefault="0003138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4</w:t>
            </w:r>
          </w:p>
        </w:tc>
        <w:tc>
          <w:tcPr>
            <w:tcW w:w="1134" w:type="dxa"/>
            <w:shd w:val="clear" w:color="auto" w:fill="F2F2F2" w:themeFill="background1" w:themeFillShade="F2"/>
            <w:noWrap/>
            <w:hideMark/>
          </w:tcPr>
          <w:p w14:paraId="65883235" w14:textId="08241F91" w:rsidR="00AC551D" w:rsidRPr="00DB7579" w:rsidRDefault="0003138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4</w:t>
            </w:r>
          </w:p>
        </w:tc>
        <w:tc>
          <w:tcPr>
            <w:tcW w:w="1276" w:type="dxa"/>
            <w:shd w:val="clear" w:color="auto" w:fill="F2F2F2" w:themeFill="background1" w:themeFillShade="F2"/>
            <w:noWrap/>
            <w:hideMark/>
          </w:tcPr>
          <w:p w14:paraId="34FAF95D" w14:textId="6CDBB33F" w:rsidR="00AC551D" w:rsidRPr="00DB7579" w:rsidRDefault="0003138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4</w:t>
            </w:r>
          </w:p>
        </w:tc>
      </w:tr>
      <w:tr w:rsidR="00BC6831" w:rsidRPr="00DB7579" w14:paraId="3F9940CA"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F2F2F2" w:themeFill="background1" w:themeFillShade="F2"/>
            <w:hideMark/>
          </w:tcPr>
          <w:p w14:paraId="4D54A0A0" w14:textId="2274B8F1" w:rsidR="00BC6831" w:rsidRPr="00DB7579" w:rsidRDefault="00BC6831" w:rsidP="00BC6831">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val="en-AU" w:eastAsia="en-AU"/>
              </w:rPr>
              <w:t xml:space="preserve">Investment duration: 2014-2021; Budget: $3.7m </w:t>
            </w:r>
          </w:p>
        </w:tc>
        <w:tc>
          <w:tcPr>
            <w:tcW w:w="0" w:type="dxa"/>
            <w:shd w:val="clear" w:color="auto" w:fill="F2F2F2" w:themeFill="background1" w:themeFillShade="F2"/>
            <w:hideMark/>
          </w:tcPr>
          <w:p w14:paraId="42A30353" w14:textId="77777777" w:rsidR="00BC6831" w:rsidRPr="00DB7579" w:rsidRDefault="00BC6831" w:rsidP="00BC68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2020</w:t>
            </w:r>
          </w:p>
        </w:tc>
        <w:tc>
          <w:tcPr>
            <w:tcW w:w="0" w:type="dxa"/>
            <w:shd w:val="clear" w:color="auto" w:fill="F2F2F2" w:themeFill="background1" w:themeFillShade="F2"/>
            <w:noWrap/>
          </w:tcPr>
          <w:p w14:paraId="02C361E5" w14:textId="4C61AEC8" w:rsidR="00BC6831" w:rsidRPr="00DB7579" w:rsidRDefault="00BC6831" w:rsidP="00BC68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4</w:t>
            </w:r>
          </w:p>
        </w:tc>
        <w:tc>
          <w:tcPr>
            <w:tcW w:w="0" w:type="dxa"/>
            <w:shd w:val="clear" w:color="auto" w:fill="F2F2F2" w:themeFill="background1" w:themeFillShade="F2"/>
            <w:noWrap/>
          </w:tcPr>
          <w:p w14:paraId="1C8F4065" w14:textId="5A7B02CD" w:rsidR="00BC6831" w:rsidRPr="00DB7579" w:rsidRDefault="00BC6831" w:rsidP="00BC68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4</w:t>
            </w:r>
          </w:p>
        </w:tc>
        <w:tc>
          <w:tcPr>
            <w:tcW w:w="0" w:type="dxa"/>
            <w:shd w:val="clear" w:color="auto" w:fill="F2F2F2" w:themeFill="background1" w:themeFillShade="F2"/>
            <w:noWrap/>
          </w:tcPr>
          <w:p w14:paraId="3EA630FF" w14:textId="3C274BA3" w:rsidR="00BC6831" w:rsidRPr="00DB7579" w:rsidRDefault="00BC6831" w:rsidP="00BC68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4</w:t>
            </w:r>
          </w:p>
        </w:tc>
      </w:tr>
      <w:tr w:rsidR="00305B7B" w:rsidRPr="00DB7579" w14:paraId="664415AC"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E0F3EF" w:themeFill="accent1" w:themeFillTint="33"/>
            <w:noWrap/>
            <w:vAlign w:val="bottom"/>
            <w:hideMark/>
          </w:tcPr>
          <w:p w14:paraId="75576776" w14:textId="333CCEAC" w:rsidR="00AC551D" w:rsidRPr="00DB7579" w:rsidRDefault="0003138F" w:rsidP="00AF18F4">
            <w:pPr>
              <w:suppressAutoHyphens w:val="0"/>
              <w:spacing w:before="0" w:after="0" w:line="240" w:lineRule="auto"/>
              <w:rPr>
                <w:rFonts w:asciiTheme="minorHAnsi" w:eastAsia="Times New Roman" w:hAnsiTheme="minorHAnsi" w:cstheme="minorHAnsi"/>
                <w:b/>
                <w:bCs/>
                <w:color w:val="595959" w:themeColor="text1" w:themeTint="A6"/>
                <w:sz w:val="20"/>
                <w:szCs w:val="20"/>
                <w:lang w:val="en-AU" w:eastAsia="en-AU"/>
              </w:rPr>
            </w:pPr>
            <w:r w:rsidRPr="00DB7579">
              <w:rPr>
                <w:rFonts w:eastAsia="Times New Roman" w:cstheme="minorHAnsi"/>
                <w:b/>
                <w:bCs/>
                <w:color w:val="595959" w:themeColor="text1" w:themeTint="A6"/>
                <w:sz w:val="20"/>
                <w:szCs w:val="20"/>
                <w:lang w:eastAsia="en-AU"/>
              </w:rPr>
              <w:t>ASEAN – Australian Smart Cities</w:t>
            </w:r>
          </w:p>
        </w:tc>
        <w:tc>
          <w:tcPr>
            <w:tcW w:w="0" w:type="dxa"/>
            <w:shd w:val="clear" w:color="auto" w:fill="E0F3EF" w:themeFill="accent1" w:themeFillTint="33"/>
            <w:hideMark/>
          </w:tcPr>
          <w:p w14:paraId="35291127" w14:textId="77777777" w:rsidR="00AC551D" w:rsidRPr="00DB7579"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2021</w:t>
            </w:r>
          </w:p>
        </w:tc>
        <w:tc>
          <w:tcPr>
            <w:tcW w:w="0" w:type="dxa"/>
            <w:shd w:val="clear" w:color="auto" w:fill="E0F3EF" w:themeFill="accent1" w:themeFillTint="33"/>
            <w:noWrap/>
          </w:tcPr>
          <w:p w14:paraId="0383E59B" w14:textId="3ED16757" w:rsidR="00AC551D" w:rsidRPr="00DB7579" w:rsidRDefault="0003138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0" w:type="dxa"/>
            <w:shd w:val="clear" w:color="auto" w:fill="E0F3EF" w:themeFill="accent1" w:themeFillTint="33"/>
            <w:noWrap/>
          </w:tcPr>
          <w:p w14:paraId="760C1604" w14:textId="027639B2" w:rsidR="00AC551D" w:rsidRPr="00DB7579" w:rsidRDefault="0003138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3</w:t>
            </w:r>
          </w:p>
        </w:tc>
        <w:tc>
          <w:tcPr>
            <w:tcW w:w="0" w:type="dxa"/>
            <w:shd w:val="clear" w:color="auto" w:fill="E0F3EF" w:themeFill="accent1" w:themeFillTint="33"/>
            <w:noWrap/>
          </w:tcPr>
          <w:p w14:paraId="48B585D3" w14:textId="0C9000EA" w:rsidR="00AC551D" w:rsidRPr="00DB7579" w:rsidRDefault="0003138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r>
      <w:tr w:rsidR="00305B7B" w:rsidRPr="00DB7579" w14:paraId="5EA4A873"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E0F3EF" w:themeFill="accent1" w:themeFillTint="33"/>
            <w:hideMark/>
          </w:tcPr>
          <w:p w14:paraId="5D004B83" w14:textId="756BA267" w:rsidR="00AC551D" w:rsidRPr="00DB7579" w:rsidRDefault="00FC5365" w:rsidP="00AF18F4">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val="en-AU" w:eastAsia="en-AU"/>
              </w:rPr>
              <w:t>Investment d</w:t>
            </w:r>
            <w:r w:rsidR="00AC551D" w:rsidRPr="00DB7579">
              <w:rPr>
                <w:rFonts w:eastAsia="Times New Roman" w:cstheme="minorHAnsi"/>
                <w:color w:val="595959" w:themeColor="text1" w:themeTint="A6"/>
                <w:sz w:val="20"/>
                <w:szCs w:val="20"/>
                <w:lang w:val="en-AU" w:eastAsia="en-AU"/>
              </w:rPr>
              <w:t>uration: 201</w:t>
            </w:r>
            <w:r w:rsidR="0003138F" w:rsidRPr="00DB7579">
              <w:rPr>
                <w:rFonts w:eastAsia="Times New Roman" w:cstheme="minorHAnsi"/>
                <w:color w:val="595959" w:themeColor="text1" w:themeTint="A6"/>
                <w:sz w:val="20"/>
                <w:szCs w:val="20"/>
                <w:lang w:val="en-AU" w:eastAsia="en-AU"/>
              </w:rPr>
              <w:t>8</w:t>
            </w:r>
            <w:r w:rsidR="00AC551D" w:rsidRPr="00DB7579">
              <w:rPr>
                <w:rFonts w:eastAsia="Times New Roman" w:cstheme="minorHAnsi"/>
                <w:color w:val="595959" w:themeColor="text1" w:themeTint="A6"/>
                <w:sz w:val="20"/>
                <w:szCs w:val="20"/>
                <w:lang w:val="en-AU" w:eastAsia="en-AU"/>
              </w:rPr>
              <w:t>-</w:t>
            </w:r>
            <w:r w:rsidR="0003138F" w:rsidRPr="00DB7579">
              <w:rPr>
                <w:rFonts w:eastAsia="Times New Roman" w:cstheme="minorHAnsi"/>
                <w:color w:val="595959" w:themeColor="text1" w:themeTint="A6"/>
                <w:sz w:val="20"/>
                <w:szCs w:val="20"/>
                <w:lang w:val="en-AU" w:eastAsia="en-AU"/>
              </w:rPr>
              <w:t>2024</w:t>
            </w:r>
            <w:r w:rsidR="00AC551D" w:rsidRPr="00DB7579">
              <w:rPr>
                <w:rFonts w:eastAsia="Times New Roman" w:cstheme="minorHAnsi"/>
                <w:color w:val="595959" w:themeColor="text1" w:themeTint="A6"/>
                <w:sz w:val="20"/>
                <w:szCs w:val="20"/>
                <w:lang w:val="en-AU" w:eastAsia="en-AU"/>
              </w:rPr>
              <w:t>; Budget: $</w:t>
            </w:r>
            <w:r w:rsidR="0003138F" w:rsidRPr="00DB7579">
              <w:rPr>
                <w:rFonts w:eastAsia="Times New Roman" w:cstheme="minorHAnsi"/>
                <w:color w:val="595959" w:themeColor="text1" w:themeTint="A6"/>
                <w:sz w:val="20"/>
                <w:szCs w:val="20"/>
                <w:lang w:val="en-AU" w:eastAsia="en-AU"/>
              </w:rPr>
              <w:t>20.7</w:t>
            </w:r>
            <w:r w:rsidR="00AC551D" w:rsidRPr="00DB7579">
              <w:rPr>
                <w:rFonts w:eastAsia="Times New Roman" w:cstheme="minorHAnsi"/>
                <w:color w:val="595959" w:themeColor="text1" w:themeTint="A6"/>
                <w:sz w:val="20"/>
                <w:szCs w:val="20"/>
                <w:lang w:val="en-AU" w:eastAsia="en-AU"/>
              </w:rPr>
              <w:t xml:space="preserve">m </w:t>
            </w:r>
          </w:p>
        </w:tc>
        <w:tc>
          <w:tcPr>
            <w:tcW w:w="0" w:type="dxa"/>
            <w:shd w:val="clear" w:color="auto" w:fill="E0F3EF" w:themeFill="accent1" w:themeFillTint="33"/>
            <w:hideMark/>
          </w:tcPr>
          <w:p w14:paraId="6F5DCD3C" w14:textId="77777777" w:rsidR="00AC551D" w:rsidRPr="00DB7579"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2020</w:t>
            </w:r>
          </w:p>
        </w:tc>
        <w:tc>
          <w:tcPr>
            <w:tcW w:w="0" w:type="dxa"/>
            <w:shd w:val="clear" w:color="auto" w:fill="E0F3EF" w:themeFill="accent1" w:themeFillTint="33"/>
            <w:noWrap/>
          </w:tcPr>
          <w:p w14:paraId="7C975F2B" w14:textId="5635B97F" w:rsidR="00AC551D" w:rsidRPr="00DB7579" w:rsidRDefault="00DE74D1"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n/a</w:t>
            </w:r>
          </w:p>
        </w:tc>
        <w:tc>
          <w:tcPr>
            <w:tcW w:w="0" w:type="dxa"/>
            <w:shd w:val="clear" w:color="auto" w:fill="E0F3EF" w:themeFill="accent1" w:themeFillTint="33"/>
            <w:noWrap/>
          </w:tcPr>
          <w:p w14:paraId="562AF5DF" w14:textId="5E85C5D1" w:rsidR="00AC551D" w:rsidRPr="00DB7579" w:rsidRDefault="00DE74D1"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n/a</w:t>
            </w:r>
          </w:p>
        </w:tc>
        <w:tc>
          <w:tcPr>
            <w:tcW w:w="0" w:type="dxa"/>
            <w:shd w:val="clear" w:color="auto" w:fill="E0F3EF" w:themeFill="accent1" w:themeFillTint="33"/>
            <w:noWrap/>
          </w:tcPr>
          <w:p w14:paraId="49275297" w14:textId="300C4100" w:rsidR="00AC551D" w:rsidRPr="00DB7579" w:rsidRDefault="00DE74D1"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n/a</w:t>
            </w:r>
          </w:p>
        </w:tc>
      </w:tr>
      <w:tr w:rsidR="00F76129" w:rsidRPr="00DB7579" w14:paraId="169112A7"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tcPr>
          <w:p w14:paraId="53B1B801" w14:textId="7FFF15F8" w:rsidR="00F76129" w:rsidRPr="00DB7579" w:rsidRDefault="00F76129" w:rsidP="008D5E8B">
            <w:pPr>
              <w:suppressAutoHyphens w:val="0"/>
              <w:spacing w:before="0" w:after="0" w:line="240" w:lineRule="auto"/>
              <w:rPr>
                <w:rFonts w:asciiTheme="minorHAnsi" w:eastAsia="Times New Roman" w:hAnsiTheme="minorHAnsi" w:cstheme="minorHAnsi"/>
                <w:b/>
                <w:bCs/>
                <w:color w:val="595959" w:themeColor="text1" w:themeTint="A6"/>
                <w:sz w:val="20"/>
                <w:szCs w:val="20"/>
                <w:lang w:eastAsia="en-AU"/>
              </w:rPr>
            </w:pPr>
            <w:r w:rsidRPr="00DB7579">
              <w:rPr>
                <w:rFonts w:asciiTheme="minorHAnsi" w:eastAsia="Times New Roman" w:hAnsiTheme="minorHAnsi" w:cstheme="minorHAnsi"/>
                <w:b/>
                <w:bCs/>
                <w:color w:val="595959" w:themeColor="text1" w:themeTint="A6"/>
                <w:sz w:val="20"/>
                <w:szCs w:val="20"/>
                <w:lang w:eastAsia="en-AU"/>
              </w:rPr>
              <w:t>Shaping Inclusive Finance Transformations in ASEAN Program</w:t>
            </w:r>
          </w:p>
        </w:tc>
        <w:tc>
          <w:tcPr>
            <w:tcW w:w="1134" w:type="dxa"/>
            <w:shd w:val="clear" w:color="auto" w:fill="F2F2F2" w:themeFill="background1" w:themeFillShade="F2"/>
          </w:tcPr>
          <w:p w14:paraId="63ECDB59" w14:textId="684F717C"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2021</w:t>
            </w:r>
          </w:p>
        </w:tc>
        <w:tc>
          <w:tcPr>
            <w:tcW w:w="1276" w:type="dxa"/>
            <w:shd w:val="clear" w:color="auto" w:fill="F2F2F2" w:themeFill="background1" w:themeFillShade="F2"/>
            <w:noWrap/>
          </w:tcPr>
          <w:p w14:paraId="10A7CF22" w14:textId="1CC6B20C"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134" w:type="dxa"/>
            <w:shd w:val="clear" w:color="auto" w:fill="F2F2F2" w:themeFill="background1" w:themeFillShade="F2"/>
            <w:noWrap/>
          </w:tcPr>
          <w:p w14:paraId="10C2111D" w14:textId="0DA925CB"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276" w:type="dxa"/>
            <w:shd w:val="clear" w:color="auto" w:fill="F2F2F2" w:themeFill="background1" w:themeFillShade="F2"/>
            <w:noWrap/>
          </w:tcPr>
          <w:p w14:paraId="00173D23" w14:textId="2D1B8F66"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r>
      <w:tr w:rsidR="00F76129" w:rsidRPr="00DB7579" w14:paraId="2D9C06AA"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tcPr>
          <w:p w14:paraId="7A7C2D5E" w14:textId="72E7CD70" w:rsidR="00F76129" w:rsidRPr="00DB7579" w:rsidRDefault="00F76129" w:rsidP="00F76129">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val="en-AU" w:eastAsia="en-AU"/>
              </w:rPr>
              <w:t>Investment duration: 2014-2020</w:t>
            </w:r>
            <w:r w:rsidRPr="00DB7579">
              <w:rPr>
                <w:rFonts w:asciiTheme="minorHAnsi" w:eastAsia="Times New Roman" w:hAnsiTheme="minorHAnsi" w:cstheme="minorHAnsi"/>
                <w:color w:val="595959" w:themeColor="text1" w:themeTint="A6"/>
                <w:sz w:val="20"/>
                <w:szCs w:val="20"/>
                <w:lang w:val="en-AU" w:eastAsia="en-AU"/>
              </w:rPr>
              <w:t>;</w:t>
            </w:r>
            <w:r w:rsidRPr="00DB7579">
              <w:rPr>
                <w:rFonts w:eastAsia="Times New Roman" w:cstheme="minorHAnsi"/>
                <w:color w:val="595959" w:themeColor="text1" w:themeTint="A6"/>
                <w:sz w:val="20"/>
                <w:szCs w:val="20"/>
                <w:lang w:val="en-AU" w:eastAsia="en-AU"/>
              </w:rPr>
              <w:t xml:space="preserve"> Budget $9.9 m</w:t>
            </w:r>
          </w:p>
        </w:tc>
        <w:tc>
          <w:tcPr>
            <w:tcW w:w="1134" w:type="dxa"/>
            <w:shd w:val="clear" w:color="auto" w:fill="F2F2F2" w:themeFill="background1" w:themeFillShade="F2"/>
          </w:tcPr>
          <w:p w14:paraId="08E5720D" w14:textId="3E3DA240"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2020</w:t>
            </w:r>
          </w:p>
        </w:tc>
        <w:tc>
          <w:tcPr>
            <w:tcW w:w="1276" w:type="dxa"/>
            <w:shd w:val="clear" w:color="auto" w:fill="F2F2F2" w:themeFill="background1" w:themeFillShade="F2"/>
            <w:noWrap/>
          </w:tcPr>
          <w:p w14:paraId="65551CC9" w14:textId="147351D5"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134" w:type="dxa"/>
            <w:shd w:val="clear" w:color="auto" w:fill="F2F2F2" w:themeFill="background1" w:themeFillShade="F2"/>
            <w:noWrap/>
          </w:tcPr>
          <w:p w14:paraId="0D3E307A" w14:textId="2717227C"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276" w:type="dxa"/>
            <w:shd w:val="clear" w:color="auto" w:fill="F2F2F2" w:themeFill="background1" w:themeFillShade="F2"/>
            <w:noWrap/>
          </w:tcPr>
          <w:p w14:paraId="25D6698D" w14:textId="3D92BB2D"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r>
      <w:tr w:rsidR="00F76129" w:rsidRPr="00DB7579" w14:paraId="5E0CDD47" w14:textId="77777777" w:rsidTr="00303BED">
        <w:trPr>
          <w:cnfStyle w:val="100000000000" w:firstRow="1" w:lastRow="0" w:firstColumn="0" w:lastColumn="0" w:oddVBand="0" w:evenVBand="0" w:oddHBand="0" w:evenHBand="0" w:firstRowFirstColumn="0" w:firstRowLastColumn="0" w:lastRowFirstColumn="0" w:lastRowLastColumn="0"/>
          <w:trHeight w:hRule="exact" w:val="341"/>
          <w:tblHead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E0F3EF" w:themeFill="accent1" w:themeFillTint="33"/>
          </w:tcPr>
          <w:p w14:paraId="65F4CC73" w14:textId="27D90121" w:rsidR="00F76129" w:rsidRPr="00DB7579" w:rsidRDefault="00F76129" w:rsidP="008D5E8B">
            <w:pPr>
              <w:suppressAutoHyphens w:val="0"/>
              <w:spacing w:before="0" w:after="0" w:line="240" w:lineRule="auto"/>
              <w:rPr>
                <w:rFonts w:eastAsia="Times New Roman" w:cstheme="minorHAnsi"/>
                <w:color w:val="595959" w:themeColor="text1" w:themeTint="A6"/>
                <w:sz w:val="20"/>
                <w:szCs w:val="20"/>
                <w:lang w:val="en-AU" w:eastAsia="en-AU"/>
              </w:rPr>
            </w:pPr>
            <w:r w:rsidRPr="00DB7579">
              <w:rPr>
                <w:rFonts w:eastAsia="Times New Roman" w:cstheme="minorHAnsi"/>
                <w:b/>
                <w:bCs/>
                <w:color w:val="595959" w:themeColor="text1" w:themeTint="A6"/>
                <w:sz w:val="20"/>
                <w:szCs w:val="20"/>
                <w:lang w:eastAsia="en-AU"/>
              </w:rPr>
              <w:t xml:space="preserve">Support </w:t>
            </w:r>
            <w:r w:rsidRPr="00DB7579">
              <w:rPr>
                <w:rFonts w:asciiTheme="minorHAnsi" w:eastAsia="Times New Roman" w:hAnsiTheme="minorHAnsi" w:cstheme="minorHAnsi"/>
                <w:b/>
                <w:bCs/>
                <w:color w:val="595959" w:themeColor="text1" w:themeTint="A6"/>
                <w:sz w:val="20"/>
                <w:szCs w:val="20"/>
                <w:lang w:eastAsia="en-AU"/>
              </w:rPr>
              <w:t>to ERIA – 2</w:t>
            </w:r>
            <w:r w:rsidRPr="00DB7579">
              <w:rPr>
                <w:rFonts w:eastAsia="Times New Roman" w:cstheme="minorHAnsi"/>
                <w:b/>
                <w:bCs/>
                <w:color w:val="595959" w:themeColor="text1" w:themeTint="A6"/>
                <w:sz w:val="20"/>
                <w:szCs w:val="20"/>
                <w:vertAlign w:val="superscript"/>
                <w:lang w:eastAsia="en-AU"/>
              </w:rPr>
              <w:t>nd</w:t>
            </w:r>
            <w:r w:rsidRPr="00DB7579">
              <w:rPr>
                <w:rFonts w:asciiTheme="minorHAnsi" w:eastAsia="Times New Roman" w:hAnsiTheme="minorHAnsi" w:cstheme="minorHAnsi"/>
                <w:b/>
                <w:bCs/>
                <w:color w:val="595959" w:themeColor="text1" w:themeTint="A6"/>
                <w:sz w:val="20"/>
                <w:szCs w:val="20"/>
                <w:lang w:eastAsia="en-AU"/>
              </w:rPr>
              <w:t xml:space="preserve"> phase </w:t>
            </w:r>
          </w:p>
        </w:tc>
        <w:tc>
          <w:tcPr>
            <w:tcW w:w="0" w:type="dxa"/>
            <w:shd w:val="clear" w:color="auto" w:fill="E0F3EF" w:themeFill="accent1" w:themeFillTint="33"/>
          </w:tcPr>
          <w:p w14:paraId="7B543A14" w14:textId="4CD634B9"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2021</w:t>
            </w:r>
          </w:p>
        </w:tc>
        <w:tc>
          <w:tcPr>
            <w:tcW w:w="0" w:type="dxa"/>
            <w:shd w:val="clear" w:color="auto" w:fill="E0F3EF" w:themeFill="accent1" w:themeFillTint="33"/>
            <w:noWrap/>
          </w:tcPr>
          <w:p w14:paraId="69451D74" w14:textId="412375CE"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0" w:type="dxa"/>
            <w:shd w:val="clear" w:color="auto" w:fill="E0F3EF" w:themeFill="accent1" w:themeFillTint="33"/>
            <w:noWrap/>
          </w:tcPr>
          <w:p w14:paraId="1B87E5A7" w14:textId="086B2C1E"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0" w:type="dxa"/>
            <w:shd w:val="clear" w:color="auto" w:fill="E0F3EF" w:themeFill="accent1" w:themeFillTint="33"/>
            <w:noWrap/>
          </w:tcPr>
          <w:p w14:paraId="4781EA78" w14:textId="12882AEE"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r>
      <w:tr w:rsidR="00F76129" w:rsidRPr="00DB7579" w14:paraId="43BB0B2E"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tcPr>
          <w:p w14:paraId="496C6F7C" w14:textId="41C1445D" w:rsidR="00F76129" w:rsidRPr="00DB7579" w:rsidRDefault="00F76129" w:rsidP="00F76129">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Investment duration: 2018-2023; Budget $5 m</w:t>
            </w:r>
          </w:p>
        </w:tc>
        <w:tc>
          <w:tcPr>
            <w:tcW w:w="1134" w:type="dxa"/>
            <w:shd w:val="clear" w:color="auto" w:fill="E0F3EF" w:themeFill="accent1" w:themeFillTint="33"/>
          </w:tcPr>
          <w:p w14:paraId="5FFDCF85" w14:textId="50B180F0"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2020</w:t>
            </w:r>
          </w:p>
        </w:tc>
        <w:tc>
          <w:tcPr>
            <w:tcW w:w="1276" w:type="dxa"/>
            <w:shd w:val="clear" w:color="auto" w:fill="E0F3EF" w:themeFill="accent1" w:themeFillTint="33"/>
            <w:noWrap/>
          </w:tcPr>
          <w:p w14:paraId="270F1B9A" w14:textId="0CE3B080"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134" w:type="dxa"/>
            <w:shd w:val="clear" w:color="auto" w:fill="E0F3EF" w:themeFill="accent1" w:themeFillTint="33"/>
            <w:noWrap/>
          </w:tcPr>
          <w:p w14:paraId="09A2A735" w14:textId="15F6CF48"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276" w:type="dxa"/>
            <w:shd w:val="clear" w:color="auto" w:fill="E0F3EF" w:themeFill="accent1" w:themeFillTint="33"/>
            <w:noWrap/>
          </w:tcPr>
          <w:p w14:paraId="3FF561F0" w14:textId="387ABA26"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w:t>
            </w:r>
          </w:p>
        </w:tc>
      </w:tr>
      <w:tr w:rsidR="00F76129" w:rsidRPr="00DB7579" w14:paraId="5505431A"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tcPr>
          <w:p w14:paraId="6057E143" w14:textId="0B8C2700" w:rsidR="00F76129" w:rsidRPr="00DB7579" w:rsidRDefault="00F76129" w:rsidP="008D5E8B">
            <w:pPr>
              <w:suppressAutoHyphens w:val="0"/>
              <w:spacing w:before="0" w:after="0" w:line="240" w:lineRule="auto"/>
              <w:rPr>
                <w:rFonts w:asciiTheme="minorHAnsi" w:eastAsia="Times New Roman" w:hAnsiTheme="minorHAnsi" w:cstheme="minorHAnsi"/>
                <w:b/>
                <w:bCs/>
                <w:color w:val="595959" w:themeColor="text1" w:themeTint="A6"/>
                <w:sz w:val="20"/>
                <w:szCs w:val="20"/>
                <w:lang w:eastAsia="en-AU"/>
              </w:rPr>
            </w:pPr>
            <w:r w:rsidRPr="00DB7579">
              <w:rPr>
                <w:rFonts w:eastAsia="Times New Roman" w:cstheme="minorHAnsi"/>
                <w:b/>
                <w:bCs/>
                <w:color w:val="595959" w:themeColor="text1" w:themeTint="A6"/>
                <w:sz w:val="20"/>
                <w:szCs w:val="20"/>
                <w:lang w:eastAsia="en-AU"/>
              </w:rPr>
              <w:t xml:space="preserve">ASEAN-Australian Counter Trafficking Program </w:t>
            </w:r>
          </w:p>
        </w:tc>
        <w:tc>
          <w:tcPr>
            <w:tcW w:w="1134" w:type="dxa"/>
            <w:shd w:val="clear" w:color="auto" w:fill="F2F2F2" w:themeFill="background1" w:themeFillShade="F2"/>
          </w:tcPr>
          <w:p w14:paraId="2669A946" w14:textId="44AC47F6"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2021</w:t>
            </w:r>
          </w:p>
        </w:tc>
        <w:tc>
          <w:tcPr>
            <w:tcW w:w="1276" w:type="dxa"/>
            <w:shd w:val="clear" w:color="auto" w:fill="F2F2F2" w:themeFill="background1" w:themeFillShade="F2"/>
            <w:noWrap/>
          </w:tcPr>
          <w:p w14:paraId="3E8FA56A" w14:textId="57441819"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134" w:type="dxa"/>
            <w:shd w:val="clear" w:color="auto" w:fill="F2F2F2" w:themeFill="background1" w:themeFillShade="F2"/>
            <w:noWrap/>
          </w:tcPr>
          <w:p w14:paraId="27C9BC2F" w14:textId="6A5D5E2E"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276" w:type="dxa"/>
            <w:shd w:val="clear" w:color="auto" w:fill="F2F2F2" w:themeFill="background1" w:themeFillShade="F2"/>
            <w:noWrap/>
          </w:tcPr>
          <w:p w14:paraId="01452767" w14:textId="1AF30885"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r>
      <w:tr w:rsidR="00F76129" w:rsidRPr="00DB7579" w14:paraId="6ED7935C"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tcPr>
          <w:p w14:paraId="770F54D2" w14:textId="2E68753C" w:rsidR="00F76129" w:rsidRPr="00DB7579" w:rsidRDefault="00F76129" w:rsidP="00F76129">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val="en-AU" w:eastAsia="en-AU"/>
              </w:rPr>
              <w:t xml:space="preserve">Investment duration: </w:t>
            </w:r>
            <w:r w:rsidRPr="00DB7579">
              <w:rPr>
                <w:rFonts w:asciiTheme="minorHAnsi" w:eastAsia="Times New Roman" w:hAnsiTheme="minorHAnsi" w:cstheme="minorHAnsi"/>
                <w:color w:val="595959" w:themeColor="text1" w:themeTint="A6"/>
                <w:sz w:val="20"/>
                <w:szCs w:val="20"/>
                <w:lang w:val="en-AU" w:eastAsia="en-AU"/>
              </w:rPr>
              <w:t>2018-2028;</w:t>
            </w:r>
            <w:r w:rsidRPr="00DB7579">
              <w:rPr>
                <w:rFonts w:eastAsia="Times New Roman" w:cstheme="minorHAnsi"/>
                <w:color w:val="595959" w:themeColor="text1" w:themeTint="A6"/>
                <w:sz w:val="20"/>
                <w:szCs w:val="20"/>
                <w:lang w:val="en-AU" w:eastAsia="en-AU"/>
              </w:rPr>
              <w:t xml:space="preserve"> Budget $</w:t>
            </w:r>
            <w:r w:rsidRPr="00DB7579">
              <w:rPr>
                <w:rFonts w:asciiTheme="minorHAnsi" w:eastAsia="Times New Roman" w:hAnsiTheme="minorHAnsi" w:cstheme="minorHAnsi"/>
                <w:color w:val="595959" w:themeColor="text1" w:themeTint="A6"/>
                <w:sz w:val="20"/>
                <w:szCs w:val="20"/>
                <w:lang w:val="en-AU" w:eastAsia="en-AU"/>
              </w:rPr>
              <w:t>80</w:t>
            </w:r>
            <w:r w:rsidRPr="00DB7579">
              <w:rPr>
                <w:rFonts w:eastAsia="Times New Roman" w:cstheme="minorHAnsi"/>
                <w:color w:val="595959" w:themeColor="text1" w:themeTint="A6"/>
                <w:sz w:val="20"/>
                <w:szCs w:val="20"/>
                <w:lang w:val="en-AU" w:eastAsia="en-AU"/>
              </w:rPr>
              <w:t xml:space="preserve"> m</w:t>
            </w:r>
          </w:p>
        </w:tc>
        <w:tc>
          <w:tcPr>
            <w:tcW w:w="1134" w:type="dxa"/>
            <w:shd w:val="clear" w:color="auto" w:fill="F2F2F2" w:themeFill="background1" w:themeFillShade="F2"/>
          </w:tcPr>
          <w:p w14:paraId="2235FF6A" w14:textId="20517ADE"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2020</w:t>
            </w:r>
          </w:p>
        </w:tc>
        <w:tc>
          <w:tcPr>
            <w:tcW w:w="1276" w:type="dxa"/>
            <w:shd w:val="clear" w:color="auto" w:fill="F2F2F2" w:themeFill="background1" w:themeFillShade="F2"/>
            <w:noWrap/>
          </w:tcPr>
          <w:p w14:paraId="0C945A8E" w14:textId="789A88D1"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134" w:type="dxa"/>
            <w:shd w:val="clear" w:color="auto" w:fill="F2F2F2" w:themeFill="background1" w:themeFillShade="F2"/>
            <w:noWrap/>
          </w:tcPr>
          <w:p w14:paraId="3262B348" w14:textId="5B7FA419"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276" w:type="dxa"/>
            <w:shd w:val="clear" w:color="auto" w:fill="F2F2F2" w:themeFill="background1" w:themeFillShade="F2"/>
            <w:noWrap/>
          </w:tcPr>
          <w:p w14:paraId="0F84A5C1" w14:textId="4AC73BC2"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r>
      <w:tr w:rsidR="00F76129" w:rsidRPr="00DB7579" w14:paraId="4E344B64"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tcPr>
          <w:p w14:paraId="676E7413" w14:textId="02C155D9" w:rsidR="00F76129" w:rsidRPr="00DB7579" w:rsidRDefault="00F76129" w:rsidP="008D5E8B">
            <w:pPr>
              <w:suppressAutoHyphens w:val="0"/>
              <w:spacing w:before="0" w:after="0" w:line="240" w:lineRule="auto"/>
              <w:rPr>
                <w:rFonts w:asciiTheme="minorHAnsi" w:eastAsia="Times New Roman" w:hAnsiTheme="minorHAnsi" w:cstheme="minorHAnsi"/>
                <w:b/>
                <w:bCs/>
                <w:color w:val="595959" w:themeColor="text1" w:themeTint="A6"/>
                <w:sz w:val="20"/>
                <w:szCs w:val="20"/>
                <w:lang w:eastAsia="en-AU"/>
              </w:rPr>
            </w:pPr>
            <w:r w:rsidRPr="00DB7579">
              <w:rPr>
                <w:rFonts w:eastAsia="Times New Roman" w:cstheme="minorHAnsi"/>
                <w:b/>
                <w:bCs/>
                <w:color w:val="595959" w:themeColor="text1" w:themeTint="A6"/>
                <w:sz w:val="20"/>
                <w:szCs w:val="20"/>
                <w:lang w:eastAsia="en-AU"/>
              </w:rPr>
              <w:t xml:space="preserve">ASEAN-Australian Development Cooperation Program </w:t>
            </w:r>
            <w:r w:rsidRPr="00DB7579">
              <w:rPr>
                <w:rFonts w:asciiTheme="minorHAnsi" w:eastAsia="Times New Roman" w:hAnsiTheme="minorHAnsi" w:cstheme="minorHAnsi"/>
                <w:b/>
                <w:bCs/>
                <w:color w:val="595959" w:themeColor="text1" w:themeTint="A6"/>
                <w:sz w:val="20"/>
                <w:szCs w:val="20"/>
                <w:lang w:eastAsia="en-AU"/>
              </w:rPr>
              <w:t>II</w:t>
            </w:r>
          </w:p>
        </w:tc>
        <w:tc>
          <w:tcPr>
            <w:tcW w:w="1134" w:type="dxa"/>
            <w:shd w:val="clear" w:color="auto" w:fill="E0F3EF" w:themeFill="accent1" w:themeFillTint="33"/>
          </w:tcPr>
          <w:p w14:paraId="1367E3DB" w14:textId="70E34999"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2021</w:t>
            </w:r>
          </w:p>
        </w:tc>
        <w:tc>
          <w:tcPr>
            <w:tcW w:w="1276" w:type="dxa"/>
            <w:shd w:val="clear" w:color="auto" w:fill="E0F3EF" w:themeFill="accent1" w:themeFillTint="33"/>
            <w:noWrap/>
          </w:tcPr>
          <w:p w14:paraId="139D1211" w14:textId="584C51CC"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134" w:type="dxa"/>
            <w:shd w:val="clear" w:color="auto" w:fill="E0F3EF" w:themeFill="accent1" w:themeFillTint="33"/>
            <w:noWrap/>
          </w:tcPr>
          <w:p w14:paraId="0BCAD0EC" w14:textId="02EAF487"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276" w:type="dxa"/>
            <w:shd w:val="clear" w:color="auto" w:fill="E0F3EF" w:themeFill="accent1" w:themeFillTint="33"/>
            <w:noWrap/>
          </w:tcPr>
          <w:p w14:paraId="7EBDB0CB" w14:textId="0AB3845C"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3</w:t>
            </w:r>
          </w:p>
        </w:tc>
      </w:tr>
      <w:tr w:rsidR="00F76129" w:rsidRPr="00DB7579" w14:paraId="3E06D594"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tcPr>
          <w:p w14:paraId="13CAA001" w14:textId="78664347" w:rsidR="00F76129" w:rsidRPr="00DB7579" w:rsidRDefault="00F76129" w:rsidP="00F76129">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Investment duration: 2008-2021; Budget $57m</w:t>
            </w:r>
          </w:p>
        </w:tc>
        <w:tc>
          <w:tcPr>
            <w:tcW w:w="1134" w:type="dxa"/>
            <w:shd w:val="clear" w:color="auto" w:fill="E0F3EF" w:themeFill="accent1" w:themeFillTint="33"/>
          </w:tcPr>
          <w:p w14:paraId="5F690D2B" w14:textId="6BAFAA6C"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2020</w:t>
            </w:r>
          </w:p>
        </w:tc>
        <w:tc>
          <w:tcPr>
            <w:tcW w:w="1276" w:type="dxa"/>
            <w:shd w:val="clear" w:color="auto" w:fill="E0F3EF" w:themeFill="accent1" w:themeFillTint="33"/>
            <w:noWrap/>
          </w:tcPr>
          <w:p w14:paraId="5C2B1D69" w14:textId="23E9826F"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134" w:type="dxa"/>
            <w:shd w:val="clear" w:color="auto" w:fill="E0F3EF" w:themeFill="accent1" w:themeFillTint="33"/>
            <w:noWrap/>
          </w:tcPr>
          <w:p w14:paraId="7D142978" w14:textId="503DB1F5"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276" w:type="dxa"/>
            <w:shd w:val="clear" w:color="auto" w:fill="E0F3EF" w:themeFill="accent1" w:themeFillTint="33"/>
            <w:noWrap/>
          </w:tcPr>
          <w:p w14:paraId="0987E91E" w14:textId="69E0E632"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3</w:t>
            </w:r>
          </w:p>
        </w:tc>
      </w:tr>
      <w:tr w:rsidR="00F76129" w:rsidRPr="00DB7579" w14:paraId="4D1C0BF0"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tcPr>
          <w:p w14:paraId="246A0CEB" w14:textId="08C82F0A" w:rsidR="00F76129" w:rsidRPr="00DB7579" w:rsidRDefault="00F76129" w:rsidP="008D5E8B">
            <w:pPr>
              <w:suppressAutoHyphens w:val="0"/>
              <w:spacing w:before="0" w:after="0" w:line="240" w:lineRule="auto"/>
              <w:rPr>
                <w:rFonts w:asciiTheme="minorHAnsi" w:eastAsia="Times New Roman" w:hAnsiTheme="minorHAnsi" w:cstheme="minorHAnsi"/>
                <w:b/>
                <w:bCs/>
                <w:color w:val="595959" w:themeColor="text1" w:themeTint="A6"/>
                <w:sz w:val="20"/>
                <w:szCs w:val="20"/>
                <w:lang w:eastAsia="en-AU"/>
              </w:rPr>
            </w:pPr>
            <w:r w:rsidRPr="00DB7579">
              <w:rPr>
                <w:rFonts w:eastAsia="Times New Roman" w:cstheme="minorHAnsi"/>
                <w:b/>
                <w:bCs/>
                <w:color w:val="595959" w:themeColor="text1" w:themeTint="A6"/>
                <w:sz w:val="20"/>
                <w:szCs w:val="20"/>
                <w:lang w:eastAsia="en-AU"/>
              </w:rPr>
              <w:t>AANZFTA Economic Cooperation Support Program</w:t>
            </w:r>
          </w:p>
        </w:tc>
        <w:tc>
          <w:tcPr>
            <w:tcW w:w="1134" w:type="dxa"/>
            <w:shd w:val="clear" w:color="auto" w:fill="F2F2F2" w:themeFill="background1" w:themeFillShade="F2"/>
          </w:tcPr>
          <w:p w14:paraId="137E4D98" w14:textId="4D29E6F2"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2021</w:t>
            </w:r>
          </w:p>
        </w:tc>
        <w:tc>
          <w:tcPr>
            <w:tcW w:w="1276" w:type="dxa"/>
            <w:shd w:val="clear" w:color="auto" w:fill="F2F2F2" w:themeFill="background1" w:themeFillShade="F2"/>
            <w:noWrap/>
          </w:tcPr>
          <w:p w14:paraId="6F7378DD" w14:textId="73EBFAC1"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134" w:type="dxa"/>
            <w:shd w:val="clear" w:color="auto" w:fill="F2F2F2" w:themeFill="background1" w:themeFillShade="F2"/>
            <w:noWrap/>
          </w:tcPr>
          <w:p w14:paraId="3BF09C6A" w14:textId="3EFFC236"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276" w:type="dxa"/>
            <w:shd w:val="clear" w:color="auto" w:fill="F2F2F2" w:themeFill="background1" w:themeFillShade="F2"/>
            <w:noWrap/>
          </w:tcPr>
          <w:p w14:paraId="18AD582A" w14:textId="74CA7472"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3</w:t>
            </w:r>
          </w:p>
        </w:tc>
      </w:tr>
      <w:tr w:rsidR="00F76129" w:rsidRPr="00DB7579" w14:paraId="714C31FD"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tcPr>
          <w:p w14:paraId="7BA36351" w14:textId="062FFBC0" w:rsidR="00F76129" w:rsidRPr="00DB7579" w:rsidRDefault="00F76129" w:rsidP="00F76129">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Investment duration: 2010-2021; Budget $36m</w:t>
            </w:r>
          </w:p>
        </w:tc>
        <w:tc>
          <w:tcPr>
            <w:tcW w:w="1134" w:type="dxa"/>
            <w:shd w:val="clear" w:color="auto" w:fill="F2F2F2" w:themeFill="background1" w:themeFillShade="F2"/>
          </w:tcPr>
          <w:p w14:paraId="4626105D" w14:textId="5B8DB98A"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2020</w:t>
            </w:r>
          </w:p>
        </w:tc>
        <w:tc>
          <w:tcPr>
            <w:tcW w:w="1276" w:type="dxa"/>
            <w:shd w:val="clear" w:color="auto" w:fill="F2F2F2" w:themeFill="background1" w:themeFillShade="F2"/>
            <w:noWrap/>
          </w:tcPr>
          <w:p w14:paraId="3D4E9607" w14:textId="15E229A9"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134" w:type="dxa"/>
            <w:shd w:val="clear" w:color="auto" w:fill="F2F2F2" w:themeFill="background1" w:themeFillShade="F2"/>
            <w:noWrap/>
          </w:tcPr>
          <w:p w14:paraId="0ADE6702" w14:textId="2064EFC5"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1276" w:type="dxa"/>
            <w:shd w:val="clear" w:color="auto" w:fill="F2F2F2" w:themeFill="background1" w:themeFillShade="F2"/>
            <w:noWrap/>
          </w:tcPr>
          <w:p w14:paraId="112270C0" w14:textId="5B4F14F5"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3</w:t>
            </w:r>
          </w:p>
        </w:tc>
      </w:tr>
      <w:tr w:rsidR="00100513" w:rsidRPr="00DB7579" w14:paraId="1F6BAD55"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E0F3EF" w:themeFill="accent1" w:themeFillTint="33"/>
          </w:tcPr>
          <w:p w14:paraId="0800D85B" w14:textId="50CB6CCC" w:rsidR="00100513" w:rsidRPr="00DB7579" w:rsidRDefault="00100513" w:rsidP="008D5E8B">
            <w:pPr>
              <w:suppressAutoHyphens w:val="0"/>
              <w:spacing w:before="0" w:after="0" w:line="240" w:lineRule="auto"/>
              <w:rPr>
                <w:rFonts w:eastAsia="Times New Roman" w:cstheme="minorHAnsi"/>
                <w:b/>
                <w:bCs/>
                <w:color w:val="595959" w:themeColor="text1" w:themeTint="A6"/>
                <w:sz w:val="20"/>
                <w:szCs w:val="20"/>
                <w:lang w:val="en-AU" w:eastAsia="en-AU"/>
              </w:rPr>
            </w:pPr>
            <w:r w:rsidRPr="00DB7579">
              <w:rPr>
                <w:rFonts w:eastAsia="Times New Roman" w:cstheme="minorHAnsi"/>
                <w:b/>
                <w:bCs/>
                <w:color w:val="595959" w:themeColor="text1" w:themeTint="A6"/>
                <w:sz w:val="20"/>
                <w:szCs w:val="20"/>
                <w:lang w:eastAsia="en-AU"/>
              </w:rPr>
              <w:t>TRIANGLE in ASEAN</w:t>
            </w:r>
          </w:p>
        </w:tc>
        <w:tc>
          <w:tcPr>
            <w:tcW w:w="1134" w:type="dxa"/>
            <w:shd w:val="clear" w:color="auto" w:fill="E0F3EF" w:themeFill="accent1" w:themeFillTint="33"/>
          </w:tcPr>
          <w:p w14:paraId="2378C013" w14:textId="6713C4FD" w:rsidR="00100513" w:rsidRPr="00DB7579" w:rsidRDefault="00100513" w:rsidP="0010051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2021</w:t>
            </w:r>
          </w:p>
        </w:tc>
        <w:tc>
          <w:tcPr>
            <w:tcW w:w="1276" w:type="dxa"/>
            <w:shd w:val="clear" w:color="auto" w:fill="E0F3EF" w:themeFill="accent1" w:themeFillTint="33"/>
            <w:noWrap/>
          </w:tcPr>
          <w:p w14:paraId="6A6D6866" w14:textId="03E3E448" w:rsidR="00100513" w:rsidRPr="00DB7579" w:rsidRDefault="00100513" w:rsidP="0010051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134" w:type="dxa"/>
            <w:shd w:val="clear" w:color="auto" w:fill="E0F3EF" w:themeFill="accent1" w:themeFillTint="33"/>
            <w:noWrap/>
          </w:tcPr>
          <w:p w14:paraId="024B068C" w14:textId="58B95980" w:rsidR="00100513" w:rsidRPr="00DB7579" w:rsidRDefault="00100513" w:rsidP="0010051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276" w:type="dxa"/>
            <w:shd w:val="clear" w:color="auto" w:fill="E0F3EF" w:themeFill="accent1" w:themeFillTint="33"/>
            <w:noWrap/>
          </w:tcPr>
          <w:p w14:paraId="1346D525" w14:textId="59AB57F1" w:rsidR="00100513" w:rsidRPr="00DB7579" w:rsidRDefault="00100513" w:rsidP="0010051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r>
      <w:tr w:rsidR="00100513" w:rsidRPr="00DB7579" w14:paraId="3FDDE785"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tcPr>
          <w:p w14:paraId="40DBE148" w14:textId="79D99916" w:rsidR="00100513" w:rsidRPr="00DB7579" w:rsidRDefault="00100513" w:rsidP="00100513">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Investment duration: 2015-2027; Budget $24m</w:t>
            </w:r>
          </w:p>
        </w:tc>
        <w:tc>
          <w:tcPr>
            <w:tcW w:w="1134" w:type="dxa"/>
            <w:shd w:val="clear" w:color="auto" w:fill="E0F3EF" w:themeFill="accent1" w:themeFillTint="33"/>
          </w:tcPr>
          <w:p w14:paraId="4E5E68A3" w14:textId="7C79004A" w:rsidR="00100513" w:rsidRPr="00DB7579" w:rsidRDefault="00100513" w:rsidP="0010051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2020</w:t>
            </w:r>
          </w:p>
        </w:tc>
        <w:tc>
          <w:tcPr>
            <w:tcW w:w="1276" w:type="dxa"/>
            <w:shd w:val="clear" w:color="auto" w:fill="E0F3EF" w:themeFill="accent1" w:themeFillTint="33"/>
            <w:noWrap/>
          </w:tcPr>
          <w:p w14:paraId="16E11B1F" w14:textId="1D59AD97" w:rsidR="00100513" w:rsidRPr="00DB7579" w:rsidRDefault="00100513" w:rsidP="0010051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134" w:type="dxa"/>
            <w:shd w:val="clear" w:color="auto" w:fill="E0F3EF" w:themeFill="accent1" w:themeFillTint="33"/>
            <w:noWrap/>
          </w:tcPr>
          <w:p w14:paraId="54DA28EF" w14:textId="1465490F" w:rsidR="00100513" w:rsidRPr="00DB7579" w:rsidRDefault="00100513" w:rsidP="0010051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c>
          <w:tcPr>
            <w:tcW w:w="1276" w:type="dxa"/>
            <w:shd w:val="clear" w:color="auto" w:fill="E0F3EF" w:themeFill="accent1" w:themeFillTint="33"/>
            <w:noWrap/>
          </w:tcPr>
          <w:p w14:paraId="50614D43" w14:textId="0CB077B4" w:rsidR="00100513" w:rsidRPr="00DB7579" w:rsidRDefault="00100513" w:rsidP="0010051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5</w:t>
            </w:r>
          </w:p>
        </w:tc>
      </w:tr>
      <w:tr w:rsidR="00F76129" w:rsidRPr="00DB7579" w14:paraId="0A153459"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F2F2F2" w:themeFill="background1" w:themeFillShade="F2"/>
          </w:tcPr>
          <w:p w14:paraId="46EBF236" w14:textId="3178A671" w:rsidR="00F76129" w:rsidRPr="00DB7579" w:rsidRDefault="00F76129" w:rsidP="008D5E8B">
            <w:pPr>
              <w:suppressAutoHyphens w:val="0"/>
              <w:spacing w:before="0" w:after="0" w:line="240" w:lineRule="auto"/>
              <w:rPr>
                <w:rFonts w:asciiTheme="minorHAnsi" w:eastAsia="Times New Roman" w:hAnsiTheme="minorHAnsi" w:cstheme="minorHAnsi"/>
                <w:b/>
                <w:bCs/>
                <w:color w:val="595959" w:themeColor="text1" w:themeTint="A6"/>
                <w:sz w:val="20"/>
                <w:szCs w:val="20"/>
                <w:lang w:eastAsia="en-AU"/>
              </w:rPr>
            </w:pPr>
            <w:r w:rsidRPr="00DB7579">
              <w:rPr>
                <w:rFonts w:eastAsia="Times New Roman" w:cstheme="minorHAnsi"/>
                <w:b/>
                <w:bCs/>
                <w:color w:val="595959" w:themeColor="text1" w:themeTint="A6"/>
                <w:sz w:val="20"/>
                <w:szCs w:val="20"/>
                <w:lang w:eastAsia="en-AU"/>
              </w:rPr>
              <w:t>MAP-W</w:t>
            </w:r>
            <w:r w:rsidR="00E6285B">
              <w:rPr>
                <w:rFonts w:eastAsia="Times New Roman" w:cstheme="minorHAnsi"/>
                <w:b/>
                <w:bCs/>
                <w:color w:val="595959" w:themeColor="text1" w:themeTint="A6"/>
                <w:sz w:val="20"/>
                <w:szCs w:val="20"/>
                <w:lang w:eastAsia="en-AU"/>
              </w:rPr>
              <w:t>EC</w:t>
            </w:r>
            <w:r w:rsidRPr="00DB7579">
              <w:rPr>
                <w:rFonts w:eastAsia="Times New Roman" w:cstheme="minorHAnsi"/>
                <w:b/>
                <w:bCs/>
                <w:color w:val="595959" w:themeColor="text1" w:themeTint="A6"/>
                <w:sz w:val="20"/>
                <w:szCs w:val="20"/>
                <w:lang w:eastAsia="en-AU"/>
              </w:rPr>
              <w:t xml:space="preserve">: Australia-Mekong Water Facility </w:t>
            </w:r>
          </w:p>
        </w:tc>
        <w:tc>
          <w:tcPr>
            <w:tcW w:w="0" w:type="dxa"/>
            <w:shd w:val="clear" w:color="auto" w:fill="F2F2F2" w:themeFill="background1" w:themeFillShade="F2"/>
          </w:tcPr>
          <w:p w14:paraId="64B7E8B7" w14:textId="490D03AE"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2021</w:t>
            </w:r>
          </w:p>
        </w:tc>
        <w:tc>
          <w:tcPr>
            <w:tcW w:w="0" w:type="dxa"/>
            <w:shd w:val="clear" w:color="auto" w:fill="F2F2F2" w:themeFill="background1" w:themeFillShade="F2"/>
            <w:noWrap/>
            <w:vAlign w:val="bottom"/>
          </w:tcPr>
          <w:p w14:paraId="7E67B248" w14:textId="64EC7148"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3</w:t>
            </w:r>
          </w:p>
        </w:tc>
        <w:tc>
          <w:tcPr>
            <w:tcW w:w="0" w:type="dxa"/>
            <w:shd w:val="clear" w:color="auto" w:fill="F2F2F2" w:themeFill="background1" w:themeFillShade="F2"/>
            <w:noWrap/>
            <w:vAlign w:val="bottom"/>
          </w:tcPr>
          <w:p w14:paraId="6B2F7362" w14:textId="14E40C15"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3</w:t>
            </w:r>
          </w:p>
        </w:tc>
        <w:tc>
          <w:tcPr>
            <w:tcW w:w="0" w:type="dxa"/>
            <w:shd w:val="clear" w:color="auto" w:fill="F2F2F2" w:themeFill="background1" w:themeFillShade="F2"/>
            <w:noWrap/>
            <w:vAlign w:val="bottom"/>
          </w:tcPr>
          <w:p w14:paraId="166A60ED" w14:textId="03620DEE"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3</w:t>
            </w:r>
          </w:p>
        </w:tc>
      </w:tr>
      <w:tr w:rsidR="00F76129" w:rsidRPr="00DB7579" w14:paraId="765DEE6D"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F2F2F2" w:themeFill="background1" w:themeFillShade="F2"/>
          </w:tcPr>
          <w:p w14:paraId="4D8900E9" w14:textId="2BD2E4DE" w:rsidR="00F76129" w:rsidRPr="00DB7579" w:rsidRDefault="00F76129" w:rsidP="00F76129">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Investment duration: 2019-2023; Budget $9.8m</w:t>
            </w:r>
          </w:p>
        </w:tc>
        <w:tc>
          <w:tcPr>
            <w:tcW w:w="0" w:type="dxa"/>
            <w:shd w:val="clear" w:color="auto" w:fill="F2F2F2" w:themeFill="background1" w:themeFillShade="F2"/>
          </w:tcPr>
          <w:p w14:paraId="1BF4DBF0" w14:textId="1352FA2A"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2020</w:t>
            </w:r>
          </w:p>
        </w:tc>
        <w:tc>
          <w:tcPr>
            <w:tcW w:w="0" w:type="dxa"/>
            <w:shd w:val="clear" w:color="auto" w:fill="F2F2F2" w:themeFill="background1" w:themeFillShade="F2"/>
            <w:noWrap/>
            <w:vAlign w:val="bottom"/>
          </w:tcPr>
          <w:p w14:paraId="1BA6523E" w14:textId="63BD2013"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0" w:type="dxa"/>
            <w:shd w:val="clear" w:color="auto" w:fill="F2F2F2" w:themeFill="background1" w:themeFillShade="F2"/>
            <w:noWrap/>
            <w:vAlign w:val="bottom"/>
          </w:tcPr>
          <w:p w14:paraId="56ADD602" w14:textId="69847714"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c>
          <w:tcPr>
            <w:tcW w:w="0" w:type="dxa"/>
            <w:shd w:val="clear" w:color="auto" w:fill="F2F2F2" w:themeFill="background1" w:themeFillShade="F2"/>
            <w:noWrap/>
            <w:vAlign w:val="bottom"/>
          </w:tcPr>
          <w:p w14:paraId="65F8017C" w14:textId="19D935FA" w:rsidR="00F76129" w:rsidRPr="00DB7579" w:rsidRDefault="00F76129"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4</w:t>
            </w:r>
          </w:p>
        </w:tc>
      </w:tr>
      <w:tr w:rsidR="00F76129" w:rsidRPr="00DB7579" w14:paraId="45EC23D6" w14:textId="77777777" w:rsidTr="00303BED">
        <w:trPr>
          <w:cnfStyle w:val="100000000000" w:firstRow="1" w:lastRow="0" w:firstColumn="0" w:lastColumn="0" w:oddVBand="0" w:evenVBand="0" w:oddHBand="0" w:evenHBand="0" w:firstRowFirstColumn="0" w:firstRowLastColumn="0" w:lastRowFirstColumn="0" w:lastRowLastColumn="0"/>
          <w:trHeight w:hRule="exact" w:val="369"/>
          <w:tblHead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E0F3EF" w:themeFill="accent1" w:themeFillTint="33"/>
          </w:tcPr>
          <w:p w14:paraId="499A6702" w14:textId="2E625BAA" w:rsidR="00F76129" w:rsidRPr="00DB7579" w:rsidRDefault="00A177D8" w:rsidP="00F76129">
            <w:pPr>
              <w:suppressAutoHyphens w:val="0"/>
              <w:spacing w:before="0" w:after="0" w:line="240" w:lineRule="auto"/>
              <w:rPr>
                <w:rFonts w:eastAsia="Times New Roman" w:cstheme="minorHAnsi"/>
                <w:b/>
                <w:bCs/>
                <w:color w:val="595959" w:themeColor="text1" w:themeTint="A6"/>
                <w:sz w:val="20"/>
                <w:szCs w:val="20"/>
                <w:lang w:val="en-AU" w:eastAsia="en-AU"/>
              </w:rPr>
            </w:pPr>
            <w:r>
              <w:rPr>
                <w:rFonts w:eastAsia="Times New Roman" w:cstheme="minorHAnsi"/>
                <w:b/>
                <w:bCs/>
                <w:color w:val="595959" w:themeColor="text1" w:themeTint="A6"/>
                <w:sz w:val="20"/>
                <w:szCs w:val="20"/>
                <w:lang w:val="en-AU" w:eastAsia="en-AU"/>
              </w:rPr>
              <w:t xml:space="preserve">MAP-WEC: </w:t>
            </w:r>
            <w:r w:rsidR="00283377">
              <w:rPr>
                <w:rFonts w:eastAsia="Times New Roman" w:cstheme="minorHAnsi"/>
                <w:b/>
                <w:bCs/>
                <w:color w:val="595959" w:themeColor="text1" w:themeTint="A6"/>
                <w:sz w:val="20"/>
                <w:szCs w:val="20"/>
                <w:lang w:val="en-AU" w:eastAsia="en-AU"/>
              </w:rPr>
              <w:t>Mekong Regional Water Governance Inclusion Project Ph II</w:t>
            </w:r>
          </w:p>
        </w:tc>
        <w:tc>
          <w:tcPr>
            <w:tcW w:w="0" w:type="dxa"/>
            <w:shd w:val="clear" w:color="auto" w:fill="E0F3EF" w:themeFill="accent1" w:themeFillTint="33"/>
          </w:tcPr>
          <w:p w14:paraId="436E9490" w14:textId="745E7774" w:rsidR="00F76129" w:rsidRPr="00DB7579" w:rsidRDefault="00283377"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2021</w:t>
            </w:r>
          </w:p>
        </w:tc>
        <w:tc>
          <w:tcPr>
            <w:tcW w:w="0" w:type="dxa"/>
            <w:shd w:val="clear" w:color="auto" w:fill="E0F3EF" w:themeFill="accent1" w:themeFillTint="33"/>
            <w:noWrap/>
            <w:vAlign w:val="bottom"/>
          </w:tcPr>
          <w:p w14:paraId="0446342E" w14:textId="32A482BD" w:rsidR="00F76129" w:rsidRPr="00DB7579" w:rsidRDefault="00283377"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4</w:t>
            </w:r>
          </w:p>
        </w:tc>
        <w:tc>
          <w:tcPr>
            <w:tcW w:w="0" w:type="dxa"/>
            <w:shd w:val="clear" w:color="auto" w:fill="E0F3EF" w:themeFill="accent1" w:themeFillTint="33"/>
            <w:noWrap/>
            <w:vAlign w:val="bottom"/>
          </w:tcPr>
          <w:p w14:paraId="144C705A" w14:textId="6C384BF9" w:rsidR="00F76129" w:rsidRPr="00DB7579" w:rsidRDefault="00283377"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4</w:t>
            </w:r>
          </w:p>
        </w:tc>
        <w:tc>
          <w:tcPr>
            <w:tcW w:w="0" w:type="dxa"/>
            <w:shd w:val="clear" w:color="auto" w:fill="E0F3EF" w:themeFill="accent1" w:themeFillTint="33"/>
            <w:noWrap/>
            <w:vAlign w:val="bottom"/>
          </w:tcPr>
          <w:p w14:paraId="537EE38B" w14:textId="6309F4A7" w:rsidR="00F76129" w:rsidRPr="00DB7579" w:rsidRDefault="00B06935"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5</w:t>
            </w:r>
          </w:p>
        </w:tc>
      </w:tr>
      <w:tr w:rsidR="00F76129" w:rsidRPr="00DB7579" w14:paraId="5788E082"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E0F3EF" w:themeFill="accent1" w:themeFillTint="33"/>
          </w:tcPr>
          <w:p w14:paraId="2E478A8E" w14:textId="1A1D0FEC" w:rsidR="00F76129" w:rsidRPr="00DB7579" w:rsidRDefault="00283377" w:rsidP="008D5E8B">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Pr>
                <w:rFonts w:asciiTheme="minorHAnsi" w:eastAsia="Times New Roman" w:hAnsiTheme="minorHAnsi" w:cstheme="minorHAnsi"/>
                <w:color w:val="595959" w:themeColor="text1" w:themeTint="A6"/>
                <w:sz w:val="20"/>
                <w:szCs w:val="20"/>
                <w:lang w:val="en-AU" w:eastAsia="en-AU"/>
              </w:rPr>
              <w:t>Investment duration: 2019-2024; Budget $5.4m</w:t>
            </w:r>
          </w:p>
        </w:tc>
        <w:tc>
          <w:tcPr>
            <w:tcW w:w="0" w:type="dxa"/>
            <w:shd w:val="clear" w:color="auto" w:fill="E0F3EF" w:themeFill="accent1" w:themeFillTint="33"/>
          </w:tcPr>
          <w:p w14:paraId="099B4501" w14:textId="5DF59D68" w:rsidR="00F76129" w:rsidRPr="00DB7579" w:rsidRDefault="00283377"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2020</w:t>
            </w:r>
          </w:p>
        </w:tc>
        <w:tc>
          <w:tcPr>
            <w:tcW w:w="0" w:type="dxa"/>
            <w:shd w:val="clear" w:color="auto" w:fill="E0F3EF" w:themeFill="accent1" w:themeFillTint="33"/>
            <w:noWrap/>
            <w:vAlign w:val="bottom"/>
          </w:tcPr>
          <w:p w14:paraId="24B2DB8E" w14:textId="1133ACBA" w:rsidR="00F76129" w:rsidRPr="00DB7579" w:rsidRDefault="00283377"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n/a</w:t>
            </w:r>
          </w:p>
        </w:tc>
        <w:tc>
          <w:tcPr>
            <w:tcW w:w="0" w:type="dxa"/>
            <w:shd w:val="clear" w:color="auto" w:fill="E0F3EF" w:themeFill="accent1" w:themeFillTint="33"/>
            <w:noWrap/>
            <w:vAlign w:val="bottom"/>
          </w:tcPr>
          <w:p w14:paraId="7C9DA628" w14:textId="0B64016D" w:rsidR="00F76129" w:rsidRPr="00DB7579" w:rsidRDefault="00283377"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n/a</w:t>
            </w:r>
          </w:p>
        </w:tc>
        <w:tc>
          <w:tcPr>
            <w:tcW w:w="0" w:type="dxa"/>
            <w:shd w:val="clear" w:color="auto" w:fill="E0F3EF" w:themeFill="accent1" w:themeFillTint="33"/>
            <w:noWrap/>
            <w:vAlign w:val="bottom"/>
          </w:tcPr>
          <w:p w14:paraId="46FC48FD" w14:textId="654D9738" w:rsidR="00F76129" w:rsidRPr="00DB7579" w:rsidRDefault="00283377" w:rsidP="00F7612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n/a</w:t>
            </w:r>
          </w:p>
        </w:tc>
      </w:tr>
    </w:tbl>
    <w:bookmarkEnd w:id="17"/>
    <w:p w14:paraId="3800A196" w14:textId="692A1364" w:rsidR="00E221FA" w:rsidRPr="00DB7579" w:rsidRDefault="00E221FA" w:rsidP="00D35B2A">
      <w:pPr>
        <w:pStyle w:val="Heading2"/>
      </w:pPr>
      <w:r w:rsidRPr="00DB7579">
        <w:t>Final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305B7B" w:rsidRPr="00DB7579" w14:paraId="1C7DF276" w14:textId="77777777" w:rsidTr="00303BED">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5CB2E247" w14:textId="77777777" w:rsidR="00D7310B" w:rsidRPr="00DB7579" w:rsidRDefault="00D7310B" w:rsidP="008A08E7">
            <w:pPr>
              <w:suppressAutoHyphens w:val="0"/>
              <w:spacing w:before="0" w:after="0" w:line="240" w:lineRule="auto"/>
              <w:jc w:val="center"/>
              <w:rPr>
                <w:rFonts w:asciiTheme="minorHAnsi" w:eastAsia="Times New Roman" w:hAnsiTheme="minorHAnsi" w:cstheme="minorHAnsi"/>
                <w:b/>
                <w:bCs/>
                <w:sz w:val="20"/>
                <w:szCs w:val="20"/>
                <w:lang w:val="en-AU" w:eastAsia="en-AU"/>
              </w:rPr>
            </w:pPr>
            <w:r w:rsidRPr="00DB7579">
              <w:rPr>
                <w:rFonts w:asciiTheme="minorHAnsi" w:eastAsia="Times New Roman" w:hAnsiTheme="minorHAnsi" w:cstheme="minorHAnsi"/>
                <w:b/>
                <w:bCs/>
                <w:sz w:val="20"/>
                <w:szCs w:val="20"/>
                <w:lang w:val="en-AU" w:eastAsia="en-AU"/>
              </w:rPr>
              <w:t>Investment Details</w:t>
            </w:r>
          </w:p>
        </w:tc>
        <w:tc>
          <w:tcPr>
            <w:tcW w:w="1134" w:type="dxa"/>
            <w:shd w:val="clear" w:color="auto" w:fill="A2DCD1" w:themeFill="accent1" w:themeFillTint="99"/>
            <w:noWrap/>
            <w:hideMark/>
          </w:tcPr>
          <w:p w14:paraId="559F947C" w14:textId="43C18BAA" w:rsidR="00D7310B" w:rsidRPr="00DB7579" w:rsidRDefault="00D7310B" w:rsidP="008A08E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B7579">
              <w:rPr>
                <w:rFonts w:asciiTheme="minorHAnsi" w:eastAsia="Times New Roman" w:hAnsiTheme="minorHAnsi" w:cstheme="minorHAnsi"/>
                <w:b/>
                <w:bCs/>
                <w:sz w:val="20"/>
                <w:szCs w:val="20"/>
                <w:lang w:val="en-AU" w:eastAsia="en-AU"/>
              </w:rPr>
              <w:t>Year</w:t>
            </w:r>
          </w:p>
        </w:tc>
        <w:tc>
          <w:tcPr>
            <w:tcW w:w="1276" w:type="dxa"/>
            <w:shd w:val="clear" w:color="auto" w:fill="A2DCD1" w:themeFill="accent1" w:themeFillTint="99"/>
            <w:noWrap/>
            <w:hideMark/>
          </w:tcPr>
          <w:p w14:paraId="661038F4" w14:textId="77777777" w:rsidR="00D7310B" w:rsidRPr="00DB7579" w:rsidRDefault="00D7310B" w:rsidP="008A08E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B7579">
              <w:rPr>
                <w:rFonts w:asciiTheme="minorHAnsi" w:eastAsia="Times New Roman" w:hAnsiTheme="minorHAnsi" w:cstheme="minorHAnsi"/>
                <w:b/>
                <w:bCs/>
                <w:sz w:val="20"/>
                <w:szCs w:val="20"/>
                <w:lang w:val="en-AU" w:eastAsia="en-AU"/>
              </w:rPr>
              <w:t>Effectiveness</w:t>
            </w:r>
          </w:p>
        </w:tc>
        <w:tc>
          <w:tcPr>
            <w:tcW w:w="1134" w:type="dxa"/>
            <w:shd w:val="clear" w:color="auto" w:fill="A2DCD1" w:themeFill="accent1" w:themeFillTint="99"/>
            <w:noWrap/>
            <w:hideMark/>
          </w:tcPr>
          <w:p w14:paraId="1765D5AA" w14:textId="77777777" w:rsidR="00D7310B" w:rsidRPr="00DB7579" w:rsidRDefault="00D7310B" w:rsidP="008A08E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B7579">
              <w:rPr>
                <w:rFonts w:asciiTheme="minorHAnsi" w:eastAsia="Times New Roman" w:hAnsiTheme="minorHAnsi" w:cstheme="minorHAnsi"/>
                <w:b/>
                <w:bCs/>
                <w:sz w:val="20"/>
                <w:szCs w:val="20"/>
                <w:lang w:val="en-AU" w:eastAsia="en-AU"/>
              </w:rPr>
              <w:t>Efficiency</w:t>
            </w:r>
          </w:p>
        </w:tc>
        <w:tc>
          <w:tcPr>
            <w:tcW w:w="1276" w:type="dxa"/>
            <w:shd w:val="clear" w:color="auto" w:fill="A2DCD1" w:themeFill="accent1" w:themeFillTint="99"/>
            <w:noWrap/>
            <w:hideMark/>
          </w:tcPr>
          <w:p w14:paraId="38C29940" w14:textId="77777777" w:rsidR="00D7310B" w:rsidRPr="00DB7579" w:rsidRDefault="00D7310B" w:rsidP="008A08E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lang w:val="en-AU" w:eastAsia="en-AU"/>
              </w:rPr>
            </w:pPr>
            <w:r w:rsidRPr="00DB7579">
              <w:rPr>
                <w:rFonts w:asciiTheme="minorHAnsi" w:eastAsia="Times New Roman" w:hAnsiTheme="minorHAnsi" w:cstheme="minorHAnsi"/>
                <w:b/>
                <w:bCs/>
                <w:sz w:val="20"/>
                <w:szCs w:val="20"/>
                <w:lang w:val="en-AU" w:eastAsia="en-AU"/>
              </w:rPr>
              <w:t>Gender Equality</w:t>
            </w:r>
          </w:p>
        </w:tc>
      </w:tr>
      <w:tr w:rsidR="006E2E51" w:rsidRPr="00DB7579" w14:paraId="5FCAA806" w14:textId="77777777" w:rsidTr="009931B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F2F2F2" w:themeFill="background1" w:themeFillShade="F2"/>
            <w:vAlign w:val="bottom"/>
            <w:hideMark/>
          </w:tcPr>
          <w:p w14:paraId="26CB53EA" w14:textId="24269653" w:rsidR="006E2E51" w:rsidRPr="00DB7579" w:rsidRDefault="006E2E51" w:rsidP="006E2E51">
            <w:pPr>
              <w:suppressAutoHyphens w:val="0"/>
              <w:spacing w:before="0" w:after="0" w:line="240" w:lineRule="auto"/>
              <w:rPr>
                <w:rFonts w:asciiTheme="minorHAnsi" w:eastAsia="Times New Roman" w:hAnsiTheme="minorHAnsi" w:cstheme="minorHAnsi"/>
                <w:b/>
                <w:bCs/>
                <w:color w:val="595959" w:themeColor="text1" w:themeTint="A6"/>
                <w:sz w:val="20"/>
                <w:szCs w:val="20"/>
                <w:lang w:val="en-AU" w:eastAsia="en-AU"/>
              </w:rPr>
            </w:pPr>
            <w:r w:rsidRPr="00DB7579">
              <w:rPr>
                <w:rFonts w:asciiTheme="minorHAnsi" w:eastAsia="Times New Roman" w:hAnsiTheme="minorHAnsi" w:cstheme="minorHAnsi"/>
                <w:b/>
                <w:bCs/>
                <w:color w:val="595959" w:themeColor="text1" w:themeTint="A6"/>
                <w:sz w:val="20"/>
                <w:szCs w:val="20"/>
                <w:lang w:eastAsia="en-AU"/>
              </w:rPr>
              <w:t>Shaping Inclusive Finance Transformations in ASEAN Program</w:t>
            </w:r>
          </w:p>
        </w:tc>
        <w:tc>
          <w:tcPr>
            <w:tcW w:w="0" w:type="dxa"/>
            <w:shd w:val="clear" w:color="auto" w:fill="F2F2F2" w:themeFill="background1" w:themeFillShade="F2"/>
            <w:hideMark/>
          </w:tcPr>
          <w:p w14:paraId="615EF094" w14:textId="0E2C4F09" w:rsidR="006E2E51" w:rsidRPr="00DB7579" w:rsidRDefault="006E2E51" w:rsidP="006E2E5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eastAsia="en-AU"/>
              </w:rPr>
              <w:t>2021</w:t>
            </w:r>
            <w:r w:rsidR="009931BC">
              <w:rPr>
                <w:rFonts w:asciiTheme="minorHAnsi" w:eastAsia="Times New Roman" w:hAnsiTheme="minorHAnsi" w:cstheme="minorHAnsi"/>
                <w:color w:val="595959" w:themeColor="text1" w:themeTint="A6"/>
                <w:sz w:val="20"/>
                <w:szCs w:val="20"/>
                <w:lang w:eastAsia="en-AU"/>
              </w:rPr>
              <w:t xml:space="preserve"> </w:t>
            </w:r>
          </w:p>
        </w:tc>
        <w:tc>
          <w:tcPr>
            <w:tcW w:w="0" w:type="dxa"/>
            <w:shd w:val="clear" w:color="auto" w:fill="F2F2F2" w:themeFill="background1" w:themeFillShade="F2"/>
            <w:noWrap/>
            <w:hideMark/>
          </w:tcPr>
          <w:p w14:paraId="12403CED" w14:textId="2B9E3A75" w:rsidR="006E2E51" w:rsidRPr="00DB7579" w:rsidRDefault="006E2E51" w:rsidP="006E2E5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4</w:t>
            </w:r>
          </w:p>
        </w:tc>
        <w:tc>
          <w:tcPr>
            <w:tcW w:w="0" w:type="dxa"/>
            <w:shd w:val="clear" w:color="auto" w:fill="F2F2F2" w:themeFill="background1" w:themeFillShade="F2"/>
            <w:noWrap/>
            <w:hideMark/>
          </w:tcPr>
          <w:p w14:paraId="456E1DCC" w14:textId="4C08394C" w:rsidR="006E2E51" w:rsidRPr="00DB7579" w:rsidRDefault="006E2E51" w:rsidP="006E2E5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5</w:t>
            </w:r>
          </w:p>
        </w:tc>
        <w:tc>
          <w:tcPr>
            <w:tcW w:w="0" w:type="dxa"/>
            <w:shd w:val="clear" w:color="auto" w:fill="F2F2F2" w:themeFill="background1" w:themeFillShade="F2"/>
            <w:noWrap/>
            <w:hideMark/>
          </w:tcPr>
          <w:p w14:paraId="2C7A02D0" w14:textId="595B623D" w:rsidR="006E2E51" w:rsidRPr="00DB7579" w:rsidRDefault="006E2E51" w:rsidP="006E2E5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4</w:t>
            </w:r>
          </w:p>
        </w:tc>
      </w:tr>
      <w:tr w:rsidR="006E2E51" w:rsidRPr="00DB7579" w14:paraId="48A88951" w14:textId="77777777" w:rsidTr="009931B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F2F2F2" w:themeFill="background1" w:themeFillShade="F2"/>
            <w:hideMark/>
          </w:tcPr>
          <w:p w14:paraId="7C9CCC70" w14:textId="75FFF0D7" w:rsidR="006E2E51" w:rsidRPr="00DB7579" w:rsidRDefault="006E2E51" w:rsidP="006E2E51">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 xml:space="preserve">Investment duration: 2014-21; Budget: $9.9m </w:t>
            </w:r>
          </w:p>
        </w:tc>
        <w:tc>
          <w:tcPr>
            <w:tcW w:w="0" w:type="dxa"/>
            <w:shd w:val="clear" w:color="auto" w:fill="F2F2F2" w:themeFill="background1" w:themeFillShade="F2"/>
            <w:hideMark/>
          </w:tcPr>
          <w:p w14:paraId="265BD1DC" w14:textId="54E0D121" w:rsidR="006E2E51" w:rsidRPr="00DB7579" w:rsidRDefault="006E2E51" w:rsidP="006E2E5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eastAsia="en-AU"/>
              </w:rPr>
              <w:t>2020</w:t>
            </w:r>
            <w:r w:rsidR="009931BC">
              <w:rPr>
                <w:rFonts w:asciiTheme="minorHAnsi" w:eastAsia="Times New Roman" w:hAnsiTheme="minorHAnsi" w:cstheme="minorHAnsi"/>
                <w:color w:val="595959" w:themeColor="text1" w:themeTint="A6"/>
                <w:sz w:val="20"/>
                <w:szCs w:val="20"/>
                <w:lang w:eastAsia="en-AU"/>
              </w:rPr>
              <w:t xml:space="preserve"> </w:t>
            </w:r>
          </w:p>
        </w:tc>
        <w:tc>
          <w:tcPr>
            <w:tcW w:w="0" w:type="dxa"/>
            <w:shd w:val="clear" w:color="auto" w:fill="F2F2F2" w:themeFill="background1" w:themeFillShade="F2"/>
            <w:noWrap/>
            <w:hideMark/>
          </w:tcPr>
          <w:p w14:paraId="2B8EB16D" w14:textId="59C824CD" w:rsidR="006E2E51" w:rsidRPr="00DB7579" w:rsidRDefault="006E2E51" w:rsidP="006E2E5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5</w:t>
            </w:r>
          </w:p>
        </w:tc>
        <w:tc>
          <w:tcPr>
            <w:tcW w:w="0" w:type="dxa"/>
            <w:shd w:val="clear" w:color="auto" w:fill="F2F2F2" w:themeFill="background1" w:themeFillShade="F2"/>
            <w:noWrap/>
            <w:hideMark/>
          </w:tcPr>
          <w:p w14:paraId="1C396789" w14:textId="10F77E37" w:rsidR="006E2E51" w:rsidRPr="00DB7579" w:rsidRDefault="006E2E51" w:rsidP="006E2E5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5</w:t>
            </w:r>
          </w:p>
        </w:tc>
        <w:tc>
          <w:tcPr>
            <w:tcW w:w="0" w:type="dxa"/>
            <w:shd w:val="clear" w:color="auto" w:fill="F2F2F2" w:themeFill="background1" w:themeFillShade="F2"/>
            <w:noWrap/>
            <w:hideMark/>
          </w:tcPr>
          <w:p w14:paraId="6145AA71" w14:textId="1D86AAC2" w:rsidR="006E2E51" w:rsidRPr="00DB7579" w:rsidRDefault="006E2E51" w:rsidP="006E2E5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5</w:t>
            </w:r>
          </w:p>
        </w:tc>
      </w:tr>
      <w:tr w:rsidR="00283377" w:rsidRPr="00DB7579" w14:paraId="74E8CC9F" w14:textId="77777777" w:rsidTr="00AA7AA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E0F3EF" w:themeFill="accent1" w:themeFillTint="33"/>
          </w:tcPr>
          <w:p w14:paraId="245B4E08" w14:textId="43D3B2F5" w:rsidR="00283377" w:rsidRPr="00DB7579" w:rsidRDefault="00283377" w:rsidP="009931BC">
            <w:pPr>
              <w:suppressAutoHyphens w:val="0"/>
              <w:spacing w:before="0" w:after="0" w:line="240" w:lineRule="auto"/>
              <w:ind w:firstLineChars="10" w:firstLine="20"/>
              <w:rPr>
                <w:rFonts w:eastAsia="Times New Roman" w:cstheme="minorHAnsi"/>
                <w:color w:val="595959" w:themeColor="text1" w:themeTint="A6"/>
                <w:sz w:val="20"/>
                <w:szCs w:val="20"/>
                <w:lang w:val="en-AU" w:eastAsia="en-AU"/>
              </w:rPr>
            </w:pPr>
            <w:r w:rsidRPr="00DB7579">
              <w:rPr>
                <w:rFonts w:eastAsia="Times New Roman" w:cstheme="minorHAnsi"/>
                <w:b/>
                <w:bCs/>
                <w:color w:val="595959" w:themeColor="text1" w:themeTint="A6"/>
                <w:sz w:val="20"/>
                <w:szCs w:val="20"/>
                <w:lang w:eastAsia="en-AU"/>
              </w:rPr>
              <w:t>IFC Sustainable Hydropower in the Mekong countries</w:t>
            </w:r>
            <w:r w:rsidRPr="00DB7579">
              <w:rPr>
                <w:rFonts w:eastAsia="Times New Roman" w:cstheme="minorHAnsi"/>
                <w:b/>
                <w:bCs/>
                <w:color w:val="595959" w:themeColor="text1" w:themeTint="A6"/>
                <w:sz w:val="20"/>
                <w:szCs w:val="20"/>
                <w:lang w:val="en-AU" w:eastAsia="en-AU"/>
              </w:rPr>
              <w:t xml:space="preserve"> </w:t>
            </w:r>
          </w:p>
        </w:tc>
        <w:tc>
          <w:tcPr>
            <w:tcW w:w="0" w:type="dxa"/>
            <w:shd w:val="clear" w:color="auto" w:fill="E0F3EF" w:themeFill="accent1" w:themeFillTint="33"/>
          </w:tcPr>
          <w:p w14:paraId="5DCD4D04" w14:textId="4FC3B60E"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2021</w:t>
            </w:r>
            <w:r w:rsidR="009931BC">
              <w:rPr>
                <w:rFonts w:eastAsia="Times New Roman" w:cstheme="minorHAnsi"/>
                <w:color w:val="595959" w:themeColor="text1" w:themeTint="A6"/>
                <w:sz w:val="20"/>
                <w:szCs w:val="20"/>
                <w:lang w:eastAsia="en-AU"/>
              </w:rPr>
              <w:t xml:space="preserve"> </w:t>
            </w:r>
          </w:p>
        </w:tc>
        <w:tc>
          <w:tcPr>
            <w:tcW w:w="0" w:type="dxa"/>
            <w:shd w:val="clear" w:color="auto" w:fill="E0F3EF" w:themeFill="accent1" w:themeFillTint="33"/>
            <w:noWrap/>
            <w:vAlign w:val="bottom"/>
          </w:tcPr>
          <w:p w14:paraId="28107091" w14:textId="52F670B5"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3</w:t>
            </w:r>
          </w:p>
        </w:tc>
        <w:tc>
          <w:tcPr>
            <w:tcW w:w="0" w:type="dxa"/>
            <w:shd w:val="clear" w:color="auto" w:fill="E0F3EF" w:themeFill="accent1" w:themeFillTint="33"/>
            <w:noWrap/>
            <w:vAlign w:val="bottom"/>
          </w:tcPr>
          <w:p w14:paraId="19BB238D" w14:textId="534EB595"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3</w:t>
            </w:r>
          </w:p>
        </w:tc>
        <w:tc>
          <w:tcPr>
            <w:tcW w:w="0" w:type="dxa"/>
            <w:shd w:val="clear" w:color="auto" w:fill="E0F3EF" w:themeFill="accent1" w:themeFillTint="33"/>
            <w:noWrap/>
            <w:vAlign w:val="bottom"/>
          </w:tcPr>
          <w:p w14:paraId="3B4F8687" w14:textId="0D98E934"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2</w:t>
            </w:r>
          </w:p>
        </w:tc>
      </w:tr>
      <w:tr w:rsidR="00283377" w:rsidRPr="00DB7579" w14:paraId="550F6F42" w14:textId="77777777" w:rsidTr="00AA7AA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E0F3EF" w:themeFill="accent1" w:themeFillTint="33"/>
          </w:tcPr>
          <w:p w14:paraId="0CD94466" w14:textId="750DCF11" w:rsidR="00283377" w:rsidRPr="00DB7579" w:rsidRDefault="00283377" w:rsidP="00283377">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DB7579">
              <w:rPr>
                <w:rFonts w:asciiTheme="minorHAnsi" w:eastAsia="Times New Roman" w:hAnsiTheme="minorHAnsi" w:cstheme="minorHAnsi"/>
                <w:color w:val="595959" w:themeColor="text1" w:themeTint="A6"/>
                <w:sz w:val="20"/>
                <w:szCs w:val="20"/>
                <w:lang w:val="en-AU" w:eastAsia="en-AU"/>
              </w:rPr>
              <w:t>Investment duration: 2014-2020</w:t>
            </w:r>
            <w:r>
              <w:rPr>
                <w:rFonts w:asciiTheme="minorHAnsi" w:eastAsia="Times New Roman" w:hAnsiTheme="minorHAnsi" w:cstheme="minorHAnsi"/>
                <w:color w:val="595959" w:themeColor="text1" w:themeTint="A6"/>
                <w:sz w:val="20"/>
                <w:szCs w:val="20"/>
                <w:lang w:val="en-AU" w:eastAsia="en-AU"/>
              </w:rPr>
              <w:t>;</w:t>
            </w:r>
            <w:r w:rsidRPr="00DB7579">
              <w:rPr>
                <w:rFonts w:asciiTheme="minorHAnsi" w:eastAsia="Times New Roman" w:hAnsiTheme="minorHAnsi" w:cstheme="minorHAnsi"/>
                <w:color w:val="595959" w:themeColor="text1" w:themeTint="A6"/>
                <w:sz w:val="20"/>
                <w:szCs w:val="20"/>
                <w:lang w:val="en-AU" w:eastAsia="en-AU"/>
              </w:rPr>
              <w:t xml:space="preserve"> Budget $8m</w:t>
            </w:r>
          </w:p>
        </w:tc>
        <w:tc>
          <w:tcPr>
            <w:tcW w:w="0" w:type="dxa"/>
            <w:shd w:val="clear" w:color="auto" w:fill="E0F3EF" w:themeFill="accent1" w:themeFillTint="33"/>
          </w:tcPr>
          <w:p w14:paraId="0621B7F4" w14:textId="222C137A"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DB7579">
              <w:rPr>
                <w:rFonts w:eastAsia="Times New Roman" w:cstheme="minorHAnsi"/>
                <w:color w:val="595959" w:themeColor="text1" w:themeTint="A6"/>
                <w:sz w:val="20"/>
                <w:szCs w:val="20"/>
                <w:lang w:eastAsia="en-AU"/>
              </w:rPr>
              <w:t>2020</w:t>
            </w:r>
            <w:r w:rsidR="009931BC">
              <w:rPr>
                <w:rFonts w:eastAsia="Times New Roman" w:cstheme="minorHAnsi"/>
                <w:color w:val="595959" w:themeColor="text1" w:themeTint="A6"/>
                <w:sz w:val="20"/>
                <w:szCs w:val="20"/>
                <w:lang w:eastAsia="en-AU"/>
              </w:rPr>
              <w:t xml:space="preserve"> </w:t>
            </w:r>
          </w:p>
        </w:tc>
        <w:tc>
          <w:tcPr>
            <w:tcW w:w="0" w:type="dxa"/>
            <w:shd w:val="clear" w:color="auto" w:fill="E0F3EF" w:themeFill="accent1" w:themeFillTint="33"/>
            <w:noWrap/>
            <w:vAlign w:val="bottom"/>
          </w:tcPr>
          <w:p w14:paraId="569AB646" w14:textId="2D4F86D5"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5</w:t>
            </w:r>
          </w:p>
        </w:tc>
        <w:tc>
          <w:tcPr>
            <w:tcW w:w="0" w:type="dxa"/>
            <w:shd w:val="clear" w:color="auto" w:fill="E0F3EF" w:themeFill="accent1" w:themeFillTint="33"/>
            <w:noWrap/>
            <w:vAlign w:val="bottom"/>
          </w:tcPr>
          <w:p w14:paraId="084F82D6" w14:textId="5EF467C1"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5</w:t>
            </w:r>
          </w:p>
        </w:tc>
        <w:tc>
          <w:tcPr>
            <w:tcW w:w="0" w:type="dxa"/>
            <w:shd w:val="clear" w:color="auto" w:fill="E0F3EF" w:themeFill="accent1" w:themeFillTint="33"/>
            <w:noWrap/>
            <w:vAlign w:val="bottom"/>
          </w:tcPr>
          <w:p w14:paraId="6D5AF254" w14:textId="613D30CD"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DB7579">
              <w:rPr>
                <w:rFonts w:eastAsia="Times New Roman" w:cstheme="minorHAnsi"/>
                <w:color w:val="595959" w:themeColor="text1" w:themeTint="A6"/>
                <w:sz w:val="20"/>
                <w:szCs w:val="20"/>
                <w:lang w:eastAsia="en-AU"/>
              </w:rPr>
              <w:t>3</w:t>
            </w:r>
          </w:p>
        </w:tc>
      </w:tr>
      <w:tr w:rsidR="00283377" w:rsidRPr="00DB7579" w14:paraId="5A4E47F0" w14:textId="77777777" w:rsidTr="009931B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F2F2F2" w:themeFill="background1" w:themeFillShade="F2"/>
          </w:tcPr>
          <w:p w14:paraId="1D6DBC1E" w14:textId="23EA3C1F" w:rsidR="00283377" w:rsidRPr="00DB7579" w:rsidRDefault="00283377" w:rsidP="009931BC">
            <w:pPr>
              <w:suppressAutoHyphens w:val="0"/>
              <w:spacing w:before="0" w:after="0" w:line="240" w:lineRule="auto"/>
              <w:ind w:firstLineChars="10" w:firstLine="20"/>
              <w:rPr>
                <w:rFonts w:eastAsia="Times New Roman" w:cstheme="minorHAnsi"/>
                <w:color w:val="595959" w:themeColor="text1" w:themeTint="A6"/>
                <w:sz w:val="20"/>
                <w:szCs w:val="20"/>
                <w:lang w:val="en-AU" w:eastAsia="en-AU"/>
              </w:rPr>
            </w:pPr>
            <w:r>
              <w:rPr>
                <w:rFonts w:eastAsia="Times New Roman" w:cstheme="minorHAnsi"/>
                <w:b/>
                <w:bCs/>
                <w:color w:val="595959" w:themeColor="text1" w:themeTint="A6"/>
                <w:sz w:val="20"/>
                <w:szCs w:val="20"/>
                <w:lang w:val="en-AU" w:eastAsia="en-AU"/>
              </w:rPr>
              <w:t>Supporting MRC and Mekong governments</w:t>
            </w:r>
          </w:p>
        </w:tc>
        <w:tc>
          <w:tcPr>
            <w:tcW w:w="0" w:type="dxa"/>
            <w:shd w:val="clear" w:color="auto" w:fill="F2F2F2" w:themeFill="background1" w:themeFillShade="F2"/>
          </w:tcPr>
          <w:p w14:paraId="15D68199" w14:textId="0FF3E160"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2021</w:t>
            </w:r>
            <w:r w:rsidR="009931BC">
              <w:rPr>
                <w:rFonts w:eastAsia="Times New Roman" w:cstheme="minorHAnsi"/>
                <w:color w:val="595959" w:themeColor="text1" w:themeTint="A6"/>
                <w:sz w:val="20"/>
                <w:szCs w:val="20"/>
                <w:lang w:eastAsia="en-AU"/>
              </w:rPr>
              <w:t xml:space="preserve"> </w:t>
            </w:r>
          </w:p>
        </w:tc>
        <w:tc>
          <w:tcPr>
            <w:tcW w:w="0" w:type="dxa"/>
            <w:shd w:val="clear" w:color="auto" w:fill="F2F2F2" w:themeFill="background1" w:themeFillShade="F2"/>
            <w:noWrap/>
            <w:vAlign w:val="bottom"/>
          </w:tcPr>
          <w:p w14:paraId="613694FC" w14:textId="6BAF3651"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Pr>
                <w:rFonts w:eastAsia="Times New Roman" w:cstheme="minorHAnsi"/>
                <w:color w:val="595959" w:themeColor="text1" w:themeTint="A6"/>
                <w:sz w:val="20"/>
                <w:szCs w:val="20"/>
                <w:lang w:eastAsia="en-AU"/>
              </w:rPr>
              <w:t>4</w:t>
            </w:r>
          </w:p>
        </w:tc>
        <w:tc>
          <w:tcPr>
            <w:tcW w:w="0" w:type="dxa"/>
            <w:shd w:val="clear" w:color="auto" w:fill="F2F2F2" w:themeFill="background1" w:themeFillShade="F2"/>
            <w:noWrap/>
            <w:vAlign w:val="bottom"/>
          </w:tcPr>
          <w:p w14:paraId="05FE6F8D" w14:textId="3BC3B797"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Pr>
                <w:rFonts w:eastAsia="Times New Roman" w:cstheme="minorHAnsi"/>
                <w:color w:val="595959" w:themeColor="text1" w:themeTint="A6"/>
                <w:sz w:val="20"/>
                <w:szCs w:val="20"/>
                <w:lang w:eastAsia="en-AU"/>
              </w:rPr>
              <w:t>4</w:t>
            </w:r>
          </w:p>
        </w:tc>
        <w:tc>
          <w:tcPr>
            <w:tcW w:w="0" w:type="dxa"/>
            <w:shd w:val="clear" w:color="auto" w:fill="F2F2F2" w:themeFill="background1" w:themeFillShade="F2"/>
            <w:noWrap/>
            <w:vAlign w:val="bottom"/>
          </w:tcPr>
          <w:p w14:paraId="0D0A2C33" w14:textId="5E66E090"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Pr>
                <w:rFonts w:eastAsia="Times New Roman" w:cstheme="minorHAnsi"/>
                <w:color w:val="595959" w:themeColor="text1" w:themeTint="A6"/>
                <w:sz w:val="20"/>
                <w:szCs w:val="20"/>
                <w:lang w:eastAsia="en-AU"/>
              </w:rPr>
              <w:t>3</w:t>
            </w:r>
          </w:p>
        </w:tc>
      </w:tr>
      <w:tr w:rsidR="00283377" w:rsidRPr="00DB7579" w14:paraId="2440931A" w14:textId="77777777" w:rsidTr="009931B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F2F2F2" w:themeFill="background1" w:themeFillShade="F2"/>
          </w:tcPr>
          <w:p w14:paraId="2A323EF1" w14:textId="2BC1E3CF" w:rsidR="00283377" w:rsidRPr="00DB7579" w:rsidRDefault="00283377" w:rsidP="00283377">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Pr>
                <w:rFonts w:eastAsia="Times New Roman" w:cstheme="minorHAnsi"/>
                <w:color w:val="595959" w:themeColor="text1" w:themeTint="A6"/>
                <w:sz w:val="20"/>
                <w:szCs w:val="20"/>
                <w:lang w:val="en-AU" w:eastAsia="en-AU"/>
              </w:rPr>
              <w:t>Investment duration: 2014-2022; Budget $10.9m</w:t>
            </w:r>
          </w:p>
        </w:tc>
        <w:tc>
          <w:tcPr>
            <w:tcW w:w="0" w:type="dxa"/>
            <w:shd w:val="clear" w:color="auto" w:fill="F2F2F2" w:themeFill="background1" w:themeFillShade="F2"/>
          </w:tcPr>
          <w:p w14:paraId="64A56C14" w14:textId="1A19E03E"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2020</w:t>
            </w:r>
            <w:r w:rsidR="009931BC">
              <w:rPr>
                <w:rFonts w:eastAsia="Times New Roman" w:cstheme="minorHAnsi"/>
                <w:color w:val="595959" w:themeColor="text1" w:themeTint="A6"/>
                <w:sz w:val="20"/>
                <w:szCs w:val="20"/>
                <w:lang w:eastAsia="en-AU"/>
              </w:rPr>
              <w:t xml:space="preserve"> </w:t>
            </w:r>
          </w:p>
        </w:tc>
        <w:tc>
          <w:tcPr>
            <w:tcW w:w="0" w:type="dxa"/>
            <w:shd w:val="clear" w:color="auto" w:fill="F2F2F2" w:themeFill="background1" w:themeFillShade="F2"/>
            <w:noWrap/>
            <w:vAlign w:val="bottom"/>
          </w:tcPr>
          <w:p w14:paraId="393034E0" w14:textId="55C8BEE5"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Pr>
                <w:rFonts w:eastAsia="Times New Roman" w:cstheme="minorHAnsi"/>
                <w:color w:val="595959" w:themeColor="text1" w:themeTint="A6"/>
                <w:sz w:val="20"/>
                <w:szCs w:val="20"/>
                <w:lang w:eastAsia="en-AU"/>
              </w:rPr>
              <w:t>4</w:t>
            </w:r>
          </w:p>
        </w:tc>
        <w:tc>
          <w:tcPr>
            <w:tcW w:w="0" w:type="dxa"/>
            <w:shd w:val="clear" w:color="auto" w:fill="F2F2F2" w:themeFill="background1" w:themeFillShade="F2"/>
            <w:noWrap/>
            <w:vAlign w:val="bottom"/>
          </w:tcPr>
          <w:p w14:paraId="096947A6" w14:textId="115044F7"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Pr>
                <w:rFonts w:eastAsia="Times New Roman" w:cstheme="minorHAnsi"/>
                <w:color w:val="595959" w:themeColor="text1" w:themeTint="A6"/>
                <w:sz w:val="20"/>
                <w:szCs w:val="20"/>
                <w:lang w:eastAsia="en-AU"/>
              </w:rPr>
              <w:t>3</w:t>
            </w:r>
          </w:p>
        </w:tc>
        <w:tc>
          <w:tcPr>
            <w:tcW w:w="0" w:type="dxa"/>
            <w:shd w:val="clear" w:color="auto" w:fill="F2F2F2" w:themeFill="background1" w:themeFillShade="F2"/>
            <w:noWrap/>
            <w:vAlign w:val="bottom"/>
          </w:tcPr>
          <w:p w14:paraId="26EE6FB7" w14:textId="4F726F2D" w:rsidR="00283377" w:rsidRPr="00DB7579" w:rsidRDefault="00283377" w:rsidP="002833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Pr>
                <w:rFonts w:eastAsia="Times New Roman" w:cstheme="minorHAnsi"/>
                <w:color w:val="595959" w:themeColor="text1" w:themeTint="A6"/>
                <w:sz w:val="20"/>
                <w:szCs w:val="20"/>
                <w:lang w:eastAsia="en-AU"/>
              </w:rPr>
              <w:t>3</w:t>
            </w:r>
          </w:p>
        </w:tc>
      </w:tr>
    </w:tbl>
    <w:p w14:paraId="17600418" w14:textId="34377BD7" w:rsidR="00681633" w:rsidRPr="00DB7579" w:rsidRDefault="00681633" w:rsidP="009931BC">
      <w:pPr>
        <w:spacing w:after="0" w:line="240" w:lineRule="auto"/>
        <w:jc w:val="both"/>
        <w:rPr>
          <w:rFonts w:eastAsia="Times New Roman"/>
          <w:sz w:val="17"/>
          <w:szCs w:val="17"/>
        </w:rPr>
      </w:pPr>
      <w:r w:rsidRPr="00DB7579">
        <w:rPr>
          <w:rFonts w:eastAsia="Times New Roman"/>
          <w:b/>
          <w:sz w:val="17"/>
          <w:szCs w:val="17"/>
        </w:rPr>
        <w:t>Definitions of rating scale</w:t>
      </w:r>
      <w:r w:rsidRPr="00DB7579">
        <w:rPr>
          <w:rFonts w:eastAsia="Times New Roman"/>
          <w:sz w:val="17"/>
          <w:szCs w:val="17"/>
        </w:rPr>
        <w:t>:</w:t>
      </w:r>
      <w:r w:rsidRPr="00DB7579">
        <w:rPr>
          <w:rFonts w:eastAsia="Times New Roman"/>
          <w:sz w:val="17"/>
          <w:szCs w:val="17"/>
        </w:rPr>
        <w:tab/>
      </w:r>
    </w:p>
    <w:p w14:paraId="5989C7B0" w14:textId="77777777" w:rsidR="00681633" w:rsidRPr="00DB7579" w:rsidRDefault="00681633" w:rsidP="00681633">
      <w:pPr>
        <w:spacing w:before="20" w:after="20" w:line="180" w:lineRule="atLeast"/>
        <w:jc w:val="both"/>
        <w:rPr>
          <w:rFonts w:eastAsia="Times New Roman"/>
          <w:sz w:val="17"/>
          <w:szCs w:val="17"/>
        </w:rPr>
      </w:pPr>
      <w:r w:rsidRPr="00DB7579">
        <w:rPr>
          <w:rFonts w:eastAsia="Times New Roman"/>
          <w:sz w:val="17"/>
          <w:szCs w:val="17"/>
          <w:u w:val="single"/>
        </w:rPr>
        <w:t>Satisfactory (4, 5 and 6)</w:t>
      </w:r>
    </w:p>
    <w:p w14:paraId="15BE82E8" w14:textId="77777777" w:rsidR="00681633" w:rsidRPr="00DB7579" w:rsidRDefault="00681633" w:rsidP="009931BC">
      <w:pPr>
        <w:spacing w:before="0" w:line="240" w:lineRule="auto"/>
        <w:rPr>
          <w:sz w:val="16"/>
          <w:szCs w:val="16"/>
        </w:rPr>
      </w:pPr>
      <w:r w:rsidRPr="00DB7579">
        <w:rPr>
          <w:sz w:val="16"/>
          <w:szCs w:val="16"/>
        </w:rPr>
        <w:t xml:space="preserve">6 = Very good; satisfies criteria in all areas. </w:t>
      </w:r>
      <w:r w:rsidRPr="00DB7579">
        <w:rPr>
          <w:sz w:val="16"/>
          <w:szCs w:val="16"/>
        </w:rPr>
        <w:br/>
        <w:t>5 = Good; satisfies criteria in almost all areas.</w:t>
      </w:r>
      <w:r w:rsidRPr="00DB7579">
        <w:rPr>
          <w:sz w:val="16"/>
          <w:szCs w:val="16"/>
        </w:rPr>
        <w:br/>
        <w:t>4 = Adequate; on balance, satisfies criteria; does not fail in any major area.</w:t>
      </w:r>
    </w:p>
    <w:p w14:paraId="48B0BB33" w14:textId="77777777" w:rsidR="00681633" w:rsidRPr="00DB7579" w:rsidRDefault="00681633" w:rsidP="00681633">
      <w:pPr>
        <w:spacing w:line="240" w:lineRule="auto"/>
        <w:rPr>
          <w:sz w:val="16"/>
          <w:szCs w:val="16"/>
          <w:u w:val="single"/>
        </w:rPr>
      </w:pPr>
      <w:r w:rsidRPr="00DB7579">
        <w:rPr>
          <w:sz w:val="16"/>
          <w:szCs w:val="16"/>
          <w:u w:val="single"/>
        </w:rPr>
        <w:t>Less than satisfactory (1, 2 and 3)</w:t>
      </w:r>
    </w:p>
    <w:p w14:paraId="4DC45723" w14:textId="4CCC3A75" w:rsidR="00681633" w:rsidRPr="00305B7B" w:rsidRDefault="00681633" w:rsidP="00283377">
      <w:pPr>
        <w:spacing w:before="0" w:after="0" w:line="200" w:lineRule="exact"/>
      </w:pPr>
      <w:r w:rsidRPr="00DB7579">
        <w:rPr>
          <w:sz w:val="16"/>
          <w:szCs w:val="16"/>
        </w:rPr>
        <w:t>3 = Less than adequate; on balance does not satisfy criteria and/or fails in at least one major area.</w:t>
      </w:r>
      <w:r w:rsidRPr="00DB7579">
        <w:rPr>
          <w:sz w:val="16"/>
          <w:szCs w:val="16"/>
        </w:rPr>
        <w:br/>
        <w:t>2 = Poor; does not satisfy criteria in major areas.</w:t>
      </w:r>
      <w:r w:rsidR="00283377">
        <w:rPr>
          <w:sz w:val="16"/>
          <w:szCs w:val="16"/>
        </w:rPr>
        <w:t xml:space="preserve"> </w:t>
      </w:r>
      <w:r w:rsidR="00283377">
        <w:rPr>
          <w:sz w:val="16"/>
          <w:szCs w:val="16"/>
        </w:rPr>
        <w:br/>
      </w:r>
      <w:r w:rsidRPr="00DB7579">
        <w:rPr>
          <w:sz w:val="16"/>
          <w:szCs w:val="16"/>
        </w:rPr>
        <w:t xml:space="preserve">1 = Very poor; does not satisfy criteria in many major </w:t>
      </w:r>
      <w:proofErr w:type="gramStart"/>
      <w:r w:rsidRPr="00DB7579">
        <w:rPr>
          <w:sz w:val="16"/>
          <w:szCs w:val="16"/>
        </w:rPr>
        <w:t>area</w:t>
      </w:r>
      <w:proofErr w:type="gramEnd"/>
      <w:r w:rsidRPr="00DB7579">
        <w:t>.</w:t>
      </w:r>
    </w:p>
    <w:sectPr w:rsidR="00681633" w:rsidRPr="00305B7B"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18B21" w14:textId="77777777" w:rsidR="00157B86" w:rsidRDefault="00157B86" w:rsidP="00D37B04">
      <w:r>
        <w:separator/>
      </w:r>
    </w:p>
  </w:endnote>
  <w:endnote w:type="continuationSeparator" w:id="0">
    <w:p w14:paraId="35C7F5FD" w14:textId="77777777" w:rsidR="00157B86" w:rsidRDefault="00157B8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B636999" w14:textId="4BD20C59" w:rsidR="00B86C91" w:rsidRDefault="00593632" w:rsidP="0089160E">
        <w:pPr>
          <w:pStyle w:val="Footer"/>
          <w:jc w:val="left"/>
          <w:rPr>
            <w:color w:val="auto"/>
          </w:rPr>
        </w:pPr>
        <w:r w:rsidRPr="00C92805">
          <w:rPr>
            <w:b/>
            <w:noProof/>
            <w:color w:val="495965" w:themeColor="text2"/>
            <w:lang w:val="en-AU" w:eastAsia="en-AU"/>
          </w:rPr>
          <w:drawing>
            <wp:anchor distT="0" distB="0" distL="114300" distR="114300" simplePos="0" relativeHeight="251659264" behindDoc="1" locked="0" layoutInCell="1" allowOverlap="1" wp14:anchorId="0320CF6A" wp14:editId="653FBB9E">
              <wp:simplePos x="0" y="0"/>
              <wp:positionH relativeFrom="margin">
                <wp:posOffset>-120650</wp:posOffset>
              </wp:positionH>
              <wp:positionV relativeFrom="page">
                <wp:posOffset>9740901</wp:posOffset>
              </wp:positionV>
              <wp:extent cx="6931025" cy="53975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1513" cy="539788"/>
                      </a:xfrm>
                      <a:prstGeom prst="rect">
                        <a:avLst/>
                      </a:prstGeom>
                    </pic:spPr>
                  </pic:pic>
                </a:graphicData>
              </a:graphic>
              <wp14:sizeRelH relativeFrom="margin">
                <wp14:pctWidth>0</wp14:pctWidth>
              </wp14:sizeRelH>
              <wp14:sizeRelV relativeFrom="margin">
                <wp14:pctHeight>0</wp14:pctHeight>
              </wp14:sizeRelV>
            </wp:anchor>
          </w:drawing>
        </w:r>
      </w:p>
      <w:p w14:paraId="4D885B3B" w14:textId="09F09FB6" w:rsidR="00593632" w:rsidRPr="00854F69" w:rsidRDefault="00593632" w:rsidP="00593632">
        <w:pPr>
          <w:pStyle w:val="Footer"/>
          <w:ind w:right="198"/>
          <w:rPr>
            <w:b/>
            <w:noProof/>
            <w:color w:val="495965" w:themeColor="text2"/>
            <w:lang w:val="en-AU" w:eastAsia="en-AU"/>
          </w:rPr>
        </w:pP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0BB5A1F" w14:textId="1E793718" w:rsidR="00B86C91" w:rsidRDefault="00B86C91" w:rsidP="0089160E">
        <w:pPr>
          <w:pStyle w:val="Footer"/>
          <w:jc w:val="left"/>
          <w:rPr>
            <w:color w:val="auto"/>
          </w:rPr>
        </w:pPr>
      </w:p>
      <w:p w14:paraId="3A729F02" w14:textId="7BD81593" w:rsidR="00B86C91" w:rsidRDefault="005E392B" w:rsidP="005F238D">
        <w:pPr>
          <w:pStyle w:val="Footer"/>
          <w:spacing w:line="240" w:lineRule="auto"/>
          <w:jc w:val="lef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D94BB" w14:textId="6508D667" w:rsidR="00593632" w:rsidRPr="00854F69" w:rsidRDefault="00593632" w:rsidP="00593632">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790FBF31" wp14:editId="1911CD7D">
          <wp:simplePos x="0" y="0"/>
          <wp:positionH relativeFrom="margin">
            <wp:posOffset>-120650</wp:posOffset>
          </wp:positionH>
          <wp:positionV relativeFrom="page">
            <wp:posOffset>10077450</wp:posOffset>
          </wp:positionV>
          <wp:extent cx="6931181" cy="506730"/>
          <wp:effectExtent l="0" t="0" r="3175"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7799" cy="507214"/>
                  </a:xfrm>
                  <a:prstGeom prst="rect">
                    <a:avLst/>
                  </a:prstGeom>
                </pic:spPr>
              </pic:pic>
            </a:graphicData>
          </a:graphic>
          <wp14:sizeRelH relativeFrom="margin">
            <wp14:pctWidth>0</wp14:pctWidth>
          </wp14:sizeRelH>
          <wp14:sizeRelV relativeFrom="margin">
            <wp14:pctHeight>0</wp14:pctHeight>
          </wp14:sizeRelV>
        </wp:anchor>
      </w:drawing>
    </w:r>
    <w:r w:rsidR="00C01365">
      <w:rPr>
        <w:b/>
        <w:noProof/>
        <w:color w:val="495965" w:themeColor="text2"/>
        <w:lang w:val="en-AU" w:eastAsia="en-AU"/>
      </w:rPr>
      <w:t>Novem</w:t>
    </w:r>
    <w:r>
      <w:rPr>
        <w:b/>
        <w:noProof/>
        <w:color w:val="495965" w:themeColor="text2"/>
        <w:lang w:val="en-AU" w:eastAsia="en-AU"/>
      </w:rPr>
      <w:t>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sidR="00C01365">
      <w:rPr>
        <w:b/>
        <w:noProof/>
        <w:color w:val="495965" w:themeColor="text2"/>
        <w:lang w:val="en-AU" w:eastAsia="en-AU"/>
      </w:rPr>
      <w:t xml:space="preserve"> </w:t>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23D3E2FA" w14:textId="77777777" w:rsidR="00593632" w:rsidRDefault="00593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FFBB" w14:textId="77777777" w:rsidR="00157B86" w:rsidRPr="008C5A0E" w:rsidRDefault="00157B86" w:rsidP="00D37B04">
      <w:pPr>
        <w:pStyle w:val="Footer"/>
      </w:pPr>
    </w:p>
  </w:footnote>
  <w:footnote w:type="continuationSeparator" w:id="0">
    <w:p w14:paraId="03B4D264" w14:textId="77777777" w:rsidR="00157B86" w:rsidRDefault="00157B86"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C4ECD" w14:textId="77777777" w:rsidR="00DB57B7" w:rsidRDefault="00DB57B7" w:rsidP="00DB57B7">
    <w:pPr>
      <w:pStyle w:val="Header"/>
      <w:ind w:left="0"/>
    </w:pPr>
    <w:bookmarkStart w:id="6" w:name="_Hlk83758746"/>
    <w:bookmarkStart w:id="7" w:name="_Hlk83759779"/>
    <w:bookmarkStart w:id="8" w:name="_Hlk83758290"/>
    <w:bookmarkStart w:id="9" w:name="_Hlk83759306"/>
    <w:bookmarkStart w:id="10" w:name="_Hlk83759307"/>
    <w:bookmarkStart w:id="11" w:name="_Hlk83759328"/>
    <w:bookmarkStart w:id="12" w:name="_Hlk83759329"/>
    <w:bookmarkStart w:id="13" w:name="_Hlk83759798"/>
    <w:bookmarkStart w:id="14" w:name="_Hlk83759799"/>
    <w:bookmarkStart w:id="15" w:name="_Hlk83759991"/>
    <w:bookmarkStart w:id="16" w:name="_Hlk83759992"/>
    <w:r w:rsidRPr="00A12B40">
      <w:rPr>
        <w:i/>
        <w:caps w:val="0"/>
      </w:rPr>
      <w:t>Partnerships for Recove</w:t>
    </w:r>
    <w:bookmarkEnd w:id="6"/>
    <w:r w:rsidRPr="00A12B40">
      <w:rPr>
        <w:i/>
        <w:caps w:val="0"/>
      </w:rPr>
      <w:t>ry</w:t>
    </w:r>
    <w:bookmarkEnd w:id="7"/>
    <w:r w:rsidRPr="00A12B40">
      <w:rPr>
        <w:i/>
        <w:noProof/>
        <w:lang w:val="en-AU" w:eastAsia="en-AU"/>
      </w:rPr>
      <w:drawing>
        <wp:inline distT="0" distB="0" distL="0" distR="0" wp14:anchorId="7E07F472" wp14:editId="1239C1C9">
          <wp:extent cx="6718853" cy="707390"/>
          <wp:effectExtent l="0" t="0" r="635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bookmarkEnd w:id="8"/>
    <w:bookmarkEnd w:id="9"/>
    <w:bookmarkEnd w:id="10"/>
    <w:bookmarkEnd w:id="11"/>
    <w:bookmarkEnd w:id="12"/>
    <w:bookmarkEnd w:id="13"/>
    <w:bookmarkEnd w:id="14"/>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B86C91" w:rsidRDefault="00B86C91" w:rsidP="001F7F4D">
    <w:pPr>
      <w:pStyle w:val="Header"/>
      <w:spacing w:after="240"/>
      <w:ind w:left="0"/>
    </w:pPr>
    <w:r>
      <w:rPr>
        <w:noProof/>
      </w:rPr>
      <w:drawing>
        <wp:inline distT="0" distB="0" distL="0" distR="0" wp14:anchorId="53173A37" wp14:editId="3D212865">
          <wp:extent cx="6696075" cy="1247775"/>
          <wp:effectExtent l="0" t="0" r="9525" b="9525"/>
          <wp:docPr id="22" name="Picture 22"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606B5"/>
    <w:multiLevelType w:val="multilevel"/>
    <w:tmpl w:val="07D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802441E"/>
    <w:multiLevelType w:val="hybridMultilevel"/>
    <w:tmpl w:val="D7F0C3BE"/>
    <w:lvl w:ilvl="0" w:tplc="25F0CECA">
      <w:numFmt w:val="bullet"/>
      <w:lvlText w:val="-"/>
      <w:lvlJc w:val="left"/>
      <w:pPr>
        <w:ind w:left="360" w:firstLine="0"/>
      </w:pPr>
      <w:rPr>
        <w:rFonts w:asciiTheme="minorHAnsi" w:eastAsia="Times New Roman"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1486A"/>
    <w:multiLevelType w:val="hybridMultilevel"/>
    <w:tmpl w:val="184EC620"/>
    <w:lvl w:ilvl="0" w:tplc="8AC4EB3E">
      <w:numFmt w:val="bullet"/>
      <w:lvlText w:val=""/>
      <w:lvlJc w:val="left"/>
      <w:pPr>
        <w:ind w:left="720" w:hanging="360"/>
      </w:pPr>
      <w:rPr>
        <w:rFonts w:ascii="Symbol" w:eastAsia="Calibri" w:hAnsi="Symbol"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E3B5532"/>
    <w:multiLevelType w:val="hybridMultilevel"/>
    <w:tmpl w:val="33C68630"/>
    <w:lvl w:ilvl="0" w:tplc="B9C0ACF8">
      <w:start w:val="1"/>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8932B04"/>
    <w:multiLevelType w:val="hybridMultilevel"/>
    <w:tmpl w:val="5D04C7BA"/>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Courier New"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Courier New" w:hint="default"/>
      </w:rPr>
    </w:lvl>
    <w:lvl w:ilvl="8" w:tplc="0C090005">
      <w:start w:val="1"/>
      <w:numFmt w:val="bullet"/>
      <w:lvlText w:val=""/>
      <w:lvlJc w:val="left"/>
      <w:pPr>
        <w:ind w:left="6403" w:hanging="360"/>
      </w:pPr>
      <w:rPr>
        <w:rFonts w:ascii="Wingdings" w:hAnsi="Wingdings" w:hint="default"/>
      </w:rPr>
    </w:lvl>
  </w:abstractNum>
  <w:abstractNum w:abstractNumId="11" w15:restartNumberingAfterBreak="0">
    <w:nsid w:val="38F132CE"/>
    <w:multiLevelType w:val="multilevel"/>
    <w:tmpl w:val="3B7A10DE"/>
    <w:numStyleLink w:val="BulletsList"/>
  </w:abstractNum>
  <w:abstractNum w:abstractNumId="12"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4B49D7"/>
    <w:multiLevelType w:val="hybridMultilevel"/>
    <w:tmpl w:val="74DC9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B82196"/>
    <w:multiLevelType w:val="hybridMultilevel"/>
    <w:tmpl w:val="66A8B882"/>
    <w:lvl w:ilvl="0" w:tplc="A6D244D8">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3A2AD0"/>
    <w:multiLevelType w:val="hybridMultilevel"/>
    <w:tmpl w:val="662A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4B565667"/>
    <w:multiLevelType w:val="multilevel"/>
    <w:tmpl w:val="5D9A3B7C"/>
    <w:lvl w:ilvl="0">
      <w:start w:val="1"/>
      <w:numFmt w:val="bullet"/>
      <w:lvlText w:val=""/>
      <w:lvlJc w:val="left"/>
      <w:pPr>
        <w:tabs>
          <w:tab w:val="num" w:pos="567"/>
        </w:tabs>
        <w:ind w:left="567" w:firstLine="0"/>
      </w:pPr>
      <w:rPr>
        <w:rFonts w:ascii="Symbol" w:hAnsi="Symbol" w:hint="default"/>
      </w:rPr>
    </w:lvl>
    <w:lvl w:ilvl="1">
      <w:start w:val="1"/>
      <w:numFmt w:val="bullet"/>
      <w:lvlText w:val="–"/>
      <w:lvlJc w:val="left"/>
      <w:pPr>
        <w:tabs>
          <w:tab w:val="num" w:pos="1135"/>
        </w:tabs>
        <w:ind w:left="1135" w:firstLine="0"/>
      </w:pPr>
      <w:rPr>
        <w:rFonts w:ascii="Arial" w:hAnsi="Arial" w:cs="Times New Roman" w:hint="default"/>
      </w:rPr>
    </w:lvl>
    <w:lvl w:ilvl="2">
      <w:start w:val="1"/>
      <w:numFmt w:val="bullet"/>
      <w:lvlText w:val="»"/>
      <w:lvlJc w:val="left"/>
      <w:pPr>
        <w:tabs>
          <w:tab w:val="num" w:pos="1419"/>
        </w:tabs>
        <w:ind w:left="1419" w:firstLine="0"/>
      </w:pPr>
      <w:rPr>
        <w:rFonts w:ascii="Arial" w:hAnsi="Arial" w:cs="Times New Roman" w:hint="default"/>
      </w:rPr>
    </w:lvl>
    <w:lvl w:ilvl="3">
      <w:start w:val="1"/>
      <w:numFmt w:val="decimal"/>
      <w:lvlText w:val="(%4)"/>
      <w:lvlJc w:val="left"/>
      <w:pPr>
        <w:tabs>
          <w:tab w:val="num" w:pos="1703"/>
        </w:tabs>
        <w:ind w:left="1703" w:firstLine="0"/>
      </w:pPr>
    </w:lvl>
    <w:lvl w:ilvl="4">
      <w:start w:val="1"/>
      <w:numFmt w:val="lowerLetter"/>
      <w:lvlText w:val="(%5)"/>
      <w:lvlJc w:val="left"/>
      <w:pPr>
        <w:tabs>
          <w:tab w:val="num" w:pos="1987"/>
        </w:tabs>
        <w:ind w:left="1987" w:firstLine="0"/>
      </w:pPr>
    </w:lvl>
    <w:lvl w:ilvl="5">
      <w:start w:val="1"/>
      <w:numFmt w:val="lowerRoman"/>
      <w:lvlText w:val="(%6)"/>
      <w:lvlJc w:val="left"/>
      <w:pPr>
        <w:tabs>
          <w:tab w:val="num" w:pos="2271"/>
        </w:tabs>
        <w:ind w:left="2271" w:firstLine="0"/>
      </w:pPr>
    </w:lvl>
    <w:lvl w:ilvl="6">
      <w:start w:val="1"/>
      <w:numFmt w:val="decimal"/>
      <w:lvlText w:val="%7."/>
      <w:lvlJc w:val="left"/>
      <w:pPr>
        <w:tabs>
          <w:tab w:val="num" w:pos="2555"/>
        </w:tabs>
        <w:ind w:left="2555" w:firstLine="0"/>
      </w:pPr>
    </w:lvl>
    <w:lvl w:ilvl="7">
      <w:start w:val="1"/>
      <w:numFmt w:val="lowerLetter"/>
      <w:lvlText w:val="%8."/>
      <w:lvlJc w:val="left"/>
      <w:pPr>
        <w:tabs>
          <w:tab w:val="num" w:pos="2839"/>
        </w:tabs>
        <w:ind w:left="2839" w:firstLine="0"/>
      </w:pPr>
    </w:lvl>
    <w:lvl w:ilvl="8">
      <w:start w:val="1"/>
      <w:numFmt w:val="lowerRoman"/>
      <w:lvlText w:val="%9."/>
      <w:lvlJc w:val="left"/>
      <w:pPr>
        <w:tabs>
          <w:tab w:val="num" w:pos="3123"/>
        </w:tabs>
        <w:ind w:left="3123" w:firstLine="0"/>
      </w:pPr>
    </w:lvl>
  </w:abstractNum>
  <w:abstractNum w:abstractNumId="20"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1"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7C7F0C"/>
    <w:multiLevelType w:val="hybridMultilevel"/>
    <w:tmpl w:val="7F92839E"/>
    <w:lvl w:ilvl="0" w:tplc="80026FB2">
      <w:numFmt w:val="bullet"/>
      <w:lvlText w:val="-"/>
      <w:lvlJc w:val="left"/>
      <w:pPr>
        <w:ind w:left="1440" w:hanging="360"/>
      </w:pPr>
      <w:rPr>
        <w:rFonts w:ascii="Calibri Light" w:eastAsiaTheme="minorHAnsi" w:hAnsi="Calibri Light" w:cs="Calibri Light"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F13254C"/>
    <w:multiLevelType w:val="hybridMultilevel"/>
    <w:tmpl w:val="DEE0D94C"/>
    <w:lvl w:ilvl="0" w:tplc="E258CB2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C036E8"/>
    <w:multiLevelType w:val="multilevel"/>
    <w:tmpl w:val="E416BAD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0"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1E0C15"/>
    <w:multiLevelType w:val="hybridMultilevel"/>
    <w:tmpl w:val="8918EC0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32"/>
  </w:num>
  <w:num w:numId="2">
    <w:abstractNumId w:val="2"/>
  </w:num>
  <w:num w:numId="3">
    <w:abstractNumId w:val="8"/>
  </w:num>
  <w:num w:numId="4">
    <w:abstractNumId w:val="23"/>
  </w:num>
  <w:num w:numId="5">
    <w:abstractNumId w:val="26"/>
  </w:num>
  <w:num w:numId="6">
    <w:abstractNumId w:val="8"/>
  </w:num>
  <w:num w:numId="7">
    <w:abstractNumId w:val="2"/>
  </w:num>
  <w:num w:numId="8">
    <w:abstractNumId w:val="4"/>
  </w:num>
  <w:num w:numId="9">
    <w:abstractNumId w:val="35"/>
  </w:num>
  <w:num w:numId="10">
    <w:abstractNumId w:val="11"/>
  </w:num>
  <w:num w:numId="11">
    <w:abstractNumId w:val="20"/>
  </w:num>
  <w:num w:numId="12">
    <w:abstractNumId w:val="21"/>
  </w:num>
  <w:num w:numId="13">
    <w:abstractNumId w:val="0"/>
  </w:num>
  <w:num w:numId="14">
    <w:abstractNumId w:val="18"/>
  </w:num>
  <w:num w:numId="15">
    <w:abstractNumId w:val="24"/>
  </w:num>
  <w:num w:numId="16">
    <w:abstractNumId w:val="30"/>
  </w:num>
  <w:num w:numId="17">
    <w:abstractNumId w:val="6"/>
  </w:num>
  <w:num w:numId="18">
    <w:abstractNumId w:val="25"/>
  </w:num>
  <w:num w:numId="19">
    <w:abstractNumId w:val="34"/>
  </w:num>
  <w:num w:numId="20">
    <w:abstractNumId w:val="14"/>
  </w:num>
  <w:num w:numId="21">
    <w:abstractNumId w:val="33"/>
  </w:num>
  <w:num w:numId="22">
    <w:abstractNumId w:val="12"/>
  </w:num>
  <w:num w:numId="23">
    <w:abstractNumId w:val="3"/>
  </w:num>
  <w:num w:numId="24">
    <w:abstractNumId w:val="31"/>
  </w:num>
  <w:num w:numId="25">
    <w:abstractNumId w:val="36"/>
  </w:num>
  <w:num w:numId="26">
    <w:abstractNumId w:val="17"/>
  </w:num>
  <w:num w:numId="27">
    <w:abstractNumId w:val="28"/>
  </w:num>
  <w:num w:numId="28">
    <w:abstractNumId w:val="1"/>
  </w:num>
  <w:num w:numId="29">
    <w:abstractNumId w:val="16"/>
  </w:num>
  <w:num w:numId="30">
    <w:abstractNumId w:val="37"/>
  </w:num>
  <w:num w:numId="31">
    <w:abstractNumId w:val="11"/>
  </w:num>
  <w:num w:numId="32">
    <w:abstractNumId w:val="11"/>
  </w:num>
  <w:num w:numId="33">
    <w:abstractNumId w:val="13"/>
  </w:num>
  <w:num w:numId="34">
    <w:abstractNumId w:val="27"/>
  </w:num>
  <w:num w:numId="35">
    <w:abstractNumId w:val="5"/>
  </w:num>
  <w:num w:numId="36">
    <w:abstractNumId w:val="15"/>
  </w:num>
  <w:num w:numId="37">
    <w:abstractNumId w:val="11"/>
  </w:num>
  <w:num w:numId="3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9"/>
  </w:num>
  <w:num w:numId="41">
    <w:abstractNumId w:val="11"/>
  </w:num>
  <w:num w:numId="42">
    <w:abstractNumId w:val="11"/>
  </w:num>
  <w:num w:numId="43">
    <w:abstractNumId w:val="11"/>
  </w:num>
  <w:num w:numId="44">
    <w:abstractNumId w:val="11"/>
  </w:num>
  <w:num w:numId="45">
    <w:abstractNumId w:val="19"/>
  </w:num>
  <w:num w:numId="46">
    <w:abstractNumId w:val="7"/>
  </w:num>
  <w:num w:numId="47">
    <w:abstractNumId w:val="22"/>
  </w:num>
  <w:num w:numId="4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643"/>
    <w:rsid w:val="00001DA8"/>
    <w:rsid w:val="000020C1"/>
    <w:rsid w:val="00010006"/>
    <w:rsid w:val="00011235"/>
    <w:rsid w:val="00011B1D"/>
    <w:rsid w:val="00012E74"/>
    <w:rsid w:val="00015AB7"/>
    <w:rsid w:val="00015EE8"/>
    <w:rsid w:val="0002041B"/>
    <w:rsid w:val="0002080A"/>
    <w:rsid w:val="00021DA2"/>
    <w:rsid w:val="00026B4E"/>
    <w:rsid w:val="0002782F"/>
    <w:rsid w:val="0003138F"/>
    <w:rsid w:val="00031486"/>
    <w:rsid w:val="000314BA"/>
    <w:rsid w:val="000352A3"/>
    <w:rsid w:val="00035BBF"/>
    <w:rsid w:val="00035CBC"/>
    <w:rsid w:val="000417C3"/>
    <w:rsid w:val="000444F3"/>
    <w:rsid w:val="00050806"/>
    <w:rsid w:val="00054576"/>
    <w:rsid w:val="000546D9"/>
    <w:rsid w:val="000549B6"/>
    <w:rsid w:val="00054E4D"/>
    <w:rsid w:val="00055644"/>
    <w:rsid w:val="0005564F"/>
    <w:rsid w:val="00055880"/>
    <w:rsid w:val="00056F24"/>
    <w:rsid w:val="00060073"/>
    <w:rsid w:val="000616C6"/>
    <w:rsid w:val="0006566E"/>
    <w:rsid w:val="000822AD"/>
    <w:rsid w:val="000854FD"/>
    <w:rsid w:val="000979D8"/>
    <w:rsid w:val="000A0428"/>
    <w:rsid w:val="000A1908"/>
    <w:rsid w:val="000A407E"/>
    <w:rsid w:val="000A51D1"/>
    <w:rsid w:val="000A7B4D"/>
    <w:rsid w:val="000B2366"/>
    <w:rsid w:val="000B26A0"/>
    <w:rsid w:val="000B37F5"/>
    <w:rsid w:val="000B5DA7"/>
    <w:rsid w:val="000B78E6"/>
    <w:rsid w:val="000C3A4C"/>
    <w:rsid w:val="000C4411"/>
    <w:rsid w:val="000C4CEA"/>
    <w:rsid w:val="000C4E79"/>
    <w:rsid w:val="000C70CF"/>
    <w:rsid w:val="000D11F9"/>
    <w:rsid w:val="000D141E"/>
    <w:rsid w:val="000D2896"/>
    <w:rsid w:val="000D66D6"/>
    <w:rsid w:val="000E173F"/>
    <w:rsid w:val="000E49D8"/>
    <w:rsid w:val="000E58BF"/>
    <w:rsid w:val="000E6C44"/>
    <w:rsid w:val="000E71B2"/>
    <w:rsid w:val="000F0727"/>
    <w:rsid w:val="000F1442"/>
    <w:rsid w:val="000F2600"/>
    <w:rsid w:val="000F78C9"/>
    <w:rsid w:val="00100513"/>
    <w:rsid w:val="00110460"/>
    <w:rsid w:val="00113288"/>
    <w:rsid w:val="001133EA"/>
    <w:rsid w:val="001136AA"/>
    <w:rsid w:val="001213AE"/>
    <w:rsid w:val="001214BE"/>
    <w:rsid w:val="0012165D"/>
    <w:rsid w:val="00121DDD"/>
    <w:rsid w:val="00121E5D"/>
    <w:rsid w:val="001227F1"/>
    <w:rsid w:val="00123E29"/>
    <w:rsid w:val="00126DAF"/>
    <w:rsid w:val="0013101C"/>
    <w:rsid w:val="00132E00"/>
    <w:rsid w:val="0013385F"/>
    <w:rsid w:val="00133899"/>
    <w:rsid w:val="00133F10"/>
    <w:rsid w:val="00137F4E"/>
    <w:rsid w:val="00144242"/>
    <w:rsid w:val="00144782"/>
    <w:rsid w:val="00144C05"/>
    <w:rsid w:val="001461D6"/>
    <w:rsid w:val="00146E07"/>
    <w:rsid w:val="0015303C"/>
    <w:rsid w:val="001541EA"/>
    <w:rsid w:val="0015493D"/>
    <w:rsid w:val="001570C8"/>
    <w:rsid w:val="00157B86"/>
    <w:rsid w:val="0016223D"/>
    <w:rsid w:val="001651A6"/>
    <w:rsid w:val="00166032"/>
    <w:rsid w:val="001662F8"/>
    <w:rsid w:val="00180813"/>
    <w:rsid w:val="001841C8"/>
    <w:rsid w:val="00186B4B"/>
    <w:rsid w:val="001870E5"/>
    <w:rsid w:val="00190CA0"/>
    <w:rsid w:val="00190DF8"/>
    <w:rsid w:val="00193C49"/>
    <w:rsid w:val="001961FC"/>
    <w:rsid w:val="001A0585"/>
    <w:rsid w:val="001A1130"/>
    <w:rsid w:val="001A51EE"/>
    <w:rsid w:val="001A7815"/>
    <w:rsid w:val="001B0F9D"/>
    <w:rsid w:val="001B78DA"/>
    <w:rsid w:val="001C03C0"/>
    <w:rsid w:val="001C0A44"/>
    <w:rsid w:val="001C14F4"/>
    <w:rsid w:val="001C1F11"/>
    <w:rsid w:val="001C5ECF"/>
    <w:rsid w:val="001D1A8F"/>
    <w:rsid w:val="001D3C98"/>
    <w:rsid w:val="001D3DDD"/>
    <w:rsid w:val="001D4091"/>
    <w:rsid w:val="001D663E"/>
    <w:rsid w:val="001E03BE"/>
    <w:rsid w:val="001E1DC0"/>
    <w:rsid w:val="001E270E"/>
    <w:rsid w:val="001E563B"/>
    <w:rsid w:val="001E6D20"/>
    <w:rsid w:val="001F1579"/>
    <w:rsid w:val="001F16E7"/>
    <w:rsid w:val="001F3D34"/>
    <w:rsid w:val="001F7A8B"/>
    <w:rsid w:val="001F7EEF"/>
    <w:rsid w:val="001F7F4D"/>
    <w:rsid w:val="00201850"/>
    <w:rsid w:val="00204C61"/>
    <w:rsid w:val="00215BA8"/>
    <w:rsid w:val="00216A7D"/>
    <w:rsid w:val="00216B90"/>
    <w:rsid w:val="00216C55"/>
    <w:rsid w:val="00222D7B"/>
    <w:rsid w:val="002231BD"/>
    <w:rsid w:val="0022374D"/>
    <w:rsid w:val="002270F7"/>
    <w:rsid w:val="00234783"/>
    <w:rsid w:val="002404E8"/>
    <w:rsid w:val="00244229"/>
    <w:rsid w:val="00247365"/>
    <w:rsid w:val="00252A0F"/>
    <w:rsid w:val="00255F45"/>
    <w:rsid w:val="00261565"/>
    <w:rsid w:val="00263DE0"/>
    <w:rsid w:val="002700BC"/>
    <w:rsid w:val="00270C70"/>
    <w:rsid w:val="002721B5"/>
    <w:rsid w:val="002814CA"/>
    <w:rsid w:val="00282E67"/>
    <w:rsid w:val="00283377"/>
    <w:rsid w:val="0028602A"/>
    <w:rsid w:val="002945C4"/>
    <w:rsid w:val="00294EC8"/>
    <w:rsid w:val="0029663F"/>
    <w:rsid w:val="00297258"/>
    <w:rsid w:val="00297FD1"/>
    <w:rsid w:val="002A5B7D"/>
    <w:rsid w:val="002A7CB4"/>
    <w:rsid w:val="002B3381"/>
    <w:rsid w:val="002B5698"/>
    <w:rsid w:val="002B5E10"/>
    <w:rsid w:val="002B5F55"/>
    <w:rsid w:val="002C0DA4"/>
    <w:rsid w:val="002C2383"/>
    <w:rsid w:val="002C2B64"/>
    <w:rsid w:val="002C30F1"/>
    <w:rsid w:val="002C5B9A"/>
    <w:rsid w:val="002C65BB"/>
    <w:rsid w:val="002C77D9"/>
    <w:rsid w:val="002C793D"/>
    <w:rsid w:val="002D35C9"/>
    <w:rsid w:val="002D3A3D"/>
    <w:rsid w:val="002D4108"/>
    <w:rsid w:val="002D430F"/>
    <w:rsid w:val="002D5303"/>
    <w:rsid w:val="002D5B25"/>
    <w:rsid w:val="002E0CF2"/>
    <w:rsid w:val="002E2938"/>
    <w:rsid w:val="002E2AF4"/>
    <w:rsid w:val="002E38B2"/>
    <w:rsid w:val="002E4FD7"/>
    <w:rsid w:val="002E500A"/>
    <w:rsid w:val="002E51EF"/>
    <w:rsid w:val="002E7364"/>
    <w:rsid w:val="002F03FB"/>
    <w:rsid w:val="002F1CAC"/>
    <w:rsid w:val="002F4F1B"/>
    <w:rsid w:val="002F4F2B"/>
    <w:rsid w:val="002F6B45"/>
    <w:rsid w:val="003002C0"/>
    <w:rsid w:val="00301144"/>
    <w:rsid w:val="0030116B"/>
    <w:rsid w:val="003031C6"/>
    <w:rsid w:val="00303BED"/>
    <w:rsid w:val="00304984"/>
    <w:rsid w:val="00305B7B"/>
    <w:rsid w:val="00311946"/>
    <w:rsid w:val="00312BF8"/>
    <w:rsid w:val="003148B7"/>
    <w:rsid w:val="003158C3"/>
    <w:rsid w:val="00316684"/>
    <w:rsid w:val="00317CFA"/>
    <w:rsid w:val="00322F62"/>
    <w:rsid w:val="003274CD"/>
    <w:rsid w:val="00332B7E"/>
    <w:rsid w:val="00333501"/>
    <w:rsid w:val="003406AF"/>
    <w:rsid w:val="003457C4"/>
    <w:rsid w:val="003459B4"/>
    <w:rsid w:val="003502D7"/>
    <w:rsid w:val="0035119D"/>
    <w:rsid w:val="003535F8"/>
    <w:rsid w:val="00354641"/>
    <w:rsid w:val="00357324"/>
    <w:rsid w:val="003622C1"/>
    <w:rsid w:val="00363A9F"/>
    <w:rsid w:val="003664FE"/>
    <w:rsid w:val="003701C8"/>
    <w:rsid w:val="003748DA"/>
    <w:rsid w:val="00375D23"/>
    <w:rsid w:val="00380494"/>
    <w:rsid w:val="003806F4"/>
    <w:rsid w:val="003806FE"/>
    <w:rsid w:val="00382CE7"/>
    <w:rsid w:val="00387EC8"/>
    <w:rsid w:val="0039215F"/>
    <w:rsid w:val="0039344A"/>
    <w:rsid w:val="003A1305"/>
    <w:rsid w:val="003A3DE3"/>
    <w:rsid w:val="003B135C"/>
    <w:rsid w:val="003B3091"/>
    <w:rsid w:val="003B4749"/>
    <w:rsid w:val="003B4F12"/>
    <w:rsid w:val="003B4FC3"/>
    <w:rsid w:val="003C6C4F"/>
    <w:rsid w:val="003C7D0E"/>
    <w:rsid w:val="003D1253"/>
    <w:rsid w:val="003D6126"/>
    <w:rsid w:val="003D73C1"/>
    <w:rsid w:val="003D7FB6"/>
    <w:rsid w:val="003E00C0"/>
    <w:rsid w:val="003E24BA"/>
    <w:rsid w:val="003F2041"/>
    <w:rsid w:val="003F7B2C"/>
    <w:rsid w:val="003F7D26"/>
    <w:rsid w:val="004007ED"/>
    <w:rsid w:val="00400D50"/>
    <w:rsid w:val="00402ACC"/>
    <w:rsid w:val="00403FD8"/>
    <w:rsid w:val="00404443"/>
    <w:rsid w:val="00404602"/>
    <w:rsid w:val="00407E9B"/>
    <w:rsid w:val="004120EC"/>
    <w:rsid w:val="0041267F"/>
    <w:rsid w:val="004151FA"/>
    <w:rsid w:val="0041524D"/>
    <w:rsid w:val="00423212"/>
    <w:rsid w:val="00423DE0"/>
    <w:rsid w:val="00423F31"/>
    <w:rsid w:val="0042526D"/>
    <w:rsid w:val="00426340"/>
    <w:rsid w:val="00427830"/>
    <w:rsid w:val="004303AA"/>
    <w:rsid w:val="00430B68"/>
    <w:rsid w:val="00431899"/>
    <w:rsid w:val="00443675"/>
    <w:rsid w:val="0044442D"/>
    <w:rsid w:val="00450381"/>
    <w:rsid w:val="004529F1"/>
    <w:rsid w:val="00453B1A"/>
    <w:rsid w:val="00462A57"/>
    <w:rsid w:val="004719A6"/>
    <w:rsid w:val="00471C32"/>
    <w:rsid w:val="004728DD"/>
    <w:rsid w:val="00473F2D"/>
    <w:rsid w:val="00473F39"/>
    <w:rsid w:val="00474037"/>
    <w:rsid w:val="00475782"/>
    <w:rsid w:val="00482AE8"/>
    <w:rsid w:val="0048437C"/>
    <w:rsid w:val="00486804"/>
    <w:rsid w:val="004873D1"/>
    <w:rsid w:val="00487549"/>
    <w:rsid w:val="004916C4"/>
    <w:rsid w:val="00491D8F"/>
    <w:rsid w:val="004939F1"/>
    <w:rsid w:val="00494242"/>
    <w:rsid w:val="0049696B"/>
    <w:rsid w:val="004A41B8"/>
    <w:rsid w:val="004B3775"/>
    <w:rsid w:val="004B5326"/>
    <w:rsid w:val="004D0BA0"/>
    <w:rsid w:val="004D7F36"/>
    <w:rsid w:val="004E058F"/>
    <w:rsid w:val="004E3B87"/>
    <w:rsid w:val="004E549D"/>
    <w:rsid w:val="004F1AFB"/>
    <w:rsid w:val="004F5615"/>
    <w:rsid w:val="00502041"/>
    <w:rsid w:val="00503EB4"/>
    <w:rsid w:val="0050592F"/>
    <w:rsid w:val="00506014"/>
    <w:rsid w:val="005073B8"/>
    <w:rsid w:val="00510921"/>
    <w:rsid w:val="00510AD3"/>
    <w:rsid w:val="0051305F"/>
    <w:rsid w:val="00513348"/>
    <w:rsid w:val="00513AD8"/>
    <w:rsid w:val="00517DD0"/>
    <w:rsid w:val="005204D2"/>
    <w:rsid w:val="005207F7"/>
    <w:rsid w:val="00520F2B"/>
    <w:rsid w:val="0052146D"/>
    <w:rsid w:val="00522396"/>
    <w:rsid w:val="005242C8"/>
    <w:rsid w:val="00527AD8"/>
    <w:rsid w:val="0053159D"/>
    <w:rsid w:val="00531B69"/>
    <w:rsid w:val="00533B5D"/>
    <w:rsid w:val="00534D96"/>
    <w:rsid w:val="00536343"/>
    <w:rsid w:val="00536BAB"/>
    <w:rsid w:val="00540A22"/>
    <w:rsid w:val="00546B3A"/>
    <w:rsid w:val="005474FC"/>
    <w:rsid w:val="00551043"/>
    <w:rsid w:val="00553079"/>
    <w:rsid w:val="00560E83"/>
    <w:rsid w:val="0056258E"/>
    <w:rsid w:val="005668D1"/>
    <w:rsid w:val="00570AE9"/>
    <w:rsid w:val="005736BB"/>
    <w:rsid w:val="00577815"/>
    <w:rsid w:val="005822D6"/>
    <w:rsid w:val="00583A87"/>
    <w:rsid w:val="00587ECB"/>
    <w:rsid w:val="00593632"/>
    <w:rsid w:val="005A1DFD"/>
    <w:rsid w:val="005A20F6"/>
    <w:rsid w:val="005A6FB8"/>
    <w:rsid w:val="005A7E0C"/>
    <w:rsid w:val="005B183A"/>
    <w:rsid w:val="005B7FEB"/>
    <w:rsid w:val="005C1955"/>
    <w:rsid w:val="005C2EC9"/>
    <w:rsid w:val="005C532B"/>
    <w:rsid w:val="005D3655"/>
    <w:rsid w:val="005D5489"/>
    <w:rsid w:val="005D665D"/>
    <w:rsid w:val="005E0058"/>
    <w:rsid w:val="005E392B"/>
    <w:rsid w:val="005E4830"/>
    <w:rsid w:val="005E5524"/>
    <w:rsid w:val="005E5565"/>
    <w:rsid w:val="005E73CC"/>
    <w:rsid w:val="005E78E6"/>
    <w:rsid w:val="005F101E"/>
    <w:rsid w:val="005F238D"/>
    <w:rsid w:val="005F2F66"/>
    <w:rsid w:val="005F50EB"/>
    <w:rsid w:val="006023A8"/>
    <w:rsid w:val="006031AC"/>
    <w:rsid w:val="00603321"/>
    <w:rsid w:val="00603571"/>
    <w:rsid w:val="00604955"/>
    <w:rsid w:val="0060528A"/>
    <w:rsid w:val="006076AD"/>
    <w:rsid w:val="00614E2A"/>
    <w:rsid w:val="00616A58"/>
    <w:rsid w:val="00620A3D"/>
    <w:rsid w:val="00621314"/>
    <w:rsid w:val="00622217"/>
    <w:rsid w:val="00622B86"/>
    <w:rsid w:val="00623BA1"/>
    <w:rsid w:val="00630092"/>
    <w:rsid w:val="006346BC"/>
    <w:rsid w:val="00634F09"/>
    <w:rsid w:val="006362FF"/>
    <w:rsid w:val="006378FE"/>
    <w:rsid w:val="006408FF"/>
    <w:rsid w:val="00642CC6"/>
    <w:rsid w:val="00650263"/>
    <w:rsid w:val="006517D1"/>
    <w:rsid w:val="006543AE"/>
    <w:rsid w:val="0065649B"/>
    <w:rsid w:val="00656B27"/>
    <w:rsid w:val="0066098C"/>
    <w:rsid w:val="0066203A"/>
    <w:rsid w:val="0066652A"/>
    <w:rsid w:val="00667403"/>
    <w:rsid w:val="006719C3"/>
    <w:rsid w:val="006736D3"/>
    <w:rsid w:val="006745FC"/>
    <w:rsid w:val="006750D9"/>
    <w:rsid w:val="00680115"/>
    <w:rsid w:val="00680522"/>
    <w:rsid w:val="00681633"/>
    <w:rsid w:val="00682167"/>
    <w:rsid w:val="0068435E"/>
    <w:rsid w:val="00685342"/>
    <w:rsid w:val="00687935"/>
    <w:rsid w:val="00690AE1"/>
    <w:rsid w:val="00693563"/>
    <w:rsid w:val="006969DA"/>
    <w:rsid w:val="006A6778"/>
    <w:rsid w:val="006A6F52"/>
    <w:rsid w:val="006A791A"/>
    <w:rsid w:val="006B0064"/>
    <w:rsid w:val="006B0934"/>
    <w:rsid w:val="006B3E95"/>
    <w:rsid w:val="006B51B2"/>
    <w:rsid w:val="006B6F6D"/>
    <w:rsid w:val="006C0B06"/>
    <w:rsid w:val="006C3BBD"/>
    <w:rsid w:val="006C42AF"/>
    <w:rsid w:val="006C565B"/>
    <w:rsid w:val="006C6498"/>
    <w:rsid w:val="006C7C8B"/>
    <w:rsid w:val="006D15F1"/>
    <w:rsid w:val="006D4A5E"/>
    <w:rsid w:val="006D5A56"/>
    <w:rsid w:val="006E06D3"/>
    <w:rsid w:val="006E2E51"/>
    <w:rsid w:val="006E4323"/>
    <w:rsid w:val="006F0DA0"/>
    <w:rsid w:val="006F3D2B"/>
    <w:rsid w:val="006F58AD"/>
    <w:rsid w:val="006F6BA7"/>
    <w:rsid w:val="00703B82"/>
    <w:rsid w:val="00703BCE"/>
    <w:rsid w:val="00707107"/>
    <w:rsid w:val="007075DF"/>
    <w:rsid w:val="00711D8E"/>
    <w:rsid w:val="00712672"/>
    <w:rsid w:val="007178C4"/>
    <w:rsid w:val="00721D36"/>
    <w:rsid w:val="00722D22"/>
    <w:rsid w:val="00723748"/>
    <w:rsid w:val="00723DFA"/>
    <w:rsid w:val="00734E3F"/>
    <w:rsid w:val="00736985"/>
    <w:rsid w:val="00740EC5"/>
    <w:rsid w:val="00742485"/>
    <w:rsid w:val="00744944"/>
    <w:rsid w:val="00745DF5"/>
    <w:rsid w:val="00751718"/>
    <w:rsid w:val="0075493E"/>
    <w:rsid w:val="007559F0"/>
    <w:rsid w:val="0076250F"/>
    <w:rsid w:val="007669CA"/>
    <w:rsid w:val="00771998"/>
    <w:rsid w:val="007725DF"/>
    <w:rsid w:val="0077324F"/>
    <w:rsid w:val="007733DC"/>
    <w:rsid w:val="00780FA5"/>
    <w:rsid w:val="00782672"/>
    <w:rsid w:val="00786056"/>
    <w:rsid w:val="00790D4F"/>
    <w:rsid w:val="00794D99"/>
    <w:rsid w:val="00796F1C"/>
    <w:rsid w:val="007A4493"/>
    <w:rsid w:val="007A593E"/>
    <w:rsid w:val="007A6FF5"/>
    <w:rsid w:val="007B4780"/>
    <w:rsid w:val="007B53F9"/>
    <w:rsid w:val="007B6200"/>
    <w:rsid w:val="007C19B3"/>
    <w:rsid w:val="007C34D9"/>
    <w:rsid w:val="007C68B8"/>
    <w:rsid w:val="007C735B"/>
    <w:rsid w:val="007D1F2E"/>
    <w:rsid w:val="007D6BA2"/>
    <w:rsid w:val="007D7800"/>
    <w:rsid w:val="007E3D23"/>
    <w:rsid w:val="007E5361"/>
    <w:rsid w:val="007E556D"/>
    <w:rsid w:val="007E7BC7"/>
    <w:rsid w:val="007F3395"/>
    <w:rsid w:val="007F4166"/>
    <w:rsid w:val="007F5C0B"/>
    <w:rsid w:val="007F646C"/>
    <w:rsid w:val="00800944"/>
    <w:rsid w:val="00801B9F"/>
    <w:rsid w:val="0080204D"/>
    <w:rsid w:val="008027B4"/>
    <w:rsid w:val="0080364C"/>
    <w:rsid w:val="008043B6"/>
    <w:rsid w:val="00804D5F"/>
    <w:rsid w:val="00807100"/>
    <w:rsid w:val="0082053C"/>
    <w:rsid w:val="00821D96"/>
    <w:rsid w:val="00822F43"/>
    <w:rsid w:val="0082332F"/>
    <w:rsid w:val="00824380"/>
    <w:rsid w:val="00825C8D"/>
    <w:rsid w:val="0082734D"/>
    <w:rsid w:val="00832126"/>
    <w:rsid w:val="0084191E"/>
    <w:rsid w:val="00843B76"/>
    <w:rsid w:val="008475F0"/>
    <w:rsid w:val="00851066"/>
    <w:rsid w:val="008515AF"/>
    <w:rsid w:val="00852C32"/>
    <w:rsid w:val="008534B0"/>
    <w:rsid w:val="00854F69"/>
    <w:rsid w:val="008557A7"/>
    <w:rsid w:val="00856BFE"/>
    <w:rsid w:val="00857312"/>
    <w:rsid w:val="00863F9B"/>
    <w:rsid w:val="008646DB"/>
    <w:rsid w:val="00867FE4"/>
    <w:rsid w:val="00870928"/>
    <w:rsid w:val="00875AE7"/>
    <w:rsid w:val="008767BC"/>
    <w:rsid w:val="00877620"/>
    <w:rsid w:val="008815F1"/>
    <w:rsid w:val="00881605"/>
    <w:rsid w:val="0088512E"/>
    <w:rsid w:val="00887404"/>
    <w:rsid w:val="0089160E"/>
    <w:rsid w:val="0089405C"/>
    <w:rsid w:val="00895E0D"/>
    <w:rsid w:val="0089669B"/>
    <w:rsid w:val="00897359"/>
    <w:rsid w:val="00897FA2"/>
    <w:rsid w:val="008A08E7"/>
    <w:rsid w:val="008A1503"/>
    <w:rsid w:val="008A2D42"/>
    <w:rsid w:val="008A3535"/>
    <w:rsid w:val="008A5AFE"/>
    <w:rsid w:val="008A6BB7"/>
    <w:rsid w:val="008A7B6F"/>
    <w:rsid w:val="008B2C87"/>
    <w:rsid w:val="008C1F60"/>
    <w:rsid w:val="008C2B6C"/>
    <w:rsid w:val="008C478C"/>
    <w:rsid w:val="008C5A0E"/>
    <w:rsid w:val="008C5B5B"/>
    <w:rsid w:val="008C6149"/>
    <w:rsid w:val="008C708C"/>
    <w:rsid w:val="008D0341"/>
    <w:rsid w:val="008D1B62"/>
    <w:rsid w:val="008D4E79"/>
    <w:rsid w:val="008D5E8B"/>
    <w:rsid w:val="008E4B49"/>
    <w:rsid w:val="008E55FD"/>
    <w:rsid w:val="008F115E"/>
    <w:rsid w:val="008F5F74"/>
    <w:rsid w:val="008F6625"/>
    <w:rsid w:val="008F7A72"/>
    <w:rsid w:val="00900699"/>
    <w:rsid w:val="00902A8F"/>
    <w:rsid w:val="00911A31"/>
    <w:rsid w:val="00912185"/>
    <w:rsid w:val="009131E9"/>
    <w:rsid w:val="00916582"/>
    <w:rsid w:val="00917A7A"/>
    <w:rsid w:val="00917F70"/>
    <w:rsid w:val="00920854"/>
    <w:rsid w:val="00927229"/>
    <w:rsid w:val="0093173D"/>
    <w:rsid w:val="0093744B"/>
    <w:rsid w:val="00937866"/>
    <w:rsid w:val="00943730"/>
    <w:rsid w:val="009508C5"/>
    <w:rsid w:val="00950D65"/>
    <w:rsid w:val="009514DA"/>
    <w:rsid w:val="00952815"/>
    <w:rsid w:val="009569F9"/>
    <w:rsid w:val="00956E62"/>
    <w:rsid w:val="0096565E"/>
    <w:rsid w:val="00975CA5"/>
    <w:rsid w:val="009774B4"/>
    <w:rsid w:val="00986590"/>
    <w:rsid w:val="009902DB"/>
    <w:rsid w:val="00991579"/>
    <w:rsid w:val="00992C76"/>
    <w:rsid w:val="009931BC"/>
    <w:rsid w:val="009969D6"/>
    <w:rsid w:val="00997820"/>
    <w:rsid w:val="009A112B"/>
    <w:rsid w:val="009A2619"/>
    <w:rsid w:val="009A58FC"/>
    <w:rsid w:val="009B2ADA"/>
    <w:rsid w:val="009B394F"/>
    <w:rsid w:val="009B4D3B"/>
    <w:rsid w:val="009C18DB"/>
    <w:rsid w:val="009D2F2D"/>
    <w:rsid w:val="009D2F90"/>
    <w:rsid w:val="009D3438"/>
    <w:rsid w:val="009D47C3"/>
    <w:rsid w:val="009D6BC0"/>
    <w:rsid w:val="009D7407"/>
    <w:rsid w:val="009E0866"/>
    <w:rsid w:val="009E1915"/>
    <w:rsid w:val="009E273C"/>
    <w:rsid w:val="009F1350"/>
    <w:rsid w:val="009F3082"/>
    <w:rsid w:val="009F5302"/>
    <w:rsid w:val="009F6423"/>
    <w:rsid w:val="00A00AC1"/>
    <w:rsid w:val="00A01057"/>
    <w:rsid w:val="00A0167B"/>
    <w:rsid w:val="00A067F8"/>
    <w:rsid w:val="00A07A86"/>
    <w:rsid w:val="00A107B9"/>
    <w:rsid w:val="00A1131E"/>
    <w:rsid w:val="00A12B40"/>
    <w:rsid w:val="00A177D8"/>
    <w:rsid w:val="00A2061A"/>
    <w:rsid w:val="00A22479"/>
    <w:rsid w:val="00A22889"/>
    <w:rsid w:val="00A24A62"/>
    <w:rsid w:val="00A25225"/>
    <w:rsid w:val="00A305AB"/>
    <w:rsid w:val="00A31C9F"/>
    <w:rsid w:val="00A41306"/>
    <w:rsid w:val="00A4144F"/>
    <w:rsid w:val="00A46B28"/>
    <w:rsid w:val="00A47135"/>
    <w:rsid w:val="00A47DD6"/>
    <w:rsid w:val="00A60E82"/>
    <w:rsid w:val="00A61B4D"/>
    <w:rsid w:val="00A71167"/>
    <w:rsid w:val="00A71A7B"/>
    <w:rsid w:val="00A72201"/>
    <w:rsid w:val="00A74192"/>
    <w:rsid w:val="00A75282"/>
    <w:rsid w:val="00A75B84"/>
    <w:rsid w:val="00A80123"/>
    <w:rsid w:val="00A80305"/>
    <w:rsid w:val="00A80717"/>
    <w:rsid w:val="00A80F95"/>
    <w:rsid w:val="00A81730"/>
    <w:rsid w:val="00A868CB"/>
    <w:rsid w:val="00A90669"/>
    <w:rsid w:val="00A94C0B"/>
    <w:rsid w:val="00A96364"/>
    <w:rsid w:val="00A97244"/>
    <w:rsid w:val="00A97859"/>
    <w:rsid w:val="00A9786F"/>
    <w:rsid w:val="00A97BF1"/>
    <w:rsid w:val="00AA298A"/>
    <w:rsid w:val="00AA3AA8"/>
    <w:rsid w:val="00AA7AA2"/>
    <w:rsid w:val="00AB2348"/>
    <w:rsid w:val="00AB4795"/>
    <w:rsid w:val="00AB6549"/>
    <w:rsid w:val="00AB6748"/>
    <w:rsid w:val="00AB6B13"/>
    <w:rsid w:val="00AB6BD2"/>
    <w:rsid w:val="00AB7565"/>
    <w:rsid w:val="00AC107C"/>
    <w:rsid w:val="00AC164A"/>
    <w:rsid w:val="00AC3944"/>
    <w:rsid w:val="00AC551D"/>
    <w:rsid w:val="00AC59FA"/>
    <w:rsid w:val="00AD19F7"/>
    <w:rsid w:val="00AD29AD"/>
    <w:rsid w:val="00AD2C2E"/>
    <w:rsid w:val="00AE007E"/>
    <w:rsid w:val="00AE2B7B"/>
    <w:rsid w:val="00AE3299"/>
    <w:rsid w:val="00AE3CD7"/>
    <w:rsid w:val="00AE448A"/>
    <w:rsid w:val="00AE6F38"/>
    <w:rsid w:val="00AE74DA"/>
    <w:rsid w:val="00AF18F4"/>
    <w:rsid w:val="00AF2050"/>
    <w:rsid w:val="00AF651A"/>
    <w:rsid w:val="00AF7ECC"/>
    <w:rsid w:val="00B00BF4"/>
    <w:rsid w:val="00B021D8"/>
    <w:rsid w:val="00B02B2A"/>
    <w:rsid w:val="00B03CA8"/>
    <w:rsid w:val="00B04BA3"/>
    <w:rsid w:val="00B05B87"/>
    <w:rsid w:val="00B06935"/>
    <w:rsid w:val="00B11BC3"/>
    <w:rsid w:val="00B11CA0"/>
    <w:rsid w:val="00B141C5"/>
    <w:rsid w:val="00B16EF6"/>
    <w:rsid w:val="00B203D7"/>
    <w:rsid w:val="00B216EA"/>
    <w:rsid w:val="00B22750"/>
    <w:rsid w:val="00B22F0E"/>
    <w:rsid w:val="00B24400"/>
    <w:rsid w:val="00B249EC"/>
    <w:rsid w:val="00B27F83"/>
    <w:rsid w:val="00B33C0A"/>
    <w:rsid w:val="00B34763"/>
    <w:rsid w:val="00B401AF"/>
    <w:rsid w:val="00B41F7E"/>
    <w:rsid w:val="00B50ED0"/>
    <w:rsid w:val="00B51B57"/>
    <w:rsid w:val="00B51C2F"/>
    <w:rsid w:val="00B53869"/>
    <w:rsid w:val="00B55E19"/>
    <w:rsid w:val="00B56E71"/>
    <w:rsid w:val="00B579A6"/>
    <w:rsid w:val="00B71AD8"/>
    <w:rsid w:val="00B75279"/>
    <w:rsid w:val="00B82D56"/>
    <w:rsid w:val="00B84B3C"/>
    <w:rsid w:val="00B857E1"/>
    <w:rsid w:val="00B8599B"/>
    <w:rsid w:val="00B86990"/>
    <w:rsid w:val="00B86C91"/>
    <w:rsid w:val="00B91FE7"/>
    <w:rsid w:val="00B929BE"/>
    <w:rsid w:val="00B94758"/>
    <w:rsid w:val="00B94B47"/>
    <w:rsid w:val="00B94BEB"/>
    <w:rsid w:val="00BA06B3"/>
    <w:rsid w:val="00BA1B89"/>
    <w:rsid w:val="00BA4B6D"/>
    <w:rsid w:val="00BB26C5"/>
    <w:rsid w:val="00BB2F84"/>
    <w:rsid w:val="00BB3FD0"/>
    <w:rsid w:val="00BB5602"/>
    <w:rsid w:val="00BC1FED"/>
    <w:rsid w:val="00BC6831"/>
    <w:rsid w:val="00BD106F"/>
    <w:rsid w:val="00BD3D5B"/>
    <w:rsid w:val="00BD6304"/>
    <w:rsid w:val="00BD710C"/>
    <w:rsid w:val="00BD7B75"/>
    <w:rsid w:val="00BE12B6"/>
    <w:rsid w:val="00BF1579"/>
    <w:rsid w:val="00BF27AA"/>
    <w:rsid w:val="00BF2A94"/>
    <w:rsid w:val="00BF4DE6"/>
    <w:rsid w:val="00BF6703"/>
    <w:rsid w:val="00C01365"/>
    <w:rsid w:val="00C01E3D"/>
    <w:rsid w:val="00C03698"/>
    <w:rsid w:val="00C05619"/>
    <w:rsid w:val="00C05B5A"/>
    <w:rsid w:val="00C06B13"/>
    <w:rsid w:val="00C113F2"/>
    <w:rsid w:val="00C14214"/>
    <w:rsid w:val="00C15076"/>
    <w:rsid w:val="00C16A47"/>
    <w:rsid w:val="00C17192"/>
    <w:rsid w:val="00C206DB"/>
    <w:rsid w:val="00C23A65"/>
    <w:rsid w:val="00C27D25"/>
    <w:rsid w:val="00C30787"/>
    <w:rsid w:val="00C35791"/>
    <w:rsid w:val="00C37697"/>
    <w:rsid w:val="00C42541"/>
    <w:rsid w:val="00C428F1"/>
    <w:rsid w:val="00C42B37"/>
    <w:rsid w:val="00C42CDE"/>
    <w:rsid w:val="00C4448F"/>
    <w:rsid w:val="00C44B74"/>
    <w:rsid w:val="00C44B9A"/>
    <w:rsid w:val="00C45941"/>
    <w:rsid w:val="00C50B58"/>
    <w:rsid w:val="00C5182A"/>
    <w:rsid w:val="00C52463"/>
    <w:rsid w:val="00C52B3D"/>
    <w:rsid w:val="00C55983"/>
    <w:rsid w:val="00C57D73"/>
    <w:rsid w:val="00C61649"/>
    <w:rsid w:val="00C63EE9"/>
    <w:rsid w:val="00C724CF"/>
    <w:rsid w:val="00C73EDB"/>
    <w:rsid w:val="00C80F99"/>
    <w:rsid w:val="00C83F4E"/>
    <w:rsid w:val="00C84C30"/>
    <w:rsid w:val="00C87B9B"/>
    <w:rsid w:val="00C908C7"/>
    <w:rsid w:val="00C92805"/>
    <w:rsid w:val="00C95A1B"/>
    <w:rsid w:val="00CA16F3"/>
    <w:rsid w:val="00CA1DC5"/>
    <w:rsid w:val="00CA3403"/>
    <w:rsid w:val="00CA37B1"/>
    <w:rsid w:val="00CA3D1D"/>
    <w:rsid w:val="00CA3FD8"/>
    <w:rsid w:val="00CA5021"/>
    <w:rsid w:val="00CB1488"/>
    <w:rsid w:val="00CB1959"/>
    <w:rsid w:val="00CB2A16"/>
    <w:rsid w:val="00CB40BD"/>
    <w:rsid w:val="00CB7952"/>
    <w:rsid w:val="00CC04AC"/>
    <w:rsid w:val="00CC1D45"/>
    <w:rsid w:val="00CC4FB9"/>
    <w:rsid w:val="00CC5E57"/>
    <w:rsid w:val="00CC741B"/>
    <w:rsid w:val="00CD0E4B"/>
    <w:rsid w:val="00CD3F5D"/>
    <w:rsid w:val="00CD4AD4"/>
    <w:rsid w:val="00CE07B8"/>
    <w:rsid w:val="00CE2EBA"/>
    <w:rsid w:val="00CE4C89"/>
    <w:rsid w:val="00CF07BA"/>
    <w:rsid w:val="00CF0A6D"/>
    <w:rsid w:val="00CF21A3"/>
    <w:rsid w:val="00CF51C1"/>
    <w:rsid w:val="00CF70E1"/>
    <w:rsid w:val="00D0296C"/>
    <w:rsid w:val="00D05E55"/>
    <w:rsid w:val="00D0761F"/>
    <w:rsid w:val="00D10D20"/>
    <w:rsid w:val="00D1231A"/>
    <w:rsid w:val="00D17D7F"/>
    <w:rsid w:val="00D20A30"/>
    <w:rsid w:val="00D20BC7"/>
    <w:rsid w:val="00D21DEB"/>
    <w:rsid w:val="00D24D52"/>
    <w:rsid w:val="00D2641E"/>
    <w:rsid w:val="00D3170B"/>
    <w:rsid w:val="00D32297"/>
    <w:rsid w:val="00D32D6F"/>
    <w:rsid w:val="00D34D5D"/>
    <w:rsid w:val="00D35B2A"/>
    <w:rsid w:val="00D37B04"/>
    <w:rsid w:val="00D45555"/>
    <w:rsid w:val="00D4628C"/>
    <w:rsid w:val="00D479B5"/>
    <w:rsid w:val="00D5269B"/>
    <w:rsid w:val="00D540C6"/>
    <w:rsid w:val="00D5627A"/>
    <w:rsid w:val="00D63070"/>
    <w:rsid w:val="00D64BD1"/>
    <w:rsid w:val="00D71F34"/>
    <w:rsid w:val="00D7310B"/>
    <w:rsid w:val="00D83050"/>
    <w:rsid w:val="00D843B6"/>
    <w:rsid w:val="00D85F0B"/>
    <w:rsid w:val="00D90B37"/>
    <w:rsid w:val="00D92254"/>
    <w:rsid w:val="00D924D3"/>
    <w:rsid w:val="00DA022D"/>
    <w:rsid w:val="00DA0399"/>
    <w:rsid w:val="00DA0A4E"/>
    <w:rsid w:val="00DA1B52"/>
    <w:rsid w:val="00DA6104"/>
    <w:rsid w:val="00DB1588"/>
    <w:rsid w:val="00DB2D35"/>
    <w:rsid w:val="00DB4169"/>
    <w:rsid w:val="00DB57B7"/>
    <w:rsid w:val="00DB59EF"/>
    <w:rsid w:val="00DB5F1A"/>
    <w:rsid w:val="00DB7579"/>
    <w:rsid w:val="00DC0996"/>
    <w:rsid w:val="00DC238C"/>
    <w:rsid w:val="00DC6A74"/>
    <w:rsid w:val="00DC6D78"/>
    <w:rsid w:val="00DC76E3"/>
    <w:rsid w:val="00DD3E88"/>
    <w:rsid w:val="00DD545F"/>
    <w:rsid w:val="00DE084C"/>
    <w:rsid w:val="00DE119C"/>
    <w:rsid w:val="00DE74D1"/>
    <w:rsid w:val="00DF2254"/>
    <w:rsid w:val="00DF51D6"/>
    <w:rsid w:val="00DF68CF"/>
    <w:rsid w:val="00E0242E"/>
    <w:rsid w:val="00E0497E"/>
    <w:rsid w:val="00E055AB"/>
    <w:rsid w:val="00E10FA2"/>
    <w:rsid w:val="00E1304A"/>
    <w:rsid w:val="00E14F51"/>
    <w:rsid w:val="00E15A6C"/>
    <w:rsid w:val="00E1666D"/>
    <w:rsid w:val="00E20FC7"/>
    <w:rsid w:val="00E221FA"/>
    <w:rsid w:val="00E3076E"/>
    <w:rsid w:val="00E353E9"/>
    <w:rsid w:val="00E357B7"/>
    <w:rsid w:val="00E36F9C"/>
    <w:rsid w:val="00E410F8"/>
    <w:rsid w:val="00E42990"/>
    <w:rsid w:val="00E42E50"/>
    <w:rsid w:val="00E437DF"/>
    <w:rsid w:val="00E4584F"/>
    <w:rsid w:val="00E458E7"/>
    <w:rsid w:val="00E532A8"/>
    <w:rsid w:val="00E53800"/>
    <w:rsid w:val="00E54FB0"/>
    <w:rsid w:val="00E57A74"/>
    <w:rsid w:val="00E6081F"/>
    <w:rsid w:val="00E61253"/>
    <w:rsid w:val="00E612E9"/>
    <w:rsid w:val="00E614AA"/>
    <w:rsid w:val="00E624EC"/>
    <w:rsid w:val="00E6285B"/>
    <w:rsid w:val="00E70C37"/>
    <w:rsid w:val="00E74B1E"/>
    <w:rsid w:val="00E8296D"/>
    <w:rsid w:val="00E8457B"/>
    <w:rsid w:val="00E90137"/>
    <w:rsid w:val="00E938F2"/>
    <w:rsid w:val="00E944AA"/>
    <w:rsid w:val="00EA04B2"/>
    <w:rsid w:val="00EA20F3"/>
    <w:rsid w:val="00EA36D9"/>
    <w:rsid w:val="00EA5869"/>
    <w:rsid w:val="00EC32A7"/>
    <w:rsid w:val="00EC608A"/>
    <w:rsid w:val="00EC6D38"/>
    <w:rsid w:val="00ED0EFF"/>
    <w:rsid w:val="00ED1CCE"/>
    <w:rsid w:val="00ED2831"/>
    <w:rsid w:val="00ED290F"/>
    <w:rsid w:val="00ED3B2D"/>
    <w:rsid w:val="00ED43D1"/>
    <w:rsid w:val="00EE0466"/>
    <w:rsid w:val="00EE0640"/>
    <w:rsid w:val="00EE1CFF"/>
    <w:rsid w:val="00EE37A9"/>
    <w:rsid w:val="00EE4EE1"/>
    <w:rsid w:val="00EE7176"/>
    <w:rsid w:val="00EF4574"/>
    <w:rsid w:val="00EF51D3"/>
    <w:rsid w:val="00EF595A"/>
    <w:rsid w:val="00F01921"/>
    <w:rsid w:val="00F028F6"/>
    <w:rsid w:val="00F12491"/>
    <w:rsid w:val="00F13373"/>
    <w:rsid w:val="00F2050C"/>
    <w:rsid w:val="00F21EC7"/>
    <w:rsid w:val="00F258BF"/>
    <w:rsid w:val="00F25A93"/>
    <w:rsid w:val="00F2684E"/>
    <w:rsid w:val="00F27235"/>
    <w:rsid w:val="00F3333D"/>
    <w:rsid w:val="00F42CA7"/>
    <w:rsid w:val="00F42EBA"/>
    <w:rsid w:val="00F45486"/>
    <w:rsid w:val="00F47942"/>
    <w:rsid w:val="00F53309"/>
    <w:rsid w:val="00F53E91"/>
    <w:rsid w:val="00F5404C"/>
    <w:rsid w:val="00F55791"/>
    <w:rsid w:val="00F63AB9"/>
    <w:rsid w:val="00F650C7"/>
    <w:rsid w:val="00F67C6A"/>
    <w:rsid w:val="00F70504"/>
    <w:rsid w:val="00F729EF"/>
    <w:rsid w:val="00F746B7"/>
    <w:rsid w:val="00F760AE"/>
    <w:rsid w:val="00F76129"/>
    <w:rsid w:val="00F77CAE"/>
    <w:rsid w:val="00F82271"/>
    <w:rsid w:val="00F83428"/>
    <w:rsid w:val="00F871E7"/>
    <w:rsid w:val="00F875A8"/>
    <w:rsid w:val="00F90B17"/>
    <w:rsid w:val="00F91A1A"/>
    <w:rsid w:val="00F92373"/>
    <w:rsid w:val="00F96BB9"/>
    <w:rsid w:val="00FA4D1A"/>
    <w:rsid w:val="00FA5EFD"/>
    <w:rsid w:val="00FB2E1C"/>
    <w:rsid w:val="00FC1216"/>
    <w:rsid w:val="00FC49D3"/>
    <w:rsid w:val="00FC5365"/>
    <w:rsid w:val="00FC70F5"/>
    <w:rsid w:val="00FD1850"/>
    <w:rsid w:val="00FD38F4"/>
    <w:rsid w:val="00FD7ABA"/>
    <w:rsid w:val="00FE1A64"/>
    <w:rsid w:val="00FE3093"/>
    <w:rsid w:val="00FE6D51"/>
    <w:rsid w:val="00FE6F2A"/>
    <w:rsid w:val="00FE7601"/>
    <w:rsid w:val="00FF19D3"/>
    <w:rsid w:val="00FF2F4F"/>
    <w:rsid w:val="00FF3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D35B2A"/>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6C7C8B"/>
    <w:pPr>
      <w:spacing w:before="0" w:after="0"/>
      <w:outlineLvl w:val="2"/>
    </w:pPr>
    <w:rPr>
      <w:rFonts w:asciiTheme="minorHAnsi" w:hAnsiTheme="minorHAnsi" w:cstheme="minorHAnsi"/>
      <w:bCs/>
      <w:i/>
      <w:caps w:val="0"/>
      <w:sz w:val="24"/>
      <w:szCs w:val="24"/>
    </w:rPr>
  </w:style>
  <w:style w:type="paragraph" w:styleId="Heading4">
    <w:name w:val="heading 4"/>
    <w:basedOn w:val="Heading3"/>
    <w:next w:val="Normal"/>
    <w:link w:val="Heading4Char"/>
    <w:uiPriority w:val="9"/>
    <w:unhideWhenUsed/>
    <w:qFormat/>
    <w:rsid w:val="00A4144F"/>
    <w:pPr>
      <w:spacing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D35B2A"/>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6C7C8B"/>
    <w:rPr>
      <w:rFonts w:eastAsiaTheme="majorEastAsia" w:cstheme="minorHAnsi"/>
      <w:b/>
      <w:bCs/>
      <w:i/>
      <w:color w:val="495965" w:themeColor="text2"/>
      <w:sz w:val="24"/>
      <w:szCs w:val="24"/>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paragraph" w:customStyle="1" w:styleId="m-5706055856356931571msolistparagraph">
    <w:name w:val="m_-5706055856356931571msolistparagraph"/>
    <w:basedOn w:val="Normal"/>
    <w:rsid w:val="00E458E7"/>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Default">
    <w:name w:val="Default"/>
    <w:rsid w:val="00216B90"/>
    <w:pPr>
      <w:autoSpaceDE w:val="0"/>
      <w:autoSpaceDN w:val="0"/>
      <w:adjustRightInd w:val="0"/>
      <w:spacing w:after="0" w:line="240" w:lineRule="auto"/>
    </w:pPr>
    <w:rPr>
      <w:rFonts w:ascii="Calibri Light" w:hAnsi="Calibri Light" w:cs="Calibri Light"/>
      <w:color w:val="000000"/>
      <w:sz w:val="24"/>
      <w:szCs w:val="24"/>
    </w:rPr>
  </w:style>
  <w:style w:type="paragraph" w:styleId="Revision">
    <w:name w:val="Revision"/>
    <w:hidden/>
    <w:uiPriority w:val="99"/>
    <w:semiHidden/>
    <w:rsid w:val="004916C4"/>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54397140">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13641161">
      <w:bodyDiv w:val="1"/>
      <w:marLeft w:val="0"/>
      <w:marRight w:val="0"/>
      <w:marTop w:val="0"/>
      <w:marBottom w:val="0"/>
      <w:divBdr>
        <w:top w:val="none" w:sz="0" w:space="0" w:color="auto"/>
        <w:left w:val="none" w:sz="0" w:space="0" w:color="auto"/>
        <w:bottom w:val="none" w:sz="0" w:space="0" w:color="auto"/>
        <w:right w:val="none" w:sz="0" w:space="0" w:color="auto"/>
      </w:divBdr>
    </w:div>
    <w:div w:id="228807765">
      <w:bodyDiv w:val="1"/>
      <w:marLeft w:val="0"/>
      <w:marRight w:val="0"/>
      <w:marTop w:val="0"/>
      <w:marBottom w:val="0"/>
      <w:divBdr>
        <w:top w:val="none" w:sz="0" w:space="0" w:color="auto"/>
        <w:left w:val="none" w:sz="0" w:space="0" w:color="auto"/>
        <w:bottom w:val="none" w:sz="0" w:space="0" w:color="auto"/>
        <w:right w:val="none" w:sz="0" w:space="0" w:color="auto"/>
      </w:divBdr>
    </w:div>
    <w:div w:id="313607287">
      <w:bodyDiv w:val="1"/>
      <w:marLeft w:val="0"/>
      <w:marRight w:val="0"/>
      <w:marTop w:val="0"/>
      <w:marBottom w:val="0"/>
      <w:divBdr>
        <w:top w:val="none" w:sz="0" w:space="0" w:color="auto"/>
        <w:left w:val="none" w:sz="0" w:space="0" w:color="auto"/>
        <w:bottom w:val="none" w:sz="0" w:space="0" w:color="auto"/>
        <w:right w:val="none" w:sz="0" w:space="0" w:color="auto"/>
      </w:divBdr>
    </w:div>
    <w:div w:id="450437843">
      <w:bodyDiv w:val="1"/>
      <w:marLeft w:val="0"/>
      <w:marRight w:val="0"/>
      <w:marTop w:val="0"/>
      <w:marBottom w:val="0"/>
      <w:divBdr>
        <w:top w:val="none" w:sz="0" w:space="0" w:color="auto"/>
        <w:left w:val="none" w:sz="0" w:space="0" w:color="auto"/>
        <w:bottom w:val="none" w:sz="0" w:space="0" w:color="auto"/>
        <w:right w:val="none" w:sz="0" w:space="0" w:color="auto"/>
      </w:divBdr>
    </w:div>
    <w:div w:id="491413629">
      <w:bodyDiv w:val="1"/>
      <w:marLeft w:val="0"/>
      <w:marRight w:val="0"/>
      <w:marTop w:val="0"/>
      <w:marBottom w:val="0"/>
      <w:divBdr>
        <w:top w:val="none" w:sz="0" w:space="0" w:color="auto"/>
        <w:left w:val="none" w:sz="0" w:space="0" w:color="auto"/>
        <w:bottom w:val="none" w:sz="0" w:space="0" w:color="auto"/>
        <w:right w:val="none" w:sz="0" w:space="0" w:color="auto"/>
      </w:divBdr>
    </w:div>
    <w:div w:id="559173992">
      <w:bodyDiv w:val="1"/>
      <w:marLeft w:val="0"/>
      <w:marRight w:val="0"/>
      <w:marTop w:val="0"/>
      <w:marBottom w:val="0"/>
      <w:divBdr>
        <w:top w:val="none" w:sz="0" w:space="0" w:color="auto"/>
        <w:left w:val="none" w:sz="0" w:space="0" w:color="auto"/>
        <w:bottom w:val="none" w:sz="0" w:space="0" w:color="auto"/>
        <w:right w:val="none" w:sz="0" w:space="0" w:color="auto"/>
      </w:divBdr>
    </w:div>
    <w:div w:id="686521491">
      <w:bodyDiv w:val="1"/>
      <w:marLeft w:val="0"/>
      <w:marRight w:val="0"/>
      <w:marTop w:val="0"/>
      <w:marBottom w:val="0"/>
      <w:divBdr>
        <w:top w:val="none" w:sz="0" w:space="0" w:color="auto"/>
        <w:left w:val="none" w:sz="0" w:space="0" w:color="auto"/>
        <w:bottom w:val="none" w:sz="0" w:space="0" w:color="auto"/>
        <w:right w:val="none" w:sz="0" w:space="0" w:color="auto"/>
      </w:divBdr>
    </w:div>
    <w:div w:id="738483406">
      <w:bodyDiv w:val="1"/>
      <w:marLeft w:val="0"/>
      <w:marRight w:val="0"/>
      <w:marTop w:val="0"/>
      <w:marBottom w:val="0"/>
      <w:divBdr>
        <w:top w:val="none" w:sz="0" w:space="0" w:color="auto"/>
        <w:left w:val="none" w:sz="0" w:space="0" w:color="auto"/>
        <w:bottom w:val="none" w:sz="0" w:space="0" w:color="auto"/>
        <w:right w:val="none" w:sz="0" w:space="0" w:color="auto"/>
      </w:divBdr>
    </w:div>
    <w:div w:id="749501175">
      <w:bodyDiv w:val="1"/>
      <w:marLeft w:val="0"/>
      <w:marRight w:val="0"/>
      <w:marTop w:val="0"/>
      <w:marBottom w:val="0"/>
      <w:divBdr>
        <w:top w:val="none" w:sz="0" w:space="0" w:color="auto"/>
        <w:left w:val="none" w:sz="0" w:space="0" w:color="auto"/>
        <w:bottom w:val="none" w:sz="0" w:space="0" w:color="auto"/>
        <w:right w:val="none" w:sz="0" w:space="0" w:color="auto"/>
      </w:divBdr>
    </w:div>
    <w:div w:id="832256027">
      <w:bodyDiv w:val="1"/>
      <w:marLeft w:val="0"/>
      <w:marRight w:val="0"/>
      <w:marTop w:val="0"/>
      <w:marBottom w:val="0"/>
      <w:divBdr>
        <w:top w:val="none" w:sz="0" w:space="0" w:color="auto"/>
        <w:left w:val="none" w:sz="0" w:space="0" w:color="auto"/>
        <w:bottom w:val="none" w:sz="0" w:space="0" w:color="auto"/>
        <w:right w:val="none" w:sz="0" w:space="0" w:color="auto"/>
      </w:divBdr>
    </w:div>
    <w:div w:id="854344926">
      <w:bodyDiv w:val="1"/>
      <w:marLeft w:val="0"/>
      <w:marRight w:val="0"/>
      <w:marTop w:val="0"/>
      <w:marBottom w:val="0"/>
      <w:divBdr>
        <w:top w:val="none" w:sz="0" w:space="0" w:color="auto"/>
        <w:left w:val="none" w:sz="0" w:space="0" w:color="auto"/>
        <w:bottom w:val="none" w:sz="0" w:space="0" w:color="auto"/>
        <w:right w:val="none" w:sz="0" w:space="0" w:color="auto"/>
      </w:divBdr>
    </w:div>
    <w:div w:id="901066343">
      <w:bodyDiv w:val="1"/>
      <w:marLeft w:val="0"/>
      <w:marRight w:val="0"/>
      <w:marTop w:val="0"/>
      <w:marBottom w:val="0"/>
      <w:divBdr>
        <w:top w:val="none" w:sz="0" w:space="0" w:color="auto"/>
        <w:left w:val="none" w:sz="0" w:space="0" w:color="auto"/>
        <w:bottom w:val="none" w:sz="0" w:space="0" w:color="auto"/>
        <w:right w:val="none" w:sz="0" w:space="0" w:color="auto"/>
      </w:divBdr>
    </w:div>
    <w:div w:id="902832831">
      <w:bodyDiv w:val="1"/>
      <w:marLeft w:val="0"/>
      <w:marRight w:val="0"/>
      <w:marTop w:val="0"/>
      <w:marBottom w:val="0"/>
      <w:divBdr>
        <w:top w:val="none" w:sz="0" w:space="0" w:color="auto"/>
        <w:left w:val="none" w:sz="0" w:space="0" w:color="auto"/>
        <w:bottom w:val="none" w:sz="0" w:space="0" w:color="auto"/>
        <w:right w:val="none" w:sz="0" w:space="0" w:color="auto"/>
      </w:divBdr>
    </w:div>
    <w:div w:id="926301912">
      <w:bodyDiv w:val="1"/>
      <w:marLeft w:val="0"/>
      <w:marRight w:val="0"/>
      <w:marTop w:val="0"/>
      <w:marBottom w:val="0"/>
      <w:divBdr>
        <w:top w:val="none" w:sz="0" w:space="0" w:color="auto"/>
        <w:left w:val="none" w:sz="0" w:space="0" w:color="auto"/>
        <w:bottom w:val="none" w:sz="0" w:space="0" w:color="auto"/>
        <w:right w:val="none" w:sz="0" w:space="0" w:color="auto"/>
      </w:divBdr>
    </w:div>
    <w:div w:id="1014572219">
      <w:bodyDiv w:val="1"/>
      <w:marLeft w:val="0"/>
      <w:marRight w:val="0"/>
      <w:marTop w:val="0"/>
      <w:marBottom w:val="0"/>
      <w:divBdr>
        <w:top w:val="none" w:sz="0" w:space="0" w:color="auto"/>
        <w:left w:val="none" w:sz="0" w:space="0" w:color="auto"/>
        <w:bottom w:val="none" w:sz="0" w:space="0" w:color="auto"/>
        <w:right w:val="none" w:sz="0" w:space="0" w:color="auto"/>
      </w:divBdr>
    </w:div>
    <w:div w:id="1045256362">
      <w:bodyDiv w:val="1"/>
      <w:marLeft w:val="0"/>
      <w:marRight w:val="0"/>
      <w:marTop w:val="0"/>
      <w:marBottom w:val="0"/>
      <w:divBdr>
        <w:top w:val="none" w:sz="0" w:space="0" w:color="auto"/>
        <w:left w:val="none" w:sz="0" w:space="0" w:color="auto"/>
        <w:bottom w:val="none" w:sz="0" w:space="0" w:color="auto"/>
        <w:right w:val="none" w:sz="0" w:space="0" w:color="auto"/>
      </w:divBdr>
    </w:div>
    <w:div w:id="1050959095">
      <w:bodyDiv w:val="1"/>
      <w:marLeft w:val="0"/>
      <w:marRight w:val="0"/>
      <w:marTop w:val="0"/>
      <w:marBottom w:val="0"/>
      <w:divBdr>
        <w:top w:val="none" w:sz="0" w:space="0" w:color="auto"/>
        <w:left w:val="none" w:sz="0" w:space="0" w:color="auto"/>
        <w:bottom w:val="none" w:sz="0" w:space="0" w:color="auto"/>
        <w:right w:val="none" w:sz="0" w:space="0" w:color="auto"/>
      </w:divBdr>
    </w:div>
    <w:div w:id="1074429336">
      <w:bodyDiv w:val="1"/>
      <w:marLeft w:val="0"/>
      <w:marRight w:val="0"/>
      <w:marTop w:val="0"/>
      <w:marBottom w:val="0"/>
      <w:divBdr>
        <w:top w:val="none" w:sz="0" w:space="0" w:color="auto"/>
        <w:left w:val="none" w:sz="0" w:space="0" w:color="auto"/>
        <w:bottom w:val="none" w:sz="0" w:space="0" w:color="auto"/>
        <w:right w:val="none" w:sz="0" w:space="0" w:color="auto"/>
      </w:divBdr>
    </w:div>
    <w:div w:id="1083451156">
      <w:bodyDiv w:val="1"/>
      <w:marLeft w:val="0"/>
      <w:marRight w:val="0"/>
      <w:marTop w:val="0"/>
      <w:marBottom w:val="0"/>
      <w:divBdr>
        <w:top w:val="none" w:sz="0" w:space="0" w:color="auto"/>
        <w:left w:val="none" w:sz="0" w:space="0" w:color="auto"/>
        <w:bottom w:val="none" w:sz="0" w:space="0" w:color="auto"/>
        <w:right w:val="none" w:sz="0" w:space="0" w:color="auto"/>
      </w:divBdr>
    </w:div>
    <w:div w:id="1122378053">
      <w:bodyDiv w:val="1"/>
      <w:marLeft w:val="0"/>
      <w:marRight w:val="0"/>
      <w:marTop w:val="0"/>
      <w:marBottom w:val="0"/>
      <w:divBdr>
        <w:top w:val="none" w:sz="0" w:space="0" w:color="auto"/>
        <w:left w:val="none" w:sz="0" w:space="0" w:color="auto"/>
        <w:bottom w:val="none" w:sz="0" w:space="0" w:color="auto"/>
        <w:right w:val="none" w:sz="0" w:space="0" w:color="auto"/>
      </w:divBdr>
    </w:div>
    <w:div w:id="1126387781">
      <w:bodyDiv w:val="1"/>
      <w:marLeft w:val="0"/>
      <w:marRight w:val="0"/>
      <w:marTop w:val="0"/>
      <w:marBottom w:val="0"/>
      <w:divBdr>
        <w:top w:val="none" w:sz="0" w:space="0" w:color="auto"/>
        <w:left w:val="none" w:sz="0" w:space="0" w:color="auto"/>
        <w:bottom w:val="none" w:sz="0" w:space="0" w:color="auto"/>
        <w:right w:val="none" w:sz="0" w:space="0" w:color="auto"/>
      </w:divBdr>
    </w:div>
    <w:div w:id="1131098096">
      <w:bodyDiv w:val="1"/>
      <w:marLeft w:val="0"/>
      <w:marRight w:val="0"/>
      <w:marTop w:val="0"/>
      <w:marBottom w:val="0"/>
      <w:divBdr>
        <w:top w:val="none" w:sz="0" w:space="0" w:color="auto"/>
        <w:left w:val="none" w:sz="0" w:space="0" w:color="auto"/>
        <w:bottom w:val="none" w:sz="0" w:space="0" w:color="auto"/>
        <w:right w:val="none" w:sz="0" w:space="0" w:color="auto"/>
      </w:divBdr>
    </w:div>
    <w:div w:id="1250625022">
      <w:bodyDiv w:val="1"/>
      <w:marLeft w:val="0"/>
      <w:marRight w:val="0"/>
      <w:marTop w:val="0"/>
      <w:marBottom w:val="0"/>
      <w:divBdr>
        <w:top w:val="none" w:sz="0" w:space="0" w:color="auto"/>
        <w:left w:val="none" w:sz="0" w:space="0" w:color="auto"/>
        <w:bottom w:val="none" w:sz="0" w:space="0" w:color="auto"/>
        <w:right w:val="none" w:sz="0" w:space="0" w:color="auto"/>
      </w:divBdr>
    </w:div>
    <w:div w:id="1352150609">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642999842">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15028940">
      <w:bodyDiv w:val="1"/>
      <w:marLeft w:val="0"/>
      <w:marRight w:val="0"/>
      <w:marTop w:val="0"/>
      <w:marBottom w:val="0"/>
      <w:divBdr>
        <w:top w:val="none" w:sz="0" w:space="0" w:color="auto"/>
        <w:left w:val="none" w:sz="0" w:space="0" w:color="auto"/>
        <w:bottom w:val="none" w:sz="0" w:space="0" w:color="auto"/>
        <w:right w:val="none" w:sz="0" w:space="0" w:color="auto"/>
      </w:divBdr>
    </w:div>
    <w:div w:id="1821918145">
      <w:bodyDiv w:val="1"/>
      <w:marLeft w:val="0"/>
      <w:marRight w:val="0"/>
      <w:marTop w:val="0"/>
      <w:marBottom w:val="0"/>
      <w:divBdr>
        <w:top w:val="none" w:sz="0" w:space="0" w:color="auto"/>
        <w:left w:val="none" w:sz="0" w:space="0" w:color="auto"/>
        <w:bottom w:val="none" w:sz="0" w:space="0" w:color="auto"/>
        <w:right w:val="none" w:sz="0" w:space="0" w:color="auto"/>
      </w:divBdr>
    </w:div>
    <w:div w:id="1828327955">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867862584">
      <w:bodyDiv w:val="1"/>
      <w:marLeft w:val="0"/>
      <w:marRight w:val="0"/>
      <w:marTop w:val="0"/>
      <w:marBottom w:val="0"/>
      <w:divBdr>
        <w:top w:val="none" w:sz="0" w:space="0" w:color="auto"/>
        <w:left w:val="none" w:sz="0" w:space="0" w:color="auto"/>
        <w:bottom w:val="none" w:sz="0" w:space="0" w:color="auto"/>
        <w:right w:val="none" w:sz="0" w:space="0" w:color="auto"/>
      </w:divBdr>
    </w:div>
    <w:div w:id="1983189552">
      <w:bodyDiv w:val="1"/>
      <w:marLeft w:val="0"/>
      <w:marRight w:val="0"/>
      <w:marTop w:val="0"/>
      <w:marBottom w:val="0"/>
      <w:divBdr>
        <w:top w:val="none" w:sz="0" w:space="0" w:color="auto"/>
        <w:left w:val="none" w:sz="0" w:space="0" w:color="auto"/>
        <w:bottom w:val="none" w:sz="0" w:space="0" w:color="auto"/>
        <w:right w:val="none" w:sz="0" w:space="0" w:color="auto"/>
      </w:divBdr>
    </w:div>
    <w:div w:id="2025400017">
      <w:bodyDiv w:val="1"/>
      <w:marLeft w:val="0"/>
      <w:marRight w:val="0"/>
      <w:marTop w:val="0"/>
      <w:marBottom w:val="0"/>
      <w:divBdr>
        <w:top w:val="none" w:sz="0" w:space="0" w:color="auto"/>
        <w:left w:val="none" w:sz="0" w:space="0" w:color="auto"/>
        <w:bottom w:val="none" w:sz="0" w:space="0" w:color="auto"/>
        <w:right w:val="none" w:sz="0" w:space="0" w:color="auto"/>
      </w:divBdr>
    </w:div>
    <w:div w:id="203103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5536-BAFD-4456-B2A9-13A947C0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3040</Words>
  <Characters>18903</Characters>
  <Application>Microsoft Office Word</Application>
  <DocSecurity>0</DocSecurity>
  <Lines>437</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ASEAN and South East Asia Development Program Progress Report</dc:title>
  <dc:subject/>
  <dc:creator/>
  <cp:keywords/>
  <cp:lastModifiedBy/>
  <cp:revision>1</cp:revision>
  <dcterms:created xsi:type="dcterms:W3CDTF">2021-11-24T04:59:00Z</dcterms:created>
  <dcterms:modified xsi:type="dcterms:W3CDTF">2021-11-24T05:00:00Z</dcterms:modified>
  <cp:category/>
</cp:coreProperties>
</file>