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80DDB3" w14:textId="2F2191AB" w:rsidR="00FA5EFD" w:rsidRDefault="002E500A" w:rsidP="00690AE1">
      <w:pPr>
        <w:pStyle w:val="Heading1"/>
      </w:pPr>
      <w:r w:rsidRPr="002E500A">
        <w:t xml:space="preserve">2020-21 </w:t>
      </w:r>
      <w:r w:rsidR="00401871">
        <w:t>Bangladesh</w:t>
      </w:r>
      <w:r w:rsidR="001F7F4D" w:rsidRPr="002E500A">
        <w:t xml:space="preserve"> D</w:t>
      </w:r>
      <w:r w:rsidR="00382CE7">
        <w:t>evelopment</w:t>
      </w:r>
      <w:r w:rsidR="001F7F4D" w:rsidRPr="002E500A">
        <w:t xml:space="preserve"> </w:t>
      </w:r>
      <w:r w:rsidRPr="002E500A">
        <w:t>P</w:t>
      </w:r>
      <w:r w:rsidR="00382CE7">
        <w:t xml:space="preserve">rogram </w:t>
      </w:r>
      <w:r w:rsidRPr="002E500A">
        <w:t>P</w:t>
      </w:r>
      <w:r w:rsidR="00382CE7">
        <w:t>rogress</w:t>
      </w:r>
      <w:r w:rsidRPr="002E500A">
        <w:t xml:space="preserve"> R</w:t>
      </w:r>
      <w:r w:rsidR="00382CE7">
        <w:t>eport</w:t>
      </w:r>
    </w:p>
    <w:p w14:paraId="34955AF9" w14:textId="1E11EB8E" w:rsidR="008B3F50" w:rsidRDefault="001B172A" w:rsidP="00360E4F">
      <w:pPr>
        <w:rPr>
          <w:noProof/>
        </w:rPr>
      </w:pPr>
      <w:r w:rsidRPr="001B172A">
        <w:rPr>
          <w:noProof/>
        </w:rPr>
        <w:drawing>
          <wp:inline distT="0" distB="0" distL="0" distR="0" wp14:anchorId="17F9A971" wp14:editId="0173DB4E">
            <wp:extent cx="6696710" cy="2463800"/>
            <wp:effectExtent l="0" t="0" r="0" b="0"/>
            <wp:docPr id="6" name="Picture 6" descr="2020-21 Budget estimate. Total ODA $55.7 million. Bilateral program budget $30.8 million. Regional program budget $4.6 million. Global program budget $18.5 million. Other government departments budget $1.8 million.&#10;Our development program to Bangladesh contributes to achieving the following Sustainable Development Goals: 1,2,4,5,8,10 and 1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2020-21 Budget estimate. Total ODA $55.7 million. Bilateral program budget $30.8 million. Regional program budget $4.6 million. Global program budget $18.5 million. Other government departments budget $1.8 million.&#10;Our development program to Bangladesh contributes to achieving the following Sustainable Development Goals: 1,2,4,5,8,10 and 13.&#10;"/>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b="13160"/>
                    <a:stretch/>
                  </pic:blipFill>
                  <pic:spPr bwMode="auto">
                    <a:xfrm>
                      <a:off x="0" y="0"/>
                      <a:ext cx="6696710" cy="2463800"/>
                    </a:xfrm>
                    <a:prstGeom prst="rect">
                      <a:avLst/>
                    </a:prstGeom>
                    <a:noFill/>
                    <a:ln>
                      <a:noFill/>
                    </a:ln>
                    <a:extLst>
                      <a:ext uri="{53640926-AAD7-44D8-BBD7-CCE9431645EC}">
                        <a14:shadowObscured xmlns:a14="http://schemas.microsoft.com/office/drawing/2010/main"/>
                      </a:ext>
                    </a:extLst>
                  </pic:spPr>
                </pic:pic>
              </a:graphicData>
            </a:graphic>
          </wp:inline>
        </w:drawing>
      </w:r>
    </w:p>
    <w:p w14:paraId="12F182A4" w14:textId="090AA317" w:rsidR="00C84C30" w:rsidRPr="00297FD1" w:rsidRDefault="00C84C30" w:rsidP="00153DB9">
      <w:pPr>
        <w:pStyle w:val="Heading2"/>
      </w:pPr>
      <w:r w:rsidRPr="00110643">
        <w:t xml:space="preserve">CONTEXT </w:t>
      </w:r>
    </w:p>
    <w:p w14:paraId="5CB8F85B" w14:textId="241992CC" w:rsidR="00041104" w:rsidRPr="003809A0" w:rsidRDefault="00EA67FF" w:rsidP="00CF5DE7">
      <w:pPr>
        <w:pStyle w:val="Bullet1"/>
        <w:numPr>
          <w:ilvl w:val="0"/>
          <w:numId w:val="0"/>
        </w:numPr>
      </w:pPr>
      <w:r w:rsidRPr="007D3F3C">
        <w:t>Australia</w:t>
      </w:r>
      <w:r w:rsidR="00F14EB1" w:rsidRPr="007D3F3C">
        <w:t xml:space="preserve"> </w:t>
      </w:r>
      <w:r w:rsidR="00810B12" w:rsidRPr="007D3F3C">
        <w:t xml:space="preserve">bolstered the Bangladesh Government’s </w:t>
      </w:r>
      <w:r w:rsidR="00AB42A0" w:rsidRPr="007D3F3C">
        <w:t>r</w:t>
      </w:r>
      <w:r w:rsidR="00041104" w:rsidRPr="007D3F3C">
        <w:t>espon</w:t>
      </w:r>
      <w:r w:rsidR="00810B12" w:rsidRPr="007D3F3C">
        <w:t>se to</w:t>
      </w:r>
      <w:r w:rsidR="00AB42A0" w:rsidRPr="007D3F3C">
        <w:t xml:space="preserve"> the health, social and economic impacts of the </w:t>
      </w:r>
      <w:r w:rsidR="00FD645A">
        <w:br/>
      </w:r>
      <w:r w:rsidR="00AF3D7E" w:rsidRPr="007D3F3C">
        <w:t xml:space="preserve">COVID-19 </w:t>
      </w:r>
      <w:r w:rsidR="00AB42A0" w:rsidRPr="007D3F3C">
        <w:t>pandemic</w:t>
      </w:r>
      <w:r w:rsidR="00F14EB1" w:rsidRPr="007D3F3C">
        <w:t xml:space="preserve">, enhancing </w:t>
      </w:r>
      <w:r w:rsidR="00F21DCB" w:rsidRPr="007D3F3C">
        <w:t xml:space="preserve">what was </w:t>
      </w:r>
      <w:r w:rsidR="00F14EB1" w:rsidRPr="007D3F3C">
        <w:t>an already broad, long-standing bilateral relationship</w:t>
      </w:r>
      <w:r w:rsidR="00AB42A0" w:rsidRPr="007D3F3C">
        <w:t xml:space="preserve">. </w:t>
      </w:r>
    </w:p>
    <w:p w14:paraId="3D798838" w14:textId="6628C9C6" w:rsidR="00514C89" w:rsidRPr="003809A0" w:rsidRDefault="00514C89" w:rsidP="00514C89">
      <w:pPr>
        <w:pStyle w:val="Bullet1"/>
        <w:numPr>
          <w:ilvl w:val="0"/>
          <w:numId w:val="0"/>
        </w:numPr>
      </w:pPr>
      <w:r w:rsidRPr="00AC7B65">
        <w:t xml:space="preserve">Despite a high COVID-19 case load – with 1.5 million cases recorded in official statistics </w:t>
      </w:r>
      <w:r w:rsidR="00810B12" w:rsidRPr="00AC7B65">
        <w:t xml:space="preserve">up to </w:t>
      </w:r>
      <w:r w:rsidR="001B663A" w:rsidRPr="00AC7B65">
        <w:t>July</w:t>
      </w:r>
      <w:r w:rsidR="00810B12" w:rsidRPr="00AC7B65">
        <w:t xml:space="preserve"> 2021 </w:t>
      </w:r>
      <w:r w:rsidRPr="00AC7B65">
        <w:t>–</w:t>
      </w:r>
      <w:r w:rsidR="000F19B1" w:rsidRPr="00AC7B65">
        <w:t xml:space="preserve"> Bangladesh’s</w:t>
      </w:r>
      <w:r w:rsidR="001B663A" w:rsidRPr="00AC7B65">
        <w:t xml:space="preserve"> </w:t>
      </w:r>
      <w:r w:rsidR="000F19B1" w:rsidRPr="00AC7B65">
        <w:t xml:space="preserve">COVID-19 </w:t>
      </w:r>
      <w:r w:rsidR="00106F6F" w:rsidRPr="00AC7B65">
        <w:t xml:space="preserve">reported </w:t>
      </w:r>
      <w:r w:rsidRPr="00AC7B65">
        <w:t xml:space="preserve">death rate remained </w:t>
      </w:r>
      <w:r w:rsidR="00646525" w:rsidRPr="00AC7B65">
        <w:t xml:space="preserve">comparatively </w:t>
      </w:r>
      <w:r w:rsidRPr="00AC7B65">
        <w:t>low</w:t>
      </w:r>
      <w:r w:rsidRPr="003809A0">
        <w:t xml:space="preserve">. </w:t>
      </w:r>
      <w:r w:rsidRPr="00AC7B65">
        <w:rPr>
          <w:b/>
          <w:bCs/>
        </w:rPr>
        <w:t xml:space="preserve">However, the national health system </w:t>
      </w:r>
      <w:r w:rsidR="008D0C3E" w:rsidRPr="00AC7B65">
        <w:rPr>
          <w:b/>
          <w:bCs/>
        </w:rPr>
        <w:t>was under pressure during</w:t>
      </w:r>
      <w:r w:rsidRPr="00AC7B65">
        <w:rPr>
          <w:b/>
          <w:bCs/>
        </w:rPr>
        <w:t xml:space="preserve"> peak </w:t>
      </w:r>
      <w:r w:rsidR="000F19B1" w:rsidRPr="00AC7B65">
        <w:rPr>
          <w:b/>
          <w:bCs/>
        </w:rPr>
        <w:t xml:space="preserve">virus </w:t>
      </w:r>
      <w:r w:rsidRPr="00AC7B65">
        <w:rPr>
          <w:b/>
          <w:bCs/>
        </w:rPr>
        <w:t>transmission periods</w:t>
      </w:r>
      <w:r w:rsidR="00567203" w:rsidRPr="00AC7B65">
        <w:rPr>
          <w:b/>
          <w:bCs/>
        </w:rPr>
        <w:t>, widening the impact of the pandemic</w:t>
      </w:r>
      <w:r w:rsidR="00567203" w:rsidRPr="003809A0">
        <w:t xml:space="preserve">. </w:t>
      </w:r>
      <w:r w:rsidRPr="003809A0">
        <w:t>The Bangladesh National Vaccination program, initially targeting elderly and vulnerable peopl</w:t>
      </w:r>
      <w:r w:rsidR="000F19B1" w:rsidRPr="003809A0">
        <w:t>e</w:t>
      </w:r>
      <w:r w:rsidR="00F21DCB" w:rsidRPr="003809A0">
        <w:t>,</w:t>
      </w:r>
      <w:r w:rsidRPr="003809A0">
        <w:t xml:space="preserve"> reached ten per cent of Bangladesh’s 163 million people and over 39,000 Rohingya refugees with a</w:t>
      </w:r>
      <w:r w:rsidR="006B7E36" w:rsidRPr="003809A0">
        <w:t>t least</w:t>
      </w:r>
      <w:r w:rsidR="00824EB2" w:rsidRPr="003809A0">
        <w:t xml:space="preserve"> </w:t>
      </w:r>
      <w:r w:rsidR="00E64E93" w:rsidRPr="003809A0">
        <w:t>one</w:t>
      </w:r>
      <w:r w:rsidRPr="003809A0">
        <w:t xml:space="preserve"> COVID-19 vaccination </w:t>
      </w:r>
      <w:r w:rsidR="006B7E36" w:rsidRPr="003809A0">
        <w:t xml:space="preserve">dose </w:t>
      </w:r>
      <w:r w:rsidRPr="003809A0">
        <w:t>by late August</w:t>
      </w:r>
      <w:r w:rsidR="00F14EB1" w:rsidRPr="003809A0">
        <w:t xml:space="preserve"> 2021</w:t>
      </w:r>
      <w:r w:rsidRPr="003809A0">
        <w:t xml:space="preserve">. </w:t>
      </w:r>
      <w:r w:rsidR="00646525" w:rsidRPr="003809A0">
        <w:t>P</w:t>
      </w:r>
      <w:r w:rsidRPr="003809A0">
        <w:t>rocuring enough vaccine</w:t>
      </w:r>
      <w:r w:rsidR="006B7E36" w:rsidRPr="003809A0">
        <w:t>s</w:t>
      </w:r>
      <w:r w:rsidRPr="003809A0">
        <w:t xml:space="preserve"> to achieve high vaccination coverage across the country remains a </w:t>
      </w:r>
      <w:r w:rsidR="0024427F" w:rsidRPr="003809A0">
        <w:t>key government priority</w:t>
      </w:r>
      <w:r w:rsidRPr="003809A0">
        <w:t>.</w:t>
      </w:r>
      <w:r w:rsidR="000F19B1" w:rsidRPr="003809A0">
        <w:t xml:space="preserve"> </w:t>
      </w:r>
    </w:p>
    <w:p w14:paraId="05B2EE2C" w14:textId="5F7B08EC" w:rsidR="00514C89" w:rsidRPr="003809A0" w:rsidRDefault="00AF3D7E" w:rsidP="00514C89">
      <w:pPr>
        <w:pStyle w:val="Bullet1"/>
        <w:numPr>
          <w:ilvl w:val="0"/>
          <w:numId w:val="0"/>
        </w:numPr>
      </w:pPr>
      <w:r w:rsidRPr="003809A0">
        <w:t>To contain COVID-19</w:t>
      </w:r>
      <w:r w:rsidR="006B7E36" w:rsidRPr="003809A0">
        <w:t xml:space="preserve"> and </w:t>
      </w:r>
      <w:r w:rsidR="00F14EB1" w:rsidRPr="003809A0">
        <w:t>moderate the impact on the health system</w:t>
      </w:r>
      <w:r w:rsidRPr="003809A0">
        <w:t xml:space="preserve">, the </w:t>
      </w:r>
      <w:r w:rsidR="00904062" w:rsidRPr="003809A0">
        <w:t xml:space="preserve">Bangladesh Government </w:t>
      </w:r>
      <w:r w:rsidR="00F14EB1" w:rsidRPr="003809A0">
        <w:t>imposed</w:t>
      </w:r>
      <w:r w:rsidRPr="003809A0">
        <w:t xml:space="preserve"> </w:t>
      </w:r>
      <w:r w:rsidR="008D0C3E" w:rsidRPr="003809A0">
        <w:t xml:space="preserve">prolonged </w:t>
      </w:r>
      <w:r w:rsidR="00041104" w:rsidRPr="00AC7B65">
        <w:t>movement</w:t>
      </w:r>
      <w:r w:rsidRPr="00AC7B65">
        <w:t xml:space="preserve"> and</w:t>
      </w:r>
      <w:r w:rsidR="006D0142" w:rsidRPr="00AC7B65">
        <w:t xml:space="preserve"> </w:t>
      </w:r>
      <w:r w:rsidR="00041104" w:rsidRPr="00AC7B65">
        <w:t xml:space="preserve">travel </w:t>
      </w:r>
      <w:r w:rsidRPr="00AC7B65">
        <w:t xml:space="preserve">restrictions, limitations </w:t>
      </w:r>
      <w:r w:rsidR="00041104" w:rsidRPr="00AC7B65">
        <w:t>on school and business operations</w:t>
      </w:r>
      <w:r w:rsidRPr="003809A0">
        <w:t xml:space="preserve">, and – in Cox’s Bazar – strict entry </w:t>
      </w:r>
      <w:r w:rsidR="00EA0F86" w:rsidRPr="003809A0">
        <w:t xml:space="preserve">and </w:t>
      </w:r>
      <w:r w:rsidR="0024427F" w:rsidRPr="003809A0">
        <w:t xml:space="preserve">program </w:t>
      </w:r>
      <w:r w:rsidR="00EA0F86" w:rsidRPr="003809A0">
        <w:t xml:space="preserve">implementation restrictions for </w:t>
      </w:r>
      <w:r w:rsidR="00655667" w:rsidRPr="003809A0">
        <w:t>humanitarian services in</w:t>
      </w:r>
      <w:r w:rsidRPr="003809A0">
        <w:t xml:space="preserve"> the Rohingya refugee camps</w:t>
      </w:r>
      <w:r w:rsidR="00D9593F">
        <w:t xml:space="preserve">. </w:t>
      </w:r>
      <w:r w:rsidR="000F19B1" w:rsidRPr="00AC7B65">
        <w:rPr>
          <w:b/>
          <w:bCs/>
        </w:rPr>
        <w:t xml:space="preserve">Following initial lockdowns in the first phase of the pandemic, 40 per cent of breadwinners recorded a drop in income and 60 per cent of businesses </w:t>
      </w:r>
      <w:r w:rsidR="00F14EB1" w:rsidRPr="00AC7B65">
        <w:rPr>
          <w:b/>
          <w:bCs/>
        </w:rPr>
        <w:t>reduced</w:t>
      </w:r>
      <w:r w:rsidR="000F19B1" w:rsidRPr="00AC7B65">
        <w:rPr>
          <w:b/>
          <w:bCs/>
        </w:rPr>
        <w:t xml:space="preserve"> profit</w:t>
      </w:r>
      <w:r w:rsidR="00F14EB1" w:rsidRPr="00AC7B65">
        <w:rPr>
          <w:b/>
          <w:bCs/>
        </w:rPr>
        <w:t>s</w:t>
      </w:r>
      <w:r w:rsidR="000F19B1" w:rsidRPr="003809A0">
        <w:t xml:space="preserve">. </w:t>
      </w:r>
      <w:r w:rsidR="00646525" w:rsidRPr="003809A0">
        <w:t>In response</w:t>
      </w:r>
      <w:r w:rsidR="00567203" w:rsidRPr="003809A0">
        <w:t xml:space="preserve">, </w:t>
      </w:r>
      <w:r w:rsidR="006D0142" w:rsidRPr="00583062">
        <w:t>the government provided</w:t>
      </w:r>
      <w:r w:rsidR="000F19B1" w:rsidRPr="00583062">
        <w:t xml:space="preserve"> </w:t>
      </w:r>
      <w:r w:rsidR="006D0142" w:rsidRPr="00583062">
        <w:t>stimulus packages (amounting to 24</w:t>
      </w:r>
      <w:r w:rsidR="00F21DCB" w:rsidRPr="006821C7">
        <w:t xml:space="preserve"> per cent</w:t>
      </w:r>
      <w:r w:rsidR="006D0142" w:rsidRPr="006821C7">
        <w:t xml:space="preserve"> of the annual gross domestic product</w:t>
      </w:r>
      <w:r w:rsidRPr="006821C7">
        <w:t>)</w:t>
      </w:r>
      <w:r w:rsidR="00567203" w:rsidRPr="006821C7">
        <w:t>, which included</w:t>
      </w:r>
      <w:r w:rsidR="00567203" w:rsidRPr="00AC7B65">
        <w:rPr>
          <w:b/>
          <w:bCs/>
        </w:rPr>
        <w:t xml:space="preserve"> </w:t>
      </w:r>
      <w:r w:rsidR="00567203" w:rsidRPr="00AC7B65">
        <w:t xml:space="preserve">loan assistance and </w:t>
      </w:r>
      <w:r w:rsidR="000F19B1" w:rsidRPr="00AC7B65">
        <w:t xml:space="preserve">cash support for </w:t>
      </w:r>
      <w:r w:rsidR="00567203" w:rsidRPr="00AC7B65">
        <w:t xml:space="preserve">affected </w:t>
      </w:r>
      <w:r w:rsidR="000F19B1" w:rsidRPr="00AC7B65">
        <w:t>industries</w:t>
      </w:r>
      <w:r w:rsidR="00567203" w:rsidRPr="00AC7B65">
        <w:t xml:space="preserve">, businesses, </w:t>
      </w:r>
      <w:r w:rsidR="000F19B1" w:rsidRPr="007C478D">
        <w:t>and individual workers</w:t>
      </w:r>
      <w:r w:rsidRPr="007C478D">
        <w:t xml:space="preserve">. </w:t>
      </w:r>
      <w:r w:rsidR="006D0142" w:rsidRPr="003809A0">
        <w:t xml:space="preserve">COVID-19 widened existing </w:t>
      </w:r>
      <w:r w:rsidR="00567203" w:rsidRPr="003809A0">
        <w:t xml:space="preserve">income and health disparities: the impacts of the virus were disproportionately felt by women and </w:t>
      </w:r>
      <w:r w:rsidR="00FD645A">
        <w:t>people</w:t>
      </w:r>
      <w:r w:rsidR="00567203" w:rsidRPr="003809A0">
        <w:t xml:space="preserve"> with disabilit</w:t>
      </w:r>
      <w:r w:rsidR="004F0503" w:rsidRPr="003809A0">
        <w:t>ies</w:t>
      </w:r>
      <w:r w:rsidR="00646525" w:rsidRPr="003809A0">
        <w:t>.</w:t>
      </w:r>
      <w:r w:rsidR="00567203" w:rsidRPr="003809A0">
        <w:t xml:space="preserve"> </w:t>
      </w:r>
      <w:r w:rsidR="00F80750" w:rsidRPr="003809A0">
        <w:t xml:space="preserve">Analysis by </w:t>
      </w:r>
      <w:r w:rsidR="00F80750">
        <w:t xml:space="preserve">the </w:t>
      </w:r>
      <w:r w:rsidR="00F80750" w:rsidRPr="00200B09">
        <w:t>United Nations Entity for Gender Equality and the Empowerment of Women</w:t>
      </w:r>
      <w:r w:rsidR="00F80750">
        <w:t xml:space="preserve"> (UN Women)</w:t>
      </w:r>
      <w:r w:rsidR="00200B09" w:rsidRPr="00200B09">
        <w:t xml:space="preserve"> </w:t>
      </w:r>
      <w:r w:rsidR="006D0142" w:rsidRPr="007D3F3C">
        <w:t xml:space="preserve">found that </w:t>
      </w:r>
      <w:r w:rsidR="006D0142" w:rsidRPr="00AC7B65">
        <w:rPr>
          <w:b/>
          <w:bCs/>
        </w:rPr>
        <w:t xml:space="preserve">young Bangladeshi women were three times more likely than young men to be out of work </w:t>
      </w:r>
      <w:r w:rsidR="00D60A60" w:rsidRPr="00AC7B65">
        <w:rPr>
          <w:b/>
          <w:bCs/>
        </w:rPr>
        <w:t>because of</w:t>
      </w:r>
      <w:r w:rsidR="006D0142" w:rsidRPr="00AC7B65">
        <w:rPr>
          <w:b/>
          <w:bCs/>
        </w:rPr>
        <w:t xml:space="preserve"> the pandemic</w:t>
      </w:r>
      <w:r w:rsidR="006D0142" w:rsidRPr="007D3F3C">
        <w:t xml:space="preserve">. </w:t>
      </w:r>
      <w:r w:rsidR="00567203" w:rsidRPr="000735E2">
        <w:t xml:space="preserve">There is </w:t>
      </w:r>
      <w:r w:rsidR="006D0142" w:rsidRPr="000735E2">
        <w:t xml:space="preserve">evidence </w:t>
      </w:r>
      <w:r w:rsidR="00567203" w:rsidRPr="000735E2">
        <w:t xml:space="preserve">that lockdowns and education stoppages contributed to </w:t>
      </w:r>
      <w:r w:rsidR="006D0142" w:rsidRPr="00397E30">
        <w:t>a rise in domestic violence</w:t>
      </w:r>
      <w:r w:rsidR="00567203" w:rsidRPr="003809A0">
        <w:t xml:space="preserve">, child marriage and related protection concerns – including in the Rohingya refugee camps. </w:t>
      </w:r>
    </w:p>
    <w:p w14:paraId="3404AD9D" w14:textId="4F13FC89" w:rsidR="00503D70" w:rsidRPr="003809A0" w:rsidRDefault="00E64E93" w:rsidP="00514C89">
      <w:pPr>
        <w:pStyle w:val="Bullet1"/>
        <w:numPr>
          <w:ilvl w:val="0"/>
          <w:numId w:val="0"/>
        </w:numPr>
      </w:pPr>
      <w:r w:rsidRPr="003809A0">
        <w:t xml:space="preserve">Despite Bangladesh’s strong </w:t>
      </w:r>
      <w:r w:rsidR="00824EB2" w:rsidRPr="003809A0">
        <w:t>economic progress over the last decade</w:t>
      </w:r>
      <w:r w:rsidRPr="003809A0">
        <w:t>,</w:t>
      </w:r>
      <w:r w:rsidRPr="00AC7B65">
        <w:t xml:space="preserve"> t</w:t>
      </w:r>
      <w:r w:rsidR="00567203" w:rsidRPr="00AC7B65">
        <w:t>he World Bank reported an increase in poverty for the first time in two decades – recording 24 million</w:t>
      </w:r>
      <w:r w:rsidR="00C2672D" w:rsidRPr="00AC7B65">
        <w:t xml:space="preserve"> ‘new poor’ in 2021</w:t>
      </w:r>
      <w:r w:rsidRPr="00AC7B65">
        <w:rPr>
          <w:b/>
          <w:bCs/>
        </w:rPr>
        <w:t>.</w:t>
      </w:r>
      <w:r w:rsidR="006B7E36" w:rsidRPr="000735E2">
        <w:t xml:space="preserve"> </w:t>
      </w:r>
      <w:r w:rsidR="00F21DCB" w:rsidRPr="00AC7B65">
        <w:rPr>
          <w:b/>
          <w:bCs/>
        </w:rPr>
        <w:t>With 37 per cent of the population below the national poverty line,</w:t>
      </w:r>
      <w:r w:rsidRPr="00AC7B65">
        <w:rPr>
          <w:b/>
          <w:bCs/>
        </w:rPr>
        <w:t xml:space="preserve"> </w:t>
      </w:r>
      <w:r w:rsidR="00567203" w:rsidRPr="00AC7B65">
        <w:rPr>
          <w:b/>
          <w:bCs/>
        </w:rPr>
        <w:t>poverty reduction and income equality remain priorities for Bangladesh.</w:t>
      </w:r>
      <w:r w:rsidR="00567203" w:rsidRPr="003809A0">
        <w:t xml:space="preserve"> </w:t>
      </w:r>
      <w:r w:rsidR="00AE27B0">
        <w:t>Good prospects for future</w:t>
      </w:r>
      <w:r w:rsidR="00AE27B0" w:rsidRPr="00AE27B0">
        <w:t xml:space="preserve"> growth position Bangladesh well to address the medium-term impact of COVID-19 on poverty and social exclusion and increase its resilience to future shocks through investment in social infrastructure including health services. Bangladesh will need continued support in hosting the Rohingya refugee population in Cox’s Bazar in accordance with the UN-Bangladesh Government Joint Response Plan</w:t>
      </w:r>
      <w:r w:rsidR="00AE27B0">
        <w:t>.</w:t>
      </w:r>
    </w:p>
    <w:p w14:paraId="4639895B" w14:textId="46783540" w:rsidR="00193C49" w:rsidRDefault="00FC1216" w:rsidP="005265F6">
      <w:pPr>
        <w:pStyle w:val="Heading2"/>
      </w:pPr>
      <w:bookmarkStart w:id="0" w:name="_Hlk83809877"/>
      <w:r w:rsidRPr="00FC1216">
        <w:lastRenderedPageBreak/>
        <w:t>AUSTRALIA’S RESPONS</w:t>
      </w:r>
      <w:r w:rsidR="00193C49">
        <w:t xml:space="preserve">E </w:t>
      </w:r>
      <w:r w:rsidR="00A46B28">
        <w:t>and</w:t>
      </w:r>
      <w:r w:rsidR="00193C49">
        <w:t xml:space="preserve"> PROGRAM HIGHLIGHTS</w:t>
      </w:r>
    </w:p>
    <w:p w14:paraId="0C9FA4D5" w14:textId="0D9FC90C" w:rsidR="007C478D" w:rsidRPr="007C478D" w:rsidRDefault="007C478D" w:rsidP="007C478D">
      <w:r w:rsidRPr="2C54E8EB">
        <w:rPr>
          <w:rFonts w:ascii="Calibri Light" w:eastAsia="Calibri Light" w:hAnsi="Calibri Light" w:cs="Calibri Light"/>
        </w:rPr>
        <w:t xml:space="preserve">Australia's development program continues to align with government priorities and deliver across the pillars of the </w:t>
      </w:r>
      <w:r w:rsidRPr="2C54E8EB">
        <w:rPr>
          <w:rFonts w:ascii="Calibri Light" w:eastAsia="Calibri Light" w:hAnsi="Calibri Light" w:cs="Calibri Light"/>
          <w:i/>
          <w:iCs/>
        </w:rPr>
        <w:t>Partnerships for Recovery</w:t>
      </w:r>
      <w:r w:rsidRPr="2C54E8EB">
        <w:rPr>
          <w:rFonts w:ascii="Calibri Light" w:eastAsia="Calibri Light" w:hAnsi="Calibri Light" w:cs="Calibri Light"/>
        </w:rPr>
        <w:t xml:space="preserve"> framework</w:t>
      </w:r>
      <w:r>
        <w:rPr>
          <w:rFonts w:ascii="Calibri Light" w:eastAsia="Calibri Light" w:hAnsi="Calibri Light" w:cs="Calibri Light"/>
        </w:rPr>
        <w:t xml:space="preserve">. </w:t>
      </w:r>
      <w:r>
        <w:t>Despite a difficult operating environment, most investments were able to adapt their activities to suit the COVID-19 context, while still making progress towards expected outcomes.</w:t>
      </w:r>
    </w:p>
    <w:bookmarkEnd w:id="0"/>
    <w:p w14:paraId="79BE876C" w14:textId="5BEE6E37" w:rsidR="00297FD1" w:rsidRPr="00CF5DE7" w:rsidRDefault="00297FD1" w:rsidP="005265F6">
      <w:pPr>
        <w:pStyle w:val="Heading3"/>
      </w:pPr>
      <w:r w:rsidRPr="00CF5DE7">
        <w:t>Health Security</w:t>
      </w:r>
    </w:p>
    <w:p w14:paraId="2EFC9B98" w14:textId="005DDA0C" w:rsidR="0032585E" w:rsidRPr="003809A0" w:rsidRDefault="00503D70" w:rsidP="00CF5DE7">
      <w:r w:rsidRPr="00106F6F">
        <w:t xml:space="preserve">Australia’s support bolstered government and Bangladeshi NGO COVID-19 response and recovery efforts. In immediate response to the pandemic, </w:t>
      </w:r>
      <w:r w:rsidR="0058092B" w:rsidRPr="000735E2">
        <w:t>our</w:t>
      </w:r>
      <w:r w:rsidR="00CF5DE7" w:rsidRPr="000735E2">
        <w:t xml:space="preserve"> partner </w:t>
      </w:r>
      <w:r w:rsidR="003D260B" w:rsidRPr="00AC7B65">
        <w:rPr>
          <w:b/>
          <w:bCs/>
        </w:rPr>
        <w:t>BRAC</w:t>
      </w:r>
      <w:r w:rsidR="00CF5DE7" w:rsidRPr="00AC7B65">
        <w:rPr>
          <w:b/>
          <w:bCs/>
        </w:rPr>
        <w:t xml:space="preserve"> </w:t>
      </w:r>
      <w:r w:rsidR="003D260B" w:rsidRPr="00AC7B65">
        <w:rPr>
          <w:b/>
          <w:bCs/>
        </w:rPr>
        <w:t xml:space="preserve">provided health information and awareness on COVID-19 to approximately </w:t>
      </w:r>
      <w:r w:rsidR="008D0C3E" w:rsidRPr="00AC7B65">
        <w:rPr>
          <w:b/>
          <w:bCs/>
        </w:rPr>
        <w:t>five</w:t>
      </w:r>
      <w:r w:rsidR="003D260B" w:rsidRPr="00AC7B65">
        <w:rPr>
          <w:b/>
          <w:bCs/>
        </w:rPr>
        <w:t xml:space="preserve"> million households</w:t>
      </w:r>
      <w:r w:rsidRPr="003809A0">
        <w:t xml:space="preserve"> and produced</w:t>
      </w:r>
      <w:r w:rsidR="003D260B" w:rsidRPr="003809A0">
        <w:t xml:space="preserve"> educational videos on COVID-19 prevention </w:t>
      </w:r>
      <w:r w:rsidRPr="003809A0">
        <w:t>(</w:t>
      </w:r>
      <w:r w:rsidR="003D260B" w:rsidRPr="003809A0">
        <w:t xml:space="preserve">viewed online </w:t>
      </w:r>
      <w:r w:rsidR="00D60A60">
        <w:br/>
      </w:r>
      <w:r w:rsidR="003D260B" w:rsidRPr="003809A0">
        <w:t>37 million times</w:t>
      </w:r>
      <w:r w:rsidRPr="003809A0">
        <w:t>)</w:t>
      </w:r>
      <w:r w:rsidR="003D260B" w:rsidRPr="003809A0">
        <w:t xml:space="preserve">. </w:t>
      </w:r>
      <w:r w:rsidR="00AD007A" w:rsidRPr="003809A0">
        <w:t>With Australia’</w:t>
      </w:r>
      <w:r w:rsidR="00F93CCE" w:rsidRPr="003809A0">
        <w:t>s support</w:t>
      </w:r>
      <w:r w:rsidR="00AD007A" w:rsidRPr="003809A0">
        <w:t>, c</w:t>
      </w:r>
      <w:r w:rsidR="003D260B" w:rsidRPr="003809A0">
        <w:t>ommunity health workers deliver</w:t>
      </w:r>
      <w:r w:rsidR="00866330" w:rsidRPr="003809A0">
        <w:t>ed</w:t>
      </w:r>
      <w:r w:rsidR="003D260B" w:rsidRPr="003809A0">
        <w:t xml:space="preserve"> information pamphlets to houses in poor communities, providing them</w:t>
      </w:r>
      <w:r w:rsidR="008D0C3E" w:rsidRPr="003809A0">
        <w:t xml:space="preserve"> with</w:t>
      </w:r>
      <w:r w:rsidR="003D260B" w:rsidRPr="003809A0">
        <w:t xml:space="preserve"> the opportunity to talk with residents and give them clear information on how to protect themselves and their </w:t>
      </w:r>
      <w:r w:rsidR="00866330" w:rsidRPr="003809A0">
        <w:t>communities</w:t>
      </w:r>
      <w:r w:rsidR="003D260B" w:rsidRPr="003809A0">
        <w:t>.</w:t>
      </w:r>
      <w:r w:rsidR="00E923BF" w:rsidRPr="003809A0">
        <w:t xml:space="preserve"> Further </w:t>
      </w:r>
      <w:r w:rsidR="005956C4" w:rsidRPr="00AC7B65">
        <w:t xml:space="preserve">health equipment and systems training was </w:t>
      </w:r>
      <w:r w:rsidR="00F21DCB" w:rsidRPr="00AC7B65">
        <w:t xml:space="preserve">also </w:t>
      </w:r>
      <w:r w:rsidR="005956C4" w:rsidRPr="00AC7B65">
        <w:t>provided.</w:t>
      </w:r>
      <w:r w:rsidR="00ED5D77" w:rsidRPr="003809A0">
        <w:t xml:space="preserve"> The difficulties faced by Bangladesh in managing the health impact of COVID-19 </w:t>
      </w:r>
      <w:r w:rsidR="008D0C3E" w:rsidRPr="003809A0">
        <w:t xml:space="preserve">have </w:t>
      </w:r>
      <w:r w:rsidR="00ED5D77" w:rsidRPr="003809A0">
        <w:t xml:space="preserve">provided an impetus for Australia’s development program to consider how public institutions’ capacity and resilience can be </w:t>
      </w:r>
      <w:r w:rsidR="0024427F" w:rsidRPr="003809A0">
        <w:t xml:space="preserve">better supported </w:t>
      </w:r>
      <w:r w:rsidR="00ED5D77" w:rsidRPr="003809A0">
        <w:t xml:space="preserve">across its investments, not just those focused on emergency and health responses. </w:t>
      </w:r>
    </w:p>
    <w:p w14:paraId="58942CEE" w14:textId="361A34CD" w:rsidR="00503D70" w:rsidRPr="003809A0" w:rsidRDefault="00503D70" w:rsidP="00E64E93">
      <w:r w:rsidRPr="003809A0">
        <w:t xml:space="preserve">Australian partners (including </w:t>
      </w:r>
      <w:r w:rsidR="00D60A60">
        <w:t>UN</w:t>
      </w:r>
      <w:r w:rsidRPr="003809A0">
        <w:t xml:space="preserve"> agencies</w:t>
      </w:r>
      <w:r w:rsidR="008D0C3E" w:rsidRPr="003809A0">
        <w:t xml:space="preserve"> and</w:t>
      </w:r>
      <w:r w:rsidR="003809A0">
        <w:t xml:space="preserve"> </w:t>
      </w:r>
      <w:r w:rsidRPr="003809A0">
        <w:t xml:space="preserve">international and Australian NGOs) supported </w:t>
      </w:r>
      <w:r w:rsidR="00FC4210" w:rsidRPr="003809A0">
        <w:t xml:space="preserve">government-led </w:t>
      </w:r>
      <w:r w:rsidRPr="003809A0">
        <w:t xml:space="preserve">efforts to contain and respond to COVID-19 in </w:t>
      </w:r>
      <w:r w:rsidR="009114D0" w:rsidRPr="003809A0">
        <w:t xml:space="preserve">the Cox’s Bazar refugee </w:t>
      </w:r>
      <w:r w:rsidRPr="003809A0">
        <w:t>camps, where the virus’</w:t>
      </w:r>
      <w:r w:rsidR="008D0C3E" w:rsidRPr="003809A0">
        <w:t>s</w:t>
      </w:r>
      <w:r w:rsidRPr="003809A0">
        <w:t xml:space="preserve"> prevalence and death rates</w:t>
      </w:r>
      <w:r w:rsidR="00FC4210" w:rsidRPr="003809A0">
        <w:t xml:space="preserve"> were generally</w:t>
      </w:r>
      <w:r w:rsidRPr="003809A0">
        <w:t xml:space="preserve"> lower than </w:t>
      </w:r>
      <w:r w:rsidR="00FC4210" w:rsidRPr="003809A0">
        <w:t>across</w:t>
      </w:r>
      <w:r w:rsidRPr="003809A0">
        <w:t xml:space="preserve"> the country. </w:t>
      </w:r>
      <w:r w:rsidR="001B663A" w:rsidRPr="003809A0">
        <w:t xml:space="preserve">Through the </w:t>
      </w:r>
      <w:r w:rsidR="006D1D55" w:rsidRPr="003809A0">
        <w:rPr>
          <w:bCs/>
          <w:lang w:val="en-AU"/>
        </w:rPr>
        <w:t xml:space="preserve">Bangladesh Rohingya and Host Community Humanitarian </w:t>
      </w:r>
      <w:r w:rsidR="00ED5D77" w:rsidRPr="003809A0">
        <w:rPr>
          <w:bCs/>
          <w:lang w:val="en-AU"/>
        </w:rPr>
        <w:t xml:space="preserve">Response </w:t>
      </w:r>
      <w:r w:rsidR="006D1D55" w:rsidRPr="003809A0">
        <w:rPr>
          <w:bCs/>
          <w:lang w:val="en-AU"/>
        </w:rPr>
        <w:t>Package</w:t>
      </w:r>
      <w:r w:rsidR="001B663A" w:rsidRPr="003809A0">
        <w:rPr>
          <w:bCs/>
          <w:lang w:val="en-AU"/>
        </w:rPr>
        <w:t>,</w:t>
      </w:r>
      <w:r w:rsidR="001B663A" w:rsidRPr="00AC7B65">
        <w:rPr>
          <w:b/>
          <w:lang w:val="en-AU"/>
        </w:rPr>
        <w:t xml:space="preserve"> partners</w:t>
      </w:r>
      <w:r w:rsidRPr="00AC7B65">
        <w:rPr>
          <w:b/>
        </w:rPr>
        <w:t xml:space="preserve"> </w:t>
      </w:r>
      <w:r w:rsidR="009114D0" w:rsidRPr="00AC7B65">
        <w:rPr>
          <w:b/>
        </w:rPr>
        <w:t xml:space="preserve">delivered </w:t>
      </w:r>
      <w:r w:rsidR="00ED5D77" w:rsidRPr="00AC7B65">
        <w:rPr>
          <w:b/>
        </w:rPr>
        <w:t xml:space="preserve">COVID-19 prevention messages </w:t>
      </w:r>
      <w:r w:rsidR="009114D0" w:rsidRPr="00AC7B65">
        <w:rPr>
          <w:b/>
        </w:rPr>
        <w:t xml:space="preserve">to </w:t>
      </w:r>
      <w:r w:rsidR="00ED5D77" w:rsidRPr="00AC7B65">
        <w:rPr>
          <w:b/>
        </w:rPr>
        <w:t>over 127,024 refugees and host community members</w:t>
      </w:r>
      <w:r w:rsidR="00ED5D77" w:rsidRPr="003809A0">
        <w:t xml:space="preserve">, with 118,443 people participating in interactive COVID-19 awareness sessions. </w:t>
      </w:r>
      <w:r w:rsidR="009114D0" w:rsidRPr="003809A0">
        <w:t xml:space="preserve">Australian support allowed </w:t>
      </w:r>
      <w:r w:rsidR="00ED5D77" w:rsidRPr="003809A0">
        <w:t xml:space="preserve">157,000 </w:t>
      </w:r>
      <w:r w:rsidR="00D60A60">
        <w:t>personal protective equipment</w:t>
      </w:r>
      <w:r w:rsidR="00ED5D77" w:rsidRPr="003809A0">
        <w:t xml:space="preserve"> items </w:t>
      </w:r>
      <w:r w:rsidR="009114D0" w:rsidRPr="003809A0">
        <w:t xml:space="preserve">to be distributed </w:t>
      </w:r>
      <w:r w:rsidR="00ED5D77" w:rsidRPr="003809A0">
        <w:t>to frontline workers</w:t>
      </w:r>
      <w:r w:rsidR="009114D0" w:rsidRPr="003809A0">
        <w:t xml:space="preserve">, and </w:t>
      </w:r>
      <w:r w:rsidR="00ED5D77" w:rsidRPr="003809A0">
        <w:t>improved access to safe water and sanitation in Rohingya and host communities</w:t>
      </w:r>
      <w:r w:rsidR="009114D0" w:rsidRPr="003809A0">
        <w:t xml:space="preserve">, critically underpinning COVID-19 </w:t>
      </w:r>
      <w:r w:rsidR="001B663A" w:rsidRPr="003809A0">
        <w:t>hygi</w:t>
      </w:r>
      <w:r w:rsidR="00F21DCB" w:rsidRPr="003809A0">
        <w:t>e</w:t>
      </w:r>
      <w:r w:rsidR="001B663A" w:rsidRPr="003809A0">
        <w:t>ne measures</w:t>
      </w:r>
      <w:r w:rsidR="009114D0" w:rsidRPr="003809A0">
        <w:t xml:space="preserve">. </w:t>
      </w:r>
      <w:r w:rsidR="00D60A60">
        <w:t>T</w:t>
      </w:r>
      <w:r w:rsidR="00D60A60" w:rsidRPr="00D60A60">
        <w:t>he United Nations Population Fund</w:t>
      </w:r>
      <w:r w:rsidR="00D60A60">
        <w:t xml:space="preserve"> (UNFPA)</w:t>
      </w:r>
      <w:r w:rsidR="00D60A60" w:rsidRPr="00D60A60">
        <w:t xml:space="preserve"> </w:t>
      </w:r>
      <w:r w:rsidR="009114D0" w:rsidRPr="003809A0">
        <w:t>provide</w:t>
      </w:r>
      <w:r w:rsidR="00F21DCB" w:rsidRPr="003809A0">
        <w:t>d</w:t>
      </w:r>
      <w:r w:rsidR="009114D0" w:rsidRPr="003809A0">
        <w:t xml:space="preserve"> sexual and reproductive health and rights assistance to women and girls</w:t>
      </w:r>
      <w:r w:rsidR="001B663A" w:rsidRPr="003809A0">
        <w:t xml:space="preserve"> even</w:t>
      </w:r>
      <w:r w:rsidR="009114D0" w:rsidRPr="003809A0">
        <w:t xml:space="preserve"> when health systems focused on</w:t>
      </w:r>
      <w:r w:rsidR="002137A1" w:rsidRPr="003809A0">
        <w:t xml:space="preserve"> the</w:t>
      </w:r>
      <w:r w:rsidR="009114D0" w:rsidRPr="003809A0">
        <w:t xml:space="preserve"> COVID-19 response.</w:t>
      </w:r>
    </w:p>
    <w:p w14:paraId="4D6A529F" w14:textId="48F1CD0B" w:rsidR="000F3114" w:rsidRDefault="000F3114" w:rsidP="000F3114">
      <w:bookmarkStart w:id="1" w:name="_Hlk84331513"/>
      <w:r>
        <w:t xml:space="preserve">In June 2021, </w:t>
      </w:r>
      <w:r w:rsidRPr="00AC7B65">
        <w:t>$5 million from Australia’s regional COVID-19 response was directed to Bangladesh</w:t>
      </w:r>
      <w:r>
        <w:t xml:space="preserve">, </w:t>
      </w:r>
      <w:r w:rsidRPr="00AC7B65">
        <w:t>enabling the Bangladesh Red Crescent Society (BDRCS) to purchase oxygen related equipment and other essential supplies</w:t>
      </w:r>
      <w:r>
        <w:t xml:space="preserve">. By the end of August 2021, BDRCS had delivered oxygen support to over 3,200 people, provided 1,786 people with free COVID-19 medical </w:t>
      </w:r>
      <w:proofErr w:type="gramStart"/>
      <w:r>
        <w:t>transport</w:t>
      </w:r>
      <w:proofErr w:type="gramEnd"/>
      <w:r>
        <w:t xml:space="preserve"> and distributed over 133,400 cooked meals across 17 of Bangladesh’s most affected districts</w:t>
      </w:r>
      <w:r w:rsidR="00080D47">
        <w:t xml:space="preserve">. </w:t>
      </w:r>
      <w:r w:rsidRPr="00AC7B65">
        <w:t xml:space="preserve">This is in addition to Australia’s support to the </w:t>
      </w:r>
      <w:r w:rsidR="00D60A60" w:rsidRPr="00D60A60">
        <w:t xml:space="preserve">COVID-19 Vaccines Global Access </w:t>
      </w:r>
      <w:r w:rsidR="00D60A60">
        <w:t xml:space="preserve">(COVAX) </w:t>
      </w:r>
      <w:r w:rsidRPr="00AC7B65">
        <w:t xml:space="preserve">Advance Market Commitment totalling $130 million. </w:t>
      </w:r>
      <w:proofErr w:type="gramStart"/>
      <w:r w:rsidRPr="00AC7B65">
        <w:t>At</w:t>
      </w:r>
      <w:proofErr w:type="gramEnd"/>
      <w:r w:rsidRPr="00AC7B65">
        <w:t xml:space="preserve"> 30 June</w:t>
      </w:r>
      <w:r w:rsidR="006C1578">
        <w:t xml:space="preserve"> 2021</w:t>
      </w:r>
      <w:r w:rsidRPr="00AC7B65">
        <w:t xml:space="preserve">, this global mechanism had </w:t>
      </w:r>
      <w:r w:rsidRPr="00996C85">
        <w:rPr>
          <w:b/>
          <w:bCs/>
        </w:rPr>
        <w:t>delivered 100,620 COVID-19 vaccine doses to Bangladesh.</w:t>
      </w:r>
      <w:r>
        <w:t xml:space="preserve"> The Australian development program also re-positioned funding to provide emergency food assistance to affected students, vulnerable </w:t>
      </w:r>
      <w:proofErr w:type="gramStart"/>
      <w:r w:rsidR="00D60A60">
        <w:t>people</w:t>
      </w:r>
      <w:proofErr w:type="gramEnd"/>
      <w:r>
        <w:t xml:space="preserve"> and households in remote locations. </w:t>
      </w:r>
    </w:p>
    <w:bookmarkEnd w:id="1"/>
    <w:p w14:paraId="1D48D073" w14:textId="1BB32BD9" w:rsidR="00297FD1" w:rsidRPr="00216C55" w:rsidRDefault="00297FD1" w:rsidP="005265F6">
      <w:pPr>
        <w:pStyle w:val="Heading3"/>
      </w:pPr>
      <w:r w:rsidRPr="00216C55">
        <w:t>Stability</w:t>
      </w:r>
    </w:p>
    <w:p w14:paraId="79E49F23" w14:textId="511D2EA4" w:rsidR="00712837" w:rsidRPr="003809A0" w:rsidRDefault="00AC4712" w:rsidP="00CF5DE7">
      <w:r w:rsidRPr="00106F6F">
        <w:t xml:space="preserve">Responding to the unequal social impacts of the pandemic </w:t>
      </w:r>
      <w:r w:rsidR="00F82C07" w:rsidRPr="00106F6F">
        <w:t xml:space="preserve">and building on previous support for </w:t>
      </w:r>
      <w:r w:rsidR="00B25B54" w:rsidRPr="007D3F3C">
        <w:t xml:space="preserve">social protection policy reform, </w:t>
      </w:r>
      <w:r w:rsidR="003D260B" w:rsidRPr="000735E2">
        <w:t>Australia</w:t>
      </w:r>
      <w:r w:rsidR="00B61513" w:rsidRPr="000735E2">
        <w:t xml:space="preserve"> </w:t>
      </w:r>
      <w:r w:rsidR="00243912" w:rsidRPr="003809A0">
        <w:t>extended its</w:t>
      </w:r>
      <w:r w:rsidR="00EF7BD4" w:rsidRPr="003809A0">
        <w:t xml:space="preserve"> </w:t>
      </w:r>
      <w:r w:rsidR="00D26153" w:rsidRPr="003809A0">
        <w:t>partnership with</w:t>
      </w:r>
      <w:r w:rsidR="005616AA" w:rsidRPr="003809A0">
        <w:t xml:space="preserve"> the</w:t>
      </w:r>
      <w:r w:rsidR="00D26153" w:rsidRPr="003809A0">
        <w:t xml:space="preserve"> </w:t>
      </w:r>
      <w:r w:rsidR="00D60A60">
        <w:t>United Nations Development Program (UNDP)</w:t>
      </w:r>
      <w:r w:rsidR="00D26153" w:rsidRPr="003809A0">
        <w:t xml:space="preserve"> </w:t>
      </w:r>
      <w:r w:rsidR="00243912" w:rsidRPr="003809A0">
        <w:t xml:space="preserve">by another two years </w:t>
      </w:r>
      <w:r w:rsidR="004F3D50" w:rsidRPr="003809A0">
        <w:t xml:space="preserve">(to 2023) </w:t>
      </w:r>
      <w:r w:rsidR="00B73388" w:rsidRPr="003809A0">
        <w:t xml:space="preserve">to work within central ministries to </w:t>
      </w:r>
      <w:r w:rsidR="00B73388" w:rsidRPr="00AC7B65">
        <w:rPr>
          <w:b/>
          <w:bCs/>
        </w:rPr>
        <w:t xml:space="preserve">support the government’s </w:t>
      </w:r>
      <w:r w:rsidR="002137A1" w:rsidRPr="00AC7B65">
        <w:rPr>
          <w:b/>
          <w:bCs/>
        </w:rPr>
        <w:t>goal</w:t>
      </w:r>
      <w:r w:rsidR="00B73388" w:rsidRPr="00AC7B65">
        <w:rPr>
          <w:b/>
          <w:bCs/>
        </w:rPr>
        <w:t xml:space="preserve"> of a</w:t>
      </w:r>
      <w:r w:rsidR="002137A1" w:rsidRPr="00AC7B65">
        <w:rPr>
          <w:b/>
          <w:bCs/>
        </w:rPr>
        <w:t xml:space="preserve">n </w:t>
      </w:r>
      <w:r w:rsidR="00B73388" w:rsidRPr="00AC7B65">
        <w:rPr>
          <w:b/>
          <w:bCs/>
        </w:rPr>
        <w:t xml:space="preserve">inclusive, multi-tiered social security system </w:t>
      </w:r>
      <w:r w:rsidR="002137A1" w:rsidRPr="00AC7B65">
        <w:rPr>
          <w:b/>
          <w:bCs/>
        </w:rPr>
        <w:t>with</w:t>
      </w:r>
      <w:r w:rsidR="00B73388" w:rsidRPr="00AC7B65">
        <w:rPr>
          <w:b/>
          <w:bCs/>
        </w:rPr>
        <w:t xml:space="preserve"> improve</w:t>
      </w:r>
      <w:r w:rsidR="002137A1" w:rsidRPr="00AC7B65">
        <w:rPr>
          <w:b/>
          <w:bCs/>
        </w:rPr>
        <w:t>d</w:t>
      </w:r>
      <w:r w:rsidR="00B73388" w:rsidRPr="00AC7B65">
        <w:rPr>
          <w:b/>
          <w:bCs/>
        </w:rPr>
        <w:t xml:space="preserve"> effectiveness, </w:t>
      </w:r>
      <w:proofErr w:type="gramStart"/>
      <w:r w:rsidR="00B73388" w:rsidRPr="00AC7B65">
        <w:rPr>
          <w:b/>
          <w:bCs/>
        </w:rPr>
        <w:t>efficiency</w:t>
      </w:r>
      <w:proofErr w:type="gramEnd"/>
      <w:r w:rsidR="00B73388" w:rsidRPr="00AC7B65">
        <w:rPr>
          <w:b/>
          <w:bCs/>
        </w:rPr>
        <w:t xml:space="preserve"> and reach</w:t>
      </w:r>
      <w:r w:rsidR="00B73388" w:rsidRPr="003809A0">
        <w:t>.</w:t>
      </w:r>
      <w:r w:rsidR="00A00574" w:rsidRPr="003809A0">
        <w:t xml:space="preserve"> </w:t>
      </w:r>
      <w:r w:rsidR="00EF7BD4" w:rsidRPr="003809A0">
        <w:t>T</w:t>
      </w:r>
      <w:r w:rsidR="00D26153" w:rsidRPr="003809A0">
        <w:t>h</w:t>
      </w:r>
      <w:r w:rsidR="00B55B68" w:rsidRPr="003809A0">
        <w:t>e</w:t>
      </w:r>
      <w:r w:rsidR="00D26153" w:rsidRPr="003809A0">
        <w:t xml:space="preserve"> program</w:t>
      </w:r>
      <w:r w:rsidR="00B55B68" w:rsidRPr="003809A0">
        <w:t xml:space="preserve"> will </w:t>
      </w:r>
      <w:r w:rsidR="00010CEA" w:rsidRPr="003809A0">
        <w:t xml:space="preserve">work closely with the Cabinet Division and the Planning Ministry to </w:t>
      </w:r>
      <w:r w:rsidR="008F0E2F" w:rsidRPr="003809A0">
        <w:t>d</w:t>
      </w:r>
      <w:r w:rsidR="00A00574" w:rsidRPr="003809A0">
        <w:t>evelop</w:t>
      </w:r>
      <w:r w:rsidR="008F0E2F" w:rsidRPr="003809A0">
        <w:t xml:space="preserve"> </w:t>
      </w:r>
      <w:r w:rsidR="00A00574" w:rsidRPr="003809A0">
        <w:t>a medium-term COVID</w:t>
      </w:r>
      <w:r w:rsidR="007C5870" w:rsidRPr="003809A0">
        <w:noBreakHyphen/>
      </w:r>
      <w:r w:rsidR="00A00574" w:rsidRPr="003809A0">
        <w:t xml:space="preserve">19 social security </w:t>
      </w:r>
      <w:r w:rsidR="00A70F94" w:rsidRPr="003809A0">
        <w:t xml:space="preserve">response </w:t>
      </w:r>
      <w:r w:rsidR="00D26153" w:rsidRPr="003809A0">
        <w:t xml:space="preserve">to assist those </w:t>
      </w:r>
      <w:r w:rsidR="00A70F94" w:rsidRPr="003809A0">
        <w:t xml:space="preserve">most affected </w:t>
      </w:r>
      <w:r w:rsidR="00D26153" w:rsidRPr="003809A0">
        <w:t>by the pandemic</w:t>
      </w:r>
      <w:r w:rsidR="00035A73" w:rsidRPr="003809A0">
        <w:t xml:space="preserve">, </w:t>
      </w:r>
      <w:r w:rsidR="00A00574" w:rsidRPr="003809A0">
        <w:t xml:space="preserve">increase coverage of the old age and disability </w:t>
      </w:r>
      <w:r w:rsidR="00712837" w:rsidRPr="003809A0">
        <w:t>pensions,</w:t>
      </w:r>
      <w:r w:rsidR="00B73388" w:rsidRPr="003809A0">
        <w:t xml:space="preserve"> and develop a road map for the next series of social protection reforms</w:t>
      </w:r>
      <w:r w:rsidR="00A00574" w:rsidRPr="003809A0">
        <w:t>.</w:t>
      </w:r>
      <w:r w:rsidR="00D26153" w:rsidRPr="003809A0">
        <w:t xml:space="preserve"> </w:t>
      </w:r>
    </w:p>
    <w:p w14:paraId="0DC42C90" w14:textId="44FB5B26" w:rsidR="00D3505A" w:rsidRPr="003809A0" w:rsidRDefault="00B55B68" w:rsidP="00CF5DE7">
      <w:pPr>
        <w:rPr>
          <w:color w:val="FF0000"/>
        </w:rPr>
      </w:pPr>
      <w:r w:rsidRPr="003809A0">
        <w:t xml:space="preserve">Noting </w:t>
      </w:r>
      <w:r w:rsidRPr="006821C7">
        <w:t>prevalent malnutrition and low food security rates across Bangladesh</w:t>
      </w:r>
      <w:r w:rsidRPr="003809A0">
        <w:t xml:space="preserve">, </w:t>
      </w:r>
      <w:r w:rsidR="00B11007" w:rsidRPr="003809A0">
        <w:t>A</w:t>
      </w:r>
      <w:r w:rsidR="007860CA" w:rsidRPr="003809A0">
        <w:t>ustralia partnered with</w:t>
      </w:r>
      <w:r w:rsidR="00B11007" w:rsidRPr="003809A0">
        <w:t xml:space="preserve"> </w:t>
      </w:r>
      <w:r w:rsidR="008917FB" w:rsidRPr="003809A0">
        <w:t xml:space="preserve">the World Food Programme (WFP) to </w:t>
      </w:r>
      <w:r w:rsidR="007860CA" w:rsidRPr="003809A0">
        <w:t>support</w:t>
      </w:r>
      <w:r w:rsidR="008917FB" w:rsidRPr="003809A0">
        <w:t xml:space="preserve"> the Ministry of Women and Children's Affairs (</w:t>
      </w:r>
      <w:proofErr w:type="spellStart"/>
      <w:r w:rsidR="008917FB" w:rsidRPr="003809A0">
        <w:t>MoWCA</w:t>
      </w:r>
      <w:proofErr w:type="spellEnd"/>
      <w:r w:rsidR="008917FB" w:rsidRPr="003809A0">
        <w:t xml:space="preserve">) </w:t>
      </w:r>
      <w:r w:rsidR="002137A1" w:rsidRPr="003809A0">
        <w:t>in</w:t>
      </w:r>
      <w:r w:rsidR="00D3505A" w:rsidRPr="003809A0">
        <w:t xml:space="preserve"> </w:t>
      </w:r>
      <w:r w:rsidR="0065016F" w:rsidRPr="00AC7B65">
        <w:rPr>
          <w:b/>
          <w:bCs/>
        </w:rPr>
        <w:t>scal</w:t>
      </w:r>
      <w:r w:rsidR="002137A1" w:rsidRPr="00AC7B65">
        <w:rPr>
          <w:b/>
          <w:bCs/>
        </w:rPr>
        <w:t>ing</w:t>
      </w:r>
      <w:r w:rsidR="0065016F" w:rsidRPr="00AC7B65">
        <w:rPr>
          <w:b/>
          <w:bCs/>
        </w:rPr>
        <w:t xml:space="preserve"> up and expand</w:t>
      </w:r>
      <w:r w:rsidR="002137A1" w:rsidRPr="00AC7B65">
        <w:rPr>
          <w:b/>
          <w:bCs/>
        </w:rPr>
        <w:t>ing</w:t>
      </w:r>
      <w:r w:rsidR="0065016F" w:rsidRPr="00AC7B65">
        <w:rPr>
          <w:b/>
          <w:bCs/>
        </w:rPr>
        <w:t xml:space="preserve"> coverage of two flagship social safety net programs</w:t>
      </w:r>
      <w:r w:rsidR="0065016F" w:rsidRPr="003809A0">
        <w:t>, the Mother and Child Benefit Program (MCBP) and Vulnerable Women Benefit (VWB) Program.</w:t>
      </w:r>
      <w:r w:rsidR="00D3505A" w:rsidRPr="003809A0">
        <w:t xml:space="preserve"> </w:t>
      </w:r>
      <w:r w:rsidR="00B61513" w:rsidRPr="003809A0">
        <w:t>With nutrition education for expecting and new mothers</w:t>
      </w:r>
      <w:r w:rsidR="0038120B" w:rsidRPr="003809A0">
        <w:t>,</w:t>
      </w:r>
      <w:r w:rsidR="00B61513" w:rsidRPr="003809A0">
        <w:t xml:space="preserve"> and top-up funds when they purchase </w:t>
      </w:r>
      <w:r w:rsidR="00A00574" w:rsidRPr="003809A0">
        <w:t>nutritious</w:t>
      </w:r>
      <w:r w:rsidR="00B61513" w:rsidRPr="003809A0">
        <w:t xml:space="preserve"> food, this investment </w:t>
      </w:r>
      <w:r w:rsidR="00D26153" w:rsidRPr="003809A0">
        <w:t xml:space="preserve">also </w:t>
      </w:r>
      <w:r w:rsidR="00B61513" w:rsidRPr="00AC7B65">
        <w:t>will improve food security for mothers and their children.</w:t>
      </w:r>
    </w:p>
    <w:p w14:paraId="6446AF85" w14:textId="5F82C485" w:rsidR="00A70F22" w:rsidRPr="003809A0" w:rsidRDefault="002E018A" w:rsidP="00CF5DE7">
      <w:r w:rsidRPr="003809A0">
        <w:lastRenderedPageBreak/>
        <w:t>Our support to BRAC and the Underprivileged Children's Educational Programs (UCEP) continue</w:t>
      </w:r>
      <w:r w:rsidR="00B55B68" w:rsidRPr="003809A0">
        <w:t>d</w:t>
      </w:r>
      <w:r w:rsidRPr="003809A0">
        <w:t xml:space="preserve"> to </w:t>
      </w:r>
      <w:r w:rsidR="00B61513" w:rsidRPr="003809A0">
        <w:t>enable</w:t>
      </w:r>
      <w:r w:rsidRPr="003809A0">
        <w:t xml:space="preserve"> </w:t>
      </w:r>
      <w:r w:rsidR="007C5870" w:rsidRPr="003809A0">
        <w:t xml:space="preserve">extremely poor children, especially girls and children with disabilities, to access quality </w:t>
      </w:r>
      <w:r w:rsidRPr="003809A0">
        <w:t>basic education. With schools closed</w:t>
      </w:r>
      <w:r w:rsidR="00A00574" w:rsidRPr="003809A0">
        <w:t xml:space="preserve"> for </w:t>
      </w:r>
      <w:r w:rsidR="00BB555D">
        <w:t>most</w:t>
      </w:r>
      <w:r w:rsidR="00A00574" w:rsidRPr="003809A0">
        <w:t xml:space="preserve"> of 2020</w:t>
      </w:r>
      <w:r w:rsidR="0024427F" w:rsidRPr="003809A0">
        <w:t xml:space="preserve"> and 2021</w:t>
      </w:r>
      <w:r w:rsidRPr="003809A0">
        <w:t xml:space="preserve">, </w:t>
      </w:r>
      <w:r w:rsidRPr="00AC7B65">
        <w:rPr>
          <w:b/>
          <w:bCs/>
        </w:rPr>
        <w:t xml:space="preserve">our partners </w:t>
      </w:r>
      <w:r w:rsidR="00097E47" w:rsidRPr="00AC7B65">
        <w:rPr>
          <w:b/>
          <w:bCs/>
        </w:rPr>
        <w:t>helped to keep</w:t>
      </w:r>
      <w:r w:rsidRPr="00AC7B65">
        <w:rPr>
          <w:b/>
          <w:bCs/>
        </w:rPr>
        <w:t xml:space="preserve"> students connected</w:t>
      </w:r>
      <w:r w:rsidR="0038120B" w:rsidRPr="00AC7B65">
        <w:rPr>
          <w:b/>
          <w:bCs/>
        </w:rPr>
        <w:t xml:space="preserve">, </w:t>
      </w:r>
      <w:r w:rsidR="00712837" w:rsidRPr="00AC7B65">
        <w:rPr>
          <w:b/>
          <w:bCs/>
        </w:rPr>
        <w:t>engaged,</w:t>
      </w:r>
      <w:r w:rsidR="0038120B" w:rsidRPr="00AC7B65">
        <w:rPr>
          <w:b/>
          <w:bCs/>
        </w:rPr>
        <w:t xml:space="preserve"> and l</w:t>
      </w:r>
      <w:r w:rsidR="00B61513" w:rsidRPr="00AC7B65">
        <w:rPr>
          <w:b/>
          <w:bCs/>
        </w:rPr>
        <w:t xml:space="preserve">earning </w:t>
      </w:r>
      <w:r w:rsidRPr="00AC7B65">
        <w:rPr>
          <w:b/>
          <w:bCs/>
        </w:rPr>
        <w:t>through</w:t>
      </w:r>
      <w:r w:rsidR="00911B20" w:rsidRPr="00AC7B65">
        <w:rPr>
          <w:b/>
          <w:bCs/>
        </w:rPr>
        <w:t xml:space="preserve"> national television broadcasts and</w:t>
      </w:r>
      <w:r w:rsidRPr="00AC7B65">
        <w:rPr>
          <w:b/>
          <w:bCs/>
        </w:rPr>
        <w:t xml:space="preserve"> innovative methods</w:t>
      </w:r>
      <w:r w:rsidRPr="003809A0">
        <w:t xml:space="preserve"> including </w:t>
      </w:r>
      <w:r w:rsidR="007B5C54" w:rsidRPr="003809A0">
        <w:t xml:space="preserve">using basic feature mobile phones, community radio, and </w:t>
      </w:r>
      <w:r w:rsidR="00B61513" w:rsidRPr="003809A0">
        <w:t xml:space="preserve">small </w:t>
      </w:r>
      <w:r w:rsidR="009B6413" w:rsidRPr="003809A0">
        <w:t>community</w:t>
      </w:r>
      <w:r w:rsidR="002C7606" w:rsidRPr="003809A0">
        <w:t>-</w:t>
      </w:r>
      <w:r w:rsidR="00B61513" w:rsidRPr="003809A0">
        <w:t xml:space="preserve">based learning circles. </w:t>
      </w:r>
      <w:r w:rsidR="00010CEA" w:rsidRPr="003809A0">
        <w:rPr>
          <w:lang w:val="en-AU"/>
        </w:rPr>
        <w:t>In 2020, Australia supported a total of 118,840 additional school enrolments, with 109,868 children (5</w:t>
      </w:r>
      <w:r w:rsidR="008D0C3E" w:rsidRPr="003809A0">
        <w:rPr>
          <w:lang w:val="en-AU"/>
        </w:rPr>
        <w:t>5 per cent</w:t>
      </w:r>
      <w:r w:rsidR="00010CEA" w:rsidRPr="003809A0">
        <w:rPr>
          <w:lang w:val="en-AU"/>
        </w:rPr>
        <w:t xml:space="preserve"> girls and </w:t>
      </w:r>
      <w:r w:rsidR="00106F6F" w:rsidRPr="003809A0">
        <w:rPr>
          <w:lang w:val="en-AU"/>
        </w:rPr>
        <w:t>two</w:t>
      </w:r>
      <w:r w:rsidR="008D0C3E" w:rsidRPr="003809A0">
        <w:rPr>
          <w:lang w:val="en-AU"/>
        </w:rPr>
        <w:t xml:space="preserve"> per cent</w:t>
      </w:r>
      <w:r w:rsidR="008D0C3E" w:rsidRPr="003809A0" w:rsidDel="008D0C3E">
        <w:rPr>
          <w:lang w:val="en-AU"/>
        </w:rPr>
        <w:t xml:space="preserve"> </w:t>
      </w:r>
      <w:r w:rsidR="00F80750" w:rsidRPr="00F80750">
        <w:rPr>
          <w:lang w:val="en-AU"/>
        </w:rPr>
        <w:t xml:space="preserve">people with disabilities </w:t>
      </w:r>
      <w:r w:rsidR="00010CEA" w:rsidRPr="003809A0">
        <w:rPr>
          <w:lang w:val="en-AU"/>
        </w:rPr>
        <w:t>enrolled in BRAC schools and 8,972 (50</w:t>
      </w:r>
      <w:r w:rsidR="008D0C3E" w:rsidRPr="003809A0">
        <w:rPr>
          <w:lang w:val="en-AU"/>
        </w:rPr>
        <w:t xml:space="preserve"> per cent</w:t>
      </w:r>
      <w:r w:rsidR="00010CEA" w:rsidRPr="003809A0">
        <w:rPr>
          <w:lang w:val="en-AU"/>
        </w:rPr>
        <w:t xml:space="preserve"> girls,</w:t>
      </w:r>
      <w:r w:rsidR="003809A0">
        <w:rPr>
          <w:lang w:val="en-AU"/>
        </w:rPr>
        <w:t xml:space="preserve"> </w:t>
      </w:r>
      <w:r w:rsidR="00106F6F" w:rsidRPr="003809A0">
        <w:rPr>
          <w:lang w:val="en-AU"/>
        </w:rPr>
        <w:t>five</w:t>
      </w:r>
      <w:r w:rsidR="008D0C3E" w:rsidRPr="003809A0">
        <w:rPr>
          <w:lang w:val="en-AU"/>
        </w:rPr>
        <w:t xml:space="preserve"> per cent</w:t>
      </w:r>
      <w:r w:rsidR="00010CEA" w:rsidRPr="003809A0">
        <w:rPr>
          <w:lang w:val="en-AU"/>
        </w:rPr>
        <w:t xml:space="preserve"> </w:t>
      </w:r>
      <w:r w:rsidR="00F80750" w:rsidRPr="00F80750">
        <w:rPr>
          <w:lang w:val="en-AU"/>
        </w:rPr>
        <w:t>people with disabilities</w:t>
      </w:r>
      <w:r w:rsidR="00010CEA" w:rsidRPr="003809A0">
        <w:rPr>
          <w:lang w:val="en-AU"/>
        </w:rPr>
        <w:t>) in UCEP schools</w:t>
      </w:r>
      <w:r w:rsidR="00EC46A5" w:rsidRPr="003809A0">
        <w:rPr>
          <w:lang w:val="en-AU"/>
        </w:rPr>
        <w:t xml:space="preserve"> (exceeding UCEP’s target of </w:t>
      </w:r>
      <w:r w:rsidR="00EC46A5" w:rsidRPr="003809A0">
        <w:t>6,485)</w:t>
      </w:r>
      <w:r w:rsidR="00D9593F">
        <w:rPr>
          <w:lang w:val="en-AU"/>
        </w:rPr>
        <w:t xml:space="preserve">. </w:t>
      </w:r>
      <w:r w:rsidR="00BB555D">
        <w:t>P</w:t>
      </w:r>
      <w:r w:rsidR="0058092B" w:rsidRPr="003809A0">
        <w:t xml:space="preserve">artners </w:t>
      </w:r>
      <w:r w:rsidR="00B61513" w:rsidRPr="003809A0">
        <w:t>also</w:t>
      </w:r>
      <w:r w:rsidR="00960249" w:rsidRPr="003809A0">
        <w:t xml:space="preserve"> </w:t>
      </w:r>
      <w:r w:rsidR="00B61513" w:rsidRPr="003809A0">
        <w:t>provided expert trainers to deliver and record lessons for the Bangladesh</w:t>
      </w:r>
      <w:r w:rsidR="007B5C54" w:rsidRPr="003809A0">
        <w:t xml:space="preserve"> </w:t>
      </w:r>
      <w:r w:rsidR="00B61513" w:rsidRPr="003809A0">
        <w:t>G</w:t>
      </w:r>
      <w:r w:rsidR="007B5C54" w:rsidRPr="003809A0">
        <w:t xml:space="preserve">overnment’s national drive to digitise lessons for </w:t>
      </w:r>
      <w:r w:rsidR="00147919">
        <w:t>television</w:t>
      </w:r>
      <w:r w:rsidR="007B5C54" w:rsidRPr="003809A0">
        <w:t xml:space="preserve"> broadcast</w:t>
      </w:r>
      <w:r w:rsidR="00B61513" w:rsidRPr="003809A0">
        <w:t>.</w:t>
      </w:r>
      <w:r w:rsidR="00592500" w:rsidRPr="003809A0">
        <w:t xml:space="preserve"> </w:t>
      </w:r>
    </w:p>
    <w:p w14:paraId="2E0F45F6" w14:textId="3385B0FB" w:rsidR="00B55B68" w:rsidRDefault="00B55B68" w:rsidP="00CF5DE7">
      <w:r w:rsidRPr="003809A0">
        <w:t xml:space="preserve">Some </w:t>
      </w:r>
      <w:r w:rsidR="001D54EB" w:rsidRPr="003809A0">
        <w:t xml:space="preserve">efforts to </w:t>
      </w:r>
      <w:r w:rsidRPr="003809A0">
        <w:t>build</w:t>
      </w:r>
      <w:r w:rsidR="001D54EB" w:rsidRPr="003809A0">
        <w:t xml:space="preserve"> </w:t>
      </w:r>
      <w:r w:rsidRPr="003809A0">
        <w:t>the resilience of Rohingya refugees and host communities</w:t>
      </w:r>
      <w:r w:rsidR="001D54EB" w:rsidRPr="003809A0">
        <w:t xml:space="preserve"> (including education, cash-for-</w:t>
      </w:r>
      <w:proofErr w:type="gramStart"/>
      <w:r w:rsidR="001D54EB" w:rsidRPr="003809A0">
        <w:t>work</w:t>
      </w:r>
      <w:proofErr w:type="gramEnd"/>
      <w:r w:rsidR="001D54EB" w:rsidRPr="003809A0">
        <w:t xml:space="preserve"> and skills development programs)</w:t>
      </w:r>
      <w:r w:rsidRPr="003809A0">
        <w:t xml:space="preserve"> w</w:t>
      </w:r>
      <w:r w:rsidR="001D54EB" w:rsidRPr="003809A0">
        <w:t>ere</w:t>
      </w:r>
      <w:r w:rsidRPr="003809A0">
        <w:t xml:space="preserve"> constrained by </w:t>
      </w:r>
      <w:r w:rsidR="00BB555D" w:rsidRPr="003809A0">
        <w:t xml:space="preserve">COVID-19 </w:t>
      </w:r>
      <w:r w:rsidR="001D54EB" w:rsidRPr="003809A0">
        <w:t>restrictions</w:t>
      </w:r>
      <w:r w:rsidRPr="003809A0">
        <w:t xml:space="preserve">. </w:t>
      </w:r>
      <w:r w:rsidR="001D54EB" w:rsidRPr="003809A0">
        <w:t xml:space="preserve">Despite </w:t>
      </w:r>
      <w:r w:rsidR="001B663A" w:rsidRPr="003809A0">
        <w:t xml:space="preserve">these </w:t>
      </w:r>
      <w:r w:rsidR="001D54EB" w:rsidRPr="003809A0">
        <w:t xml:space="preserve">restrictions, </w:t>
      </w:r>
      <w:r w:rsidR="00BF2BDB" w:rsidRPr="00AC7B65">
        <w:t xml:space="preserve">WFP, </w:t>
      </w:r>
      <w:r w:rsidR="00147919">
        <w:t xml:space="preserve">the </w:t>
      </w:r>
      <w:r w:rsidR="00147919" w:rsidRPr="00147919">
        <w:t>United Nations High Commissioner for Refugees</w:t>
      </w:r>
      <w:r w:rsidR="00147919">
        <w:t xml:space="preserve"> (UNHCR)</w:t>
      </w:r>
      <w:r w:rsidR="00147919" w:rsidRPr="00AC7B65">
        <w:t xml:space="preserve"> </w:t>
      </w:r>
      <w:r w:rsidR="00BF2BDB" w:rsidRPr="00AC7B65">
        <w:t xml:space="preserve">and </w:t>
      </w:r>
      <w:r w:rsidR="00147919" w:rsidRPr="00147919">
        <w:t>International Organization for Migration</w:t>
      </w:r>
      <w:r w:rsidR="00BF2BDB" w:rsidRPr="00AC7B65">
        <w:t xml:space="preserve"> </w:t>
      </w:r>
      <w:r w:rsidRPr="00AC7B65">
        <w:t>continued to provide lifesaving assistance</w:t>
      </w:r>
      <w:r w:rsidR="0051142B" w:rsidRPr="00AC7B65">
        <w:t xml:space="preserve"> to</w:t>
      </w:r>
      <w:r w:rsidR="001D54EB" w:rsidRPr="00AC7B65">
        <w:t xml:space="preserve"> refugee and host community members</w:t>
      </w:r>
      <w:r w:rsidR="00BF2BDB" w:rsidRPr="003809A0">
        <w:t xml:space="preserve">, including targeted support </w:t>
      </w:r>
      <w:r w:rsidR="001B663A" w:rsidRPr="003809A0">
        <w:t>for</w:t>
      </w:r>
      <w:r w:rsidR="00BF2BDB" w:rsidRPr="003809A0">
        <w:t xml:space="preserve"> </w:t>
      </w:r>
      <w:r w:rsidR="00FD645A">
        <w:t>people</w:t>
      </w:r>
      <w:r w:rsidR="00BF2BDB" w:rsidRPr="003809A0">
        <w:t xml:space="preserve"> with disabilities. Australia </w:t>
      </w:r>
      <w:r w:rsidR="001D54EB" w:rsidRPr="003809A0">
        <w:t>provided over $10 million to support</w:t>
      </w:r>
      <w:r w:rsidR="006C1578">
        <w:t xml:space="preserve"> the</w:t>
      </w:r>
      <w:r w:rsidR="001D54EB" w:rsidRPr="003809A0">
        <w:t xml:space="preserve"> response to a large fire in the camps in March. </w:t>
      </w:r>
      <w:r w:rsidR="00147919">
        <w:t>T</w:t>
      </w:r>
      <w:r w:rsidR="00147919" w:rsidRPr="00147919">
        <w:t>he United Nations Children's Fund</w:t>
      </w:r>
      <w:r w:rsidR="00147919">
        <w:t xml:space="preserve"> (UNICEF)</w:t>
      </w:r>
      <w:r w:rsidR="009114D0" w:rsidRPr="003809A0">
        <w:t xml:space="preserve">, BRAC and the Global Partnership for Education supported remote education </w:t>
      </w:r>
      <w:r w:rsidR="001D54EB" w:rsidRPr="003809A0">
        <w:t xml:space="preserve">delivery through carer-led learning programs. Where possible, </w:t>
      </w:r>
      <w:r w:rsidR="00147919">
        <w:t>UNHCR</w:t>
      </w:r>
      <w:r w:rsidR="009114D0" w:rsidRPr="003809A0">
        <w:t xml:space="preserve">, UNFPA and UN Women </w:t>
      </w:r>
      <w:r w:rsidR="001D54EB" w:rsidRPr="003809A0">
        <w:t xml:space="preserve">supported families’ continued access </w:t>
      </w:r>
      <w:r w:rsidR="006821C7">
        <w:t xml:space="preserve">to </w:t>
      </w:r>
      <w:r w:rsidR="001D54EB" w:rsidRPr="003809A0">
        <w:t>critical protection, gender-based violence and psychosocial support through remote and community-based</w:t>
      </w:r>
      <w:r w:rsidR="001D54EB">
        <w:t xml:space="preserve"> mechanisms.</w:t>
      </w:r>
    </w:p>
    <w:p w14:paraId="3AB845B7" w14:textId="77777777" w:rsidR="00592500" w:rsidRDefault="00592500" w:rsidP="005265F6">
      <w:pPr>
        <w:pStyle w:val="Heading3"/>
      </w:pPr>
      <w:r w:rsidRPr="00216C55">
        <w:t>Economic recovery</w:t>
      </w:r>
    </w:p>
    <w:p w14:paraId="64FFF26F" w14:textId="6D77715A" w:rsidR="009B0D6A" w:rsidRPr="003809A0" w:rsidRDefault="00652B46" w:rsidP="00CF5DE7">
      <w:pPr>
        <w:rPr>
          <w:lang w:val="en-AU"/>
        </w:rPr>
      </w:pPr>
      <w:r w:rsidRPr="00106F6F">
        <w:t>Australia</w:t>
      </w:r>
      <w:r w:rsidR="00085207" w:rsidRPr="00106F6F">
        <w:t xml:space="preserve">’s development program to Bangladesh has a strong focus on </w:t>
      </w:r>
      <w:r w:rsidR="006629F0" w:rsidRPr="00106F6F">
        <w:t>supporting the development of a</w:t>
      </w:r>
      <w:r w:rsidR="00085207" w:rsidRPr="00106F6F">
        <w:t xml:space="preserve"> </w:t>
      </w:r>
      <w:r w:rsidR="006532AD" w:rsidRPr="00106F6F">
        <w:t xml:space="preserve">skilled workforce </w:t>
      </w:r>
      <w:r w:rsidR="00085207" w:rsidRPr="000735E2">
        <w:t>necessary for</w:t>
      </w:r>
      <w:r w:rsidR="00592BCA" w:rsidRPr="000735E2">
        <w:t xml:space="preserve"> the country’s</w:t>
      </w:r>
      <w:r w:rsidR="006532AD" w:rsidRPr="003809A0">
        <w:t xml:space="preserve"> economic recovery</w:t>
      </w:r>
      <w:r w:rsidR="00CF5DE7" w:rsidRPr="003809A0">
        <w:t xml:space="preserve"> from COVID-19</w:t>
      </w:r>
      <w:r w:rsidR="00B61513" w:rsidRPr="003809A0">
        <w:t xml:space="preserve"> </w:t>
      </w:r>
      <w:r w:rsidR="006532AD" w:rsidRPr="003809A0">
        <w:t>and longer</w:t>
      </w:r>
      <w:r w:rsidR="009114D0" w:rsidRPr="003809A0">
        <w:t>-</w:t>
      </w:r>
      <w:r w:rsidR="006532AD" w:rsidRPr="003809A0">
        <w:t>term economic growth</w:t>
      </w:r>
      <w:r w:rsidR="004D6AC9" w:rsidRPr="003809A0">
        <w:t>.</w:t>
      </w:r>
      <w:r w:rsidR="000D3689" w:rsidRPr="003809A0">
        <w:t xml:space="preserve"> Despite the difficulties imposed by the pandemic, </w:t>
      </w:r>
      <w:r w:rsidR="000D3689" w:rsidRPr="00AC7B65">
        <w:rPr>
          <w:b/>
          <w:bCs/>
        </w:rPr>
        <w:t xml:space="preserve">our partners continued to ensure youth </w:t>
      </w:r>
      <w:r w:rsidR="001D54EB" w:rsidRPr="00AC7B65">
        <w:rPr>
          <w:b/>
          <w:bCs/>
        </w:rPr>
        <w:t xml:space="preserve">could benefit from </w:t>
      </w:r>
      <w:r w:rsidR="00BE56E7" w:rsidRPr="00AC7B65">
        <w:rPr>
          <w:b/>
          <w:bCs/>
        </w:rPr>
        <w:t xml:space="preserve">online classes, </w:t>
      </w:r>
      <w:r w:rsidR="000D3689" w:rsidRPr="00AC7B65">
        <w:rPr>
          <w:b/>
          <w:bCs/>
        </w:rPr>
        <w:t xml:space="preserve">partial </w:t>
      </w:r>
      <w:r w:rsidR="009114D0" w:rsidRPr="00AC7B65">
        <w:rPr>
          <w:b/>
          <w:bCs/>
        </w:rPr>
        <w:t>re-</w:t>
      </w:r>
      <w:r w:rsidR="000D3689" w:rsidRPr="00AC7B65">
        <w:rPr>
          <w:b/>
          <w:bCs/>
        </w:rPr>
        <w:t xml:space="preserve">opening of training institutes </w:t>
      </w:r>
      <w:r w:rsidR="001D54EB" w:rsidRPr="00AC7B65">
        <w:rPr>
          <w:b/>
          <w:bCs/>
        </w:rPr>
        <w:t xml:space="preserve">and </w:t>
      </w:r>
      <w:r w:rsidR="000D3689" w:rsidRPr="00AC7B65">
        <w:rPr>
          <w:b/>
          <w:bCs/>
        </w:rPr>
        <w:t>industry-based apprenticeships</w:t>
      </w:r>
      <w:r w:rsidR="000D3689" w:rsidRPr="003809A0">
        <w:t>.</w:t>
      </w:r>
      <w:r w:rsidR="00B61513" w:rsidRPr="003809A0">
        <w:t xml:space="preserve"> </w:t>
      </w:r>
      <w:r w:rsidR="006629F0" w:rsidRPr="003809A0">
        <w:t>Over the reporting period</w:t>
      </w:r>
      <w:r w:rsidR="004D6AC9" w:rsidRPr="003809A0">
        <w:t>,</w:t>
      </w:r>
      <w:r w:rsidR="001D54EB" w:rsidRPr="003809A0">
        <w:t xml:space="preserve"> </w:t>
      </w:r>
      <w:r w:rsidR="006532AD" w:rsidRPr="003809A0">
        <w:t>Australia supported 10,935 young men and women (including people with disabilities) to receive technical and vocational training</w:t>
      </w:r>
      <w:r w:rsidR="0038120B" w:rsidRPr="003809A0">
        <w:t xml:space="preserve"> in line with industry needs</w:t>
      </w:r>
      <w:r w:rsidR="00BE56E7" w:rsidRPr="003809A0">
        <w:t>:</w:t>
      </w:r>
      <w:r w:rsidR="006532AD" w:rsidRPr="003809A0">
        <w:t xml:space="preserve"> </w:t>
      </w:r>
      <w:r w:rsidR="003D5F91" w:rsidRPr="003809A0">
        <w:t>5,431 (74</w:t>
      </w:r>
      <w:r w:rsidR="008D0C3E" w:rsidRPr="003809A0">
        <w:rPr>
          <w:lang w:val="en-AU"/>
        </w:rPr>
        <w:t xml:space="preserve"> per cent</w:t>
      </w:r>
      <w:r w:rsidR="003D5F91" w:rsidRPr="003809A0">
        <w:t xml:space="preserve"> women, </w:t>
      </w:r>
      <w:r w:rsidR="008D0C3E" w:rsidRPr="003809A0">
        <w:t xml:space="preserve">nine </w:t>
      </w:r>
      <w:r w:rsidR="008D0C3E" w:rsidRPr="003809A0">
        <w:rPr>
          <w:lang w:val="en-AU"/>
        </w:rPr>
        <w:t>per cent</w:t>
      </w:r>
      <w:r w:rsidR="003D5F91" w:rsidRPr="003809A0">
        <w:t xml:space="preserve"> </w:t>
      </w:r>
      <w:r w:rsidR="00F80750">
        <w:t>people with disabilities</w:t>
      </w:r>
      <w:r w:rsidR="003D5F91" w:rsidRPr="003809A0">
        <w:t>) received vocational skills training in BRAC’s Skills Development Program and 5,504 (37</w:t>
      </w:r>
      <w:r w:rsidR="008D0C3E" w:rsidRPr="003809A0">
        <w:t xml:space="preserve"> </w:t>
      </w:r>
      <w:r w:rsidR="008D0C3E" w:rsidRPr="003809A0">
        <w:rPr>
          <w:lang w:val="en-AU"/>
        </w:rPr>
        <w:t>per cent</w:t>
      </w:r>
      <w:r w:rsidR="008D0C3E" w:rsidRPr="003809A0">
        <w:t xml:space="preserve"> </w:t>
      </w:r>
      <w:r w:rsidR="003D5F91" w:rsidRPr="003809A0">
        <w:t>women,</w:t>
      </w:r>
      <w:r w:rsidR="008D0C3E" w:rsidRPr="003809A0">
        <w:t xml:space="preserve"> three </w:t>
      </w:r>
      <w:r w:rsidR="008D0C3E" w:rsidRPr="003809A0">
        <w:rPr>
          <w:lang w:val="en-AU"/>
        </w:rPr>
        <w:t>per cent</w:t>
      </w:r>
      <w:r w:rsidR="003D5F91" w:rsidRPr="003809A0">
        <w:t xml:space="preserve"> </w:t>
      </w:r>
      <w:r w:rsidR="00F80750">
        <w:t>people with disabilities</w:t>
      </w:r>
      <w:r w:rsidR="003D5F91" w:rsidRPr="003809A0">
        <w:t>) in UCEP’s Technical Education Program</w:t>
      </w:r>
      <w:r w:rsidR="004A255F" w:rsidRPr="003809A0">
        <w:t xml:space="preserve">. </w:t>
      </w:r>
    </w:p>
    <w:p w14:paraId="2634C668" w14:textId="4FD8CBFE" w:rsidR="009B0D6A" w:rsidRPr="003809A0" w:rsidRDefault="00DE45B6" w:rsidP="00CF5DE7">
      <w:pPr>
        <w:rPr>
          <w:lang w:val="en-AU"/>
        </w:rPr>
      </w:pPr>
      <w:r w:rsidRPr="003809A0">
        <w:rPr>
          <w:lang w:val="en-AU"/>
        </w:rPr>
        <w:t xml:space="preserve">Australia’s long-running partnership with BRAC </w:t>
      </w:r>
      <w:r w:rsidR="00F218D7" w:rsidRPr="003809A0">
        <w:rPr>
          <w:lang w:val="en-AU"/>
        </w:rPr>
        <w:t xml:space="preserve">also has </w:t>
      </w:r>
      <w:r w:rsidR="00F218D7" w:rsidRPr="00AC7B65">
        <w:rPr>
          <w:b/>
          <w:bCs/>
          <w:lang w:val="en-AU"/>
        </w:rPr>
        <w:t xml:space="preserve">a significant pillar of work focused on building pathways out of poverty through </w:t>
      </w:r>
      <w:r w:rsidR="00FF63BB" w:rsidRPr="00AC7B65">
        <w:rPr>
          <w:b/>
          <w:bCs/>
          <w:lang w:val="en-AU"/>
        </w:rPr>
        <w:t>industry-relevant skills development</w:t>
      </w:r>
      <w:r w:rsidR="00FF63BB" w:rsidRPr="003809A0">
        <w:rPr>
          <w:lang w:val="en-AU"/>
        </w:rPr>
        <w:t xml:space="preserve">. Supporting key government institutions, BRAC has developed </w:t>
      </w:r>
      <w:r w:rsidR="00164F72" w:rsidRPr="003809A0">
        <w:rPr>
          <w:lang w:val="en-AU"/>
        </w:rPr>
        <w:t>Technical and Vocational Education (</w:t>
      </w:r>
      <w:r w:rsidR="00FF63BB" w:rsidRPr="003809A0">
        <w:rPr>
          <w:lang w:val="en-AU"/>
        </w:rPr>
        <w:t>TVET</w:t>
      </w:r>
      <w:r w:rsidR="00164F72" w:rsidRPr="003809A0">
        <w:rPr>
          <w:lang w:val="en-AU"/>
        </w:rPr>
        <w:t>)</w:t>
      </w:r>
      <w:r w:rsidR="00FF63BB" w:rsidRPr="003809A0">
        <w:rPr>
          <w:lang w:val="en-AU"/>
        </w:rPr>
        <w:t xml:space="preserve"> curricula</w:t>
      </w:r>
      <w:r w:rsidR="00532F07" w:rsidRPr="003809A0">
        <w:rPr>
          <w:lang w:val="en-AU"/>
        </w:rPr>
        <w:t xml:space="preserve"> for services sectors</w:t>
      </w:r>
      <w:r w:rsidR="00642470" w:rsidRPr="003809A0">
        <w:rPr>
          <w:lang w:val="en-AU"/>
        </w:rPr>
        <w:t xml:space="preserve"> and an education program that supports government</w:t>
      </w:r>
      <w:r w:rsidR="00CD710E" w:rsidRPr="003809A0">
        <w:rPr>
          <w:lang w:val="en-AU"/>
        </w:rPr>
        <w:t xml:space="preserve"> </w:t>
      </w:r>
      <w:r w:rsidR="00E67476" w:rsidRPr="003809A0">
        <w:rPr>
          <w:lang w:val="en-AU"/>
        </w:rPr>
        <w:t xml:space="preserve">delivery of teaching, including </w:t>
      </w:r>
      <w:r w:rsidR="002B3F17" w:rsidRPr="003809A0">
        <w:rPr>
          <w:lang w:val="en-AU"/>
        </w:rPr>
        <w:t>remote delivery.</w:t>
      </w:r>
      <w:r w:rsidR="00AB66D5" w:rsidRPr="003809A0">
        <w:rPr>
          <w:lang w:val="en-AU"/>
        </w:rPr>
        <w:t xml:space="preserve"> The</w:t>
      </w:r>
      <w:r w:rsidRPr="003809A0">
        <w:rPr>
          <w:lang w:val="en-AU"/>
        </w:rPr>
        <w:t xml:space="preserve"> </w:t>
      </w:r>
      <w:r w:rsidR="009D0F46" w:rsidRPr="003809A0">
        <w:rPr>
          <w:lang w:val="en-AU"/>
        </w:rPr>
        <w:t>Australia Awards</w:t>
      </w:r>
      <w:r w:rsidR="00AB66D5" w:rsidRPr="003809A0">
        <w:rPr>
          <w:lang w:val="en-AU"/>
        </w:rPr>
        <w:t xml:space="preserve"> program also continued over the reporting period. </w:t>
      </w:r>
      <w:r w:rsidR="00263810" w:rsidRPr="003809A0">
        <w:rPr>
          <w:lang w:val="en-AU"/>
        </w:rPr>
        <w:t xml:space="preserve">In 2020, 100 scholars (50 </w:t>
      </w:r>
      <w:r w:rsidR="008D0C3E" w:rsidRPr="003809A0">
        <w:rPr>
          <w:lang w:val="en-AU"/>
        </w:rPr>
        <w:t>per cent</w:t>
      </w:r>
      <w:r w:rsidR="00263810" w:rsidRPr="003809A0">
        <w:rPr>
          <w:lang w:val="en-AU"/>
        </w:rPr>
        <w:t xml:space="preserve"> women, four </w:t>
      </w:r>
      <w:r w:rsidR="00F80750">
        <w:t>people with disabilities</w:t>
      </w:r>
      <w:r w:rsidR="00263810" w:rsidRPr="003809A0">
        <w:rPr>
          <w:lang w:val="en-AU"/>
        </w:rPr>
        <w:t xml:space="preserve">) </w:t>
      </w:r>
      <w:r w:rsidR="008D0C3E" w:rsidRPr="003809A0">
        <w:rPr>
          <w:lang w:val="en-AU"/>
        </w:rPr>
        <w:t xml:space="preserve">were </w:t>
      </w:r>
      <w:r w:rsidR="00263810" w:rsidRPr="003809A0">
        <w:rPr>
          <w:lang w:val="en-AU"/>
        </w:rPr>
        <w:t xml:space="preserve">studying in Australia. </w:t>
      </w:r>
    </w:p>
    <w:p w14:paraId="3C400FE7" w14:textId="4E02FBFD" w:rsidR="00AC4A71" w:rsidRDefault="005C4A00" w:rsidP="009E4163">
      <w:r>
        <w:rPr>
          <w:lang w:val="en-AU"/>
        </w:rPr>
        <w:t xml:space="preserve">By </w:t>
      </w:r>
      <w:r w:rsidR="00F953C3" w:rsidRPr="003809A0">
        <w:rPr>
          <w:lang w:val="en-AU"/>
        </w:rPr>
        <w:t>extend</w:t>
      </w:r>
      <w:r>
        <w:rPr>
          <w:lang w:val="en-AU"/>
        </w:rPr>
        <w:t>ing the UNDP</w:t>
      </w:r>
      <w:r w:rsidR="00F953C3" w:rsidRPr="003809A0">
        <w:rPr>
          <w:lang w:val="en-AU"/>
        </w:rPr>
        <w:t xml:space="preserve"> partnership </w:t>
      </w:r>
      <w:r>
        <w:rPr>
          <w:lang w:val="en-AU"/>
        </w:rPr>
        <w:t>in the reporting period</w:t>
      </w:r>
      <w:r w:rsidR="00592500" w:rsidRPr="003809A0">
        <w:rPr>
          <w:lang w:val="en-AU"/>
        </w:rPr>
        <w:t>, Australia</w:t>
      </w:r>
      <w:r w:rsidR="00F953C3" w:rsidRPr="003809A0">
        <w:rPr>
          <w:lang w:val="en-AU"/>
        </w:rPr>
        <w:t xml:space="preserve"> look</w:t>
      </w:r>
      <w:r>
        <w:rPr>
          <w:lang w:val="en-AU"/>
        </w:rPr>
        <w:t>ed</w:t>
      </w:r>
      <w:r w:rsidR="00F953C3" w:rsidRPr="003809A0">
        <w:rPr>
          <w:lang w:val="en-AU"/>
        </w:rPr>
        <w:t xml:space="preserve"> to strengthen </w:t>
      </w:r>
      <w:r w:rsidR="00282222" w:rsidRPr="003809A0">
        <w:rPr>
          <w:lang w:val="en-AU"/>
        </w:rPr>
        <w:t>social security and pathways for the urban poor and vulnerable</w:t>
      </w:r>
      <w:r w:rsidR="00B73388" w:rsidRPr="003809A0">
        <w:rPr>
          <w:lang w:val="en-AU"/>
        </w:rPr>
        <w:t xml:space="preserve"> </w:t>
      </w:r>
      <w:r w:rsidR="008D0C3E" w:rsidRPr="003809A0">
        <w:rPr>
          <w:lang w:val="en-AU"/>
        </w:rPr>
        <w:t xml:space="preserve">throughout </w:t>
      </w:r>
      <w:r w:rsidR="00B73388" w:rsidRPr="003809A0">
        <w:rPr>
          <w:lang w:val="en-AU"/>
        </w:rPr>
        <w:t xml:space="preserve">their </w:t>
      </w:r>
      <w:r w:rsidR="00CC6F35" w:rsidRPr="003809A0">
        <w:rPr>
          <w:lang w:val="en-AU"/>
        </w:rPr>
        <w:t>lives</w:t>
      </w:r>
      <w:r w:rsidR="003C009E">
        <w:rPr>
          <w:lang w:val="en-AU"/>
        </w:rPr>
        <w:t>,</w:t>
      </w:r>
      <w:r w:rsidR="00B73388" w:rsidRPr="003809A0">
        <w:rPr>
          <w:lang w:val="en-AU"/>
        </w:rPr>
        <w:t xml:space="preserve"> effectively tackle and prevent poverty and inequality and contribute to broader human development, </w:t>
      </w:r>
      <w:proofErr w:type="gramStart"/>
      <w:r w:rsidR="00B73388" w:rsidRPr="003809A0">
        <w:rPr>
          <w:lang w:val="en-AU"/>
        </w:rPr>
        <w:t>employment</w:t>
      </w:r>
      <w:proofErr w:type="gramEnd"/>
      <w:r w:rsidR="00B73388" w:rsidRPr="003809A0">
        <w:rPr>
          <w:lang w:val="en-AU"/>
        </w:rPr>
        <w:t xml:space="preserve"> and economic growth</w:t>
      </w:r>
      <w:r w:rsidR="00282222" w:rsidRPr="003809A0">
        <w:rPr>
          <w:lang w:val="en-AU"/>
        </w:rPr>
        <w:t>.</w:t>
      </w:r>
      <w:r w:rsidR="006552BC" w:rsidRPr="003809A0">
        <w:rPr>
          <w:rFonts w:ascii="Calibri" w:hAnsi="Calibri" w:cs="Calibri"/>
          <w:color w:val="auto"/>
        </w:rPr>
        <w:t xml:space="preserve"> </w:t>
      </w:r>
      <w:r w:rsidR="003C009E">
        <w:t>E</w:t>
      </w:r>
      <w:r w:rsidR="006273AE" w:rsidRPr="003809A0">
        <w:t>nhanc</w:t>
      </w:r>
      <w:r w:rsidR="003C009E">
        <w:t>ed</w:t>
      </w:r>
      <w:r w:rsidR="006273AE" w:rsidRPr="003809A0">
        <w:t xml:space="preserve"> safety nets </w:t>
      </w:r>
      <w:r w:rsidR="003C009E">
        <w:t>will give</w:t>
      </w:r>
      <w:r w:rsidR="003C009E" w:rsidRPr="003809A0">
        <w:t xml:space="preserve"> </w:t>
      </w:r>
      <w:r w:rsidR="00881E06" w:rsidRPr="003809A0">
        <w:t xml:space="preserve">households and individuals greater confidence to </w:t>
      </w:r>
      <w:r w:rsidR="003C0421" w:rsidRPr="003809A0">
        <w:t>invest in their human development and income-generating activities</w:t>
      </w:r>
      <w:r w:rsidR="00175AAF" w:rsidRPr="003809A0">
        <w:t>, increase consumption and to take on greater risk.</w:t>
      </w:r>
      <w:r w:rsidR="00A77A0A" w:rsidRPr="003809A0">
        <w:t xml:space="preserve"> The recent </w:t>
      </w:r>
      <w:r w:rsidR="00FC2BB1" w:rsidRPr="003809A0">
        <w:t>signing of a Trade and Investment Framework Arrangement between</w:t>
      </w:r>
      <w:r w:rsidR="007D7BF4" w:rsidRPr="003809A0">
        <w:t xml:space="preserve"> Bangladesh and Australia will also </w:t>
      </w:r>
      <w:r w:rsidR="00B44D70" w:rsidRPr="003809A0">
        <w:t xml:space="preserve">help drive increased trade and investment between the two countries, with economic </w:t>
      </w:r>
      <w:r w:rsidR="008B234E" w:rsidRPr="003809A0">
        <w:t>and job creation benefits for Bangladesh.</w:t>
      </w:r>
    </w:p>
    <w:p w14:paraId="29B9FAD1" w14:textId="51F72ED6" w:rsidR="00010006" w:rsidRDefault="00121DDD" w:rsidP="005265F6">
      <w:pPr>
        <w:pStyle w:val="Heading2"/>
      </w:pPr>
      <w:r>
        <w:lastRenderedPageBreak/>
        <w:t>Annex 1</w:t>
      </w:r>
      <w:r w:rsidR="001F7F4D" w:rsidRPr="002945C4">
        <w:t xml:space="preserve">: </w:t>
      </w:r>
      <w:bookmarkStart w:id="2" w:name="_Hlk83616378"/>
      <w:r w:rsidR="00540A22">
        <w:t xml:space="preserve">Progress against </w:t>
      </w:r>
      <w:r w:rsidR="008A1503">
        <w:t xml:space="preserve">COVID-19 Response plan </w:t>
      </w:r>
      <w:r w:rsidR="00E1666D">
        <w:t>results indicators</w:t>
      </w:r>
    </w:p>
    <w:bookmarkEnd w:id="2"/>
    <w:p w14:paraId="53E0B1CB" w14:textId="04F39CA5" w:rsidR="00AE2B7B" w:rsidRDefault="00AE2B7B" w:rsidP="005265F6">
      <w:pPr>
        <w:pStyle w:val="Heading3"/>
      </w:pPr>
      <w:r w:rsidRPr="00AE2B7B">
        <w:t>Health Security</w:t>
      </w:r>
    </w:p>
    <w:tbl>
      <w:tblPr>
        <w:tblStyle w:val="TableGrid"/>
        <w:tblW w:w="0" w:type="auto"/>
        <w:tblBorders>
          <w:top w:val="single" w:sz="4" w:space="0" w:color="65C5B4" w:themeColor="accent1"/>
          <w:left w:val="single" w:sz="4" w:space="0" w:color="65C5B4" w:themeColor="accent1"/>
          <w:bottom w:val="single" w:sz="4" w:space="0" w:color="65C5B4" w:themeColor="accent1"/>
          <w:right w:val="single" w:sz="4" w:space="0" w:color="65C5B4" w:themeColor="accent1"/>
          <w:insideH w:val="single" w:sz="4" w:space="0" w:color="65C5B4" w:themeColor="accent1"/>
          <w:insideV w:val="single" w:sz="4" w:space="0" w:color="65C5B4" w:themeColor="accent1"/>
        </w:tblBorders>
        <w:tblCellMar>
          <w:top w:w="85" w:type="dxa"/>
          <w:left w:w="57" w:type="dxa"/>
          <w:bottom w:w="57" w:type="dxa"/>
          <w:right w:w="57" w:type="dxa"/>
        </w:tblCellMar>
        <w:tblLook w:val="04A0" w:firstRow="1" w:lastRow="0" w:firstColumn="1" w:lastColumn="0" w:noHBand="0" w:noVBand="1"/>
        <w:tblCaption w:val="Progress against performance indicators"/>
        <w:tblDescription w:val="This table shows the progress made against key indicators for health security"/>
      </w:tblPr>
      <w:tblGrid>
        <w:gridCol w:w="4390"/>
        <w:gridCol w:w="6146"/>
      </w:tblGrid>
      <w:tr w:rsidR="005265F6" w14:paraId="1B93CBEC" w14:textId="77777777" w:rsidTr="007910A4">
        <w:trPr>
          <w:tblHeader/>
        </w:trPr>
        <w:tc>
          <w:tcPr>
            <w:tcW w:w="4390" w:type="dxa"/>
            <w:shd w:val="clear" w:color="auto" w:fill="A2DCD1" w:themeFill="accent1" w:themeFillTint="99"/>
          </w:tcPr>
          <w:p w14:paraId="5FA06755" w14:textId="77777777" w:rsidR="005265F6" w:rsidRPr="005736BB" w:rsidRDefault="005265F6" w:rsidP="007910A4">
            <w:pPr>
              <w:spacing w:before="0" w:after="0" w:line="240" w:lineRule="auto"/>
              <w:jc w:val="center"/>
              <w:rPr>
                <w:b/>
                <w:sz w:val="20"/>
                <w:szCs w:val="20"/>
              </w:rPr>
            </w:pPr>
            <w:r w:rsidRPr="005736BB">
              <w:rPr>
                <w:b/>
                <w:sz w:val="20"/>
                <w:szCs w:val="20"/>
              </w:rPr>
              <w:t>Key Results Indicators</w:t>
            </w:r>
          </w:p>
        </w:tc>
        <w:tc>
          <w:tcPr>
            <w:tcW w:w="6146" w:type="dxa"/>
            <w:shd w:val="clear" w:color="auto" w:fill="A2DCD1" w:themeFill="accent1" w:themeFillTint="99"/>
          </w:tcPr>
          <w:p w14:paraId="27A90E3C" w14:textId="77777777" w:rsidR="005265F6" w:rsidRPr="005736BB" w:rsidRDefault="005265F6" w:rsidP="007910A4">
            <w:pPr>
              <w:spacing w:before="0" w:after="0" w:line="240" w:lineRule="auto"/>
              <w:ind w:left="100"/>
              <w:jc w:val="center"/>
              <w:rPr>
                <w:sz w:val="20"/>
                <w:szCs w:val="20"/>
              </w:rPr>
            </w:pPr>
            <w:r w:rsidRPr="005736BB">
              <w:rPr>
                <w:b/>
                <w:sz w:val="20"/>
                <w:szCs w:val="20"/>
              </w:rPr>
              <w:t>Progress/Result</w:t>
            </w:r>
          </w:p>
        </w:tc>
      </w:tr>
      <w:tr w:rsidR="005265F6" w:rsidRPr="00200B09" w14:paraId="3E5A0161" w14:textId="77777777" w:rsidTr="007910A4">
        <w:trPr>
          <w:tblHeader/>
        </w:trPr>
        <w:tc>
          <w:tcPr>
            <w:tcW w:w="4390" w:type="dxa"/>
          </w:tcPr>
          <w:p w14:paraId="1002D216" w14:textId="015E78C6" w:rsidR="005265F6" w:rsidRPr="00200B09" w:rsidRDefault="005265F6" w:rsidP="00510CB7">
            <w:pPr>
              <w:spacing w:before="0" w:after="0" w:line="240" w:lineRule="auto"/>
              <w:rPr>
                <w:rFonts w:cstheme="minorHAnsi"/>
                <w:bCs/>
                <w:sz w:val="20"/>
                <w:szCs w:val="20"/>
              </w:rPr>
            </w:pPr>
            <w:r w:rsidRPr="00200B09">
              <w:rPr>
                <w:rFonts w:cstheme="minorHAnsi"/>
                <w:bCs/>
                <w:sz w:val="20"/>
                <w:szCs w:val="20"/>
              </w:rPr>
              <w:t xml:space="preserve">327,500 women, men, </w:t>
            </w:r>
            <w:proofErr w:type="gramStart"/>
            <w:r w:rsidRPr="00200B09">
              <w:rPr>
                <w:rFonts w:cstheme="minorHAnsi"/>
                <w:bCs/>
                <w:sz w:val="20"/>
                <w:szCs w:val="20"/>
              </w:rPr>
              <w:t>girls</w:t>
            </w:r>
            <w:proofErr w:type="gramEnd"/>
            <w:r w:rsidRPr="00200B09">
              <w:rPr>
                <w:rFonts w:cstheme="minorHAnsi"/>
                <w:bCs/>
                <w:sz w:val="20"/>
                <w:szCs w:val="20"/>
              </w:rPr>
              <w:t xml:space="preserve"> and boys provided with emergency assistance</w:t>
            </w:r>
            <w:r w:rsidR="00F16A3A" w:rsidRPr="00200B09">
              <w:rPr>
                <w:rFonts w:cstheme="minorHAnsi"/>
                <w:bCs/>
                <w:sz w:val="20"/>
                <w:szCs w:val="20"/>
              </w:rPr>
              <w:t>*</w:t>
            </w:r>
            <w:r w:rsidRPr="00200B09">
              <w:rPr>
                <w:rFonts w:cstheme="minorHAnsi"/>
                <w:bCs/>
                <w:sz w:val="20"/>
                <w:szCs w:val="20"/>
              </w:rPr>
              <w:t xml:space="preserve"> (</w:t>
            </w:r>
            <w:r w:rsidRPr="00200B09">
              <w:rPr>
                <w:rFonts w:cstheme="minorHAnsi"/>
                <w:bCs/>
                <w:i/>
                <w:iCs/>
                <w:sz w:val="20"/>
                <w:szCs w:val="20"/>
              </w:rPr>
              <w:t>excluding Cox’s Bazar District, which is reported below</w:t>
            </w:r>
            <w:r w:rsidRPr="00200B09">
              <w:rPr>
                <w:rFonts w:cstheme="minorHAnsi"/>
                <w:bCs/>
                <w:sz w:val="20"/>
                <w:szCs w:val="20"/>
              </w:rPr>
              <w:t>)</w:t>
            </w:r>
          </w:p>
          <w:p w14:paraId="5742560E" w14:textId="77777777" w:rsidR="005265F6" w:rsidRPr="00200B09" w:rsidRDefault="005265F6" w:rsidP="007910A4">
            <w:pPr>
              <w:spacing w:before="0" w:after="0" w:line="240" w:lineRule="auto"/>
              <w:rPr>
                <w:sz w:val="20"/>
                <w:szCs w:val="20"/>
              </w:rPr>
            </w:pPr>
          </w:p>
        </w:tc>
        <w:tc>
          <w:tcPr>
            <w:tcW w:w="6146" w:type="dxa"/>
          </w:tcPr>
          <w:p w14:paraId="26EC3C8A" w14:textId="79E78B1E" w:rsidR="005265F6" w:rsidRPr="00200B09" w:rsidRDefault="00F16A3A" w:rsidP="007910A4">
            <w:pPr>
              <w:spacing w:before="0" w:after="0" w:line="240" w:lineRule="auto"/>
              <w:rPr>
                <w:rFonts w:cstheme="minorHAnsi"/>
                <w:bCs/>
                <w:sz w:val="20"/>
                <w:szCs w:val="20"/>
              </w:rPr>
            </w:pPr>
            <w:r w:rsidRPr="00200B09">
              <w:rPr>
                <w:rFonts w:cstheme="minorHAnsi"/>
                <w:bCs/>
                <w:sz w:val="20"/>
                <w:szCs w:val="20"/>
              </w:rPr>
              <w:t>E</w:t>
            </w:r>
            <w:r w:rsidR="005265F6" w:rsidRPr="00200B09">
              <w:rPr>
                <w:rFonts w:cstheme="minorHAnsi"/>
                <w:bCs/>
                <w:sz w:val="20"/>
                <w:szCs w:val="20"/>
              </w:rPr>
              <w:t>mergency assistance to 231,735 people</w:t>
            </w:r>
            <w:r w:rsidR="00D7362A" w:rsidRPr="00200B09">
              <w:rPr>
                <w:rFonts w:cstheme="minorHAnsi"/>
                <w:bCs/>
                <w:sz w:val="20"/>
                <w:szCs w:val="20"/>
              </w:rPr>
              <w:t xml:space="preserve"> **</w:t>
            </w:r>
            <w:r w:rsidR="005265F6" w:rsidRPr="00200B09">
              <w:rPr>
                <w:rFonts w:cstheme="minorHAnsi"/>
                <w:bCs/>
                <w:sz w:val="20"/>
                <w:szCs w:val="20"/>
              </w:rPr>
              <w:t xml:space="preserve">, including: </w:t>
            </w:r>
          </w:p>
          <w:p w14:paraId="35404579" w14:textId="3CEB4E4A" w:rsidR="00D9593F" w:rsidRPr="00200B09" w:rsidRDefault="005265F6" w:rsidP="00AC7B65">
            <w:pPr>
              <w:pStyle w:val="ListParagraph"/>
              <w:numPr>
                <w:ilvl w:val="0"/>
                <w:numId w:val="32"/>
              </w:numPr>
              <w:spacing w:before="0" w:after="0" w:line="240" w:lineRule="auto"/>
              <w:ind w:left="510" w:hanging="284"/>
              <w:rPr>
                <w:rFonts w:cstheme="minorHAnsi"/>
                <w:bCs/>
                <w:sz w:val="20"/>
                <w:szCs w:val="20"/>
              </w:rPr>
            </w:pPr>
            <w:r w:rsidRPr="00200B09">
              <w:rPr>
                <w:rFonts w:cstheme="minorHAnsi"/>
                <w:bCs/>
                <w:sz w:val="20"/>
                <w:szCs w:val="20"/>
              </w:rPr>
              <w:t xml:space="preserve">Food packages for 3,217 disadvantaged students (81 per cent girls, 11 per cent </w:t>
            </w:r>
            <w:r w:rsidR="00F80750" w:rsidRPr="00F80750">
              <w:rPr>
                <w:rFonts w:cstheme="minorHAnsi"/>
                <w:bCs/>
                <w:sz w:val="20"/>
                <w:szCs w:val="20"/>
              </w:rPr>
              <w:t>people with disabilities</w:t>
            </w:r>
            <w:proofErr w:type="gramStart"/>
            <w:r w:rsidRPr="00200B09">
              <w:rPr>
                <w:rFonts w:cstheme="minorHAnsi"/>
                <w:bCs/>
                <w:sz w:val="20"/>
                <w:szCs w:val="20"/>
              </w:rPr>
              <w:t>);</w:t>
            </w:r>
            <w:proofErr w:type="gramEnd"/>
          </w:p>
          <w:p w14:paraId="70030C63" w14:textId="79E3889E" w:rsidR="00D9593F" w:rsidRPr="00200B09" w:rsidRDefault="00F16A3A" w:rsidP="00AC7B65">
            <w:pPr>
              <w:pStyle w:val="ListParagraph"/>
              <w:numPr>
                <w:ilvl w:val="0"/>
                <w:numId w:val="32"/>
              </w:numPr>
              <w:spacing w:before="0" w:after="0" w:line="240" w:lineRule="auto"/>
              <w:ind w:left="510" w:hanging="284"/>
              <w:rPr>
                <w:rFonts w:cstheme="minorHAnsi"/>
                <w:bCs/>
                <w:sz w:val="20"/>
                <w:szCs w:val="20"/>
              </w:rPr>
            </w:pPr>
            <w:r w:rsidRPr="00200B09">
              <w:rPr>
                <w:rFonts w:cstheme="minorHAnsi"/>
                <w:bCs/>
                <w:sz w:val="20"/>
                <w:szCs w:val="20"/>
              </w:rPr>
              <w:t>Fo</w:t>
            </w:r>
            <w:r w:rsidR="005265F6" w:rsidRPr="00200B09">
              <w:rPr>
                <w:rFonts w:cstheme="minorHAnsi"/>
                <w:bCs/>
                <w:sz w:val="20"/>
                <w:szCs w:val="20"/>
              </w:rPr>
              <w:t>od assistance to 83,978 people in remote and hard to reach</w:t>
            </w:r>
            <w:r w:rsidR="00545014" w:rsidRPr="00200B09">
              <w:rPr>
                <w:rFonts w:cstheme="minorHAnsi"/>
                <w:bCs/>
                <w:sz w:val="20"/>
                <w:szCs w:val="20"/>
              </w:rPr>
              <w:t xml:space="preserve"> </w:t>
            </w:r>
            <w:r w:rsidR="005265F6" w:rsidRPr="00200B09">
              <w:rPr>
                <w:rFonts w:cstheme="minorHAnsi"/>
                <w:bCs/>
                <w:sz w:val="20"/>
                <w:szCs w:val="20"/>
              </w:rPr>
              <w:t>locations</w:t>
            </w:r>
            <w:r w:rsidR="00AE27B0">
              <w:rPr>
                <w:rFonts w:cstheme="minorHAnsi"/>
                <w:bCs/>
                <w:sz w:val="20"/>
                <w:szCs w:val="20"/>
              </w:rPr>
              <w:t xml:space="preserve"> (disaggregated data not yet available)</w:t>
            </w:r>
            <w:r w:rsidR="005265F6" w:rsidRPr="00200B09">
              <w:rPr>
                <w:rFonts w:cstheme="minorHAnsi"/>
                <w:bCs/>
                <w:sz w:val="20"/>
                <w:szCs w:val="20"/>
              </w:rPr>
              <w:t xml:space="preserve">; and </w:t>
            </w:r>
          </w:p>
          <w:p w14:paraId="0D8EE7A9" w14:textId="6EA74060" w:rsidR="005265F6" w:rsidRPr="00200B09" w:rsidRDefault="00F16A3A" w:rsidP="00AC7B65">
            <w:pPr>
              <w:pStyle w:val="ListParagraph"/>
              <w:numPr>
                <w:ilvl w:val="0"/>
                <w:numId w:val="32"/>
              </w:numPr>
              <w:spacing w:before="0" w:after="0" w:line="240" w:lineRule="auto"/>
              <w:ind w:left="510" w:hanging="284"/>
              <w:rPr>
                <w:color w:val="auto"/>
                <w:sz w:val="20"/>
                <w:szCs w:val="20"/>
              </w:rPr>
            </w:pPr>
            <w:r w:rsidRPr="00200B09">
              <w:rPr>
                <w:rFonts w:cstheme="minorHAnsi"/>
                <w:bCs/>
                <w:sz w:val="20"/>
                <w:szCs w:val="20"/>
              </w:rPr>
              <w:t>Additional f</w:t>
            </w:r>
            <w:r w:rsidR="005265F6" w:rsidRPr="00200B09">
              <w:rPr>
                <w:rFonts w:cstheme="minorHAnsi"/>
                <w:bCs/>
                <w:sz w:val="20"/>
                <w:szCs w:val="20"/>
              </w:rPr>
              <w:t>ood assistance for 144,540 vulnerable people (50 per cent</w:t>
            </w:r>
            <w:r w:rsidR="005265F6" w:rsidRPr="00200B09" w:rsidDel="00CC6F35">
              <w:rPr>
                <w:rFonts w:cstheme="minorHAnsi"/>
                <w:bCs/>
                <w:sz w:val="20"/>
                <w:szCs w:val="20"/>
              </w:rPr>
              <w:t xml:space="preserve"> </w:t>
            </w:r>
            <w:r w:rsidR="005265F6" w:rsidRPr="00200B09">
              <w:rPr>
                <w:rFonts w:cstheme="minorHAnsi"/>
                <w:bCs/>
                <w:sz w:val="20"/>
                <w:szCs w:val="20"/>
              </w:rPr>
              <w:t>women).</w:t>
            </w:r>
            <w:r w:rsidR="005265F6" w:rsidRPr="00200B09">
              <w:rPr>
                <w:color w:val="auto"/>
                <w:sz w:val="20"/>
                <w:szCs w:val="20"/>
              </w:rPr>
              <w:t xml:space="preserve"> </w:t>
            </w:r>
          </w:p>
        </w:tc>
      </w:tr>
      <w:tr w:rsidR="005265F6" w:rsidRPr="00200B09" w14:paraId="4C6706EE" w14:textId="77777777" w:rsidTr="007910A4">
        <w:trPr>
          <w:tblHeader/>
        </w:trPr>
        <w:tc>
          <w:tcPr>
            <w:tcW w:w="4390" w:type="dxa"/>
          </w:tcPr>
          <w:p w14:paraId="1DF3CEEA" w14:textId="77777777" w:rsidR="005265F6" w:rsidRPr="00200B09" w:rsidRDefault="005265F6" w:rsidP="00510CB7">
            <w:pPr>
              <w:spacing w:before="0" w:after="0" w:line="240" w:lineRule="auto"/>
              <w:rPr>
                <w:rFonts w:cstheme="minorHAnsi"/>
                <w:bCs/>
                <w:sz w:val="20"/>
                <w:szCs w:val="20"/>
              </w:rPr>
            </w:pPr>
            <w:r w:rsidRPr="00200B09">
              <w:rPr>
                <w:rFonts w:cstheme="minorHAnsi"/>
                <w:bCs/>
                <w:sz w:val="20"/>
                <w:szCs w:val="20"/>
              </w:rPr>
              <w:t xml:space="preserve">660,600 vulnerable Rohingya and host community women, men, </w:t>
            </w:r>
            <w:proofErr w:type="gramStart"/>
            <w:r w:rsidRPr="00200B09">
              <w:rPr>
                <w:rFonts w:cstheme="minorHAnsi"/>
                <w:bCs/>
                <w:sz w:val="20"/>
                <w:szCs w:val="20"/>
              </w:rPr>
              <w:t>girls</w:t>
            </w:r>
            <w:proofErr w:type="gramEnd"/>
            <w:r w:rsidRPr="00200B09">
              <w:rPr>
                <w:rFonts w:cstheme="minorHAnsi"/>
                <w:bCs/>
                <w:sz w:val="20"/>
                <w:szCs w:val="20"/>
              </w:rPr>
              <w:t xml:space="preserve"> and boys provided with life-saving assistance in crisis situations</w:t>
            </w:r>
          </w:p>
        </w:tc>
        <w:tc>
          <w:tcPr>
            <w:tcW w:w="6146" w:type="dxa"/>
          </w:tcPr>
          <w:p w14:paraId="2D55B755" w14:textId="0500CD6C" w:rsidR="005265F6" w:rsidRPr="00200B09" w:rsidRDefault="00D9593F" w:rsidP="007910A4">
            <w:pPr>
              <w:spacing w:before="0" w:after="0" w:line="240" w:lineRule="auto"/>
              <w:rPr>
                <w:sz w:val="20"/>
                <w:szCs w:val="20"/>
              </w:rPr>
            </w:pPr>
            <w:r w:rsidRPr="00200B09">
              <w:rPr>
                <w:sz w:val="20"/>
                <w:szCs w:val="20"/>
              </w:rPr>
              <w:t>S</w:t>
            </w:r>
            <w:r w:rsidR="005265F6" w:rsidRPr="00200B09">
              <w:rPr>
                <w:sz w:val="20"/>
                <w:szCs w:val="20"/>
              </w:rPr>
              <w:t>upported 691,653 instances of life-saving assistance to vulnerable Rohingya and host communities (58</w:t>
            </w:r>
            <w:r w:rsidR="005265F6" w:rsidRPr="00200B09">
              <w:rPr>
                <w:sz w:val="20"/>
                <w:szCs w:val="20"/>
                <w:lang w:val="en-AU"/>
              </w:rPr>
              <w:t xml:space="preserve"> per cent</w:t>
            </w:r>
            <w:r w:rsidR="005265F6" w:rsidRPr="00200B09" w:rsidDel="00CC6F35">
              <w:rPr>
                <w:sz w:val="20"/>
                <w:szCs w:val="20"/>
              </w:rPr>
              <w:t xml:space="preserve"> </w:t>
            </w:r>
            <w:r w:rsidR="005265F6" w:rsidRPr="00200B09">
              <w:rPr>
                <w:sz w:val="20"/>
                <w:szCs w:val="20"/>
              </w:rPr>
              <w:t>women, 22</w:t>
            </w:r>
            <w:r w:rsidR="005265F6" w:rsidRPr="00200B09">
              <w:rPr>
                <w:sz w:val="20"/>
                <w:szCs w:val="20"/>
                <w:lang w:val="en-AU"/>
              </w:rPr>
              <w:t xml:space="preserve"> per cent</w:t>
            </w:r>
            <w:r w:rsidR="005265F6" w:rsidRPr="00200B09">
              <w:rPr>
                <w:sz w:val="20"/>
                <w:szCs w:val="20"/>
              </w:rPr>
              <w:t xml:space="preserve"> children)</w:t>
            </w:r>
            <w:r w:rsidR="00F16A3A" w:rsidRPr="00200B09">
              <w:rPr>
                <w:sz w:val="20"/>
                <w:szCs w:val="20"/>
              </w:rPr>
              <w:t xml:space="preserve">. </w:t>
            </w:r>
          </w:p>
        </w:tc>
      </w:tr>
      <w:tr w:rsidR="005265F6" w:rsidRPr="00200B09" w14:paraId="39C336FF" w14:textId="77777777" w:rsidTr="007910A4">
        <w:trPr>
          <w:tblHeader/>
        </w:trPr>
        <w:tc>
          <w:tcPr>
            <w:tcW w:w="4390" w:type="dxa"/>
          </w:tcPr>
          <w:p w14:paraId="2781A424" w14:textId="77777777" w:rsidR="005265F6" w:rsidRPr="00200B09" w:rsidRDefault="005265F6" w:rsidP="00510CB7">
            <w:pPr>
              <w:spacing w:before="0" w:after="0" w:line="240" w:lineRule="auto"/>
              <w:rPr>
                <w:rFonts w:cstheme="minorHAnsi"/>
                <w:bCs/>
                <w:sz w:val="20"/>
                <w:szCs w:val="20"/>
              </w:rPr>
            </w:pPr>
            <w:r w:rsidRPr="00200B09">
              <w:rPr>
                <w:rFonts w:cstheme="minorHAnsi"/>
                <w:bCs/>
                <w:sz w:val="20"/>
                <w:szCs w:val="20"/>
              </w:rPr>
              <w:t>136,000 Rohingya and local Bangladeshis in Cox’s Bazar benefiting from improved water and hygiene activities</w:t>
            </w:r>
          </w:p>
        </w:tc>
        <w:tc>
          <w:tcPr>
            <w:tcW w:w="6146" w:type="dxa"/>
          </w:tcPr>
          <w:p w14:paraId="3382BE17" w14:textId="76DDC897" w:rsidR="005265F6" w:rsidRPr="00200B09" w:rsidRDefault="00D9593F" w:rsidP="00AC7B65">
            <w:pPr>
              <w:spacing w:before="0" w:after="0" w:line="240" w:lineRule="auto"/>
              <w:rPr>
                <w:sz w:val="20"/>
                <w:szCs w:val="20"/>
              </w:rPr>
            </w:pPr>
            <w:r w:rsidRPr="00200B09">
              <w:rPr>
                <w:sz w:val="20"/>
                <w:szCs w:val="20"/>
              </w:rPr>
              <w:t>S</w:t>
            </w:r>
            <w:r w:rsidR="005265F6" w:rsidRPr="00200B09">
              <w:rPr>
                <w:sz w:val="20"/>
                <w:szCs w:val="20"/>
              </w:rPr>
              <w:t>upport</w:t>
            </w:r>
            <w:r w:rsidRPr="00200B09">
              <w:rPr>
                <w:sz w:val="20"/>
                <w:szCs w:val="20"/>
              </w:rPr>
              <w:t>ed</w:t>
            </w:r>
            <w:r w:rsidR="005265F6" w:rsidRPr="00200B09">
              <w:rPr>
                <w:sz w:val="20"/>
                <w:szCs w:val="20"/>
              </w:rPr>
              <w:t xml:space="preserve"> 127,024 Rohingya and host community members </w:t>
            </w:r>
            <w:r w:rsidR="00F16A3A" w:rsidRPr="00200B09">
              <w:rPr>
                <w:sz w:val="20"/>
                <w:szCs w:val="20"/>
              </w:rPr>
              <w:t>with</w:t>
            </w:r>
            <w:r w:rsidR="005265F6" w:rsidRPr="00200B09">
              <w:rPr>
                <w:sz w:val="20"/>
                <w:szCs w:val="20"/>
              </w:rPr>
              <w:t xml:space="preserve"> improved water and hygiene activities. </w:t>
            </w:r>
            <w:r w:rsidR="00F16A3A" w:rsidRPr="00200B09">
              <w:rPr>
                <w:sz w:val="20"/>
                <w:szCs w:val="20"/>
              </w:rPr>
              <w:t>S</w:t>
            </w:r>
            <w:r w:rsidR="005265F6" w:rsidRPr="00200B09">
              <w:rPr>
                <w:sz w:val="20"/>
                <w:szCs w:val="20"/>
              </w:rPr>
              <w:t xml:space="preserve">hortfall on this target is due to restrictions </w:t>
            </w:r>
            <w:r w:rsidR="00F16A3A" w:rsidRPr="00200B09">
              <w:rPr>
                <w:sz w:val="20"/>
                <w:szCs w:val="20"/>
              </w:rPr>
              <w:t>caused by</w:t>
            </w:r>
            <w:r w:rsidR="005265F6" w:rsidRPr="00200B09">
              <w:rPr>
                <w:sz w:val="20"/>
                <w:szCs w:val="20"/>
              </w:rPr>
              <w:t xml:space="preserve"> COVID-19. </w:t>
            </w:r>
            <w:r w:rsidR="00F16A3A" w:rsidRPr="00200B09">
              <w:rPr>
                <w:sz w:val="20"/>
                <w:szCs w:val="20"/>
              </w:rPr>
              <w:t>(</w:t>
            </w:r>
            <w:r w:rsidR="005265F6" w:rsidRPr="00200B09">
              <w:rPr>
                <w:sz w:val="20"/>
                <w:szCs w:val="20"/>
              </w:rPr>
              <w:t>This result is separate to COVID-19 specific interactive health promotion activities, which reached over 118,443 people refugee and host community members.</w:t>
            </w:r>
            <w:r w:rsidR="006A32A4" w:rsidRPr="00200B09">
              <w:rPr>
                <w:sz w:val="20"/>
                <w:szCs w:val="20"/>
              </w:rPr>
              <w:t>)</w:t>
            </w:r>
            <w:r w:rsidR="00AE27B0">
              <w:rPr>
                <w:sz w:val="20"/>
                <w:szCs w:val="20"/>
              </w:rPr>
              <w:t xml:space="preserve"> Disaggregated data not yet available.</w:t>
            </w:r>
          </w:p>
        </w:tc>
      </w:tr>
    </w:tbl>
    <w:p w14:paraId="2151F13D" w14:textId="69185900" w:rsidR="005265F6" w:rsidRPr="00153DB9" w:rsidRDefault="005265F6" w:rsidP="00153DB9">
      <w:pPr>
        <w:pStyle w:val="Heading3"/>
      </w:pPr>
      <w:r w:rsidRPr="00153DB9">
        <w:t xml:space="preserve">Stability </w:t>
      </w:r>
    </w:p>
    <w:tbl>
      <w:tblPr>
        <w:tblStyle w:val="TableGrid"/>
        <w:tblW w:w="0" w:type="auto"/>
        <w:tblBorders>
          <w:top w:val="single" w:sz="4" w:space="0" w:color="65C5B4" w:themeColor="accent1"/>
          <w:left w:val="single" w:sz="4" w:space="0" w:color="65C5B4" w:themeColor="accent1"/>
          <w:bottom w:val="single" w:sz="4" w:space="0" w:color="65C5B4" w:themeColor="accent1"/>
          <w:right w:val="single" w:sz="4" w:space="0" w:color="65C5B4" w:themeColor="accent1"/>
          <w:insideH w:val="single" w:sz="4" w:space="0" w:color="65C5B4" w:themeColor="accent1"/>
          <w:insideV w:val="single" w:sz="4" w:space="0" w:color="65C5B4" w:themeColor="accent1"/>
        </w:tblBorders>
        <w:tblCellMar>
          <w:top w:w="85" w:type="dxa"/>
          <w:left w:w="57" w:type="dxa"/>
          <w:bottom w:w="57" w:type="dxa"/>
          <w:right w:w="57" w:type="dxa"/>
        </w:tblCellMar>
        <w:tblLook w:val="04A0" w:firstRow="1" w:lastRow="0" w:firstColumn="1" w:lastColumn="0" w:noHBand="0" w:noVBand="1"/>
        <w:tblCaption w:val="Progress against performance indicators"/>
        <w:tblDescription w:val="This table shows the progress made against key indicators for Stability "/>
      </w:tblPr>
      <w:tblGrid>
        <w:gridCol w:w="4390"/>
        <w:gridCol w:w="6146"/>
      </w:tblGrid>
      <w:tr w:rsidR="00CA5021" w:rsidRPr="00200B09" w14:paraId="14EF210E" w14:textId="77777777" w:rsidTr="007A4493">
        <w:trPr>
          <w:tblHeader/>
        </w:trPr>
        <w:tc>
          <w:tcPr>
            <w:tcW w:w="4390" w:type="dxa"/>
            <w:shd w:val="clear" w:color="auto" w:fill="A2DCD1" w:themeFill="accent1" w:themeFillTint="99"/>
            <w:vAlign w:val="bottom"/>
          </w:tcPr>
          <w:p w14:paraId="47014330" w14:textId="7A7E2C4C" w:rsidR="00CA5021" w:rsidRPr="00200B09" w:rsidRDefault="00A96364" w:rsidP="00CA5021">
            <w:pPr>
              <w:widowControl w:val="0"/>
              <w:spacing w:before="0" w:after="0" w:line="240" w:lineRule="auto"/>
              <w:jc w:val="center"/>
              <w:rPr>
                <w:sz w:val="20"/>
                <w:szCs w:val="20"/>
              </w:rPr>
            </w:pPr>
            <w:r w:rsidRPr="00200B09">
              <w:rPr>
                <w:b/>
                <w:sz w:val="20"/>
                <w:szCs w:val="20"/>
              </w:rPr>
              <w:t>Key Results</w:t>
            </w:r>
            <w:r w:rsidR="00CA5021" w:rsidRPr="00200B09">
              <w:rPr>
                <w:b/>
                <w:sz w:val="20"/>
                <w:szCs w:val="20"/>
              </w:rPr>
              <w:t xml:space="preserve"> Indicator</w:t>
            </w:r>
            <w:r w:rsidRPr="00200B09">
              <w:rPr>
                <w:b/>
                <w:sz w:val="20"/>
                <w:szCs w:val="20"/>
              </w:rPr>
              <w:t>s</w:t>
            </w:r>
          </w:p>
        </w:tc>
        <w:tc>
          <w:tcPr>
            <w:tcW w:w="6146" w:type="dxa"/>
            <w:shd w:val="clear" w:color="auto" w:fill="A2DCD1" w:themeFill="accent1" w:themeFillTint="99"/>
            <w:vAlign w:val="bottom"/>
          </w:tcPr>
          <w:p w14:paraId="167B5817" w14:textId="6DB7E03D" w:rsidR="00CA5021" w:rsidRPr="00200B09" w:rsidRDefault="00AD19F7" w:rsidP="00CA5021">
            <w:pPr>
              <w:widowControl w:val="0"/>
              <w:spacing w:before="0" w:after="0" w:line="240" w:lineRule="auto"/>
              <w:jc w:val="center"/>
              <w:rPr>
                <w:sz w:val="20"/>
                <w:szCs w:val="20"/>
              </w:rPr>
            </w:pPr>
            <w:r w:rsidRPr="00200B09">
              <w:rPr>
                <w:b/>
                <w:sz w:val="20"/>
                <w:szCs w:val="20"/>
              </w:rPr>
              <w:t>Progress/Result</w:t>
            </w:r>
          </w:p>
        </w:tc>
      </w:tr>
      <w:tr w:rsidR="00CA5021" w:rsidRPr="00200B09" w14:paraId="593A8551" w14:textId="77777777" w:rsidTr="007A4493">
        <w:trPr>
          <w:tblHeader/>
        </w:trPr>
        <w:tc>
          <w:tcPr>
            <w:tcW w:w="4390" w:type="dxa"/>
          </w:tcPr>
          <w:p w14:paraId="2AA59D1C" w14:textId="1FD65667" w:rsidR="00CA5021" w:rsidRPr="00200B09" w:rsidRDefault="00BF4CDD" w:rsidP="00510CB7">
            <w:pPr>
              <w:spacing w:before="60" w:line="240" w:lineRule="auto"/>
              <w:contextualSpacing/>
              <w:rPr>
                <w:rFonts w:cstheme="minorHAnsi"/>
                <w:bCs/>
                <w:sz w:val="20"/>
                <w:szCs w:val="20"/>
              </w:rPr>
            </w:pPr>
            <w:r w:rsidRPr="00200B09">
              <w:rPr>
                <w:rFonts w:cstheme="minorHAnsi"/>
                <w:bCs/>
                <w:sz w:val="20"/>
                <w:szCs w:val="20"/>
              </w:rPr>
              <w:t>Strengthened governance systems for social protection (including examples of assistance provided and significant policy change achieved)</w:t>
            </w:r>
          </w:p>
        </w:tc>
        <w:tc>
          <w:tcPr>
            <w:tcW w:w="6146" w:type="dxa"/>
          </w:tcPr>
          <w:p w14:paraId="0CC2AF6C" w14:textId="195A3549" w:rsidR="006A32A4" w:rsidRPr="00200B09" w:rsidRDefault="006A32A4" w:rsidP="00AC7B65">
            <w:pPr>
              <w:spacing w:before="0" w:after="0"/>
              <w:rPr>
                <w:sz w:val="20"/>
                <w:szCs w:val="20"/>
              </w:rPr>
            </w:pPr>
            <w:r w:rsidRPr="00200B09">
              <w:rPr>
                <w:sz w:val="20"/>
                <w:szCs w:val="20"/>
              </w:rPr>
              <w:t>Established n</w:t>
            </w:r>
            <w:r w:rsidR="00D03390" w:rsidRPr="00200B09">
              <w:rPr>
                <w:sz w:val="20"/>
                <w:szCs w:val="20"/>
              </w:rPr>
              <w:t xml:space="preserve">ew partnership with UNDP </w:t>
            </w:r>
            <w:r w:rsidRPr="00200B09">
              <w:rPr>
                <w:sz w:val="20"/>
                <w:szCs w:val="20"/>
              </w:rPr>
              <w:t>for</w:t>
            </w:r>
            <w:r w:rsidR="00D03390" w:rsidRPr="00200B09">
              <w:rPr>
                <w:sz w:val="20"/>
                <w:szCs w:val="20"/>
              </w:rPr>
              <w:t xml:space="preserve"> technical assistance to </w:t>
            </w:r>
            <w:r w:rsidR="0038120B" w:rsidRPr="00200B09">
              <w:rPr>
                <w:sz w:val="20"/>
                <w:szCs w:val="20"/>
              </w:rPr>
              <w:t>the Bangladesh Government</w:t>
            </w:r>
            <w:r w:rsidR="00D03390" w:rsidRPr="00200B09">
              <w:rPr>
                <w:sz w:val="20"/>
                <w:szCs w:val="20"/>
              </w:rPr>
              <w:t xml:space="preserve"> on social protection.</w:t>
            </w:r>
            <w:r w:rsidR="003A00AD" w:rsidRPr="00200B09">
              <w:rPr>
                <w:sz w:val="20"/>
                <w:szCs w:val="20"/>
              </w:rPr>
              <w:t xml:space="preserve"> </w:t>
            </w:r>
          </w:p>
          <w:p w14:paraId="2E8902BB" w14:textId="4E2C103D" w:rsidR="00553D26" w:rsidRPr="00200B09" w:rsidRDefault="006A32A4" w:rsidP="00AC7B65">
            <w:pPr>
              <w:spacing w:before="0" w:after="0"/>
              <w:rPr>
                <w:sz w:val="20"/>
                <w:szCs w:val="20"/>
              </w:rPr>
            </w:pPr>
            <w:r w:rsidRPr="00200B09">
              <w:rPr>
                <w:sz w:val="20"/>
                <w:szCs w:val="20"/>
              </w:rPr>
              <w:t>P</w:t>
            </w:r>
            <w:r w:rsidR="00D41306" w:rsidRPr="00200B09">
              <w:rPr>
                <w:sz w:val="20"/>
                <w:szCs w:val="20"/>
              </w:rPr>
              <w:t xml:space="preserve">artnered with </w:t>
            </w:r>
            <w:r w:rsidR="00A67F80" w:rsidRPr="00200B09">
              <w:rPr>
                <w:sz w:val="20"/>
                <w:szCs w:val="20"/>
              </w:rPr>
              <w:t xml:space="preserve">WFP </w:t>
            </w:r>
            <w:r w:rsidR="00721685" w:rsidRPr="00200B09">
              <w:rPr>
                <w:sz w:val="20"/>
                <w:szCs w:val="20"/>
              </w:rPr>
              <w:t xml:space="preserve">to </w:t>
            </w:r>
            <w:r w:rsidR="00A67F80" w:rsidRPr="00200B09">
              <w:rPr>
                <w:sz w:val="20"/>
                <w:szCs w:val="20"/>
              </w:rPr>
              <w:t>support the Ministry of Women and Children’s Affairs to expand</w:t>
            </w:r>
            <w:r w:rsidR="00D26153" w:rsidRPr="00200B09">
              <w:rPr>
                <w:sz w:val="20"/>
                <w:szCs w:val="20"/>
              </w:rPr>
              <w:t xml:space="preserve"> coverage of</w:t>
            </w:r>
            <w:r w:rsidR="00721685" w:rsidRPr="00200B09">
              <w:rPr>
                <w:sz w:val="20"/>
                <w:szCs w:val="20"/>
              </w:rPr>
              <w:t xml:space="preserve"> two of its flagship social safety net programs (MCBP and VWB) </w:t>
            </w:r>
            <w:r w:rsidR="00A67F80" w:rsidRPr="00200B09">
              <w:rPr>
                <w:sz w:val="20"/>
                <w:szCs w:val="20"/>
              </w:rPr>
              <w:t>by</w:t>
            </w:r>
            <w:r w:rsidR="00AC61E0" w:rsidRPr="00200B09">
              <w:rPr>
                <w:sz w:val="20"/>
                <w:szCs w:val="20"/>
              </w:rPr>
              <w:t xml:space="preserve"> </w:t>
            </w:r>
            <w:r w:rsidR="005314DD" w:rsidRPr="00200B09">
              <w:rPr>
                <w:sz w:val="20"/>
                <w:szCs w:val="20"/>
              </w:rPr>
              <w:t>500,000</w:t>
            </w:r>
            <w:r w:rsidR="00A67F80" w:rsidRPr="00200B09">
              <w:rPr>
                <w:sz w:val="20"/>
                <w:szCs w:val="20"/>
              </w:rPr>
              <w:t xml:space="preserve"> families</w:t>
            </w:r>
            <w:r w:rsidR="00721685" w:rsidRPr="00200B09">
              <w:rPr>
                <w:sz w:val="20"/>
                <w:szCs w:val="20"/>
              </w:rPr>
              <w:t xml:space="preserve"> in urban areas</w:t>
            </w:r>
            <w:r w:rsidR="00A67F80" w:rsidRPr="00200B09">
              <w:rPr>
                <w:sz w:val="20"/>
                <w:szCs w:val="20"/>
              </w:rPr>
              <w:t xml:space="preserve">. </w:t>
            </w:r>
          </w:p>
        </w:tc>
      </w:tr>
      <w:tr w:rsidR="00CA5021" w:rsidRPr="00200B09" w14:paraId="0556A95D" w14:textId="77777777" w:rsidTr="007A4493">
        <w:trPr>
          <w:tblHeader/>
        </w:trPr>
        <w:tc>
          <w:tcPr>
            <w:tcW w:w="4390" w:type="dxa"/>
          </w:tcPr>
          <w:p w14:paraId="62F5276A" w14:textId="7F1555FF" w:rsidR="00CA5021" w:rsidRPr="00200B09" w:rsidRDefault="00BF4CDD" w:rsidP="00510CB7">
            <w:pPr>
              <w:spacing w:before="60" w:line="240" w:lineRule="auto"/>
              <w:contextualSpacing/>
              <w:rPr>
                <w:rFonts w:cstheme="minorHAnsi"/>
                <w:bCs/>
                <w:sz w:val="20"/>
                <w:szCs w:val="20"/>
              </w:rPr>
            </w:pPr>
            <w:r w:rsidRPr="00200B09">
              <w:rPr>
                <w:rFonts w:cstheme="minorHAnsi"/>
                <w:bCs/>
                <w:sz w:val="20"/>
                <w:szCs w:val="20"/>
              </w:rPr>
              <w:t>Bangladesh is supported with technical advice on building capacity for food security (including examples of assistance provided and results achieved)</w:t>
            </w:r>
          </w:p>
        </w:tc>
        <w:tc>
          <w:tcPr>
            <w:tcW w:w="6146" w:type="dxa"/>
          </w:tcPr>
          <w:p w14:paraId="71F5FF79" w14:textId="36762D95" w:rsidR="00B21ED3" w:rsidRPr="00200B09" w:rsidRDefault="005314DD" w:rsidP="00AC7B65">
            <w:pPr>
              <w:spacing w:before="0" w:after="0"/>
              <w:rPr>
                <w:sz w:val="20"/>
                <w:szCs w:val="20"/>
              </w:rPr>
            </w:pPr>
            <w:r w:rsidRPr="00200B09">
              <w:rPr>
                <w:sz w:val="20"/>
                <w:szCs w:val="20"/>
              </w:rPr>
              <w:t>The Australian Centre for Agricultural Research (ACIAR)</w:t>
            </w:r>
            <w:r w:rsidR="00693C04" w:rsidRPr="00200B09">
              <w:rPr>
                <w:sz w:val="20"/>
                <w:szCs w:val="20"/>
              </w:rPr>
              <w:t xml:space="preserve"> continued to run </w:t>
            </w:r>
            <w:r w:rsidR="006A32A4" w:rsidRPr="00200B09">
              <w:rPr>
                <w:sz w:val="20"/>
                <w:szCs w:val="20"/>
              </w:rPr>
              <w:t xml:space="preserve">a successful </w:t>
            </w:r>
            <w:r w:rsidR="00693C04" w:rsidRPr="00200B09">
              <w:rPr>
                <w:sz w:val="20"/>
                <w:szCs w:val="20"/>
              </w:rPr>
              <w:t>research program in Bangladesh</w:t>
            </w:r>
            <w:r w:rsidR="006A32A4" w:rsidRPr="00200B09">
              <w:rPr>
                <w:sz w:val="20"/>
                <w:szCs w:val="20"/>
              </w:rPr>
              <w:t>. A key ACIAR</w:t>
            </w:r>
            <w:r w:rsidR="00693C04" w:rsidRPr="00200B09">
              <w:rPr>
                <w:sz w:val="20"/>
                <w:szCs w:val="20"/>
              </w:rPr>
              <w:t xml:space="preserve"> project modell</w:t>
            </w:r>
            <w:r w:rsidR="006A32A4" w:rsidRPr="00200B09">
              <w:rPr>
                <w:sz w:val="20"/>
                <w:szCs w:val="20"/>
              </w:rPr>
              <w:t>ed</w:t>
            </w:r>
            <w:r w:rsidR="00693C04" w:rsidRPr="00200B09">
              <w:rPr>
                <w:sz w:val="20"/>
                <w:szCs w:val="20"/>
              </w:rPr>
              <w:t xml:space="preserve"> mitigation and adaptation of agricultural practices</w:t>
            </w:r>
            <w:r w:rsidR="00AB66D5" w:rsidRPr="00200B09">
              <w:rPr>
                <w:sz w:val="20"/>
                <w:szCs w:val="20"/>
              </w:rPr>
              <w:t xml:space="preserve"> in response to climate-related changes, </w:t>
            </w:r>
            <w:r w:rsidR="006A32A4" w:rsidRPr="00200B09">
              <w:rPr>
                <w:sz w:val="20"/>
                <w:szCs w:val="20"/>
              </w:rPr>
              <w:t xml:space="preserve">with </w:t>
            </w:r>
            <w:r w:rsidR="00AB66D5" w:rsidRPr="00200B09">
              <w:rPr>
                <w:sz w:val="20"/>
                <w:szCs w:val="20"/>
              </w:rPr>
              <w:t>other projects focus</w:t>
            </w:r>
            <w:r w:rsidR="006A32A4" w:rsidRPr="00200B09">
              <w:rPr>
                <w:sz w:val="20"/>
                <w:szCs w:val="20"/>
              </w:rPr>
              <w:t>ed</w:t>
            </w:r>
            <w:r w:rsidR="00AB66D5" w:rsidRPr="00200B09">
              <w:rPr>
                <w:sz w:val="20"/>
                <w:szCs w:val="20"/>
              </w:rPr>
              <w:t xml:space="preserve"> on </w:t>
            </w:r>
            <w:proofErr w:type="spellStart"/>
            <w:r w:rsidR="00AB66D5" w:rsidRPr="00200B09">
              <w:rPr>
                <w:sz w:val="20"/>
                <w:szCs w:val="20"/>
              </w:rPr>
              <w:t>mungbean</w:t>
            </w:r>
            <w:proofErr w:type="spellEnd"/>
            <w:r w:rsidR="00AB66D5" w:rsidRPr="00200B09">
              <w:rPr>
                <w:sz w:val="20"/>
                <w:szCs w:val="20"/>
              </w:rPr>
              <w:t xml:space="preserve"> improvement and sharing of successful regional approaches to rural transformation.</w:t>
            </w:r>
          </w:p>
        </w:tc>
      </w:tr>
      <w:tr w:rsidR="00CA5021" w:rsidRPr="00200B09" w14:paraId="5DF0BAD4" w14:textId="77777777" w:rsidTr="007A4493">
        <w:trPr>
          <w:tblHeader/>
        </w:trPr>
        <w:tc>
          <w:tcPr>
            <w:tcW w:w="4390" w:type="dxa"/>
          </w:tcPr>
          <w:p w14:paraId="476782F7" w14:textId="35DE149B" w:rsidR="00CA5021" w:rsidRPr="00200B09" w:rsidRDefault="00BF4CDD" w:rsidP="00510CB7">
            <w:pPr>
              <w:spacing w:before="60" w:line="240" w:lineRule="auto"/>
              <w:contextualSpacing/>
              <w:rPr>
                <w:rFonts w:cstheme="minorHAnsi"/>
                <w:bCs/>
                <w:sz w:val="20"/>
                <w:szCs w:val="20"/>
              </w:rPr>
            </w:pPr>
            <w:r w:rsidRPr="00200B09">
              <w:rPr>
                <w:rFonts w:cstheme="minorHAnsi"/>
                <w:bCs/>
                <w:sz w:val="20"/>
                <w:szCs w:val="20"/>
              </w:rPr>
              <w:t>340,000 additional girls and boys enrolled in school</w:t>
            </w:r>
            <w:r w:rsidR="0032585E" w:rsidRPr="00200B09">
              <w:rPr>
                <w:rFonts w:cstheme="minorHAnsi"/>
                <w:bCs/>
                <w:sz w:val="20"/>
                <w:szCs w:val="20"/>
              </w:rPr>
              <w:t>*</w:t>
            </w:r>
          </w:p>
        </w:tc>
        <w:tc>
          <w:tcPr>
            <w:tcW w:w="6146" w:type="dxa"/>
          </w:tcPr>
          <w:p w14:paraId="69182282" w14:textId="003A9C4E" w:rsidR="00553D26" w:rsidRPr="00200B09" w:rsidRDefault="00D7362A" w:rsidP="00AC7B65">
            <w:pPr>
              <w:spacing w:before="0" w:after="0"/>
              <w:rPr>
                <w:rFonts w:cstheme="minorHAnsi"/>
                <w:color w:val="FF0000"/>
                <w:sz w:val="20"/>
                <w:szCs w:val="20"/>
              </w:rPr>
            </w:pPr>
            <w:r w:rsidRPr="00200B09">
              <w:rPr>
                <w:sz w:val="20"/>
                <w:szCs w:val="20"/>
              </w:rPr>
              <w:t>S</w:t>
            </w:r>
            <w:r w:rsidR="00384935" w:rsidRPr="00200B09">
              <w:rPr>
                <w:sz w:val="20"/>
                <w:szCs w:val="20"/>
              </w:rPr>
              <w:t>upport</w:t>
            </w:r>
            <w:r w:rsidR="00D617D3" w:rsidRPr="00200B09">
              <w:rPr>
                <w:sz w:val="20"/>
                <w:szCs w:val="20"/>
              </w:rPr>
              <w:t xml:space="preserve">ed </w:t>
            </w:r>
            <w:r w:rsidR="006F3F01" w:rsidRPr="00200B09">
              <w:rPr>
                <w:sz w:val="20"/>
                <w:szCs w:val="20"/>
              </w:rPr>
              <w:t xml:space="preserve">118,840 additional </w:t>
            </w:r>
            <w:r w:rsidR="00982D73" w:rsidRPr="00200B09">
              <w:rPr>
                <w:sz w:val="20"/>
                <w:szCs w:val="20"/>
              </w:rPr>
              <w:t xml:space="preserve">school enrolments, with </w:t>
            </w:r>
            <w:r w:rsidR="006F3F01" w:rsidRPr="00200B09">
              <w:rPr>
                <w:sz w:val="20"/>
                <w:szCs w:val="20"/>
              </w:rPr>
              <w:t>109,868</w:t>
            </w:r>
            <w:r w:rsidR="00C04D61" w:rsidRPr="00200B09">
              <w:rPr>
                <w:sz w:val="20"/>
                <w:szCs w:val="20"/>
              </w:rPr>
              <w:t xml:space="preserve"> children </w:t>
            </w:r>
            <w:r w:rsidR="005D7A43" w:rsidRPr="00200B09">
              <w:rPr>
                <w:sz w:val="20"/>
                <w:szCs w:val="20"/>
              </w:rPr>
              <w:t>(</w:t>
            </w:r>
            <w:r w:rsidR="00351E02" w:rsidRPr="00200B09">
              <w:rPr>
                <w:sz w:val="20"/>
                <w:szCs w:val="20"/>
              </w:rPr>
              <w:t>55</w:t>
            </w:r>
            <w:r w:rsidR="00CC6F35" w:rsidRPr="00200B09">
              <w:rPr>
                <w:sz w:val="20"/>
                <w:szCs w:val="20"/>
                <w:lang w:val="en-AU"/>
              </w:rPr>
              <w:t xml:space="preserve"> per cent</w:t>
            </w:r>
            <w:r w:rsidR="005D7A43" w:rsidRPr="00200B09">
              <w:rPr>
                <w:sz w:val="20"/>
                <w:szCs w:val="20"/>
              </w:rPr>
              <w:t xml:space="preserve"> girls</w:t>
            </w:r>
            <w:r w:rsidR="00351E02" w:rsidRPr="00200B09">
              <w:rPr>
                <w:sz w:val="20"/>
                <w:szCs w:val="20"/>
              </w:rPr>
              <w:t xml:space="preserve"> and </w:t>
            </w:r>
            <w:r w:rsidR="00CC6F35" w:rsidRPr="00200B09">
              <w:rPr>
                <w:sz w:val="20"/>
                <w:szCs w:val="20"/>
              </w:rPr>
              <w:t>two per cent</w:t>
            </w:r>
            <w:r w:rsidR="00CC6F35" w:rsidRPr="00200B09" w:rsidDel="00CC6F35">
              <w:rPr>
                <w:sz w:val="20"/>
                <w:szCs w:val="20"/>
              </w:rPr>
              <w:t xml:space="preserve"> </w:t>
            </w:r>
            <w:r w:rsidR="00983DE2">
              <w:rPr>
                <w:sz w:val="20"/>
                <w:szCs w:val="20"/>
              </w:rPr>
              <w:t>people with disabilities</w:t>
            </w:r>
            <w:r w:rsidR="005D7A43" w:rsidRPr="00200B09">
              <w:rPr>
                <w:sz w:val="20"/>
                <w:szCs w:val="20"/>
              </w:rPr>
              <w:t xml:space="preserve">) </w:t>
            </w:r>
            <w:r w:rsidR="00C04D61" w:rsidRPr="00200B09">
              <w:rPr>
                <w:sz w:val="20"/>
                <w:szCs w:val="20"/>
              </w:rPr>
              <w:t>enrolled in BRAC schools</w:t>
            </w:r>
            <w:r w:rsidR="006F3F01" w:rsidRPr="00200B09">
              <w:rPr>
                <w:sz w:val="20"/>
                <w:szCs w:val="20"/>
              </w:rPr>
              <w:t xml:space="preserve"> </w:t>
            </w:r>
            <w:r w:rsidR="00C04D61" w:rsidRPr="00200B09">
              <w:rPr>
                <w:sz w:val="20"/>
                <w:szCs w:val="20"/>
              </w:rPr>
              <w:t xml:space="preserve">and </w:t>
            </w:r>
            <w:r w:rsidR="00347ADD" w:rsidRPr="00200B09">
              <w:rPr>
                <w:sz w:val="20"/>
                <w:szCs w:val="20"/>
              </w:rPr>
              <w:t>8,972</w:t>
            </w:r>
            <w:r w:rsidR="005D7A43" w:rsidRPr="00200B09">
              <w:rPr>
                <w:sz w:val="20"/>
                <w:szCs w:val="20"/>
              </w:rPr>
              <w:t xml:space="preserve"> (</w:t>
            </w:r>
            <w:r w:rsidR="00347ADD" w:rsidRPr="00200B09">
              <w:rPr>
                <w:sz w:val="20"/>
                <w:szCs w:val="20"/>
              </w:rPr>
              <w:t>50</w:t>
            </w:r>
            <w:r w:rsidR="00CC6F35" w:rsidRPr="00200B09">
              <w:rPr>
                <w:sz w:val="20"/>
                <w:szCs w:val="20"/>
                <w:lang w:val="en-AU"/>
              </w:rPr>
              <w:t xml:space="preserve"> per cent</w:t>
            </w:r>
            <w:r w:rsidR="005D7A43" w:rsidRPr="00200B09">
              <w:rPr>
                <w:sz w:val="20"/>
                <w:szCs w:val="20"/>
              </w:rPr>
              <w:t xml:space="preserve"> girls</w:t>
            </w:r>
            <w:r w:rsidR="007B5C54" w:rsidRPr="00200B09">
              <w:rPr>
                <w:sz w:val="20"/>
                <w:szCs w:val="20"/>
              </w:rPr>
              <w:t xml:space="preserve">, </w:t>
            </w:r>
            <w:r w:rsidR="00CC6F35" w:rsidRPr="00200B09">
              <w:rPr>
                <w:sz w:val="20"/>
                <w:szCs w:val="20"/>
              </w:rPr>
              <w:t xml:space="preserve">five </w:t>
            </w:r>
            <w:r w:rsidR="00CC6F35" w:rsidRPr="00200B09">
              <w:rPr>
                <w:sz w:val="20"/>
                <w:szCs w:val="20"/>
                <w:lang w:val="en-AU"/>
              </w:rPr>
              <w:t>per cent</w:t>
            </w:r>
            <w:r w:rsidR="00983DE2">
              <w:rPr>
                <w:sz w:val="20"/>
                <w:szCs w:val="20"/>
              </w:rPr>
              <w:t xml:space="preserve"> people with disabilities</w:t>
            </w:r>
            <w:r w:rsidR="005D7A43" w:rsidRPr="00200B09">
              <w:rPr>
                <w:sz w:val="20"/>
                <w:szCs w:val="20"/>
              </w:rPr>
              <w:t>) in UCEP schools</w:t>
            </w:r>
            <w:r w:rsidR="004D119D" w:rsidRPr="00200B09">
              <w:rPr>
                <w:sz w:val="20"/>
                <w:szCs w:val="20"/>
              </w:rPr>
              <w:t>.</w:t>
            </w:r>
            <w:r w:rsidR="005D7A43" w:rsidRPr="00200B09">
              <w:rPr>
                <w:rFonts w:cstheme="minorHAnsi"/>
                <w:sz w:val="20"/>
                <w:szCs w:val="20"/>
              </w:rPr>
              <w:t xml:space="preserve"> </w:t>
            </w:r>
            <w:r w:rsidR="00713A5A" w:rsidRPr="00200B09">
              <w:rPr>
                <w:rFonts w:cstheme="minorHAnsi"/>
                <w:sz w:val="20"/>
                <w:szCs w:val="20"/>
              </w:rPr>
              <w:t>Increas</w:t>
            </w:r>
            <w:r w:rsidR="006A32A4" w:rsidRPr="00200B09">
              <w:rPr>
                <w:rFonts w:cstheme="minorHAnsi"/>
                <w:sz w:val="20"/>
                <w:szCs w:val="20"/>
              </w:rPr>
              <w:t>ed</w:t>
            </w:r>
            <w:r w:rsidR="00713A5A" w:rsidRPr="00200B09">
              <w:rPr>
                <w:rFonts w:cstheme="minorHAnsi"/>
                <w:sz w:val="20"/>
                <w:szCs w:val="20"/>
              </w:rPr>
              <w:t xml:space="preserve"> enrolment has been difficult in light of long-term school closures </w:t>
            </w:r>
            <w:r w:rsidR="006A32A4" w:rsidRPr="00200B09">
              <w:rPr>
                <w:rFonts w:cstheme="minorHAnsi"/>
                <w:sz w:val="20"/>
                <w:szCs w:val="20"/>
              </w:rPr>
              <w:t xml:space="preserve">caused by </w:t>
            </w:r>
            <w:r w:rsidR="00254296" w:rsidRPr="00200B09">
              <w:rPr>
                <w:rFonts w:cstheme="minorHAnsi"/>
                <w:sz w:val="20"/>
                <w:szCs w:val="20"/>
              </w:rPr>
              <w:t>C</w:t>
            </w:r>
            <w:r w:rsidR="006273AE" w:rsidRPr="00200B09">
              <w:rPr>
                <w:rFonts w:cstheme="minorHAnsi"/>
                <w:sz w:val="20"/>
                <w:szCs w:val="20"/>
              </w:rPr>
              <w:t>OVID</w:t>
            </w:r>
            <w:r w:rsidR="00254296" w:rsidRPr="00200B09">
              <w:rPr>
                <w:rFonts w:cstheme="minorHAnsi"/>
                <w:sz w:val="20"/>
                <w:szCs w:val="20"/>
              </w:rPr>
              <w:t>-</w:t>
            </w:r>
            <w:proofErr w:type="gramStart"/>
            <w:r w:rsidR="00254296" w:rsidRPr="00200B09">
              <w:rPr>
                <w:rFonts w:cstheme="minorHAnsi"/>
                <w:sz w:val="20"/>
                <w:szCs w:val="20"/>
              </w:rPr>
              <w:t>19.</w:t>
            </w:r>
            <w:r w:rsidR="00AC2930" w:rsidRPr="00200B09">
              <w:rPr>
                <w:rFonts w:cstheme="minorHAnsi"/>
                <w:sz w:val="20"/>
                <w:szCs w:val="20"/>
              </w:rPr>
              <w:t>*</w:t>
            </w:r>
            <w:proofErr w:type="gramEnd"/>
            <w:r w:rsidR="00AC2930" w:rsidRPr="00200B09">
              <w:rPr>
                <w:rFonts w:cstheme="minorHAnsi"/>
                <w:sz w:val="20"/>
                <w:szCs w:val="20"/>
              </w:rPr>
              <w:t>*</w:t>
            </w:r>
          </w:p>
        </w:tc>
      </w:tr>
    </w:tbl>
    <w:p w14:paraId="7705DACE" w14:textId="70807715" w:rsidR="005265F6" w:rsidRPr="00200B09" w:rsidRDefault="005265F6" w:rsidP="00AC4A71">
      <w:pPr>
        <w:pStyle w:val="Heading3"/>
      </w:pPr>
    </w:p>
    <w:tbl>
      <w:tblPr>
        <w:tblStyle w:val="TableGrid"/>
        <w:tblW w:w="0" w:type="auto"/>
        <w:tblBorders>
          <w:top w:val="single" w:sz="4" w:space="0" w:color="65C5B4" w:themeColor="accent1"/>
          <w:left w:val="single" w:sz="4" w:space="0" w:color="65C5B4" w:themeColor="accent1"/>
          <w:bottom w:val="single" w:sz="4" w:space="0" w:color="65C5B4" w:themeColor="accent1"/>
          <w:right w:val="single" w:sz="4" w:space="0" w:color="65C5B4" w:themeColor="accent1"/>
          <w:insideH w:val="single" w:sz="4" w:space="0" w:color="65C5B4" w:themeColor="accent1"/>
          <w:insideV w:val="single" w:sz="4" w:space="0" w:color="65C5B4" w:themeColor="accent1"/>
        </w:tblBorders>
        <w:tblCellMar>
          <w:top w:w="85" w:type="dxa"/>
          <w:left w:w="57" w:type="dxa"/>
          <w:bottom w:w="57" w:type="dxa"/>
          <w:right w:w="57" w:type="dxa"/>
        </w:tblCellMar>
        <w:tblLook w:val="04A0" w:firstRow="1" w:lastRow="0" w:firstColumn="1" w:lastColumn="0" w:noHBand="0" w:noVBand="1"/>
        <w:tblCaption w:val="Progress against performance indicators"/>
        <w:tblDescription w:val="This table shows the progress made against key indicators for Stability "/>
      </w:tblPr>
      <w:tblGrid>
        <w:gridCol w:w="4390"/>
        <w:gridCol w:w="6146"/>
      </w:tblGrid>
      <w:tr w:rsidR="005265F6" w:rsidRPr="00200B09" w14:paraId="1268ADCF" w14:textId="77777777" w:rsidTr="005265F6">
        <w:trPr>
          <w:tblHeader/>
        </w:trPr>
        <w:tc>
          <w:tcPr>
            <w:tcW w:w="4390" w:type="dxa"/>
            <w:shd w:val="clear" w:color="auto" w:fill="C1E7E0" w:themeFill="accent1" w:themeFillTint="66"/>
            <w:vAlign w:val="center"/>
          </w:tcPr>
          <w:p w14:paraId="236E560D" w14:textId="40517EE3" w:rsidR="005265F6" w:rsidRPr="00200B09" w:rsidRDefault="005265F6" w:rsidP="005265F6">
            <w:pPr>
              <w:spacing w:before="60" w:line="240" w:lineRule="auto"/>
              <w:contextualSpacing/>
              <w:jc w:val="center"/>
              <w:rPr>
                <w:rFonts w:cstheme="minorHAnsi"/>
                <w:bCs/>
                <w:sz w:val="20"/>
                <w:szCs w:val="20"/>
              </w:rPr>
            </w:pPr>
            <w:r w:rsidRPr="00200B09">
              <w:rPr>
                <w:b/>
                <w:sz w:val="20"/>
                <w:szCs w:val="20"/>
              </w:rPr>
              <w:t>Key Results Indicators</w:t>
            </w:r>
          </w:p>
        </w:tc>
        <w:tc>
          <w:tcPr>
            <w:tcW w:w="6146" w:type="dxa"/>
            <w:shd w:val="clear" w:color="auto" w:fill="C1E7E0" w:themeFill="accent1" w:themeFillTint="66"/>
            <w:vAlign w:val="center"/>
          </w:tcPr>
          <w:p w14:paraId="5AE80730" w14:textId="117D9E3D" w:rsidR="005265F6" w:rsidRPr="00200B09" w:rsidRDefault="005265F6" w:rsidP="005265F6">
            <w:pPr>
              <w:spacing w:before="0"/>
              <w:jc w:val="center"/>
              <w:rPr>
                <w:sz w:val="20"/>
                <w:szCs w:val="20"/>
              </w:rPr>
            </w:pPr>
            <w:r w:rsidRPr="00200B09">
              <w:rPr>
                <w:b/>
                <w:sz w:val="20"/>
                <w:szCs w:val="20"/>
              </w:rPr>
              <w:t>Progress/Result</w:t>
            </w:r>
          </w:p>
        </w:tc>
      </w:tr>
      <w:tr w:rsidR="005265F6" w:rsidRPr="00200B09" w14:paraId="7E704FEB" w14:textId="77777777" w:rsidTr="007A4493">
        <w:trPr>
          <w:tblHeader/>
        </w:trPr>
        <w:tc>
          <w:tcPr>
            <w:tcW w:w="4390" w:type="dxa"/>
          </w:tcPr>
          <w:p w14:paraId="1CC2F0CD" w14:textId="45D47BF6" w:rsidR="005265F6" w:rsidRPr="00200B09" w:rsidRDefault="005265F6" w:rsidP="00510CB7">
            <w:pPr>
              <w:spacing w:before="60" w:line="240" w:lineRule="auto"/>
              <w:contextualSpacing/>
              <w:rPr>
                <w:rFonts w:cstheme="minorHAnsi"/>
                <w:sz w:val="20"/>
                <w:szCs w:val="20"/>
              </w:rPr>
            </w:pPr>
            <w:r w:rsidRPr="00200B09">
              <w:rPr>
                <w:rFonts w:cstheme="minorHAnsi"/>
                <w:bCs/>
                <w:sz w:val="20"/>
                <w:szCs w:val="20"/>
              </w:rPr>
              <w:t xml:space="preserve">Examples of young women empowered to influence policies, regulations and norms which obstruct the rights and potential of all women. </w:t>
            </w:r>
          </w:p>
        </w:tc>
        <w:tc>
          <w:tcPr>
            <w:tcW w:w="6146" w:type="dxa"/>
          </w:tcPr>
          <w:p w14:paraId="0CD9FDEF" w14:textId="2815439C" w:rsidR="005265F6" w:rsidRPr="00200B09" w:rsidRDefault="00D7362A" w:rsidP="005265F6">
            <w:pPr>
              <w:spacing w:before="0"/>
              <w:rPr>
                <w:sz w:val="20"/>
                <w:szCs w:val="20"/>
              </w:rPr>
            </w:pPr>
            <w:r w:rsidRPr="00200B09">
              <w:rPr>
                <w:sz w:val="20"/>
                <w:szCs w:val="20"/>
              </w:rPr>
              <w:t>S</w:t>
            </w:r>
            <w:r w:rsidR="005265F6" w:rsidRPr="00200B09">
              <w:rPr>
                <w:sz w:val="20"/>
                <w:szCs w:val="20"/>
              </w:rPr>
              <w:t xml:space="preserve">upported </w:t>
            </w:r>
            <w:r w:rsidR="006A32A4" w:rsidRPr="00200B09">
              <w:rPr>
                <w:sz w:val="20"/>
                <w:szCs w:val="20"/>
              </w:rPr>
              <w:t>awareness raising for</w:t>
            </w:r>
            <w:r w:rsidR="005265F6" w:rsidRPr="00200B09">
              <w:rPr>
                <w:sz w:val="20"/>
                <w:szCs w:val="20"/>
              </w:rPr>
              <w:t xml:space="preserve"> girls and women </w:t>
            </w:r>
            <w:r w:rsidR="006A32A4" w:rsidRPr="00200B09">
              <w:rPr>
                <w:sz w:val="20"/>
                <w:szCs w:val="20"/>
              </w:rPr>
              <w:t xml:space="preserve">on </w:t>
            </w:r>
            <w:r w:rsidR="005265F6" w:rsidRPr="00200B09">
              <w:rPr>
                <w:sz w:val="20"/>
                <w:szCs w:val="20"/>
              </w:rPr>
              <w:t xml:space="preserve">their rights, </w:t>
            </w:r>
            <w:r w:rsidR="006A32A4" w:rsidRPr="00200B09">
              <w:rPr>
                <w:sz w:val="20"/>
                <w:szCs w:val="20"/>
              </w:rPr>
              <w:t xml:space="preserve">how to </w:t>
            </w:r>
            <w:r w:rsidR="005265F6" w:rsidRPr="00200B09">
              <w:rPr>
                <w:sz w:val="20"/>
                <w:szCs w:val="20"/>
              </w:rPr>
              <w:t>resist exploitation</w:t>
            </w:r>
            <w:r w:rsidR="006A32A4" w:rsidRPr="00200B09">
              <w:rPr>
                <w:sz w:val="20"/>
                <w:szCs w:val="20"/>
              </w:rPr>
              <w:t xml:space="preserve"> </w:t>
            </w:r>
            <w:r w:rsidR="005265F6" w:rsidRPr="00200B09">
              <w:rPr>
                <w:sz w:val="20"/>
                <w:szCs w:val="20"/>
              </w:rPr>
              <w:t xml:space="preserve">and </w:t>
            </w:r>
            <w:r w:rsidR="006A32A4" w:rsidRPr="00200B09">
              <w:rPr>
                <w:sz w:val="20"/>
                <w:szCs w:val="20"/>
              </w:rPr>
              <w:t xml:space="preserve">how to become more involved </w:t>
            </w:r>
            <w:r w:rsidR="005265F6" w:rsidRPr="00200B09">
              <w:rPr>
                <w:sz w:val="20"/>
                <w:szCs w:val="20"/>
              </w:rPr>
              <w:t>in public life and local governance</w:t>
            </w:r>
            <w:r w:rsidR="00D9593F" w:rsidRPr="00200B09">
              <w:rPr>
                <w:sz w:val="20"/>
                <w:szCs w:val="20"/>
              </w:rPr>
              <w:t xml:space="preserve">. </w:t>
            </w:r>
            <w:r w:rsidR="005265F6" w:rsidRPr="00200B09">
              <w:rPr>
                <w:sz w:val="20"/>
                <w:szCs w:val="20"/>
              </w:rPr>
              <w:t xml:space="preserve">An example outcome was </w:t>
            </w:r>
            <w:r w:rsidR="006A32A4" w:rsidRPr="00200B09">
              <w:rPr>
                <w:sz w:val="20"/>
                <w:szCs w:val="20"/>
              </w:rPr>
              <w:t>support to</w:t>
            </w:r>
            <w:r w:rsidR="005265F6" w:rsidRPr="00200B09">
              <w:rPr>
                <w:sz w:val="20"/>
                <w:szCs w:val="20"/>
              </w:rPr>
              <w:t xml:space="preserve"> women-led </w:t>
            </w:r>
            <w:r w:rsidRPr="00200B09">
              <w:rPr>
                <w:sz w:val="20"/>
                <w:szCs w:val="20"/>
              </w:rPr>
              <w:t>community-based</w:t>
            </w:r>
            <w:r w:rsidR="005265F6" w:rsidRPr="00200B09">
              <w:rPr>
                <w:sz w:val="20"/>
                <w:szCs w:val="20"/>
              </w:rPr>
              <w:t xml:space="preserve"> organisations</w:t>
            </w:r>
            <w:r w:rsidR="005265F6" w:rsidRPr="00200B09" w:rsidDel="006D519E">
              <w:rPr>
                <w:sz w:val="20"/>
                <w:szCs w:val="20"/>
              </w:rPr>
              <w:t xml:space="preserve"> </w:t>
            </w:r>
            <w:r w:rsidR="006A32A4" w:rsidRPr="00200B09">
              <w:rPr>
                <w:sz w:val="20"/>
                <w:szCs w:val="20"/>
              </w:rPr>
              <w:t>to</w:t>
            </w:r>
            <w:r w:rsidR="005265F6" w:rsidRPr="00200B09">
              <w:rPr>
                <w:sz w:val="20"/>
                <w:szCs w:val="20"/>
              </w:rPr>
              <w:t xml:space="preserve"> prevent 1</w:t>
            </w:r>
            <w:r w:rsidR="006A32A4" w:rsidRPr="00200B09">
              <w:rPr>
                <w:sz w:val="20"/>
                <w:szCs w:val="20"/>
              </w:rPr>
              <w:t>,</w:t>
            </w:r>
            <w:r w:rsidR="005265F6" w:rsidRPr="00200B09">
              <w:rPr>
                <w:sz w:val="20"/>
                <w:szCs w:val="20"/>
              </w:rPr>
              <w:t xml:space="preserve">091 child </w:t>
            </w:r>
            <w:proofErr w:type="gramStart"/>
            <w:r w:rsidR="005265F6" w:rsidRPr="00200B09">
              <w:rPr>
                <w:sz w:val="20"/>
                <w:szCs w:val="20"/>
              </w:rPr>
              <w:t>marriages</w:t>
            </w:r>
            <w:r w:rsidRPr="00200B09">
              <w:rPr>
                <w:sz w:val="20"/>
                <w:szCs w:val="20"/>
              </w:rPr>
              <w:t>.</w:t>
            </w:r>
            <w:r w:rsidR="00AC2930" w:rsidRPr="00200B09">
              <w:rPr>
                <w:sz w:val="20"/>
                <w:szCs w:val="20"/>
              </w:rPr>
              <w:t>*</w:t>
            </w:r>
            <w:proofErr w:type="gramEnd"/>
            <w:r w:rsidR="00AC2930" w:rsidRPr="00200B09">
              <w:rPr>
                <w:sz w:val="20"/>
                <w:szCs w:val="20"/>
              </w:rPr>
              <w:t>*</w:t>
            </w:r>
          </w:p>
          <w:p w14:paraId="7D9CAB9B" w14:textId="29D4CBA9" w:rsidR="005265F6" w:rsidRPr="00200B09" w:rsidRDefault="006A32A4" w:rsidP="005265F6">
            <w:pPr>
              <w:spacing w:before="0"/>
              <w:rPr>
                <w:color w:val="FF0000"/>
                <w:sz w:val="20"/>
                <w:szCs w:val="20"/>
              </w:rPr>
            </w:pPr>
            <w:r w:rsidRPr="00200B09">
              <w:rPr>
                <w:sz w:val="20"/>
                <w:szCs w:val="20"/>
              </w:rPr>
              <w:t>Supported w</w:t>
            </w:r>
            <w:r w:rsidR="005265F6" w:rsidRPr="00200B09">
              <w:rPr>
                <w:sz w:val="20"/>
                <w:szCs w:val="20"/>
              </w:rPr>
              <w:t xml:space="preserve">omen from 333 community-based organisations </w:t>
            </w:r>
            <w:r w:rsidRPr="00200B09">
              <w:rPr>
                <w:sz w:val="20"/>
                <w:szCs w:val="20"/>
              </w:rPr>
              <w:t>to assume leadership roles on</w:t>
            </w:r>
            <w:r w:rsidR="005265F6" w:rsidRPr="00200B09">
              <w:rPr>
                <w:sz w:val="20"/>
                <w:szCs w:val="20"/>
              </w:rPr>
              <w:t xml:space="preserve"> economic inclusion, development, gender equality and enhancing access to public services.</w:t>
            </w:r>
          </w:p>
        </w:tc>
      </w:tr>
      <w:tr w:rsidR="005265F6" w:rsidRPr="00200B09" w14:paraId="0F7DCA56" w14:textId="77777777" w:rsidTr="007A4493">
        <w:trPr>
          <w:tblHeader/>
        </w:trPr>
        <w:tc>
          <w:tcPr>
            <w:tcW w:w="4390" w:type="dxa"/>
          </w:tcPr>
          <w:p w14:paraId="1C322A0A" w14:textId="65FB1823" w:rsidR="005265F6" w:rsidRPr="00200B09" w:rsidRDefault="005265F6" w:rsidP="00510CB7">
            <w:pPr>
              <w:spacing w:before="60" w:line="240" w:lineRule="auto"/>
              <w:contextualSpacing/>
              <w:rPr>
                <w:rFonts w:cstheme="minorHAnsi"/>
                <w:bCs/>
                <w:sz w:val="20"/>
                <w:szCs w:val="20"/>
              </w:rPr>
            </w:pPr>
            <w:r w:rsidRPr="00200B09">
              <w:rPr>
                <w:rFonts w:cstheme="minorHAnsi"/>
                <w:bCs/>
                <w:sz w:val="20"/>
                <w:szCs w:val="20"/>
              </w:rPr>
              <w:t>45,000 Rohingya and host community children reached with basic education services (primary school or emergency basic learning)</w:t>
            </w:r>
          </w:p>
        </w:tc>
        <w:tc>
          <w:tcPr>
            <w:tcW w:w="6146" w:type="dxa"/>
          </w:tcPr>
          <w:p w14:paraId="4B838478" w14:textId="1022D137" w:rsidR="005265F6" w:rsidRPr="00200B09" w:rsidRDefault="00AE27B0" w:rsidP="00AC7B65">
            <w:pPr>
              <w:spacing w:before="0" w:after="0"/>
              <w:rPr>
                <w:sz w:val="20"/>
                <w:szCs w:val="20"/>
              </w:rPr>
            </w:pPr>
            <w:r>
              <w:rPr>
                <w:sz w:val="20"/>
                <w:szCs w:val="20"/>
              </w:rPr>
              <w:t xml:space="preserve">Against this 2-year target, </w:t>
            </w:r>
            <w:r w:rsidR="005265F6" w:rsidRPr="00200B09">
              <w:rPr>
                <w:sz w:val="20"/>
                <w:szCs w:val="20"/>
              </w:rPr>
              <w:t>29,342 children in the Rohingya refugee camps and host communities reached with primary or emergency basic education. Additionally, through the Global Partnership for Education</w:t>
            </w:r>
            <w:r w:rsidR="006A32A4" w:rsidRPr="00200B09">
              <w:rPr>
                <w:sz w:val="20"/>
                <w:szCs w:val="20"/>
              </w:rPr>
              <w:t xml:space="preserve">, </w:t>
            </w:r>
            <w:r w:rsidR="005265F6" w:rsidRPr="00200B09">
              <w:rPr>
                <w:sz w:val="20"/>
                <w:szCs w:val="20"/>
              </w:rPr>
              <w:t>supported 3</w:t>
            </w:r>
            <w:r w:rsidR="00D7362A" w:rsidRPr="00200B09">
              <w:rPr>
                <w:sz w:val="20"/>
                <w:szCs w:val="20"/>
              </w:rPr>
              <w:t>,</w:t>
            </w:r>
            <w:r w:rsidR="005265F6" w:rsidRPr="00200B09">
              <w:rPr>
                <w:sz w:val="20"/>
                <w:szCs w:val="20"/>
              </w:rPr>
              <w:t>441 children in the Rohingya refugee camps and host communities to receive caregiver led education.</w:t>
            </w:r>
          </w:p>
        </w:tc>
      </w:tr>
    </w:tbl>
    <w:p w14:paraId="3F2619AB" w14:textId="64D997BA" w:rsidR="00AE2B7B" w:rsidRPr="00200B09" w:rsidRDefault="00AE2B7B" w:rsidP="005265F6">
      <w:pPr>
        <w:pStyle w:val="Heading3"/>
      </w:pPr>
      <w:r w:rsidRPr="00200B09">
        <w:t>Economic Recovery</w:t>
      </w:r>
    </w:p>
    <w:tbl>
      <w:tblPr>
        <w:tblStyle w:val="TableGrid"/>
        <w:tblW w:w="0" w:type="auto"/>
        <w:tblBorders>
          <w:top w:val="single" w:sz="4" w:space="0" w:color="65C5B4" w:themeColor="accent1"/>
          <w:left w:val="single" w:sz="4" w:space="0" w:color="65C5B4" w:themeColor="accent1"/>
          <w:bottom w:val="single" w:sz="4" w:space="0" w:color="65C5B4" w:themeColor="accent1"/>
          <w:right w:val="single" w:sz="4" w:space="0" w:color="65C5B4" w:themeColor="accent1"/>
          <w:insideH w:val="single" w:sz="4" w:space="0" w:color="65C5B4" w:themeColor="accent1"/>
          <w:insideV w:val="single" w:sz="4" w:space="0" w:color="65C5B4" w:themeColor="accent1"/>
        </w:tblBorders>
        <w:tblCellMar>
          <w:top w:w="85" w:type="dxa"/>
          <w:left w:w="57" w:type="dxa"/>
          <w:bottom w:w="57" w:type="dxa"/>
          <w:right w:w="57" w:type="dxa"/>
        </w:tblCellMar>
        <w:tblLook w:val="04A0" w:firstRow="1" w:lastRow="0" w:firstColumn="1" w:lastColumn="0" w:noHBand="0" w:noVBand="1"/>
        <w:tblCaption w:val="Progress against performance indicators"/>
        <w:tblDescription w:val="This table shows the progress made against key indicators for economic recovery"/>
      </w:tblPr>
      <w:tblGrid>
        <w:gridCol w:w="4390"/>
        <w:gridCol w:w="6146"/>
      </w:tblGrid>
      <w:tr w:rsidR="00CA5021" w:rsidRPr="00200B09" w14:paraId="6541DEB5" w14:textId="77777777" w:rsidTr="007A4493">
        <w:trPr>
          <w:tblHeader/>
        </w:trPr>
        <w:tc>
          <w:tcPr>
            <w:tcW w:w="4390" w:type="dxa"/>
            <w:shd w:val="clear" w:color="auto" w:fill="A2DCD1" w:themeFill="accent1" w:themeFillTint="99"/>
            <w:vAlign w:val="bottom"/>
          </w:tcPr>
          <w:p w14:paraId="7B68B645" w14:textId="39A83BEA" w:rsidR="00CA5021" w:rsidRPr="00200B09" w:rsidRDefault="00A96364" w:rsidP="00CA5021">
            <w:pPr>
              <w:widowControl w:val="0"/>
              <w:spacing w:before="0" w:after="0" w:line="240" w:lineRule="auto"/>
              <w:jc w:val="center"/>
              <w:rPr>
                <w:sz w:val="20"/>
                <w:szCs w:val="20"/>
              </w:rPr>
            </w:pPr>
            <w:r w:rsidRPr="00200B09">
              <w:rPr>
                <w:b/>
                <w:sz w:val="20"/>
                <w:szCs w:val="20"/>
              </w:rPr>
              <w:t xml:space="preserve">Key Results </w:t>
            </w:r>
            <w:r w:rsidR="00CA5021" w:rsidRPr="00200B09">
              <w:rPr>
                <w:b/>
                <w:sz w:val="20"/>
                <w:szCs w:val="20"/>
              </w:rPr>
              <w:t>Indicator</w:t>
            </w:r>
            <w:r w:rsidRPr="00200B09">
              <w:rPr>
                <w:b/>
                <w:sz w:val="20"/>
                <w:szCs w:val="20"/>
              </w:rPr>
              <w:t>s</w:t>
            </w:r>
          </w:p>
        </w:tc>
        <w:tc>
          <w:tcPr>
            <w:tcW w:w="6146" w:type="dxa"/>
            <w:shd w:val="clear" w:color="auto" w:fill="A2DCD1" w:themeFill="accent1" w:themeFillTint="99"/>
            <w:vAlign w:val="bottom"/>
          </w:tcPr>
          <w:p w14:paraId="7B256934" w14:textId="69DE6F90" w:rsidR="00CA5021" w:rsidRPr="00200B09" w:rsidRDefault="00AD19F7" w:rsidP="00CA5021">
            <w:pPr>
              <w:widowControl w:val="0"/>
              <w:spacing w:before="0" w:after="0" w:line="240" w:lineRule="auto"/>
              <w:jc w:val="center"/>
              <w:rPr>
                <w:sz w:val="20"/>
                <w:szCs w:val="20"/>
              </w:rPr>
            </w:pPr>
            <w:r w:rsidRPr="00200B09">
              <w:rPr>
                <w:b/>
                <w:sz w:val="20"/>
                <w:szCs w:val="20"/>
              </w:rPr>
              <w:t>Progress/Result</w:t>
            </w:r>
          </w:p>
        </w:tc>
      </w:tr>
      <w:tr w:rsidR="00CA5021" w:rsidRPr="00200B09" w14:paraId="564E6F58" w14:textId="77777777" w:rsidTr="007A4493">
        <w:trPr>
          <w:tblHeader/>
        </w:trPr>
        <w:tc>
          <w:tcPr>
            <w:tcW w:w="4390" w:type="dxa"/>
          </w:tcPr>
          <w:p w14:paraId="794B9ABF" w14:textId="587ED23C" w:rsidR="00BF4CDD" w:rsidRPr="00200B09" w:rsidRDefault="00BF4CDD" w:rsidP="00BF4CDD">
            <w:pPr>
              <w:spacing w:before="60" w:line="240" w:lineRule="auto"/>
              <w:contextualSpacing/>
              <w:rPr>
                <w:rFonts w:cstheme="minorHAnsi"/>
                <w:bCs/>
                <w:sz w:val="20"/>
                <w:szCs w:val="20"/>
              </w:rPr>
            </w:pPr>
            <w:r w:rsidRPr="00200B09">
              <w:rPr>
                <w:rFonts w:cstheme="minorHAnsi"/>
                <w:bCs/>
                <w:sz w:val="20"/>
                <w:szCs w:val="20"/>
              </w:rPr>
              <w:t>18,500 young women and men supported through skills training and experience</w:t>
            </w:r>
            <w:r w:rsidR="0032585E" w:rsidRPr="00200B09">
              <w:rPr>
                <w:rFonts w:cstheme="minorHAnsi"/>
                <w:bCs/>
                <w:sz w:val="20"/>
                <w:szCs w:val="20"/>
              </w:rPr>
              <w:t>*</w:t>
            </w:r>
            <w:r w:rsidRPr="00200B09">
              <w:rPr>
                <w:rFonts w:cstheme="minorHAnsi"/>
                <w:bCs/>
                <w:sz w:val="20"/>
                <w:szCs w:val="20"/>
              </w:rPr>
              <w:t xml:space="preserve"> </w:t>
            </w:r>
          </w:p>
          <w:p w14:paraId="234C1CE4" w14:textId="0E10601F" w:rsidR="00CA5021" w:rsidRPr="00200B09" w:rsidRDefault="00CA5021" w:rsidP="00BF4CDD">
            <w:pPr>
              <w:spacing w:before="0" w:after="0"/>
              <w:rPr>
                <w:sz w:val="20"/>
                <w:szCs w:val="20"/>
              </w:rPr>
            </w:pPr>
          </w:p>
        </w:tc>
        <w:tc>
          <w:tcPr>
            <w:tcW w:w="6146" w:type="dxa"/>
          </w:tcPr>
          <w:p w14:paraId="5A50515E" w14:textId="36C128F7" w:rsidR="00553D26" w:rsidRPr="00200B09" w:rsidRDefault="006A32A4" w:rsidP="00AC7B65">
            <w:pPr>
              <w:spacing w:before="0" w:after="0"/>
              <w:rPr>
                <w:rFonts w:eastAsiaTheme="majorEastAsia" w:cstheme="minorHAnsi"/>
                <w:color w:val="FF0000"/>
                <w:sz w:val="20"/>
                <w:szCs w:val="20"/>
              </w:rPr>
            </w:pPr>
            <w:r w:rsidRPr="00200B09">
              <w:rPr>
                <w:rFonts w:eastAsiaTheme="majorEastAsia" w:cstheme="minorHAnsi"/>
                <w:sz w:val="20"/>
                <w:szCs w:val="20"/>
              </w:rPr>
              <w:t xml:space="preserve">Supported </w:t>
            </w:r>
            <w:r w:rsidR="006F3F01" w:rsidRPr="00200B09">
              <w:rPr>
                <w:rFonts w:eastAsiaTheme="majorEastAsia" w:cstheme="minorHAnsi"/>
                <w:sz w:val="20"/>
                <w:szCs w:val="20"/>
              </w:rPr>
              <w:t>10,935 young men and women with skills training and on-the-job experience</w:t>
            </w:r>
            <w:r w:rsidR="000C6112" w:rsidRPr="00200B09">
              <w:rPr>
                <w:rFonts w:eastAsiaTheme="majorEastAsia" w:cstheme="minorHAnsi"/>
                <w:sz w:val="20"/>
                <w:szCs w:val="20"/>
              </w:rPr>
              <w:t>.</w:t>
            </w:r>
            <w:r w:rsidR="006F3F01" w:rsidRPr="00200B09">
              <w:rPr>
                <w:rFonts w:eastAsiaTheme="majorEastAsia" w:cstheme="minorHAnsi"/>
                <w:sz w:val="20"/>
                <w:szCs w:val="20"/>
              </w:rPr>
              <w:t xml:space="preserve"> 5,431 </w:t>
            </w:r>
            <w:r w:rsidR="00C04D61" w:rsidRPr="00200B09">
              <w:rPr>
                <w:rFonts w:eastAsiaTheme="majorEastAsia" w:cstheme="minorHAnsi"/>
                <w:sz w:val="20"/>
                <w:szCs w:val="20"/>
              </w:rPr>
              <w:t>(</w:t>
            </w:r>
            <w:r w:rsidR="00D03390" w:rsidRPr="00200B09">
              <w:rPr>
                <w:rFonts w:eastAsiaTheme="majorEastAsia" w:cstheme="minorHAnsi"/>
                <w:sz w:val="20"/>
                <w:szCs w:val="20"/>
              </w:rPr>
              <w:t>7</w:t>
            </w:r>
            <w:r w:rsidR="006F3F01" w:rsidRPr="00200B09">
              <w:rPr>
                <w:rFonts w:eastAsiaTheme="majorEastAsia" w:cstheme="minorHAnsi"/>
                <w:sz w:val="20"/>
                <w:szCs w:val="20"/>
              </w:rPr>
              <w:t>4</w:t>
            </w:r>
            <w:r w:rsidR="00CC6F35" w:rsidRPr="00200B09">
              <w:rPr>
                <w:sz w:val="20"/>
                <w:szCs w:val="20"/>
                <w:lang w:val="en-AU"/>
              </w:rPr>
              <w:t xml:space="preserve"> per cent</w:t>
            </w:r>
            <w:r w:rsidR="00C04D61" w:rsidRPr="00200B09">
              <w:rPr>
                <w:rFonts w:eastAsiaTheme="majorEastAsia" w:cstheme="minorHAnsi"/>
                <w:sz w:val="20"/>
                <w:szCs w:val="20"/>
              </w:rPr>
              <w:t xml:space="preserve"> women</w:t>
            </w:r>
            <w:r w:rsidR="00D03390" w:rsidRPr="00200B09">
              <w:rPr>
                <w:rFonts w:eastAsiaTheme="majorEastAsia" w:cstheme="minorHAnsi"/>
                <w:sz w:val="20"/>
                <w:szCs w:val="20"/>
              </w:rPr>
              <w:t>,</w:t>
            </w:r>
            <w:r w:rsidR="005265F6" w:rsidRPr="00200B09">
              <w:rPr>
                <w:rFonts w:eastAsiaTheme="majorEastAsia" w:cstheme="minorHAnsi"/>
                <w:sz w:val="20"/>
                <w:szCs w:val="20"/>
              </w:rPr>
              <w:t xml:space="preserve"> </w:t>
            </w:r>
            <w:r w:rsidR="00CC6F35" w:rsidRPr="00200B09">
              <w:rPr>
                <w:rFonts w:eastAsiaTheme="majorEastAsia" w:cstheme="minorHAnsi"/>
                <w:sz w:val="20"/>
                <w:szCs w:val="20"/>
              </w:rPr>
              <w:t xml:space="preserve">nine </w:t>
            </w:r>
            <w:r w:rsidR="00CC6F35" w:rsidRPr="00200B09">
              <w:rPr>
                <w:sz w:val="20"/>
                <w:szCs w:val="20"/>
                <w:lang w:val="en-AU"/>
              </w:rPr>
              <w:t>per cent</w:t>
            </w:r>
            <w:r w:rsidR="00D03390" w:rsidRPr="00200B09">
              <w:rPr>
                <w:rFonts w:eastAsiaTheme="majorEastAsia" w:cstheme="minorHAnsi"/>
                <w:sz w:val="20"/>
                <w:szCs w:val="20"/>
              </w:rPr>
              <w:t xml:space="preserve"> </w:t>
            </w:r>
            <w:r w:rsidR="00983DE2">
              <w:rPr>
                <w:rFonts w:eastAsiaTheme="majorEastAsia" w:cstheme="minorHAnsi"/>
                <w:sz w:val="20"/>
                <w:szCs w:val="20"/>
              </w:rPr>
              <w:t>people with disabilities</w:t>
            </w:r>
            <w:r w:rsidR="00C04D61" w:rsidRPr="00200B09">
              <w:rPr>
                <w:rFonts w:eastAsiaTheme="majorEastAsia" w:cstheme="minorHAnsi"/>
                <w:sz w:val="20"/>
                <w:szCs w:val="20"/>
              </w:rPr>
              <w:t xml:space="preserve">) received vocational skills training and </w:t>
            </w:r>
            <w:r w:rsidR="00347ADD" w:rsidRPr="00200B09">
              <w:rPr>
                <w:rFonts w:eastAsiaTheme="majorEastAsia" w:cstheme="minorHAnsi"/>
                <w:sz w:val="20"/>
                <w:szCs w:val="20"/>
              </w:rPr>
              <w:t>5,504</w:t>
            </w:r>
            <w:r w:rsidR="00C04D61" w:rsidRPr="00200B09">
              <w:rPr>
                <w:rFonts w:eastAsiaTheme="majorEastAsia" w:cstheme="minorHAnsi"/>
                <w:sz w:val="20"/>
                <w:szCs w:val="20"/>
              </w:rPr>
              <w:t xml:space="preserve"> (</w:t>
            </w:r>
            <w:r w:rsidR="00347ADD" w:rsidRPr="00200B09">
              <w:rPr>
                <w:rFonts w:eastAsiaTheme="majorEastAsia" w:cstheme="minorHAnsi"/>
                <w:sz w:val="20"/>
                <w:szCs w:val="20"/>
              </w:rPr>
              <w:t>37</w:t>
            </w:r>
            <w:r w:rsidR="00CC6F35" w:rsidRPr="00200B09">
              <w:rPr>
                <w:sz w:val="20"/>
                <w:szCs w:val="20"/>
                <w:lang w:val="en-AU"/>
              </w:rPr>
              <w:t xml:space="preserve"> per cent</w:t>
            </w:r>
            <w:r w:rsidR="00C04D61" w:rsidRPr="00200B09">
              <w:rPr>
                <w:rFonts w:eastAsiaTheme="majorEastAsia" w:cstheme="minorHAnsi"/>
                <w:sz w:val="20"/>
                <w:szCs w:val="20"/>
              </w:rPr>
              <w:t xml:space="preserve"> women</w:t>
            </w:r>
            <w:r w:rsidR="00880C33" w:rsidRPr="00200B09">
              <w:rPr>
                <w:rFonts w:eastAsiaTheme="majorEastAsia" w:cstheme="minorHAnsi"/>
                <w:sz w:val="20"/>
                <w:szCs w:val="20"/>
              </w:rPr>
              <w:t xml:space="preserve">, </w:t>
            </w:r>
            <w:r w:rsidR="00CC6F35" w:rsidRPr="00200B09">
              <w:rPr>
                <w:rFonts w:eastAsiaTheme="majorEastAsia" w:cstheme="minorHAnsi"/>
                <w:sz w:val="20"/>
                <w:szCs w:val="20"/>
              </w:rPr>
              <w:t xml:space="preserve">three </w:t>
            </w:r>
            <w:r w:rsidR="00CC6F35" w:rsidRPr="00200B09">
              <w:rPr>
                <w:sz w:val="20"/>
                <w:szCs w:val="20"/>
                <w:lang w:val="en-AU"/>
              </w:rPr>
              <w:t>per cent</w:t>
            </w:r>
            <w:r w:rsidR="00CC6F35" w:rsidRPr="00200B09" w:rsidDel="00CC6F35">
              <w:rPr>
                <w:rFonts w:eastAsiaTheme="majorEastAsia" w:cstheme="minorHAnsi"/>
                <w:sz w:val="20"/>
                <w:szCs w:val="20"/>
              </w:rPr>
              <w:t xml:space="preserve"> </w:t>
            </w:r>
            <w:r w:rsidR="00983DE2">
              <w:rPr>
                <w:rFonts w:eastAsiaTheme="majorEastAsia" w:cstheme="minorHAnsi"/>
                <w:sz w:val="20"/>
                <w:szCs w:val="20"/>
              </w:rPr>
              <w:t>people with disabilities</w:t>
            </w:r>
            <w:r w:rsidR="00C04D61" w:rsidRPr="00200B09">
              <w:rPr>
                <w:rFonts w:eastAsiaTheme="majorEastAsia" w:cstheme="minorHAnsi"/>
                <w:sz w:val="20"/>
                <w:szCs w:val="20"/>
              </w:rPr>
              <w:t>)</w:t>
            </w:r>
            <w:r w:rsidR="00983DE2">
              <w:rPr>
                <w:rFonts w:eastAsiaTheme="majorEastAsia" w:cstheme="minorHAnsi"/>
                <w:sz w:val="20"/>
                <w:szCs w:val="20"/>
              </w:rPr>
              <w:t xml:space="preserve"> received </w:t>
            </w:r>
            <w:r w:rsidR="00983DE2" w:rsidRPr="00200B09">
              <w:rPr>
                <w:rFonts w:eastAsiaTheme="majorEastAsia" w:cstheme="minorHAnsi"/>
                <w:sz w:val="20"/>
                <w:szCs w:val="20"/>
              </w:rPr>
              <w:t xml:space="preserve">on-the-job </w:t>
            </w:r>
            <w:proofErr w:type="gramStart"/>
            <w:r w:rsidR="00983DE2" w:rsidRPr="00200B09">
              <w:rPr>
                <w:rFonts w:eastAsiaTheme="majorEastAsia" w:cstheme="minorHAnsi"/>
                <w:sz w:val="20"/>
                <w:szCs w:val="20"/>
              </w:rPr>
              <w:t>experience</w:t>
            </w:r>
            <w:r w:rsidR="006C091A" w:rsidRPr="00200B09">
              <w:rPr>
                <w:rFonts w:eastAsiaTheme="majorEastAsia" w:cstheme="minorHAnsi"/>
                <w:sz w:val="20"/>
                <w:szCs w:val="20"/>
              </w:rPr>
              <w:t>.</w:t>
            </w:r>
            <w:r w:rsidR="00AC2930" w:rsidRPr="00200B09">
              <w:rPr>
                <w:rFonts w:eastAsiaTheme="majorEastAsia" w:cstheme="minorHAnsi"/>
                <w:sz w:val="20"/>
                <w:szCs w:val="20"/>
              </w:rPr>
              <w:t>*</w:t>
            </w:r>
            <w:proofErr w:type="gramEnd"/>
            <w:r w:rsidR="00AC2930" w:rsidRPr="00200B09">
              <w:rPr>
                <w:rFonts w:eastAsiaTheme="majorEastAsia" w:cstheme="minorHAnsi"/>
                <w:sz w:val="20"/>
                <w:szCs w:val="20"/>
              </w:rPr>
              <w:t>*</w:t>
            </w:r>
          </w:p>
        </w:tc>
      </w:tr>
      <w:tr w:rsidR="00CA5021" w:rsidRPr="00200B09" w14:paraId="1EAE2D66" w14:textId="77777777" w:rsidTr="007A4493">
        <w:trPr>
          <w:tblHeader/>
        </w:trPr>
        <w:tc>
          <w:tcPr>
            <w:tcW w:w="4390" w:type="dxa"/>
          </w:tcPr>
          <w:p w14:paraId="79D78229" w14:textId="0EA43B8A" w:rsidR="00BF4CDD" w:rsidRPr="00200B09" w:rsidRDefault="00BF4CDD" w:rsidP="00BF4CDD">
            <w:pPr>
              <w:spacing w:before="60" w:line="240" w:lineRule="auto"/>
              <w:contextualSpacing/>
              <w:rPr>
                <w:rFonts w:cstheme="minorHAnsi"/>
                <w:sz w:val="20"/>
                <w:szCs w:val="20"/>
              </w:rPr>
            </w:pPr>
            <w:r w:rsidRPr="00200B09">
              <w:rPr>
                <w:rFonts w:cstheme="minorHAnsi"/>
                <w:bCs/>
                <w:sz w:val="20"/>
                <w:szCs w:val="20"/>
              </w:rPr>
              <w:t xml:space="preserve">Examples of private sector, including </w:t>
            </w:r>
            <w:r w:rsidR="00200B09">
              <w:rPr>
                <w:rFonts w:cstheme="minorHAnsi"/>
                <w:bCs/>
                <w:sz w:val="20"/>
                <w:szCs w:val="20"/>
              </w:rPr>
              <w:t>women</w:t>
            </w:r>
            <w:r w:rsidRPr="00200B09">
              <w:rPr>
                <w:rFonts w:cstheme="minorHAnsi"/>
                <w:bCs/>
                <w:sz w:val="20"/>
                <w:szCs w:val="20"/>
              </w:rPr>
              <w:t xml:space="preserve"> entrepreneurs, provided with financial and/or business development services</w:t>
            </w:r>
          </w:p>
          <w:p w14:paraId="65838CB2" w14:textId="5DD6D83C" w:rsidR="00CA5021" w:rsidRPr="00200B09" w:rsidRDefault="00CA5021" w:rsidP="00CA5021">
            <w:pPr>
              <w:spacing w:before="0" w:after="0"/>
              <w:rPr>
                <w:sz w:val="20"/>
                <w:szCs w:val="20"/>
              </w:rPr>
            </w:pPr>
          </w:p>
        </w:tc>
        <w:tc>
          <w:tcPr>
            <w:tcW w:w="6146" w:type="dxa"/>
          </w:tcPr>
          <w:p w14:paraId="02B96D99" w14:textId="4146F57D" w:rsidR="00CA5021" w:rsidRPr="00200B09" w:rsidRDefault="00835D01" w:rsidP="00AC7B65">
            <w:pPr>
              <w:spacing w:before="0" w:after="0"/>
              <w:rPr>
                <w:sz w:val="20"/>
                <w:szCs w:val="20"/>
              </w:rPr>
            </w:pPr>
            <w:r w:rsidRPr="00200B09">
              <w:rPr>
                <w:rFonts w:eastAsiaTheme="majorEastAsia" w:cstheme="minorHAnsi"/>
                <w:sz w:val="20"/>
                <w:szCs w:val="20"/>
              </w:rPr>
              <w:t>19,028 people (61</w:t>
            </w:r>
            <w:r w:rsidR="00CC6F35" w:rsidRPr="00200B09">
              <w:rPr>
                <w:rFonts w:eastAsiaTheme="majorEastAsia" w:cstheme="minorHAnsi"/>
                <w:sz w:val="20"/>
                <w:szCs w:val="20"/>
              </w:rPr>
              <w:t xml:space="preserve"> </w:t>
            </w:r>
            <w:r w:rsidR="00CC6F35" w:rsidRPr="00200B09">
              <w:rPr>
                <w:sz w:val="20"/>
                <w:szCs w:val="20"/>
                <w:lang w:val="en-AU"/>
              </w:rPr>
              <w:t>per cent</w:t>
            </w:r>
            <w:r w:rsidR="00CC6F35" w:rsidRPr="00200B09">
              <w:rPr>
                <w:rFonts w:eastAsiaTheme="majorEastAsia" w:cstheme="minorHAnsi"/>
                <w:sz w:val="20"/>
                <w:szCs w:val="20"/>
              </w:rPr>
              <w:t xml:space="preserve"> </w:t>
            </w:r>
            <w:r w:rsidR="00200B09" w:rsidRPr="00200B09">
              <w:rPr>
                <w:rFonts w:eastAsiaTheme="majorEastAsia" w:cstheme="minorHAnsi"/>
                <w:sz w:val="20"/>
                <w:szCs w:val="20"/>
              </w:rPr>
              <w:t>women</w:t>
            </w:r>
            <w:r w:rsidRPr="00200B09">
              <w:rPr>
                <w:rFonts w:eastAsiaTheme="majorEastAsia" w:cstheme="minorHAnsi"/>
                <w:sz w:val="20"/>
                <w:szCs w:val="20"/>
              </w:rPr>
              <w:t>) gained access to formal financial services through linkage meetings and workshops with local financial service providers.</w:t>
            </w:r>
          </w:p>
        </w:tc>
      </w:tr>
      <w:tr w:rsidR="00CA5021" w:rsidRPr="00200B09" w14:paraId="4DF45926" w14:textId="77777777" w:rsidTr="007A4493">
        <w:trPr>
          <w:tblHeader/>
        </w:trPr>
        <w:tc>
          <w:tcPr>
            <w:tcW w:w="4390" w:type="dxa"/>
          </w:tcPr>
          <w:p w14:paraId="0B1E2DC4" w14:textId="254434FE" w:rsidR="00CA5021" w:rsidRPr="00200B09" w:rsidRDefault="00BF4CDD" w:rsidP="00CA5021">
            <w:pPr>
              <w:spacing w:before="0" w:after="0"/>
              <w:rPr>
                <w:sz w:val="20"/>
                <w:szCs w:val="20"/>
              </w:rPr>
            </w:pPr>
            <w:r w:rsidRPr="00200B09">
              <w:rPr>
                <w:rFonts w:cstheme="minorHAnsi"/>
                <w:bCs/>
                <w:sz w:val="20"/>
                <w:szCs w:val="20"/>
              </w:rPr>
              <w:t>Specific activities for the promotion of trade and investment opportunities between Australia and Bangladesh</w:t>
            </w:r>
          </w:p>
        </w:tc>
        <w:tc>
          <w:tcPr>
            <w:tcW w:w="6146" w:type="dxa"/>
          </w:tcPr>
          <w:p w14:paraId="1FCE71E6" w14:textId="12C78A1F" w:rsidR="00CA5021" w:rsidRPr="00200B09" w:rsidRDefault="006A32A4" w:rsidP="00AC7B65">
            <w:pPr>
              <w:spacing w:before="0" w:after="0"/>
              <w:rPr>
                <w:sz w:val="20"/>
                <w:szCs w:val="20"/>
              </w:rPr>
            </w:pPr>
            <w:r w:rsidRPr="00200B09">
              <w:rPr>
                <w:sz w:val="20"/>
                <w:szCs w:val="20"/>
              </w:rPr>
              <w:t xml:space="preserve">The Bangladesh-Australia </w:t>
            </w:r>
            <w:r w:rsidR="004615BD" w:rsidRPr="00200B09">
              <w:rPr>
                <w:sz w:val="20"/>
                <w:szCs w:val="20"/>
              </w:rPr>
              <w:t xml:space="preserve">Trade and Investment Framework Arrangement </w:t>
            </w:r>
            <w:r w:rsidR="008B234E" w:rsidRPr="00200B09">
              <w:rPr>
                <w:sz w:val="20"/>
                <w:szCs w:val="20"/>
              </w:rPr>
              <w:t>was developed over the reporting period</w:t>
            </w:r>
            <w:r w:rsidRPr="00200B09">
              <w:rPr>
                <w:sz w:val="20"/>
                <w:szCs w:val="20"/>
              </w:rPr>
              <w:t xml:space="preserve">, then </w:t>
            </w:r>
            <w:r w:rsidR="008B234E" w:rsidRPr="00200B09">
              <w:rPr>
                <w:sz w:val="20"/>
                <w:szCs w:val="20"/>
              </w:rPr>
              <w:t xml:space="preserve">signed </w:t>
            </w:r>
            <w:r w:rsidR="00835D01" w:rsidRPr="00200B09">
              <w:rPr>
                <w:sz w:val="20"/>
                <w:szCs w:val="20"/>
              </w:rPr>
              <w:t xml:space="preserve">on 15 </w:t>
            </w:r>
            <w:r w:rsidR="008B234E" w:rsidRPr="00200B09">
              <w:rPr>
                <w:sz w:val="20"/>
                <w:szCs w:val="20"/>
              </w:rPr>
              <w:t>September 2021.</w:t>
            </w:r>
          </w:p>
        </w:tc>
      </w:tr>
    </w:tbl>
    <w:p w14:paraId="4E60E7FF" w14:textId="2AB97039" w:rsidR="00D7362A" w:rsidRDefault="00D7362A" w:rsidP="00D7362A">
      <w:pPr>
        <w:rPr>
          <w:rFonts w:cstheme="minorHAnsi"/>
          <w:bCs/>
          <w:sz w:val="16"/>
          <w:szCs w:val="16"/>
        </w:rPr>
      </w:pPr>
      <w:r>
        <w:rPr>
          <w:rFonts w:cstheme="minorHAnsi"/>
          <w:bCs/>
          <w:sz w:val="16"/>
          <w:szCs w:val="16"/>
        </w:rPr>
        <w:t xml:space="preserve">* </w:t>
      </w:r>
      <w:r w:rsidR="00AC2930">
        <w:rPr>
          <w:rFonts w:cstheme="minorHAnsi"/>
          <w:bCs/>
          <w:sz w:val="16"/>
          <w:szCs w:val="16"/>
        </w:rPr>
        <w:t>T</w:t>
      </w:r>
      <w:r>
        <w:rPr>
          <w:rFonts w:cstheme="minorHAnsi"/>
          <w:bCs/>
          <w:sz w:val="16"/>
          <w:szCs w:val="16"/>
        </w:rPr>
        <w:t xml:space="preserve">his results indicator covers a 2-year period, to align with the timespan of the COVID Development Response Plan. </w:t>
      </w:r>
    </w:p>
    <w:p w14:paraId="76B0EF8F" w14:textId="79998271" w:rsidR="00D7362A" w:rsidRDefault="00D7362A" w:rsidP="00D7362A">
      <w:pPr>
        <w:rPr>
          <w:rFonts w:cstheme="minorHAnsi"/>
          <w:bCs/>
          <w:sz w:val="16"/>
          <w:szCs w:val="16"/>
        </w:rPr>
      </w:pPr>
      <w:r>
        <w:rPr>
          <w:rFonts w:cstheme="minorHAnsi"/>
          <w:bCs/>
          <w:sz w:val="16"/>
          <w:szCs w:val="16"/>
        </w:rPr>
        <w:t xml:space="preserve">** </w:t>
      </w:r>
      <w:r w:rsidR="00AC2930">
        <w:rPr>
          <w:rFonts w:cstheme="minorHAnsi"/>
          <w:bCs/>
          <w:sz w:val="16"/>
          <w:szCs w:val="16"/>
        </w:rPr>
        <w:t>T</w:t>
      </w:r>
      <w:r>
        <w:rPr>
          <w:rFonts w:cstheme="minorHAnsi"/>
          <w:bCs/>
          <w:sz w:val="16"/>
          <w:szCs w:val="16"/>
        </w:rPr>
        <w:t xml:space="preserve">his result reports on the first year of a two-year target. </w:t>
      </w:r>
    </w:p>
    <w:p w14:paraId="7CE33D8D" w14:textId="77777777" w:rsidR="00D7362A" w:rsidRDefault="00D7362A" w:rsidP="00D7362A">
      <w:pPr>
        <w:suppressAutoHyphens w:val="0"/>
        <w:spacing w:before="0" w:after="0" w:line="240" w:lineRule="auto"/>
        <w:rPr>
          <w:rFonts w:cstheme="minorHAnsi"/>
          <w:bCs/>
          <w:sz w:val="16"/>
          <w:szCs w:val="16"/>
        </w:rPr>
        <w:sectPr w:rsidR="00D7362A" w:rsidSect="00996C85">
          <w:headerReference w:type="default" r:id="rId9"/>
          <w:footerReference w:type="default" r:id="rId10"/>
          <w:headerReference w:type="first" r:id="rId11"/>
          <w:footerReference w:type="first" r:id="rId12"/>
          <w:pgSz w:w="11906" w:h="16838"/>
          <w:pgMar w:top="1559" w:right="680" w:bottom="1134" w:left="680" w:header="567" w:footer="340" w:gutter="0"/>
          <w:cols w:space="720"/>
          <w:titlePg/>
          <w:docGrid w:linePitch="299"/>
        </w:sectPr>
      </w:pPr>
    </w:p>
    <w:p w14:paraId="06ABEE3D" w14:textId="62B75A66" w:rsidR="00D1231A" w:rsidRDefault="00121DDD" w:rsidP="005265F6">
      <w:pPr>
        <w:pStyle w:val="Heading2"/>
      </w:pPr>
      <w:r>
        <w:lastRenderedPageBreak/>
        <w:t>Annex 2</w:t>
      </w:r>
      <w:r w:rsidR="00D1231A" w:rsidRPr="00D1231A">
        <w:t xml:space="preserve">: </w:t>
      </w:r>
      <w:r w:rsidR="00D1231A">
        <w:t>I</w:t>
      </w:r>
      <w:r w:rsidR="00D1231A" w:rsidRPr="00D1231A">
        <w:t>nvestment Performance</w:t>
      </w:r>
      <w:r w:rsidR="000F78C9">
        <w:t xml:space="preserve"> ratings</w:t>
      </w:r>
    </w:p>
    <w:tbl>
      <w:tblPr>
        <w:tblStyle w:val="DFATTable1"/>
        <w:tblW w:w="10627" w:type="dxa"/>
        <w:tblBorders>
          <w:top w:val="single" w:sz="4" w:space="0" w:color="65C5B4" w:themeColor="accent1"/>
          <w:left w:val="single" w:sz="4" w:space="0" w:color="65C5B4" w:themeColor="accent1"/>
          <w:bottom w:val="single" w:sz="4" w:space="0" w:color="65C5B4" w:themeColor="accent1"/>
          <w:right w:val="single" w:sz="4" w:space="0" w:color="65C5B4" w:themeColor="accent1"/>
          <w:insideH w:val="single" w:sz="4" w:space="0" w:color="65C5B4" w:themeColor="accent1"/>
          <w:insideV w:val="single" w:sz="4" w:space="0" w:color="65C5B4" w:themeColor="accent1"/>
        </w:tblBorders>
        <w:tblLayout w:type="fixed"/>
        <w:tblLook w:val="04A0" w:firstRow="1" w:lastRow="0" w:firstColumn="1" w:lastColumn="0" w:noHBand="0" w:noVBand="1"/>
        <w:tblCaption w:val="Supporting Investment Performance"/>
        <w:tblDescription w:val="Development Program Investment details, name, duration, budget and performance ratings for 2020 and 2021 for Effectiveness, Efficiency, Gender Equality; Risk and Safeguards "/>
      </w:tblPr>
      <w:tblGrid>
        <w:gridCol w:w="5949"/>
        <w:gridCol w:w="992"/>
        <w:gridCol w:w="1276"/>
        <w:gridCol w:w="1134"/>
        <w:gridCol w:w="1276"/>
      </w:tblGrid>
      <w:tr w:rsidR="007A4493" w:rsidRPr="00AF18F4" w14:paraId="69FD1E5F" w14:textId="77777777" w:rsidTr="00B703B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949" w:type="dxa"/>
            <w:shd w:val="clear" w:color="auto" w:fill="A2DCD1" w:themeFill="accent1" w:themeFillTint="99"/>
            <w:noWrap/>
            <w:vAlign w:val="center"/>
            <w:hideMark/>
          </w:tcPr>
          <w:p w14:paraId="287BF78E" w14:textId="77777777" w:rsidR="00AC551D" w:rsidRPr="005736BB" w:rsidRDefault="00AC551D" w:rsidP="0073747A">
            <w:pPr>
              <w:suppressAutoHyphens w:val="0"/>
              <w:spacing w:before="0" w:after="0" w:line="240" w:lineRule="auto"/>
              <w:jc w:val="center"/>
              <w:rPr>
                <w:rFonts w:asciiTheme="minorHAnsi" w:eastAsia="Times New Roman" w:hAnsiTheme="minorHAnsi" w:cstheme="minorHAnsi"/>
                <w:b/>
                <w:bCs/>
                <w:color w:val="404040"/>
                <w:sz w:val="20"/>
                <w:szCs w:val="20"/>
                <w:lang w:val="en-AU" w:eastAsia="en-AU"/>
              </w:rPr>
            </w:pPr>
            <w:r w:rsidRPr="005736BB">
              <w:rPr>
                <w:rFonts w:asciiTheme="minorHAnsi" w:eastAsia="Times New Roman" w:hAnsiTheme="minorHAnsi" w:cstheme="minorHAnsi"/>
                <w:b/>
                <w:bCs/>
                <w:color w:val="404040"/>
                <w:sz w:val="20"/>
                <w:szCs w:val="20"/>
                <w:lang w:val="en-AU" w:eastAsia="en-AU"/>
              </w:rPr>
              <w:t>Investment Details</w:t>
            </w:r>
          </w:p>
        </w:tc>
        <w:tc>
          <w:tcPr>
            <w:tcW w:w="992" w:type="dxa"/>
            <w:shd w:val="clear" w:color="auto" w:fill="A2DCD1" w:themeFill="accent1" w:themeFillTint="99"/>
            <w:noWrap/>
            <w:vAlign w:val="center"/>
            <w:hideMark/>
          </w:tcPr>
          <w:p w14:paraId="36D4C187" w14:textId="77D4590B" w:rsidR="00AC551D" w:rsidRPr="005736BB" w:rsidRDefault="00AC551D" w:rsidP="0073747A">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
                <w:bCs/>
                <w:color w:val="404040"/>
                <w:sz w:val="20"/>
                <w:szCs w:val="20"/>
                <w:lang w:val="en-AU" w:eastAsia="en-AU"/>
              </w:rPr>
            </w:pPr>
            <w:r w:rsidRPr="005736BB">
              <w:rPr>
                <w:rFonts w:asciiTheme="minorHAnsi" w:eastAsia="Times New Roman" w:hAnsiTheme="minorHAnsi" w:cstheme="minorHAnsi"/>
                <w:b/>
                <w:bCs/>
                <w:color w:val="404040"/>
                <w:sz w:val="20"/>
                <w:szCs w:val="20"/>
                <w:lang w:val="en-AU" w:eastAsia="en-AU"/>
              </w:rPr>
              <w:t>Year</w:t>
            </w:r>
          </w:p>
        </w:tc>
        <w:tc>
          <w:tcPr>
            <w:tcW w:w="0" w:type="dxa"/>
            <w:shd w:val="clear" w:color="auto" w:fill="A2DCD1" w:themeFill="accent1" w:themeFillTint="99"/>
            <w:noWrap/>
            <w:vAlign w:val="center"/>
            <w:hideMark/>
          </w:tcPr>
          <w:p w14:paraId="1B1121B3" w14:textId="77777777" w:rsidR="00AC551D" w:rsidRPr="005736BB" w:rsidRDefault="00AC551D" w:rsidP="0073747A">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
                <w:bCs/>
                <w:color w:val="404040"/>
                <w:sz w:val="20"/>
                <w:szCs w:val="20"/>
                <w:lang w:val="en-AU" w:eastAsia="en-AU"/>
              </w:rPr>
            </w:pPr>
            <w:r w:rsidRPr="005736BB">
              <w:rPr>
                <w:rFonts w:asciiTheme="minorHAnsi" w:eastAsia="Times New Roman" w:hAnsiTheme="minorHAnsi" w:cstheme="minorHAnsi"/>
                <w:b/>
                <w:bCs/>
                <w:color w:val="404040"/>
                <w:sz w:val="20"/>
                <w:szCs w:val="20"/>
                <w:lang w:val="en-AU" w:eastAsia="en-AU"/>
              </w:rPr>
              <w:t>Effectiveness</w:t>
            </w:r>
          </w:p>
        </w:tc>
        <w:tc>
          <w:tcPr>
            <w:tcW w:w="0" w:type="dxa"/>
            <w:shd w:val="clear" w:color="auto" w:fill="A2DCD1" w:themeFill="accent1" w:themeFillTint="99"/>
            <w:noWrap/>
            <w:vAlign w:val="center"/>
            <w:hideMark/>
          </w:tcPr>
          <w:p w14:paraId="7B4698B4" w14:textId="77777777" w:rsidR="00AC551D" w:rsidRPr="005736BB" w:rsidRDefault="00AC551D" w:rsidP="0073747A">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
                <w:bCs/>
                <w:color w:val="404040"/>
                <w:sz w:val="20"/>
                <w:szCs w:val="20"/>
                <w:lang w:val="en-AU" w:eastAsia="en-AU"/>
              </w:rPr>
            </w:pPr>
            <w:r w:rsidRPr="005736BB">
              <w:rPr>
                <w:rFonts w:asciiTheme="minorHAnsi" w:eastAsia="Times New Roman" w:hAnsiTheme="minorHAnsi" w:cstheme="minorHAnsi"/>
                <w:b/>
                <w:bCs/>
                <w:color w:val="404040"/>
                <w:sz w:val="20"/>
                <w:szCs w:val="20"/>
                <w:lang w:val="en-AU" w:eastAsia="en-AU"/>
              </w:rPr>
              <w:t>Efficiency</w:t>
            </w:r>
          </w:p>
        </w:tc>
        <w:tc>
          <w:tcPr>
            <w:tcW w:w="0" w:type="dxa"/>
            <w:shd w:val="clear" w:color="auto" w:fill="A2DCD1" w:themeFill="accent1" w:themeFillTint="99"/>
            <w:noWrap/>
            <w:vAlign w:val="center"/>
            <w:hideMark/>
          </w:tcPr>
          <w:p w14:paraId="5E5D38EF" w14:textId="4CC6B5C6" w:rsidR="00AC551D" w:rsidRPr="005736BB" w:rsidRDefault="00AC551D" w:rsidP="0073747A">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
                <w:bCs/>
                <w:color w:val="404040"/>
                <w:sz w:val="20"/>
                <w:szCs w:val="20"/>
                <w:lang w:val="en-AU" w:eastAsia="en-AU"/>
              </w:rPr>
            </w:pPr>
            <w:r w:rsidRPr="005736BB">
              <w:rPr>
                <w:rFonts w:asciiTheme="minorHAnsi" w:eastAsia="Times New Roman" w:hAnsiTheme="minorHAnsi" w:cstheme="minorHAnsi"/>
                <w:b/>
                <w:bCs/>
                <w:color w:val="404040"/>
                <w:sz w:val="20"/>
                <w:szCs w:val="20"/>
                <w:lang w:val="en-AU" w:eastAsia="en-AU"/>
              </w:rPr>
              <w:t>Gender Equality</w:t>
            </w:r>
          </w:p>
        </w:tc>
      </w:tr>
      <w:tr w:rsidR="0073747A" w:rsidRPr="00AF18F4" w14:paraId="1867487D" w14:textId="77777777" w:rsidTr="0073747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949" w:type="dxa"/>
            <w:tcBorders>
              <w:bottom w:val="nil"/>
            </w:tcBorders>
            <w:shd w:val="clear" w:color="auto" w:fill="F2F2F2" w:themeFill="background1" w:themeFillShade="F2"/>
            <w:vAlign w:val="center"/>
            <w:hideMark/>
          </w:tcPr>
          <w:p w14:paraId="2E831155" w14:textId="07315E74" w:rsidR="0015404A" w:rsidRPr="00F1364F" w:rsidRDefault="0015404A" w:rsidP="00B703BC">
            <w:pPr>
              <w:suppressAutoHyphens w:val="0"/>
              <w:spacing w:before="0" w:after="0" w:line="240" w:lineRule="auto"/>
              <w:rPr>
                <w:rFonts w:asciiTheme="minorHAnsi" w:eastAsia="Times New Roman" w:hAnsiTheme="minorHAnsi" w:cstheme="minorHAnsi"/>
                <w:b/>
                <w:bCs/>
                <w:sz w:val="20"/>
                <w:szCs w:val="20"/>
                <w:lang w:val="en-AU" w:eastAsia="en-AU"/>
              </w:rPr>
            </w:pPr>
            <w:r w:rsidRPr="00F1364F">
              <w:rPr>
                <w:rFonts w:asciiTheme="minorHAnsi" w:eastAsia="Times New Roman" w:hAnsiTheme="minorHAnsi" w:cstheme="minorHAnsi"/>
                <w:b/>
                <w:bCs/>
                <w:sz w:val="20"/>
                <w:szCs w:val="20"/>
                <w:lang w:eastAsia="en-AU"/>
              </w:rPr>
              <w:t xml:space="preserve">Strategic Partnership Arrangement with BRAC </w:t>
            </w:r>
            <w:r w:rsidR="005314DD">
              <w:rPr>
                <w:rFonts w:asciiTheme="minorHAnsi" w:eastAsia="Times New Roman" w:hAnsiTheme="minorHAnsi" w:cstheme="minorHAnsi"/>
                <w:b/>
                <w:bCs/>
                <w:sz w:val="20"/>
                <w:szCs w:val="20"/>
                <w:lang w:eastAsia="en-AU"/>
              </w:rPr>
              <w:t>P</w:t>
            </w:r>
            <w:r w:rsidRPr="00F1364F">
              <w:rPr>
                <w:rFonts w:asciiTheme="minorHAnsi" w:eastAsia="Times New Roman" w:hAnsiTheme="minorHAnsi" w:cstheme="minorHAnsi"/>
                <w:b/>
                <w:bCs/>
                <w:sz w:val="20"/>
                <w:szCs w:val="20"/>
                <w:lang w:eastAsia="en-AU"/>
              </w:rPr>
              <w:t>hase 2</w:t>
            </w:r>
          </w:p>
        </w:tc>
        <w:tc>
          <w:tcPr>
            <w:tcW w:w="992" w:type="dxa"/>
            <w:shd w:val="clear" w:color="auto" w:fill="F2F2F2" w:themeFill="background1" w:themeFillShade="F2"/>
            <w:vAlign w:val="center"/>
            <w:hideMark/>
          </w:tcPr>
          <w:p w14:paraId="753CB627" w14:textId="77777777" w:rsidR="0015404A" w:rsidRPr="00F1364F" w:rsidRDefault="0015404A" w:rsidP="0073747A">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en-AU" w:eastAsia="en-AU"/>
              </w:rPr>
            </w:pPr>
            <w:r w:rsidRPr="00F1364F">
              <w:rPr>
                <w:rFonts w:asciiTheme="minorHAnsi" w:eastAsia="Times New Roman" w:hAnsiTheme="minorHAnsi" w:cstheme="minorHAnsi"/>
                <w:sz w:val="20"/>
                <w:szCs w:val="20"/>
                <w:lang w:eastAsia="en-AU"/>
              </w:rPr>
              <w:t>2021</w:t>
            </w:r>
          </w:p>
        </w:tc>
        <w:tc>
          <w:tcPr>
            <w:tcW w:w="1276" w:type="dxa"/>
            <w:shd w:val="clear" w:color="auto" w:fill="F2F2F2" w:themeFill="background1" w:themeFillShade="F2"/>
            <w:noWrap/>
            <w:vAlign w:val="center"/>
            <w:hideMark/>
          </w:tcPr>
          <w:p w14:paraId="3524F2ED" w14:textId="4A21DF47" w:rsidR="0015404A" w:rsidRPr="00F1364F" w:rsidRDefault="0015404A" w:rsidP="0073747A">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en-AU" w:eastAsia="en-AU"/>
              </w:rPr>
            </w:pPr>
            <w:r w:rsidRPr="00F1364F">
              <w:rPr>
                <w:rFonts w:asciiTheme="minorHAnsi" w:eastAsia="Times New Roman" w:hAnsiTheme="minorHAnsi" w:cstheme="minorHAnsi"/>
                <w:sz w:val="20"/>
                <w:szCs w:val="20"/>
                <w:lang w:eastAsia="en-AU"/>
              </w:rPr>
              <w:t>5</w:t>
            </w:r>
          </w:p>
        </w:tc>
        <w:tc>
          <w:tcPr>
            <w:tcW w:w="1134" w:type="dxa"/>
            <w:shd w:val="clear" w:color="auto" w:fill="F2F2F2" w:themeFill="background1" w:themeFillShade="F2"/>
            <w:noWrap/>
            <w:vAlign w:val="center"/>
            <w:hideMark/>
          </w:tcPr>
          <w:p w14:paraId="65883235" w14:textId="79C5802E" w:rsidR="0015404A" w:rsidRPr="00F1364F" w:rsidRDefault="0015404A" w:rsidP="0073747A">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en-AU" w:eastAsia="en-AU"/>
              </w:rPr>
            </w:pPr>
            <w:r w:rsidRPr="00F1364F">
              <w:rPr>
                <w:rFonts w:asciiTheme="minorHAnsi" w:eastAsia="Times New Roman" w:hAnsiTheme="minorHAnsi" w:cstheme="minorHAnsi"/>
                <w:sz w:val="20"/>
                <w:szCs w:val="20"/>
                <w:lang w:eastAsia="en-AU"/>
              </w:rPr>
              <w:t>5</w:t>
            </w:r>
          </w:p>
        </w:tc>
        <w:tc>
          <w:tcPr>
            <w:tcW w:w="1276" w:type="dxa"/>
            <w:shd w:val="clear" w:color="auto" w:fill="F2F2F2" w:themeFill="background1" w:themeFillShade="F2"/>
            <w:noWrap/>
            <w:vAlign w:val="center"/>
            <w:hideMark/>
          </w:tcPr>
          <w:p w14:paraId="34FAF95D" w14:textId="77777777" w:rsidR="0015404A" w:rsidRPr="00F1364F" w:rsidRDefault="0015404A" w:rsidP="0073747A">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en-AU" w:eastAsia="en-AU"/>
              </w:rPr>
            </w:pPr>
            <w:r w:rsidRPr="00F1364F">
              <w:rPr>
                <w:rFonts w:asciiTheme="minorHAnsi" w:eastAsia="Times New Roman" w:hAnsiTheme="minorHAnsi" w:cstheme="minorHAnsi"/>
                <w:sz w:val="20"/>
                <w:szCs w:val="20"/>
                <w:lang w:eastAsia="en-AU"/>
              </w:rPr>
              <w:t>5</w:t>
            </w:r>
          </w:p>
        </w:tc>
      </w:tr>
      <w:tr w:rsidR="0073747A" w:rsidRPr="00AF18F4" w14:paraId="3F9940CA" w14:textId="77777777" w:rsidTr="0073747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949" w:type="dxa"/>
            <w:tcBorders>
              <w:top w:val="nil"/>
            </w:tcBorders>
            <w:shd w:val="clear" w:color="auto" w:fill="F2F2F2" w:themeFill="background1" w:themeFillShade="F2"/>
            <w:hideMark/>
          </w:tcPr>
          <w:p w14:paraId="4D54A0A0" w14:textId="27828E03" w:rsidR="0015404A" w:rsidRPr="00F1364F" w:rsidRDefault="0015404A" w:rsidP="0073747A">
            <w:pPr>
              <w:suppressAutoHyphens w:val="0"/>
              <w:spacing w:before="0" w:after="0" w:line="240" w:lineRule="auto"/>
              <w:rPr>
                <w:rFonts w:asciiTheme="minorHAnsi" w:eastAsia="Times New Roman" w:hAnsiTheme="minorHAnsi" w:cstheme="minorHAnsi"/>
                <w:sz w:val="20"/>
                <w:szCs w:val="20"/>
                <w:lang w:val="en-AU" w:eastAsia="en-AU"/>
              </w:rPr>
            </w:pPr>
            <w:r w:rsidRPr="00F1364F">
              <w:rPr>
                <w:rFonts w:asciiTheme="minorHAnsi" w:eastAsia="Times New Roman" w:hAnsiTheme="minorHAnsi" w:cstheme="minorHAnsi"/>
                <w:sz w:val="20"/>
                <w:szCs w:val="20"/>
                <w:lang w:val="en-AU" w:eastAsia="en-AU"/>
              </w:rPr>
              <w:t>Investment duration: 2016-21; Budget: $114.5m</w:t>
            </w:r>
          </w:p>
        </w:tc>
        <w:tc>
          <w:tcPr>
            <w:tcW w:w="992" w:type="dxa"/>
            <w:shd w:val="clear" w:color="auto" w:fill="F2F2F2" w:themeFill="background1" w:themeFillShade="F2"/>
            <w:hideMark/>
          </w:tcPr>
          <w:p w14:paraId="42A30353" w14:textId="77777777" w:rsidR="0015404A" w:rsidRPr="00F1364F" w:rsidRDefault="0015404A" w:rsidP="0073747A">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en-AU" w:eastAsia="en-AU"/>
              </w:rPr>
            </w:pPr>
            <w:r w:rsidRPr="00F1364F">
              <w:rPr>
                <w:rFonts w:asciiTheme="minorHAnsi" w:eastAsia="Times New Roman" w:hAnsiTheme="minorHAnsi" w:cstheme="minorHAnsi"/>
                <w:sz w:val="20"/>
                <w:szCs w:val="20"/>
                <w:lang w:eastAsia="en-AU"/>
              </w:rPr>
              <w:t>2020</w:t>
            </w:r>
          </w:p>
        </w:tc>
        <w:tc>
          <w:tcPr>
            <w:tcW w:w="1276" w:type="dxa"/>
            <w:shd w:val="clear" w:color="auto" w:fill="F2F2F2" w:themeFill="background1" w:themeFillShade="F2"/>
            <w:noWrap/>
            <w:hideMark/>
          </w:tcPr>
          <w:p w14:paraId="02C361E5" w14:textId="107F8129" w:rsidR="0015404A" w:rsidRPr="00F1364F" w:rsidRDefault="0015404A" w:rsidP="0073747A">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en-AU" w:eastAsia="en-AU"/>
              </w:rPr>
            </w:pPr>
            <w:r w:rsidRPr="00F1364F">
              <w:rPr>
                <w:rFonts w:asciiTheme="minorHAnsi" w:eastAsia="Times New Roman" w:hAnsiTheme="minorHAnsi" w:cstheme="minorHAnsi"/>
                <w:sz w:val="20"/>
                <w:szCs w:val="20"/>
                <w:lang w:val="en-AU" w:eastAsia="en-AU"/>
              </w:rPr>
              <w:t>5</w:t>
            </w:r>
          </w:p>
        </w:tc>
        <w:tc>
          <w:tcPr>
            <w:tcW w:w="1134" w:type="dxa"/>
            <w:shd w:val="clear" w:color="auto" w:fill="F2F2F2" w:themeFill="background1" w:themeFillShade="F2"/>
            <w:noWrap/>
            <w:hideMark/>
          </w:tcPr>
          <w:p w14:paraId="1C8F4065" w14:textId="28D3648A" w:rsidR="0015404A" w:rsidRPr="00F1364F" w:rsidRDefault="0015404A" w:rsidP="0073747A">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en-AU" w:eastAsia="en-AU"/>
              </w:rPr>
            </w:pPr>
            <w:r w:rsidRPr="00F1364F">
              <w:rPr>
                <w:rFonts w:asciiTheme="minorHAnsi" w:eastAsia="Times New Roman" w:hAnsiTheme="minorHAnsi" w:cstheme="minorHAnsi"/>
                <w:sz w:val="20"/>
                <w:szCs w:val="20"/>
                <w:lang w:val="en-AU" w:eastAsia="en-AU"/>
              </w:rPr>
              <w:t>5</w:t>
            </w:r>
          </w:p>
        </w:tc>
        <w:tc>
          <w:tcPr>
            <w:tcW w:w="1276" w:type="dxa"/>
            <w:shd w:val="clear" w:color="auto" w:fill="F2F2F2" w:themeFill="background1" w:themeFillShade="F2"/>
            <w:noWrap/>
            <w:hideMark/>
          </w:tcPr>
          <w:p w14:paraId="3EA630FF" w14:textId="2A8B38E4" w:rsidR="0015404A" w:rsidRPr="00F1364F" w:rsidRDefault="0015404A" w:rsidP="0073747A">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en-AU" w:eastAsia="en-AU"/>
              </w:rPr>
            </w:pPr>
            <w:r w:rsidRPr="00F1364F">
              <w:rPr>
                <w:rFonts w:asciiTheme="minorHAnsi" w:eastAsia="Times New Roman" w:hAnsiTheme="minorHAnsi" w:cstheme="minorHAnsi"/>
                <w:sz w:val="20"/>
                <w:szCs w:val="20"/>
                <w:lang w:eastAsia="en-AU"/>
              </w:rPr>
              <w:t>5</w:t>
            </w:r>
          </w:p>
        </w:tc>
      </w:tr>
      <w:tr w:rsidR="0073747A" w:rsidRPr="00AF18F4" w14:paraId="664415AC" w14:textId="77777777" w:rsidTr="0073747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949" w:type="dxa"/>
            <w:tcBorders>
              <w:bottom w:val="nil"/>
            </w:tcBorders>
            <w:shd w:val="clear" w:color="auto" w:fill="E0F3EF" w:themeFill="accent1" w:themeFillTint="33"/>
            <w:noWrap/>
            <w:vAlign w:val="center"/>
            <w:hideMark/>
          </w:tcPr>
          <w:p w14:paraId="75576776" w14:textId="4C80E080" w:rsidR="0015404A" w:rsidRPr="00F1364F" w:rsidRDefault="0015404A" w:rsidP="00B703BC">
            <w:pPr>
              <w:suppressAutoHyphens w:val="0"/>
              <w:spacing w:before="0" w:after="0" w:line="240" w:lineRule="auto"/>
              <w:rPr>
                <w:rFonts w:asciiTheme="minorHAnsi" w:eastAsia="Times New Roman" w:hAnsiTheme="minorHAnsi" w:cstheme="minorHAnsi"/>
                <w:b/>
                <w:bCs/>
                <w:sz w:val="20"/>
                <w:szCs w:val="20"/>
                <w:lang w:val="en-AU" w:eastAsia="en-AU"/>
              </w:rPr>
            </w:pPr>
            <w:r w:rsidRPr="00F1364F">
              <w:rPr>
                <w:rFonts w:asciiTheme="minorHAnsi" w:eastAsia="Times New Roman" w:hAnsiTheme="minorHAnsi" w:cstheme="minorHAnsi"/>
                <w:b/>
                <w:bCs/>
                <w:sz w:val="20"/>
                <w:szCs w:val="20"/>
                <w:lang w:val="en-AU" w:eastAsia="en-AU"/>
              </w:rPr>
              <w:t>Skills for Economic Growth and Prosperity</w:t>
            </w:r>
          </w:p>
        </w:tc>
        <w:tc>
          <w:tcPr>
            <w:tcW w:w="992" w:type="dxa"/>
            <w:shd w:val="clear" w:color="auto" w:fill="E0F3EF" w:themeFill="accent1" w:themeFillTint="33"/>
            <w:hideMark/>
          </w:tcPr>
          <w:p w14:paraId="35291127" w14:textId="77777777" w:rsidR="0015404A" w:rsidRPr="00F1364F" w:rsidRDefault="0015404A" w:rsidP="0073747A">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en-AU" w:eastAsia="en-AU"/>
              </w:rPr>
            </w:pPr>
            <w:r w:rsidRPr="00F1364F">
              <w:rPr>
                <w:rFonts w:asciiTheme="minorHAnsi" w:eastAsia="Times New Roman" w:hAnsiTheme="minorHAnsi" w:cstheme="minorHAnsi"/>
                <w:sz w:val="20"/>
                <w:szCs w:val="20"/>
                <w:lang w:eastAsia="en-AU"/>
              </w:rPr>
              <w:t>2021</w:t>
            </w:r>
          </w:p>
        </w:tc>
        <w:tc>
          <w:tcPr>
            <w:tcW w:w="1276" w:type="dxa"/>
            <w:shd w:val="clear" w:color="auto" w:fill="E0F3EF" w:themeFill="accent1" w:themeFillTint="33"/>
            <w:noWrap/>
            <w:hideMark/>
          </w:tcPr>
          <w:p w14:paraId="0383E59B" w14:textId="6531DF70" w:rsidR="0015404A" w:rsidRPr="00F1364F" w:rsidRDefault="0015404A" w:rsidP="0073747A">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en-AU" w:eastAsia="en-AU"/>
              </w:rPr>
            </w:pPr>
            <w:r w:rsidRPr="00F1364F">
              <w:rPr>
                <w:rFonts w:asciiTheme="minorHAnsi" w:eastAsia="Times New Roman" w:hAnsiTheme="minorHAnsi" w:cstheme="minorHAnsi"/>
                <w:sz w:val="20"/>
                <w:szCs w:val="20"/>
                <w:lang w:eastAsia="en-AU"/>
              </w:rPr>
              <w:t>4</w:t>
            </w:r>
          </w:p>
        </w:tc>
        <w:tc>
          <w:tcPr>
            <w:tcW w:w="1134" w:type="dxa"/>
            <w:shd w:val="clear" w:color="auto" w:fill="E0F3EF" w:themeFill="accent1" w:themeFillTint="33"/>
            <w:noWrap/>
            <w:hideMark/>
          </w:tcPr>
          <w:p w14:paraId="760C1604" w14:textId="4555C585" w:rsidR="0015404A" w:rsidRPr="00F1364F" w:rsidRDefault="0015404A" w:rsidP="0073747A">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en-AU" w:eastAsia="en-AU"/>
              </w:rPr>
            </w:pPr>
            <w:r w:rsidRPr="00F1364F">
              <w:rPr>
                <w:rFonts w:asciiTheme="minorHAnsi" w:eastAsia="Times New Roman" w:hAnsiTheme="minorHAnsi" w:cstheme="minorHAnsi"/>
                <w:sz w:val="20"/>
                <w:szCs w:val="20"/>
                <w:lang w:val="en-AU" w:eastAsia="en-AU"/>
              </w:rPr>
              <w:t>5</w:t>
            </w:r>
          </w:p>
        </w:tc>
        <w:tc>
          <w:tcPr>
            <w:tcW w:w="1276" w:type="dxa"/>
            <w:shd w:val="clear" w:color="auto" w:fill="E0F3EF" w:themeFill="accent1" w:themeFillTint="33"/>
            <w:noWrap/>
            <w:hideMark/>
          </w:tcPr>
          <w:p w14:paraId="48B585D3" w14:textId="4E1DB4BA" w:rsidR="0015404A" w:rsidRPr="00F1364F" w:rsidRDefault="0015404A" w:rsidP="0073747A">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en-AU" w:eastAsia="en-AU"/>
              </w:rPr>
            </w:pPr>
            <w:r w:rsidRPr="00F1364F">
              <w:rPr>
                <w:rFonts w:asciiTheme="minorHAnsi" w:eastAsia="Times New Roman" w:hAnsiTheme="minorHAnsi" w:cstheme="minorHAnsi"/>
                <w:sz w:val="20"/>
                <w:szCs w:val="20"/>
                <w:lang w:eastAsia="en-AU"/>
              </w:rPr>
              <w:t>4</w:t>
            </w:r>
          </w:p>
        </w:tc>
      </w:tr>
      <w:tr w:rsidR="0073747A" w:rsidRPr="00AF18F4" w14:paraId="5EA4A873" w14:textId="77777777" w:rsidTr="0073747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949" w:type="dxa"/>
            <w:tcBorders>
              <w:top w:val="nil"/>
            </w:tcBorders>
            <w:shd w:val="clear" w:color="auto" w:fill="E0F3EF" w:themeFill="accent1" w:themeFillTint="33"/>
            <w:hideMark/>
          </w:tcPr>
          <w:p w14:paraId="5D004B83" w14:textId="06A6C929" w:rsidR="0015404A" w:rsidRPr="00F1364F" w:rsidRDefault="0015404A" w:rsidP="0073747A">
            <w:pPr>
              <w:suppressAutoHyphens w:val="0"/>
              <w:spacing w:before="0" w:after="0" w:line="240" w:lineRule="auto"/>
              <w:rPr>
                <w:rFonts w:asciiTheme="minorHAnsi" w:eastAsia="Times New Roman" w:hAnsiTheme="minorHAnsi" w:cstheme="minorHAnsi"/>
                <w:sz w:val="20"/>
                <w:szCs w:val="20"/>
                <w:lang w:val="en-AU" w:eastAsia="en-AU"/>
              </w:rPr>
            </w:pPr>
            <w:r w:rsidRPr="00F1364F">
              <w:rPr>
                <w:rFonts w:asciiTheme="minorHAnsi" w:eastAsia="Times New Roman" w:hAnsiTheme="minorHAnsi" w:cstheme="minorHAnsi"/>
                <w:sz w:val="20"/>
                <w:szCs w:val="20"/>
                <w:lang w:val="en-AU" w:eastAsia="en-AU"/>
              </w:rPr>
              <w:t>Investment duration: 2018-22; Budget: $12m</w:t>
            </w:r>
          </w:p>
        </w:tc>
        <w:tc>
          <w:tcPr>
            <w:tcW w:w="992" w:type="dxa"/>
            <w:shd w:val="clear" w:color="auto" w:fill="E0F3EF" w:themeFill="accent1" w:themeFillTint="33"/>
            <w:hideMark/>
          </w:tcPr>
          <w:p w14:paraId="6F5DCD3C" w14:textId="77777777" w:rsidR="0015404A" w:rsidRPr="00F1364F" w:rsidRDefault="0015404A" w:rsidP="0073747A">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en-AU" w:eastAsia="en-AU"/>
              </w:rPr>
            </w:pPr>
            <w:r w:rsidRPr="00F1364F">
              <w:rPr>
                <w:rFonts w:asciiTheme="minorHAnsi" w:eastAsia="Times New Roman" w:hAnsiTheme="minorHAnsi" w:cstheme="minorHAnsi"/>
                <w:sz w:val="20"/>
                <w:szCs w:val="20"/>
                <w:lang w:eastAsia="en-AU"/>
              </w:rPr>
              <w:t>2020</w:t>
            </w:r>
          </w:p>
        </w:tc>
        <w:tc>
          <w:tcPr>
            <w:tcW w:w="1276" w:type="dxa"/>
            <w:shd w:val="clear" w:color="auto" w:fill="E0F3EF" w:themeFill="accent1" w:themeFillTint="33"/>
            <w:noWrap/>
            <w:hideMark/>
          </w:tcPr>
          <w:p w14:paraId="7C975F2B" w14:textId="046E7CB8" w:rsidR="0015404A" w:rsidRPr="00F1364F" w:rsidRDefault="0015404A" w:rsidP="0073747A">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en-AU" w:eastAsia="en-AU"/>
              </w:rPr>
            </w:pPr>
            <w:r w:rsidRPr="00F1364F">
              <w:rPr>
                <w:rFonts w:asciiTheme="minorHAnsi" w:eastAsia="Times New Roman" w:hAnsiTheme="minorHAnsi" w:cstheme="minorHAnsi"/>
                <w:sz w:val="20"/>
                <w:szCs w:val="20"/>
                <w:lang w:eastAsia="en-AU"/>
              </w:rPr>
              <w:t>5</w:t>
            </w:r>
          </w:p>
        </w:tc>
        <w:tc>
          <w:tcPr>
            <w:tcW w:w="1134" w:type="dxa"/>
            <w:shd w:val="clear" w:color="auto" w:fill="E0F3EF" w:themeFill="accent1" w:themeFillTint="33"/>
            <w:noWrap/>
            <w:hideMark/>
          </w:tcPr>
          <w:p w14:paraId="562AF5DF" w14:textId="1DB35758" w:rsidR="0015404A" w:rsidRPr="00F1364F" w:rsidRDefault="0015404A" w:rsidP="0073747A">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en-AU" w:eastAsia="en-AU"/>
              </w:rPr>
            </w:pPr>
            <w:r w:rsidRPr="00F1364F">
              <w:rPr>
                <w:rFonts w:asciiTheme="minorHAnsi" w:eastAsia="Times New Roman" w:hAnsiTheme="minorHAnsi" w:cstheme="minorHAnsi"/>
                <w:sz w:val="20"/>
                <w:szCs w:val="20"/>
                <w:lang w:val="en-AU" w:eastAsia="en-AU"/>
              </w:rPr>
              <w:t>5</w:t>
            </w:r>
          </w:p>
        </w:tc>
        <w:tc>
          <w:tcPr>
            <w:tcW w:w="1276" w:type="dxa"/>
            <w:shd w:val="clear" w:color="auto" w:fill="E0F3EF" w:themeFill="accent1" w:themeFillTint="33"/>
            <w:noWrap/>
            <w:hideMark/>
          </w:tcPr>
          <w:p w14:paraId="49275297" w14:textId="66AD60FE" w:rsidR="0015404A" w:rsidRPr="00F1364F" w:rsidRDefault="0015404A" w:rsidP="0073747A">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en-AU" w:eastAsia="en-AU"/>
              </w:rPr>
            </w:pPr>
            <w:r w:rsidRPr="00F1364F">
              <w:rPr>
                <w:rFonts w:asciiTheme="minorHAnsi" w:eastAsia="Times New Roman" w:hAnsiTheme="minorHAnsi" w:cstheme="minorHAnsi"/>
                <w:sz w:val="20"/>
                <w:szCs w:val="20"/>
                <w:lang w:eastAsia="en-AU"/>
              </w:rPr>
              <w:t>4</w:t>
            </w:r>
          </w:p>
        </w:tc>
      </w:tr>
      <w:tr w:rsidR="0073747A" w:rsidRPr="00AF18F4" w14:paraId="7C3C602D" w14:textId="77777777" w:rsidTr="0073747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949" w:type="dxa"/>
            <w:tcBorders>
              <w:bottom w:val="nil"/>
            </w:tcBorders>
            <w:shd w:val="clear" w:color="auto" w:fill="F2F2F2" w:themeFill="background1" w:themeFillShade="F2"/>
            <w:noWrap/>
            <w:vAlign w:val="center"/>
            <w:hideMark/>
          </w:tcPr>
          <w:p w14:paraId="6DDF2B53" w14:textId="7A8E9F44" w:rsidR="00080D47" w:rsidRPr="00CA5021" w:rsidRDefault="00080D47" w:rsidP="00B703BC">
            <w:pPr>
              <w:suppressAutoHyphens w:val="0"/>
              <w:spacing w:before="0" w:after="0" w:line="240" w:lineRule="auto"/>
              <w:rPr>
                <w:rFonts w:asciiTheme="minorHAnsi" w:eastAsia="Times New Roman" w:hAnsiTheme="minorHAnsi" w:cstheme="minorHAnsi"/>
                <w:b/>
                <w:bCs/>
                <w:color w:val="404040"/>
                <w:sz w:val="20"/>
                <w:szCs w:val="20"/>
                <w:lang w:val="en-AU" w:eastAsia="en-AU"/>
              </w:rPr>
            </w:pPr>
            <w:r>
              <w:rPr>
                <w:rFonts w:asciiTheme="minorHAnsi" w:eastAsia="Times New Roman" w:hAnsiTheme="minorHAnsi" w:cstheme="minorHAnsi"/>
                <w:b/>
                <w:bCs/>
                <w:color w:val="404040"/>
                <w:sz w:val="20"/>
                <w:szCs w:val="20"/>
                <w:lang w:eastAsia="en-AU"/>
              </w:rPr>
              <w:t>Bangladesh Rohingya and Host Community Package</w:t>
            </w:r>
          </w:p>
        </w:tc>
        <w:tc>
          <w:tcPr>
            <w:tcW w:w="992" w:type="dxa"/>
            <w:shd w:val="clear" w:color="auto" w:fill="F2F2F2" w:themeFill="background1" w:themeFillShade="F2"/>
            <w:hideMark/>
          </w:tcPr>
          <w:p w14:paraId="258E1068" w14:textId="77777777" w:rsidR="00080D47" w:rsidRPr="00B703BC" w:rsidRDefault="00080D47" w:rsidP="0073747A">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eastAsia="en-AU"/>
              </w:rPr>
            </w:pPr>
            <w:r w:rsidRPr="00B703BC">
              <w:rPr>
                <w:rFonts w:eastAsia="Times New Roman" w:cstheme="minorHAnsi"/>
                <w:sz w:val="20"/>
                <w:szCs w:val="20"/>
                <w:lang w:eastAsia="en-AU"/>
              </w:rPr>
              <w:t>2021</w:t>
            </w:r>
          </w:p>
        </w:tc>
        <w:tc>
          <w:tcPr>
            <w:tcW w:w="1276" w:type="dxa"/>
            <w:shd w:val="clear" w:color="auto" w:fill="F2F2F2" w:themeFill="background1" w:themeFillShade="F2"/>
            <w:noWrap/>
            <w:hideMark/>
          </w:tcPr>
          <w:p w14:paraId="561825FE" w14:textId="77777777" w:rsidR="00080D47" w:rsidRPr="00B703BC" w:rsidRDefault="00080D47" w:rsidP="0073747A">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en-AU" w:eastAsia="en-AU"/>
              </w:rPr>
            </w:pPr>
            <w:r w:rsidRPr="00B703BC">
              <w:rPr>
                <w:rFonts w:eastAsia="Times New Roman" w:cstheme="minorHAnsi"/>
                <w:sz w:val="20"/>
                <w:szCs w:val="20"/>
                <w:lang w:val="en-AU" w:eastAsia="en-AU"/>
              </w:rPr>
              <w:t>4</w:t>
            </w:r>
          </w:p>
        </w:tc>
        <w:tc>
          <w:tcPr>
            <w:tcW w:w="1134" w:type="dxa"/>
            <w:shd w:val="clear" w:color="auto" w:fill="F2F2F2" w:themeFill="background1" w:themeFillShade="F2"/>
            <w:noWrap/>
            <w:hideMark/>
          </w:tcPr>
          <w:p w14:paraId="777674A9" w14:textId="37749141" w:rsidR="00080D47" w:rsidRPr="00B703BC" w:rsidRDefault="00080D47" w:rsidP="0073747A">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en-AU" w:eastAsia="en-AU"/>
              </w:rPr>
            </w:pPr>
            <w:r w:rsidRPr="00B703BC">
              <w:rPr>
                <w:rFonts w:eastAsia="Times New Roman" w:cstheme="minorHAnsi"/>
                <w:sz w:val="20"/>
                <w:szCs w:val="20"/>
                <w:lang w:val="en-AU" w:eastAsia="en-AU"/>
              </w:rPr>
              <w:t>5</w:t>
            </w:r>
          </w:p>
        </w:tc>
        <w:tc>
          <w:tcPr>
            <w:tcW w:w="1276" w:type="dxa"/>
            <w:shd w:val="clear" w:color="auto" w:fill="F2F2F2" w:themeFill="background1" w:themeFillShade="F2"/>
            <w:noWrap/>
            <w:hideMark/>
          </w:tcPr>
          <w:p w14:paraId="16666D1C" w14:textId="0DF52CB4" w:rsidR="00080D47" w:rsidRPr="00B703BC" w:rsidRDefault="00080D47" w:rsidP="0073747A">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en-AU" w:eastAsia="en-AU"/>
              </w:rPr>
            </w:pPr>
            <w:r w:rsidRPr="00B703BC">
              <w:rPr>
                <w:rFonts w:eastAsia="Times New Roman" w:cstheme="minorHAnsi"/>
                <w:sz w:val="20"/>
                <w:szCs w:val="20"/>
                <w:lang w:val="en-AU" w:eastAsia="en-AU"/>
              </w:rPr>
              <w:t>5</w:t>
            </w:r>
          </w:p>
        </w:tc>
      </w:tr>
      <w:tr w:rsidR="0073747A" w:rsidRPr="00AF18F4" w14:paraId="173568D7" w14:textId="77777777" w:rsidTr="0073747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949" w:type="dxa"/>
            <w:tcBorders>
              <w:top w:val="nil"/>
            </w:tcBorders>
            <w:shd w:val="clear" w:color="auto" w:fill="F2F2F2" w:themeFill="background1" w:themeFillShade="F2"/>
            <w:vAlign w:val="center"/>
            <w:hideMark/>
          </w:tcPr>
          <w:p w14:paraId="3342A73E" w14:textId="2095B5E4" w:rsidR="00080D47" w:rsidRPr="00CA5021" w:rsidRDefault="0015404A" w:rsidP="0073747A">
            <w:pPr>
              <w:suppressAutoHyphens w:val="0"/>
              <w:spacing w:before="0" w:after="0" w:line="240" w:lineRule="auto"/>
              <w:rPr>
                <w:rFonts w:asciiTheme="minorHAnsi" w:eastAsia="Times New Roman" w:hAnsiTheme="minorHAnsi" w:cstheme="minorHAnsi"/>
                <w:color w:val="404040"/>
                <w:sz w:val="20"/>
                <w:szCs w:val="20"/>
                <w:lang w:val="en-AU" w:eastAsia="en-AU"/>
              </w:rPr>
            </w:pPr>
            <w:r>
              <w:rPr>
                <w:rFonts w:asciiTheme="minorHAnsi" w:eastAsia="Times New Roman" w:hAnsiTheme="minorHAnsi" w:cstheme="minorHAnsi"/>
                <w:color w:val="404040"/>
                <w:sz w:val="20"/>
                <w:szCs w:val="20"/>
                <w:lang w:val="en-AU" w:eastAsia="en-AU"/>
              </w:rPr>
              <w:t>Investment d</w:t>
            </w:r>
            <w:r w:rsidRPr="00CA5021">
              <w:rPr>
                <w:rFonts w:asciiTheme="minorHAnsi" w:eastAsia="Times New Roman" w:hAnsiTheme="minorHAnsi" w:cstheme="minorHAnsi"/>
                <w:color w:val="404040"/>
                <w:sz w:val="20"/>
                <w:szCs w:val="20"/>
                <w:lang w:val="en-AU" w:eastAsia="en-AU"/>
              </w:rPr>
              <w:t xml:space="preserve">uration: </w:t>
            </w:r>
            <w:r>
              <w:rPr>
                <w:rFonts w:asciiTheme="minorHAnsi" w:eastAsia="Times New Roman" w:hAnsiTheme="minorHAnsi" w:cstheme="minorHAnsi"/>
                <w:color w:val="404040"/>
                <w:sz w:val="20"/>
                <w:szCs w:val="20"/>
                <w:lang w:val="en-AU" w:eastAsia="en-AU"/>
              </w:rPr>
              <w:t>2020-2022</w:t>
            </w:r>
            <w:r w:rsidRPr="00CA5021">
              <w:rPr>
                <w:rFonts w:asciiTheme="minorHAnsi" w:eastAsia="Times New Roman" w:hAnsiTheme="minorHAnsi" w:cstheme="minorHAnsi"/>
                <w:color w:val="404040"/>
                <w:sz w:val="20"/>
                <w:szCs w:val="20"/>
                <w:lang w:val="en-AU" w:eastAsia="en-AU"/>
              </w:rPr>
              <w:t xml:space="preserve">; </w:t>
            </w:r>
            <w:r>
              <w:rPr>
                <w:rFonts w:asciiTheme="minorHAnsi" w:eastAsia="Times New Roman" w:hAnsiTheme="minorHAnsi" w:cstheme="minorHAnsi"/>
                <w:color w:val="404040"/>
                <w:sz w:val="20"/>
                <w:szCs w:val="20"/>
                <w:lang w:val="en-AU" w:eastAsia="en-AU"/>
              </w:rPr>
              <w:t>Budget: $79.7m in 2020-21</w:t>
            </w:r>
          </w:p>
        </w:tc>
        <w:tc>
          <w:tcPr>
            <w:tcW w:w="992" w:type="dxa"/>
            <w:shd w:val="clear" w:color="auto" w:fill="F2F2F2" w:themeFill="background1" w:themeFillShade="F2"/>
            <w:hideMark/>
          </w:tcPr>
          <w:p w14:paraId="1F16C9F8" w14:textId="77777777" w:rsidR="00080D47" w:rsidRPr="00B703BC" w:rsidRDefault="00080D47" w:rsidP="0073747A">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eastAsia="en-AU"/>
              </w:rPr>
            </w:pPr>
            <w:r w:rsidRPr="00B703BC">
              <w:rPr>
                <w:rFonts w:eastAsia="Times New Roman" w:cstheme="minorHAnsi"/>
                <w:sz w:val="20"/>
                <w:szCs w:val="20"/>
                <w:lang w:eastAsia="en-AU"/>
              </w:rPr>
              <w:t>2020</w:t>
            </w:r>
          </w:p>
        </w:tc>
        <w:tc>
          <w:tcPr>
            <w:tcW w:w="1276" w:type="dxa"/>
            <w:shd w:val="clear" w:color="auto" w:fill="F2F2F2" w:themeFill="background1" w:themeFillShade="F2"/>
            <w:noWrap/>
            <w:hideMark/>
          </w:tcPr>
          <w:p w14:paraId="484EFDC5" w14:textId="1514AD64" w:rsidR="00080D47" w:rsidRPr="00B703BC" w:rsidRDefault="00080D47" w:rsidP="0073747A">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en-AU" w:eastAsia="en-AU"/>
              </w:rPr>
            </w:pPr>
            <w:r w:rsidRPr="00B703BC">
              <w:rPr>
                <w:rFonts w:eastAsia="Times New Roman" w:cstheme="minorHAnsi"/>
                <w:sz w:val="20"/>
                <w:szCs w:val="20"/>
                <w:lang w:val="en-AU" w:eastAsia="en-AU"/>
              </w:rPr>
              <w:t>n/a</w:t>
            </w:r>
          </w:p>
        </w:tc>
        <w:tc>
          <w:tcPr>
            <w:tcW w:w="1134" w:type="dxa"/>
            <w:shd w:val="clear" w:color="auto" w:fill="F2F2F2" w:themeFill="background1" w:themeFillShade="F2"/>
            <w:noWrap/>
            <w:hideMark/>
          </w:tcPr>
          <w:p w14:paraId="196A3DC5" w14:textId="554CA43A" w:rsidR="00080D47" w:rsidRPr="00B703BC" w:rsidRDefault="00080D47" w:rsidP="0073747A">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en-AU" w:eastAsia="en-AU"/>
              </w:rPr>
            </w:pPr>
            <w:r w:rsidRPr="00B703BC">
              <w:rPr>
                <w:rFonts w:eastAsia="Times New Roman" w:cstheme="minorHAnsi"/>
                <w:sz w:val="20"/>
                <w:szCs w:val="20"/>
                <w:lang w:val="en-AU" w:eastAsia="en-AU"/>
              </w:rPr>
              <w:t>n/a</w:t>
            </w:r>
          </w:p>
        </w:tc>
        <w:tc>
          <w:tcPr>
            <w:tcW w:w="1276" w:type="dxa"/>
            <w:shd w:val="clear" w:color="auto" w:fill="F2F2F2" w:themeFill="background1" w:themeFillShade="F2"/>
            <w:noWrap/>
            <w:hideMark/>
          </w:tcPr>
          <w:p w14:paraId="1BD061D2" w14:textId="77777777" w:rsidR="00080D47" w:rsidRPr="00B703BC" w:rsidRDefault="00080D47" w:rsidP="0073747A">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en-AU" w:eastAsia="en-AU"/>
              </w:rPr>
            </w:pPr>
            <w:r w:rsidRPr="00B703BC">
              <w:rPr>
                <w:rFonts w:eastAsia="Times New Roman" w:cstheme="minorHAnsi"/>
                <w:sz w:val="20"/>
                <w:szCs w:val="20"/>
                <w:lang w:val="en-AU" w:eastAsia="en-AU"/>
              </w:rPr>
              <w:t>n/a</w:t>
            </w:r>
          </w:p>
        </w:tc>
      </w:tr>
    </w:tbl>
    <w:p w14:paraId="17600418" w14:textId="71099437" w:rsidR="00681633" w:rsidRDefault="00681633" w:rsidP="007A4493">
      <w:pPr>
        <w:spacing w:before="240" w:after="0" w:line="240" w:lineRule="auto"/>
        <w:jc w:val="both"/>
        <w:rPr>
          <w:rFonts w:eastAsia="Times New Roman"/>
          <w:sz w:val="17"/>
          <w:szCs w:val="17"/>
        </w:rPr>
      </w:pPr>
      <w:r w:rsidRPr="00A05FF5">
        <w:rPr>
          <w:rFonts w:eastAsia="Times New Roman"/>
          <w:b/>
          <w:sz w:val="17"/>
          <w:szCs w:val="17"/>
        </w:rPr>
        <w:t>Definitions of rating scale</w:t>
      </w:r>
      <w:r w:rsidRPr="00A05FF5">
        <w:rPr>
          <w:rFonts w:eastAsia="Times New Roman"/>
          <w:sz w:val="17"/>
          <w:szCs w:val="17"/>
        </w:rPr>
        <w:t>:</w:t>
      </w:r>
      <w:r w:rsidRPr="00A05FF5">
        <w:rPr>
          <w:rFonts w:eastAsia="Times New Roman"/>
          <w:sz w:val="17"/>
          <w:szCs w:val="17"/>
        </w:rPr>
        <w:tab/>
      </w:r>
    </w:p>
    <w:p w14:paraId="5989C7B0" w14:textId="77777777" w:rsidR="00681633" w:rsidRPr="00787267" w:rsidRDefault="00681633" w:rsidP="00681633">
      <w:pPr>
        <w:spacing w:before="20" w:after="20" w:line="180" w:lineRule="atLeast"/>
        <w:jc w:val="both"/>
        <w:rPr>
          <w:rFonts w:eastAsia="Times New Roman"/>
          <w:sz w:val="17"/>
          <w:szCs w:val="17"/>
        </w:rPr>
      </w:pPr>
      <w:r w:rsidRPr="00787267">
        <w:rPr>
          <w:rFonts w:eastAsia="Times New Roman"/>
          <w:sz w:val="17"/>
          <w:szCs w:val="17"/>
          <w:u w:val="single"/>
        </w:rPr>
        <w:t>Satisfactory (4, 5 and 6)</w:t>
      </w:r>
    </w:p>
    <w:p w14:paraId="15BE82E8" w14:textId="77777777" w:rsidR="00681633" w:rsidRPr="00787267" w:rsidRDefault="00681633" w:rsidP="00681633">
      <w:pPr>
        <w:spacing w:line="240" w:lineRule="auto"/>
        <w:rPr>
          <w:sz w:val="16"/>
          <w:szCs w:val="16"/>
        </w:rPr>
      </w:pPr>
      <w:r w:rsidRPr="00787267">
        <w:rPr>
          <w:sz w:val="16"/>
          <w:szCs w:val="16"/>
        </w:rPr>
        <w:t xml:space="preserve">6 = Very good; satisfies criteria in all areas. </w:t>
      </w:r>
      <w:r>
        <w:rPr>
          <w:sz w:val="16"/>
          <w:szCs w:val="16"/>
        </w:rPr>
        <w:br/>
      </w:r>
      <w:r w:rsidRPr="00787267">
        <w:rPr>
          <w:sz w:val="16"/>
          <w:szCs w:val="16"/>
        </w:rPr>
        <w:t>5 = Good; satisfies criteria in almost all areas.</w:t>
      </w:r>
      <w:r>
        <w:rPr>
          <w:sz w:val="16"/>
          <w:szCs w:val="16"/>
        </w:rPr>
        <w:br/>
      </w:r>
      <w:r w:rsidRPr="00787267">
        <w:rPr>
          <w:sz w:val="16"/>
          <w:szCs w:val="16"/>
        </w:rPr>
        <w:t>4 = Adequate; on balance, satisfies criteria; does not fail in any major area.</w:t>
      </w:r>
    </w:p>
    <w:p w14:paraId="48B0BB33" w14:textId="77777777" w:rsidR="00681633" w:rsidRPr="00787267" w:rsidRDefault="00681633" w:rsidP="00681633">
      <w:pPr>
        <w:spacing w:line="240" w:lineRule="auto"/>
        <w:rPr>
          <w:sz w:val="16"/>
          <w:szCs w:val="16"/>
          <w:u w:val="single"/>
        </w:rPr>
      </w:pPr>
      <w:r w:rsidRPr="00787267">
        <w:rPr>
          <w:sz w:val="16"/>
          <w:szCs w:val="16"/>
          <w:u w:val="single"/>
        </w:rPr>
        <w:t>Less than satisfactory (1, 2 and 3)</w:t>
      </w:r>
    </w:p>
    <w:p w14:paraId="486536F6" w14:textId="77777777" w:rsidR="00153DB9" w:rsidRDefault="00681633" w:rsidP="00153DB9">
      <w:pPr>
        <w:spacing w:before="0" w:after="0" w:line="220" w:lineRule="exact"/>
        <w:rPr>
          <w:sz w:val="16"/>
          <w:szCs w:val="16"/>
        </w:rPr>
      </w:pPr>
      <w:r w:rsidRPr="00787267">
        <w:rPr>
          <w:sz w:val="16"/>
          <w:szCs w:val="16"/>
        </w:rPr>
        <w:t>3 = Less than adequate; on balance does not satisfy criteria and/or fails in at least one major area.</w:t>
      </w:r>
      <w:r>
        <w:rPr>
          <w:sz w:val="16"/>
          <w:szCs w:val="16"/>
        </w:rPr>
        <w:br/>
      </w:r>
      <w:r w:rsidRPr="00787267">
        <w:rPr>
          <w:sz w:val="16"/>
          <w:szCs w:val="16"/>
        </w:rPr>
        <w:t>2 = Poor; does not sa</w:t>
      </w:r>
      <w:r>
        <w:rPr>
          <w:sz w:val="16"/>
          <w:szCs w:val="16"/>
        </w:rPr>
        <w:t>tisfy criteria in major areas.</w:t>
      </w:r>
    </w:p>
    <w:p w14:paraId="4DC45723" w14:textId="75BC0052" w:rsidR="00681633" w:rsidRDefault="00681633" w:rsidP="00153DB9">
      <w:pPr>
        <w:spacing w:before="0" w:after="0" w:line="220" w:lineRule="exact"/>
      </w:pPr>
      <w:r w:rsidRPr="00787267">
        <w:rPr>
          <w:sz w:val="16"/>
          <w:szCs w:val="16"/>
        </w:rPr>
        <w:t xml:space="preserve">1 = Very poor; does not satisfy criteria in many major </w:t>
      </w:r>
      <w:proofErr w:type="gramStart"/>
      <w:r w:rsidRPr="00787267">
        <w:rPr>
          <w:sz w:val="16"/>
          <w:szCs w:val="16"/>
        </w:rPr>
        <w:t>area</w:t>
      </w:r>
      <w:proofErr w:type="gramEnd"/>
      <w:r w:rsidRPr="00A05FF5">
        <w:t>.</w:t>
      </w:r>
      <w:r>
        <w:br/>
      </w:r>
    </w:p>
    <w:sectPr w:rsidR="00681633" w:rsidSect="00363A9F">
      <w:headerReference w:type="default" r:id="rId13"/>
      <w:footerReference w:type="default" r:id="rId14"/>
      <w:headerReference w:type="first" r:id="rId15"/>
      <w:footerReference w:type="first" r:id="rId16"/>
      <w:pgSz w:w="11906" w:h="16838" w:code="9"/>
      <w:pgMar w:top="1559" w:right="680" w:bottom="1418" w:left="680" w:header="567" w:footer="567" w:gutter="0"/>
      <w:cols w:space="39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7135C7" w14:textId="77777777" w:rsidR="001D54EB" w:rsidRDefault="001D54EB" w:rsidP="00D37B04">
      <w:r>
        <w:separator/>
      </w:r>
    </w:p>
  </w:endnote>
  <w:endnote w:type="continuationSeparator" w:id="0">
    <w:p w14:paraId="4F9539CD" w14:textId="77777777" w:rsidR="001D54EB" w:rsidRDefault="001D54EB" w:rsidP="00D37B04">
      <w:r>
        <w:continuationSeparator/>
      </w:r>
    </w:p>
  </w:endnote>
  <w:endnote w:type="continuationNotice" w:id="1">
    <w:p w14:paraId="12D9B16F" w14:textId="77777777" w:rsidR="006273AE" w:rsidRDefault="006273AE">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useoSans-500">
    <w:altName w:val="Calibri"/>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4EA97B" w14:textId="77777777" w:rsidR="005D6D54" w:rsidRDefault="005D6D54" w:rsidP="005D6D54">
    <w:pPr>
      <w:pStyle w:val="Footer"/>
      <w:jc w:val="center"/>
      <w:rPr>
        <w:color w:val="auto"/>
      </w:rPr>
    </w:pPr>
    <w:bookmarkStart w:id="13" w:name="_Hlk83759489"/>
    <w:r>
      <w:rPr>
        <w:noProof/>
        <w:color w:val="auto"/>
      </w:rPr>
      <w:drawing>
        <wp:anchor distT="0" distB="0" distL="114300" distR="114300" simplePos="0" relativeHeight="251663360" behindDoc="1" locked="0" layoutInCell="1" allowOverlap="1" wp14:anchorId="34779682" wp14:editId="6AD5BE15">
          <wp:simplePos x="0" y="0"/>
          <wp:positionH relativeFrom="margin">
            <wp:posOffset>0</wp:posOffset>
          </wp:positionH>
          <wp:positionV relativeFrom="paragraph">
            <wp:posOffset>31115</wp:posOffset>
          </wp:positionV>
          <wp:extent cx="6629400" cy="356870"/>
          <wp:effectExtent l="0" t="0" r="0" b="5080"/>
          <wp:wrapNone/>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4" name="Picture 28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6629400" cy="356870"/>
                  </a:xfrm>
                  <a:prstGeom prst="rect">
                    <a:avLst/>
                  </a:prstGeom>
                </pic:spPr>
              </pic:pic>
            </a:graphicData>
          </a:graphic>
          <wp14:sizeRelH relativeFrom="margin">
            <wp14:pctWidth>0</wp14:pctWidth>
          </wp14:sizeRelH>
          <wp14:sizeRelV relativeFrom="margin">
            <wp14:pctHeight>0</wp14:pctHeight>
          </wp14:sizeRelV>
        </wp:anchor>
      </w:drawing>
    </w:r>
  </w:p>
  <w:bookmarkEnd w:id="13"/>
  <w:p w14:paraId="07C8D2D7" w14:textId="77777777" w:rsidR="005D6D54" w:rsidRPr="0042526D" w:rsidRDefault="005D6D54" w:rsidP="00545014">
    <w:pPr>
      <w:pStyle w:val="Footer"/>
      <w:rPr>
        <w:noProof/>
        <w:color w:val="auto"/>
        <w:sz w:val="20"/>
        <w:szCs w:val="20"/>
      </w:rPr>
    </w:pPr>
    <w:r w:rsidRPr="0042526D">
      <w:rPr>
        <w:color w:val="auto"/>
        <w:sz w:val="20"/>
        <w:szCs w:val="20"/>
      </w:rPr>
      <w:fldChar w:fldCharType="begin"/>
    </w:r>
    <w:r w:rsidRPr="0042526D">
      <w:rPr>
        <w:color w:val="auto"/>
        <w:sz w:val="20"/>
        <w:szCs w:val="20"/>
      </w:rPr>
      <w:instrText xml:space="preserve"> PAGE   \* MERGEFORMAT </w:instrText>
    </w:r>
    <w:r w:rsidRPr="0042526D">
      <w:rPr>
        <w:color w:val="auto"/>
        <w:sz w:val="20"/>
        <w:szCs w:val="20"/>
      </w:rPr>
      <w:fldChar w:fldCharType="separate"/>
    </w:r>
    <w:r>
      <w:rPr>
        <w:color w:val="auto"/>
        <w:sz w:val="20"/>
        <w:szCs w:val="20"/>
      </w:rPr>
      <w:t>2</w:t>
    </w:r>
    <w:r w:rsidRPr="0042526D">
      <w:rPr>
        <w:noProof/>
        <w:color w:val="auto"/>
        <w:sz w:val="20"/>
        <w:szCs w:val="20"/>
      </w:rPr>
      <w:fldChar w:fldCharType="end"/>
    </w:r>
  </w:p>
  <w:p w14:paraId="3E4D3F06" w14:textId="77777777" w:rsidR="005D6D54" w:rsidRPr="001D3DDD" w:rsidRDefault="005D6D54" w:rsidP="005D6D54">
    <w:pPr>
      <w:pStyle w:val="Footer"/>
      <w:spacing w:line="240" w:lineRule="auto"/>
      <w:jc w:val="center"/>
      <w:rPr>
        <w:color w:val="auto"/>
      </w:rPr>
    </w:pPr>
  </w:p>
  <w:p w14:paraId="77CE7DFD" w14:textId="77777777" w:rsidR="005D6D54" w:rsidRDefault="005D6D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A16945" w14:textId="77777777" w:rsidR="00A918B2" w:rsidRPr="00854F69" w:rsidRDefault="00A918B2" w:rsidP="00A918B2">
    <w:pPr>
      <w:pStyle w:val="Footer"/>
      <w:ind w:right="198"/>
      <w:rPr>
        <w:b/>
        <w:noProof/>
        <w:color w:val="495965" w:themeColor="text2"/>
        <w:lang w:val="en-AU" w:eastAsia="en-AU"/>
      </w:rPr>
    </w:pPr>
    <w:r w:rsidRPr="00C92805">
      <w:rPr>
        <w:b/>
        <w:noProof/>
        <w:color w:val="495965" w:themeColor="text2"/>
        <w:lang w:val="en-AU" w:eastAsia="en-AU"/>
      </w:rPr>
      <w:drawing>
        <wp:anchor distT="0" distB="0" distL="114300" distR="114300" simplePos="0" relativeHeight="251665408" behindDoc="1" locked="0" layoutInCell="1" allowOverlap="1" wp14:anchorId="17504C78" wp14:editId="7E92473F">
          <wp:simplePos x="0" y="0"/>
          <wp:positionH relativeFrom="margin">
            <wp:posOffset>-120650</wp:posOffset>
          </wp:positionH>
          <wp:positionV relativeFrom="page">
            <wp:posOffset>9842500</wp:posOffset>
          </wp:positionV>
          <wp:extent cx="6931025" cy="622300"/>
          <wp:effectExtent l="0" t="0" r="3175" b="6350"/>
          <wp:wrapNone/>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S-Aqua-Footer-PT.png"/>
                  <pic:cNvPicPr/>
                </pic:nvPicPr>
                <pic:blipFill>
                  <a:blip r:embed="rId1">
                    <a:extLst>
                      <a:ext uri="{28A0092B-C50C-407E-A947-70E740481C1C}">
                        <a14:useLocalDpi xmlns:a14="http://schemas.microsoft.com/office/drawing/2010/main" val="0"/>
                      </a:ext>
                    </a:extLst>
                  </a:blip>
                  <a:stretch>
                    <a:fillRect/>
                  </a:stretch>
                </pic:blipFill>
                <pic:spPr>
                  <a:xfrm>
                    <a:off x="0" y="0"/>
                    <a:ext cx="6931025" cy="622300"/>
                  </a:xfrm>
                  <a:prstGeom prst="rect">
                    <a:avLst/>
                  </a:prstGeom>
                </pic:spPr>
              </pic:pic>
            </a:graphicData>
          </a:graphic>
          <wp14:sizeRelH relativeFrom="margin">
            <wp14:pctWidth>0</wp14:pctWidth>
          </wp14:sizeRelH>
          <wp14:sizeRelV relativeFrom="margin">
            <wp14:pctHeight>0</wp14:pctHeight>
          </wp14:sizeRelV>
        </wp:anchor>
      </w:drawing>
    </w:r>
    <w:r>
      <w:rPr>
        <w:b/>
        <w:noProof/>
        <w:color w:val="495965" w:themeColor="text2"/>
        <w:lang w:val="en-AU" w:eastAsia="en-AU"/>
      </w:rPr>
      <w:t>November</w:t>
    </w:r>
    <w:r w:rsidRPr="00C92805">
      <w:rPr>
        <w:b/>
        <w:noProof/>
        <w:color w:val="495965" w:themeColor="text2"/>
        <w:lang w:val="en-AU" w:eastAsia="en-AU"/>
      </w:rPr>
      <w:t xml:space="preserve"> </w:t>
    </w:r>
    <w:r>
      <w:rPr>
        <w:b/>
        <w:noProof/>
        <w:color w:val="495965" w:themeColor="text2"/>
        <w:lang w:val="en-AU" w:eastAsia="en-AU"/>
      </w:rPr>
      <w:t>20</w:t>
    </w:r>
    <w:r w:rsidRPr="00C92805">
      <w:rPr>
        <w:b/>
        <w:noProof/>
        <w:color w:val="495965" w:themeColor="text2"/>
        <w:lang w:val="en-AU" w:eastAsia="en-AU"/>
      </w:rPr>
      <w:t>2</w:t>
    </w:r>
    <w:r>
      <w:rPr>
        <w:b/>
        <w:noProof/>
        <w:color w:val="495965" w:themeColor="text2"/>
        <w:lang w:val="en-AU" w:eastAsia="en-AU"/>
      </w:rPr>
      <w:t xml:space="preserve">1 </w:t>
    </w:r>
    <w:r>
      <w:rPr>
        <w:b/>
        <w:noProof/>
        <w:color w:val="495965" w:themeColor="text2"/>
        <w:lang w:val="en-AU" w:eastAsia="en-AU"/>
      </w:rPr>
      <w:tab/>
    </w:r>
    <w:r w:rsidRPr="007002E3">
      <w:rPr>
        <w:bCs/>
        <w:noProof/>
        <w:color w:val="auto"/>
        <w:lang w:val="en-AU" w:eastAsia="en-AU"/>
      </w:rPr>
      <w:fldChar w:fldCharType="begin"/>
    </w:r>
    <w:r w:rsidRPr="007002E3">
      <w:rPr>
        <w:bCs/>
        <w:noProof/>
        <w:color w:val="auto"/>
        <w:lang w:val="en-AU" w:eastAsia="en-AU"/>
      </w:rPr>
      <w:instrText xml:space="preserve"> PAGE   \* MERGEFORMAT </w:instrText>
    </w:r>
    <w:r w:rsidRPr="007002E3">
      <w:rPr>
        <w:bCs/>
        <w:noProof/>
        <w:color w:val="auto"/>
        <w:lang w:val="en-AU" w:eastAsia="en-AU"/>
      </w:rPr>
      <w:fldChar w:fldCharType="separate"/>
    </w:r>
    <w:r>
      <w:rPr>
        <w:bCs/>
        <w:noProof/>
        <w:color w:val="auto"/>
        <w:lang w:val="en-AU" w:eastAsia="en-AU"/>
      </w:rPr>
      <w:t>1</w:t>
    </w:r>
    <w:r w:rsidRPr="007002E3">
      <w:rPr>
        <w:bCs/>
        <w:noProof/>
        <w:color w:val="auto"/>
        <w:lang w:val="en-AU" w:eastAsia="en-AU"/>
      </w:rPr>
      <w:fldChar w:fldCharType="end"/>
    </w:r>
  </w:p>
  <w:p w14:paraId="46E43A67" w14:textId="77777777" w:rsidR="00A918B2" w:rsidRDefault="00A918B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color w:val="auto"/>
      </w:rPr>
      <w:id w:val="161368827"/>
      <w:docPartObj>
        <w:docPartGallery w:val="Page Numbers (Bottom of Page)"/>
        <w:docPartUnique/>
      </w:docPartObj>
    </w:sdtPr>
    <w:sdtEndPr>
      <w:rPr>
        <w:noProof/>
      </w:rPr>
    </w:sdtEndPr>
    <w:sdtContent>
      <w:p w14:paraId="1B636999" w14:textId="77777777" w:rsidR="001D54EB" w:rsidRDefault="00D6001D">
        <w:pPr>
          <w:pStyle w:val="Footer"/>
          <w:jc w:val="center"/>
          <w:rPr>
            <w:color w:val="auto"/>
          </w:rPr>
        </w:pPr>
        <w:r w:rsidRPr="00C92805">
          <w:rPr>
            <w:b/>
            <w:noProof/>
            <w:color w:val="495965" w:themeColor="text2"/>
            <w:lang w:val="en-AU" w:eastAsia="en-AU"/>
          </w:rPr>
          <w:drawing>
            <wp:anchor distT="0" distB="0" distL="114300" distR="114300" simplePos="0" relativeHeight="251659264" behindDoc="1" locked="0" layoutInCell="1" allowOverlap="1" wp14:anchorId="0BE92379" wp14:editId="6CC7C12E">
              <wp:simplePos x="0" y="0"/>
              <wp:positionH relativeFrom="margin">
                <wp:posOffset>-120650</wp:posOffset>
              </wp:positionH>
              <wp:positionV relativeFrom="page">
                <wp:posOffset>9734551</wp:posOffset>
              </wp:positionV>
              <wp:extent cx="6931025" cy="660400"/>
              <wp:effectExtent l="0" t="0" r="3175" b="6350"/>
              <wp:wrapNone/>
              <wp:docPr id="70" name="Picture 7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S-Aqua-Footer-PT.png"/>
                      <pic:cNvPicPr/>
                    </pic:nvPicPr>
                    <pic:blipFill>
                      <a:blip r:embed="rId1">
                        <a:extLst>
                          <a:ext uri="{28A0092B-C50C-407E-A947-70E740481C1C}">
                            <a14:useLocalDpi xmlns:a14="http://schemas.microsoft.com/office/drawing/2010/main" val="0"/>
                          </a:ext>
                        </a:extLst>
                      </a:blip>
                      <a:stretch>
                        <a:fillRect/>
                      </a:stretch>
                    </pic:blipFill>
                    <pic:spPr>
                      <a:xfrm>
                        <a:off x="0" y="0"/>
                        <a:ext cx="6931991" cy="660492"/>
                      </a:xfrm>
                      <a:prstGeom prst="rect">
                        <a:avLst/>
                      </a:prstGeom>
                    </pic:spPr>
                  </pic:pic>
                </a:graphicData>
              </a:graphic>
              <wp14:sizeRelH relativeFrom="margin">
                <wp14:pctWidth>0</wp14:pctWidth>
              </wp14:sizeRelH>
              <wp14:sizeRelV relativeFrom="margin">
                <wp14:pctHeight>0</wp14:pctHeight>
              </wp14:sizeRelV>
            </wp:anchor>
          </w:drawing>
        </w:r>
      </w:p>
      <w:p w14:paraId="7F529AF2" w14:textId="77777777" w:rsidR="00510CB7" w:rsidRDefault="00D6001D" w:rsidP="00D6001D">
        <w:pPr>
          <w:pStyle w:val="Footer"/>
          <w:ind w:right="198"/>
          <w:rPr>
            <w:b/>
            <w:noProof/>
            <w:color w:val="495965" w:themeColor="text2"/>
            <w:lang w:val="en-AU" w:eastAsia="en-AU"/>
          </w:rPr>
        </w:pPr>
        <w:r>
          <w:rPr>
            <w:b/>
            <w:noProof/>
            <w:color w:val="495965" w:themeColor="text2"/>
            <w:lang w:val="en-AU" w:eastAsia="en-AU"/>
          </w:rPr>
          <w:tab/>
        </w:r>
      </w:p>
      <w:p w14:paraId="1B46F31B" w14:textId="3E3E83C9" w:rsidR="00D6001D" w:rsidRPr="00854F69" w:rsidRDefault="00D6001D" w:rsidP="00D6001D">
        <w:pPr>
          <w:pStyle w:val="Footer"/>
          <w:ind w:right="198"/>
          <w:rPr>
            <w:b/>
            <w:noProof/>
            <w:color w:val="495965" w:themeColor="text2"/>
            <w:lang w:val="en-AU" w:eastAsia="en-AU"/>
          </w:rPr>
        </w:pPr>
        <w:r w:rsidRPr="007002E3">
          <w:rPr>
            <w:bCs/>
            <w:noProof/>
            <w:color w:val="auto"/>
            <w:lang w:val="en-AU" w:eastAsia="en-AU"/>
          </w:rPr>
          <w:fldChar w:fldCharType="begin"/>
        </w:r>
        <w:r w:rsidRPr="007002E3">
          <w:rPr>
            <w:bCs/>
            <w:noProof/>
            <w:color w:val="auto"/>
            <w:lang w:val="en-AU" w:eastAsia="en-AU"/>
          </w:rPr>
          <w:instrText xml:space="preserve"> PAGE   \* MERGEFORMAT </w:instrText>
        </w:r>
        <w:r w:rsidRPr="007002E3">
          <w:rPr>
            <w:bCs/>
            <w:noProof/>
            <w:color w:val="auto"/>
            <w:lang w:val="en-AU" w:eastAsia="en-AU"/>
          </w:rPr>
          <w:fldChar w:fldCharType="separate"/>
        </w:r>
        <w:r>
          <w:rPr>
            <w:bCs/>
            <w:noProof/>
            <w:color w:val="auto"/>
            <w:lang w:val="en-AU" w:eastAsia="en-AU"/>
          </w:rPr>
          <w:t>1</w:t>
        </w:r>
        <w:r w:rsidRPr="007002E3">
          <w:rPr>
            <w:bCs/>
            <w:noProof/>
            <w:color w:val="auto"/>
            <w:lang w:val="en-AU" w:eastAsia="en-AU"/>
          </w:rPr>
          <w:fldChar w:fldCharType="end"/>
        </w:r>
      </w:p>
      <w:p w14:paraId="10BB5A1F" w14:textId="42FF2B1D" w:rsidR="001D54EB" w:rsidRDefault="001D54EB">
        <w:pPr>
          <w:pStyle w:val="Footer"/>
          <w:jc w:val="center"/>
          <w:rPr>
            <w:color w:val="auto"/>
          </w:rPr>
        </w:pPr>
      </w:p>
      <w:p w14:paraId="1E51B8D5" w14:textId="59F3CE97" w:rsidR="001D54EB" w:rsidRPr="001D3DDD" w:rsidRDefault="009613D3" w:rsidP="0005564F">
        <w:pPr>
          <w:pStyle w:val="Footer"/>
          <w:spacing w:line="240" w:lineRule="auto"/>
          <w:jc w:val="center"/>
          <w:rPr>
            <w:color w:val="auto"/>
          </w:rPr>
        </w:pPr>
      </w:p>
    </w:sdtContent>
  </w:sdt>
  <w:p w14:paraId="3A729F02" w14:textId="519EAB54" w:rsidR="001D54EB" w:rsidRDefault="001D54EB" w:rsidP="009131E9">
    <w:pPr>
      <w:pStyle w:val="Footer"/>
      <w:spacing w:line="240" w:lineRule="auto"/>
      <w:jc w:val="lef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EE7A65" w14:textId="77777777" w:rsidR="00D6001D" w:rsidRPr="00854F69" w:rsidRDefault="00D6001D" w:rsidP="00D6001D">
    <w:pPr>
      <w:pStyle w:val="Footer"/>
      <w:ind w:right="198"/>
      <w:rPr>
        <w:b/>
        <w:noProof/>
        <w:color w:val="495965" w:themeColor="text2"/>
        <w:lang w:val="en-AU" w:eastAsia="en-AU"/>
      </w:rPr>
    </w:pPr>
    <w:r w:rsidRPr="00C92805">
      <w:rPr>
        <w:b/>
        <w:noProof/>
        <w:color w:val="495965" w:themeColor="text2"/>
        <w:lang w:val="en-AU" w:eastAsia="en-AU"/>
      </w:rPr>
      <w:drawing>
        <wp:anchor distT="0" distB="0" distL="114300" distR="114300" simplePos="0" relativeHeight="251661312" behindDoc="1" locked="0" layoutInCell="1" allowOverlap="1" wp14:anchorId="47DA5460" wp14:editId="4AAB4B66">
          <wp:simplePos x="0" y="0"/>
          <wp:positionH relativeFrom="margin">
            <wp:posOffset>-120650</wp:posOffset>
          </wp:positionH>
          <wp:positionV relativeFrom="page">
            <wp:posOffset>9925050</wp:posOffset>
          </wp:positionV>
          <wp:extent cx="6931025" cy="571486"/>
          <wp:effectExtent l="0" t="0" r="0" b="635"/>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S-Aqua-Footer-PT.png"/>
                  <pic:cNvPicPr/>
                </pic:nvPicPr>
                <pic:blipFill>
                  <a:blip r:embed="rId1">
                    <a:extLst>
                      <a:ext uri="{28A0092B-C50C-407E-A947-70E740481C1C}">
                        <a14:useLocalDpi xmlns:a14="http://schemas.microsoft.com/office/drawing/2010/main" val="0"/>
                      </a:ext>
                    </a:extLst>
                  </a:blip>
                  <a:stretch>
                    <a:fillRect/>
                  </a:stretch>
                </pic:blipFill>
                <pic:spPr>
                  <a:xfrm>
                    <a:off x="0" y="0"/>
                    <a:ext cx="6992970" cy="576594"/>
                  </a:xfrm>
                  <a:prstGeom prst="rect">
                    <a:avLst/>
                  </a:prstGeom>
                </pic:spPr>
              </pic:pic>
            </a:graphicData>
          </a:graphic>
          <wp14:sizeRelH relativeFrom="margin">
            <wp14:pctWidth>0</wp14:pctWidth>
          </wp14:sizeRelH>
          <wp14:sizeRelV relativeFrom="margin">
            <wp14:pctHeight>0</wp14:pctHeight>
          </wp14:sizeRelV>
        </wp:anchor>
      </w:drawing>
    </w:r>
    <w:r>
      <w:rPr>
        <w:b/>
        <w:noProof/>
        <w:color w:val="495965" w:themeColor="text2"/>
        <w:lang w:val="en-AU" w:eastAsia="en-AU"/>
      </w:rPr>
      <w:t>October</w:t>
    </w:r>
    <w:r w:rsidRPr="00C92805">
      <w:rPr>
        <w:b/>
        <w:noProof/>
        <w:color w:val="495965" w:themeColor="text2"/>
        <w:lang w:val="en-AU" w:eastAsia="en-AU"/>
      </w:rPr>
      <w:t xml:space="preserve"> </w:t>
    </w:r>
    <w:r>
      <w:rPr>
        <w:b/>
        <w:noProof/>
        <w:color w:val="495965" w:themeColor="text2"/>
        <w:lang w:val="en-AU" w:eastAsia="en-AU"/>
      </w:rPr>
      <w:t>20</w:t>
    </w:r>
    <w:r w:rsidRPr="00C92805">
      <w:rPr>
        <w:b/>
        <w:noProof/>
        <w:color w:val="495965" w:themeColor="text2"/>
        <w:lang w:val="en-AU" w:eastAsia="en-AU"/>
      </w:rPr>
      <w:t>2</w:t>
    </w:r>
    <w:r>
      <w:rPr>
        <w:b/>
        <w:noProof/>
        <w:color w:val="495965" w:themeColor="text2"/>
        <w:lang w:val="en-AU" w:eastAsia="en-AU"/>
      </w:rPr>
      <w:t>1</w:t>
    </w:r>
    <w:r>
      <w:rPr>
        <w:b/>
        <w:noProof/>
        <w:color w:val="495965" w:themeColor="text2"/>
        <w:lang w:val="en-AU" w:eastAsia="en-AU"/>
      </w:rPr>
      <w:tab/>
    </w:r>
    <w:r w:rsidRPr="007002E3">
      <w:rPr>
        <w:bCs/>
        <w:noProof/>
        <w:color w:val="auto"/>
        <w:lang w:val="en-AU" w:eastAsia="en-AU"/>
      </w:rPr>
      <w:fldChar w:fldCharType="begin"/>
    </w:r>
    <w:r w:rsidRPr="007002E3">
      <w:rPr>
        <w:bCs/>
        <w:noProof/>
        <w:color w:val="auto"/>
        <w:lang w:val="en-AU" w:eastAsia="en-AU"/>
      </w:rPr>
      <w:instrText xml:space="preserve"> PAGE   \* MERGEFORMAT </w:instrText>
    </w:r>
    <w:r w:rsidRPr="007002E3">
      <w:rPr>
        <w:bCs/>
        <w:noProof/>
        <w:color w:val="auto"/>
        <w:lang w:val="en-AU" w:eastAsia="en-AU"/>
      </w:rPr>
      <w:fldChar w:fldCharType="separate"/>
    </w:r>
    <w:r>
      <w:rPr>
        <w:bCs/>
        <w:noProof/>
        <w:color w:val="auto"/>
        <w:lang w:val="en-AU" w:eastAsia="en-AU"/>
      </w:rPr>
      <w:t>1</w:t>
    </w:r>
    <w:r w:rsidRPr="007002E3">
      <w:rPr>
        <w:bCs/>
        <w:noProof/>
        <w:color w:val="auto"/>
        <w:lang w:val="en-AU" w:eastAsia="en-AU"/>
      </w:rPr>
      <w:fldChar w:fldCharType="end"/>
    </w:r>
  </w:p>
  <w:p w14:paraId="6BD04B87" w14:textId="77777777" w:rsidR="00D6001D" w:rsidRDefault="00D600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1A1EDC" w14:textId="77777777" w:rsidR="001D54EB" w:rsidRPr="008C5A0E" w:rsidRDefault="001D54EB" w:rsidP="00D37B04">
      <w:pPr>
        <w:pStyle w:val="Footer"/>
      </w:pPr>
    </w:p>
  </w:footnote>
  <w:footnote w:type="continuationSeparator" w:id="0">
    <w:p w14:paraId="2F8DA6DD" w14:textId="77777777" w:rsidR="001D54EB" w:rsidRDefault="001D54EB" w:rsidP="00D37B04">
      <w:r>
        <w:continuationSeparator/>
      </w:r>
    </w:p>
  </w:footnote>
  <w:footnote w:type="continuationNotice" w:id="1">
    <w:p w14:paraId="306C94E7" w14:textId="77777777" w:rsidR="006273AE" w:rsidRDefault="006273AE">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0C9BAF" w14:textId="77777777" w:rsidR="005D6D54" w:rsidRDefault="005D6D54" w:rsidP="005D6D54">
    <w:pPr>
      <w:pStyle w:val="Header"/>
      <w:ind w:left="0"/>
    </w:pPr>
    <w:bookmarkStart w:id="3" w:name="_Hlk83759991"/>
    <w:bookmarkStart w:id="4" w:name="_Hlk83759992"/>
    <w:bookmarkStart w:id="5" w:name="_Hlk83760071"/>
    <w:bookmarkStart w:id="6" w:name="_Hlk83760072"/>
    <w:bookmarkStart w:id="7" w:name="_Hlk83760285"/>
    <w:bookmarkStart w:id="8" w:name="_Hlk83760286"/>
    <w:bookmarkStart w:id="9" w:name="_Hlk83761100"/>
    <w:bookmarkStart w:id="10" w:name="_Hlk83761101"/>
    <w:bookmarkStart w:id="11" w:name="_Hlk83761354"/>
    <w:bookmarkStart w:id="12" w:name="_Hlk83761355"/>
    <w:r w:rsidRPr="00A12B40">
      <w:rPr>
        <w:i/>
        <w:caps w:val="0"/>
      </w:rPr>
      <w:t>Partnerships for Recovery</w:t>
    </w:r>
    <w:r w:rsidRPr="00A12B40">
      <w:rPr>
        <w:i/>
        <w:noProof/>
        <w:lang w:val="en-AU" w:eastAsia="en-AU"/>
      </w:rPr>
      <w:drawing>
        <wp:inline distT="0" distB="0" distL="0" distR="0" wp14:anchorId="0ABD85EF" wp14:editId="304C826E">
          <wp:extent cx="6718300" cy="621792"/>
          <wp:effectExtent l="0" t="0" r="6350" b="6985"/>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S-Aqua-Header-PT.png"/>
                  <pic:cNvPicPr/>
                </pic:nvPicPr>
                <pic:blipFill>
                  <a:blip r:embed="rId1">
                    <a:extLst>
                      <a:ext uri="{28A0092B-C50C-407E-A947-70E740481C1C}">
                        <a14:useLocalDpi xmlns:a14="http://schemas.microsoft.com/office/drawing/2010/main" val="0"/>
                      </a:ext>
                    </a:extLst>
                  </a:blip>
                  <a:stretch>
                    <a:fillRect/>
                  </a:stretch>
                </pic:blipFill>
                <pic:spPr>
                  <a:xfrm>
                    <a:off x="0" y="0"/>
                    <a:ext cx="6828920" cy="632030"/>
                  </a:xfrm>
                  <a:prstGeom prst="rect">
                    <a:avLst/>
                  </a:prstGeom>
                </pic:spPr>
              </pic:pic>
            </a:graphicData>
          </a:graphic>
        </wp:inline>
      </w:drawing>
    </w:r>
    <w:bookmarkEnd w:id="3"/>
    <w:bookmarkEnd w:id="4"/>
    <w:bookmarkEnd w:id="5"/>
    <w:bookmarkEnd w:id="6"/>
    <w:bookmarkEnd w:id="7"/>
    <w:bookmarkEnd w:id="8"/>
    <w:bookmarkEnd w:id="9"/>
    <w:bookmarkEnd w:id="10"/>
    <w:bookmarkEnd w:id="11"/>
    <w:bookmarkEnd w:id="12"/>
  </w:p>
  <w:p w14:paraId="58350156" w14:textId="77777777" w:rsidR="005D6D54" w:rsidRDefault="005D6D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D67574" w14:textId="45A1F3B7" w:rsidR="005D6D54" w:rsidRDefault="005D6D54">
    <w:pPr>
      <w:pStyle w:val="Header"/>
    </w:pPr>
    <w:r>
      <w:rPr>
        <w:noProof/>
      </w:rPr>
      <w:drawing>
        <wp:inline distT="0" distB="0" distL="0" distR="0" wp14:anchorId="710F8586" wp14:editId="7B8261E8">
          <wp:extent cx="6696075" cy="1247775"/>
          <wp:effectExtent l="0" t="0" r="9525" b="9525"/>
          <wp:docPr id="12" name="Picture 12" descr="Australian Government DFAT logo and Australian Ai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 name="Picture 195" descr="Australian Government DFAT logo and Australian Aid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6075" cy="124777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00EAED" w14:textId="77777777" w:rsidR="00E0366F" w:rsidRDefault="00E0366F" w:rsidP="00E0366F">
    <w:pPr>
      <w:pStyle w:val="Header"/>
      <w:ind w:left="0"/>
    </w:pPr>
    <w:bookmarkStart w:id="14" w:name="_Hlk83758746"/>
    <w:bookmarkStart w:id="15" w:name="_Hlk83759779"/>
    <w:bookmarkStart w:id="16" w:name="_Hlk83758290"/>
    <w:bookmarkStart w:id="17" w:name="_Hlk83759306"/>
    <w:bookmarkStart w:id="18" w:name="_Hlk83759307"/>
    <w:bookmarkStart w:id="19" w:name="_Hlk83759328"/>
    <w:bookmarkStart w:id="20" w:name="_Hlk83759329"/>
    <w:bookmarkStart w:id="21" w:name="_Hlk83759798"/>
    <w:bookmarkStart w:id="22" w:name="_Hlk83759799"/>
    <w:r w:rsidRPr="00A12B40">
      <w:rPr>
        <w:i/>
        <w:caps w:val="0"/>
      </w:rPr>
      <w:t>Partnerships for Recove</w:t>
    </w:r>
    <w:bookmarkEnd w:id="14"/>
    <w:r w:rsidRPr="00A12B40">
      <w:rPr>
        <w:i/>
        <w:caps w:val="0"/>
      </w:rPr>
      <w:t>ry</w:t>
    </w:r>
    <w:bookmarkEnd w:id="15"/>
    <w:r w:rsidRPr="00A12B40">
      <w:rPr>
        <w:i/>
        <w:noProof/>
        <w:lang w:val="en-AU" w:eastAsia="en-AU"/>
      </w:rPr>
      <w:drawing>
        <wp:inline distT="0" distB="0" distL="0" distR="0" wp14:anchorId="7E415E36" wp14:editId="2CC82ED6">
          <wp:extent cx="6718853" cy="707390"/>
          <wp:effectExtent l="0" t="0" r="6350" b="0"/>
          <wp:docPr id="309" name="Picture 30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S-Aqua-Header-PT.png"/>
                  <pic:cNvPicPr/>
                </pic:nvPicPr>
                <pic:blipFill>
                  <a:blip r:embed="rId1">
                    <a:extLst>
                      <a:ext uri="{28A0092B-C50C-407E-A947-70E740481C1C}">
                        <a14:useLocalDpi xmlns:a14="http://schemas.microsoft.com/office/drawing/2010/main" val="0"/>
                      </a:ext>
                    </a:extLst>
                  </a:blip>
                  <a:stretch>
                    <a:fillRect/>
                  </a:stretch>
                </pic:blipFill>
                <pic:spPr>
                  <a:xfrm>
                    <a:off x="0" y="0"/>
                    <a:ext cx="6803267" cy="716277"/>
                  </a:xfrm>
                  <a:prstGeom prst="rect">
                    <a:avLst/>
                  </a:prstGeom>
                </pic:spPr>
              </pic:pic>
            </a:graphicData>
          </a:graphic>
        </wp:inline>
      </w:drawing>
    </w:r>
    <w:bookmarkEnd w:id="16"/>
    <w:bookmarkEnd w:id="17"/>
    <w:bookmarkEnd w:id="18"/>
    <w:bookmarkEnd w:id="19"/>
    <w:bookmarkEnd w:id="20"/>
    <w:bookmarkEnd w:id="21"/>
    <w:bookmarkEnd w:id="22"/>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8F2A5E" w14:textId="483FCFE4" w:rsidR="001D54EB" w:rsidRDefault="001D54EB" w:rsidP="001F7F4D">
    <w:pPr>
      <w:pStyle w:val="Header"/>
      <w:spacing w:after="240"/>
      <w:ind w:left="0"/>
    </w:pPr>
    <w:r>
      <w:rPr>
        <w:noProof/>
      </w:rPr>
      <w:drawing>
        <wp:inline distT="0" distB="0" distL="0" distR="0" wp14:anchorId="53173A37" wp14:editId="3D212865">
          <wp:extent cx="6696075" cy="1247775"/>
          <wp:effectExtent l="0" t="0" r="9525" b="9525"/>
          <wp:docPr id="4" name="Picture 4" descr="Australian Government DFAT logo and Australian Ai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 name="Picture 195" descr="Australian Government DFAT logo and Australian Aid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6075" cy="1247775"/>
                  </a:xfrm>
                  <a:prstGeom prst="rect">
                    <a:avLst/>
                  </a:prstGeom>
                  <a:noFill/>
                  <a:ln>
                    <a:noFill/>
                  </a:ln>
                </pic:spPr>
              </pic:pic>
            </a:graphicData>
          </a:graphic>
        </wp:inline>
      </w:drawing>
    </w:r>
  </w:p>
  <w:p w14:paraId="21592AB9" w14:textId="77777777" w:rsidR="001D54EB" w:rsidRPr="00943730" w:rsidRDefault="001D54EB" w:rsidP="008C6149">
    <w:pPr>
      <w:pStyle w:val="Header"/>
      <w:ind w:left="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A154858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A2F6B80"/>
    <w:multiLevelType w:val="multilevel"/>
    <w:tmpl w:val="73283DF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 w15:restartNumberingAfterBreak="0">
    <w:nsid w:val="0DF06AC3"/>
    <w:multiLevelType w:val="hybridMultilevel"/>
    <w:tmpl w:val="CFC098A4"/>
    <w:lvl w:ilvl="0" w:tplc="B7968C8E">
      <w:numFmt w:val="bullet"/>
      <w:lvlText w:val="-"/>
      <w:lvlJc w:val="left"/>
      <w:pPr>
        <w:ind w:left="1080" w:hanging="720"/>
      </w:pPr>
      <w:rPr>
        <w:rFonts w:ascii="Calibri Light" w:eastAsiaTheme="minorHAnsi"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6A321EE"/>
    <w:multiLevelType w:val="hybridMultilevel"/>
    <w:tmpl w:val="B9126F96"/>
    <w:lvl w:ilvl="0" w:tplc="89F041FE">
      <w:start w:val="1"/>
      <w:numFmt w:val="bullet"/>
      <w:pStyle w:val="Box1Bullet"/>
      <w:lvlText w:val=""/>
      <w:lvlJc w:val="left"/>
      <w:pPr>
        <w:ind w:left="872" w:hanging="360"/>
      </w:pPr>
      <w:rPr>
        <w:rFonts w:ascii="Symbol" w:hAnsi="Symbol" w:hint="default"/>
      </w:rPr>
    </w:lvl>
    <w:lvl w:ilvl="1" w:tplc="0C090003" w:tentative="1">
      <w:start w:val="1"/>
      <w:numFmt w:val="bullet"/>
      <w:lvlText w:val="o"/>
      <w:lvlJc w:val="left"/>
      <w:pPr>
        <w:ind w:left="1592" w:hanging="360"/>
      </w:pPr>
      <w:rPr>
        <w:rFonts w:ascii="Courier New" w:hAnsi="Courier New" w:cs="Courier New" w:hint="default"/>
      </w:rPr>
    </w:lvl>
    <w:lvl w:ilvl="2" w:tplc="0C090005" w:tentative="1">
      <w:start w:val="1"/>
      <w:numFmt w:val="bullet"/>
      <w:lvlText w:val=""/>
      <w:lvlJc w:val="left"/>
      <w:pPr>
        <w:ind w:left="2312" w:hanging="360"/>
      </w:pPr>
      <w:rPr>
        <w:rFonts w:ascii="Wingdings" w:hAnsi="Wingdings" w:hint="default"/>
      </w:rPr>
    </w:lvl>
    <w:lvl w:ilvl="3" w:tplc="0C090001" w:tentative="1">
      <w:start w:val="1"/>
      <w:numFmt w:val="bullet"/>
      <w:lvlText w:val=""/>
      <w:lvlJc w:val="left"/>
      <w:pPr>
        <w:ind w:left="3032" w:hanging="360"/>
      </w:pPr>
      <w:rPr>
        <w:rFonts w:ascii="Symbol" w:hAnsi="Symbol" w:hint="default"/>
      </w:rPr>
    </w:lvl>
    <w:lvl w:ilvl="4" w:tplc="0C090003" w:tentative="1">
      <w:start w:val="1"/>
      <w:numFmt w:val="bullet"/>
      <w:lvlText w:val="o"/>
      <w:lvlJc w:val="left"/>
      <w:pPr>
        <w:ind w:left="3752" w:hanging="360"/>
      </w:pPr>
      <w:rPr>
        <w:rFonts w:ascii="Courier New" w:hAnsi="Courier New" w:cs="Courier New" w:hint="default"/>
      </w:rPr>
    </w:lvl>
    <w:lvl w:ilvl="5" w:tplc="0C090005" w:tentative="1">
      <w:start w:val="1"/>
      <w:numFmt w:val="bullet"/>
      <w:lvlText w:val=""/>
      <w:lvlJc w:val="left"/>
      <w:pPr>
        <w:ind w:left="4472" w:hanging="360"/>
      </w:pPr>
      <w:rPr>
        <w:rFonts w:ascii="Wingdings" w:hAnsi="Wingdings" w:hint="default"/>
      </w:rPr>
    </w:lvl>
    <w:lvl w:ilvl="6" w:tplc="0C090001" w:tentative="1">
      <w:start w:val="1"/>
      <w:numFmt w:val="bullet"/>
      <w:lvlText w:val=""/>
      <w:lvlJc w:val="left"/>
      <w:pPr>
        <w:ind w:left="5192" w:hanging="360"/>
      </w:pPr>
      <w:rPr>
        <w:rFonts w:ascii="Symbol" w:hAnsi="Symbol" w:hint="default"/>
      </w:rPr>
    </w:lvl>
    <w:lvl w:ilvl="7" w:tplc="0C090003" w:tentative="1">
      <w:start w:val="1"/>
      <w:numFmt w:val="bullet"/>
      <w:lvlText w:val="o"/>
      <w:lvlJc w:val="left"/>
      <w:pPr>
        <w:ind w:left="5912" w:hanging="360"/>
      </w:pPr>
      <w:rPr>
        <w:rFonts w:ascii="Courier New" w:hAnsi="Courier New" w:cs="Courier New" w:hint="default"/>
      </w:rPr>
    </w:lvl>
    <w:lvl w:ilvl="8" w:tplc="0C090005" w:tentative="1">
      <w:start w:val="1"/>
      <w:numFmt w:val="bullet"/>
      <w:lvlText w:val=""/>
      <w:lvlJc w:val="left"/>
      <w:pPr>
        <w:ind w:left="6632" w:hanging="360"/>
      </w:pPr>
      <w:rPr>
        <w:rFonts w:ascii="Wingdings" w:hAnsi="Wingdings" w:hint="default"/>
      </w:rPr>
    </w:lvl>
  </w:abstractNum>
  <w:abstractNum w:abstractNumId="4" w15:restartNumberingAfterBreak="0">
    <w:nsid w:val="1F0548BC"/>
    <w:multiLevelType w:val="hybridMultilevel"/>
    <w:tmpl w:val="26D04D08"/>
    <w:lvl w:ilvl="0" w:tplc="C28AABD2">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B9B159F"/>
    <w:multiLevelType w:val="multilevel"/>
    <w:tmpl w:val="1F38FDB4"/>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567"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6" w15:restartNumberingAfterBreak="0">
    <w:nsid w:val="38943347"/>
    <w:multiLevelType w:val="hybridMultilevel"/>
    <w:tmpl w:val="375E9A8E"/>
    <w:lvl w:ilvl="0" w:tplc="DF682052">
      <w:start w:val="2022"/>
      <w:numFmt w:val="bullet"/>
      <w:lvlText w:val="-"/>
      <w:lvlJc w:val="left"/>
      <w:pPr>
        <w:ind w:left="720" w:hanging="360"/>
      </w:pPr>
      <w:rPr>
        <w:rFonts w:ascii="Calibri" w:eastAsiaTheme="maj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8F132CE"/>
    <w:multiLevelType w:val="multilevel"/>
    <w:tmpl w:val="3B7A10DE"/>
    <w:numStyleLink w:val="BulletsList"/>
  </w:abstractNum>
  <w:abstractNum w:abstractNumId="8" w15:restartNumberingAfterBreak="0">
    <w:nsid w:val="3A854A3D"/>
    <w:multiLevelType w:val="hybridMultilevel"/>
    <w:tmpl w:val="B8BED28E"/>
    <w:lvl w:ilvl="0" w:tplc="C28AABD2">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02512C0"/>
    <w:multiLevelType w:val="hybridMultilevel"/>
    <w:tmpl w:val="0372A9D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46DF0A07"/>
    <w:multiLevelType w:val="hybridMultilevel"/>
    <w:tmpl w:val="B7E0A20E"/>
    <w:lvl w:ilvl="0" w:tplc="C2B656C8">
      <w:start w:val="2020"/>
      <w:numFmt w:val="bullet"/>
      <w:lvlText w:val="-"/>
      <w:lvlJc w:val="left"/>
      <w:pPr>
        <w:ind w:left="720" w:hanging="360"/>
      </w:pPr>
      <w:rPr>
        <w:rFonts w:ascii="Calibri Light" w:eastAsiaTheme="minorHAnsi"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74A148B"/>
    <w:multiLevelType w:val="hybridMultilevel"/>
    <w:tmpl w:val="FC90C7DA"/>
    <w:lvl w:ilvl="0" w:tplc="59463C12">
      <w:start w:val="6"/>
      <w:numFmt w:val="bullet"/>
      <w:lvlText w:val="-"/>
      <w:lvlJc w:val="left"/>
      <w:pPr>
        <w:ind w:left="269" w:hanging="360"/>
      </w:pPr>
      <w:rPr>
        <w:rFonts w:ascii="Calibri" w:eastAsiaTheme="minorHAnsi" w:hAnsi="Calibri" w:cs="Calibri" w:hint="default"/>
      </w:rPr>
    </w:lvl>
    <w:lvl w:ilvl="1" w:tplc="0C090003" w:tentative="1">
      <w:start w:val="1"/>
      <w:numFmt w:val="bullet"/>
      <w:lvlText w:val="o"/>
      <w:lvlJc w:val="left"/>
      <w:pPr>
        <w:ind w:left="989" w:hanging="360"/>
      </w:pPr>
      <w:rPr>
        <w:rFonts w:ascii="Courier New" w:hAnsi="Courier New" w:cs="Courier New" w:hint="default"/>
      </w:rPr>
    </w:lvl>
    <w:lvl w:ilvl="2" w:tplc="0C090005" w:tentative="1">
      <w:start w:val="1"/>
      <w:numFmt w:val="bullet"/>
      <w:lvlText w:val=""/>
      <w:lvlJc w:val="left"/>
      <w:pPr>
        <w:ind w:left="1709" w:hanging="360"/>
      </w:pPr>
      <w:rPr>
        <w:rFonts w:ascii="Wingdings" w:hAnsi="Wingdings" w:hint="default"/>
      </w:rPr>
    </w:lvl>
    <w:lvl w:ilvl="3" w:tplc="0C090001" w:tentative="1">
      <w:start w:val="1"/>
      <w:numFmt w:val="bullet"/>
      <w:lvlText w:val=""/>
      <w:lvlJc w:val="left"/>
      <w:pPr>
        <w:ind w:left="2429" w:hanging="360"/>
      </w:pPr>
      <w:rPr>
        <w:rFonts w:ascii="Symbol" w:hAnsi="Symbol" w:hint="default"/>
      </w:rPr>
    </w:lvl>
    <w:lvl w:ilvl="4" w:tplc="0C090003" w:tentative="1">
      <w:start w:val="1"/>
      <w:numFmt w:val="bullet"/>
      <w:lvlText w:val="o"/>
      <w:lvlJc w:val="left"/>
      <w:pPr>
        <w:ind w:left="3149" w:hanging="360"/>
      </w:pPr>
      <w:rPr>
        <w:rFonts w:ascii="Courier New" w:hAnsi="Courier New" w:cs="Courier New" w:hint="default"/>
      </w:rPr>
    </w:lvl>
    <w:lvl w:ilvl="5" w:tplc="0C090005" w:tentative="1">
      <w:start w:val="1"/>
      <w:numFmt w:val="bullet"/>
      <w:lvlText w:val=""/>
      <w:lvlJc w:val="left"/>
      <w:pPr>
        <w:ind w:left="3869" w:hanging="360"/>
      </w:pPr>
      <w:rPr>
        <w:rFonts w:ascii="Wingdings" w:hAnsi="Wingdings" w:hint="default"/>
      </w:rPr>
    </w:lvl>
    <w:lvl w:ilvl="6" w:tplc="0C090001" w:tentative="1">
      <w:start w:val="1"/>
      <w:numFmt w:val="bullet"/>
      <w:lvlText w:val=""/>
      <w:lvlJc w:val="left"/>
      <w:pPr>
        <w:ind w:left="4589" w:hanging="360"/>
      </w:pPr>
      <w:rPr>
        <w:rFonts w:ascii="Symbol" w:hAnsi="Symbol" w:hint="default"/>
      </w:rPr>
    </w:lvl>
    <w:lvl w:ilvl="7" w:tplc="0C090003" w:tentative="1">
      <w:start w:val="1"/>
      <w:numFmt w:val="bullet"/>
      <w:lvlText w:val="o"/>
      <w:lvlJc w:val="left"/>
      <w:pPr>
        <w:ind w:left="5309" w:hanging="360"/>
      </w:pPr>
      <w:rPr>
        <w:rFonts w:ascii="Courier New" w:hAnsi="Courier New" w:cs="Courier New" w:hint="default"/>
      </w:rPr>
    </w:lvl>
    <w:lvl w:ilvl="8" w:tplc="0C090005" w:tentative="1">
      <w:start w:val="1"/>
      <w:numFmt w:val="bullet"/>
      <w:lvlText w:val=""/>
      <w:lvlJc w:val="left"/>
      <w:pPr>
        <w:ind w:left="6029" w:hanging="360"/>
      </w:pPr>
      <w:rPr>
        <w:rFonts w:ascii="Wingdings" w:hAnsi="Wingdings" w:hint="default"/>
      </w:rPr>
    </w:lvl>
  </w:abstractNum>
  <w:abstractNum w:abstractNumId="12" w15:restartNumberingAfterBreak="0">
    <w:nsid w:val="508669A6"/>
    <w:multiLevelType w:val="hybridMultilevel"/>
    <w:tmpl w:val="96EC6980"/>
    <w:lvl w:ilvl="0" w:tplc="C28AABD2">
      <w:start w:val="1"/>
      <w:numFmt w:val="bullet"/>
      <w:lvlText w:val="•"/>
      <w:lvlJc w:val="left"/>
      <w:pPr>
        <w:ind w:left="816" w:hanging="360"/>
      </w:pPr>
      <w:rPr>
        <w:rFonts w:ascii="Arial" w:hAnsi="Arial" w:hint="default"/>
      </w:rPr>
    </w:lvl>
    <w:lvl w:ilvl="1" w:tplc="0C090003" w:tentative="1">
      <w:start w:val="1"/>
      <w:numFmt w:val="bullet"/>
      <w:lvlText w:val="o"/>
      <w:lvlJc w:val="left"/>
      <w:pPr>
        <w:ind w:left="1536" w:hanging="360"/>
      </w:pPr>
      <w:rPr>
        <w:rFonts w:ascii="Courier New" w:hAnsi="Courier New" w:cs="Courier New" w:hint="default"/>
      </w:rPr>
    </w:lvl>
    <w:lvl w:ilvl="2" w:tplc="0C090005" w:tentative="1">
      <w:start w:val="1"/>
      <w:numFmt w:val="bullet"/>
      <w:lvlText w:val=""/>
      <w:lvlJc w:val="left"/>
      <w:pPr>
        <w:ind w:left="2256" w:hanging="360"/>
      </w:pPr>
      <w:rPr>
        <w:rFonts w:ascii="Wingdings" w:hAnsi="Wingdings" w:hint="default"/>
      </w:rPr>
    </w:lvl>
    <w:lvl w:ilvl="3" w:tplc="0C090001" w:tentative="1">
      <w:start w:val="1"/>
      <w:numFmt w:val="bullet"/>
      <w:lvlText w:val=""/>
      <w:lvlJc w:val="left"/>
      <w:pPr>
        <w:ind w:left="2976" w:hanging="360"/>
      </w:pPr>
      <w:rPr>
        <w:rFonts w:ascii="Symbol" w:hAnsi="Symbol" w:hint="default"/>
      </w:rPr>
    </w:lvl>
    <w:lvl w:ilvl="4" w:tplc="0C090003" w:tentative="1">
      <w:start w:val="1"/>
      <w:numFmt w:val="bullet"/>
      <w:lvlText w:val="o"/>
      <w:lvlJc w:val="left"/>
      <w:pPr>
        <w:ind w:left="3696" w:hanging="360"/>
      </w:pPr>
      <w:rPr>
        <w:rFonts w:ascii="Courier New" w:hAnsi="Courier New" w:cs="Courier New" w:hint="default"/>
      </w:rPr>
    </w:lvl>
    <w:lvl w:ilvl="5" w:tplc="0C090005" w:tentative="1">
      <w:start w:val="1"/>
      <w:numFmt w:val="bullet"/>
      <w:lvlText w:val=""/>
      <w:lvlJc w:val="left"/>
      <w:pPr>
        <w:ind w:left="4416" w:hanging="360"/>
      </w:pPr>
      <w:rPr>
        <w:rFonts w:ascii="Wingdings" w:hAnsi="Wingdings" w:hint="default"/>
      </w:rPr>
    </w:lvl>
    <w:lvl w:ilvl="6" w:tplc="0C090001" w:tentative="1">
      <w:start w:val="1"/>
      <w:numFmt w:val="bullet"/>
      <w:lvlText w:val=""/>
      <w:lvlJc w:val="left"/>
      <w:pPr>
        <w:ind w:left="5136" w:hanging="360"/>
      </w:pPr>
      <w:rPr>
        <w:rFonts w:ascii="Symbol" w:hAnsi="Symbol" w:hint="default"/>
      </w:rPr>
    </w:lvl>
    <w:lvl w:ilvl="7" w:tplc="0C090003" w:tentative="1">
      <w:start w:val="1"/>
      <w:numFmt w:val="bullet"/>
      <w:lvlText w:val="o"/>
      <w:lvlJc w:val="left"/>
      <w:pPr>
        <w:ind w:left="5856" w:hanging="360"/>
      </w:pPr>
      <w:rPr>
        <w:rFonts w:ascii="Courier New" w:hAnsi="Courier New" w:cs="Courier New" w:hint="default"/>
      </w:rPr>
    </w:lvl>
    <w:lvl w:ilvl="8" w:tplc="0C090005" w:tentative="1">
      <w:start w:val="1"/>
      <w:numFmt w:val="bullet"/>
      <w:lvlText w:val=""/>
      <w:lvlJc w:val="left"/>
      <w:pPr>
        <w:ind w:left="6576" w:hanging="360"/>
      </w:pPr>
      <w:rPr>
        <w:rFonts w:ascii="Wingdings" w:hAnsi="Wingdings" w:hint="default"/>
      </w:rPr>
    </w:lvl>
  </w:abstractNum>
  <w:abstractNum w:abstractNumId="13" w15:restartNumberingAfterBreak="0">
    <w:nsid w:val="51100950"/>
    <w:multiLevelType w:val="hybridMultilevel"/>
    <w:tmpl w:val="0686927C"/>
    <w:lvl w:ilvl="0" w:tplc="0C090001">
      <w:start w:val="1"/>
      <w:numFmt w:val="bullet"/>
      <w:lvlText w:val=""/>
      <w:lvlJc w:val="left"/>
      <w:pPr>
        <w:ind w:left="5464"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53C74AAA"/>
    <w:multiLevelType w:val="hybridMultilevel"/>
    <w:tmpl w:val="22DCBC92"/>
    <w:lvl w:ilvl="0" w:tplc="5142EB08">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80E5AD4"/>
    <w:multiLevelType w:val="hybridMultilevel"/>
    <w:tmpl w:val="DB7A9A9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7" w15:restartNumberingAfterBreak="0">
    <w:nsid w:val="5BD54DA3"/>
    <w:multiLevelType w:val="hybridMultilevel"/>
    <w:tmpl w:val="4A145C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C48001F"/>
    <w:multiLevelType w:val="hybridMultilevel"/>
    <w:tmpl w:val="CC9C3968"/>
    <w:lvl w:ilvl="0" w:tplc="E7D80338">
      <w:numFmt w:val="bullet"/>
      <w:lvlText w:val="-"/>
      <w:lvlJc w:val="left"/>
      <w:pPr>
        <w:ind w:left="720" w:hanging="360"/>
      </w:pPr>
      <w:rPr>
        <w:rFonts w:ascii="Calibri Light" w:eastAsiaTheme="minorHAnsi"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C7D667C"/>
    <w:multiLevelType w:val="hybridMultilevel"/>
    <w:tmpl w:val="ED2C4C28"/>
    <w:lvl w:ilvl="0" w:tplc="C28AABD2">
      <w:start w:val="1"/>
      <w:numFmt w:val="bullet"/>
      <w:lvlText w:val="•"/>
      <w:lvlJc w:val="left"/>
      <w:pPr>
        <w:ind w:left="816" w:hanging="360"/>
      </w:pPr>
      <w:rPr>
        <w:rFonts w:ascii="Arial" w:hAnsi="Arial" w:hint="default"/>
      </w:rPr>
    </w:lvl>
    <w:lvl w:ilvl="1" w:tplc="0C090003" w:tentative="1">
      <w:start w:val="1"/>
      <w:numFmt w:val="bullet"/>
      <w:lvlText w:val="o"/>
      <w:lvlJc w:val="left"/>
      <w:pPr>
        <w:ind w:left="1536" w:hanging="360"/>
      </w:pPr>
      <w:rPr>
        <w:rFonts w:ascii="Courier New" w:hAnsi="Courier New" w:cs="Courier New" w:hint="default"/>
      </w:rPr>
    </w:lvl>
    <w:lvl w:ilvl="2" w:tplc="0C090005" w:tentative="1">
      <w:start w:val="1"/>
      <w:numFmt w:val="bullet"/>
      <w:lvlText w:val=""/>
      <w:lvlJc w:val="left"/>
      <w:pPr>
        <w:ind w:left="2256" w:hanging="360"/>
      </w:pPr>
      <w:rPr>
        <w:rFonts w:ascii="Wingdings" w:hAnsi="Wingdings" w:hint="default"/>
      </w:rPr>
    </w:lvl>
    <w:lvl w:ilvl="3" w:tplc="0C090001" w:tentative="1">
      <w:start w:val="1"/>
      <w:numFmt w:val="bullet"/>
      <w:lvlText w:val=""/>
      <w:lvlJc w:val="left"/>
      <w:pPr>
        <w:ind w:left="2976" w:hanging="360"/>
      </w:pPr>
      <w:rPr>
        <w:rFonts w:ascii="Symbol" w:hAnsi="Symbol" w:hint="default"/>
      </w:rPr>
    </w:lvl>
    <w:lvl w:ilvl="4" w:tplc="0C090003" w:tentative="1">
      <w:start w:val="1"/>
      <w:numFmt w:val="bullet"/>
      <w:lvlText w:val="o"/>
      <w:lvlJc w:val="left"/>
      <w:pPr>
        <w:ind w:left="3696" w:hanging="360"/>
      </w:pPr>
      <w:rPr>
        <w:rFonts w:ascii="Courier New" w:hAnsi="Courier New" w:cs="Courier New" w:hint="default"/>
      </w:rPr>
    </w:lvl>
    <w:lvl w:ilvl="5" w:tplc="0C090005" w:tentative="1">
      <w:start w:val="1"/>
      <w:numFmt w:val="bullet"/>
      <w:lvlText w:val=""/>
      <w:lvlJc w:val="left"/>
      <w:pPr>
        <w:ind w:left="4416" w:hanging="360"/>
      </w:pPr>
      <w:rPr>
        <w:rFonts w:ascii="Wingdings" w:hAnsi="Wingdings" w:hint="default"/>
      </w:rPr>
    </w:lvl>
    <w:lvl w:ilvl="6" w:tplc="0C090001" w:tentative="1">
      <w:start w:val="1"/>
      <w:numFmt w:val="bullet"/>
      <w:lvlText w:val=""/>
      <w:lvlJc w:val="left"/>
      <w:pPr>
        <w:ind w:left="5136" w:hanging="360"/>
      </w:pPr>
      <w:rPr>
        <w:rFonts w:ascii="Symbol" w:hAnsi="Symbol" w:hint="default"/>
      </w:rPr>
    </w:lvl>
    <w:lvl w:ilvl="7" w:tplc="0C090003" w:tentative="1">
      <w:start w:val="1"/>
      <w:numFmt w:val="bullet"/>
      <w:lvlText w:val="o"/>
      <w:lvlJc w:val="left"/>
      <w:pPr>
        <w:ind w:left="5856" w:hanging="360"/>
      </w:pPr>
      <w:rPr>
        <w:rFonts w:ascii="Courier New" w:hAnsi="Courier New" w:cs="Courier New" w:hint="default"/>
      </w:rPr>
    </w:lvl>
    <w:lvl w:ilvl="8" w:tplc="0C090005" w:tentative="1">
      <w:start w:val="1"/>
      <w:numFmt w:val="bullet"/>
      <w:lvlText w:val=""/>
      <w:lvlJc w:val="left"/>
      <w:pPr>
        <w:ind w:left="6576" w:hanging="360"/>
      </w:pPr>
      <w:rPr>
        <w:rFonts w:ascii="Wingdings" w:hAnsi="Wingdings" w:hint="default"/>
      </w:rPr>
    </w:lvl>
  </w:abstractNum>
  <w:abstractNum w:abstractNumId="20"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1" w15:restartNumberingAfterBreak="0">
    <w:nsid w:val="60DC3033"/>
    <w:multiLevelType w:val="hybridMultilevel"/>
    <w:tmpl w:val="9D040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5F81736"/>
    <w:multiLevelType w:val="hybridMultilevel"/>
    <w:tmpl w:val="5FA847FC"/>
    <w:lvl w:ilvl="0" w:tplc="C28AABD2">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8C1776A"/>
    <w:multiLevelType w:val="hybridMultilevel"/>
    <w:tmpl w:val="E7B230B2"/>
    <w:lvl w:ilvl="0" w:tplc="59463C12">
      <w:start w:val="6"/>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CAC5D79"/>
    <w:multiLevelType w:val="hybridMultilevel"/>
    <w:tmpl w:val="D714D16E"/>
    <w:lvl w:ilvl="0" w:tplc="DF22A0BC">
      <w:start w:val="2020"/>
      <w:numFmt w:val="bullet"/>
      <w:lvlText w:val="-"/>
      <w:lvlJc w:val="left"/>
      <w:pPr>
        <w:ind w:left="720" w:hanging="360"/>
      </w:pPr>
      <w:rPr>
        <w:rFonts w:ascii="Calibri Light" w:eastAsiaTheme="minorHAnsi"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3107305"/>
    <w:multiLevelType w:val="multilevel"/>
    <w:tmpl w:val="3B7A10DE"/>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6" w15:restartNumberingAfterBreak="0">
    <w:nsid w:val="73166602"/>
    <w:multiLevelType w:val="hybridMultilevel"/>
    <w:tmpl w:val="71381298"/>
    <w:lvl w:ilvl="0" w:tplc="59463C12">
      <w:start w:val="6"/>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4BE7A65"/>
    <w:multiLevelType w:val="hybridMultilevel"/>
    <w:tmpl w:val="A4D4C220"/>
    <w:lvl w:ilvl="0" w:tplc="C28AABD2">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876076D"/>
    <w:multiLevelType w:val="hybridMultilevel"/>
    <w:tmpl w:val="653AF2C6"/>
    <w:lvl w:ilvl="0" w:tplc="670468BC">
      <w:numFmt w:val="bullet"/>
      <w:lvlText w:val="-"/>
      <w:lvlJc w:val="left"/>
      <w:pPr>
        <w:ind w:left="720" w:hanging="360"/>
      </w:pPr>
      <w:rPr>
        <w:rFonts w:ascii="Calibri Light" w:eastAsiaTheme="minorHAnsi" w:hAnsi="Calibri Light" w:cs="Calibri Light"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92E3E94"/>
    <w:multiLevelType w:val="hybridMultilevel"/>
    <w:tmpl w:val="F5FC89DC"/>
    <w:lvl w:ilvl="0" w:tplc="0D469CE2">
      <w:start w:val="1"/>
      <w:numFmt w:val="bullet"/>
      <w:pStyle w:val="Box2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0" w15:restartNumberingAfterBreak="0">
    <w:nsid w:val="7D0D33EF"/>
    <w:multiLevelType w:val="hybridMultilevel"/>
    <w:tmpl w:val="0AC2FD7E"/>
    <w:lvl w:ilvl="0" w:tplc="84F4094A">
      <w:start w:val="1"/>
      <w:numFmt w:val="bullet"/>
      <w:lvlText w:val="-"/>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25"/>
  </w:num>
  <w:num w:numId="2">
    <w:abstractNumId w:val="1"/>
  </w:num>
  <w:num w:numId="3">
    <w:abstractNumId w:val="5"/>
  </w:num>
  <w:num w:numId="4">
    <w:abstractNumId w:val="16"/>
  </w:num>
  <w:num w:numId="5">
    <w:abstractNumId w:val="20"/>
  </w:num>
  <w:num w:numId="6">
    <w:abstractNumId w:val="5"/>
  </w:num>
  <w:num w:numId="7">
    <w:abstractNumId w:val="1"/>
  </w:num>
  <w:num w:numId="8">
    <w:abstractNumId w:val="3"/>
  </w:num>
  <w:num w:numId="9">
    <w:abstractNumId w:val="29"/>
  </w:num>
  <w:num w:numId="10">
    <w:abstractNumId w:val="7"/>
  </w:num>
  <w:num w:numId="11">
    <w:abstractNumId w:val="12"/>
  </w:num>
  <w:num w:numId="12">
    <w:abstractNumId w:val="13"/>
  </w:num>
  <w:num w:numId="13">
    <w:abstractNumId w:val="0"/>
  </w:num>
  <w:num w:numId="14">
    <w:abstractNumId w:val="11"/>
  </w:num>
  <w:num w:numId="15">
    <w:abstractNumId w:val="17"/>
  </w:num>
  <w:num w:numId="16">
    <w:abstractNumId w:val="22"/>
  </w:num>
  <w:num w:numId="17">
    <w:abstractNumId w:val="4"/>
  </w:num>
  <w:num w:numId="18">
    <w:abstractNumId w:val="19"/>
  </w:num>
  <w:num w:numId="19">
    <w:abstractNumId w:val="27"/>
  </w:num>
  <w:num w:numId="20">
    <w:abstractNumId w:val="9"/>
  </w:num>
  <w:num w:numId="21">
    <w:abstractNumId w:val="26"/>
  </w:num>
  <w:num w:numId="22">
    <w:abstractNumId w:val="8"/>
  </w:num>
  <w:num w:numId="23">
    <w:abstractNumId w:val="2"/>
  </w:num>
  <w:num w:numId="24">
    <w:abstractNumId w:val="24"/>
  </w:num>
  <w:num w:numId="25">
    <w:abstractNumId w:val="30"/>
  </w:num>
  <w:num w:numId="26">
    <w:abstractNumId w:val="10"/>
  </w:num>
  <w:num w:numId="27">
    <w:abstractNumId w:val="21"/>
  </w:num>
  <w:num w:numId="28">
    <w:abstractNumId w:val="18"/>
  </w:num>
  <w:num w:numId="29">
    <w:abstractNumId w:val="6"/>
  </w:num>
  <w:num w:numId="30">
    <w:abstractNumId w:val="14"/>
  </w:num>
  <w:num w:numId="31">
    <w:abstractNumId w:val="15"/>
  </w:num>
  <w:num w:numId="32">
    <w:abstractNumId w:val="23"/>
  </w:num>
  <w:num w:numId="33">
    <w:abstractNumId w:val="2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stylePaneSortMethod w:val="0000"/>
  <w:documentProtection w:formatting="1" w:enforcement="0"/>
  <w:defaultTabStop w:val="720"/>
  <w:characterSpacingControl w:val="doNotCompress"/>
  <w:hdrShapeDefaults>
    <o:shapedefaults v:ext="edit" spidmax="1331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0058"/>
    <w:rsid w:val="000005F0"/>
    <w:rsid w:val="00001DA8"/>
    <w:rsid w:val="000020C1"/>
    <w:rsid w:val="00004B29"/>
    <w:rsid w:val="00010006"/>
    <w:rsid w:val="00010CEA"/>
    <w:rsid w:val="00011235"/>
    <w:rsid w:val="000146E0"/>
    <w:rsid w:val="00015AB7"/>
    <w:rsid w:val="00015ACE"/>
    <w:rsid w:val="0002080A"/>
    <w:rsid w:val="00021B64"/>
    <w:rsid w:val="0002782F"/>
    <w:rsid w:val="00030D70"/>
    <w:rsid w:val="00031486"/>
    <w:rsid w:val="000314BA"/>
    <w:rsid w:val="00035A73"/>
    <w:rsid w:val="00035BBF"/>
    <w:rsid w:val="00035CBC"/>
    <w:rsid w:val="00037B4A"/>
    <w:rsid w:val="00041104"/>
    <w:rsid w:val="000417C3"/>
    <w:rsid w:val="000444F3"/>
    <w:rsid w:val="00050806"/>
    <w:rsid w:val="000546D9"/>
    <w:rsid w:val="00054E4D"/>
    <w:rsid w:val="0005564F"/>
    <w:rsid w:val="00055880"/>
    <w:rsid w:val="00056F24"/>
    <w:rsid w:val="00060073"/>
    <w:rsid w:val="000616C6"/>
    <w:rsid w:val="000735E2"/>
    <w:rsid w:val="00073CF6"/>
    <w:rsid w:val="00075018"/>
    <w:rsid w:val="00080D47"/>
    <w:rsid w:val="000822AD"/>
    <w:rsid w:val="00085207"/>
    <w:rsid w:val="000854FD"/>
    <w:rsid w:val="00097E47"/>
    <w:rsid w:val="000A2CB0"/>
    <w:rsid w:val="000A407E"/>
    <w:rsid w:val="000B37F5"/>
    <w:rsid w:val="000B5DA7"/>
    <w:rsid w:val="000B78E6"/>
    <w:rsid w:val="000C3A4C"/>
    <w:rsid w:val="000C4411"/>
    <w:rsid w:val="000C6112"/>
    <w:rsid w:val="000D2896"/>
    <w:rsid w:val="000D3689"/>
    <w:rsid w:val="000D66D6"/>
    <w:rsid w:val="000E58BF"/>
    <w:rsid w:val="000E6C44"/>
    <w:rsid w:val="000F19B1"/>
    <w:rsid w:val="000F1DA3"/>
    <w:rsid w:val="000F2600"/>
    <w:rsid w:val="000F3114"/>
    <w:rsid w:val="000F78C9"/>
    <w:rsid w:val="001013C0"/>
    <w:rsid w:val="001022C6"/>
    <w:rsid w:val="00103A99"/>
    <w:rsid w:val="00106F6F"/>
    <w:rsid w:val="00110643"/>
    <w:rsid w:val="00110930"/>
    <w:rsid w:val="00113288"/>
    <w:rsid w:val="001214BE"/>
    <w:rsid w:val="0012165D"/>
    <w:rsid w:val="00121DDD"/>
    <w:rsid w:val="001227F1"/>
    <w:rsid w:val="00124244"/>
    <w:rsid w:val="0012496F"/>
    <w:rsid w:val="00130190"/>
    <w:rsid w:val="0013101C"/>
    <w:rsid w:val="0013385F"/>
    <w:rsid w:val="00137F4E"/>
    <w:rsid w:val="00140089"/>
    <w:rsid w:val="00145898"/>
    <w:rsid w:val="001461D6"/>
    <w:rsid w:val="00146E07"/>
    <w:rsid w:val="00147919"/>
    <w:rsid w:val="00153DB9"/>
    <w:rsid w:val="0015404A"/>
    <w:rsid w:val="001541EA"/>
    <w:rsid w:val="0016189D"/>
    <w:rsid w:val="0016223D"/>
    <w:rsid w:val="00164F72"/>
    <w:rsid w:val="00166032"/>
    <w:rsid w:val="001662F8"/>
    <w:rsid w:val="00166846"/>
    <w:rsid w:val="0017124A"/>
    <w:rsid w:val="001731F4"/>
    <w:rsid w:val="00175AAF"/>
    <w:rsid w:val="001841C8"/>
    <w:rsid w:val="00186B4B"/>
    <w:rsid w:val="001935EC"/>
    <w:rsid w:val="00193C49"/>
    <w:rsid w:val="00194246"/>
    <w:rsid w:val="001964C9"/>
    <w:rsid w:val="001A51EE"/>
    <w:rsid w:val="001A568E"/>
    <w:rsid w:val="001A7815"/>
    <w:rsid w:val="001B0A2D"/>
    <w:rsid w:val="001B172A"/>
    <w:rsid w:val="001B663A"/>
    <w:rsid w:val="001B78DA"/>
    <w:rsid w:val="001C14F4"/>
    <w:rsid w:val="001C1F11"/>
    <w:rsid w:val="001C483F"/>
    <w:rsid w:val="001D1A8F"/>
    <w:rsid w:val="001D376B"/>
    <w:rsid w:val="001D3C98"/>
    <w:rsid w:val="001D3DDD"/>
    <w:rsid w:val="001D4091"/>
    <w:rsid w:val="001D54EB"/>
    <w:rsid w:val="001D663E"/>
    <w:rsid w:val="001E03BE"/>
    <w:rsid w:val="001E172D"/>
    <w:rsid w:val="001E1A05"/>
    <w:rsid w:val="001E1DC0"/>
    <w:rsid w:val="001E3A7F"/>
    <w:rsid w:val="001E563B"/>
    <w:rsid w:val="001E6D20"/>
    <w:rsid w:val="001E7D48"/>
    <w:rsid w:val="001F16E7"/>
    <w:rsid w:val="001F7A8B"/>
    <w:rsid w:val="001F7F4D"/>
    <w:rsid w:val="00200B09"/>
    <w:rsid w:val="002137A1"/>
    <w:rsid w:val="00213F94"/>
    <w:rsid w:val="00216C55"/>
    <w:rsid w:val="002231BD"/>
    <w:rsid w:val="00226B47"/>
    <w:rsid w:val="002270F7"/>
    <w:rsid w:val="002404E8"/>
    <w:rsid w:val="00243912"/>
    <w:rsid w:val="00244229"/>
    <w:rsid w:val="0024427F"/>
    <w:rsid w:val="00247365"/>
    <w:rsid w:val="00254296"/>
    <w:rsid w:val="00255F45"/>
    <w:rsid w:val="00261565"/>
    <w:rsid w:val="00263810"/>
    <w:rsid w:val="00270C70"/>
    <w:rsid w:val="002721B5"/>
    <w:rsid w:val="00275DB6"/>
    <w:rsid w:val="00275F32"/>
    <w:rsid w:val="00282222"/>
    <w:rsid w:val="00285CB8"/>
    <w:rsid w:val="0028602A"/>
    <w:rsid w:val="00286B23"/>
    <w:rsid w:val="002945C4"/>
    <w:rsid w:val="00294E22"/>
    <w:rsid w:val="0029663F"/>
    <w:rsid w:val="00297258"/>
    <w:rsid w:val="00297980"/>
    <w:rsid w:val="00297FD1"/>
    <w:rsid w:val="002A7E82"/>
    <w:rsid w:val="002B029B"/>
    <w:rsid w:val="002B3381"/>
    <w:rsid w:val="002B3F17"/>
    <w:rsid w:val="002B5E10"/>
    <w:rsid w:val="002C2144"/>
    <w:rsid w:val="002C7606"/>
    <w:rsid w:val="002C793D"/>
    <w:rsid w:val="002D2445"/>
    <w:rsid w:val="002D35C9"/>
    <w:rsid w:val="002D4108"/>
    <w:rsid w:val="002D430F"/>
    <w:rsid w:val="002D5B25"/>
    <w:rsid w:val="002E018A"/>
    <w:rsid w:val="002E2AF4"/>
    <w:rsid w:val="002E38B2"/>
    <w:rsid w:val="002E500A"/>
    <w:rsid w:val="002F03FB"/>
    <w:rsid w:val="002F36C6"/>
    <w:rsid w:val="002F4F2B"/>
    <w:rsid w:val="003002C0"/>
    <w:rsid w:val="00301144"/>
    <w:rsid w:val="00302F63"/>
    <w:rsid w:val="003031C6"/>
    <w:rsid w:val="0030410B"/>
    <w:rsid w:val="00304984"/>
    <w:rsid w:val="00306BF9"/>
    <w:rsid w:val="00307540"/>
    <w:rsid w:val="00311946"/>
    <w:rsid w:val="00312BF8"/>
    <w:rsid w:val="003148B7"/>
    <w:rsid w:val="0031490E"/>
    <w:rsid w:val="003158C3"/>
    <w:rsid w:val="0032585E"/>
    <w:rsid w:val="003274CD"/>
    <w:rsid w:val="00333501"/>
    <w:rsid w:val="003406AF"/>
    <w:rsid w:val="003457C4"/>
    <w:rsid w:val="00347ADD"/>
    <w:rsid w:val="0035119D"/>
    <w:rsid w:val="003514B6"/>
    <w:rsid w:val="00351E02"/>
    <w:rsid w:val="003534AB"/>
    <w:rsid w:val="003535F8"/>
    <w:rsid w:val="00354641"/>
    <w:rsid w:val="00360E4F"/>
    <w:rsid w:val="003622C1"/>
    <w:rsid w:val="00362F4E"/>
    <w:rsid w:val="00363A9F"/>
    <w:rsid w:val="003664FE"/>
    <w:rsid w:val="0037401D"/>
    <w:rsid w:val="003741AE"/>
    <w:rsid w:val="00375D23"/>
    <w:rsid w:val="0037652B"/>
    <w:rsid w:val="003806FE"/>
    <w:rsid w:val="003809A0"/>
    <w:rsid w:val="0038120B"/>
    <w:rsid w:val="00382CE7"/>
    <w:rsid w:val="0038319A"/>
    <w:rsid w:val="00384935"/>
    <w:rsid w:val="00384951"/>
    <w:rsid w:val="00386CC9"/>
    <w:rsid w:val="00387EC8"/>
    <w:rsid w:val="00390CC4"/>
    <w:rsid w:val="0039215F"/>
    <w:rsid w:val="0039344A"/>
    <w:rsid w:val="00397E30"/>
    <w:rsid w:val="003A00AD"/>
    <w:rsid w:val="003A45F9"/>
    <w:rsid w:val="003B3091"/>
    <w:rsid w:val="003B4F12"/>
    <w:rsid w:val="003B6E48"/>
    <w:rsid w:val="003C009E"/>
    <w:rsid w:val="003C0421"/>
    <w:rsid w:val="003C6C4F"/>
    <w:rsid w:val="003C6D32"/>
    <w:rsid w:val="003C7D0E"/>
    <w:rsid w:val="003D04B6"/>
    <w:rsid w:val="003D1253"/>
    <w:rsid w:val="003D260B"/>
    <w:rsid w:val="003D5F91"/>
    <w:rsid w:val="003E24BA"/>
    <w:rsid w:val="003E2FBB"/>
    <w:rsid w:val="003F2041"/>
    <w:rsid w:val="003F7D26"/>
    <w:rsid w:val="004007ED"/>
    <w:rsid w:val="00400D50"/>
    <w:rsid w:val="00401871"/>
    <w:rsid w:val="00402ACC"/>
    <w:rsid w:val="00403FD8"/>
    <w:rsid w:val="00404443"/>
    <w:rsid w:val="00404602"/>
    <w:rsid w:val="00405932"/>
    <w:rsid w:val="00411C48"/>
    <w:rsid w:val="004120EC"/>
    <w:rsid w:val="0041267F"/>
    <w:rsid w:val="00416D77"/>
    <w:rsid w:val="004229BD"/>
    <w:rsid w:val="00423DE0"/>
    <w:rsid w:val="00423F31"/>
    <w:rsid w:val="0042526D"/>
    <w:rsid w:val="00426340"/>
    <w:rsid w:val="004269D0"/>
    <w:rsid w:val="004303AA"/>
    <w:rsid w:val="00431899"/>
    <w:rsid w:val="00441DDC"/>
    <w:rsid w:val="00443555"/>
    <w:rsid w:val="00445E99"/>
    <w:rsid w:val="00447DD5"/>
    <w:rsid w:val="00450019"/>
    <w:rsid w:val="00450381"/>
    <w:rsid w:val="004529F1"/>
    <w:rsid w:val="00452BA1"/>
    <w:rsid w:val="00453B1A"/>
    <w:rsid w:val="004615BD"/>
    <w:rsid w:val="004627DC"/>
    <w:rsid w:val="00462A57"/>
    <w:rsid w:val="0047172E"/>
    <w:rsid w:val="004728DD"/>
    <w:rsid w:val="00473F2D"/>
    <w:rsid w:val="00473F39"/>
    <w:rsid w:val="00474037"/>
    <w:rsid w:val="00475782"/>
    <w:rsid w:val="00482AE8"/>
    <w:rsid w:val="00486804"/>
    <w:rsid w:val="00487233"/>
    <w:rsid w:val="00487549"/>
    <w:rsid w:val="00494242"/>
    <w:rsid w:val="004A1174"/>
    <w:rsid w:val="004A255F"/>
    <w:rsid w:val="004A41B8"/>
    <w:rsid w:val="004B3775"/>
    <w:rsid w:val="004B5FC8"/>
    <w:rsid w:val="004C296F"/>
    <w:rsid w:val="004D0BA0"/>
    <w:rsid w:val="004D119D"/>
    <w:rsid w:val="004D1E01"/>
    <w:rsid w:val="004D6AC9"/>
    <w:rsid w:val="004D7F36"/>
    <w:rsid w:val="004E058F"/>
    <w:rsid w:val="004E3B87"/>
    <w:rsid w:val="004E549D"/>
    <w:rsid w:val="004F0503"/>
    <w:rsid w:val="004F172B"/>
    <w:rsid w:val="004F3D50"/>
    <w:rsid w:val="004F5615"/>
    <w:rsid w:val="005014E4"/>
    <w:rsid w:val="00502041"/>
    <w:rsid w:val="005021DE"/>
    <w:rsid w:val="00503D70"/>
    <w:rsid w:val="00503EB4"/>
    <w:rsid w:val="0050592F"/>
    <w:rsid w:val="00510921"/>
    <w:rsid w:val="00510AD3"/>
    <w:rsid w:val="00510CB7"/>
    <w:rsid w:val="0051142B"/>
    <w:rsid w:val="00511E7B"/>
    <w:rsid w:val="00513348"/>
    <w:rsid w:val="00513AD8"/>
    <w:rsid w:val="00514C89"/>
    <w:rsid w:val="00517DD0"/>
    <w:rsid w:val="005204D2"/>
    <w:rsid w:val="00522396"/>
    <w:rsid w:val="00522D78"/>
    <w:rsid w:val="005265F6"/>
    <w:rsid w:val="00527AD8"/>
    <w:rsid w:val="005314DD"/>
    <w:rsid w:val="0053159D"/>
    <w:rsid w:val="00531B69"/>
    <w:rsid w:val="00532F07"/>
    <w:rsid w:val="00533B5D"/>
    <w:rsid w:val="00534D96"/>
    <w:rsid w:val="00536343"/>
    <w:rsid w:val="00536BAB"/>
    <w:rsid w:val="00540A22"/>
    <w:rsid w:val="0054241B"/>
    <w:rsid w:val="00545014"/>
    <w:rsid w:val="00545A40"/>
    <w:rsid w:val="005474FC"/>
    <w:rsid w:val="00550FDC"/>
    <w:rsid w:val="00553079"/>
    <w:rsid w:val="00553D26"/>
    <w:rsid w:val="00560E83"/>
    <w:rsid w:val="005616AA"/>
    <w:rsid w:val="005649D8"/>
    <w:rsid w:val="00567203"/>
    <w:rsid w:val="005735A0"/>
    <w:rsid w:val="005736BB"/>
    <w:rsid w:val="005743F1"/>
    <w:rsid w:val="00577815"/>
    <w:rsid w:val="0058072B"/>
    <w:rsid w:val="0058092B"/>
    <w:rsid w:val="005822D6"/>
    <w:rsid w:val="00583062"/>
    <w:rsid w:val="00592500"/>
    <w:rsid w:val="00592BCA"/>
    <w:rsid w:val="00594A0F"/>
    <w:rsid w:val="005956C4"/>
    <w:rsid w:val="005A20F6"/>
    <w:rsid w:val="005C2EC9"/>
    <w:rsid w:val="005C4A00"/>
    <w:rsid w:val="005C532B"/>
    <w:rsid w:val="005D3655"/>
    <w:rsid w:val="005D5489"/>
    <w:rsid w:val="005D6D54"/>
    <w:rsid w:val="005D7A43"/>
    <w:rsid w:val="005E0058"/>
    <w:rsid w:val="005E4830"/>
    <w:rsid w:val="005E5524"/>
    <w:rsid w:val="005E73CC"/>
    <w:rsid w:val="005F254B"/>
    <w:rsid w:val="005F2F66"/>
    <w:rsid w:val="006031AC"/>
    <w:rsid w:val="00603321"/>
    <w:rsid w:val="00607D92"/>
    <w:rsid w:val="006114C3"/>
    <w:rsid w:val="006128EB"/>
    <w:rsid w:val="00616A58"/>
    <w:rsid w:val="00620A3D"/>
    <w:rsid w:val="00622B86"/>
    <w:rsid w:val="006238C1"/>
    <w:rsid w:val="00623BA1"/>
    <w:rsid w:val="006273AE"/>
    <w:rsid w:val="00630092"/>
    <w:rsid w:val="0063177A"/>
    <w:rsid w:val="00632C74"/>
    <w:rsid w:val="006346BC"/>
    <w:rsid w:val="006362FF"/>
    <w:rsid w:val="006378FE"/>
    <w:rsid w:val="006408FF"/>
    <w:rsid w:val="00642470"/>
    <w:rsid w:val="00646525"/>
    <w:rsid w:val="0065016F"/>
    <w:rsid w:val="00650965"/>
    <w:rsid w:val="00651235"/>
    <w:rsid w:val="00652B46"/>
    <w:rsid w:val="006532AD"/>
    <w:rsid w:val="006552BC"/>
    <w:rsid w:val="00655667"/>
    <w:rsid w:val="0065649B"/>
    <w:rsid w:val="00656863"/>
    <w:rsid w:val="00657DCD"/>
    <w:rsid w:val="00657E05"/>
    <w:rsid w:val="0066057C"/>
    <w:rsid w:val="0066203A"/>
    <w:rsid w:val="006629F0"/>
    <w:rsid w:val="0066652A"/>
    <w:rsid w:val="006719C3"/>
    <w:rsid w:val="006745FC"/>
    <w:rsid w:val="006750D9"/>
    <w:rsid w:val="00680115"/>
    <w:rsid w:val="00680522"/>
    <w:rsid w:val="00681633"/>
    <w:rsid w:val="00682167"/>
    <w:rsid w:val="006821C7"/>
    <w:rsid w:val="00690AE1"/>
    <w:rsid w:val="00693C04"/>
    <w:rsid w:val="006A32A4"/>
    <w:rsid w:val="006A6F52"/>
    <w:rsid w:val="006A791A"/>
    <w:rsid w:val="006B0064"/>
    <w:rsid w:val="006B3E95"/>
    <w:rsid w:val="006B51B2"/>
    <w:rsid w:val="006B6F6D"/>
    <w:rsid w:val="006B7E36"/>
    <w:rsid w:val="006C091A"/>
    <w:rsid w:val="006C0B06"/>
    <w:rsid w:val="006C1578"/>
    <w:rsid w:val="006C1E96"/>
    <w:rsid w:val="006C3BBD"/>
    <w:rsid w:val="006C42AF"/>
    <w:rsid w:val="006C565B"/>
    <w:rsid w:val="006C5FC2"/>
    <w:rsid w:val="006C6498"/>
    <w:rsid w:val="006D0142"/>
    <w:rsid w:val="006D15F1"/>
    <w:rsid w:val="006D1D55"/>
    <w:rsid w:val="006D49E3"/>
    <w:rsid w:val="006D5A56"/>
    <w:rsid w:val="006D5BF6"/>
    <w:rsid w:val="006E0A79"/>
    <w:rsid w:val="006E1BE0"/>
    <w:rsid w:val="006E4323"/>
    <w:rsid w:val="006E4F0E"/>
    <w:rsid w:val="006F2201"/>
    <w:rsid w:val="006F3F01"/>
    <w:rsid w:val="006F6BA7"/>
    <w:rsid w:val="00701E93"/>
    <w:rsid w:val="00702585"/>
    <w:rsid w:val="007075DF"/>
    <w:rsid w:val="00711D8E"/>
    <w:rsid w:val="00712672"/>
    <w:rsid w:val="00712837"/>
    <w:rsid w:val="00713A5A"/>
    <w:rsid w:val="007178C4"/>
    <w:rsid w:val="00721685"/>
    <w:rsid w:val="007303E3"/>
    <w:rsid w:val="00734E3F"/>
    <w:rsid w:val="00736985"/>
    <w:rsid w:val="0073718C"/>
    <w:rsid w:val="0073747A"/>
    <w:rsid w:val="0074130A"/>
    <w:rsid w:val="00745DF5"/>
    <w:rsid w:val="00751718"/>
    <w:rsid w:val="0076250F"/>
    <w:rsid w:val="007639BC"/>
    <w:rsid w:val="0077324F"/>
    <w:rsid w:val="007733DC"/>
    <w:rsid w:val="00780FA5"/>
    <w:rsid w:val="00781796"/>
    <w:rsid w:val="007832C6"/>
    <w:rsid w:val="007860CA"/>
    <w:rsid w:val="00787C2F"/>
    <w:rsid w:val="00794D99"/>
    <w:rsid w:val="00796F1C"/>
    <w:rsid w:val="00797204"/>
    <w:rsid w:val="007A4493"/>
    <w:rsid w:val="007B0FCB"/>
    <w:rsid w:val="007B1E6A"/>
    <w:rsid w:val="007B53F9"/>
    <w:rsid w:val="007B5C54"/>
    <w:rsid w:val="007B6200"/>
    <w:rsid w:val="007B72E7"/>
    <w:rsid w:val="007C19B3"/>
    <w:rsid w:val="007C478D"/>
    <w:rsid w:val="007C5870"/>
    <w:rsid w:val="007C735B"/>
    <w:rsid w:val="007D2808"/>
    <w:rsid w:val="007D3F3C"/>
    <w:rsid w:val="007D73B0"/>
    <w:rsid w:val="007D7BF4"/>
    <w:rsid w:val="007E5361"/>
    <w:rsid w:val="007E556D"/>
    <w:rsid w:val="007E7BC7"/>
    <w:rsid w:val="007F3395"/>
    <w:rsid w:val="007F5C0B"/>
    <w:rsid w:val="007F646C"/>
    <w:rsid w:val="00801B9F"/>
    <w:rsid w:val="0080204D"/>
    <w:rsid w:val="00810B12"/>
    <w:rsid w:val="00815EB9"/>
    <w:rsid w:val="00816583"/>
    <w:rsid w:val="0082053C"/>
    <w:rsid w:val="00822F43"/>
    <w:rsid w:val="008244C2"/>
    <w:rsid w:val="00824EB2"/>
    <w:rsid w:val="00827EA6"/>
    <w:rsid w:val="00831FA3"/>
    <w:rsid w:val="008329FE"/>
    <w:rsid w:val="00833F61"/>
    <w:rsid w:val="00835595"/>
    <w:rsid w:val="00835D01"/>
    <w:rsid w:val="0084191E"/>
    <w:rsid w:val="00843B76"/>
    <w:rsid w:val="00844737"/>
    <w:rsid w:val="008475F0"/>
    <w:rsid w:val="008515AF"/>
    <w:rsid w:val="00852C32"/>
    <w:rsid w:val="00854F69"/>
    <w:rsid w:val="008557A7"/>
    <w:rsid w:val="00856BFE"/>
    <w:rsid w:val="00857312"/>
    <w:rsid w:val="008574CC"/>
    <w:rsid w:val="00857AD9"/>
    <w:rsid w:val="00864B85"/>
    <w:rsid w:val="00866330"/>
    <w:rsid w:val="00870157"/>
    <w:rsid w:val="00870928"/>
    <w:rsid w:val="00874807"/>
    <w:rsid w:val="00877019"/>
    <w:rsid w:val="00877620"/>
    <w:rsid w:val="00880C33"/>
    <w:rsid w:val="00881605"/>
    <w:rsid w:val="00881E06"/>
    <w:rsid w:val="00883FE0"/>
    <w:rsid w:val="00887404"/>
    <w:rsid w:val="00887F03"/>
    <w:rsid w:val="008917FB"/>
    <w:rsid w:val="0089405C"/>
    <w:rsid w:val="00897FA2"/>
    <w:rsid w:val="008A1503"/>
    <w:rsid w:val="008A5AFE"/>
    <w:rsid w:val="008A6BB7"/>
    <w:rsid w:val="008A7B6F"/>
    <w:rsid w:val="008B234E"/>
    <w:rsid w:val="008B3075"/>
    <w:rsid w:val="008B3F50"/>
    <w:rsid w:val="008C1F60"/>
    <w:rsid w:val="008C478C"/>
    <w:rsid w:val="008C5A0E"/>
    <w:rsid w:val="008C6149"/>
    <w:rsid w:val="008C708C"/>
    <w:rsid w:val="008D0C3E"/>
    <w:rsid w:val="008D28AA"/>
    <w:rsid w:val="008D4517"/>
    <w:rsid w:val="008E4B49"/>
    <w:rsid w:val="008F0E2F"/>
    <w:rsid w:val="008F20DC"/>
    <w:rsid w:val="008F4B6C"/>
    <w:rsid w:val="008F6625"/>
    <w:rsid w:val="00904062"/>
    <w:rsid w:val="009114D0"/>
    <w:rsid w:val="00911B20"/>
    <w:rsid w:val="009131E9"/>
    <w:rsid w:val="00916582"/>
    <w:rsid w:val="00917A7A"/>
    <w:rsid w:val="00920763"/>
    <w:rsid w:val="00920854"/>
    <w:rsid w:val="00922EE1"/>
    <w:rsid w:val="0093173D"/>
    <w:rsid w:val="00937866"/>
    <w:rsid w:val="0094256C"/>
    <w:rsid w:val="00943730"/>
    <w:rsid w:val="00950D65"/>
    <w:rsid w:val="00952815"/>
    <w:rsid w:val="00960249"/>
    <w:rsid w:val="009613D3"/>
    <w:rsid w:val="009659E8"/>
    <w:rsid w:val="00975CA5"/>
    <w:rsid w:val="009774B4"/>
    <w:rsid w:val="00982D73"/>
    <w:rsid w:val="00983DE2"/>
    <w:rsid w:val="0098580D"/>
    <w:rsid w:val="00986590"/>
    <w:rsid w:val="00991579"/>
    <w:rsid w:val="0099215D"/>
    <w:rsid w:val="00992C76"/>
    <w:rsid w:val="009969D6"/>
    <w:rsid w:val="00996C85"/>
    <w:rsid w:val="009A112B"/>
    <w:rsid w:val="009A2619"/>
    <w:rsid w:val="009A58FC"/>
    <w:rsid w:val="009A63DD"/>
    <w:rsid w:val="009A6F25"/>
    <w:rsid w:val="009B0D6A"/>
    <w:rsid w:val="009B394F"/>
    <w:rsid w:val="009B4D3B"/>
    <w:rsid w:val="009B6413"/>
    <w:rsid w:val="009C0B9F"/>
    <w:rsid w:val="009C1307"/>
    <w:rsid w:val="009C18DB"/>
    <w:rsid w:val="009C55A4"/>
    <w:rsid w:val="009D0F46"/>
    <w:rsid w:val="009D3438"/>
    <w:rsid w:val="009D7407"/>
    <w:rsid w:val="009E0866"/>
    <w:rsid w:val="009E273C"/>
    <w:rsid w:val="009E4163"/>
    <w:rsid w:val="009E6F46"/>
    <w:rsid w:val="009F1350"/>
    <w:rsid w:val="009F3084"/>
    <w:rsid w:val="009F6423"/>
    <w:rsid w:val="00A00574"/>
    <w:rsid w:val="00A07A86"/>
    <w:rsid w:val="00A107B9"/>
    <w:rsid w:val="00A12B40"/>
    <w:rsid w:val="00A14D29"/>
    <w:rsid w:val="00A24A62"/>
    <w:rsid w:val="00A26FEC"/>
    <w:rsid w:val="00A27F06"/>
    <w:rsid w:val="00A31C9F"/>
    <w:rsid w:val="00A3475F"/>
    <w:rsid w:val="00A37E6D"/>
    <w:rsid w:val="00A4144F"/>
    <w:rsid w:val="00A46B28"/>
    <w:rsid w:val="00A47135"/>
    <w:rsid w:val="00A479F2"/>
    <w:rsid w:val="00A60376"/>
    <w:rsid w:val="00A61B4D"/>
    <w:rsid w:val="00A65442"/>
    <w:rsid w:val="00A67F80"/>
    <w:rsid w:val="00A70F22"/>
    <w:rsid w:val="00A70F94"/>
    <w:rsid w:val="00A71167"/>
    <w:rsid w:val="00A7137C"/>
    <w:rsid w:val="00A72201"/>
    <w:rsid w:val="00A74192"/>
    <w:rsid w:val="00A75B84"/>
    <w:rsid w:val="00A77A0A"/>
    <w:rsid w:val="00A80123"/>
    <w:rsid w:val="00A80305"/>
    <w:rsid w:val="00A80F95"/>
    <w:rsid w:val="00A834CF"/>
    <w:rsid w:val="00A868CB"/>
    <w:rsid w:val="00A918B2"/>
    <w:rsid w:val="00A96364"/>
    <w:rsid w:val="00A97244"/>
    <w:rsid w:val="00A97BF1"/>
    <w:rsid w:val="00AA298A"/>
    <w:rsid w:val="00AA3AA8"/>
    <w:rsid w:val="00AB1FC5"/>
    <w:rsid w:val="00AB2CB3"/>
    <w:rsid w:val="00AB42A0"/>
    <w:rsid w:val="00AB4795"/>
    <w:rsid w:val="00AB66D5"/>
    <w:rsid w:val="00AB6748"/>
    <w:rsid w:val="00AB6BD2"/>
    <w:rsid w:val="00AC107C"/>
    <w:rsid w:val="00AC164A"/>
    <w:rsid w:val="00AC2930"/>
    <w:rsid w:val="00AC2C35"/>
    <w:rsid w:val="00AC3944"/>
    <w:rsid w:val="00AC4712"/>
    <w:rsid w:val="00AC4A71"/>
    <w:rsid w:val="00AC551D"/>
    <w:rsid w:val="00AC61E0"/>
    <w:rsid w:val="00AC69E3"/>
    <w:rsid w:val="00AC7B65"/>
    <w:rsid w:val="00AD007A"/>
    <w:rsid w:val="00AD19F7"/>
    <w:rsid w:val="00AD2466"/>
    <w:rsid w:val="00AD2C2E"/>
    <w:rsid w:val="00AD36D2"/>
    <w:rsid w:val="00AE179C"/>
    <w:rsid w:val="00AE27B0"/>
    <w:rsid w:val="00AE2B7B"/>
    <w:rsid w:val="00AE448A"/>
    <w:rsid w:val="00AE74DA"/>
    <w:rsid w:val="00AE7B5D"/>
    <w:rsid w:val="00AE7DA7"/>
    <w:rsid w:val="00AF18F4"/>
    <w:rsid w:val="00AF2050"/>
    <w:rsid w:val="00AF3D7E"/>
    <w:rsid w:val="00AF57C2"/>
    <w:rsid w:val="00AF7ECC"/>
    <w:rsid w:val="00B00BF4"/>
    <w:rsid w:val="00B02B2A"/>
    <w:rsid w:val="00B03CA8"/>
    <w:rsid w:val="00B05B87"/>
    <w:rsid w:val="00B07DC8"/>
    <w:rsid w:val="00B11007"/>
    <w:rsid w:val="00B16EF6"/>
    <w:rsid w:val="00B21ED3"/>
    <w:rsid w:val="00B22F0E"/>
    <w:rsid w:val="00B249EC"/>
    <w:rsid w:val="00B24E27"/>
    <w:rsid w:val="00B25B54"/>
    <w:rsid w:val="00B274AA"/>
    <w:rsid w:val="00B27711"/>
    <w:rsid w:val="00B33C0A"/>
    <w:rsid w:val="00B34763"/>
    <w:rsid w:val="00B401AF"/>
    <w:rsid w:val="00B44D70"/>
    <w:rsid w:val="00B50ED0"/>
    <w:rsid w:val="00B51C2F"/>
    <w:rsid w:val="00B52374"/>
    <w:rsid w:val="00B55B68"/>
    <w:rsid w:val="00B55E19"/>
    <w:rsid w:val="00B56E71"/>
    <w:rsid w:val="00B579A6"/>
    <w:rsid w:val="00B61513"/>
    <w:rsid w:val="00B67077"/>
    <w:rsid w:val="00B703BC"/>
    <w:rsid w:val="00B71AD8"/>
    <w:rsid w:val="00B73388"/>
    <w:rsid w:val="00B84B3C"/>
    <w:rsid w:val="00B857E1"/>
    <w:rsid w:val="00B8599B"/>
    <w:rsid w:val="00B86990"/>
    <w:rsid w:val="00B87E90"/>
    <w:rsid w:val="00B91FE7"/>
    <w:rsid w:val="00B929BE"/>
    <w:rsid w:val="00B94758"/>
    <w:rsid w:val="00B94A37"/>
    <w:rsid w:val="00BA1B89"/>
    <w:rsid w:val="00BA3CD8"/>
    <w:rsid w:val="00BA4B6D"/>
    <w:rsid w:val="00BA5007"/>
    <w:rsid w:val="00BB26C5"/>
    <w:rsid w:val="00BB2F84"/>
    <w:rsid w:val="00BB3FD0"/>
    <w:rsid w:val="00BB555D"/>
    <w:rsid w:val="00BC1FED"/>
    <w:rsid w:val="00BD6304"/>
    <w:rsid w:val="00BD710C"/>
    <w:rsid w:val="00BE12B6"/>
    <w:rsid w:val="00BE56E7"/>
    <w:rsid w:val="00BF1579"/>
    <w:rsid w:val="00BF2BDB"/>
    <w:rsid w:val="00BF4CDD"/>
    <w:rsid w:val="00BF4DE6"/>
    <w:rsid w:val="00BF5645"/>
    <w:rsid w:val="00BF6703"/>
    <w:rsid w:val="00C04D61"/>
    <w:rsid w:val="00C06B13"/>
    <w:rsid w:val="00C12B6D"/>
    <w:rsid w:val="00C14334"/>
    <w:rsid w:val="00C16A47"/>
    <w:rsid w:val="00C16CA1"/>
    <w:rsid w:val="00C2672D"/>
    <w:rsid w:val="00C27D25"/>
    <w:rsid w:val="00C35791"/>
    <w:rsid w:val="00C37697"/>
    <w:rsid w:val="00C40B14"/>
    <w:rsid w:val="00C4154D"/>
    <w:rsid w:val="00C42541"/>
    <w:rsid w:val="00C42CDE"/>
    <w:rsid w:val="00C439C1"/>
    <w:rsid w:val="00C45941"/>
    <w:rsid w:val="00C50B58"/>
    <w:rsid w:val="00C5182A"/>
    <w:rsid w:val="00C52463"/>
    <w:rsid w:val="00C52B3D"/>
    <w:rsid w:val="00C55983"/>
    <w:rsid w:val="00C61649"/>
    <w:rsid w:val="00C63EE9"/>
    <w:rsid w:val="00C6461F"/>
    <w:rsid w:val="00C72A6C"/>
    <w:rsid w:val="00C76711"/>
    <w:rsid w:val="00C778E7"/>
    <w:rsid w:val="00C80F99"/>
    <w:rsid w:val="00C83F4E"/>
    <w:rsid w:val="00C84C30"/>
    <w:rsid w:val="00C87B9B"/>
    <w:rsid w:val="00C908C7"/>
    <w:rsid w:val="00C92805"/>
    <w:rsid w:val="00C929F1"/>
    <w:rsid w:val="00CA0B71"/>
    <w:rsid w:val="00CA16F3"/>
    <w:rsid w:val="00CA3403"/>
    <w:rsid w:val="00CA37B1"/>
    <w:rsid w:val="00CA3FD8"/>
    <w:rsid w:val="00CA5021"/>
    <w:rsid w:val="00CB1488"/>
    <w:rsid w:val="00CB1959"/>
    <w:rsid w:val="00CB40BD"/>
    <w:rsid w:val="00CB5EB8"/>
    <w:rsid w:val="00CC1D45"/>
    <w:rsid w:val="00CC6F35"/>
    <w:rsid w:val="00CC741B"/>
    <w:rsid w:val="00CD0E4B"/>
    <w:rsid w:val="00CD1E17"/>
    <w:rsid w:val="00CD3F5D"/>
    <w:rsid w:val="00CD4AD4"/>
    <w:rsid w:val="00CD5614"/>
    <w:rsid w:val="00CD710E"/>
    <w:rsid w:val="00CE3C38"/>
    <w:rsid w:val="00CE4C89"/>
    <w:rsid w:val="00CE6FE7"/>
    <w:rsid w:val="00CF07BA"/>
    <w:rsid w:val="00CF21A3"/>
    <w:rsid w:val="00CF2968"/>
    <w:rsid w:val="00CF3F36"/>
    <w:rsid w:val="00CF4C5B"/>
    <w:rsid w:val="00CF5DE7"/>
    <w:rsid w:val="00D00CEE"/>
    <w:rsid w:val="00D0296C"/>
    <w:rsid w:val="00D03390"/>
    <w:rsid w:val="00D03B2D"/>
    <w:rsid w:val="00D0568F"/>
    <w:rsid w:val="00D05E55"/>
    <w:rsid w:val="00D11216"/>
    <w:rsid w:val="00D1231A"/>
    <w:rsid w:val="00D20A30"/>
    <w:rsid w:val="00D20BC7"/>
    <w:rsid w:val="00D22214"/>
    <w:rsid w:val="00D22C79"/>
    <w:rsid w:val="00D26153"/>
    <w:rsid w:val="00D2641E"/>
    <w:rsid w:val="00D3170B"/>
    <w:rsid w:val="00D32D6F"/>
    <w:rsid w:val="00D34D5D"/>
    <w:rsid w:val="00D3505A"/>
    <w:rsid w:val="00D37B04"/>
    <w:rsid w:val="00D41306"/>
    <w:rsid w:val="00D42B59"/>
    <w:rsid w:val="00D43276"/>
    <w:rsid w:val="00D4515D"/>
    <w:rsid w:val="00D45555"/>
    <w:rsid w:val="00D4628C"/>
    <w:rsid w:val="00D479B5"/>
    <w:rsid w:val="00D540C6"/>
    <w:rsid w:val="00D5595E"/>
    <w:rsid w:val="00D6001D"/>
    <w:rsid w:val="00D6079A"/>
    <w:rsid w:val="00D60A60"/>
    <w:rsid w:val="00D617D3"/>
    <w:rsid w:val="00D64BD1"/>
    <w:rsid w:val="00D65222"/>
    <w:rsid w:val="00D71F34"/>
    <w:rsid w:val="00D7310B"/>
    <w:rsid w:val="00D7362A"/>
    <w:rsid w:val="00D8369C"/>
    <w:rsid w:val="00D84BDB"/>
    <w:rsid w:val="00D857EC"/>
    <w:rsid w:val="00D85F0B"/>
    <w:rsid w:val="00D90B37"/>
    <w:rsid w:val="00D9123A"/>
    <w:rsid w:val="00D92254"/>
    <w:rsid w:val="00D924D2"/>
    <w:rsid w:val="00D924D3"/>
    <w:rsid w:val="00D9593F"/>
    <w:rsid w:val="00D95DF6"/>
    <w:rsid w:val="00DA13C6"/>
    <w:rsid w:val="00DA1B52"/>
    <w:rsid w:val="00DA2644"/>
    <w:rsid w:val="00DA2B85"/>
    <w:rsid w:val="00DC0996"/>
    <w:rsid w:val="00DC238C"/>
    <w:rsid w:val="00DC6D78"/>
    <w:rsid w:val="00DC7A41"/>
    <w:rsid w:val="00DC7E59"/>
    <w:rsid w:val="00DD10A0"/>
    <w:rsid w:val="00DD3E88"/>
    <w:rsid w:val="00DD70A5"/>
    <w:rsid w:val="00DE084C"/>
    <w:rsid w:val="00DE45B6"/>
    <w:rsid w:val="00DF2254"/>
    <w:rsid w:val="00DF35BA"/>
    <w:rsid w:val="00DF5478"/>
    <w:rsid w:val="00DF68CF"/>
    <w:rsid w:val="00E02FA8"/>
    <w:rsid w:val="00E0366F"/>
    <w:rsid w:val="00E0497E"/>
    <w:rsid w:val="00E055AB"/>
    <w:rsid w:val="00E14F51"/>
    <w:rsid w:val="00E15A6C"/>
    <w:rsid w:val="00E1666D"/>
    <w:rsid w:val="00E221FA"/>
    <w:rsid w:val="00E22D3A"/>
    <w:rsid w:val="00E3076E"/>
    <w:rsid w:val="00E357B7"/>
    <w:rsid w:val="00E410F8"/>
    <w:rsid w:val="00E42990"/>
    <w:rsid w:val="00E42E50"/>
    <w:rsid w:val="00E44C8A"/>
    <w:rsid w:val="00E4584F"/>
    <w:rsid w:val="00E52273"/>
    <w:rsid w:val="00E532A8"/>
    <w:rsid w:val="00E53800"/>
    <w:rsid w:val="00E6081F"/>
    <w:rsid w:val="00E614AA"/>
    <w:rsid w:val="00E624EC"/>
    <w:rsid w:val="00E64E93"/>
    <w:rsid w:val="00E66505"/>
    <w:rsid w:val="00E67476"/>
    <w:rsid w:val="00E7000B"/>
    <w:rsid w:val="00E70C37"/>
    <w:rsid w:val="00E71674"/>
    <w:rsid w:val="00E77059"/>
    <w:rsid w:val="00E801FB"/>
    <w:rsid w:val="00E8296D"/>
    <w:rsid w:val="00E8457B"/>
    <w:rsid w:val="00E923BF"/>
    <w:rsid w:val="00E944AA"/>
    <w:rsid w:val="00EA04B2"/>
    <w:rsid w:val="00EA0F86"/>
    <w:rsid w:val="00EA20F3"/>
    <w:rsid w:val="00EA36D9"/>
    <w:rsid w:val="00EA67FF"/>
    <w:rsid w:val="00EA71B7"/>
    <w:rsid w:val="00EB06EF"/>
    <w:rsid w:val="00EC46A5"/>
    <w:rsid w:val="00EC608A"/>
    <w:rsid w:val="00EC6D38"/>
    <w:rsid w:val="00ED1E48"/>
    <w:rsid w:val="00ED2831"/>
    <w:rsid w:val="00ED3B2D"/>
    <w:rsid w:val="00ED43D1"/>
    <w:rsid w:val="00ED5D77"/>
    <w:rsid w:val="00EE0466"/>
    <w:rsid w:val="00EE1801"/>
    <w:rsid w:val="00EE1CFF"/>
    <w:rsid w:val="00EE4EE1"/>
    <w:rsid w:val="00EF4574"/>
    <w:rsid w:val="00EF7BD4"/>
    <w:rsid w:val="00F01921"/>
    <w:rsid w:val="00F05E84"/>
    <w:rsid w:val="00F07B85"/>
    <w:rsid w:val="00F129DB"/>
    <w:rsid w:val="00F13373"/>
    <w:rsid w:val="00F1364F"/>
    <w:rsid w:val="00F13F07"/>
    <w:rsid w:val="00F14EB1"/>
    <w:rsid w:val="00F16A3A"/>
    <w:rsid w:val="00F218D7"/>
    <w:rsid w:val="00F21DCB"/>
    <w:rsid w:val="00F258BF"/>
    <w:rsid w:val="00F25A93"/>
    <w:rsid w:val="00F2684E"/>
    <w:rsid w:val="00F27235"/>
    <w:rsid w:val="00F32111"/>
    <w:rsid w:val="00F32F70"/>
    <w:rsid w:val="00F33A05"/>
    <w:rsid w:val="00F3400A"/>
    <w:rsid w:val="00F43E18"/>
    <w:rsid w:val="00F45486"/>
    <w:rsid w:val="00F47942"/>
    <w:rsid w:val="00F53309"/>
    <w:rsid w:val="00F538FD"/>
    <w:rsid w:val="00F53E91"/>
    <w:rsid w:val="00F5404C"/>
    <w:rsid w:val="00F55791"/>
    <w:rsid w:val="00F562C5"/>
    <w:rsid w:val="00F650C7"/>
    <w:rsid w:val="00F67C6A"/>
    <w:rsid w:val="00F70504"/>
    <w:rsid w:val="00F713EB"/>
    <w:rsid w:val="00F729EF"/>
    <w:rsid w:val="00F746B7"/>
    <w:rsid w:val="00F760AE"/>
    <w:rsid w:val="00F77CAE"/>
    <w:rsid w:val="00F80750"/>
    <w:rsid w:val="00F82271"/>
    <w:rsid w:val="00F82C07"/>
    <w:rsid w:val="00F83428"/>
    <w:rsid w:val="00F875A8"/>
    <w:rsid w:val="00F90B17"/>
    <w:rsid w:val="00F93CCE"/>
    <w:rsid w:val="00F953C3"/>
    <w:rsid w:val="00F96928"/>
    <w:rsid w:val="00F96BB9"/>
    <w:rsid w:val="00FA2DBF"/>
    <w:rsid w:val="00FA4D1A"/>
    <w:rsid w:val="00FA5974"/>
    <w:rsid w:val="00FA5EFD"/>
    <w:rsid w:val="00FB09B7"/>
    <w:rsid w:val="00FB36E2"/>
    <w:rsid w:val="00FB5B17"/>
    <w:rsid w:val="00FC1216"/>
    <w:rsid w:val="00FC2BB1"/>
    <w:rsid w:val="00FC3916"/>
    <w:rsid w:val="00FC4210"/>
    <w:rsid w:val="00FC5365"/>
    <w:rsid w:val="00FD1850"/>
    <w:rsid w:val="00FD645A"/>
    <w:rsid w:val="00FD710F"/>
    <w:rsid w:val="00FD74B8"/>
    <w:rsid w:val="00FE02F7"/>
    <w:rsid w:val="00FE6D51"/>
    <w:rsid w:val="00FE6F2A"/>
    <w:rsid w:val="00FE79BA"/>
    <w:rsid w:val="00FF63B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33121"/>
    <o:shapelayout v:ext="edit">
      <o:idmap v:ext="edit" data="1"/>
    </o:shapelayout>
  </w:shapeDefaults>
  <w:decimalSymbol w:val="."/>
  <w:listSeparator w:val=","/>
  <w14:docId w14:val="64297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locked="0" w:semiHidden="1" w:uiPriority="35"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locked="0" w:semiHidden="1"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locked="0" w:semiHidden="1" w:unhideWhenUsed="1"/>
    <w:lsdException w:name="macro" w:semiHidden="1" w:unhideWhenUsed="1"/>
    <w:lsdException w:name="toa heading" w:locked="0"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locked="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11" w:qFormat="1"/>
    <w:lsdException w:name="Salutation" w:semiHidden="1" w:unhideWhenUsed="1"/>
    <w:lsdException w:name="Date" w:locked="0" w:semiHidden="1" w:unhideWhenUsed="1"/>
    <w:lsdException w:name="Body Text First Indent" w:locked="0" w:semiHidden="1" w:unhideWhenUsed="1"/>
    <w:lsdException w:name="Body Text First Indent 2" w:locked="0" w:semiHidden="1" w:unhideWhenUsed="1"/>
    <w:lsdException w:name="Note Heading" w:locked="0" w:semiHidden="1" w:unhideWhenUsed="1"/>
    <w:lsdException w:name="Body Text 2" w:locked="0" w:semiHidden="1" w:unhideWhenUsed="1"/>
    <w:lsdException w:name="Body Text 3" w:locked="0" w:semiHidden="1" w:unhideWhenUsed="1"/>
    <w:lsdException w:name="Body Text Indent 2" w:semiHidden="1" w:unhideWhenUsed="1"/>
    <w:lsdException w:name="Body Text Indent 3" w:semiHidden="1" w:unhideWhenUsed="1"/>
    <w:lsdException w:name="Block Text" w:locked="0" w:semiHidden="1" w:unhideWhenUsed="1"/>
    <w:lsdException w:name="Hyperlink" w:locked="0" w:semiHidden="1" w:unhideWhenUsed="1"/>
    <w:lsdException w:name="FollowedHyperlink" w:locked="0" w:semiHidden="1" w:unhideWhenUsed="1"/>
    <w:lsdException w:name="Strong" w:locked="0" w:uiPriority="22" w:qFormat="1"/>
    <w:lsdException w:name="Emphasis" w:locked="0"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locked="0"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locked="0"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166032"/>
    <w:pPr>
      <w:suppressAutoHyphens/>
      <w:spacing w:before="120" w:after="60" w:line="260" w:lineRule="atLeast"/>
    </w:pPr>
    <w:rPr>
      <w:color w:val="495965" w:themeColor="text2"/>
      <w:lang w:val="en-GB"/>
    </w:rPr>
  </w:style>
  <w:style w:type="paragraph" w:styleId="Heading1">
    <w:name w:val="heading 1"/>
    <w:basedOn w:val="Normal"/>
    <w:next w:val="Normal"/>
    <w:link w:val="Heading1Char"/>
    <w:uiPriority w:val="9"/>
    <w:qFormat/>
    <w:rsid w:val="00B71AD8"/>
    <w:pPr>
      <w:keepNext/>
      <w:keepLines/>
      <w:spacing w:before="0" w:after="180" w:line="380" w:lineRule="exact"/>
      <w:contextualSpacing/>
      <w:outlineLvl w:val="0"/>
    </w:pPr>
    <w:rPr>
      <w:rFonts w:asciiTheme="majorHAnsi" w:eastAsiaTheme="majorEastAsia" w:hAnsiTheme="majorHAnsi" w:cstheme="majorBidi"/>
      <w:b/>
      <w:bCs/>
      <w:caps/>
      <w:sz w:val="38"/>
      <w:szCs w:val="28"/>
    </w:rPr>
  </w:style>
  <w:style w:type="paragraph" w:styleId="Heading2">
    <w:name w:val="heading 2"/>
    <w:basedOn w:val="Heading1"/>
    <w:next w:val="Normal"/>
    <w:link w:val="Heading2Char"/>
    <w:autoRedefine/>
    <w:uiPriority w:val="9"/>
    <w:unhideWhenUsed/>
    <w:qFormat/>
    <w:rsid w:val="005265F6"/>
    <w:pPr>
      <w:spacing w:before="240" w:after="120" w:line="240" w:lineRule="auto"/>
      <w:contextualSpacing w:val="0"/>
      <w:outlineLvl w:val="1"/>
    </w:pPr>
    <w:rPr>
      <w:bCs w:val="0"/>
      <w:sz w:val="22"/>
      <w:szCs w:val="26"/>
    </w:rPr>
  </w:style>
  <w:style w:type="paragraph" w:styleId="Heading3">
    <w:name w:val="heading 3"/>
    <w:basedOn w:val="Heading2"/>
    <w:next w:val="Normal"/>
    <w:link w:val="Heading3Char"/>
    <w:autoRedefine/>
    <w:uiPriority w:val="9"/>
    <w:unhideWhenUsed/>
    <w:qFormat/>
    <w:rsid w:val="00153DB9"/>
    <w:pPr>
      <w:outlineLvl w:val="2"/>
    </w:pPr>
    <w:rPr>
      <w:rFonts w:asciiTheme="minorHAnsi" w:eastAsiaTheme="minorHAnsi" w:hAnsiTheme="minorHAnsi" w:cstheme="minorHAnsi"/>
      <w:bCs/>
      <w:i/>
      <w:iCs/>
      <w:caps w:val="0"/>
      <w:color w:val="595959" w:themeColor="text1" w:themeTint="A6"/>
      <w:sz w:val="20"/>
      <w:szCs w:val="20"/>
    </w:rPr>
  </w:style>
  <w:style w:type="paragraph" w:styleId="Heading4">
    <w:name w:val="heading 4"/>
    <w:basedOn w:val="Heading3"/>
    <w:next w:val="Normal"/>
    <w:link w:val="Heading4Char"/>
    <w:uiPriority w:val="9"/>
    <w:unhideWhenUsed/>
    <w:qFormat/>
    <w:rsid w:val="00A4144F"/>
    <w:pPr>
      <w:spacing w:line="280" w:lineRule="atLeast"/>
      <w:outlineLvl w:val="3"/>
    </w:pPr>
    <w:rPr>
      <w:iCs w:val="0"/>
    </w:rPr>
  </w:style>
  <w:style w:type="paragraph" w:styleId="Heading5">
    <w:name w:val="heading 5"/>
    <w:basedOn w:val="Heading4"/>
    <w:next w:val="Normal"/>
    <w:link w:val="Heading5Char"/>
    <w:uiPriority w:val="9"/>
    <w:unhideWhenUsed/>
    <w:qFormat/>
    <w:rsid w:val="00B71AD8"/>
    <w:pPr>
      <w:spacing w:line="200" w:lineRule="atLeast"/>
      <w:outlineLvl w:val="4"/>
    </w:pPr>
    <w:rPr>
      <w:b w:val="0"/>
      <w:sz w:val="22"/>
    </w:rPr>
  </w:style>
  <w:style w:type="paragraph" w:styleId="Heading6">
    <w:name w:val="heading 6"/>
    <w:basedOn w:val="Heading5"/>
    <w:next w:val="Normal"/>
    <w:link w:val="Heading6Char"/>
    <w:uiPriority w:val="9"/>
    <w:semiHidden/>
    <w:unhideWhenUsed/>
    <w:qFormat/>
    <w:rsid w:val="00486804"/>
    <w:pPr>
      <w:spacing w:before="40"/>
      <w:outlineLvl w:val="5"/>
    </w:pPr>
    <w:rPr>
      <w:color w:val="65C5B4" w:themeColor="accent1"/>
      <w14:textFill>
        <w14:solidFill>
          <w14:schemeClr w14:val="accent1">
            <w14:lumMod w14:val="50000"/>
            <w14:lumMod w14:val="65000"/>
            <w14:lumOff w14:val="35000"/>
          </w14:schemeClr>
        </w14:solidFill>
      </w14:textFill>
    </w:rPr>
  </w:style>
  <w:style w:type="paragraph" w:styleId="Heading7">
    <w:name w:val="heading 7"/>
    <w:basedOn w:val="Heading6"/>
    <w:next w:val="Normal"/>
    <w:link w:val="Heading7Char"/>
    <w:uiPriority w:val="9"/>
    <w:semiHidden/>
    <w:unhideWhenUsed/>
    <w:qFormat/>
    <w:locked/>
    <w:rsid w:val="00486804"/>
    <w:pPr>
      <w:outlineLvl w:val="6"/>
    </w:pPr>
    <w:rPr>
      <w:i w:val="0"/>
      <w:iCs/>
    </w:rPr>
  </w:style>
  <w:style w:type="paragraph" w:styleId="Heading8">
    <w:name w:val="heading 8"/>
    <w:basedOn w:val="Heading7"/>
    <w:next w:val="Normal"/>
    <w:link w:val="Heading8Char"/>
    <w:uiPriority w:val="9"/>
    <w:semiHidden/>
    <w:unhideWhenUsed/>
    <w:qFormat/>
    <w:locked/>
    <w:rsid w:val="00486804"/>
    <w:pPr>
      <w:outlineLvl w:val="7"/>
    </w:pPr>
    <w:rPr>
      <w:color w:val="000000" w:themeColor="text1"/>
      <w:sz w:val="21"/>
      <w:szCs w:val="21"/>
      <w14:textFill>
        <w14:solidFill>
          <w14:schemeClr w14:val="tx1">
            <w14:lumMod w14:val="85000"/>
            <w14:lumOff w14:val="15000"/>
            <w14:lumMod w14:val="65000"/>
            <w14:lumOff w14:val="35000"/>
          </w14:schemeClr>
        </w14:solidFill>
      </w14:textFill>
    </w:rPr>
  </w:style>
  <w:style w:type="paragraph" w:styleId="Heading9">
    <w:name w:val="heading 9"/>
    <w:basedOn w:val="Heading8"/>
    <w:next w:val="Normal"/>
    <w:link w:val="Heading9Char"/>
    <w:uiPriority w:val="9"/>
    <w:semiHidden/>
    <w:unhideWhenUsed/>
    <w:qFormat/>
    <w:locked/>
    <w:rsid w:val="00486804"/>
    <w:pPr>
      <w:outlineLvl w:val="8"/>
    </w:pPr>
    <w:rPr>
      <w:i/>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1AD8"/>
    <w:rPr>
      <w:rFonts w:asciiTheme="majorHAnsi" w:eastAsiaTheme="majorEastAsia" w:hAnsiTheme="majorHAnsi" w:cstheme="majorBidi"/>
      <w:b/>
      <w:bCs/>
      <w:caps/>
      <w:color w:val="495965" w:themeColor="text2"/>
      <w:sz w:val="38"/>
      <w:szCs w:val="28"/>
      <w:lang w:val="en-GB"/>
    </w:rPr>
  </w:style>
  <w:style w:type="character" w:customStyle="1" w:styleId="Heading2Char">
    <w:name w:val="Heading 2 Char"/>
    <w:basedOn w:val="DefaultParagraphFont"/>
    <w:link w:val="Heading2"/>
    <w:uiPriority w:val="9"/>
    <w:rsid w:val="005265F6"/>
    <w:rPr>
      <w:rFonts w:asciiTheme="majorHAnsi" w:eastAsiaTheme="majorEastAsia" w:hAnsiTheme="majorHAnsi" w:cstheme="majorBidi"/>
      <w:b/>
      <w:caps/>
      <w:color w:val="495965" w:themeColor="text2"/>
      <w:szCs w:val="26"/>
      <w:lang w:val="en-GB"/>
    </w:rPr>
  </w:style>
  <w:style w:type="character" w:customStyle="1" w:styleId="Heading3Char">
    <w:name w:val="Heading 3 Char"/>
    <w:basedOn w:val="DefaultParagraphFont"/>
    <w:link w:val="Heading3"/>
    <w:uiPriority w:val="9"/>
    <w:rsid w:val="00153DB9"/>
    <w:rPr>
      <w:rFonts w:cstheme="minorHAnsi"/>
      <w:b/>
      <w:bCs/>
      <w:i/>
      <w:iCs/>
      <w:color w:val="595959" w:themeColor="text1" w:themeTint="A6"/>
      <w:sz w:val="20"/>
      <w:szCs w:val="20"/>
      <w:lang w:val="en-GB"/>
    </w:rPr>
  </w:style>
  <w:style w:type="paragraph" w:customStyle="1" w:styleId="NormalIndented">
    <w:name w:val="Normal Indented"/>
    <w:basedOn w:val="Normal"/>
    <w:qFormat/>
    <w:rsid w:val="00D0296C"/>
    <w:pPr>
      <w:ind w:left="284"/>
    </w:pPr>
  </w:style>
  <w:style w:type="paragraph" w:styleId="Title">
    <w:name w:val="Title"/>
    <w:basedOn w:val="Heading1"/>
    <w:next w:val="Normal"/>
    <w:link w:val="TitleChar"/>
    <w:uiPriority w:val="10"/>
    <w:qFormat/>
    <w:rsid w:val="00D64BD1"/>
    <w:pPr>
      <w:spacing w:after="0"/>
    </w:pPr>
    <w:rPr>
      <w:spacing w:val="-10"/>
      <w:kern w:val="28"/>
      <w:szCs w:val="52"/>
    </w:rPr>
  </w:style>
  <w:style w:type="character" w:customStyle="1" w:styleId="TitleChar">
    <w:name w:val="Title Char"/>
    <w:basedOn w:val="DefaultParagraphFont"/>
    <w:link w:val="Title"/>
    <w:uiPriority w:val="10"/>
    <w:rsid w:val="00D64BD1"/>
    <w:rPr>
      <w:rFonts w:asciiTheme="majorHAnsi" w:eastAsiaTheme="majorEastAsia" w:hAnsiTheme="majorHAnsi" w:cstheme="majorBidi"/>
      <w:b/>
      <w:bCs/>
      <w:caps/>
      <w:color w:val="495965" w:themeColor="text2"/>
      <w:spacing w:val="-10"/>
      <w:kern w:val="28"/>
      <w:sz w:val="38"/>
      <w:szCs w:val="52"/>
    </w:rPr>
  </w:style>
  <w:style w:type="paragraph" w:styleId="Subtitle">
    <w:name w:val="Subtitle"/>
    <w:basedOn w:val="Title"/>
    <w:next w:val="Normal"/>
    <w:link w:val="SubtitleChar"/>
    <w:uiPriority w:val="11"/>
    <w:qFormat/>
    <w:rsid w:val="00D64BD1"/>
    <w:pPr>
      <w:numPr>
        <w:ilvl w:val="1"/>
      </w:numPr>
      <w:spacing w:before="60" w:after="300"/>
    </w:pPr>
    <w:rPr>
      <w:rFonts w:asciiTheme="minorHAnsi" w:hAnsiTheme="minorHAnsi"/>
      <w:b w:val="0"/>
      <w:iCs/>
      <w:szCs w:val="24"/>
    </w:rPr>
  </w:style>
  <w:style w:type="character" w:customStyle="1" w:styleId="SubtitleChar">
    <w:name w:val="Subtitle Char"/>
    <w:basedOn w:val="DefaultParagraphFont"/>
    <w:link w:val="Subtitle"/>
    <w:uiPriority w:val="11"/>
    <w:rsid w:val="00D64BD1"/>
    <w:rPr>
      <w:rFonts w:eastAsiaTheme="majorEastAsia" w:cstheme="majorBidi"/>
      <w:bCs/>
      <w:iCs/>
      <w:caps/>
      <w:color w:val="495965" w:themeColor="text2"/>
      <w:spacing w:val="-10"/>
      <w:kern w:val="28"/>
      <w:sz w:val="38"/>
      <w:szCs w:val="24"/>
    </w:rPr>
  </w:style>
  <w:style w:type="paragraph" w:customStyle="1" w:styleId="Bullet1">
    <w:name w:val="Bullet 1"/>
    <w:basedOn w:val="Normal"/>
    <w:qFormat/>
    <w:rsid w:val="00B71AD8"/>
    <w:pPr>
      <w:numPr>
        <w:numId w:val="10"/>
      </w:numPr>
      <w:spacing w:before="0"/>
    </w:pPr>
  </w:style>
  <w:style w:type="paragraph" w:customStyle="1" w:styleId="Bullet2">
    <w:name w:val="Bullet 2"/>
    <w:basedOn w:val="Bullet1"/>
    <w:qFormat/>
    <w:rsid w:val="00F2684E"/>
    <w:pPr>
      <w:numPr>
        <w:ilvl w:val="1"/>
      </w:numPr>
    </w:pPr>
  </w:style>
  <w:style w:type="paragraph" w:customStyle="1" w:styleId="Bullet3">
    <w:name w:val="Bullet 3"/>
    <w:basedOn w:val="Bullet2"/>
    <w:qFormat/>
    <w:rsid w:val="00F2684E"/>
    <w:pPr>
      <w:numPr>
        <w:ilvl w:val="2"/>
      </w:numPr>
    </w:pPr>
  </w:style>
  <w:style w:type="paragraph" w:customStyle="1" w:styleId="NumberedList1">
    <w:name w:val="Numbered List 1"/>
    <w:basedOn w:val="Normal"/>
    <w:qFormat/>
    <w:rsid w:val="00F2684E"/>
    <w:pPr>
      <w:numPr>
        <w:numId w:val="7"/>
      </w:numPr>
      <w:spacing w:before="0"/>
    </w:pPr>
  </w:style>
  <w:style w:type="paragraph" w:customStyle="1" w:styleId="NumberedList2">
    <w:name w:val="Numbered List 2"/>
    <w:basedOn w:val="NumberedList1"/>
    <w:qFormat/>
    <w:rsid w:val="00F2684E"/>
    <w:pPr>
      <w:numPr>
        <w:ilvl w:val="1"/>
      </w:numPr>
    </w:pPr>
  </w:style>
  <w:style w:type="paragraph" w:customStyle="1" w:styleId="NumberedList3">
    <w:name w:val="Numbered List 3"/>
    <w:basedOn w:val="NumberedList2"/>
    <w:qFormat/>
    <w:rsid w:val="00F2684E"/>
    <w:pPr>
      <w:numPr>
        <w:ilvl w:val="2"/>
      </w:numPr>
    </w:pPr>
  </w:style>
  <w:style w:type="paragraph" w:customStyle="1" w:styleId="Heading1Numbered">
    <w:name w:val="Heading 1 Numbered"/>
    <w:basedOn w:val="Heading1"/>
    <w:next w:val="Normal"/>
    <w:qFormat/>
    <w:rsid w:val="001E1DC0"/>
    <w:pPr>
      <w:numPr>
        <w:numId w:val="6"/>
      </w:numPr>
    </w:pPr>
  </w:style>
  <w:style w:type="paragraph" w:customStyle="1" w:styleId="Heading2Numbered">
    <w:name w:val="Heading 2 Numbered"/>
    <w:basedOn w:val="Heading2"/>
    <w:next w:val="Normal"/>
    <w:qFormat/>
    <w:rsid w:val="00ED2831"/>
    <w:pPr>
      <w:numPr>
        <w:ilvl w:val="1"/>
        <w:numId w:val="6"/>
      </w:numPr>
      <w:spacing w:after="60"/>
    </w:pPr>
    <w:rPr>
      <w:bCs/>
    </w:rPr>
  </w:style>
  <w:style w:type="paragraph" w:customStyle="1" w:styleId="Heading3Numbered">
    <w:name w:val="Heading 3 Numbered"/>
    <w:basedOn w:val="Heading3"/>
    <w:next w:val="Normal"/>
    <w:qFormat/>
    <w:rsid w:val="00ED2831"/>
    <w:pPr>
      <w:numPr>
        <w:ilvl w:val="2"/>
        <w:numId w:val="6"/>
      </w:numPr>
      <w:spacing w:before="300" w:after="60"/>
    </w:pPr>
    <w:rPr>
      <w:szCs w:val="22"/>
    </w:rPr>
  </w:style>
  <w:style w:type="numbering" w:customStyle="1" w:styleId="BulletsList">
    <w:name w:val="Bullets List"/>
    <w:uiPriority w:val="99"/>
    <w:rsid w:val="00B71AD8"/>
    <w:pPr>
      <w:numPr>
        <w:numId w:val="1"/>
      </w:numPr>
    </w:pPr>
  </w:style>
  <w:style w:type="numbering" w:customStyle="1" w:styleId="Numberedlist">
    <w:name w:val="Numbered list"/>
    <w:uiPriority w:val="99"/>
    <w:rsid w:val="00F2684E"/>
    <w:pPr>
      <w:numPr>
        <w:numId w:val="2"/>
      </w:numPr>
    </w:pPr>
  </w:style>
  <w:style w:type="numbering" w:customStyle="1" w:styleId="HeadingsList">
    <w:name w:val="Headings List"/>
    <w:uiPriority w:val="99"/>
    <w:rsid w:val="001E1DC0"/>
    <w:pPr>
      <w:numPr>
        <w:numId w:val="3"/>
      </w:numPr>
    </w:pPr>
  </w:style>
  <w:style w:type="table" w:customStyle="1" w:styleId="PlainTable21">
    <w:name w:val="Plain Table 21"/>
    <w:basedOn w:val="TableNormal"/>
    <w:uiPriority w:val="42"/>
    <w:locked/>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ED2831"/>
    <w:pPr>
      <w:suppressAutoHyphens w:val="0"/>
      <w:spacing w:after="600"/>
      <w:contextualSpacing w:val="0"/>
      <w:outlineLvl w:val="9"/>
    </w:pPr>
    <w:rPr>
      <w:bCs w:val="0"/>
      <w:szCs w:val="32"/>
    </w:rPr>
  </w:style>
  <w:style w:type="character" w:customStyle="1" w:styleId="Heading4Char">
    <w:name w:val="Heading 4 Char"/>
    <w:basedOn w:val="DefaultParagraphFont"/>
    <w:link w:val="Heading4"/>
    <w:uiPriority w:val="9"/>
    <w:rsid w:val="00A4144F"/>
    <w:rPr>
      <w:rFonts w:asciiTheme="majorHAnsi" w:eastAsiaTheme="majorEastAsia" w:hAnsiTheme="majorHAnsi" w:cstheme="majorBidi"/>
      <w:bCs/>
      <w:iCs/>
      <w:color w:val="495965" w:themeColor="text2"/>
      <w:sz w:val="24"/>
      <w:szCs w:val="26"/>
    </w:rPr>
  </w:style>
  <w:style w:type="paragraph" w:styleId="TOC1">
    <w:name w:val="toc 1"/>
    <w:basedOn w:val="Normal"/>
    <w:next w:val="Normal"/>
    <w:autoRedefine/>
    <w:uiPriority w:val="39"/>
    <w:unhideWhenUsed/>
    <w:rsid w:val="00ED2831"/>
    <w:pPr>
      <w:pBdr>
        <w:top w:val="single" w:sz="4" w:space="6" w:color="65C5B4" w:themeColor="accent1"/>
        <w:between w:val="single" w:sz="4" w:space="6" w:color="65C5B4" w:themeColor="accent1"/>
      </w:pBdr>
      <w:tabs>
        <w:tab w:val="right" w:pos="9639"/>
      </w:tabs>
      <w:spacing w:after="100" w:line="320" w:lineRule="atLeast"/>
    </w:pPr>
    <w:rPr>
      <w:b/>
      <w:caps/>
      <w:color w:val="65C5B4" w:themeColor="accent1"/>
      <w:sz w:val="28"/>
    </w:rPr>
  </w:style>
  <w:style w:type="paragraph" w:styleId="TOC2">
    <w:name w:val="toc 2"/>
    <w:basedOn w:val="Normal"/>
    <w:next w:val="Normal"/>
    <w:autoRedefine/>
    <w:uiPriority w:val="39"/>
    <w:unhideWhenUsed/>
    <w:rsid w:val="00ED2831"/>
    <w:pPr>
      <w:spacing w:after="100"/>
      <w:ind w:left="199" w:right="454"/>
    </w:pPr>
  </w:style>
  <w:style w:type="paragraph" w:styleId="TOC3">
    <w:name w:val="toc 3"/>
    <w:basedOn w:val="Normal"/>
    <w:next w:val="Normal"/>
    <w:autoRedefine/>
    <w:uiPriority w:val="39"/>
    <w:unhideWhenUsed/>
    <w:rsid w:val="0035119D"/>
    <w:pPr>
      <w:spacing w:after="100"/>
      <w:ind w:left="400"/>
    </w:pPr>
  </w:style>
  <w:style w:type="paragraph" w:styleId="Header">
    <w:name w:val="header"/>
    <w:basedOn w:val="Normal"/>
    <w:link w:val="HeaderChar"/>
    <w:uiPriority w:val="99"/>
    <w:unhideWhenUsed/>
    <w:rsid w:val="00FE6F2A"/>
    <w:pPr>
      <w:tabs>
        <w:tab w:val="center" w:pos="4513"/>
        <w:tab w:val="right" w:pos="9026"/>
      </w:tabs>
      <w:spacing w:before="0" w:after="0"/>
      <w:ind w:left="227"/>
    </w:pPr>
    <w:rPr>
      <w:b/>
      <w:caps/>
      <w:sz w:val="20"/>
    </w:rPr>
  </w:style>
  <w:style w:type="paragraph" w:styleId="TOC4">
    <w:name w:val="toc 4"/>
    <w:basedOn w:val="Normal"/>
    <w:next w:val="Normal"/>
    <w:autoRedefine/>
    <w:uiPriority w:val="39"/>
    <w:unhideWhenUsed/>
    <w:lock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lock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lock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lock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ED2831"/>
    <w:pPr>
      <w:numPr>
        <w:numId w:val="4"/>
      </w:numPr>
    </w:pPr>
  </w:style>
  <w:style w:type="paragraph" w:styleId="TOC8">
    <w:name w:val="toc 8"/>
    <w:basedOn w:val="Normal"/>
    <w:next w:val="Normal"/>
    <w:autoRedefine/>
    <w:uiPriority w:val="39"/>
    <w:unhideWhenUsed/>
    <w:lock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lock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rsid w:val="00B71AD8"/>
    <w:pPr>
      <w:spacing w:before="400" w:after="400" w:line="280" w:lineRule="exact"/>
    </w:pPr>
    <w:rPr>
      <w:b/>
      <w:color w:val="ACD08C" w:themeColor="accent2"/>
      <w:sz w:val="28"/>
    </w:rPr>
  </w:style>
  <w:style w:type="table" w:styleId="TableGrid">
    <w:name w:val="Table Grid"/>
    <w:basedOn w:val="TableNormal"/>
    <w:uiPriority w:val="59"/>
    <w:locked/>
    <w:rsid w:val="00ED28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FE6F2A"/>
    <w:rPr>
      <w:b/>
      <w:caps/>
      <w:color w:val="495965" w:themeColor="text2"/>
      <w:sz w:val="20"/>
      <w:lang w:val="en-GB"/>
    </w:rPr>
  </w:style>
  <w:style w:type="numbering" w:customStyle="1" w:styleId="FigureTitles">
    <w:name w:val="Figure Titles"/>
    <w:uiPriority w:val="99"/>
    <w:rsid w:val="006346BC"/>
    <w:pPr>
      <w:numPr>
        <w:numId w:val="5"/>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qFormat/>
    <w:rsid w:val="00D32D6F"/>
    <w:rPr>
      <w:b/>
      <w:i/>
      <w:iCs/>
      <w:color w:val="495965" w:themeColor="text2"/>
    </w:rPr>
  </w:style>
  <w:style w:type="character" w:styleId="Strong">
    <w:name w:val="Strong"/>
    <w:basedOn w:val="DefaultParagraphFont"/>
    <w:uiPriority w:val="22"/>
    <w:qFormat/>
    <w:rsid w:val="00FE6D51"/>
    <w:rPr>
      <w:b/>
      <w:bCs/>
    </w:rPr>
  </w:style>
  <w:style w:type="character" w:styleId="Emphasis">
    <w:name w:val="Emphasis"/>
    <w:basedOn w:val="DefaultParagraphFont"/>
    <w:uiPriority w:val="20"/>
    <w:qFormat/>
    <w:rsid w:val="009D7407"/>
    <w:rPr>
      <w:i/>
      <w:iCs/>
    </w:rPr>
  </w:style>
  <w:style w:type="character" w:customStyle="1" w:styleId="Heading5Char">
    <w:name w:val="Heading 5 Char"/>
    <w:basedOn w:val="DefaultParagraphFont"/>
    <w:link w:val="Heading5"/>
    <w:uiPriority w:val="9"/>
    <w:rsid w:val="00B71AD8"/>
    <w:rPr>
      <w:rFonts w:asciiTheme="majorHAnsi" w:eastAsiaTheme="majorEastAsia" w:hAnsiTheme="majorHAnsi" w:cstheme="majorBidi"/>
      <w:b/>
      <w:bCs/>
      <w:iCs/>
      <w:color w:val="495965" w:themeColor="text2"/>
      <w:szCs w:val="26"/>
      <w:lang w:val="en-GB"/>
    </w:rPr>
  </w:style>
  <w:style w:type="paragraph" w:styleId="Caption">
    <w:name w:val="caption"/>
    <w:basedOn w:val="Normal"/>
    <w:next w:val="Normal"/>
    <w:uiPriority w:val="35"/>
    <w:unhideWhenUsed/>
    <w:qFormat/>
    <w:rsid w:val="001214BE"/>
    <w:pPr>
      <w:spacing w:before="240" w:after="180" w:line="240" w:lineRule="atLeast"/>
      <w:contextualSpacing/>
    </w:pPr>
    <w:rPr>
      <w:b/>
      <w:iCs/>
      <w:sz w:val="20"/>
      <w:szCs w:val="18"/>
    </w:rPr>
  </w:style>
  <w:style w:type="paragraph" w:styleId="Footer">
    <w:name w:val="footer"/>
    <w:basedOn w:val="Normal"/>
    <w:link w:val="FooterChar"/>
    <w:uiPriority w:val="99"/>
    <w:unhideWhenUsed/>
    <w:rsid w:val="00CD0E4B"/>
    <w:pPr>
      <w:spacing w:before="0" w:after="0" w:line="240" w:lineRule="exact"/>
      <w:ind w:right="284"/>
      <w:jc w:val="right"/>
    </w:pPr>
    <w:rPr>
      <w:color w:val="FFFFFF" w:themeColor="background1"/>
    </w:rPr>
  </w:style>
  <w:style w:type="character" w:customStyle="1" w:styleId="FooterChar">
    <w:name w:val="Footer Char"/>
    <w:basedOn w:val="DefaultParagraphFont"/>
    <w:link w:val="Footer"/>
    <w:uiPriority w:val="99"/>
    <w:rsid w:val="00CD0E4B"/>
    <w:rPr>
      <w:color w:val="FFFFFF" w:themeColor="background1"/>
    </w:rPr>
  </w:style>
  <w:style w:type="character" w:customStyle="1" w:styleId="Heading6Char">
    <w:name w:val="Heading 6 Char"/>
    <w:basedOn w:val="DefaultParagraphFont"/>
    <w:link w:val="Heading6"/>
    <w:uiPriority w:val="9"/>
    <w:semiHidden/>
    <w:rsid w:val="00486804"/>
    <w:rPr>
      <w:rFonts w:asciiTheme="majorHAnsi" w:eastAsiaTheme="majorEastAsia" w:hAnsiTheme="majorHAnsi" w:cstheme="majorBidi"/>
      <w:bCs/>
      <w:iCs/>
      <w:color w:val="286B5F" w:themeColor="accent1" w:themeShade="7F"/>
      <w:szCs w:val="26"/>
    </w:rPr>
  </w:style>
  <w:style w:type="character" w:customStyle="1" w:styleId="Heading7Char">
    <w:name w:val="Heading 7 Char"/>
    <w:basedOn w:val="DefaultParagraphFont"/>
    <w:link w:val="Heading7"/>
    <w:uiPriority w:val="9"/>
    <w:semiHidden/>
    <w:rsid w:val="00486804"/>
    <w:rPr>
      <w:rFonts w:asciiTheme="majorHAnsi" w:eastAsiaTheme="majorEastAsia" w:hAnsiTheme="majorHAnsi" w:cstheme="majorBidi"/>
      <w:bCs/>
      <w:i/>
      <w:color w:val="286B5F" w:themeColor="accent1" w:themeShade="7F"/>
      <w:szCs w:val="26"/>
    </w:rPr>
  </w:style>
  <w:style w:type="character" w:customStyle="1" w:styleId="Heading8Char">
    <w:name w:val="Heading 8 Char"/>
    <w:basedOn w:val="DefaultParagraphFont"/>
    <w:link w:val="Heading8"/>
    <w:uiPriority w:val="9"/>
    <w:semiHidden/>
    <w:rsid w:val="00486804"/>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486804"/>
    <w:rPr>
      <w:rFonts w:asciiTheme="majorHAnsi" w:eastAsiaTheme="majorEastAsia" w:hAnsiTheme="majorHAnsi" w:cstheme="majorBidi"/>
      <w:bCs/>
      <w:iCs/>
      <w:color w:val="272727" w:themeColor="text1" w:themeTint="D8"/>
      <w:sz w:val="21"/>
      <w:szCs w:val="21"/>
    </w:rPr>
  </w:style>
  <w:style w:type="character" w:customStyle="1" w:styleId="LightGrey">
    <w:name w:val="Light Grey"/>
    <w:basedOn w:val="DefaultParagraphFont"/>
    <w:uiPriority w:val="1"/>
    <w:qFormat/>
    <w:rsid w:val="00ED2831"/>
    <w:rPr>
      <w:color w:val="B0BDC6" w:themeColor="text2" w:themeTint="66"/>
    </w:rPr>
  </w:style>
  <w:style w:type="character" w:styleId="PageNumber">
    <w:name w:val="page number"/>
    <w:basedOn w:val="DefaultParagraphFont"/>
    <w:uiPriority w:val="99"/>
    <w:unhideWhenUsed/>
    <w:rsid w:val="00F5404C"/>
    <w:rPr>
      <w:color w:val="495965" w:themeColor="text2"/>
    </w:rPr>
  </w:style>
  <w:style w:type="paragraph" w:styleId="Quote">
    <w:name w:val="Quote"/>
    <w:basedOn w:val="Normal"/>
    <w:next w:val="Normal"/>
    <w:link w:val="QuoteChar"/>
    <w:uiPriority w:val="29"/>
    <w:qFormat/>
    <w:rsid w:val="00D64BD1"/>
    <w:pPr>
      <w:spacing w:before="0" w:after="180" w:line="320" w:lineRule="atLeast"/>
    </w:pPr>
    <w:rPr>
      <w:iCs/>
      <w:sz w:val="28"/>
    </w:rPr>
  </w:style>
  <w:style w:type="character" w:customStyle="1" w:styleId="QuoteChar">
    <w:name w:val="Quote Char"/>
    <w:basedOn w:val="DefaultParagraphFont"/>
    <w:link w:val="Quote"/>
    <w:uiPriority w:val="29"/>
    <w:rsid w:val="00D64BD1"/>
    <w:rPr>
      <w:iCs/>
      <w:color w:val="495965" w:themeColor="text2"/>
      <w:sz w:val="28"/>
      <w:lang w:val="en-GB"/>
    </w:rPr>
  </w:style>
  <w:style w:type="paragraph" w:customStyle="1" w:styleId="QuoteHeading">
    <w:name w:val="Quote Heading"/>
    <w:basedOn w:val="Quote"/>
    <w:qFormat/>
    <w:locked/>
    <w:rsid w:val="00C5182A"/>
    <w:rPr>
      <w:b/>
      <w:sz w:val="20"/>
    </w:rPr>
  </w:style>
  <w:style w:type="paragraph" w:styleId="FootnoteText">
    <w:name w:val="footnote text"/>
    <w:basedOn w:val="Normal"/>
    <w:link w:val="FootnoteTextChar"/>
    <w:uiPriority w:val="99"/>
    <w:semiHidden/>
    <w:unhideWhenUsed/>
    <w:rsid w:val="008C5A0E"/>
    <w:pPr>
      <w:spacing w:before="60" w:after="0" w:line="140" w:lineRule="atLeast"/>
      <w:ind w:left="170" w:hanging="170"/>
    </w:pPr>
    <w:rPr>
      <w:sz w:val="12"/>
      <w:szCs w:val="20"/>
    </w:rPr>
  </w:style>
  <w:style w:type="character" w:customStyle="1" w:styleId="FootnoteTextChar">
    <w:name w:val="Footnote Text Char"/>
    <w:basedOn w:val="DefaultParagraphFont"/>
    <w:link w:val="FootnoteText"/>
    <w:uiPriority w:val="99"/>
    <w:semiHidden/>
    <w:rsid w:val="008C5A0E"/>
    <w:rPr>
      <w:color w:val="495965" w:themeColor="text2"/>
      <w:sz w:val="12"/>
      <w:szCs w:val="20"/>
    </w:rPr>
  </w:style>
  <w:style w:type="character" w:styleId="FootnoteReference">
    <w:name w:val="footnote reference"/>
    <w:basedOn w:val="DefaultParagraphFont"/>
    <w:uiPriority w:val="99"/>
    <w:semiHidden/>
    <w:unhideWhenUsed/>
    <w:rsid w:val="003002C0"/>
    <w:rPr>
      <w:vertAlign w:val="superscript"/>
    </w:rPr>
  </w:style>
  <w:style w:type="paragraph" w:customStyle="1" w:styleId="GreyRoundBoxText">
    <w:name w:val="Grey Round Box Text"/>
    <w:basedOn w:val="Normal"/>
    <w:qFormat/>
    <w:rsid w:val="000D66D6"/>
    <w:pPr>
      <w:spacing w:before="0"/>
    </w:pPr>
    <w:rPr>
      <w:b/>
      <w:caps/>
      <w:color w:val="FFFFFF" w:themeColor="background1"/>
      <w:sz w:val="18"/>
    </w:rPr>
  </w:style>
  <w:style w:type="character" w:customStyle="1" w:styleId="Green">
    <w:name w:val="Green"/>
    <w:basedOn w:val="DefaultParagraphFont"/>
    <w:uiPriority w:val="1"/>
    <w:qFormat/>
    <w:rsid w:val="00244229"/>
    <w:rPr>
      <w:color w:val="ACD08C" w:themeColor="accent2"/>
    </w:rPr>
  </w:style>
  <w:style w:type="paragraph" w:customStyle="1" w:styleId="PhotoMargins">
    <w:name w:val="Photo Margins"/>
    <w:basedOn w:val="Normal"/>
    <w:qFormat/>
    <w:rsid w:val="00992C76"/>
  </w:style>
  <w:style w:type="paragraph" w:customStyle="1" w:styleId="PhotoLeft">
    <w:name w:val="Photo Left"/>
    <w:basedOn w:val="PhotoMargins"/>
    <w:qFormat/>
    <w:rsid w:val="00F82271"/>
    <w:pPr>
      <w:ind w:left="-851"/>
    </w:pPr>
  </w:style>
  <w:style w:type="paragraph" w:customStyle="1" w:styleId="PhotoRight">
    <w:name w:val="Photo Right"/>
    <w:basedOn w:val="PhotoMargins"/>
    <w:qFormat/>
    <w:rsid w:val="00F82271"/>
    <w:pPr>
      <w:ind w:right="-851"/>
      <w:jc w:val="right"/>
    </w:pPr>
  </w:style>
  <w:style w:type="paragraph" w:customStyle="1" w:styleId="PhotoCaption">
    <w:name w:val="Photo Caption"/>
    <w:basedOn w:val="Normal"/>
    <w:qFormat/>
    <w:rsid w:val="00897FA2"/>
    <w:pPr>
      <w:spacing w:after="200" w:line="200" w:lineRule="atLeast"/>
      <w:jc w:val="right"/>
    </w:pPr>
    <w:rPr>
      <w:sz w:val="16"/>
    </w:rPr>
  </w:style>
  <w:style w:type="table" w:customStyle="1" w:styleId="DFATTable1">
    <w:name w:val="DFAT Table 1"/>
    <w:basedOn w:val="TableNormal"/>
    <w:uiPriority w:val="99"/>
    <w:rsid w:val="00C06B13"/>
    <w:pPr>
      <w:spacing w:before="60" w:after="60" w:line="260" w:lineRule="atLeast"/>
    </w:pPr>
    <w:rPr>
      <w:rFonts w:ascii="Calibri" w:hAnsi="Calibri"/>
    </w:rPr>
    <w:tblPr>
      <w:tblStyleRowBandSize w:val="1"/>
      <w:tblStyleColBandSize w:val="1"/>
      <w:tblBorders>
        <w:top w:val="single" w:sz="4" w:space="0" w:color="495965" w:themeColor="text2"/>
        <w:bottom w:val="single" w:sz="4" w:space="0" w:color="495965" w:themeColor="text2"/>
        <w:insideH w:val="single" w:sz="4" w:space="0" w:color="495965" w:themeColor="text2"/>
      </w:tblBorders>
      <w:tblCellMar>
        <w:top w:w="57" w:type="dxa"/>
        <w:bottom w:w="57" w:type="dxa"/>
      </w:tblCellMar>
    </w:tblPr>
    <w:tblStylePr w:type="firstRow">
      <w:rPr>
        <w:b w:val="0"/>
      </w:rPr>
      <w:tblPr/>
      <w:tcPr>
        <w:tcBorders>
          <w:top w:val="single" w:sz="4" w:space="0" w:color="65C5B4" w:themeColor="accent1"/>
          <w:bottom w:val="single" w:sz="4" w:space="0" w:color="65C5B4" w:themeColor="accent1"/>
          <w:insideH w:val="single" w:sz="4" w:space="0" w:color="65C5B4" w:themeColor="accent1"/>
        </w:tcBorders>
        <w:shd w:val="clear" w:color="auto" w:fill="65C5B4" w:themeFill="accent1"/>
      </w:tcPr>
    </w:tblStylePr>
    <w:tblStylePr w:type="lastRow">
      <w:rPr>
        <w:b/>
        <w:color w:val="FFFFFF"/>
      </w:rPr>
      <w:tblPr/>
      <w:tcPr>
        <w:shd w:val="clear" w:color="auto" w:fill="495965" w:themeFill="text2"/>
      </w:tcPr>
    </w:tblStylePr>
    <w:tblStylePr w:type="firstCol">
      <w:tblPr/>
      <w:tcPr>
        <w:shd w:val="clear" w:color="auto" w:fill="D8DCDB" w:themeFill="background2"/>
      </w:tcPr>
    </w:tblStylePr>
    <w:tblStylePr w:type="lastCol">
      <w:tblPr/>
      <w:tcPr>
        <w:shd w:val="clear" w:color="auto" w:fill="D8DCDB" w:themeFill="background2"/>
      </w:tcPr>
    </w:tblStylePr>
    <w:tblStylePr w:type="band1Vert">
      <w:tblPr/>
      <w:tcPr>
        <w:shd w:val="clear" w:color="auto" w:fill="E0F3EF" w:themeFill="accent1" w:themeFillTint="33"/>
      </w:tcPr>
    </w:tblStylePr>
    <w:tblStylePr w:type="band2Vert">
      <w:tblPr/>
      <w:tcPr>
        <w:shd w:val="clear" w:color="auto" w:fill="C1E7E0" w:themeFill="accent1" w:themeFillTint="66"/>
      </w:tcPr>
    </w:tblStylePr>
    <w:tblStylePr w:type="band1Horz">
      <w:tblPr/>
      <w:tcPr>
        <w:shd w:val="clear" w:color="auto" w:fill="E0F3EF" w:themeFill="accent1" w:themeFillTint="33"/>
      </w:tcPr>
    </w:tblStylePr>
    <w:tblStylePr w:type="band2Horz">
      <w:tblPr/>
      <w:tcPr>
        <w:shd w:val="clear" w:color="auto" w:fill="C1E7E0" w:themeFill="accent1" w:themeFillTint="66"/>
      </w:tcPr>
    </w:tblStylePr>
  </w:style>
  <w:style w:type="paragraph" w:customStyle="1" w:styleId="FootnoteSeparator">
    <w:name w:val="Footnote Separator"/>
    <w:basedOn w:val="Footer"/>
    <w:qFormat/>
    <w:rsid w:val="00ED2831"/>
    <w:pPr>
      <w:pBdr>
        <w:top w:val="single" w:sz="4" w:space="1" w:color="495965" w:themeColor="text2"/>
      </w:pBdr>
      <w:tabs>
        <w:tab w:val="right" w:pos="9356"/>
        <w:tab w:val="center" w:pos="10036"/>
      </w:tabs>
      <w:spacing w:line="220" w:lineRule="atLeast"/>
      <w:ind w:right="0"/>
      <w:jc w:val="left"/>
    </w:pPr>
    <w:rPr>
      <w:color w:val="495965" w:themeColor="text2"/>
      <w:sz w:val="14"/>
    </w:rPr>
  </w:style>
  <w:style w:type="paragraph" w:customStyle="1" w:styleId="Heading1smallspaceafter">
    <w:name w:val="Heading 1 small space after"/>
    <w:basedOn w:val="Heading1"/>
    <w:qFormat/>
    <w:rsid w:val="00F25A93"/>
    <w:pPr>
      <w:spacing w:after="600"/>
      <w:contextualSpacing w:val="0"/>
    </w:pPr>
  </w:style>
  <w:style w:type="paragraph" w:customStyle="1" w:styleId="TableBullet1">
    <w:name w:val="Table Bullet 1"/>
    <w:basedOn w:val="Bullet1"/>
    <w:qFormat/>
    <w:rsid w:val="00ED2831"/>
    <w:pPr>
      <w:numPr>
        <w:numId w:val="0"/>
      </w:numPr>
      <w:spacing w:before="60" w:line="220" w:lineRule="atLeast"/>
      <w:ind w:left="284" w:hanging="284"/>
    </w:pPr>
    <w:rPr>
      <w:rFonts w:ascii="Calibri" w:hAnsi="Calibri"/>
      <w:sz w:val="18"/>
    </w:rPr>
  </w:style>
  <w:style w:type="paragraph" w:customStyle="1" w:styleId="TableBullet2">
    <w:name w:val="Table Bullet 2"/>
    <w:basedOn w:val="Bullet2"/>
    <w:qFormat/>
    <w:rsid w:val="00ED2831"/>
    <w:pPr>
      <w:numPr>
        <w:ilvl w:val="0"/>
        <w:numId w:val="0"/>
      </w:numPr>
      <w:spacing w:before="60" w:line="220" w:lineRule="atLeast"/>
      <w:ind w:left="568" w:hanging="284"/>
    </w:pPr>
    <w:rPr>
      <w:rFonts w:ascii="Calibri" w:hAnsi="Calibri"/>
      <w:sz w:val="18"/>
    </w:rPr>
  </w:style>
  <w:style w:type="paragraph" w:customStyle="1" w:styleId="TableBullet3">
    <w:name w:val="Table Bullet 3"/>
    <w:basedOn w:val="Bullet3"/>
    <w:qFormat/>
    <w:rsid w:val="00ED2831"/>
    <w:pPr>
      <w:numPr>
        <w:ilvl w:val="0"/>
        <w:numId w:val="0"/>
      </w:numPr>
      <w:spacing w:before="60" w:line="220" w:lineRule="atLeast"/>
      <w:ind w:left="852" w:hanging="284"/>
    </w:pPr>
    <w:rPr>
      <w:rFonts w:ascii="Calibri" w:hAnsi="Calibri"/>
      <w:sz w:val="18"/>
    </w:rPr>
  </w:style>
  <w:style w:type="paragraph" w:customStyle="1" w:styleId="TableHeaderRow">
    <w:name w:val="Table Header Row"/>
    <w:basedOn w:val="Normal"/>
    <w:qFormat/>
    <w:rsid w:val="00C06B13"/>
    <w:pPr>
      <w:framePr w:hSpace="180" w:wrap="around" w:vAnchor="page" w:hAnchor="margin" w:y="5061"/>
      <w:spacing w:before="60"/>
    </w:pPr>
    <w:rPr>
      <w:rFonts w:ascii="Calibri" w:hAnsi="Calibri"/>
      <w:b/>
      <w:szCs w:val="21"/>
    </w:rPr>
  </w:style>
  <w:style w:type="paragraph" w:customStyle="1" w:styleId="TableNumberedList1">
    <w:name w:val="Table Numbered List 1"/>
    <w:basedOn w:val="NumberedList1"/>
    <w:qFormat/>
    <w:rsid w:val="00ED2831"/>
    <w:pPr>
      <w:spacing w:before="60" w:line="220" w:lineRule="atLeast"/>
    </w:pPr>
    <w:rPr>
      <w:rFonts w:ascii="Calibri" w:hAnsi="Calibri"/>
      <w:sz w:val="18"/>
    </w:rPr>
  </w:style>
  <w:style w:type="paragraph" w:customStyle="1" w:styleId="TableNumberedList2">
    <w:name w:val="Table Numbered List 2"/>
    <w:basedOn w:val="NumberedList2"/>
    <w:qFormat/>
    <w:rsid w:val="00ED2831"/>
    <w:pPr>
      <w:spacing w:before="60" w:line="220" w:lineRule="atLeast"/>
    </w:pPr>
    <w:rPr>
      <w:rFonts w:ascii="Calibri" w:hAnsi="Calibri"/>
      <w:sz w:val="18"/>
    </w:rPr>
  </w:style>
  <w:style w:type="paragraph" w:customStyle="1" w:styleId="TableNumberedList3">
    <w:name w:val="Table Numbered List 3"/>
    <w:basedOn w:val="NumberedList3"/>
    <w:qFormat/>
    <w:rsid w:val="00ED2831"/>
    <w:pPr>
      <w:spacing w:before="60" w:line="220" w:lineRule="atLeast"/>
      <w:ind w:left="851"/>
    </w:pPr>
    <w:rPr>
      <w:rFonts w:ascii="Calibri" w:hAnsi="Calibri"/>
      <w:sz w:val="18"/>
    </w:rPr>
  </w:style>
  <w:style w:type="paragraph" w:customStyle="1" w:styleId="TableSourceNotes">
    <w:name w:val="Table Source Notes"/>
    <w:basedOn w:val="Normal"/>
    <w:qFormat/>
    <w:rsid w:val="00ED2831"/>
    <w:pPr>
      <w:tabs>
        <w:tab w:val="left" w:pos="284"/>
      </w:tabs>
      <w:spacing w:line="160" w:lineRule="atLeast"/>
      <w:ind w:left="284" w:hanging="284"/>
      <w:contextualSpacing/>
    </w:pPr>
    <w:rPr>
      <w:sz w:val="12"/>
    </w:rPr>
  </w:style>
  <w:style w:type="paragraph" w:customStyle="1" w:styleId="TableTotalRow">
    <w:name w:val="Table Total Row"/>
    <w:basedOn w:val="Normal"/>
    <w:qFormat/>
    <w:rsid w:val="00CF07BA"/>
    <w:pPr>
      <w:spacing w:before="60"/>
    </w:pPr>
    <w:rPr>
      <w:rFonts w:ascii="Calibri" w:hAnsi="Calibri"/>
      <w:b/>
      <w:color w:val="FFFFFF" w:themeColor="background1"/>
    </w:rPr>
  </w:style>
  <w:style w:type="paragraph" w:customStyle="1" w:styleId="BoxHeading">
    <w:name w:val="Box Heading"/>
    <w:basedOn w:val="Heading3"/>
    <w:qFormat/>
    <w:locked/>
    <w:rsid w:val="00ED2831"/>
    <w:pPr>
      <w:spacing w:before="60"/>
    </w:pPr>
  </w:style>
  <w:style w:type="paragraph" w:customStyle="1" w:styleId="QuoteAuthor">
    <w:name w:val="Quote Author"/>
    <w:basedOn w:val="Quote"/>
    <w:qFormat/>
    <w:rsid w:val="00D64BD1"/>
    <w:pPr>
      <w:spacing w:after="60" w:line="200" w:lineRule="atLeast"/>
    </w:pPr>
    <w:rPr>
      <w:sz w:val="16"/>
    </w:rPr>
  </w:style>
  <w:style w:type="paragraph" w:customStyle="1" w:styleId="TableText">
    <w:name w:val="Table Text"/>
    <w:basedOn w:val="Normal"/>
    <w:qFormat/>
    <w:rsid w:val="0080204D"/>
    <w:pPr>
      <w:framePr w:hSpace="180" w:wrap="around" w:vAnchor="page" w:hAnchor="margin" w:y="5061"/>
      <w:spacing w:before="60"/>
    </w:pPr>
    <w:rPr>
      <w:rFonts w:ascii="Calibri" w:hAnsi="Calibri"/>
      <w:szCs w:val="21"/>
    </w:rPr>
  </w:style>
  <w:style w:type="paragraph" w:customStyle="1" w:styleId="PhotoCredit">
    <w:name w:val="Photo Credit"/>
    <w:basedOn w:val="Normal"/>
    <w:qFormat/>
    <w:rsid w:val="00A80F95"/>
    <w:pPr>
      <w:spacing w:after="200" w:line="160" w:lineRule="atLeast"/>
      <w:jc w:val="right"/>
    </w:pPr>
    <w:rPr>
      <w:sz w:val="12"/>
    </w:rPr>
  </w:style>
  <w:style w:type="paragraph" w:styleId="BalloonText">
    <w:name w:val="Balloon Text"/>
    <w:basedOn w:val="Normal"/>
    <w:link w:val="BalloonTextChar"/>
    <w:uiPriority w:val="99"/>
    <w:semiHidden/>
    <w:unhideWhenUsed/>
    <w:locked/>
    <w:rsid w:val="00A61B4D"/>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1B4D"/>
    <w:rPr>
      <w:rFonts w:ascii="Tahoma" w:hAnsi="Tahoma" w:cs="Tahoma"/>
      <w:color w:val="495965" w:themeColor="text2"/>
      <w:sz w:val="16"/>
      <w:szCs w:val="16"/>
      <w:lang w:val="en-GB"/>
    </w:rPr>
  </w:style>
  <w:style w:type="paragraph" w:customStyle="1" w:styleId="SpacebeforeTitle">
    <w:name w:val="Space before Title"/>
    <w:basedOn w:val="Normal"/>
    <w:qFormat/>
    <w:rsid w:val="00B33C0A"/>
    <w:pPr>
      <w:spacing w:after="900"/>
    </w:pPr>
  </w:style>
  <w:style w:type="paragraph" w:customStyle="1" w:styleId="Box1Text">
    <w:name w:val="Box 1 Text"/>
    <w:basedOn w:val="Normal"/>
    <w:qFormat/>
    <w:rsid w:val="00E8296D"/>
    <w:pPr>
      <w:pBdr>
        <w:top w:val="single" w:sz="4" w:space="14" w:color="65C5B4" w:themeColor="accent1"/>
        <w:left w:val="single" w:sz="4" w:space="14" w:color="65C5B4" w:themeColor="accent1"/>
        <w:bottom w:val="single" w:sz="4" w:space="14" w:color="65C5B4" w:themeColor="accent1"/>
        <w:right w:val="single" w:sz="4" w:space="14" w:color="65C5B4" w:themeColor="accent1"/>
      </w:pBdr>
      <w:shd w:val="clear" w:color="auto" w:fill="FFFFFF" w:themeFill="background1"/>
      <w:spacing w:before="180" w:after="80" w:line="240" w:lineRule="atLeast"/>
      <w:ind w:left="284" w:right="284"/>
    </w:pPr>
    <w:rPr>
      <w:sz w:val="20"/>
      <w:lang w:val="en-AU"/>
    </w:rPr>
  </w:style>
  <w:style w:type="paragraph" w:customStyle="1" w:styleId="Box1Heading">
    <w:name w:val="Box 1 Heading"/>
    <w:basedOn w:val="Box1Text"/>
    <w:qFormat/>
    <w:rsid w:val="00E8296D"/>
    <w:pPr>
      <w:keepNext/>
      <w:spacing w:line="300" w:lineRule="atLeast"/>
    </w:pPr>
    <w:rPr>
      <w:b/>
      <w:sz w:val="26"/>
    </w:rPr>
  </w:style>
  <w:style w:type="paragraph" w:customStyle="1" w:styleId="Box2Text">
    <w:name w:val="Box 2 Text"/>
    <w:basedOn w:val="Box1Text"/>
    <w:qFormat/>
    <w:rsid w:val="00522396"/>
    <w:pPr>
      <w:pBdr>
        <w:top w:val="single" w:sz="4" w:space="14" w:color="495965" w:themeColor="text2"/>
        <w:left w:val="single" w:sz="4" w:space="14" w:color="495965" w:themeColor="text2"/>
        <w:bottom w:val="single" w:sz="4" w:space="14" w:color="495965" w:themeColor="text2"/>
        <w:right w:val="single" w:sz="4" w:space="14" w:color="495965" w:themeColor="text2"/>
      </w:pBdr>
      <w:shd w:val="clear" w:color="auto" w:fill="495965" w:themeFill="text2"/>
    </w:pPr>
    <w:rPr>
      <w:color w:val="FFFFFF" w:themeColor="background1"/>
    </w:rPr>
  </w:style>
  <w:style w:type="paragraph" w:customStyle="1" w:styleId="Box2Heading">
    <w:name w:val="Box 2 Heading"/>
    <w:basedOn w:val="Box2Text"/>
    <w:qFormat/>
    <w:rsid w:val="00E8296D"/>
    <w:pPr>
      <w:keepNext/>
      <w:spacing w:line="300" w:lineRule="atLeast"/>
    </w:pPr>
    <w:rPr>
      <w:b/>
      <w:sz w:val="26"/>
    </w:rPr>
  </w:style>
  <w:style w:type="paragraph" w:customStyle="1" w:styleId="Box1Bullet">
    <w:name w:val="Box 1 Bullet"/>
    <w:basedOn w:val="Box1Text"/>
    <w:qFormat/>
    <w:rsid w:val="00C42541"/>
    <w:pPr>
      <w:numPr>
        <w:numId w:val="8"/>
      </w:numPr>
      <w:ind w:left="454" w:hanging="170"/>
    </w:pPr>
  </w:style>
  <w:style w:type="paragraph" w:customStyle="1" w:styleId="Box2Bullet">
    <w:name w:val="Box 2 Bullet"/>
    <w:basedOn w:val="Box2Text"/>
    <w:qFormat/>
    <w:rsid w:val="00C42541"/>
    <w:pPr>
      <w:numPr>
        <w:numId w:val="9"/>
      </w:numPr>
      <w:ind w:left="454" w:hanging="170"/>
    </w:pPr>
  </w:style>
  <w:style w:type="paragraph" w:styleId="BodyText">
    <w:name w:val="Body Text"/>
    <w:basedOn w:val="Normal"/>
    <w:link w:val="BodyTextChar"/>
    <w:uiPriority w:val="99"/>
    <w:unhideWhenUsed/>
    <w:rsid w:val="000020C1"/>
  </w:style>
  <w:style w:type="character" w:customStyle="1" w:styleId="BodyTextChar">
    <w:name w:val="Body Text Char"/>
    <w:basedOn w:val="DefaultParagraphFont"/>
    <w:link w:val="BodyText"/>
    <w:uiPriority w:val="99"/>
    <w:rsid w:val="000020C1"/>
    <w:rPr>
      <w:color w:val="495965" w:themeColor="text2"/>
      <w:lang w:val="en-GB"/>
    </w:rPr>
  </w:style>
  <w:style w:type="paragraph" w:styleId="BodyText2">
    <w:name w:val="Body Text 2"/>
    <w:basedOn w:val="Normal"/>
    <w:link w:val="BodyText2Char"/>
    <w:uiPriority w:val="99"/>
    <w:semiHidden/>
    <w:unhideWhenUsed/>
    <w:locked/>
    <w:rsid w:val="000020C1"/>
    <w:pPr>
      <w:spacing w:line="480" w:lineRule="auto"/>
    </w:pPr>
  </w:style>
  <w:style w:type="character" w:customStyle="1" w:styleId="BodyText2Char">
    <w:name w:val="Body Text 2 Char"/>
    <w:basedOn w:val="DefaultParagraphFont"/>
    <w:link w:val="BodyText2"/>
    <w:uiPriority w:val="99"/>
    <w:semiHidden/>
    <w:rsid w:val="000020C1"/>
    <w:rPr>
      <w:color w:val="495965" w:themeColor="text2"/>
      <w:lang w:val="en-GB"/>
    </w:rPr>
  </w:style>
  <w:style w:type="paragraph" w:styleId="BodyText3">
    <w:name w:val="Body Text 3"/>
    <w:basedOn w:val="Normal"/>
    <w:link w:val="BodyText3Char"/>
    <w:uiPriority w:val="99"/>
    <w:semiHidden/>
    <w:unhideWhenUsed/>
    <w:locked/>
    <w:rsid w:val="000020C1"/>
    <w:rPr>
      <w:sz w:val="16"/>
      <w:szCs w:val="16"/>
    </w:rPr>
  </w:style>
  <w:style w:type="character" w:customStyle="1" w:styleId="BodyText3Char">
    <w:name w:val="Body Text 3 Char"/>
    <w:basedOn w:val="DefaultParagraphFont"/>
    <w:link w:val="BodyText3"/>
    <w:uiPriority w:val="99"/>
    <w:semiHidden/>
    <w:rsid w:val="000020C1"/>
    <w:rPr>
      <w:color w:val="495965" w:themeColor="text2"/>
      <w:sz w:val="16"/>
      <w:szCs w:val="16"/>
      <w:lang w:val="en-GB"/>
    </w:rPr>
  </w:style>
  <w:style w:type="paragraph" w:styleId="BodyTextFirstIndent">
    <w:name w:val="Body Text First Indent"/>
    <w:basedOn w:val="NormalIndented"/>
    <w:link w:val="BodyTextFirstIndentChar"/>
    <w:uiPriority w:val="99"/>
    <w:unhideWhenUsed/>
    <w:rsid w:val="000020C1"/>
  </w:style>
  <w:style w:type="character" w:customStyle="1" w:styleId="BodyTextFirstIndentChar">
    <w:name w:val="Body Text First Indent Char"/>
    <w:basedOn w:val="BodyTextChar"/>
    <w:link w:val="BodyTextFirstIndent"/>
    <w:uiPriority w:val="99"/>
    <w:rsid w:val="000020C1"/>
    <w:rPr>
      <w:color w:val="495965" w:themeColor="text2"/>
      <w:lang w:val="en-GB"/>
    </w:rPr>
  </w:style>
  <w:style w:type="paragraph" w:styleId="BodyTextIndent">
    <w:name w:val="Body Text Indent"/>
    <w:basedOn w:val="Normal"/>
    <w:link w:val="BodyTextIndentChar"/>
    <w:uiPriority w:val="99"/>
    <w:semiHidden/>
    <w:unhideWhenUsed/>
    <w:locked/>
    <w:rsid w:val="000020C1"/>
    <w:pPr>
      <w:spacing w:after="120"/>
      <w:ind w:left="283"/>
    </w:pPr>
  </w:style>
  <w:style w:type="character" w:customStyle="1" w:styleId="BodyTextIndentChar">
    <w:name w:val="Body Text Indent Char"/>
    <w:basedOn w:val="DefaultParagraphFont"/>
    <w:link w:val="BodyTextIndent"/>
    <w:uiPriority w:val="99"/>
    <w:semiHidden/>
    <w:rsid w:val="000020C1"/>
    <w:rPr>
      <w:color w:val="495965" w:themeColor="text2"/>
      <w:lang w:val="en-GB"/>
    </w:rPr>
  </w:style>
  <w:style w:type="paragraph" w:styleId="BodyTextFirstIndent2">
    <w:name w:val="Body Text First Indent 2"/>
    <w:basedOn w:val="BodyTextIndent"/>
    <w:link w:val="BodyTextFirstIndent2Char"/>
    <w:uiPriority w:val="99"/>
    <w:semiHidden/>
    <w:unhideWhenUsed/>
    <w:locked/>
    <w:rsid w:val="00E8457B"/>
    <w:pPr>
      <w:spacing w:after="60"/>
      <w:ind w:left="567"/>
    </w:pPr>
  </w:style>
  <w:style w:type="character" w:customStyle="1" w:styleId="BodyTextFirstIndent2Char">
    <w:name w:val="Body Text First Indent 2 Char"/>
    <w:basedOn w:val="BodyTextIndentChar"/>
    <w:link w:val="BodyTextFirstIndent2"/>
    <w:uiPriority w:val="99"/>
    <w:semiHidden/>
    <w:rsid w:val="00E8457B"/>
    <w:rPr>
      <w:color w:val="495965" w:themeColor="text2"/>
      <w:lang w:val="en-GB"/>
    </w:rPr>
  </w:style>
  <w:style w:type="paragraph" w:styleId="BlockText">
    <w:name w:val="Block Text"/>
    <w:basedOn w:val="Normal"/>
    <w:uiPriority w:val="99"/>
    <w:unhideWhenUsed/>
    <w:locked/>
    <w:rsid w:val="00E8457B"/>
    <w:pPr>
      <w:pBdr>
        <w:top w:val="single" w:sz="2" w:space="10" w:color="65C5B4" w:themeColor="accent1"/>
        <w:left w:val="single" w:sz="2" w:space="10" w:color="65C5B4" w:themeColor="accent1"/>
        <w:bottom w:val="single" w:sz="2" w:space="10" w:color="65C5B4" w:themeColor="accent1"/>
        <w:right w:val="single" w:sz="2" w:space="10" w:color="65C5B4" w:themeColor="accent1"/>
      </w:pBdr>
      <w:ind w:left="1152" w:right="1152"/>
    </w:pPr>
    <w:rPr>
      <w:rFonts w:eastAsiaTheme="minorEastAsia"/>
      <w:i/>
      <w:iCs/>
      <w:color w:val="65C5B4" w:themeColor="accent1"/>
    </w:rPr>
  </w:style>
  <w:style w:type="table" w:customStyle="1" w:styleId="DFATTable2">
    <w:name w:val="DFAT Table 2"/>
    <w:basedOn w:val="TableNormal"/>
    <w:uiPriority w:val="99"/>
    <w:rsid w:val="00482AE8"/>
    <w:pPr>
      <w:spacing w:after="0" w:line="260" w:lineRule="atLeast"/>
    </w:pPr>
    <w:rPr>
      <w:rFonts w:ascii="Calibri" w:hAnsi="Calibri"/>
      <w:color w:val="495965" w:themeColor="text2"/>
    </w:rPr>
    <w:tblPr>
      <w:tblBorders>
        <w:top w:val="single" w:sz="4" w:space="0" w:color="F6F6F8"/>
        <w:bottom w:val="single" w:sz="4" w:space="0" w:color="F6F6F8"/>
        <w:insideH w:val="single" w:sz="4" w:space="0" w:color="F6F6F8"/>
      </w:tblBorders>
      <w:tblCellMar>
        <w:top w:w="57" w:type="dxa"/>
        <w:left w:w="57" w:type="dxa"/>
        <w:bottom w:w="57" w:type="dxa"/>
        <w:right w:w="57" w:type="dxa"/>
      </w:tblCellMar>
    </w:tblPr>
    <w:tcPr>
      <w:shd w:val="clear" w:color="auto" w:fill="FFFFFF" w:themeFill="background1"/>
    </w:tcPr>
  </w:style>
  <w:style w:type="character" w:styleId="CommentReference">
    <w:name w:val="annotation reference"/>
    <w:basedOn w:val="DefaultParagraphFont"/>
    <w:uiPriority w:val="99"/>
    <w:semiHidden/>
    <w:unhideWhenUsed/>
    <w:rsid w:val="005204D2"/>
    <w:rPr>
      <w:sz w:val="16"/>
      <w:szCs w:val="16"/>
    </w:rPr>
  </w:style>
  <w:style w:type="paragraph" w:styleId="CommentText">
    <w:name w:val="annotation text"/>
    <w:basedOn w:val="Normal"/>
    <w:link w:val="CommentTextChar"/>
    <w:uiPriority w:val="99"/>
    <w:semiHidden/>
    <w:unhideWhenUsed/>
    <w:rsid w:val="005204D2"/>
    <w:pPr>
      <w:spacing w:line="240" w:lineRule="auto"/>
    </w:pPr>
    <w:rPr>
      <w:sz w:val="20"/>
      <w:szCs w:val="20"/>
    </w:rPr>
  </w:style>
  <w:style w:type="character" w:customStyle="1" w:styleId="CommentTextChar">
    <w:name w:val="Comment Text Char"/>
    <w:basedOn w:val="DefaultParagraphFont"/>
    <w:link w:val="CommentText"/>
    <w:uiPriority w:val="99"/>
    <w:semiHidden/>
    <w:rsid w:val="005204D2"/>
    <w:rPr>
      <w:color w:val="495965" w:themeColor="text2"/>
      <w:sz w:val="20"/>
      <w:szCs w:val="20"/>
      <w:lang w:val="en-GB"/>
    </w:rPr>
  </w:style>
  <w:style w:type="paragraph" w:styleId="CommentSubject">
    <w:name w:val="annotation subject"/>
    <w:basedOn w:val="CommentText"/>
    <w:next w:val="CommentText"/>
    <w:link w:val="CommentSubjectChar"/>
    <w:uiPriority w:val="99"/>
    <w:semiHidden/>
    <w:unhideWhenUsed/>
    <w:rsid w:val="005204D2"/>
    <w:rPr>
      <w:b/>
      <w:bCs/>
    </w:rPr>
  </w:style>
  <w:style w:type="character" w:customStyle="1" w:styleId="CommentSubjectChar">
    <w:name w:val="Comment Subject Char"/>
    <w:basedOn w:val="CommentTextChar"/>
    <w:link w:val="CommentSubject"/>
    <w:uiPriority w:val="99"/>
    <w:semiHidden/>
    <w:rsid w:val="005204D2"/>
    <w:rPr>
      <w:b/>
      <w:bCs/>
      <w:color w:val="495965" w:themeColor="text2"/>
      <w:sz w:val="20"/>
      <w:szCs w:val="20"/>
      <w:lang w:val="en-GB"/>
    </w:rPr>
  </w:style>
  <w:style w:type="character" w:customStyle="1" w:styleId="ColourAccent1">
    <w:name w:val="Colour Accent 1"/>
    <w:basedOn w:val="DefaultParagraphFont"/>
    <w:uiPriority w:val="1"/>
    <w:qFormat/>
    <w:locked/>
    <w:rsid w:val="001214BE"/>
    <w:rPr>
      <w:color w:val="65C5B4" w:themeColor="accent1"/>
    </w:rPr>
  </w:style>
  <w:style w:type="paragraph" w:styleId="ListParagraph">
    <w:name w:val="List Paragraph"/>
    <w:aliases w:val="List Paragraph1,Recommendation,List Paragraph11,L,F5 List Paragraph,Dot pt,CV text,Table text,List Paragraph111,Medium Grid 1 - Accent 21,Numbered Paragraph,List Paragraph2,Bulleted Para,NFP GP Bulleted List,FooterText,numbered,列出段落,列出段落1"/>
    <w:basedOn w:val="Normal"/>
    <w:link w:val="ListParagraphChar"/>
    <w:uiPriority w:val="34"/>
    <w:qFormat/>
    <w:locked/>
    <w:rsid w:val="00A97244"/>
    <w:pPr>
      <w:ind w:left="720"/>
      <w:contextualSpacing/>
    </w:pPr>
  </w:style>
  <w:style w:type="character" w:customStyle="1" w:styleId="ListParagraphChar">
    <w:name w:val="List Paragraph Char"/>
    <w:aliases w:val="List Paragraph1 Char,Recommendation Char,List Paragraph11 Char,L Char,F5 List Paragraph Char,Dot pt Char,CV text Char,Table text Char,List Paragraph111 Char,Medium Grid 1 - Accent 21 Char,Numbered Paragraph Char,List Paragraph2 Char"/>
    <w:link w:val="ListParagraph"/>
    <w:uiPriority w:val="34"/>
    <w:qFormat/>
    <w:locked/>
    <w:rsid w:val="00A97244"/>
    <w:rPr>
      <w:color w:val="495965" w:themeColor="text2"/>
      <w:lang w:val="en-GB"/>
    </w:rPr>
  </w:style>
  <w:style w:type="table" w:customStyle="1" w:styleId="DFATTable11">
    <w:name w:val="DFAT Table 11"/>
    <w:basedOn w:val="TableNormal"/>
    <w:uiPriority w:val="99"/>
    <w:rsid w:val="00E4584F"/>
    <w:pPr>
      <w:spacing w:before="60" w:after="60" w:line="260" w:lineRule="atLeast"/>
    </w:pPr>
    <w:rPr>
      <w:rFonts w:ascii="Calibri" w:hAnsi="Calibri"/>
    </w:rPr>
    <w:tblPr>
      <w:tblStyleRowBandSize w:val="1"/>
      <w:tblStyleColBandSize w:val="1"/>
      <w:tblBorders>
        <w:top w:val="single" w:sz="4" w:space="0" w:color="495965" w:themeColor="text2"/>
        <w:bottom w:val="single" w:sz="4" w:space="0" w:color="495965" w:themeColor="text2"/>
        <w:insideH w:val="single" w:sz="4" w:space="0" w:color="495965" w:themeColor="text2"/>
      </w:tblBorders>
      <w:tblCellMar>
        <w:top w:w="57" w:type="dxa"/>
        <w:bottom w:w="57" w:type="dxa"/>
      </w:tblCellMar>
    </w:tblPr>
    <w:tblStylePr w:type="firstRow">
      <w:rPr>
        <w:b w:val="0"/>
      </w:rPr>
      <w:tblPr/>
      <w:tcPr>
        <w:tcBorders>
          <w:top w:val="single" w:sz="4" w:space="0" w:color="65C5B4" w:themeColor="accent1"/>
          <w:bottom w:val="single" w:sz="4" w:space="0" w:color="65C5B4" w:themeColor="accent1"/>
          <w:insideH w:val="single" w:sz="4" w:space="0" w:color="65C5B4" w:themeColor="accent1"/>
        </w:tcBorders>
        <w:shd w:val="clear" w:color="auto" w:fill="65C5B4" w:themeFill="accent1"/>
      </w:tcPr>
    </w:tblStylePr>
    <w:tblStylePr w:type="lastRow">
      <w:rPr>
        <w:b/>
        <w:color w:val="FFFFFF"/>
      </w:rPr>
      <w:tblPr/>
      <w:tcPr>
        <w:shd w:val="clear" w:color="auto" w:fill="495965" w:themeFill="text2"/>
      </w:tcPr>
    </w:tblStylePr>
    <w:tblStylePr w:type="firstCol">
      <w:tblPr/>
      <w:tcPr>
        <w:shd w:val="clear" w:color="auto" w:fill="D8DCDB" w:themeFill="background2"/>
      </w:tcPr>
    </w:tblStylePr>
    <w:tblStylePr w:type="lastCol">
      <w:tblPr/>
      <w:tcPr>
        <w:shd w:val="clear" w:color="auto" w:fill="D8DCDB" w:themeFill="background2"/>
      </w:tcPr>
    </w:tblStylePr>
    <w:tblStylePr w:type="band1Vert">
      <w:tblPr/>
      <w:tcPr>
        <w:shd w:val="clear" w:color="auto" w:fill="E0F3EF" w:themeFill="accent1" w:themeFillTint="33"/>
      </w:tcPr>
    </w:tblStylePr>
    <w:tblStylePr w:type="band2Vert">
      <w:tblPr/>
      <w:tcPr>
        <w:shd w:val="clear" w:color="auto" w:fill="C1E7E0" w:themeFill="accent1" w:themeFillTint="66"/>
      </w:tcPr>
    </w:tblStylePr>
    <w:tblStylePr w:type="band1Horz">
      <w:tblPr/>
      <w:tcPr>
        <w:shd w:val="clear" w:color="auto" w:fill="E0F3EF" w:themeFill="accent1" w:themeFillTint="33"/>
      </w:tcPr>
    </w:tblStylePr>
    <w:tblStylePr w:type="band2Horz">
      <w:tblPr/>
      <w:tcPr>
        <w:shd w:val="clear" w:color="auto" w:fill="C1E7E0" w:themeFill="accent1" w:themeFillTint="66"/>
      </w:tcPr>
    </w:tblStylePr>
  </w:style>
  <w:style w:type="table" w:styleId="GridTable4-Accent1">
    <w:name w:val="Grid Table 4 Accent 1"/>
    <w:basedOn w:val="TableNormal"/>
    <w:uiPriority w:val="49"/>
    <w:locked/>
    <w:rsid w:val="00DC238C"/>
    <w:pPr>
      <w:spacing w:after="0" w:line="240" w:lineRule="auto"/>
    </w:pPr>
    <w:tblPr>
      <w:tblStyleRowBandSize w:val="1"/>
      <w:tblStyleColBandSize w:val="1"/>
      <w:tblBorders>
        <w:top w:val="single" w:sz="4" w:space="0" w:color="A2DCD1" w:themeColor="accent1" w:themeTint="99"/>
        <w:left w:val="single" w:sz="4" w:space="0" w:color="A2DCD1" w:themeColor="accent1" w:themeTint="99"/>
        <w:bottom w:val="single" w:sz="4" w:space="0" w:color="A2DCD1" w:themeColor="accent1" w:themeTint="99"/>
        <w:right w:val="single" w:sz="4" w:space="0" w:color="A2DCD1" w:themeColor="accent1" w:themeTint="99"/>
        <w:insideH w:val="single" w:sz="4" w:space="0" w:color="A2DCD1" w:themeColor="accent1" w:themeTint="99"/>
        <w:insideV w:val="single" w:sz="4" w:space="0" w:color="A2DCD1" w:themeColor="accent1" w:themeTint="99"/>
      </w:tblBorders>
    </w:tblPr>
    <w:tblStylePr w:type="firstRow">
      <w:rPr>
        <w:b/>
        <w:bCs/>
        <w:color w:val="FFFFFF" w:themeColor="background1"/>
      </w:rPr>
      <w:tblPr/>
      <w:tcPr>
        <w:tcBorders>
          <w:top w:val="single" w:sz="4" w:space="0" w:color="65C5B4" w:themeColor="accent1"/>
          <w:left w:val="single" w:sz="4" w:space="0" w:color="65C5B4" w:themeColor="accent1"/>
          <w:bottom w:val="single" w:sz="4" w:space="0" w:color="65C5B4" w:themeColor="accent1"/>
          <w:right w:val="single" w:sz="4" w:space="0" w:color="65C5B4" w:themeColor="accent1"/>
          <w:insideH w:val="nil"/>
          <w:insideV w:val="nil"/>
        </w:tcBorders>
        <w:shd w:val="clear" w:color="auto" w:fill="65C5B4" w:themeFill="accent1"/>
      </w:tcPr>
    </w:tblStylePr>
    <w:tblStylePr w:type="lastRow">
      <w:rPr>
        <w:b/>
        <w:bCs/>
      </w:rPr>
      <w:tblPr/>
      <w:tcPr>
        <w:tcBorders>
          <w:top w:val="double" w:sz="4" w:space="0" w:color="65C5B4" w:themeColor="accent1"/>
        </w:tcBorders>
      </w:tcPr>
    </w:tblStylePr>
    <w:tblStylePr w:type="firstCol">
      <w:rPr>
        <w:b/>
        <w:bCs/>
      </w:rPr>
    </w:tblStylePr>
    <w:tblStylePr w:type="lastCol">
      <w:rPr>
        <w:b/>
        <w:bCs/>
      </w:rPr>
    </w:tblStylePr>
    <w:tblStylePr w:type="band1Vert">
      <w:tblPr/>
      <w:tcPr>
        <w:shd w:val="clear" w:color="auto" w:fill="E0F3EF" w:themeFill="accent1" w:themeFillTint="33"/>
      </w:tcPr>
    </w:tblStylePr>
    <w:tblStylePr w:type="band1Horz">
      <w:tblPr/>
      <w:tcPr>
        <w:shd w:val="clear" w:color="auto" w:fill="E0F3EF" w:themeFill="accent1" w:themeFillTint="33"/>
      </w:tcPr>
    </w:tblStylePr>
  </w:style>
  <w:style w:type="table" w:customStyle="1" w:styleId="APPR">
    <w:name w:val="APPR"/>
    <w:basedOn w:val="TableNormal"/>
    <w:uiPriority w:val="99"/>
    <w:rsid w:val="00681633"/>
    <w:pPr>
      <w:spacing w:after="0" w:line="240" w:lineRule="auto"/>
    </w:pPr>
    <w:rPr>
      <w:rFonts w:ascii="Franklin Gothic Book" w:hAnsi="Franklin Gothic Book"/>
      <w:sz w:val="17"/>
      <w:lang w:eastAsia="en-AU"/>
    </w:rPr>
    <w:tblPr>
      <w:tblStyleRowBandSize w:val="1"/>
      <w:tblCellSpacing w:w="14" w:type="dxa"/>
      <w:tblBorders>
        <w:top w:val="single" w:sz="12" w:space="0" w:color="000000" w:themeColor="text1"/>
        <w:bottom w:val="single" w:sz="12" w:space="0" w:color="000000" w:themeColor="text1"/>
      </w:tblBorders>
    </w:tblPr>
    <w:trPr>
      <w:tblHeader/>
      <w:tblCellSpacing w:w="14" w:type="dxa"/>
    </w:trPr>
    <w:tblStylePr w:type="firstRow">
      <w:pPr>
        <w:wordWrap/>
      </w:pPr>
      <w:rPr>
        <w:rFonts w:ascii="Franklin Gothic Medium" w:hAnsi="Franklin Gothic Medium"/>
        <w:b/>
        <w:sz w:val="17"/>
      </w:rPr>
      <w:tblPr/>
      <w:tcPr>
        <w:tcBorders>
          <w:top w:val="nil"/>
          <w:bottom w:val="nil"/>
        </w:tcBorders>
      </w:tcPr>
    </w:tblStylePr>
    <w:tblStylePr w:type="band2Horz">
      <w:tblPr/>
      <w:tcPr>
        <w:tcBorders>
          <w:top w:val="nil"/>
          <w:left w:val="nil"/>
          <w:bottom w:val="nil"/>
          <w:right w:val="nil"/>
          <w:insideH w:val="nil"/>
          <w:insideV w:val="nil"/>
          <w:tl2br w:val="nil"/>
          <w:tr2bl w:val="nil"/>
        </w:tcBorders>
      </w:tcPr>
    </w:tblStylePr>
  </w:style>
  <w:style w:type="paragraph" w:styleId="HTMLPreformatted">
    <w:name w:val="HTML Preformatted"/>
    <w:basedOn w:val="Normal"/>
    <w:link w:val="HTMLPreformattedChar"/>
    <w:uiPriority w:val="99"/>
    <w:semiHidden/>
    <w:unhideWhenUsed/>
    <w:locked/>
    <w:rsid w:val="008C1F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after="0" w:line="240" w:lineRule="auto"/>
    </w:pPr>
    <w:rPr>
      <w:rFonts w:ascii="Courier New" w:eastAsia="Times New Roman" w:hAnsi="Courier New" w:cs="Courier New"/>
      <w:color w:val="auto"/>
      <w:sz w:val="20"/>
      <w:szCs w:val="20"/>
      <w:lang w:val="en-AU" w:eastAsia="en-AU"/>
    </w:rPr>
  </w:style>
  <w:style w:type="character" w:customStyle="1" w:styleId="HTMLPreformattedChar">
    <w:name w:val="HTML Preformatted Char"/>
    <w:basedOn w:val="DefaultParagraphFont"/>
    <w:link w:val="HTMLPreformatted"/>
    <w:uiPriority w:val="99"/>
    <w:semiHidden/>
    <w:rsid w:val="008C1F60"/>
    <w:rPr>
      <w:rFonts w:ascii="Courier New" w:eastAsia="Times New Roman" w:hAnsi="Courier New" w:cs="Courier New"/>
      <w:sz w:val="20"/>
      <w:szCs w:val="20"/>
      <w:lang w:eastAsia="en-AU"/>
    </w:rPr>
  </w:style>
  <w:style w:type="character" w:customStyle="1" w:styleId="y2iqfc">
    <w:name w:val="y2iqfc"/>
    <w:basedOn w:val="DefaultParagraphFont"/>
    <w:rsid w:val="008C1F60"/>
  </w:style>
  <w:style w:type="character" w:styleId="UnresolvedMention">
    <w:name w:val="Unresolved Mention"/>
    <w:basedOn w:val="DefaultParagraphFont"/>
    <w:uiPriority w:val="99"/>
    <w:semiHidden/>
    <w:unhideWhenUsed/>
    <w:rsid w:val="00844737"/>
    <w:rPr>
      <w:color w:val="605E5C"/>
      <w:shd w:val="clear" w:color="auto" w:fill="E1DFDD"/>
    </w:rPr>
  </w:style>
  <w:style w:type="character" w:styleId="FollowedHyperlink">
    <w:name w:val="FollowedHyperlink"/>
    <w:basedOn w:val="DefaultParagraphFont"/>
    <w:uiPriority w:val="99"/>
    <w:semiHidden/>
    <w:unhideWhenUsed/>
    <w:rsid w:val="00FD710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5653">
      <w:bodyDiv w:val="1"/>
      <w:marLeft w:val="0"/>
      <w:marRight w:val="0"/>
      <w:marTop w:val="0"/>
      <w:marBottom w:val="0"/>
      <w:divBdr>
        <w:top w:val="none" w:sz="0" w:space="0" w:color="auto"/>
        <w:left w:val="none" w:sz="0" w:space="0" w:color="auto"/>
        <w:bottom w:val="none" w:sz="0" w:space="0" w:color="auto"/>
        <w:right w:val="none" w:sz="0" w:space="0" w:color="auto"/>
      </w:divBdr>
    </w:div>
    <w:div w:id="86273484">
      <w:bodyDiv w:val="1"/>
      <w:marLeft w:val="0"/>
      <w:marRight w:val="0"/>
      <w:marTop w:val="0"/>
      <w:marBottom w:val="0"/>
      <w:divBdr>
        <w:top w:val="none" w:sz="0" w:space="0" w:color="auto"/>
        <w:left w:val="none" w:sz="0" w:space="0" w:color="auto"/>
        <w:bottom w:val="none" w:sz="0" w:space="0" w:color="auto"/>
        <w:right w:val="none" w:sz="0" w:space="0" w:color="auto"/>
      </w:divBdr>
    </w:div>
    <w:div w:id="269164948">
      <w:bodyDiv w:val="1"/>
      <w:marLeft w:val="0"/>
      <w:marRight w:val="0"/>
      <w:marTop w:val="0"/>
      <w:marBottom w:val="0"/>
      <w:divBdr>
        <w:top w:val="none" w:sz="0" w:space="0" w:color="auto"/>
        <w:left w:val="none" w:sz="0" w:space="0" w:color="auto"/>
        <w:bottom w:val="none" w:sz="0" w:space="0" w:color="auto"/>
        <w:right w:val="none" w:sz="0" w:space="0" w:color="auto"/>
      </w:divBdr>
    </w:div>
    <w:div w:id="339741217">
      <w:bodyDiv w:val="1"/>
      <w:marLeft w:val="0"/>
      <w:marRight w:val="0"/>
      <w:marTop w:val="0"/>
      <w:marBottom w:val="0"/>
      <w:divBdr>
        <w:top w:val="none" w:sz="0" w:space="0" w:color="auto"/>
        <w:left w:val="none" w:sz="0" w:space="0" w:color="auto"/>
        <w:bottom w:val="none" w:sz="0" w:space="0" w:color="auto"/>
        <w:right w:val="none" w:sz="0" w:space="0" w:color="auto"/>
      </w:divBdr>
    </w:div>
    <w:div w:id="654529722">
      <w:bodyDiv w:val="1"/>
      <w:marLeft w:val="0"/>
      <w:marRight w:val="0"/>
      <w:marTop w:val="0"/>
      <w:marBottom w:val="0"/>
      <w:divBdr>
        <w:top w:val="none" w:sz="0" w:space="0" w:color="auto"/>
        <w:left w:val="none" w:sz="0" w:space="0" w:color="auto"/>
        <w:bottom w:val="none" w:sz="0" w:space="0" w:color="auto"/>
        <w:right w:val="none" w:sz="0" w:space="0" w:color="auto"/>
      </w:divBdr>
    </w:div>
    <w:div w:id="1394888277">
      <w:bodyDiv w:val="1"/>
      <w:marLeft w:val="0"/>
      <w:marRight w:val="0"/>
      <w:marTop w:val="0"/>
      <w:marBottom w:val="0"/>
      <w:divBdr>
        <w:top w:val="none" w:sz="0" w:space="0" w:color="auto"/>
        <w:left w:val="none" w:sz="0" w:space="0" w:color="auto"/>
        <w:bottom w:val="none" w:sz="0" w:space="0" w:color="auto"/>
        <w:right w:val="none" w:sz="0" w:space="0" w:color="auto"/>
      </w:divBdr>
    </w:div>
    <w:div w:id="1597401563">
      <w:bodyDiv w:val="1"/>
      <w:marLeft w:val="0"/>
      <w:marRight w:val="0"/>
      <w:marTop w:val="0"/>
      <w:marBottom w:val="0"/>
      <w:divBdr>
        <w:top w:val="none" w:sz="0" w:space="0" w:color="auto"/>
        <w:left w:val="none" w:sz="0" w:space="0" w:color="auto"/>
        <w:bottom w:val="none" w:sz="0" w:space="0" w:color="auto"/>
        <w:right w:val="none" w:sz="0" w:space="0" w:color="auto"/>
      </w:divBdr>
    </w:div>
    <w:div w:id="1599369777">
      <w:bodyDiv w:val="1"/>
      <w:marLeft w:val="0"/>
      <w:marRight w:val="0"/>
      <w:marTop w:val="0"/>
      <w:marBottom w:val="0"/>
      <w:divBdr>
        <w:top w:val="none" w:sz="0" w:space="0" w:color="auto"/>
        <w:left w:val="none" w:sz="0" w:space="0" w:color="auto"/>
        <w:bottom w:val="none" w:sz="0" w:space="0" w:color="auto"/>
        <w:right w:val="none" w:sz="0" w:space="0" w:color="auto"/>
      </w:divBdr>
    </w:div>
    <w:div w:id="1729306243">
      <w:bodyDiv w:val="1"/>
      <w:marLeft w:val="0"/>
      <w:marRight w:val="0"/>
      <w:marTop w:val="0"/>
      <w:marBottom w:val="0"/>
      <w:divBdr>
        <w:top w:val="none" w:sz="0" w:space="0" w:color="auto"/>
        <w:left w:val="none" w:sz="0" w:space="0" w:color="auto"/>
        <w:bottom w:val="none" w:sz="0" w:space="0" w:color="auto"/>
        <w:right w:val="none" w:sz="0" w:space="0" w:color="auto"/>
      </w:divBdr>
    </w:div>
    <w:div w:id="1800496078">
      <w:bodyDiv w:val="1"/>
      <w:marLeft w:val="0"/>
      <w:marRight w:val="0"/>
      <w:marTop w:val="0"/>
      <w:marBottom w:val="0"/>
      <w:divBdr>
        <w:top w:val="none" w:sz="0" w:space="0" w:color="auto"/>
        <w:left w:val="none" w:sz="0" w:space="0" w:color="auto"/>
        <w:bottom w:val="none" w:sz="0" w:space="0" w:color="auto"/>
        <w:right w:val="none" w:sz="0" w:space="0" w:color="auto"/>
      </w:divBdr>
    </w:div>
    <w:div w:id="1863975718">
      <w:bodyDiv w:val="1"/>
      <w:marLeft w:val="0"/>
      <w:marRight w:val="0"/>
      <w:marTop w:val="0"/>
      <w:marBottom w:val="0"/>
      <w:divBdr>
        <w:top w:val="none" w:sz="0" w:space="0" w:color="auto"/>
        <w:left w:val="none" w:sz="0" w:space="0" w:color="auto"/>
        <w:bottom w:val="none" w:sz="0" w:space="0" w:color="auto"/>
        <w:right w:val="none" w:sz="0" w:space="0" w:color="auto"/>
      </w:divBdr>
    </w:div>
    <w:div w:id="1864854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footer3.xml.rels><?xml version="1.0" encoding="UTF-8" standalone="yes"?>
<Relationships xmlns="http://schemas.openxmlformats.org/package/2006/relationships"><Relationship Id="rId1" Type="http://schemas.openxmlformats.org/officeDocument/2006/relationships/image" Target="media/image5.png"/></Relationships>
</file>

<file path=word/_rels/footer4.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DFAT Corporate - Standard">
  <a:themeElements>
    <a:clrScheme name="DFAT Corporate">
      <a:dk1>
        <a:sysClr val="windowText" lastClr="000000"/>
      </a:dk1>
      <a:lt1>
        <a:sysClr val="window" lastClr="FFFFFF"/>
      </a:lt1>
      <a:dk2>
        <a:srgbClr val="495965"/>
      </a:dk2>
      <a:lt2>
        <a:srgbClr val="D8DCDB"/>
      </a:lt2>
      <a:accent1>
        <a:srgbClr val="65C5B4"/>
      </a:accent1>
      <a:accent2>
        <a:srgbClr val="ACD08C"/>
      </a:accent2>
      <a:accent3>
        <a:srgbClr val="D3875F"/>
      </a:accent3>
      <a:accent4>
        <a:srgbClr val="FFF799"/>
      </a:accent4>
      <a:accent5>
        <a:srgbClr val="409F68"/>
      </a:accent5>
      <a:accent6>
        <a:srgbClr val="007C89"/>
      </a:accent6>
      <a:hlink>
        <a:srgbClr val="0000FF"/>
      </a:hlink>
      <a:folHlink>
        <a:srgbClr val="800080"/>
      </a:folHlink>
    </a:clrScheme>
    <a:fontScheme name="DFAT Corporate 1">
      <a:majorFont>
        <a:latin typeface="Calibri"/>
        <a:ea typeface=""/>
        <a:cs typeface=""/>
      </a:majorFont>
      <a:minorFont>
        <a:latin typeface="Calibri Light"/>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spPr>
      <a:bodyPr wrap="square" lIns="0" tIns="0" rIns="0" bIns="0" rtlCol="0">
        <a:spAutoFit/>
      </a:bodyPr>
      <a:lstStyle>
        <a:defPPr>
          <a:defRPr dirty="0"/>
        </a:defPPr>
      </a:lstStyle>
    </a:txDef>
  </a:objectDefaults>
  <a:extraClrSchemeLst/>
  <a:extLst>
    <a:ext uri="{05A4C25C-085E-4340-85A3-A5531E510DB2}">
      <thm15:themeFamily xmlns:thm15="http://schemas.microsoft.com/office/thememl/2012/main" name="DFAT Corporate - Standard" id="{D4BA5EE0-EB14-4FE9-A4E7-2FD97131F639}" vid="{2ACD2008-3A55-4AE1-937A-FE4FB76DD00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F9D400-8AF7-4434-87B4-1127DA6226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2479</Words>
  <Characters>14961</Characters>
  <Application>Microsoft Office Word</Application>
  <DocSecurity>0</DocSecurity>
  <Lines>264</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2020-21 Bangladesh Development Program Progress Report</dc:title>
  <dc:subject/>
  <dc:creator/>
  <cp:keywords/>
  <cp:lastModifiedBy/>
  <cp:revision>1</cp:revision>
  <dcterms:created xsi:type="dcterms:W3CDTF">2021-11-24T05:01:00Z</dcterms:created>
  <dcterms:modified xsi:type="dcterms:W3CDTF">2021-11-24T05:02:00Z</dcterms:modified>
  <cp:category/>
</cp:coreProperties>
</file>