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9C896" w14:textId="77777777" w:rsidR="0098555D" w:rsidRDefault="0098555D" w:rsidP="00611676">
      <w:pPr>
        <w:pStyle w:val="Heading1"/>
      </w:pPr>
    </w:p>
    <w:p w14:paraId="4380DDB3" w14:textId="7E8E8CBA" w:rsidR="00FA5EFD" w:rsidRPr="002E500A" w:rsidRDefault="00456799" w:rsidP="008273CD">
      <w:pPr>
        <w:pStyle w:val="Heading1"/>
      </w:pPr>
      <w:r w:rsidRPr="002E500A">
        <w:t xml:space="preserve">2020-21 </w:t>
      </w:r>
      <w:r>
        <w:t>LAO PDR</w:t>
      </w:r>
      <w:r w:rsidRPr="002E500A">
        <w:t xml:space="preserve"> D</w:t>
      </w:r>
      <w:r>
        <w:t>EVELOPMENT</w:t>
      </w:r>
      <w:r w:rsidRPr="002E500A">
        <w:t xml:space="preserve"> P</w:t>
      </w:r>
      <w:r>
        <w:t xml:space="preserve">ROGRAM </w:t>
      </w:r>
      <w:r w:rsidRPr="002E500A">
        <w:t>P</w:t>
      </w:r>
      <w:r>
        <w:t>ROGRESS</w:t>
      </w:r>
      <w:r w:rsidRPr="002E500A">
        <w:t xml:space="preserve"> R</w:t>
      </w:r>
      <w:r>
        <w:t>EPORT</w:t>
      </w:r>
    </w:p>
    <w:p w14:paraId="23DAB190" w14:textId="77777777" w:rsidR="007B53F9" w:rsidRDefault="007B53F9" w:rsidP="0066203A">
      <w:pPr>
        <w:widowControl w:val="0"/>
        <w:spacing w:before="60" w:after="120" w:line="260" w:lineRule="exact"/>
        <w:sectPr w:rsidR="007B53F9" w:rsidSect="00166026">
          <w:headerReference w:type="default" r:id="rId8"/>
          <w:footerReference w:type="default" r:id="rId9"/>
          <w:headerReference w:type="first" r:id="rId10"/>
          <w:footerReference w:type="first" r:id="rId11"/>
          <w:pgSz w:w="11906" w:h="16838" w:code="9"/>
          <w:pgMar w:top="2127" w:right="680" w:bottom="851" w:left="680" w:header="397" w:footer="624" w:gutter="0"/>
          <w:cols w:space="397"/>
          <w:titlePg/>
          <w:docGrid w:linePitch="360"/>
        </w:sectPr>
      </w:pPr>
    </w:p>
    <w:p w14:paraId="237C4E65" w14:textId="7361665F" w:rsidR="00316FA7" w:rsidRDefault="0033222F" w:rsidP="009D4193">
      <w:r w:rsidRPr="0033222F">
        <w:rPr>
          <w:noProof/>
        </w:rPr>
        <w:drawing>
          <wp:inline distT="0" distB="0" distL="0" distR="0" wp14:anchorId="7E88D989" wp14:editId="1ECA2656">
            <wp:extent cx="6696710" cy="2800350"/>
            <wp:effectExtent l="0" t="0" r="0" b="0"/>
            <wp:docPr id="2" name="Picture 2" descr="2020-21 Budget estimate. Total ODA $40.1 million. Bilateral program budget $20.6 million. Regional program budget $8.2million. Global program budget $9.6 million. Other government departments budget $1.6 million.&#10;Our development program to Lao-PDR contributes towards achieving the following Sustainable Development Goals: 1,4,5,8,9,10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0-21 Budget estimate. Total ODA $40.1 million. Bilateral program budget $20.6 million. Regional program budget $8.2million. Global program budget $9.6 million. Other government departments budget $1.6 million.&#10;Our development program to Lao-PDR contributes towards achieving the following Sustainable Development Goals: 1,4,5,8,9,10 and 17.&#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6446"/>
                    <a:stretch/>
                  </pic:blipFill>
                  <pic:spPr bwMode="auto">
                    <a:xfrm>
                      <a:off x="0" y="0"/>
                      <a:ext cx="6696710" cy="2800350"/>
                    </a:xfrm>
                    <a:prstGeom prst="rect">
                      <a:avLst/>
                    </a:prstGeom>
                    <a:noFill/>
                    <a:ln>
                      <a:noFill/>
                    </a:ln>
                    <a:extLst>
                      <a:ext uri="{53640926-AAD7-44D8-BBD7-CCE9431645EC}">
                        <a14:shadowObscured xmlns:a14="http://schemas.microsoft.com/office/drawing/2010/main"/>
                      </a:ext>
                    </a:extLst>
                  </pic:spPr>
                </pic:pic>
              </a:graphicData>
            </a:graphic>
          </wp:inline>
        </w:drawing>
      </w:r>
    </w:p>
    <w:p w14:paraId="26094F8A" w14:textId="1D18FBAF" w:rsidR="00E31023" w:rsidRPr="00456799" w:rsidRDefault="00E31023" w:rsidP="009D4193">
      <w:pPr>
        <w:pStyle w:val="Heading2"/>
      </w:pPr>
      <w:r w:rsidRPr="00456799">
        <w:t xml:space="preserve">CONTEXT </w:t>
      </w:r>
    </w:p>
    <w:p w14:paraId="1510BD6C" w14:textId="34070354" w:rsidR="001D3681" w:rsidRDefault="001D3681" w:rsidP="00DF7496">
      <w:pPr>
        <w:suppressAutoHyphens w:val="0"/>
        <w:spacing w:before="0" w:line="240" w:lineRule="auto"/>
      </w:pPr>
      <w:r w:rsidRPr="00E614AA">
        <w:t>Australia has been a valued partner of Laos since 1952. Our strong relations are underpinned by longstanding and well-regarded development assistance, people-to-people and business links, and shared membership of regional ins</w:t>
      </w:r>
      <w:r>
        <w:t>titutions</w:t>
      </w:r>
      <w:r w:rsidR="00831713">
        <w:t>.</w:t>
      </w:r>
    </w:p>
    <w:p w14:paraId="4E3D28C4" w14:textId="3ECD8CB1" w:rsidR="00E31023" w:rsidRDefault="000C1B1D" w:rsidP="00DF7496">
      <w:pPr>
        <w:suppressAutoHyphens w:val="0"/>
        <w:spacing w:before="0" w:line="240" w:lineRule="auto"/>
        <w:rPr>
          <w:rFonts w:eastAsia="Times New Roman"/>
        </w:rPr>
      </w:pPr>
      <w:r>
        <w:rPr>
          <w:rFonts w:eastAsia="Times New Roman"/>
        </w:rPr>
        <w:t>For the reporting period,</w:t>
      </w:r>
      <w:r w:rsidRPr="00F22DF4">
        <w:rPr>
          <w:rFonts w:eastAsia="Times New Roman"/>
        </w:rPr>
        <w:t xml:space="preserve"> </w:t>
      </w:r>
      <w:r w:rsidR="00E31023" w:rsidRPr="00F22DF4">
        <w:rPr>
          <w:rFonts w:eastAsia="Times New Roman"/>
        </w:rPr>
        <w:t xml:space="preserve">Laos </w:t>
      </w:r>
      <w:r w:rsidR="0017322A" w:rsidRPr="00F22DF4">
        <w:rPr>
          <w:rFonts w:eastAsia="Times New Roman"/>
        </w:rPr>
        <w:t xml:space="preserve">managed </w:t>
      </w:r>
      <w:r w:rsidR="00E31023" w:rsidRPr="00F22DF4">
        <w:rPr>
          <w:rFonts w:eastAsia="Times New Roman"/>
        </w:rPr>
        <w:t>the early days of COVID-19</w:t>
      </w:r>
      <w:r>
        <w:rPr>
          <w:rFonts w:eastAsia="Times New Roman"/>
        </w:rPr>
        <w:t xml:space="preserve"> </w:t>
      </w:r>
      <w:r w:rsidR="00E31023" w:rsidRPr="00F22DF4">
        <w:rPr>
          <w:rFonts w:eastAsia="Times New Roman"/>
        </w:rPr>
        <w:t>well, largely protected by swift border closures and low case numbers in</w:t>
      </w:r>
      <w:r w:rsidR="00E31023">
        <w:rPr>
          <w:rFonts w:eastAsia="Times New Roman"/>
        </w:rPr>
        <w:t xml:space="preserve"> neighbouring countries</w:t>
      </w:r>
      <w:r w:rsidR="00CD5F45">
        <w:rPr>
          <w:rFonts w:eastAsia="Times New Roman"/>
        </w:rPr>
        <w:t xml:space="preserve">. However, </w:t>
      </w:r>
      <w:r w:rsidR="00CD5F45" w:rsidRPr="00F22DF4">
        <w:rPr>
          <w:rFonts w:eastAsia="Times New Roman"/>
          <w:b/>
          <w:bCs/>
        </w:rPr>
        <w:t>health impacts have worsened since April 2021</w:t>
      </w:r>
      <w:r w:rsidR="00CD5F45">
        <w:rPr>
          <w:rFonts w:eastAsia="Times New Roman"/>
        </w:rPr>
        <w:t xml:space="preserve"> and the impact on Laos’ economy continues amidst domestic lockdowns and business closures, restricted movement between provinces, and the continued closure of international borders.</w:t>
      </w:r>
    </w:p>
    <w:p w14:paraId="198E2609" w14:textId="6450850E" w:rsidR="00166026" w:rsidRDefault="00E31023" w:rsidP="00DF7496">
      <w:pPr>
        <w:suppressAutoHyphens w:val="0"/>
        <w:spacing w:before="0" w:line="240" w:lineRule="auto"/>
        <w:rPr>
          <w:rFonts w:eastAsia="Times New Roman"/>
        </w:rPr>
      </w:pPr>
      <w:bookmarkStart w:id="0" w:name="_Hlk83043561"/>
      <w:r>
        <w:rPr>
          <w:rFonts w:eastAsia="Times New Roman"/>
        </w:rPr>
        <w:t xml:space="preserve">The </w:t>
      </w:r>
      <w:r w:rsidRPr="00F22DF4">
        <w:rPr>
          <w:rFonts w:eastAsia="Times New Roman"/>
          <w:b/>
          <w:bCs/>
        </w:rPr>
        <w:t>first case of community transmission in Laos was reported in early April 2021</w:t>
      </w:r>
      <w:r>
        <w:rPr>
          <w:rFonts w:eastAsia="Times New Roman"/>
        </w:rPr>
        <w:t xml:space="preserve">, just before Lao New Year (Pi Mi), which is typically a period of increased provincial travel. Vientiane Capital entered its second </w:t>
      </w:r>
      <w:r w:rsidR="00CD5F45">
        <w:rPr>
          <w:rFonts w:eastAsia="Times New Roman"/>
        </w:rPr>
        <w:t xml:space="preserve">and </w:t>
      </w:r>
      <w:r w:rsidR="00CD5F45" w:rsidRPr="00F22DF4">
        <w:rPr>
          <w:rFonts w:eastAsia="Times New Roman"/>
        </w:rPr>
        <w:t xml:space="preserve">most severe lockdown to date </w:t>
      </w:r>
      <w:r w:rsidRPr="00026520">
        <w:rPr>
          <w:rFonts w:eastAsia="Times New Roman"/>
        </w:rPr>
        <w:t>on 22 April 2021</w:t>
      </w:r>
      <w:r w:rsidRPr="00F22DF4">
        <w:rPr>
          <w:rFonts w:eastAsia="Times New Roman"/>
        </w:rPr>
        <w:t xml:space="preserve">, following confirmed community transmission of the Delta variant. Laos has been in varying levels of </w:t>
      </w:r>
      <w:r w:rsidR="005313A5" w:rsidRPr="00F22DF4">
        <w:rPr>
          <w:rFonts w:eastAsia="Times New Roman"/>
        </w:rPr>
        <w:t xml:space="preserve">restrictions </w:t>
      </w:r>
      <w:r w:rsidRPr="00F22DF4">
        <w:rPr>
          <w:rFonts w:eastAsia="Times New Roman"/>
        </w:rPr>
        <w:t>since.</w:t>
      </w:r>
      <w:r w:rsidR="005313A5" w:rsidRPr="00F22DF4">
        <w:rPr>
          <w:rFonts w:eastAsia="Times New Roman"/>
        </w:rPr>
        <w:t xml:space="preserve"> The return to Laos of tens of thousands of migrant workers </w:t>
      </w:r>
      <w:r w:rsidR="00AD430F" w:rsidRPr="00F22DF4">
        <w:rPr>
          <w:rFonts w:eastAsia="Times New Roman"/>
        </w:rPr>
        <w:t>due</w:t>
      </w:r>
      <w:r w:rsidR="00AD430F">
        <w:rPr>
          <w:rFonts w:eastAsia="Times New Roman"/>
        </w:rPr>
        <w:t xml:space="preserve"> to</w:t>
      </w:r>
      <w:r w:rsidR="005313A5">
        <w:rPr>
          <w:rFonts w:eastAsia="Times New Roman"/>
        </w:rPr>
        <w:t xml:space="preserve"> Thailand</w:t>
      </w:r>
      <w:r w:rsidR="00AD430F">
        <w:rPr>
          <w:rFonts w:eastAsia="Times New Roman"/>
        </w:rPr>
        <w:t>’s</w:t>
      </w:r>
      <w:r w:rsidR="005313A5">
        <w:rPr>
          <w:rFonts w:eastAsia="Times New Roman"/>
        </w:rPr>
        <w:t xml:space="preserve"> surge in cases b</w:t>
      </w:r>
      <w:r w:rsidR="009E248A">
        <w:rPr>
          <w:rFonts w:eastAsia="Times New Roman"/>
        </w:rPr>
        <w:t>rought thousands of COVID</w:t>
      </w:r>
      <w:r w:rsidR="004350FF">
        <w:rPr>
          <w:rFonts w:eastAsia="Times New Roman"/>
        </w:rPr>
        <w:t>-19</w:t>
      </w:r>
      <w:r w:rsidR="009E248A">
        <w:rPr>
          <w:rFonts w:eastAsia="Times New Roman"/>
        </w:rPr>
        <w:t xml:space="preserve"> cases</w:t>
      </w:r>
      <w:r w:rsidR="00AD430F">
        <w:rPr>
          <w:rFonts w:eastAsia="Times New Roman"/>
        </w:rPr>
        <w:t>,</w:t>
      </w:r>
      <w:r w:rsidR="009E248A">
        <w:rPr>
          <w:rFonts w:eastAsia="Times New Roman"/>
        </w:rPr>
        <w:t xml:space="preserve"> </w:t>
      </w:r>
      <w:r w:rsidR="00AD430F">
        <w:rPr>
          <w:rFonts w:eastAsia="Times New Roman"/>
        </w:rPr>
        <w:t xml:space="preserve">particularly </w:t>
      </w:r>
      <w:r w:rsidR="009E248A">
        <w:rPr>
          <w:rFonts w:eastAsia="Times New Roman"/>
        </w:rPr>
        <w:t>into</w:t>
      </w:r>
      <w:r w:rsidR="00AD430F">
        <w:rPr>
          <w:rFonts w:eastAsia="Times New Roman"/>
        </w:rPr>
        <w:t xml:space="preserve"> Laos’</w:t>
      </w:r>
      <w:r w:rsidR="009E248A">
        <w:rPr>
          <w:rFonts w:eastAsia="Times New Roman"/>
        </w:rPr>
        <w:t xml:space="preserve"> southern provinces. In response the national and provincial governments have established 122 quarantine centres. The </w:t>
      </w:r>
      <w:r w:rsidR="00E11496">
        <w:t>World Health Organization (</w:t>
      </w:r>
      <w:r w:rsidR="009E248A">
        <w:rPr>
          <w:rFonts w:eastAsia="Times New Roman"/>
        </w:rPr>
        <w:t>WHO</w:t>
      </w:r>
      <w:r w:rsidR="00E11496">
        <w:rPr>
          <w:rFonts w:eastAsia="Times New Roman"/>
        </w:rPr>
        <w:t>)</w:t>
      </w:r>
      <w:r w:rsidR="009E248A">
        <w:rPr>
          <w:rFonts w:eastAsia="Times New Roman"/>
        </w:rPr>
        <w:t>, World Food Programme</w:t>
      </w:r>
      <w:r w:rsidR="00D55951">
        <w:rPr>
          <w:rFonts w:eastAsia="Times New Roman"/>
        </w:rPr>
        <w:t xml:space="preserve"> (WFP)</w:t>
      </w:r>
      <w:r w:rsidR="009E248A">
        <w:rPr>
          <w:rFonts w:eastAsia="Times New Roman"/>
        </w:rPr>
        <w:t>, International Labour Organi</w:t>
      </w:r>
      <w:r w:rsidR="00D2566A">
        <w:rPr>
          <w:rFonts w:eastAsia="Times New Roman"/>
        </w:rPr>
        <w:t>z</w:t>
      </w:r>
      <w:r w:rsidR="009E248A">
        <w:rPr>
          <w:rFonts w:eastAsia="Times New Roman"/>
        </w:rPr>
        <w:t xml:space="preserve">ation </w:t>
      </w:r>
      <w:r w:rsidR="00D55951">
        <w:rPr>
          <w:rFonts w:eastAsia="Times New Roman"/>
        </w:rPr>
        <w:t xml:space="preserve">(ILO) </w:t>
      </w:r>
      <w:r w:rsidR="009E248A">
        <w:rPr>
          <w:rFonts w:eastAsia="Times New Roman"/>
        </w:rPr>
        <w:t>and other</w:t>
      </w:r>
      <w:r w:rsidR="00AD430F">
        <w:rPr>
          <w:rFonts w:eastAsia="Times New Roman"/>
        </w:rPr>
        <w:t xml:space="preserve"> partner</w:t>
      </w:r>
      <w:r w:rsidR="009E248A">
        <w:rPr>
          <w:rFonts w:eastAsia="Times New Roman"/>
        </w:rPr>
        <w:t>s, with donor support, have assisted the government</w:t>
      </w:r>
      <w:r w:rsidR="00AD430F">
        <w:rPr>
          <w:rFonts w:eastAsia="Times New Roman"/>
        </w:rPr>
        <w:t xml:space="preserve"> with food, </w:t>
      </w:r>
      <w:proofErr w:type="gramStart"/>
      <w:r w:rsidR="00AD430F">
        <w:rPr>
          <w:rFonts w:eastAsia="Times New Roman"/>
        </w:rPr>
        <w:t>supplies</w:t>
      </w:r>
      <w:proofErr w:type="gramEnd"/>
      <w:r w:rsidR="00AD430F">
        <w:rPr>
          <w:rFonts w:eastAsia="Times New Roman"/>
        </w:rPr>
        <w:t xml:space="preserve"> and advice</w:t>
      </w:r>
      <w:r w:rsidR="009E248A">
        <w:rPr>
          <w:rFonts w:eastAsia="Times New Roman"/>
        </w:rPr>
        <w:t>.</w:t>
      </w:r>
      <w:bookmarkEnd w:id="0"/>
      <w:r w:rsidR="00166026">
        <w:rPr>
          <w:rFonts w:eastAsia="Times New Roman"/>
        </w:rPr>
        <w:t xml:space="preserve"> </w:t>
      </w:r>
      <w:r w:rsidR="009C7E60">
        <w:rPr>
          <w:rFonts w:eastAsia="Times New Roman"/>
        </w:rPr>
        <w:t>Concerns over the testing, tracing and treatment of COVID-19 remain</w:t>
      </w:r>
      <w:r w:rsidR="006076DD">
        <w:rPr>
          <w:rFonts w:eastAsia="Times New Roman"/>
        </w:rPr>
        <w:t>.</w:t>
      </w:r>
      <w:r w:rsidR="003E48D0">
        <w:rPr>
          <w:rFonts w:eastAsia="Times New Roman"/>
        </w:rPr>
        <w:t xml:space="preserve"> </w:t>
      </w:r>
      <w:r w:rsidR="00C361D0" w:rsidRPr="00F22DF4">
        <w:rPr>
          <w:rFonts w:eastAsia="Times New Roman"/>
        </w:rPr>
        <w:t>Relatively</w:t>
      </w:r>
      <w:r w:rsidR="006076DD" w:rsidRPr="00F22DF4">
        <w:rPr>
          <w:rFonts w:eastAsia="Times New Roman"/>
        </w:rPr>
        <w:t xml:space="preserve"> low testing rates </w:t>
      </w:r>
      <w:r w:rsidR="00C361D0" w:rsidRPr="00F22DF4">
        <w:rPr>
          <w:rFonts w:eastAsia="Times New Roman"/>
        </w:rPr>
        <w:t xml:space="preserve">have been </w:t>
      </w:r>
      <w:r w:rsidR="003E48D0" w:rsidRPr="00F22DF4">
        <w:rPr>
          <w:rFonts w:eastAsia="Times New Roman"/>
        </w:rPr>
        <w:t>returning a</w:t>
      </w:r>
      <w:r w:rsidR="006076DD" w:rsidRPr="00026520">
        <w:rPr>
          <w:rFonts w:eastAsia="Times New Roman"/>
        </w:rPr>
        <w:t xml:space="preserve"> </w:t>
      </w:r>
      <w:r w:rsidR="00C361D0" w:rsidRPr="00F22DF4">
        <w:rPr>
          <w:rFonts w:eastAsia="Times New Roman"/>
        </w:rPr>
        <w:t xml:space="preserve">comparatively </w:t>
      </w:r>
      <w:r w:rsidR="006076DD" w:rsidRPr="00F22DF4">
        <w:rPr>
          <w:rFonts w:eastAsia="Times New Roman"/>
        </w:rPr>
        <w:t xml:space="preserve">high </w:t>
      </w:r>
      <w:r w:rsidR="00DD7FF7">
        <w:rPr>
          <w:rFonts w:eastAsia="Times New Roman"/>
        </w:rPr>
        <w:t>percent</w:t>
      </w:r>
      <w:r w:rsidR="006076DD" w:rsidRPr="00F22DF4">
        <w:rPr>
          <w:rFonts w:eastAsia="Times New Roman"/>
        </w:rPr>
        <w:t>age of positive cases</w:t>
      </w:r>
      <w:r w:rsidR="00C361D0" w:rsidRPr="00F22DF4">
        <w:rPr>
          <w:rFonts w:eastAsia="Times New Roman"/>
        </w:rPr>
        <w:t>,</w:t>
      </w:r>
      <w:r w:rsidR="006076DD" w:rsidRPr="00F22DF4">
        <w:rPr>
          <w:rFonts w:eastAsia="Times New Roman"/>
        </w:rPr>
        <w:t xml:space="preserve"> suggest</w:t>
      </w:r>
      <w:r w:rsidR="00C361D0" w:rsidRPr="00F22DF4">
        <w:rPr>
          <w:rFonts w:eastAsia="Times New Roman"/>
        </w:rPr>
        <w:t>ing</w:t>
      </w:r>
      <w:r w:rsidR="006076DD" w:rsidRPr="00F22DF4">
        <w:rPr>
          <w:rFonts w:eastAsia="Times New Roman"/>
        </w:rPr>
        <w:t xml:space="preserve"> </w:t>
      </w:r>
      <w:r w:rsidR="009C7E60" w:rsidRPr="00F22DF4">
        <w:rPr>
          <w:rFonts w:eastAsia="Times New Roman"/>
        </w:rPr>
        <w:t>commu</w:t>
      </w:r>
      <w:r w:rsidR="009C7E60">
        <w:rPr>
          <w:rFonts w:eastAsia="Times New Roman"/>
        </w:rPr>
        <w:t xml:space="preserve">nity transmission numbers </w:t>
      </w:r>
      <w:r w:rsidR="006076DD">
        <w:rPr>
          <w:rFonts w:eastAsia="Times New Roman"/>
        </w:rPr>
        <w:t xml:space="preserve">could be </w:t>
      </w:r>
      <w:r w:rsidR="009C7E60">
        <w:rPr>
          <w:rFonts w:eastAsia="Times New Roman"/>
        </w:rPr>
        <w:t>higher than</w:t>
      </w:r>
      <w:r w:rsidR="006076DD">
        <w:rPr>
          <w:rFonts w:eastAsia="Times New Roman"/>
        </w:rPr>
        <w:t xml:space="preserve"> reported. </w:t>
      </w:r>
      <w:r w:rsidR="008013DB">
        <w:rPr>
          <w:rFonts w:eastAsia="Times New Roman"/>
        </w:rPr>
        <w:t xml:space="preserve">However, Laos’ under-resourced health system has coped better than expected, and </w:t>
      </w:r>
      <w:r w:rsidR="009C7E60">
        <w:rPr>
          <w:rFonts w:eastAsia="Times New Roman"/>
        </w:rPr>
        <w:t xml:space="preserve">vaccine rates, including in the provinces, </w:t>
      </w:r>
      <w:r w:rsidR="0017322A">
        <w:rPr>
          <w:rFonts w:eastAsia="Times New Roman"/>
        </w:rPr>
        <w:t xml:space="preserve">have </w:t>
      </w:r>
      <w:r w:rsidR="009C7E60">
        <w:rPr>
          <w:rFonts w:eastAsia="Times New Roman"/>
        </w:rPr>
        <w:t xml:space="preserve">accelerated in recent months. </w:t>
      </w:r>
      <w:r w:rsidR="0017322A" w:rsidRPr="00F22DF4">
        <w:rPr>
          <w:rFonts w:eastAsia="Times New Roman"/>
          <w:b/>
          <w:bCs/>
        </w:rPr>
        <w:t>By mid</w:t>
      </w:r>
      <w:r w:rsidR="00E46854" w:rsidRPr="00F22DF4">
        <w:rPr>
          <w:rFonts w:eastAsia="Times New Roman"/>
          <w:b/>
          <w:bCs/>
        </w:rPr>
        <w:t>-</w:t>
      </w:r>
      <w:r w:rsidR="0017322A" w:rsidRPr="00F22DF4">
        <w:rPr>
          <w:rFonts w:eastAsia="Times New Roman"/>
          <w:b/>
          <w:bCs/>
        </w:rPr>
        <w:t>September 2021, more than 2.7 million people, or 38 per cent of the population, had completed their first dose of vaccination</w:t>
      </w:r>
      <w:r w:rsidR="0017322A" w:rsidRPr="0017322A">
        <w:rPr>
          <w:rFonts w:eastAsia="Times New Roman"/>
        </w:rPr>
        <w:t xml:space="preserve">, and </w:t>
      </w:r>
      <w:r w:rsidR="0017322A">
        <w:rPr>
          <w:rFonts w:eastAsia="Times New Roman"/>
        </w:rPr>
        <w:t>m</w:t>
      </w:r>
      <w:r w:rsidR="0017322A" w:rsidRPr="0017322A">
        <w:rPr>
          <w:rFonts w:eastAsia="Times New Roman"/>
        </w:rPr>
        <w:t>ore than 1.9 million people</w:t>
      </w:r>
      <w:r w:rsidR="0017322A">
        <w:rPr>
          <w:rFonts w:eastAsia="Times New Roman"/>
        </w:rPr>
        <w:t>, or 26 per cent, had</w:t>
      </w:r>
      <w:r w:rsidR="0017322A" w:rsidRPr="0017322A">
        <w:rPr>
          <w:rFonts w:eastAsia="Times New Roman"/>
        </w:rPr>
        <w:t xml:space="preserve"> completed </w:t>
      </w:r>
      <w:r w:rsidR="0017322A">
        <w:rPr>
          <w:rFonts w:eastAsia="Times New Roman"/>
        </w:rPr>
        <w:t>their second</w:t>
      </w:r>
      <w:r w:rsidR="0017322A" w:rsidRPr="0017322A">
        <w:rPr>
          <w:rFonts w:eastAsia="Times New Roman"/>
        </w:rPr>
        <w:t>.</w:t>
      </w:r>
      <w:r w:rsidR="00166026">
        <w:rPr>
          <w:rFonts w:eastAsia="Times New Roman"/>
        </w:rPr>
        <w:t xml:space="preserve"> </w:t>
      </w:r>
    </w:p>
    <w:p w14:paraId="67D7E0BB" w14:textId="61732638" w:rsidR="00E31023" w:rsidRPr="00166026" w:rsidRDefault="003D5386" w:rsidP="00DF7496">
      <w:pPr>
        <w:suppressAutoHyphens w:val="0"/>
        <w:spacing w:before="0" w:line="240" w:lineRule="auto"/>
        <w:rPr>
          <w:rFonts w:eastAsia="Times New Roman"/>
        </w:rPr>
      </w:pPr>
      <w:r w:rsidRPr="003D5386">
        <w:rPr>
          <w:rFonts w:eastAsia="Times New Roman"/>
        </w:rPr>
        <w:t>Recent</w:t>
      </w:r>
      <w:r w:rsidR="00E31023" w:rsidRPr="003D5386">
        <w:rPr>
          <w:rFonts w:eastAsia="Times New Roman"/>
        </w:rPr>
        <w:t xml:space="preserve"> lockdowns </w:t>
      </w:r>
      <w:r w:rsidRPr="00DF7496">
        <w:rPr>
          <w:rFonts w:eastAsia="Times New Roman"/>
        </w:rPr>
        <w:t>are</w:t>
      </w:r>
      <w:r w:rsidR="00C361D0">
        <w:rPr>
          <w:rFonts w:eastAsia="Times New Roman"/>
        </w:rPr>
        <w:t xml:space="preserve"> further</w:t>
      </w:r>
      <w:r w:rsidRPr="00DF7496">
        <w:rPr>
          <w:rFonts w:eastAsia="Times New Roman"/>
        </w:rPr>
        <w:t xml:space="preserve"> </w:t>
      </w:r>
      <w:r w:rsidR="00E31023" w:rsidRPr="003D5386">
        <w:rPr>
          <w:rFonts w:eastAsia="Times New Roman"/>
        </w:rPr>
        <w:t xml:space="preserve">exacerbating </w:t>
      </w:r>
      <w:r w:rsidR="00C361D0">
        <w:rPr>
          <w:rFonts w:eastAsia="Times New Roman"/>
        </w:rPr>
        <w:t xml:space="preserve">the </w:t>
      </w:r>
      <w:r w:rsidR="00E31023" w:rsidRPr="003D5386">
        <w:rPr>
          <w:rFonts w:eastAsia="Times New Roman"/>
        </w:rPr>
        <w:t>economic strain on the country.</w:t>
      </w:r>
      <w:r w:rsidR="0050043F" w:rsidRPr="003D5386">
        <w:rPr>
          <w:rFonts w:eastAsia="Times New Roman"/>
        </w:rPr>
        <w:t xml:space="preserve"> </w:t>
      </w:r>
      <w:r w:rsidR="00E31023" w:rsidRPr="00F016BA">
        <w:rPr>
          <w:rFonts w:eastAsia="Times New Roman"/>
        </w:rPr>
        <w:t xml:space="preserve">Laos’ economic growth forecast for 2021 </w:t>
      </w:r>
      <w:r w:rsidR="00E31023" w:rsidRPr="00A84F2A">
        <w:rPr>
          <w:rFonts w:eastAsia="Times New Roman"/>
        </w:rPr>
        <w:t xml:space="preserve">has </w:t>
      </w:r>
      <w:r w:rsidR="00E31023" w:rsidRPr="00F22DF4">
        <w:rPr>
          <w:rFonts w:eastAsia="Times New Roman"/>
          <w:b/>
          <w:bCs/>
        </w:rPr>
        <w:t xml:space="preserve">been revised down by the </w:t>
      </w:r>
      <w:r w:rsidR="006E23A2">
        <w:rPr>
          <w:rFonts w:eastAsia="Times New Roman"/>
          <w:b/>
          <w:bCs/>
        </w:rPr>
        <w:t>Asian Development Bank</w:t>
      </w:r>
      <w:r w:rsidR="00E31023" w:rsidRPr="00F22DF4">
        <w:rPr>
          <w:rFonts w:eastAsia="Times New Roman"/>
          <w:b/>
          <w:bCs/>
        </w:rPr>
        <w:t xml:space="preserve"> </w:t>
      </w:r>
      <w:r w:rsidR="00D55951">
        <w:rPr>
          <w:rFonts w:eastAsia="Times New Roman"/>
          <w:b/>
          <w:bCs/>
        </w:rPr>
        <w:t xml:space="preserve">(ADB) </w:t>
      </w:r>
      <w:r w:rsidR="00E31023" w:rsidRPr="00F22DF4">
        <w:rPr>
          <w:rFonts w:eastAsia="Times New Roman"/>
          <w:b/>
          <w:bCs/>
        </w:rPr>
        <w:t>from 4</w:t>
      </w:r>
      <w:r w:rsidR="00DE7A14">
        <w:rPr>
          <w:rFonts w:eastAsia="Times New Roman"/>
          <w:b/>
          <w:bCs/>
        </w:rPr>
        <w:t>.0</w:t>
      </w:r>
      <w:r w:rsidR="00E31023" w:rsidRPr="00F22DF4">
        <w:rPr>
          <w:rFonts w:eastAsia="Times New Roman"/>
          <w:b/>
          <w:bCs/>
        </w:rPr>
        <w:t xml:space="preserve"> to </w:t>
      </w:r>
      <w:r w:rsidR="006E23A2">
        <w:rPr>
          <w:rFonts w:eastAsia="Times New Roman"/>
          <w:b/>
          <w:bCs/>
        </w:rPr>
        <w:t>2.3</w:t>
      </w:r>
      <w:r w:rsidR="00E31023" w:rsidRPr="00F22DF4">
        <w:rPr>
          <w:rFonts w:eastAsia="Times New Roman"/>
          <w:b/>
          <w:bCs/>
        </w:rPr>
        <w:t xml:space="preserve"> per</w:t>
      </w:r>
      <w:r w:rsidR="00D2566A" w:rsidRPr="00F22DF4">
        <w:rPr>
          <w:rFonts w:eastAsia="Times New Roman"/>
          <w:b/>
          <w:bCs/>
        </w:rPr>
        <w:t xml:space="preserve"> </w:t>
      </w:r>
      <w:r w:rsidR="00E31023" w:rsidRPr="00F22DF4">
        <w:rPr>
          <w:rFonts w:eastAsia="Times New Roman"/>
          <w:b/>
          <w:bCs/>
        </w:rPr>
        <w:t>cent</w:t>
      </w:r>
      <w:r w:rsidR="00F06E31">
        <w:rPr>
          <w:rFonts w:eastAsia="Times New Roman"/>
          <w:b/>
          <w:bCs/>
        </w:rPr>
        <w:t xml:space="preserve"> (Sept 2021)</w:t>
      </w:r>
      <w:r w:rsidR="00E31023" w:rsidRPr="00F22DF4">
        <w:rPr>
          <w:rFonts w:eastAsia="Times New Roman"/>
          <w:b/>
          <w:bCs/>
        </w:rPr>
        <w:t xml:space="preserve">. </w:t>
      </w:r>
      <w:r w:rsidR="00E31023" w:rsidRPr="00F06E31">
        <w:rPr>
          <w:rFonts w:eastAsia="Times New Roman"/>
        </w:rPr>
        <w:t>The economy is expected to gradually recover in the medium term but will remain below pre-COVID growth levels, and its</w:t>
      </w:r>
      <w:r w:rsidR="005313A5" w:rsidRPr="00F06E31">
        <w:rPr>
          <w:rFonts w:eastAsia="Times New Roman"/>
        </w:rPr>
        <w:t>’</w:t>
      </w:r>
      <w:r w:rsidR="00E31023" w:rsidRPr="00F06E31">
        <w:rPr>
          <w:rFonts w:eastAsia="Times New Roman"/>
        </w:rPr>
        <w:t xml:space="preserve"> recovery will continue to depend on the performance of key trading partners</w:t>
      </w:r>
      <w:r w:rsidR="009C7E60" w:rsidRPr="00F06E31">
        <w:rPr>
          <w:rFonts w:eastAsia="Times New Roman"/>
        </w:rPr>
        <w:t xml:space="preserve"> – Thailand, </w:t>
      </w:r>
      <w:proofErr w:type="gramStart"/>
      <w:r w:rsidR="009C7E60" w:rsidRPr="00F06E31">
        <w:rPr>
          <w:rFonts w:eastAsia="Times New Roman"/>
        </w:rPr>
        <w:t>China</w:t>
      </w:r>
      <w:proofErr w:type="gramEnd"/>
      <w:r w:rsidR="009C7E60" w:rsidRPr="00F06E31">
        <w:rPr>
          <w:rFonts w:eastAsia="Times New Roman"/>
        </w:rPr>
        <w:t xml:space="preserve"> and Vietnam</w:t>
      </w:r>
      <w:r w:rsidR="00E31023" w:rsidRPr="00F06E31">
        <w:rPr>
          <w:rFonts w:eastAsia="Times New Roman"/>
        </w:rPr>
        <w:t>.</w:t>
      </w:r>
      <w:r w:rsidR="00E31023" w:rsidRPr="00F22DF4">
        <w:rPr>
          <w:rFonts w:eastAsia="Times New Roman"/>
          <w:b/>
          <w:bCs/>
          <w:color w:val="auto"/>
          <w:lang w:val="en-AU"/>
        </w:rPr>
        <w:t xml:space="preserve"> </w:t>
      </w:r>
    </w:p>
    <w:p w14:paraId="5FD55979" w14:textId="77777777" w:rsidR="00E31023" w:rsidRPr="00A21A4C" w:rsidRDefault="00E31023" w:rsidP="009D4193">
      <w:pPr>
        <w:pStyle w:val="Heading2"/>
      </w:pPr>
      <w:r w:rsidRPr="00A21A4C">
        <w:lastRenderedPageBreak/>
        <w:t>AUSTRALIA’S RESPONSE and PROGRAM HIGHLIGHTS</w:t>
      </w:r>
    </w:p>
    <w:p w14:paraId="33A217F0" w14:textId="1E295869" w:rsidR="001D3681" w:rsidRPr="00166026" w:rsidRDefault="001D3681" w:rsidP="009D4193">
      <w:pPr>
        <w:pStyle w:val="Heading3"/>
        <w:rPr>
          <w:rFonts w:asciiTheme="minorHAnsi" w:eastAsiaTheme="minorHAnsi" w:hAnsiTheme="minorHAnsi" w:cstheme="minorBidi"/>
          <w:b w:val="0"/>
          <w:bCs w:val="0"/>
          <w:i w:val="0"/>
        </w:rPr>
      </w:pPr>
      <w:r w:rsidRPr="00166026">
        <w:rPr>
          <w:rFonts w:asciiTheme="minorHAnsi" w:eastAsiaTheme="minorHAnsi" w:hAnsiTheme="minorHAnsi" w:cstheme="minorBidi"/>
          <w:b w:val="0"/>
          <w:bCs w:val="0"/>
          <w:i w:val="0"/>
        </w:rPr>
        <w:t xml:space="preserve">Australia’s development program continues to align with Lao priorities. </w:t>
      </w:r>
      <w:r w:rsidR="0003160F" w:rsidRPr="00166026">
        <w:rPr>
          <w:rFonts w:asciiTheme="minorHAnsi" w:eastAsiaTheme="minorHAnsi" w:hAnsiTheme="minorHAnsi" w:cstheme="minorBidi"/>
          <w:b w:val="0"/>
          <w:bCs w:val="0"/>
          <w:i w:val="0"/>
        </w:rPr>
        <w:t>In a challengin</w:t>
      </w:r>
      <w:r w:rsidR="00943280" w:rsidRPr="00166026">
        <w:rPr>
          <w:rFonts w:asciiTheme="minorHAnsi" w:eastAsiaTheme="minorHAnsi" w:hAnsiTheme="minorHAnsi" w:cstheme="minorBidi"/>
          <w:b w:val="0"/>
          <w:bCs w:val="0"/>
          <w:i w:val="0"/>
        </w:rPr>
        <w:t>g environment,</w:t>
      </w:r>
      <w:r w:rsidRPr="00166026">
        <w:rPr>
          <w:rFonts w:asciiTheme="minorHAnsi" w:eastAsiaTheme="minorHAnsi" w:hAnsiTheme="minorHAnsi" w:cstheme="minorBidi"/>
          <w:b w:val="0"/>
          <w:bCs w:val="0"/>
          <w:i w:val="0"/>
        </w:rPr>
        <w:t xml:space="preserve"> our investments have made </w:t>
      </w:r>
      <w:r w:rsidR="0003160F" w:rsidRPr="00166026">
        <w:rPr>
          <w:rFonts w:asciiTheme="minorHAnsi" w:eastAsiaTheme="minorHAnsi" w:hAnsiTheme="minorHAnsi" w:cstheme="minorBidi"/>
          <w:b w:val="0"/>
          <w:bCs w:val="0"/>
          <w:i w:val="0"/>
        </w:rPr>
        <w:t>satisfactory</w:t>
      </w:r>
      <w:r w:rsidRPr="00166026">
        <w:rPr>
          <w:rFonts w:asciiTheme="minorHAnsi" w:eastAsiaTheme="minorHAnsi" w:hAnsiTheme="minorHAnsi" w:cstheme="minorBidi"/>
          <w:b w:val="0"/>
          <w:bCs w:val="0"/>
          <w:i w:val="0"/>
        </w:rPr>
        <w:t xml:space="preserve"> progress </w:t>
      </w:r>
      <w:r w:rsidR="0003160F" w:rsidRPr="00166026">
        <w:rPr>
          <w:rFonts w:asciiTheme="minorHAnsi" w:eastAsiaTheme="minorHAnsi" w:hAnsiTheme="minorHAnsi" w:cstheme="minorBidi"/>
          <w:b w:val="0"/>
          <w:bCs w:val="0"/>
          <w:i w:val="0"/>
        </w:rPr>
        <w:t>with only two investments showing a decline in effectiveness</w:t>
      </w:r>
      <w:r w:rsidR="00831713" w:rsidRPr="00166026">
        <w:rPr>
          <w:rFonts w:asciiTheme="minorHAnsi" w:eastAsiaTheme="minorHAnsi" w:hAnsiTheme="minorHAnsi" w:cstheme="minorBidi"/>
          <w:b w:val="0"/>
          <w:bCs w:val="0"/>
          <w:i w:val="0"/>
        </w:rPr>
        <w:t xml:space="preserve"> for the reporting period</w:t>
      </w:r>
      <w:r w:rsidRPr="00166026">
        <w:rPr>
          <w:rFonts w:asciiTheme="minorHAnsi" w:eastAsiaTheme="minorHAnsi" w:hAnsiTheme="minorHAnsi" w:cstheme="minorBidi"/>
          <w:b w:val="0"/>
          <w:bCs w:val="0"/>
          <w:i w:val="0"/>
        </w:rPr>
        <w:t>.</w:t>
      </w:r>
    </w:p>
    <w:p w14:paraId="17A1CAA4" w14:textId="77777777" w:rsidR="001D3681" w:rsidRDefault="001D3681" w:rsidP="009D4193">
      <w:pPr>
        <w:pStyle w:val="Heading3"/>
      </w:pPr>
    </w:p>
    <w:p w14:paraId="16D6543F" w14:textId="6C7D2282" w:rsidR="00E31023" w:rsidRPr="00456799" w:rsidRDefault="00E31023" w:rsidP="009D4193">
      <w:pPr>
        <w:pStyle w:val="Heading3"/>
      </w:pPr>
      <w:r w:rsidRPr="00456799">
        <w:t xml:space="preserve">Health Security </w:t>
      </w:r>
    </w:p>
    <w:p w14:paraId="2A5E1C8C" w14:textId="280E861A" w:rsidR="00F9210B" w:rsidRPr="00DF7496" w:rsidRDefault="00E31023" w:rsidP="00DF7496">
      <w:pPr>
        <w:suppressAutoHyphens w:val="0"/>
        <w:spacing w:before="0" w:line="240" w:lineRule="auto"/>
      </w:pPr>
      <w:r w:rsidRPr="00D43256">
        <w:t xml:space="preserve">Australia supported the Lao Government to implement its </w:t>
      </w:r>
      <w:r w:rsidRPr="00F22DF4">
        <w:rPr>
          <w:b/>
          <w:bCs/>
        </w:rPr>
        <w:t>National COVID-19 Strategic Preparedness and Response Plan for Health (2020-25)</w:t>
      </w:r>
      <w:r w:rsidRPr="00D43256">
        <w:t xml:space="preserve"> and to improve health security in Laos through </w:t>
      </w:r>
      <w:r w:rsidRPr="00F22DF4">
        <w:t>a $4.8 m</w:t>
      </w:r>
      <w:r w:rsidR="002F138B" w:rsidRPr="00F22DF4">
        <w:t>illion</w:t>
      </w:r>
      <w:r w:rsidRPr="00F22DF4">
        <w:t xml:space="preserve"> COVID-19 Response Package.</w:t>
      </w:r>
      <w:r w:rsidRPr="00D43256">
        <w:t xml:space="preserve"> Through this package, Australia, in partnership with </w:t>
      </w:r>
      <w:r w:rsidR="002F138B">
        <w:t xml:space="preserve">the </w:t>
      </w:r>
      <w:r w:rsidRPr="00D43256">
        <w:t xml:space="preserve">WHO, </w:t>
      </w:r>
      <w:r w:rsidRPr="00F22DF4">
        <w:t xml:space="preserve">provided technical assistance to the Ministry of Health to </w:t>
      </w:r>
      <w:r w:rsidRPr="00026520">
        <w:t>finalise the national clinical management guidelines for COVID-19</w:t>
      </w:r>
      <w:r w:rsidRPr="00F22DF4">
        <w:t xml:space="preserve"> and provided the related training to 115 doctors and nurses (64 </w:t>
      </w:r>
      <w:r w:rsidR="00191D5F" w:rsidRPr="00F22DF4">
        <w:t>per cent</w:t>
      </w:r>
      <w:r w:rsidRPr="00F22DF4">
        <w:t xml:space="preserve"> </w:t>
      </w:r>
      <w:r w:rsidR="00DD7FF7">
        <w:t>women</w:t>
      </w:r>
      <w:r w:rsidRPr="00F22DF4">
        <w:t>) from all central and provinc</w:t>
      </w:r>
      <w:r w:rsidRPr="00D43256">
        <w:t>ial hospitals. Australia also worked with Population Services International to strengthen public health emergency operations centres through provision of training on notifiable disease surveillance to 847 health officials at all levels.</w:t>
      </w:r>
    </w:p>
    <w:p w14:paraId="129BA005" w14:textId="2FC3B74D" w:rsidR="00E31023" w:rsidRDefault="00F9210B" w:rsidP="00BB1C3F">
      <w:pPr>
        <w:suppressAutoHyphens w:val="0"/>
        <w:spacing w:before="0" w:line="240" w:lineRule="auto"/>
      </w:pPr>
      <w:r>
        <w:t xml:space="preserve">With </w:t>
      </w:r>
      <w:r w:rsidR="002F138B">
        <w:t xml:space="preserve">the International </w:t>
      </w:r>
      <w:r w:rsidR="00E11496">
        <w:t>O</w:t>
      </w:r>
      <w:r w:rsidR="002F138B">
        <w:t>rgani</w:t>
      </w:r>
      <w:r w:rsidR="00E11496">
        <w:t>z</w:t>
      </w:r>
      <w:r w:rsidR="002F138B">
        <w:t>ation for Migration</w:t>
      </w:r>
      <w:r w:rsidR="00D55951">
        <w:t xml:space="preserve"> (IOM)</w:t>
      </w:r>
      <w:r w:rsidR="00E46854">
        <w:t>,</w:t>
      </w:r>
      <w:r>
        <w:t xml:space="preserve"> </w:t>
      </w:r>
      <w:r w:rsidR="00262F5C" w:rsidRPr="00262F5C">
        <w:t xml:space="preserve">Australia </w:t>
      </w:r>
      <w:r w:rsidR="00262F5C">
        <w:t xml:space="preserve">has also </w:t>
      </w:r>
      <w:r w:rsidR="00262F5C" w:rsidRPr="00262F5C">
        <w:t xml:space="preserve">provided </w:t>
      </w:r>
      <w:r w:rsidR="00262F5C" w:rsidRPr="00F22DF4">
        <w:t xml:space="preserve">health and </w:t>
      </w:r>
      <w:r w:rsidR="002F138B" w:rsidRPr="00F22DF4">
        <w:t xml:space="preserve">personal protective </w:t>
      </w:r>
      <w:r w:rsidR="00262F5C" w:rsidRPr="00F22DF4">
        <w:t>equipment to the Ministry of Public Security, to</w:t>
      </w:r>
      <w:r w:rsidR="00262F5C" w:rsidRPr="00262F5C">
        <w:t xml:space="preserve"> assist with keeping frontline workers</w:t>
      </w:r>
      <w:r w:rsidR="00530F55">
        <w:t xml:space="preserve"> safe</w:t>
      </w:r>
      <w:r w:rsidR="00DD7FF7">
        <w:t xml:space="preserve">. </w:t>
      </w:r>
    </w:p>
    <w:p w14:paraId="385C3677" w14:textId="11177546" w:rsidR="0077572A" w:rsidRPr="0077572A" w:rsidRDefault="00843354" w:rsidP="0077572A">
      <w:pPr>
        <w:pStyle w:val="Bullet1"/>
        <w:numPr>
          <w:ilvl w:val="0"/>
          <w:numId w:val="0"/>
        </w:numPr>
      </w:pPr>
      <w:bookmarkStart w:id="1" w:name="_Hlk84183856"/>
      <w:bookmarkStart w:id="2" w:name="_Hlk84277967"/>
      <w:r w:rsidRPr="00F22DF4">
        <w:t>Australia has committed $15.2 million over three years (2020-23) for COVID-19 vaccine access in Laos</w:t>
      </w:r>
      <w:r>
        <w:t xml:space="preserve">, including delivery support and vaccine procurement, </w:t>
      </w:r>
      <w:r w:rsidRPr="00F22DF4">
        <w:t>drawing on</w:t>
      </w:r>
      <w:r w:rsidRPr="00F22DF4">
        <w:rPr>
          <w:b/>
          <w:bCs/>
        </w:rPr>
        <w:t xml:space="preserve"> Australia’s Regional COVID-19 Vaccine Access and Health Security Initiative (VAHSI)</w:t>
      </w:r>
      <w:r>
        <w:t xml:space="preserve">. </w:t>
      </w:r>
      <w:r w:rsidRPr="00F22DF4">
        <w:t xml:space="preserve">This is in addition to Australia’s support to the </w:t>
      </w:r>
      <w:r w:rsidR="006E23A2" w:rsidRPr="006E23A2">
        <w:t xml:space="preserve">COVID-19 Vaccines Global Access </w:t>
      </w:r>
      <w:r w:rsidR="006E23A2">
        <w:t>(</w:t>
      </w:r>
      <w:r w:rsidRPr="00F22DF4">
        <w:t>COVAX</w:t>
      </w:r>
      <w:r w:rsidR="006E23A2">
        <w:t>)</w:t>
      </w:r>
      <w:r w:rsidRPr="00F22DF4">
        <w:t xml:space="preserve"> Advance Market Commitment </w:t>
      </w:r>
      <w:r w:rsidR="00D55951">
        <w:t xml:space="preserve">(AMC) </w:t>
      </w:r>
      <w:r w:rsidRPr="00F22DF4">
        <w:t xml:space="preserve">totalling $130 million. As </w:t>
      </w:r>
      <w:proofErr w:type="gramStart"/>
      <w:r w:rsidRPr="00F22DF4">
        <w:t>at</w:t>
      </w:r>
      <w:proofErr w:type="gramEnd"/>
      <w:r w:rsidRPr="00F22DF4">
        <w:t xml:space="preserve"> 30 June</w:t>
      </w:r>
      <w:r w:rsidR="006060BA">
        <w:t xml:space="preserve"> 2021</w:t>
      </w:r>
      <w:r w:rsidRPr="00F22DF4">
        <w:t>, this global mechanism had delivered 232,620 COVID-19 vaccine doses to Laos.</w:t>
      </w:r>
      <w:bookmarkEnd w:id="1"/>
      <w:r>
        <w:t xml:space="preserve"> </w:t>
      </w:r>
      <w:r w:rsidRPr="00DE6F40">
        <w:t xml:space="preserve">Australia’s significant contribution to </w:t>
      </w:r>
      <w:r w:rsidR="006E23A2">
        <w:t>Gavi, the Vaccine Alliance (Gavi)</w:t>
      </w:r>
      <w:r w:rsidR="006E23A2" w:rsidRPr="00DE6F40">
        <w:t xml:space="preserve"> </w:t>
      </w:r>
      <w:r w:rsidRPr="00DE6F40">
        <w:t xml:space="preserve">routine immunisation programs continues to bolster the prosperity, stability, and health security of our region. </w:t>
      </w:r>
      <w:r w:rsidRPr="00F22DF4">
        <w:t xml:space="preserve">In 2020, </w:t>
      </w:r>
      <w:r w:rsidR="006E23A2">
        <w:t>Gavi</w:t>
      </w:r>
      <w:r w:rsidR="006E23A2" w:rsidRPr="00F22DF4">
        <w:t xml:space="preserve"> </w:t>
      </w:r>
      <w:r w:rsidRPr="00F22DF4">
        <w:t>provided USD2.1 million in support to Laos.</w:t>
      </w:r>
      <w:bookmarkEnd w:id="2"/>
    </w:p>
    <w:p w14:paraId="064329C8" w14:textId="48E23DB4" w:rsidR="00F856DD" w:rsidRDefault="00F856DD" w:rsidP="00DF7496">
      <w:pPr>
        <w:widowControl w:val="0"/>
        <w:suppressAutoHyphens w:val="0"/>
        <w:autoSpaceDE w:val="0"/>
        <w:autoSpaceDN w:val="0"/>
        <w:adjustRightInd w:val="0"/>
        <w:spacing w:before="0" w:line="240" w:lineRule="auto"/>
      </w:pPr>
      <w:r w:rsidRPr="00F22DF4">
        <w:rPr>
          <w:b/>
          <w:bCs/>
        </w:rPr>
        <w:t xml:space="preserve">A pilot referral pathway was implemented in 2020-2021 in </w:t>
      </w:r>
      <w:proofErr w:type="spellStart"/>
      <w:r w:rsidRPr="00F22DF4">
        <w:rPr>
          <w:b/>
          <w:bCs/>
        </w:rPr>
        <w:t>Savannakhet</w:t>
      </w:r>
      <w:proofErr w:type="spellEnd"/>
      <w:r w:rsidR="0017322A" w:rsidRPr="00F22DF4">
        <w:rPr>
          <w:b/>
          <w:bCs/>
        </w:rPr>
        <w:t xml:space="preserve"> </w:t>
      </w:r>
      <w:r w:rsidR="00E46854" w:rsidRPr="00F22DF4">
        <w:rPr>
          <w:b/>
          <w:bCs/>
        </w:rPr>
        <w:t>P</w:t>
      </w:r>
      <w:r w:rsidR="0017322A" w:rsidRPr="00F22DF4">
        <w:rPr>
          <w:b/>
          <w:bCs/>
        </w:rPr>
        <w:t>rovince</w:t>
      </w:r>
      <w:r w:rsidRPr="00F22DF4">
        <w:rPr>
          <w:b/>
          <w:bCs/>
        </w:rPr>
        <w:t>,</w:t>
      </w:r>
      <w:r>
        <w:t xml:space="preserve"> as part of the new Australian funded </w:t>
      </w:r>
      <w:r w:rsidR="002F138B" w:rsidRPr="002F138B">
        <w:t xml:space="preserve">United Nations Population Fund </w:t>
      </w:r>
      <w:r w:rsidR="002F138B">
        <w:t>(</w:t>
      </w:r>
      <w:r>
        <w:t>UNFPA</w:t>
      </w:r>
      <w:r w:rsidR="002F138B">
        <w:t>)</w:t>
      </w:r>
      <w:r>
        <w:t xml:space="preserve"> program to establish a referral pathway </w:t>
      </w:r>
      <w:r w:rsidRPr="00F22DF4">
        <w:t xml:space="preserve">for women and girls' </w:t>
      </w:r>
      <w:r w:rsidR="00E90686" w:rsidRPr="00F22DF4">
        <w:t xml:space="preserve">survivors </w:t>
      </w:r>
      <w:r w:rsidRPr="00F22DF4">
        <w:t xml:space="preserve">of </w:t>
      </w:r>
      <w:r w:rsidRPr="00026520">
        <w:t>gender-based violence</w:t>
      </w:r>
      <w:r w:rsidR="002F138B" w:rsidRPr="00026520">
        <w:t xml:space="preserve"> which has been</w:t>
      </w:r>
      <w:r w:rsidRPr="00026520">
        <w:t xml:space="preserve"> </w:t>
      </w:r>
      <w:r w:rsidR="002F138B" w:rsidRPr="00F22DF4">
        <w:t>exacerbated</w:t>
      </w:r>
      <w:r w:rsidR="00E46854" w:rsidRPr="00F22DF4">
        <w:t xml:space="preserve"> during</w:t>
      </w:r>
      <w:r w:rsidRPr="00F22DF4">
        <w:t xml:space="preserve"> COVID-19. A total of 620 women and men received counselling and assistance from the Lao Women’s Union, police, health, labour, social </w:t>
      </w:r>
      <w:proofErr w:type="gramStart"/>
      <w:r w:rsidRPr="00F22DF4">
        <w:t>welfare</w:t>
      </w:r>
      <w:proofErr w:type="gramEnd"/>
      <w:r w:rsidRPr="00F22DF4">
        <w:t xml:space="preserve"> an</w:t>
      </w:r>
      <w:r>
        <w:t>d education</w:t>
      </w:r>
      <w:r w:rsidR="00182B1A">
        <w:t xml:space="preserve"> departments</w:t>
      </w:r>
      <w:r>
        <w:t>. Of these</w:t>
      </w:r>
      <w:r w:rsidR="00831713">
        <w:t>,</w:t>
      </w:r>
      <w:r>
        <w:t xml:space="preserve"> a total of 150 men in piloted villages received trainings on gender, power, human rights, sexual and reproductive health</w:t>
      </w:r>
      <w:r w:rsidR="002F138B">
        <w:t>,</w:t>
      </w:r>
      <w:r>
        <w:t xml:space="preserve"> pav</w:t>
      </w:r>
      <w:r w:rsidR="002F138B">
        <w:t>ing</w:t>
      </w:r>
      <w:r>
        <w:t xml:space="preserve"> the way for villages to challenge and transform harmful gender norms.</w:t>
      </w:r>
    </w:p>
    <w:p w14:paraId="20783B78" w14:textId="75BBD300" w:rsidR="0087096B" w:rsidRPr="00611676" w:rsidRDefault="00E31023" w:rsidP="009D4193">
      <w:pPr>
        <w:pStyle w:val="Heading3"/>
      </w:pPr>
      <w:r w:rsidRPr="00611676">
        <w:t>Stability</w:t>
      </w:r>
    </w:p>
    <w:p w14:paraId="6097D971" w14:textId="511EB8CB" w:rsidR="00041FBA" w:rsidRDefault="00041FBA" w:rsidP="00041FBA">
      <w:pPr>
        <w:suppressAutoHyphens w:val="0"/>
        <w:spacing w:before="0" w:line="240" w:lineRule="auto"/>
      </w:pPr>
      <w:bookmarkStart w:id="3" w:name="_Hlk83131101"/>
      <w:r w:rsidRPr="004B1EE6">
        <w:t>Australia’s advocacy and leadership in the education sector has helped keep the focus on improving learning outcomes for primary school children, a key priority for the Ministry of Education and Sports (</w:t>
      </w:r>
      <w:proofErr w:type="spellStart"/>
      <w:r w:rsidRPr="004B1EE6">
        <w:t>MoES</w:t>
      </w:r>
      <w:proofErr w:type="spellEnd"/>
      <w:r w:rsidRPr="004B1EE6">
        <w:t xml:space="preserve">) and a focus </w:t>
      </w:r>
      <w:r w:rsidR="00530F55">
        <w:t>of</w:t>
      </w:r>
      <w:r w:rsidRPr="004B1EE6">
        <w:t xml:space="preserve"> </w:t>
      </w:r>
      <w:r w:rsidR="00530F55">
        <w:t>its</w:t>
      </w:r>
      <w:r w:rsidR="00EC1C25">
        <w:t xml:space="preserve"> </w:t>
      </w:r>
      <w:r w:rsidRPr="004B1EE6">
        <w:t xml:space="preserve">Development Plan 2021-25. </w:t>
      </w:r>
      <w:r w:rsidR="004B1EE6" w:rsidRPr="004B1EE6">
        <w:t xml:space="preserve">Through our collaboration with other partners this issue is raised at Education Sector Working Group meetings and will be addressed at the Annual Roundtable </w:t>
      </w:r>
      <w:r w:rsidR="00530F55">
        <w:t xml:space="preserve">meeting </w:t>
      </w:r>
      <w:r w:rsidR="004B1EE6" w:rsidRPr="004B1EE6">
        <w:t>of senior government officials.</w:t>
      </w:r>
    </w:p>
    <w:p w14:paraId="4DE94FA0" w14:textId="0FCC9493" w:rsidR="00E31023" w:rsidRPr="00A84F2A" w:rsidRDefault="00E31023" w:rsidP="00DF7496">
      <w:pPr>
        <w:suppressAutoHyphens w:val="0"/>
        <w:spacing w:before="0" w:line="240" w:lineRule="auto"/>
      </w:pPr>
      <w:r w:rsidRPr="00A84F2A">
        <w:t xml:space="preserve">Australian support through </w:t>
      </w:r>
      <w:r w:rsidR="00FD3BF4">
        <w:t>our signature</w:t>
      </w:r>
      <w:r w:rsidR="00FD3BF4" w:rsidRPr="00A84F2A">
        <w:t xml:space="preserve"> </w:t>
      </w:r>
      <w:r w:rsidRPr="00CD2329">
        <w:t>Basic Education Quality and Access for Laos</w:t>
      </w:r>
      <w:r w:rsidRPr="000069E8">
        <w:t xml:space="preserve"> (BEQUAL)</w:t>
      </w:r>
      <w:r w:rsidRPr="00A84F2A">
        <w:t xml:space="preserve"> </w:t>
      </w:r>
      <w:r w:rsidR="00182B1A">
        <w:t>p</w:t>
      </w:r>
      <w:r w:rsidRPr="00A84F2A">
        <w:t>rogram has contributed to the</w:t>
      </w:r>
      <w:r w:rsidR="002F138B">
        <w:t xml:space="preserve"> </w:t>
      </w:r>
      <w:proofErr w:type="spellStart"/>
      <w:r w:rsidR="00E46854">
        <w:t>MoES</w:t>
      </w:r>
      <w:proofErr w:type="spellEnd"/>
      <w:r w:rsidR="002F138B">
        <w:t>’</w:t>
      </w:r>
      <w:r w:rsidR="00E46854">
        <w:t xml:space="preserve"> </w:t>
      </w:r>
      <w:r w:rsidRPr="00A84F2A">
        <w:t>work in ensuring learning can continue in a safe environment</w:t>
      </w:r>
      <w:r w:rsidR="00F277E0">
        <w:t xml:space="preserve"> during the pandemic</w:t>
      </w:r>
      <w:r w:rsidRPr="00A84F2A">
        <w:t xml:space="preserve">. </w:t>
      </w:r>
      <w:r w:rsidRPr="00F22DF4">
        <w:rPr>
          <w:b/>
          <w:bCs/>
        </w:rPr>
        <w:t xml:space="preserve">BEQUAL supported </w:t>
      </w:r>
      <w:proofErr w:type="spellStart"/>
      <w:r w:rsidRPr="00F22DF4">
        <w:rPr>
          <w:b/>
          <w:bCs/>
        </w:rPr>
        <w:t>MoES</w:t>
      </w:r>
      <w:proofErr w:type="spellEnd"/>
      <w:r w:rsidRPr="00F22DF4">
        <w:rPr>
          <w:b/>
          <w:bCs/>
        </w:rPr>
        <w:t xml:space="preserve"> to address COVID-19 challenges by broadcasting teaching and learning programs on television during lockdowns</w:t>
      </w:r>
      <w:r w:rsidR="00CD2B1A">
        <w:t>,</w:t>
      </w:r>
      <w:r w:rsidRPr="00A84F2A">
        <w:t xml:space="preserve"> introducing a blended learning pilot with a mix of online and face-to-face learning for trainers</w:t>
      </w:r>
      <w:r w:rsidR="00CD2B1A">
        <w:t>,</w:t>
      </w:r>
      <w:r w:rsidRPr="00A84F2A">
        <w:t xml:space="preserve"> and providing hand sanitisers for </w:t>
      </w:r>
      <w:proofErr w:type="spellStart"/>
      <w:r w:rsidRPr="00A84F2A">
        <w:t>MoES</w:t>
      </w:r>
      <w:proofErr w:type="spellEnd"/>
      <w:r w:rsidRPr="00A84F2A">
        <w:t xml:space="preserve"> staff</w:t>
      </w:r>
      <w:r w:rsidRPr="00F22DF4">
        <w:rPr>
          <w:b/>
          <w:bCs/>
        </w:rPr>
        <w:t>. </w:t>
      </w:r>
      <w:r w:rsidR="00530F55" w:rsidRPr="00F22DF4">
        <w:t>Online t</w:t>
      </w:r>
      <w:r w:rsidRPr="00F22DF4">
        <w:t>eaching and learning materials developed with BEQUAL</w:t>
      </w:r>
      <w:r w:rsidRPr="00A84F2A">
        <w:t xml:space="preserve"> support are now available to teachers and students across Laos supported by the Global Partnership for Education. </w:t>
      </w:r>
    </w:p>
    <w:p w14:paraId="0AA07D87" w14:textId="04431BF9" w:rsidR="00E31023" w:rsidRDefault="00E31023" w:rsidP="00DF7496">
      <w:pPr>
        <w:suppressAutoHyphens w:val="0"/>
        <w:spacing w:before="0" w:line="240" w:lineRule="auto"/>
      </w:pPr>
      <w:r w:rsidRPr="00A84F2A">
        <w:t xml:space="preserve">Despite the impact of COVID-19 in 2020-21, Australia successfully </w:t>
      </w:r>
      <w:r w:rsidRPr="0004067C">
        <w:t xml:space="preserve">supported </w:t>
      </w:r>
      <w:proofErr w:type="spellStart"/>
      <w:r w:rsidRPr="0004067C">
        <w:t>MoES</w:t>
      </w:r>
      <w:proofErr w:type="spellEnd"/>
      <w:r w:rsidRPr="0004067C">
        <w:t xml:space="preserve"> to deliver new Grade </w:t>
      </w:r>
      <w:r w:rsidR="006E23A2">
        <w:t>Two</w:t>
      </w:r>
      <w:r w:rsidRPr="0004067C">
        <w:t xml:space="preserve"> curriculum materials to 8,518 primary schools </w:t>
      </w:r>
      <w:r w:rsidRPr="00A84F2A">
        <w:t xml:space="preserve">across Laos. </w:t>
      </w:r>
      <w:r w:rsidR="0004067C">
        <w:t xml:space="preserve">A total of </w:t>
      </w:r>
      <w:r w:rsidRPr="00A84F2A">
        <w:t xml:space="preserve">161,735 Grade </w:t>
      </w:r>
      <w:r w:rsidR="006E23A2">
        <w:t>Two</w:t>
      </w:r>
      <w:r w:rsidRPr="00A84F2A">
        <w:t xml:space="preserve"> students and 9,421 Grade </w:t>
      </w:r>
      <w:r w:rsidR="006E23A2">
        <w:t>Two</w:t>
      </w:r>
      <w:r w:rsidRPr="00A84F2A">
        <w:t xml:space="preserve"> teachers were provided with textbooks, teacher guides and other supplementary materials. Targeted support for educationally disadvantaged areas also ensured teachers and students received additional support in active and inclusive learning.</w:t>
      </w:r>
    </w:p>
    <w:bookmarkEnd w:id="3"/>
    <w:p w14:paraId="49FC53B2" w14:textId="758C3223" w:rsidR="00E31023" w:rsidRPr="00D43256" w:rsidRDefault="00E31023" w:rsidP="00CD2329">
      <w:pPr>
        <w:spacing w:before="0" w:line="240" w:lineRule="auto"/>
        <w:ind w:right="-86"/>
      </w:pPr>
      <w:r w:rsidRPr="00D43256">
        <w:t xml:space="preserve">Through the COVID-19 Response Package, Australia also </w:t>
      </w:r>
      <w:r w:rsidRPr="0004067C">
        <w:t>supported nearly 9,800 disadvantage</w:t>
      </w:r>
      <w:r w:rsidR="00FD3BF4" w:rsidRPr="0004067C">
        <w:t>d</w:t>
      </w:r>
      <w:r w:rsidRPr="00191D5F">
        <w:t xml:space="preserve"> children in remote areas to return to school</w:t>
      </w:r>
      <w:r w:rsidRPr="00D43256">
        <w:t xml:space="preserve"> and continue their learning </w:t>
      </w:r>
      <w:r w:rsidR="00CD2B1A">
        <w:t>in</w:t>
      </w:r>
      <w:r w:rsidRPr="00D43256">
        <w:t xml:space="preserve"> safe and equipped learning environment</w:t>
      </w:r>
      <w:r w:rsidR="00F277E0">
        <w:t>s</w:t>
      </w:r>
      <w:r w:rsidRPr="00D43256">
        <w:t xml:space="preserve"> through the provision of learning materials, cash transfer</w:t>
      </w:r>
      <w:r w:rsidR="00F277E0">
        <w:t>s</w:t>
      </w:r>
      <w:r w:rsidRPr="00D43256">
        <w:t>, hygiene kits, handwashing station</w:t>
      </w:r>
      <w:r w:rsidR="00182B1A">
        <w:t>s</w:t>
      </w:r>
      <w:r w:rsidRPr="00D43256">
        <w:t xml:space="preserve"> and training to teachers on COVID-19 prevention. </w:t>
      </w:r>
    </w:p>
    <w:p w14:paraId="15B3C9F8" w14:textId="10994ACE" w:rsidR="001274AA" w:rsidRPr="00DF7496" w:rsidRDefault="001274AA" w:rsidP="00DF7496">
      <w:pPr>
        <w:spacing w:before="0" w:line="240" w:lineRule="auto"/>
      </w:pPr>
      <w:r w:rsidRPr="001274AA">
        <w:rPr>
          <w:rFonts w:eastAsia="Times New Roman"/>
        </w:rPr>
        <w:lastRenderedPageBreak/>
        <w:t>Under the 2021 Human Rights Technical Cooperation Phase II, the Australian Human Rights Commission and the Laos’ Ministry of Foreign Affairs jointly organi</w:t>
      </w:r>
      <w:r w:rsidR="00573D37">
        <w:rPr>
          <w:rFonts w:eastAsia="Times New Roman"/>
        </w:rPr>
        <w:t>s</w:t>
      </w:r>
      <w:r w:rsidRPr="001274AA">
        <w:rPr>
          <w:rFonts w:eastAsia="Times New Roman"/>
        </w:rPr>
        <w:t>ed a workshop on the Lao PDR National Disability Strategy and Policy</w:t>
      </w:r>
      <w:r w:rsidRPr="00DF7496">
        <w:t xml:space="preserve">. </w:t>
      </w:r>
      <w:r w:rsidR="00573D37">
        <w:t>Twenty-five</w:t>
      </w:r>
      <w:r w:rsidRPr="00DF7496">
        <w:t xml:space="preserve"> participants from government and non-governmental organi</w:t>
      </w:r>
      <w:r w:rsidR="00573D37">
        <w:t>s</w:t>
      </w:r>
      <w:r w:rsidRPr="00DF7496">
        <w:t xml:space="preserve">ations, including </w:t>
      </w:r>
      <w:r w:rsidR="00CD2B1A">
        <w:t>men and women</w:t>
      </w:r>
      <w:r w:rsidR="00CD2B1A" w:rsidRPr="00DF7496">
        <w:t xml:space="preserve"> </w:t>
      </w:r>
      <w:r w:rsidRPr="00DF7496">
        <w:t>with disabilities, discussed subtopics related to the National Strategic Plan and Government Policies for People with Disabilities in Lao</w:t>
      </w:r>
      <w:r w:rsidR="00CD2B1A">
        <w:t>s</w:t>
      </w:r>
      <w:r w:rsidRPr="00DF7496">
        <w:t>.</w:t>
      </w:r>
    </w:p>
    <w:p w14:paraId="2F5C7A2E" w14:textId="6B03A8E6" w:rsidR="00F856DD" w:rsidRPr="00DF7496" w:rsidRDefault="001274AA" w:rsidP="00DF7496">
      <w:pPr>
        <w:spacing w:before="0" w:line="240" w:lineRule="auto"/>
      </w:pPr>
      <w:r w:rsidRPr="001706A2">
        <w:t xml:space="preserve">At the meeting and group discussion, </w:t>
      </w:r>
      <w:r w:rsidR="00144CAC">
        <w:t xml:space="preserve">all </w:t>
      </w:r>
      <w:r w:rsidRPr="001706A2">
        <w:t xml:space="preserve">participants </w:t>
      </w:r>
      <w:r w:rsidR="00144CAC">
        <w:t xml:space="preserve">actively </w:t>
      </w:r>
      <w:r w:rsidRPr="001706A2">
        <w:t xml:space="preserve">discussed </w:t>
      </w:r>
      <w:r w:rsidR="00CD2B1A" w:rsidRPr="001706A2">
        <w:t xml:space="preserve">a </w:t>
      </w:r>
      <w:r w:rsidRPr="00AB4187">
        <w:t>wide range of impact</w:t>
      </w:r>
      <w:r w:rsidR="00CD2B1A" w:rsidRPr="00610310">
        <w:t>s</w:t>
      </w:r>
      <w:r w:rsidRPr="00610310">
        <w:t xml:space="preserve"> and challenges of the COVID-19 outbreak among women with disabilities. </w:t>
      </w:r>
      <w:bookmarkStart w:id="4" w:name="_Hlk83131929"/>
      <w:r w:rsidR="001706A2" w:rsidRPr="00CD2329">
        <w:t>T</w:t>
      </w:r>
      <w:r w:rsidR="00CD2B1A" w:rsidRPr="001706A2">
        <w:t>his</w:t>
      </w:r>
      <w:r w:rsidRPr="001706A2">
        <w:t xml:space="preserve"> meeting</w:t>
      </w:r>
      <w:r w:rsidRPr="00AB4187">
        <w:t xml:space="preserve"> </w:t>
      </w:r>
      <w:r w:rsidR="00CD2B1A" w:rsidRPr="00610310">
        <w:t xml:space="preserve">is </w:t>
      </w:r>
      <w:r w:rsidRPr="00610310">
        <w:t xml:space="preserve">considered </w:t>
      </w:r>
      <w:r w:rsidR="00CD2B1A" w:rsidRPr="000069E8">
        <w:t xml:space="preserve">a major </w:t>
      </w:r>
      <w:r w:rsidRPr="000069E8">
        <w:t xml:space="preserve">success </w:t>
      </w:r>
      <w:r w:rsidR="001706A2" w:rsidRPr="00CD2329">
        <w:t>for</w:t>
      </w:r>
      <w:r w:rsidRPr="00AB4187">
        <w:t xml:space="preserve"> the program</w:t>
      </w:r>
      <w:r w:rsidR="00CD2B1A" w:rsidRPr="00AB4187">
        <w:t>,</w:t>
      </w:r>
      <w:r w:rsidRPr="00AB4187">
        <w:t xml:space="preserve"> </w:t>
      </w:r>
      <w:r w:rsidR="00610310">
        <w:t>providing</w:t>
      </w:r>
      <w:r w:rsidR="00610310" w:rsidRPr="00610310">
        <w:t xml:space="preserve"> </w:t>
      </w:r>
      <w:r w:rsidR="001706A2" w:rsidRPr="00CD2329">
        <w:t xml:space="preserve">vulnerable groups a rare opportunity to exchange ideas and solutions with </w:t>
      </w:r>
      <w:r w:rsidR="00D55951">
        <w:t>g</w:t>
      </w:r>
      <w:r w:rsidRPr="001706A2">
        <w:t>overnment officials</w:t>
      </w:r>
      <w:bookmarkEnd w:id="4"/>
      <w:r w:rsidRPr="00AB4187">
        <w:t>.</w:t>
      </w:r>
    </w:p>
    <w:p w14:paraId="16FB5D83" w14:textId="17918BE2" w:rsidR="00316C85" w:rsidRDefault="00316C85" w:rsidP="00316C85">
      <w:pPr>
        <w:spacing w:before="0" w:line="240" w:lineRule="auto"/>
      </w:pPr>
      <w:r>
        <w:t xml:space="preserve">As part of our </w:t>
      </w:r>
      <w:r w:rsidRPr="00F22DF4">
        <w:rPr>
          <w:b/>
          <w:bCs/>
        </w:rPr>
        <w:t>Mekong-Australia Partnership (MAP)</w:t>
      </w:r>
      <w:r>
        <w:t xml:space="preserve">, </w:t>
      </w:r>
      <w:r w:rsidRPr="00F22DF4">
        <w:rPr>
          <w:b/>
          <w:bCs/>
        </w:rPr>
        <w:t>in 2020-21 Australia provided technical assistance to the Ministry of Natural Resources and Environment and Ministry of Energy and Mines</w:t>
      </w:r>
      <w:r>
        <w:t xml:space="preserve"> to strengthen regulatory frameworks and capacity, with a focus on water resources assessment and integrated management, groundwater management, water utilisation, and dam safety. We supported a high-level policy forum to allow civil society organisations to engage directly with National Assembly and </w:t>
      </w:r>
      <w:r w:rsidR="00D55951">
        <w:t>g</w:t>
      </w:r>
      <w:r>
        <w:t>overnment officials on key issues including economic recovery from COVID-19.</w:t>
      </w:r>
    </w:p>
    <w:p w14:paraId="3D769AF6" w14:textId="2D032D7C" w:rsidR="00316C85" w:rsidRPr="00DF7496" w:rsidRDefault="00316C85" w:rsidP="00316C85">
      <w:pPr>
        <w:spacing w:before="0" w:line="240" w:lineRule="auto"/>
      </w:pPr>
      <w:r>
        <w:t xml:space="preserve">At the regional level, Australia’s support allowed </w:t>
      </w:r>
      <w:r w:rsidRPr="00F22DF4">
        <w:rPr>
          <w:b/>
          <w:bCs/>
        </w:rPr>
        <w:t>the Mekong River Commission to further enhance regional cooperation and support more sustainable hydropower development</w:t>
      </w:r>
      <w:r>
        <w:t xml:space="preserve"> – including by supporting the development of the Sustainable Hydropower Development Strategy, strengthening Joint Environmental </w:t>
      </w:r>
      <w:proofErr w:type="gramStart"/>
      <w:r>
        <w:t>Monitoring</w:t>
      </w:r>
      <w:proofErr w:type="gramEnd"/>
      <w:r>
        <w:t xml:space="preserve"> and enhancing cooperation with other regional architectures such as </w:t>
      </w:r>
      <w:r w:rsidR="006E23A2">
        <w:t xml:space="preserve">the </w:t>
      </w:r>
      <w:r w:rsidR="006E23A2" w:rsidRPr="006E23A2">
        <w:t xml:space="preserve">Association of Southeast Asian Nations </w:t>
      </w:r>
      <w:r w:rsidR="006E23A2">
        <w:t>(</w:t>
      </w:r>
      <w:r>
        <w:t>ASEAN</w:t>
      </w:r>
      <w:r w:rsidR="006E23A2">
        <w:t>)</w:t>
      </w:r>
      <w:r>
        <w:t xml:space="preserve"> and Friends of the Mekong.</w:t>
      </w:r>
    </w:p>
    <w:p w14:paraId="67A91D33" w14:textId="77777777" w:rsidR="00E31023" w:rsidRPr="00456799" w:rsidRDefault="00E31023" w:rsidP="009D4193">
      <w:pPr>
        <w:pStyle w:val="Heading3"/>
      </w:pPr>
      <w:bookmarkStart w:id="5" w:name="_Hlk83129824"/>
      <w:r w:rsidRPr="00456799">
        <w:t xml:space="preserve">Economic recovery </w:t>
      </w:r>
    </w:p>
    <w:p w14:paraId="5DD226AF" w14:textId="38585CB7" w:rsidR="00E31023" w:rsidRDefault="00E31023" w:rsidP="00DF7496">
      <w:pPr>
        <w:spacing w:before="0" w:line="240" w:lineRule="auto"/>
      </w:pPr>
      <w:bookmarkStart w:id="6" w:name="_Hlk83129834"/>
      <w:r>
        <w:t xml:space="preserve">Through COVID-19 economic recovery funding, </w:t>
      </w:r>
      <w:r w:rsidRPr="00F22DF4">
        <w:t xml:space="preserve">Australia contributed an additional </w:t>
      </w:r>
      <w:r w:rsidR="0017322A" w:rsidRPr="00F22DF4">
        <w:t>$</w:t>
      </w:r>
      <w:r w:rsidRPr="00026520">
        <w:t>1 million to the Lao PDR Competitiveness and Trade Project (LCTP) in 20</w:t>
      </w:r>
      <w:r w:rsidRPr="00F22DF4">
        <w:t>19-2020 to help improve the business environment and promote trade facilitation</w:t>
      </w:r>
      <w:r w:rsidRPr="00026520">
        <w:t xml:space="preserve">. </w:t>
      </w:r>
      <w:r w:rsidR="00CB6DCC" w:rsidRPr="00026520">
        <w:t>As a result</w:t>
      </w:r>
      <w:r w:rsidRPr="00026520">
        <w:t xml:space="preserve">, </w:t>
      </w:r>
      <w:r w:rsidRPr="00F22DF4">
        <w:t>the project increase</w:t>
      </w:r>
      <w:r w:rsidR="00CB6DCC" w:rsidRPr="00F22DF4">
        <w:t>d</w:t>
      </w:r>
      <w:r w:rsidRPr="00F22DF4">
        <w:t xml:space="preserve"> the number of grants delivered </w:t>
      </w:r>
      <w:proofErr w:type="spellStart"/>
      <w:r w:rsidRPr="00F22DF4">
        <w:t>to</w:t>
      </w:r>
      <w:proofErr w:type="spellEnd"/>
      <w:r w:rsidRPr="00F22DF4">
        <w:t xml:space="preserve"> </w:t>
      </w:r>
      <w:r w:rsidR="00D23ECE">
        <w:t>small to medium enterprises (</w:t>
      </w:r>
      <w:r w:rsidRPr="00F22DF4">
        <w:t>SMEs</w:t>
      </w:r>
      <w:r w:rsidR="00D23ECE">
        <w:t>)</w:t>
      </w:r>
      <w:r w:rsidRPr="00F22DF4">
        <w:t xml:space="preserve"> </w:t>
      </w:r>
      <w:r w:rsidR="00034258" w:rsidRPr="00F22DF4">
        <w:t>from 300 to 500</w:t>
      </w:r>
      <w:r w:rsidR="00034258">
        <w:t xml:space="preserve"> </w:t>
      </w:r>
      <w:r>
        <w:t xml:space="preserve">through the Business Assistance Facility. The project has also enabled the Ministry of Industry and Commerce to start upgrading its </w:t>
      </w:r>
      <w:r w:rsidR="00D23ECE">
        <w:t xml:space="preserve">information technology </w:t>
      </w:r>
      <w:r>
        <w:t>system, to provide better online service delivery and improve communications and outreach to vulnerable firms.</w:t>
      </w:r>
    </w:p>
    <w:p w14:paraId="6222FCC3" w14:textId="79D46C32" w:rsidR="00E31023" w:rsidRDefault="00CB6DCC" w:rsidP="00DF7496">
      <w:pPr>
        <w:spacing w:before="0" w:line="240" w:lineRule="auto"/>
      </w:pPr>
      <w:r>
        <w:t xml:space="preserve">The empowerment of women and girls will be critical to the country’s economic recovery, and </w:t>
      </w:r>
      <w:r w:rsidR="00E31023">
        <w:t xml:space="preserve">Australia </w:t>
      </w:r>
      <w:r w:rsidR="00034258">
        <w:t>continues to deliver on its</w:t>
      </w:r>
      <w:r w:rsidR="00E31023">
        <w:t xml:space="preserve"> commitment to gender equality in Laos. Using LCTP, </w:t>
      </w:r>
      <w:r w:rsidR="00E31023" w:rsidRPr="00F22DF4">
        <w:t>Australia funded a study that identified key constraints affect</w:t>
      </w:r>
      <w:r w:rsidR="00B6694E" w:rsidRPr="00026520">
        <w:t>ing</w:t>
      </w:r>
      <w:r w:rsidR="00E31023" w:rsidRPr="00026520">
        <w:t xml:space="preserve"> women-owned and women-managed enterprises</w:t>
      </w:r>
      <w:r w:rsidR="00E31023">
        <w:t xml:space="preserve"> doing business in Laos. The study</w:t>
      </w:r>
      <w:r w:rsidR="00034258">
        <w:t>,</w:t>
      </w:r>
      <w:r w:rsidR="00E31023">
        <w:t xml:space="preserve"> </w:t>
      </w:r>
      <w:r w:rsidR="00034258">
        <w:t xml:space="preserve">which will help to inform the projects’ gender action plan, </w:t>
      </w:r>
      <w:r w:rsidR="00E31023">
        <w:t xml:space="preserve">confirmed that most women-owned businesses – especially SMEs – continue to be unregistered and </w:t>
      </w:r>
      <w:r w:rsidR="00B6694E">
        <w:t xml:space="preserve">that </w:t>
      </w:r>
      <w:r w:rsidR="00E31023">
        <w:t>women ha</w:t>
      </w:r>
      <w:r w:rsidR="00B6694E">
        <w:t>ve</w:t>
      </w:r>
      <w:r w:rsidR="00E31023">
        <w:t xml:space="preserve"> gaps in their understanding of how to formalise their business.</w:t>
      </w:r>
    </w:p>
    <w:bookmarkEnd w:id="5"/>
    <w:p w14:paraId="1E1DC532" w14:textId="61A0BC0E" w:rsidR="00E31023" w:rsidRDefault="00E31023" w:rsidP="00DF7496">
      <w:pPr>
        <w:spacing w:before="0" w:line="240" w:lineRule="auto"/>
      </w:pPr>
      <w:r>
        <w:t>Under the MAP</w:t>
      </w:r>
      <w:r w:rsidR="00B6694E">
        <w:t xml:space="preserve"> economic resilience pillar</w:t>
      </w:r>
      <w:r>
        <w:t xml:space="preserve">, </w:t>
      </w:r>
      <w:r w:rsidRPr="00F22DF4">
        <w:rPr>
          <w:b/>
          <w:bCs/>
        </w:rPr>
        <w:t xml:space="preserve">Australia </w:t>
      </w:r>
      <w:r w:rsidR="0017322A" w:rsidRPr="00F22DF4">
        <w:rPr>
          <w:b/>
          <w:bCs/>
        </w:rPr>
        <w:t xml:space="preserve">contributed $4 million to </w:t>
      </w:r>
      <w:r w:rsidRPr="00F22DF4">
        <w:rPr>
          <w:b/>
          <w:bCs/>
        </w:rPr>
        <w:t xml:space="preserve">establish a program to </w:t>
      </w:r>
      <w:r w:rsidR="00316C3C" w:rsidRPr="00F22DF4">
        <w:rPr>
          <w:b/>
          <w:bCs/>
        </w:rPr>
        <w:t xml:space="preserve">improve </w:t>
      </w:r>
      <w:r w:rsidRPr="00F22DF4">
        <w:rPr>
          <w:b/>
          <w:bCs/>
        </w:rPr>
        <w:t>public financial management (PFM) in Laos</w:t>
      </w:r>
      <w:r>
        <w:t xml:space="preserve"> with the Ministry of Finance </w:t>
      </w:r>
      <w:r w:rsidR="0017322A">
        <w:t>and the World Bank</w:t>
      </w:r>
      <w:r>
        <w:t>. The PFM project is part of a broader focus on improving economic decision-making in Laos</w:t>
      </w:r>
      <w:r w:rsidR="00B6694E">
        <w:t>.</w:t>
      </w:r>
      <w:r>
        <w:t xml:space="preserve"> </w:t>
      </w:r>
      <w:r w:rsidR="00B6694E">
        <w:t>F</w:t>
      </w:r>
      <w:r>
        <w:t>or example, using MAP to fund training with the National Assembly to better monitor the implementation of the 9th National Socio-Economic Development Plan.</w:t>
      </w:r>
      <w:bookmarkEnd w:id="6"/>
      <w:r w:rsidR="00144CAC">
        <w:t xml:space="preserve"> </w:t>
      </w:r>
      <w:r>
        <w:t>We have</w:t>
      </w:r>
      <w:r w:rsidR="00B6694E">
        <w:t xml:space="preserve"> also</w:t>
      </w:r>
      <w:r>
        <w:t xml:space="preserve"> continued to work closely with the Australian Chamber of Commerce, to understand the challenges for Australian businesses in Laos, which are also playing a part in the country’s recovery.</w:t>
      </w:r>
    </w:p>
    <w:p w14:paraId="370331C3" w14:textId="117BD92E" w:rsidR="007E2EA4" w:rsidRDefault="00E31023" w:rsidP="00DF7496">
      <w:pPr>
        <w:spacing w:before="0" w:line="240" w:lineRule="auto"/>
      </w:pPr>
      <w:bookmarkStart w:id="7" w:name="_Hlk83138219"/>
      <w:r>
        <w:t xml:space="preserve">Through the Laos-Australia Institute (LAI), </w:t>
      </w:r>
      <w:r w:rsidRPr="00F22DF4">
        <w:rPr>
          <w:b/>
          <w:bCs/>
        </w:rPr>
        <w:t xml:space="preserve">Australia </w:t>
      </w:r>
      <w:r w:rsidR="00262F5C" w:rsidRPr="00F22DF4">
        <w:rPr>
          <w:b/>
          <w:bCs/>
        </w:rPr>
        <w:t>continued to support Laos’ human resources development by providing advice on human resource capabilities and civil service capacity</w:t>
      </w:r>
      <w:r w:rsidR="00262F5C">
        <w:t>.</w:t>
      </w:r>
      <w:r w:rsidR="00EF06BD">
        <w:t xml:space="preserve"> </w:t>
      </w:r>
      <w:r w:rsidR="00F47548">
        <w:t xml:space="preserve">Despite challenging circumstances, </w:t>
      </w:r>
      <w:r w:rsidR="00262F5C">
        <w:t xml:space="preserve">LAI </w:t>
      </w:r>
      <w:r>
        <w:t xml:space="preserve">has continued to deliver a range of human resource development activities </w:t>
      </w:r>
      <w:r w:rsidR="00F47548">
        <w:t xml:space="preserve">such as Workforce Planning training for ministry officials and </w:t>
      </w:r>
      <w:r w:rsidR="00B6694E">
        <w:t xml:space="preserve">preparation courses for the </w:t>
      </w:r>
      <w:r w:rsidR="00B6694E" w:rsidRPr="00B6694E">
        <w:t>International English Language Testing System</w:t>
      </w:r>
      <w:r>
        <w:t>.</w:t>
      </w:r>
      <w:bookmarkStart w:id="8" w:name="_Hlk83130785"/>
    </w:p>
    <w:p w14:paraId="7C5D1CD8" w14:textId="4D225871" w:rsidR="00262F5C" w:rsidRDefault="007E2EA4" w:rsidP="00DF7496">
      <w:pPr>
        <w:spacing w:before="0" w:line="240" w:lineRule="auto"/>
      </w:pPr>
      <w:r w:rsidRPr="00F22DF4">
        <w:t>W</w:t>
      </w:r>
      <w:r w:rsidR="00F47548" w:rsidRPr="00F22DF4">
        <w:t xml:space="preserve">e also supported alumni to </w:t>
      </w:r>
      <w:r w:rsidR="00896309" w:rsidRPr="00026520">
        <w:t>deliver projects focussed on skills development and income generation in their communities</w:t>
      </w:r>
      <w:r w:rsidRPr="00F22DF4">
        <w:t xml:space="preserve"> through the Alumni Innovation Grants</w:t>
      </w:r>
      <w:r w:rsidR="00896309" w:rsidRPr="00F22DF4">
        <w:t>. The</w:t>
      </w:r>
      <w:r w:rsidR="00D86D0F" w:rsidRPr="00F22DF4">
        <w:t>se</w:t>
      </w:r>
      <w:r w:rsidR="00D86D0F">
        <w:t xml:space="preserve"> </w:t>
      </w:r>
      <w:r w:rsidR="00896309">
        <w:t xml:space="preserve">projects included teaching new food processing and storage techniques for small-scale farming, </w:t>
      </w:r>
      <w:proofErr w:type="gramStart"/>
      <w:r w:rsidR="00841786">
        <w:t>sewing</w:t>
      </w:r>
      <w:proofErr w:type="gramEnd"/>
      <w:r w:rsidR="00841786">
        <w:t xml:space="preserve"> and selling products</w:t>
      </w:r>
      <w:r w:rsidR="00896309">
        <w:t xml:space="preserve"> from discarded materials</w:t>
      </w:r>
      <w:r w:rsidR="00841786">
        <w:t>,</w:t>
      </w:r>
      <w:r w:rsidR="00896309">
        <w:t xml:space="preserve"> and digital skills training to engage youth in COVID-19 awareness campaigns.</w:t>
      </w:r>
      <w:bookmarkEnd w:id="8"/>
    </w:p>
    <w:p w14:paraId="60FB2436" w14:textId="3B6C0FFB" w:rsidR="00E31023" w:rsidRDefault="00E31023" w:rsidP="00DF7496">
      <w:pPr>
        <w:spacing w:before="0" w:line="240" w:lineRule="auto"/>
        <w:sectPr w:rsidR="00E31023" w:rsidSect="00DB46DC">
          <w:headerReference w:type="default" r:id="rId13"/>
          <w:type w:val="continuous"/>
          <w:pgSz w:w="11906" w:h="16838" w:code="9"/>
          <w:pgMar w:top="1559" w:right="680" w:bottom="1418" w:left="680" w:header="425" w:footer="567" w:gutter="0"/>
          <w:cols w:space="397"/>
          <w:docGrid w:linePitch="360"/>
        </w:sectPr>
      </w:pPr>
      <w:r>
        <w:t>Gender and disability inclusion remains a strong focus of our programs</w:t>
      </w:r>
      <w:r w:rsidR="00B6694E">
        <w:t xml:space="preserve">. </w:t>
      </w:r>
      <w:r w:rsidR="00D86D0F" w:rsidRPr="00D86D0F">
        <w:t xml:space="preserve">Our Leadership for Gender Inclusion program was delivered successfully in 2021, despite having to pivot mid-course due to COVID-19 lockdowns. We also successfully transitioned our Disability Inclusive English language training to online delivery to ensure students could safely continue their personal and professional development. </w:t>
      </w:r>
    </w:p>
    <w:bookmarkEnd w:id="7"/>
    <w:p w14:paraId="57E0887B" w14:textId="4DE4C0A1" w:rsidR="008C1F60" w:rsidRPr="00EC608A" w:rsidRDefault="008C1F60" w:rsidP="00DF7496">
      <w:pPr>
        <w:widowControl w:val="0"/>
        <w:suppressAutoHyphens w:val="0"/>
        <w:autoSpaceDE w:val="0"/>
        <w:autoSpaceDN w:val="0"/>
        <w:adjustRightInd w:val="0"/>
        <w:spacing w:before="60" w:line="260" w:lineRule="exact"/>
        <w:sectPr w:rsidR="008C1F60" w:rsidRPr="00EC608A" w:rsidSect="00CA5021">
          <w:type w:val="continuous"/>
          <w:pgSz w:w="11906" w:h="16838" w:code="9"/>
          <w:pgMar w:top="1559" w:right="680" w:bottom="1418" w:left="680" w:header="425" w:footer="567" w:gutter="0"/>
          <w:cols w:num="2" w:space="397"/>
          <w:titlePg/>
          <w:docGrid w:linePitch="360"/>
        </w:sectPr>
      </w:pPr>
    </w:p>
    <w:p w14:paraId="159C9321" w14:textId="32C51814" w:rsidR="00540A22" w:rsidRDefault="00540A22" w:rsidP="0066203A">
      <w:pPr>
        <w:widowControl w:val="0"/>
        <w:spacing w:before="60" w:after="120" w:line="260" w:lineRule="exact"/>
      </w:pPr>
    </w:p>
    <w:p w14:paraId="12E24BAE" w14:textId="73476810" w:rsidR="00BC1FED" w:rsidRDefault="00121DDD" w:rsidP="009D4193">
      <w:pPr>
        <w:pStyle w:val="Heading2"/>
      </w:pPr>
      <w:r>
        <w:t>Annex 1</w:t>
      </w:r>
      <w:r w:rsidR="001F7F4D" w:rsidRPr="002945C4">
        <w:t xml:space="preserve">: </w:t>
      </w:r>
      <w:r w:rsidR="00540A22">
        <w:t xml:space="preserve">Progress against </w:t>
      </w:r>
      <w:r w:rsidR="008A1503">
        <w:t xml:space="preserve">COVID-19 Response plan </w:t>
      </w:r>
      <w:r w:rsidR="00E1666D">
        <w:t>results indicators</w:t>
      </w:r>
    </w:p>
    <w:p w14:paraId="29B9FAD1" w14:textId="206F07B8" w:rsidR="00010006" w:rsidRPr="00AC73BA" w:rsidRDefault="00AC73BA" w:rsidP="009D4193">
      <w:pPr>
        <w:pStyle w:val="Heading3"/>
      </w:pPr>
      <w:r w:rsidRPr="00AC73BA">
        <w:t xml:space="preserve">Health Security </w:t>
      </w:r>
    </w:p>
    <w:tbl>
      <w:tblPr>
        <w:tblStyle w:val="TableGrid"/>
        <w:tblW w:w="1053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3823"/>
        <w:gridCol w:w="6713"/>
      </w:tblGrid>
      <w:tr w:rsidR="00F856DD" w14:paraId="228F7F02" w14:textId="77777777" w:rsidTr="00611676">
        <w:trPr>
          <w:tblHeader/>
        </w:trPr>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shd w:val="clear" w:color="auto" w:fill="A2DCD1" w:themeFill="accent1" w:themeFillTint="99"/>
          </w:tcPr>
          <w:p w14:paraId="7116F4F5" w14:textId="2BCC79D7" w:rsidR="00F856DD" w:rsidRPr="00AC1389" w:rsidRDefault="00F856DD" w:rsidP="00E31023">
            <w:pPr>
              <w:spacing w:before="0" w:after="0" w:line="240" w:lineRule="auto"/>
              <w:jc w:val="center"/>
              <w:rPr>
                <w:b/>
                <w:sz w:val="20"/>
                <w:szCs w:val="20"/>
              </w:rPr>
            </w:pPr>
            <w:r w:rsidRPr="00AC1389">
              <w:rPr>
                <w:b/>
                <w:sz w:val="20"/>
                <w:szCs w:val="20"/>
              </w:rPr>
              <w:t>Key Results Indicators</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shd w:val="clear" w:color="auto" w:fill="A2DCD1" w:themeFill="accent1" w:themeFillTint="99"/>
          </w:tcPr>
          <w:p w14:paraId="48FDACA6" w14:textId="43AD5DB8" w:rsidR="00F856DD" w:rsidRPr="00AC1389" w:rsidRDefault="00F856DD" w:rsidP="00E31023">
            <w:pPr>
              <w:spacing w:before="0" w:after="0"/>
              <w:ind w:left="100"/>
              <w:jc w:val="center"/>
              <w:rPr>
                <w:b/>
                <w:sz w:val="20"/>
                <w:szCs w:val="20"/>
              </w:rPr>
            </w:pPr>
            <w:r w:rsidRPr="00AC1389">
              <w:rPr>
                <w:b/>
                <w:sz w:val="20"/>
                <w:szCs w:val="20"/>
              </w:rPr>
              <w:t>Progress/Result</w:t>
            </w:r>
          </w:p>
        </w:tc>
      </w:tr>
      <w:tr w:rsidR="00F856DD" w14:paraId="5D4066B5" w14:textId="77777777" w:rsidTr="00C03C93">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354112BD" w14:textId="1A4E13CF" w:rsidR="00F856DD" w:rsidRPr="0077572A" w:rsidRDefault="00CB6DCC" w:rsidP="00456799">
            <w:pPr>
              <w:spacing w:before="0"/>
              <w:rPr>
                <w:sz w:val="20"/>
                <w:szCs w:val="20"/>
              </w:rPr>
            </w:pPr>
            <w:r w:rsidRPr="0077572A">
              <w:rPr>
                <w:sz w:val="20"/>
                <w:szCs w:val="20"/>
              </w:rPr>
              <w:t>N</w:t>
            </w:r>
            <w:r w:rsidR="00F856DD" w:rsidRPr="0077572A">
              <w:rPr>
                <w:sz w:val="20"/>
                <w:szCs w:val="20"/>
              </w:rPr>
              <w:t xml:space="preserve">ew or improved therapeutics, diagnostics, </w:t>
            </w:r>
            <w:proofErr w:type="gramStart"/>
            <w:r w:rsidR="00F856DD" w:rsidRPr="0077572A">
              <w:rPr>
                <w:sz w:val="20"/>
                <w:szCs w:val="20"/>
              </w:rPr>
              <w:t>vaccines</w:t>
            </w:r>
            <w:proofErr w:type="gramEnd"/>
            <w:r w:rsidR="00F856DD" w:rsidRPr="0077572A">
              <w:rPr>
                <w:sz w:val="20"/>
                <w:szCs w:val="20"/>
              </w:rPr>
              <w:t xml:space="preserve"> and additional equipment provided for health centres and provincial hospitals (targets: 6000L of environmental disinfectant, 11,320L of disinfectant/alcohol, 14,660 disposable gowns, 1</w:t>
            </w:r>
            <w:r w:rsidR="00716AC0" w:rsidRPr="0077572A">
              <w:rPr>
                <w:sz w:val="20"/>
                <w:szCs w:val="20"/>
              </w:rPr>
              <w:t>,</w:t>
            </w:r>
            <w:r w:rsidR="00F856DD" w:rsidRPr="0077572A">
              <w:rPr>
                <w:sz w:val="20"/>
                <w:szCs w:val="20"/>
              </w:rPr>
              <w:t>130 reusable aprons, 1</w:t>
            </w:r>
            <w:r w:rsidR="00716AC0" w:rsidRPr="0077572A">
              <w:rPr>
                <w:sz w:val="20"/>
                <w:szCs w:val="20"/>
              </w:rPr>
              <w:t>,</w:t>
            </w:r>
            <w:r w:rsidR="00F856DD" w:rsidRPr="0077572A">
              <w:rPr>
                <w:sz w:val="20"/>
                <w:szCs w:val="20"/>
              </w:rPr>
              <w:t xml:space="preserve">130 </w:t>
            </w:r>
            <w:r w:rsidR="004348B2" w:rsidRPr="0077572A">
              <w:rPr>
                <w:sz w:val="20"/>
                <w:szCs w:val="20"/>
              </w:rPr>
              <w:t xml:space="preserve">boxes of </w:t>
            </w:r>
            <w:r w:rsidR="00F856DD" w:rsidRPr="0077572A">
              <w:rPr>
                <w:sz w:val="20"/>
                <w:szCs w:val="20"/>
              </w:rPr>
              <w:t>rubber gloves, 100 body bags)</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6CF13874" w14:textId="405A9F87" w:rsidR="00F856DD" w:rsidRPr="0077572A" w:rsidRDefault="001102DC" w:rsidP="00456799">
            <w:pPr>
              <w:suppressAutoHyphens w:val="0"/>
              <w:spacing w:before="0" w:line="240" w:lineRule="auto"/>
              <w:rPr>
                <w:sz w:val="20"/>
                <w:szCs w:val="20"/>
              </w:rPr>
            </w:pPr>
            <w:r>
              <w:rPr>
                <w:sz w:val="20"/>
                <w:szCs w:val="20"/>
              </w:rPr>
              <w:t>P</w:t>
            </w:r>
            <w:r w:rsidRPr="00E275A8">
              <w:rPr>
                <w:sz w:val="20"/>
                <w:szCs w:val="20"/>
              </w:rPr>
              <w:t>rovided</w:t>
            </w:r>
            <w:r w:rsidRPr="00AE1BC7">
              <w:rPr>
                <w:sz w:val="20"/>
                <w:szCs w:val="20"/>
              </w:rPr>
              <w:t xml:space="preserve"> </w:t>
            </w:r>
            <w:r w:rsidR="00F856DD" w:rsidRPr="0077572A">
              <w:rPr>
                <w:sz w:val="20"/>
                <w:szCs w:val="20"/>
              </w:rPr>
              <w:t xml:space="preserve">9,910L of environmental </w:t>
            </w:r>
            <w:r w:rsidR="00AD6763" w:rsidRPr="0077572A">
              <w:rPr>
                <w:sz w:val="20"/>
                <w:szCs w:val="20"/>
              </w:rPr>
              <w:t>disinfectant</w:t>
            </w:r>
            <w:r w:rsidR="00F856DD" w:rsidRPr="0077572A">
              <w:rPr>
                <w:sz w:val="20"/>
                <w:szCs w:val="20"/>
              </w:rPr>
              <w:t>, 48,300L of alcohol, 14,600 disposa</w:t>
            </w:r>
            <w:r w:rsidR="00AD6763" w:rsidRPr="0077572A">
              <w:rPr>
                <w:sz w:val="20"/>
                <w:szCs w:val="20"/>
              </w:rPr>
              <w:t>b</w:t>
            </w:r>
            <w:r w:rsidR="00F856DD" w:rsidRPr="0077572A">
              <w:rPr>
                <w:sz w:val="20"/>
                <w:szCs w:val="20"/>
              </w:rPr>
              <w:t>l</w:t>
            </w:r>
            <w:r w:rsidR="00AD6763" w:rsidRPr="0077572A">
              <w:rPr>
                <w:sz w:val="20"/>
                <w:szCs w:val="20"/>
              </w:rPr>
              <w:t>e</w:t>
            </w:r>
            <w:r w:rsidR="00F856DD" w:rsidRPr="0077572A">
              <w:rPr>
                <w:sz w:val="20"/>
                <w:szCs w:val="20"/>
              </w:rPr>
              <w:t xml:space="preserve"> gowns, 1,130 apron</w:t>
            </w:r>
            <w:r w:rsidR="00191D5F">
              <w:rPr>
                <w:sz w:val="20"/>
                <w:szCs w:val="20"/>
              </w:rPr>
              <w:t>s</w:t>
            </w:r>
            <w:r w:rsidR="00F856DD" w:rsidRPr="0077572A">
              <w:rPr>
                <w:sz w:val="20"/>
                <w:szCs w:val="20"/>
              </w:rPr>
              <w:t xml:space="preserve">, 1,130 </w:t>
            </w:r>
            <w:r w:rsidR="004348B2" w:rsidRPr="0077572A">
              <w:rPr>
                <w:sz w:val="20"/>
                <w:szCs w:val="20"/>
              </w:rPr>
              <w:t xml:space="preserve">boxes of </w:t>
            </w:r>
            <w:r w:rsidR="00F856DD" w:rsidRPr="0077572A">
              <w:rPr>
                <w:sz w:val="20"/>
                <w:szCs w:val="20"/>
              </w:rPr>
              <w:t>rubber gloves and 100 body bags to 157 central, provincial and districts hospitals.</w:t>
            </w:r>
          </w:p>
          <w:p w14:paraId="54BC8D3D" w14:textId="1D94CC7E" w:rsidR="00AD6763" w:rsidRPr="0077572A" w:rsidRDefault="001102DC" w:rsidP="00456799">
            <w:pPr>
              <w:suppressAutoHyphens w:val="0"/>
              <w:spacing w:before="0" w:line="240" w:lineRule="auto"/>
              <w:rPr>
                <w:sz w:val="20"/>
                <w:szCs w:val="20"/>
              </w:rPr>
            </w:pPr>
            <w:r>
              <w:rPr>
                <w:sz w:val="20"/>
                <w:szCs w:val="20"/>
              </w:rPr>
              <w:t>T</w:t>
            </w:r>
            <w:r w:rsidRPr="00E275A8">
              <w:rPr>
                <w:sz w:val="20"/>
                <w:szCs w:val="20"/>
              </w:rPr>
              <w:t>rained</w:t>
            </w:r>
            <w:r w:rsidRPr="00AE1BC7">
              <w:rPr>
                <w:sz w:val="20"/>
                <w:szCs w:val="20"/>
              </w:rPr>
              <w:t xml:space="preserve"> </w:t>
            </w:r>
            <w:r w:rsidR="00F856DD" w:rsidRPr="0077572A">
              <w:rPr>
                <w:sz w:val="20"/>
                <w:szCs w:val="20"/>
              </w:rPr>
              <w:t>847 officials from the National Centre for Laboratory and Epidemiology, Provincial Health Office</w:t>
            </w:r>
            <w:r w:rsidR="00AD6763" w:rsidRPr="0077572A">
              <w:rPr>
                <w:sz w:val="20"/>
                <w:szCs w:val="20"/>
              </w:rPr>
              <w:t>s</w:t>
            </w:r>
            <w:r w:rsidR="00F856DD" w:rsidRPr="0077572A">
              <w:rPr>
                <w:sz w:val="20"/>
                <w:szCs w:val="20"/>
              </w:rPr>
              <w:t xml:space="preserve">, District Health </w:t>
            </w:r>
            <w:proofErr w:type="gramStart"/>
            <w:r w:rsidR="00F856DD" w:rsidRPr="0077572A">
              <w:rPr>
                <w:sz w:val="20"/>
                <w:szCs w:val="20"/>
              </w:rPr>
              <w:t>Office</w:t>
            </w:r>
            <w:r w:rsidR="00AD6763" w:rsidRPr="0077572A">
              <w:rPr>
                <w:sz w:val="20"/>
                <w:szCs w:val="20"/>
              </w:rPr>
              <w:t>s</w:t>
            </w:r>
            <w:proofErr w:type="gramEnd"/>
            <w:r w:rsidR="00F856DD" w:rsidRPr="0077572A">
              <w:rPr>
                <w:sz w:val="20"/>
                <w:szCs w:val="20"/>
              </w:rPr>
              <w:t xml:space="preserve"> and hospital staff on notifiable disease surveillance module. </w:t>
            </w:r>
          </w:p>
          <w:p w14:paraId="2B0C81B1" w14:textId="15AFE1A7" w:rsidR="00F856DD" w:rsidRPr="0077572A" w:rsidRDefault="001102DC" w:rsidP="00456799">
            <w:pPr>
              <w:suppressAutoHyphens w:val="0"/>
              <w:spacing w:before="0" w:line="240" w:lineRule="auto"/>
              <w:rPr>
                <w:sz w:val="20"/>
                <w:szCs w:val="20"/>
              </w:rPr>
            </w:pPr>
            <w:r>
              <w:rPr>
                <w:sz w:val="20"/>
                <w:szCs w:val="20"/>
              </w:rPr>
              <w:t>R</w:t>
            </w:r>
            <w:r w:rsidRPr="00E275A8">
              <w:rPr>
                <w:sz w:val="20"/>
                <w:szCs w:val="20"/>
              </w:rPr>
              <w:t>efurbished</w:t>
            </w:r>
            <w:r>
              <w:rPr>
                <w:sz w:val="20"/>
                <w:szCs w:val="20"/>
              </w:rPr>
              <w:t xml:space="preserve"> </w:t>
            </w:r>
            <w:r w:rsidR="00F856DD" w:rsidRPr="0077572A">
              <w:rPr>
                <w:sz w:val="20"/>
                <w:szCs w:val="20"/>
              </w:rPr>
              <w:t>Emergency Operations Centres in three provinces (</w:t>
            </w:r>
            <w:proofErr w:type="spellStart"/>
            <w:r w:rsidR="00F856DD" w:rsidRPr="0077572A">
              <w:rPr>
                <w:sz w:val="20"/>
                <w:szCs w:val="20"/>
              </w:rPr>
              <w:t>Khammouane</w:t>
            </w:r>
            <w:proofErr w:type="spellEnd"/>
            <w:r w:rsidR="00F856DD" w:rsidRPr="0077572A">
              <w:rPr>
                <w:sz w:val="20"/>
                <w:szCs w:val="20"/>
              </w:rPr>
              <w:t xml:space="preserve">, </w:t>
            </w:r>
            <w:proofErr w:type="spellStart"/>
            <w:r w:rsidR="00F856DD" w:rsidRPr="0077572A">
              <w:rPr>
                <w:sz w:val="20"/>
                <w:szCs w:val="20"/>
              </w:rPr>
              <w:t>Bolikamxay</w:t>
            </w:r>
            <w:proofErr w:type="spellEnd"/>
            <w:r w:rsidR="00F856DD" w:rsidRPr="0077572A">
              <w:rPr>
                <w:sz w:val="20"/>
                <w:szCs w:val="20"/>
              </w:rPr>
              <w:t xml:space="preserve">, </w:t>
            </w:r>
            <w:proofErr w:type="spellStart"/>
            <w:r w:rsidR="00F856DD" w:rsidRPr="0077572A">
              <w:rPr>
                <w:sz w:val="20"/>
                <w:szCs w:val="20"/>
              </w:rPr>
              <w:t>Champasak</w:t>
            </w:r>
            <w:proofErr w:type="spellEnd"/>
            <w:r w:rsidR="00F856DD" w:rsidRPr="0077572A">
              <w:rPr>
                <w:sz w:val="20"/>
                <w:szCs w:val="20"/>
              </w:rPr>
              <w:t>)</w:t>
            </w:r>
            <w:r>
              <w:rPr>
                <w:sz w:val="20"/>
                <w:szCs w:val="20"/>
              </w:rPr>
              <w:t>.</w:t>
            </w:r>
            <w:r w:rsidR="00F856DD" w:rsidRPr="0077572A">
              <w:rPr>
                <w:sz w:val="20"/>
                <w:szCs w:val="20"/>
              </w:rPr>
              <w:t xml:space="preserve"> </w:t>
            </w:r>
          </w:p>
          <w:p w14:paraId="226B39A5" w14:textId="28591708" w:rsidR="00F856DD" w:rsidRPr="0077572A" w:rsidRDefault="001102DC" w:rsidP="00456799">
            <w:pPr>
              <w:suppressAutoHyphens w:val="0"/>
              <w:spacing w:before="0" w:line="240" w:lineRule="auto"/>
              <w:rPr>
                <w:sz w:val="20"/>
                <w:szCs w:val="20"/>
              </w:rPr>
            </w:pPr>
            <w:r>
              <w:rPr>
                <w:sz w:val="20"/>
                <w:szCs w:val="20"/>
              </w:rPr>
              <w:t>T</w:t>
            </w:r>
            <w:r w:rsidRPr="00E275A8">
              <w:rPr>
                <w:sz w:val="20"/>
                <w:szCs w:val="20"/>
              </w:rPr>
              <w:t xml:space="preserve">rained </w:t>
            </w:r>
            <w:r w:rsidR="00F856DD" w:rsidRPr="0077572A">
              <w:rPr>
                <w:sz w:val="20"/>
                <w:szCs w:val="20"/>
              </w:rPr>
              <w:t xml:space="preserve">115 </w:t>
            </w:r>
            <w:r w:rsidR="00D23ECE">
              <w:rPr>
                <w:sz w:val="20"/>
                <w:szCs w:val="20"/>
              </w:rPr>
              <w:t>intensive care unit</w:t>
            </w:r>
            <w:r w:rsidR="00D23ECE" w:rsidRPr="0077572A">
              <w:rPr>
                <w:sz w:val="20"/>
                <w:szCs w:val="20"/>
              </w:rPr>
              <w:t xml:space="preserve"> </w:t>
            </w:r>
            <w:r w:rsidR="00F856DD" w:rsidRPr="0077572A">
              <w:rPr>
                <w:sz w:val="20"/>
                <w:szCs w:val="20"/>
              </w:rPr>
              <w:t>doctors and nurses (</w:t>
            </w:r>
            <w:r w:rsidR="00AE1BC7">
              <w:rPr>
                <w:sz w:val="20"/>
                <w:szCs w:val="20"/>
              </w:rPr>
              <w:t>women</w:t>
            </w:r>
            <w:r w:rsidR="00F856DD" w:rsidRPr="0077572A">
              <w:rPr>
                <w:sz w:val="20"/>
                <w:szCs w:val="20"/>
              </w:rPr>
              <w:t xml:space="preserve"> 64</w:t>
            </w:r>
            <w:r w:rsidR="00AE1BC7">
              <w:rPr>
                <w:sz w:val="20"/>
                <w:szCs w:val="20"/>
              </w:rPr>
              <w:t xml:space="preserve"> per cent</w:t>
            </w:r>
            <w:r w:rsidR="00F856DD" w:rsidRPr="0077572A">
              <w:rPr>
                <w:sz w:val="20"/>
                <w:szCs w:val="20"/>
              </w:rPr>
              <w:t>) from all central and provincial hospitals on clinical management of COVID-19</w:t>
            </w:r>
            <w:r w:rsidR="00AD6763" w:rsidRPr="0077572A">
              <w:rPr>
                <w:sz w:val="20"/>
                <w:szCs w:val="20"/>
              </w:rPr>
              <w:t>.</w:t>
            </w:r>
          </w:p>
        </w:tc>
      </w:tr>
      <w:tr w:rsidR="00F856DD" w14:paraId="4AD746D8" w14:textId="77777777" w:rsidTr="00C03C93">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0AB10A98" w14:textId="1675E6D4" w:rsidR="00F856DD" w:rsidRPr="0077572A" w:rsidRDefault="00F856DD" w:rsidP="00456799">
            <w:pPr>
              <w:spacing w:before="0"/>
              <w:rPr>
                <w:sz w:val="20"/>
                <w:szCs w:val="20"/>
              </w:rPr>
            </w:pPr>
            <w:r w:rsidRPr="0077572A">
              <w:rPr>
                <w:sz w:val="20"/>
                <w:szCs w:val="20"/>
              </w:rPr>
              <w:t xml:space="preserve">Number of vulnerable women, men, </w:t>
            </w:r>
            <w:proofErr w:type="gramStart"/>
            <w:r w:rsidRPr="0077572A">
              <w:rPr>
                <w:sz w:val="20"/>
                <w:szCs w:val="20"/>
              </w:rPr>
              <w:t>girls</w:t>
            </w:r>
            <w:proofErr w:type="gramEnd"/>
            <w:r w:rsidRPr="0077572A">
              <w:rPr>
                <w:sz w:val="20"/>
                <w:szCs w:val="20"/>
              </w:rPr>
              <w:t xml:space="preserve"> and boys provided with emergency assistance in crisis situations (</w:t>
            </w:r>
            <w:r w:rsidR="00DD7FF7">
              <w:rPr>
                <w:sz w:val="20"/>
                <w:szCs w:val="20"/>
              </w:rPr>
              <w:t>men/ women;</w:t>
            </w:r>
            <w:r w:rsidRPr="0077572A">
              <w:rPr>
                <w:sz w:val="20"/>
                <w:szCs w:val="20"/>
              </w:rPr>
              <w:t xml:space="preserve"> </w:t>
            </w:r>
            <w:r w:rsidR="00DD7FF7">
              <w:rPr>
                <w:sz w:val="20"/>
                <w:szCs w:val="20"/>
              </w:rPr>
              <w:t>people with disabilities</w:t>
            </w:r>
            <w:r w:rsidRPr="0077572A">
              <w:rPr>
                <w:sz w:val="20"/>
                <w:szCs w:val="20"/>
              </w:rPr>
              <w:t xml:space="preserve">) </w:t>
            </w:r>
            <w:r w:rsidR="006017C2" w:rsidRPr="0077572A">
              <w:rPr>
                <w:sz w:val="20"/>
                <w:szCs w:val="20"/>
              </w:rPr>
              <w:t xml:space="preserve"> </w:t>
            </w:r>
            <w:r w:rsidR="00AE1BC7">
              <w:rPr>
                <w:sz w:val="20"/>
                <w:szCs w:val="20"/>
              </w:rPr>
              <w:br/>
            </w:r>
            <w:r w:rsidRPr="0077572A">
              <w:rPr>
                <w:sz w:val="20"/>
                <w:szCs w:val="20"/>
              </w:rPr>
              <w:t>(</w:t>
            </w:r>
            <w:bookmarkStart w:id="9" w:name="_Hlk83131224"/>
            <w:r w:rsidRPr="0077572A">
              <w:rPr>
                <w:sz w:val="20"/>
                <w:szCs w:val="20"/>
              </w:rPr>
              <w:t>target: 1,000,000 people have access to messages on COVID-19 prevention</w:t>
            </w:r>
            <w:bookmarkEnd w:id="9"/>
            <w:r w:rsidRPr="0077572A">
              <w:rPr>
                <w:sz w:val="20"/>
                <w:szCs w:val="20"/>
              </w:rPr>
              <w:t>, and on how to report violence and sexual exploitation and abuse cases)</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20C99C0B" w14:textId="00479129" w:rsidR="004B1EE6" w:rsidRPr="0077572A" w:rsidRDefault="001102DC" w:rsidP="00456799">
            <w:pPr>
              <w:spacing w:before="0"/>
              <w:rPr>
                <w:sz w:val="20"/>
                <w:szCs w:val="20"/>
              </w:rPr>
            </w:pPr>
            <w:r>
              <w:rPr>
                <w:sz w:val="20"/>
                <w:szCs w:val="20"/>
              </w:rPr>
              <w:t>Support</w:t>
            </w:r>
            <w:r w:rsidR="004B1EE6" w:rsidRPr="0077572A">
              <w:rPr>
                <w:sz w:val="20"/>
                <w:szCs w:val="20"/>
              </w:rPr>
              <w:t xml:space="preserve"> contributed to over 3.4 million Lao people</w:t>
            </w:r>
            <w:r w:rsidR="008F49D5">
              <w:rPr>
                <w:sz w:val="20"/>
                <w:szCs w:val="20"/>
              </w:rPr>
              <w:t xml:space="preserve"> (disaggregated data not available)</w:t>
            </w:r>
            <w:r w:rsidR="004B1EE6" w:rsidRPr="0077572A">
              <w:rPr>
                <w:sz w:val="20"/>
                <w:szCs w:val="20"/>
              </w:rPr>
              <w:t xml:space="preserve"> being reached by loudspeaker with COVID-19 prevention and </w:t>
            </w:r>
            <w:r w:rsidR="001A76CC">
              <w:rPr>
                <w:sz w:val="20"/>
                <w:szCs w:val="20"/>
              </w:rPr>
              <w:t>Mental Health and Psychosocial Support</w:t>
            </w:r>
            <w:r w:rsidR="008F49D5">
              <w:rPr>
                <w:sz w:val="20"/>
                <w:szCs w:val="20"/>
              </w:rPr>
              <w:t xml:space="preserve"> </w:t>
            </w:r>
            <w:r w:rsidR="004B1EE6" w:rsidRPr="0077572A">
              <w:rPr>
                <w:sz w:val="20"/>
                <w:szCs w:val="20"/>
              </w:rPr>
              <w:t>messages, as well as on how to report violence and sexual exploitation and abuse cases.</w:t>
            </w:r>
          </w:p>
          <w:p w14:paraId="561B7777" w14:textId="4853ED5F" w:rsidR="00F856DD" w:rsidRPr="0077572A" w:rsidRDefault="001102DC" w:rsidP="00456799">
            <w:pPr>
              <w:spacing w:before="0"/>
              <w:rPr>
                <w:sz w:val="20"/>
                <w:szCs w:val="20"/>
              </w:rPr>
            </w:pPr>
            <w:r>
              <w:rPr>
                <w:sz w:val="20"/>
                <w:szCs w:val="20"/>
              </w:rPr>
              <w:t>Supported</w:t>
            </w:r>
            <w:r w:rsidR="00F856DD" w:rsidRPr="0077572A">
              <w:rPr>
                <w:sz w:val="20"/>
                <w:szCs w:val="20"/>
              </w:rPr>
              <w:t xml:space="preserve"> UNFPA program</w:t>
            </w:r>
            <w:r>
              <w:rPr>
                <w:sz w:val="20"/>
                <w:szCs w:val="20"/>
              </w:rPr>
              <w:t xml:space="preserve"> to</w:t>
            </w:r>
            <w:r w:rsidR="00F856DD" w:rsidRPr="0077572A">
              <w:rPr>
                <w:sz w:val="20"/>
                <w:szCs w:val="20"/>
              </w:rPr>
              <w:t xml:space="preserve"> </w:t>
            </w:r>
            <w:r w:rsidR="00AD6763" w:rsidRPr="0077572A">
              <w:rPr>
                <w:sz w:val="20"/>
                <w:szCs w:val="20"/>
              </w:rPr>
              <w:t xml:space="preserve">establish </w:t>
            </w:r>
            <w:r w:rsidR="00F856DD" w:rsidRPr="0077572A">
              <w:rPr>
                <w:sz w:val="20"/>
                <w:szCs w:val="20"/>
              </w:rPr>
              <w:t xml:space="preserve">a referral pathway for women and girls' </w:t>
            </w:r>
            <w:r w:rsidR="00E90686" w:rsidRPr="0077572A">
              <w:rPr>
                <w:sz w:val="20"/>
                <w:szCs w:val="20"/>
              </w:rPr>
              <w:t xml:space="preserve">survivors </w:t>
            </w:r>
            <w:r w:rsidR="00F856DD" w:rsidRPr="0077572A">
              <w:rPr>
                <w:sz w:val="20"/>
                <w:szCs w:val="20"/>
              </w:rPr>
              <w:t xml:space="preserve">of gender-based violence </w:t>
            </w:r>
            <w:r w:rsidR="006076DD" w:rsidRPr="0077572A">
              <w:rPr>
                <w:sz w:val="20"/>
                <w:szCs w:val="20"/>
              </w:rPr>
              <w:t>exacerbated</w:t>
            </w:r>
            <w:r w:rsidR="00F856DD" w:rsidRPr="0077572A">
              <w:rPr>
                <w:sz w:val="20"/>
                <w:szCs w:val="20"/>
              </w:rPr>
              <w:t xml:space="preserve"> by COVID-19. </w:t>
            </w:r>
            <w:r w:rsidR="00AD6763" w:rsidRPr="0077572A">
              <w:rPr>
                <w:sz w:val="20"/>
                <w:szCs w:val="20"/>
              </w:rPr>
              <w:t>A</w:t>
            </w:r>
            <w:r w:rsidR="00F856DD" w:rsidRPr="0077572A">
              <w:rPr>
                <w:sz w:val="20"/>
                <w:szCs w:val="20"/>
              </w:rPr>
              <w:t xml:space="preserve"> pilot referral pathway in </w:t>
            </w:r>
            <w:proofErr w:type="spellStart"/>
            <w:r w:rsidR="00F856DD" w:rsidRPr="0077572A">
              <w:rPr>
                <w:sz w:val="20"/>
                <w:szCs w:val="20"/>
              </w:rPr>
              <w:t>Savannakhet</w:t>
            </w:r>
            <w:proofErr w:type="spellEnd"/>
            <w:r w:rsidR="00F856DD" w:rsidRPr="0077572A">
              <w:rPr>
                <w:sz w:val="20"/>
                <w:szCs w:val="20"/>
              </w:rPr>
              <w:t xml:space="preserve"> province </w:t>
            </w:r>
            <w:r w:rsidR="00D11D95" w:rsidRPr="0077572A">
              <w:rPr>
                <w:sz w:val="20"/>
                <w:szCs w:val="20"/>
              </w:rPr>
              <w:t>was</w:t>
            </w:r>
            <w:r w:rsidR="00F856DD" w:rsidRPr="0077572A">
              <w:rPr>
                <w:sz w:val="20"/>
                <w:szCs w:val="20"/>
              </w:rPr>
              <w:t xml:space="preserve"> implemented</w:t>
            </w:r>
            <w:r w:rsidR="00D11D95" w:rsidRPr="0077572A">
              <w:rPr>
                <w:sz w:val="20"/>
                <w:szCs w:val="20"/>
              </w:rPr>
              <w:t xml:space="preserve"> in 2020-21</w:t>
            </w:r>
            <w:r w:rsidR="00F856DD" w:rsidRPr="0077572A">
              <w:rPr>
                <w:sz w:val="20"/>
                <w:szCs w:val="20"/>
              </w:rPr>
              <w:t>.</w:t>
            </w:r>
          </w:p>
          <w:p w14:paraId="2CADB799" w14:textId="549883CC" w:rsidR="004B1EE6" w:rsidRPr="0077572A" w:rsidRDefault="00F856DD" w:rsidP="00456799">
            <w:pPr>
              <w:spacing w:before="0"/>
              <w:rPr>
                <w:sz w:val="20"/>
                <w:szCs w:val="20"/>
              </w:rPr>
            </w:pPr>
            <w:r w:rsidRPr="0077572A">
              <w:rPr>
                <w:sz w:val="20"/>
                <w:szCs w:val="20"/>
              </w:rPr>
              <w:t xml:space="preserve">620 </w:t>
            </w:r>
            <w:r w:rsidR="008F49D5" w:rsidRPr="008F49D5">
              <w:rPr>
                <w:sz w:val="20"/>
                <w:szCs w:val="20"/>
              </w:rPr>
              <w:t xml:space="preserve">people (474 women and 146 men, 0 person with disability) </w:t>
            </w:r>
            <w:r w:rsidRPr="0077572A">
              <w:rPr>
                <w:sz w:val="20"/>
                <w:szCs w:val="20"/>
              </w:rPr>
              <w:t xml:space="preserve">received counselling and assistance from the Lao Women’s Union, police, health, labour, social </w:t>
            </w:r>
            <w:proofErr w:type="gramStart"/>
            <w:r w:rsidRPr="0077572A">
              <w:rPr>
                <w:sz w:val="20"/>
                <w:szCs w:val="20"/>
              </w:rPr>
              <w:t>welfare</w:t>
            </w:r>
            <w:proofErr w:type="gramEnd"/>
            <w:r w:rsidRPr="0077572A">
              <w:rPr>
                <w:sz w:val="20"/>
                <w:szCs w:val="20"/>
              </w:rPr>
              <w:t xml:space="preserve"> and education</w:t>
            </w:r>
            <w:r w:rsidR="00716AC0" w:rsidRPr="0077572A">
              <w:rPr>
                <w:sz w:val="20"/>
                <w:szCs w:val="20"/>
              </w:rPr>
              <w:t xml:space="preserve"> departments</w:t>
            </w:r>
            <w:r w:rsidRPr="0077572A">
              <w:rPr>
                <w:sz w:val="20"/>
                <w:szCs w:val="20"/>
              </w:rPr>
              <w:t>.</w:t>
            </w:r>
            <w:r w:rsidR="001102DC">
              <w:rPr>
                <w:sz w:val="20"/>
                <w:szCs w:val="20"/>
              </w:rPr>
              <w:t xml:space="preserve"> </w:t>
            </w:r>
            <w:r w:rsidRPr="0077572A">
              <w:rPr>
                <w:sz w:val="20"/>
                <w:szCs w:val="20"/>
              </w:rPr>
              <w:t>Of these</w:t>
            </w:r>
            <w:r w:rsidR="00AD6763" w:rsidRPr="0077572A">
              <w:rPr>
                <w:sz w:val="20"/>
                <w:szCs w:val="20"/>
              </w:rPr>
              <w:t>,</w:t>
            </w:r>
            <w:r w:rsidRPr="0077572A">
              <w:rPr>
                <w:sz w:val="20"/>
                <w:szCs w:val="20"/>
              </w:rPr>
              <w:t xml:space="preserve"> 150 men </w:t>
            </w:r>
            <w:r w:rsidR="008F49D5" w:rsidRPr="008F49D5">
              <w:rPr>
                <w:sz w:val="20"/>
                <w:szCs w:val="20"/>
              </w:rPr>
              <w:t xml:space="preserve">(0 person with disability) </w:t>
            </w:r>
            <w:r w:rsidRPr="0077572A">
              <w:rPr>
                <w:sz w:val="20"/>
                <w:szCs w:val="20"/>
              </w:rPr>
              <w:t xml:space="preserve">in piloted villages in </w:t>
            </w:r>
            <w:proofErr w:type="spellStart"/>
            <w:r w:rsidRPr="0077572A">
              <w:rPr>
                <w:sz w:val="20"/>
                <w:szCs w:val="20"/>
              </w:rPr>
              <w:t>Savannakhet</w:t>
            </w:r>
            <w:proofErr w:type="spellEnd"/>
            <w:r w:rsidRPr="0077572A">
              <w:rPr>
                <w:sz w:val="20"/>
                <w:szCs w:val="20"/>
              </w:rPr>
              <w:t xml:space="preserve"> received training on gender, power, human rights, sexual and reproductive health. </w:t>
            </w:r>
          </w:p>
        </w:tc>
      </w:tr>
    </w:tbl>
    <w:p w14:paraId="2E11DA6F" w14:textId="77777777" w:rsidR="00166026" w:rsidRDefault="00166026" w:rsidP="009D4193">
      <w:pPr>
        <w:pStyle w:val="Heading3"/>
      </w:pPr>
    </w:p>
    <w:p w14:paraId="01304055" w14:textId="08688DBA" w:rsidR="00AC73BA" w:rsidRPr="00AC73BA" w:rsidRDefault="00AC73BA" w:rsidP="009D4193">
      <w:pPr>
        <w:pStyle w:val="Heading3"/>
      </w:pPr>
      <w:r w:rsidRPr="00AC73BA">
        <w:t xml:space="preserve">Stability </w:t>
      </w:r>
    </w:p>
    <w:tbl>
      <w:tblPr>
        <w:tblStyle w:val="TableGrid"/>
        <w:tblW w:w="1053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3823"/>
        <w:gridCol w:w="6713"/>
      </w:tblGrid>
      <w:tr w:rsidR="00F856DD" w14:paraId="14EF210E" w14:textId="77777777" w:rsidTr="00611676">
        <w:trPr>
          <w:tblHeader/>
        </w:trPr>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shd w:val="clear" w:color="auto" w:fill="A2DCD1" w:themeFill="accent1" w:themeFillTint="99"/>
            <w:vAlign w:val="bottom"/>
          </w:tcPr>
          <w:p w14:paraId="47014330" w14:textId="7A7E2C4C" w:rsidR="00F856DD" w:rsidRPr="00AC73BA" w:rsidRDefault="00F856DD" w:rsidP="00AC73BA">
            <w:pPr>
              <w:spacing w:before="0" w:after="0" w:line="240" w:lineRule="auto"/>
              <w:jc w:val="center"/>
              <w:rPr>
                <w:b/>
                <w:sz w:val="20"/>
                <w:szCs w:val="20"/>
              </w:rPr>
            </w:pPr>
            <w:r w:rsidRPr="00AC73BA">
              <w:rPr>
                <w:b/>
                <w:sz w:val="20"/>
                <w:szCs w:val="20"/>
              </w:rPr>
              <w:t>Key Results Indicators</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shd w:val="clear" w:color="auto" w:fill="A2DCD1" w:themeFill="accent1" w:themeFillTint="99"/>
            <w:vAlign w:val="bottom"/>
          </w:tcPr>
          <w:p w14:paraId="3DD43A47" w14:textId="40188E10" w:rsidR="00F856DD" w:rsidRPr="00AC73BA" w:rsidRDefault="00F856DD" w:rsidP="00AC73BA">
            <w:pPr>
              <w:spacing w:before="0" w:after="0" w:line="240" w:lineRule="auto"/>
              <w:jc w:val="center"/>
              <w:rPr>
                <w:b/>
                <w:sz w:val="20"/>
                <w:szCs w:val="20"/>
              </w:rPr>
            </w:pPr>
            <w:r w:rsidRPr="00AC73BA">
              <w:rPr>
                <w:b/>
                <w:sz w:val="20"/>
                <w:szCs w:val="20"/>
              </w:rPr>
              <w:t>Progress/Result</w:t>
            </w:r>
          </w:p>
        </w:tc>
      </w:tr>
      <w:tr w:rsidR="00F856DD" w14:paraId="593A8551" w14:textId="77777777" w:rsidTr="00C03C93">
        <w:tc>
          <w:tcPr>
            <w:tcW w:w="3823" w:type="dxa"/>
            <w:tcBorders>
              <w:top w:val="single" w:sz="4" w:space="0" w:color="3DA18F" w:themeColor="accent1" w:themeShade="BF"/>
              <w:left w:val="single" w:sz="4" w:space="0" w:color="3DA18F" w:themeColor="accent1" w:themeShade="BF"/>
              <w:bottom w:val="single" w:sz="4" w:space="0" w:color="A6A6A6" w:themeColor="background1" w:themeShade="A6"/>
              <w:right w:val="single" w:sz="4" w:space="0" w:color="3DA18F" w:themeColor="accent1" w:themeShade="BF"/>
            </w:tcBorders>
          </w:tcPr>
          <w:p w14:paraId="2AA59D1C" w14:textId="53D21294" w:rsidR="00F856DD" w:rsidRPr="0077572A" w:rsidRDefault="00F856DD" w:rsidP="0077572A">
            <w:pPr>
              <w:spacing w:before="0"/>
              <w:rPr>
                <w:sz w:val="20"/>
                <w:szCs w:val="20"/>
              </w:rPr>
            </w:pPr>
            <w:r w:rsidRPr="0077572A">
              <w:rPr>
                <w:sz w:val="20"/>
                <w:szCs w:val="20"/>
              </w:rPr>
              <w:t>Evidence of significant policy change in</w:t>
            </w:r>
            <w:r w:rsidR="00AE1BC7" w:rsidRPr="00AE1BC7">
              <w:rPr>
                <w:sz w:val="20"/>
                <w:szCs w:val="20"/>
              </w:rPr>
              <w:t xml:space="preserve"> </w:t>
            </w:r>
            <w:r w:rsidRPr="0077572A">
              <w:rPr>
                <w:sz w:val="20"/>
                <w:szCs w:val="20"/>
              </w:rPr>
              <w:t>the education sector (curriculum and teachers’ professional development)</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18BFBE00" w14:textId="7075CE9C" w:rsidR="00F856DD" w:rsidRPr="0077572A" w:rsidRDefault="001102DC" w:rsidP="00456799">
            <w:pPr>
              <w:spacing w:before="0"/>
              <w:rPr>
                <w:sz w:val="20"/>
                <w:szCs w:val="20"/>
              </w:rPr>
            </w:pPr>
            <w:r>
              <w:rPr>
                <w:sz w:val="20"/>
                <w:szCs w:val="20"/>
              </w:rPr>
              <w:t>S</w:t>
            </w:r>
            <w:r w:rsidRPr="00E275A8">
              <w:rPr>
                <w:sz w:val="20"/>
                <w:szCs w:val="20"/>
              </w:rPr>
              <w:t xml:space="preserve">upported </w:t>
            </w:r>
            <w:r w:rsidR="00F856DD" w:rsidRPr="0077572A">
              <w:rPr>
                <w:sz w:val="20"/>
                <w:szCs w:val="20"/>
              </w:rPr>
              <w:t>8,518 schools</w:t>
            </w:r>
            <w:r w:rsidR="00262F5C" w:rsidRPr="0077572A">
              <w:rPr>
                <w:sz w:val="20"/>
                <w:szCs w:val="20"/>
              </w:rPr>
              <w:t xml:space="preserve"> in 148 districts</w:t>
            </w:r>
            <w:r w:rsidR="00F856DD" w:rsidRPr="0077572A">
              <w:rPr>
                <w:sz w:val="20"/>
                <w:szCs w:val="20"/>
              </w:rPr>
              <w:t xml:space="preserve">, including 161,735 students and 9,421 Grade </w:t>
            </w:r>
            <w:r w:rsidR="00D23ECE">
              <w:rPr>
                <w:sz w:val="20"/>
                <w:szCs w:val="20"/>
              </w:rPr>
              <w:t xml:space="preserve">Two </w:t>
            </w:r>
            <w:r w:rsidR="00F856DD" w:rsidRPr="0077572A">
              <w:rPr>
                <w:sz w:val="20"/>
                <w:szCs w:val="20"/>
              </w:rPr>
              <w:t xml:space="preserve">teachers with Grade </w:t>
            </w:r>
            <w:r w:rsidR="00D23ECE">
              <w:rPr>
                <w:sz w:val="20"/>
                <w:szCs w:val="20"/>
              </w:rPr>
              <w:t>Two</w:t>
            </w:r>
            <w:r w:rsidR="005E78D9" w:rsidRPr="0077572A">
              <w:rPr>
                <w:sz w:val="20"/>
                <w:szCs w:val="20"/>
              </w:rPr>
              <w:t xml:space="preserve"> </w:t>
            </w:r>
            <w:r w:rsidR="00F856DD" w:rsidRPr="0077572A">
              <w:rPr>
                <w:sz w:val="20"/>
                <w:szCs w:val="20"/>
              </w:rPr>
              <w:t>curriculum materials, textbooks, teachers guides and other materials.</w:t>
            </w:r>
          </w:p>
          <w:p w14:paraId="0EE8B3EF" w14:textId="49B4D7C0" w:rsidR="00F856DD" w:rsidRPr="0077572A" w:rsidRDefault="001102DC" w:rsidP="00456799">
            <w:pPr>
              <w:spacing w:before="0"/>
              <w:rPr>
                <w:sz w:val="20"/>
                <w:szCs w:val="20"/>
              </w:rPr>
            </w:pPr>
            <w:r>
              <w:rPr>
                <w:sz w:val="20"/>
                <w:szCs w:val="20"/>
              </w:rPr>
              <w:t>Supported</w:t>
            </w:r>
            <w:r w:rsidR="008218A8" w:rsidRPr="0077572A">
              <w:rPr>
                <w:sz w:val="20"/>
                <w:szCs w:val="20"/>
              </w:rPr>
              <w:t xml:space="preserve"> </w:t>
            </w:r>
            <w:r w:rsidR="00F856DD" w:rsidRPr="0077572A">
              <w:rPr>
                <w:sz w:val="20"/>
                <w:szCs w:val="20"/>
              </w:rPr>
              <w:t xml:space="preserve">training to 9,421 </w:t>
            </w:r>
            <w:r w:rsidR="005E78D9" w:rsidRPr="0077572A">
              <w:rPr>
                <w:sz w:val="20"/>
                <w:szCs w:val="20"/>
              </w:rPr>
              <w:t>G</w:t>
            </w:r>
            <w:r w:rsidR="00F856DD" w:rsidRPr="0077572A">
              <w:rPr>
                <w:sz w:val="20"/>
                <w:szCs w:val="20"/>
              </w:rPr>
              <w:t xml:space="preserve">rade </w:t>
            </w:r>
            <w:r w:rsidR="00D23ECE">
              <w:rPr>
                <w:sz w:val="20"/>
                <w:szCs w:val="20"/>
              </w:rPr>
              <w:t>Two</w:t>
            </w:r>
            <w:r w:rsidR="005E78D9" w:rsidRPr="0077572A">
              <w:rPr>
                <w:sz w:val="20"/>
                <w:szCs w:val="20"/>
              </w:rPr>
              <w:t xml:space="preserve"> </w:t>
            </w:r>
            <w:r w:rsidR="00F856DD" w:rsidRPr="0077572A">
              <w:rPr>
                <w:sz w:val="20"/>
                <w:szCs w:val="20"/>
              </w:rPr>
              <w:t>teachers (53</w:t>
            </w:r>
            <w:r w:rsidR="00AE1BC7">
              <w:rPr>
                <w:sz w:val="20"/>
                <w:szCs w:val="20"/>
              </w:rPr>
              <w:t xml:space="preserve"> per cent</w:t>
            </w:r>
            <w:r w:rsidR="00C076F7" w:rsidRPr="0077572A">
              <w:rPr>
                <w:sz w:val="20"/>
                <w:szCs w:val="20"/>
              </w:rPr>
              <w:t xml:space="preserve"> </w:t>
            </w:r>
            <w:r w:rsidR="00DD7FF7">
              <w:rPr>
                <w:sz w:val="20"/>
                <w:szCs w:val="20"/>
              </w:rPr>
              <w:t>women</w:t>
            </w:r>
            <w:r w:rsidR="00F856DD" w:rsidRPr="0077572A">
              <w:rPr>
                <w:sz w:val="20"/>
                <w:szCs w:val="20"/>
              </w:rPr>
              <w:t>), 448 Pedagogical Advisers (27</w:t>
            </w:r>
            <w:r w:rsidR="00AE1BC7">
              <w:rPr>
                <w:sz w:val="20"/>
                <w:szCs w:val="20"/>
              </w:rPr>
              <w:t xml:space="preserve"> per cent</w:t>
            </w:r>
            <w:r w:rsidR="00C076F7" w:rsidRPr="0077572A">
              <w:rPr>
                <w:sz w:val="20"/>
                <w:szCs w:val="20"/>
              </w:rPr>
              <w:t xml:space="preserve"> </w:t>
            </w:r>
            <w:r w:rsidR="00DD7FF7">
              <w:rPr>
                <w:sz w:val="20"/>
                <w:szCs w:val="20"/>
              </w:rPr>
              <w:t>women</w:t>
            </w:r>
            <w:r w:rsidR="00F856DD" w:rsidRPr="0077572A">
              <w:rPr>
                <w:sz w:val="20"/>
                <w:szCs w:val="20"/>
              </w:rPr>
              <w:t>) and 257 District Education and Sports Bureau staff (41</w:t>
            </w:r>
            <w:r w:rsidR="00AE1BC7">
              <w:rPr>
                <w:sz w:val="20"/>
                <w:szCs w:val="20"/>
              </w:rPr>
              <w:t xml:space="preserve"> per cent</w:t>
            </w:r>
            <w:r w:rsidR="00C076F7" w:rsidRPr="0077572A">
              <w:rPr>
                <w:sz w:val="20"/>
                <w:szCs w:val="20"/>
              </w:rPr>
              <w:t xml:space="preserve"> </w:t>
            </w:r>
            <w:r w:rsidR="00DD7FF7">
              <w:rPr>
                <w:sz w:val="20"/>
                <w:szCs w:val="20"/>
              </w:rPr>
              <w:t>women</w:t>
            </w:r>
            <w:r w:rsidR="00F856DD" w:rsidRPr="0077572A">
              <w:rPr>
                <w:sz w:val="20"/>
                <w:szCs w:val="20"/>
              </w:rPr>
              <w:t xml:space="preserve">) on the new Grade </w:t>
            </w:r>
            <w:r w:rsidR="00D23ECE">
              <w:rPr>
                <w:sz w:val="20"/>
                <w:szCs w:val="20"/>
              </w:rPr>
              <w:t>Two</w:t>
            </w:r>
            <w:r w:rsidR="00F856DD" w:rsidRPr="0077572A">
              <w:rPr>
                <w:sz w:val="20"/>
                <w:szCs w:val="20"/>
              </w:rPr>
              <w:t xml:space="preserve"> curriculum and targeted support for educationally disadvantaged areas</w:t>
            </w:r>
            <w:r w:rsidR="00DD7FF7">
              <w:rPr>
                <w:sz w:val="20"/>
                <w:szCs w:val="20"/>
              </w:rPr>
              <w:t xml:space="preserve">. </w:t>
            </w:r>
          </w:p>
          <w:p w14:paraId="29F8E621" w14:textId="7129513B" w:rsidR="00262F5C" w:rsidRPr="0077572A" w:rsidRDefault="001102DC" w:rsidP="00456799">
            <w:pPr>
              <w:spacing w:before="0"/>
              <w:rPr>
                <w:sz w:val="20"/>
                <w:szCs w:val="20"/>
              </w:rPr>
            </w:pPr>
            <w:r>
              <w:rPr>
                <w:sz w:val="20"/>
                <w:szCs w:val="20"/>
              </w:rPr>
              <w:t>S</w:t>
            </w:r>
            <w:r w:rsidR="00F856DD" w:rsidRPr="0077572A">
              <w:rPr>
                <w:sz w:val="20"/>
                <w:szCs w:val="20"/>
              </w:rPr>
              <w:t>upported 1,000 vulnerable school children (560</w:t>
            </w:r>
            <w:r w:rsidR="00C076F7" w:rsidRPr="0077572A">
              <w:rPr>
                <w:sz w:val="20"/>
                <w:szCs w:val="20"/>
              </w:rPr>
              <w:t xml:space="preserve"> girls</w:t>
            </w:r>
            <w:r w:rsidR="00F856DD" w:rsidRPr="0077572A">
              <w:rPr>
                <w:sz w:val="20"/>
                <w:szCs w:val="20"/>
              </w:rPr>
              <w:t>) to return to school by providing cash transfer</w:t>
            </w:r>
            <w:r w:rsidR="008218A8" w:rsidRPr="0077572A">
              <w:rPr>
                <w:sz w:val="20"/>
                <w:szCs w:val="20"/>
              </w:rPr>
              <w:t>s</w:t>
            </w:r>
            <w:r w:rsidR="00F856DD" w:rsidRPr="0077572A">
              <w:rPr>
                <w:sz w:val="20"/>
                <w:szCs w:val="20"/>
              </w:rPr>
              <w:t>.</w:t>
            </w:r>
          </w:p>
          <w:p w14:paraId="043DDBF2" w14:textId="6EEC04FE" w:rsidR="00F856DD" w:rsidRPr="0077572A" w:rsidRDefault="002C4378" w:rsidP="00456799">
            <w:pPr>
              <w:spacing w:before="0"/>
              <w:rPr>
                <w:sz w:val="20"/>
                <w:szCs w:val="20"/>
              </w:rPr>
            </w:pPr>
            <w:r w:rsidRPr="0077572A">
              <w:rPr>
                <w:sz w:val="20"/>
                <w:szCs w:val="20"/>
              </w:rPr>
              <w:t>C</w:t>
            </w:r>
            <w:r w:rsidR="008218A8" w:rsidRPr="0077572A">
              <w:rPr>
                <w:sz w:val="20"/>
                <w:szCs w:val="20"/>
              </w:rPr>
              <w:t>ontributed to</w:t>
            </w:r>
            <w:r w:rsidR="00F856DD" w:rsidRPr="0077572A">
              <w:rPr>
                <w:sz w:val="20"/>
                <w:szCs w:val="20"/>
              </w:rPr>
              <w:t xml:space="preserve"> safe school environment</w:t>
            </w:r>
            <w:r w:rsidR="008218A8" w:rsidRPr="0077572A">
              <w:rPr>
                <w:sz w:val="20"/>
                <w:szCs w:val="20"/>
              </w:rPr>
              <w:t>s</w:t>
            </w:r>
            <w:r w:rsidR="00F856DD" w:rsidRPr="0077572A">
              <w:rPr>
                <w:sz w:val="20"/>
                <w:szCs w:val="20"/>
              </w:rPr>
              <w:t xml:space="preserve"> for 1,748 children (857</w:t>
            </w:r>
            <w:r w:rsidR="00C076F7" w:rsidRPr="0077572A">
              <w:rPr>
                <w:sz w:val="20"/>
                <w:szCs w:val="20"/>
              </w:rPr>
              <w:t xml:space="preserve"> girls</w:t>
            </w:r>
            <w:r w:rsidR="00F856DD" w:rsidRPr="0077572A">
              <w:rPr>
                <w:sz w:val="20"/>
                <w:szCs w:val="20"/>
              </w:rPr>
              <w:t>) through provision of hygiene kits and handwashing stations in 15 schools and training to 30 teachers (14</w:t>
            </w:r>
            <w:r w:rsidR="00C076F7" w:rsidRPr="0077572A">
              <w:rPr>
                <w:sz w:val="20"/>
                <w:szCs w:val="20"/>
              </w:rPr>
              <w:t xml:space="preserve"> </w:t>
            </w:r>
            <w:r w:rsidR="00DD7FF7">
              <w:rPr>
                <w:sz w:val="20"/>
                <w:szCs w:val="20"/>
              </w:rPr>
              <w:t>women</w:t>
            </w:r>
            <w:r w:rsidR="00F856DD" w:rsidRPr="0077572A">
              <w:rPr>
                <w:sz w:val="20"/>
                <w:szCs w:val="20"/>
              </w:rPr>
              <w:t xml:space="preserve">) on </w:t>
            </w:r>
            <w:r w:rsidR="00DD7FF7">
              <w:rPr>
                <w:sz w:val="20"/>
                <w:szCs w:val="20"/>
              </w:rPr>
              <w:t>COVID</w:t>
            </w:r>
            <w:r w:rsidR="00F856DD" w:rsidRPr="0077572A">
              <w:rPr>
                <w:sz w:val="20"/>
                <w:szCs w:val="20"/>
              </w:rPr>
              <w:t>-19 prevention, handwashing, and health promotion in school</w:t>
            </w:r>
            <w:r w:rsidRPr="0077572A">
              <w:rPr>
                <w:sz w:val="20"/>
                <w:szCs w:val="20"/>
              </w:rPr>
              <w:t>s</w:t>
            </w:r>
            <w:r w:rsidR="00DD7FF7">
              <w:rPr>
                <w:sz w:val="20"/>
                <w:szCs w:val="20"/>
              </w:rPr>
              <w:t xml:space="preserve">. </w:t>
            </w:r>
          </w:p>
          <w:p w14:paraId="6EC33956" w14:textId="6B350B30" w:rsidR="00F856DD" w:rsidRPr="0077572A" w:rsidRDefault="001102DC" w:rsidP="00456799">
            <w:pPr>
              <w:spacing w:before="0"/>
              <w:rPr>
                <w:sz w:val="20"/>
                <w:szCs w:val="20"/>
              </w:rPr>
            </w:pPr>
            <w:r>
              <w:rPr>
                <w:sz w:val="20"/>
                <w:szCs w:val="20"/>
              </w:rPr>
              <w:t>P</w:t>
            </w:r>
            <w:r w:rsidRPr="00E275A8">
              <w:rPr>
                <w:sz w:val="20"/>
                <w:szCs w:val="20"/>
              </w:rPr>
              <w:t xml:space="preserve">rovided </w:t>
            </w:r>
            <w:r w:rsidR="00F856DD" w:rsidRPr="0077572A">
              <w:rPr>
                <w:sz w:val="20"/>
                <w:szCs w:val="20"/>
              </w:rPr>
              <w:t xml:space="preserve">7,016 pre-school children with learning materials to ensure continuity of learning through the COVID-19 Response Package. </w:t>
            </w:r>
          </w:p>
        </w:tc>
      </w:tr>
      <w:tr w:rsidR="00F856DD" w14:paraId="0556A95D" w14:textId="77777777" w:rsidTr="00C03C93">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62F5276A" w14:textId="6BBDDF0B" w:rsidR="00F856DD" w:rsidRPr="0077572A" w:rsidRDefault="00F856DD" w:rsidP="00456799">
            <w:pPr>
              <w:spacing w:before="0"/>
              <w:rPr>
                <w:sz w:val="20"/>
                <w:szCs w:val="20"/>
              </w:rPr>
            </w:pPr>
            <w:r w:rsidRPr="0077572A">
              <w:rPr>
                <w:sz w:val="20"/>
                <w:szCs w:val="20"/>
              </w:rPr>
              <w:t xml:space="preserve">Number of women from poor communities holding single accounts in village banks (target: </w:t>
            </w:r>
            <w:r w:rsidR="005E6AF0">
              <w:rPr>
                <w:sz w:val="20"/>
                <w:szCs w:val="20"/>
              </w:rPr>
              <w:t>36,344</w:t>
            </w:r>
            <w:r w:rsidRPr="0077572A">
              <w:rPr>
                <w:sz w:val="20"/>
                <w:szCs w:val="20"/>
              </w:rPr>
              <w:t>)</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4FA210DB" w14:textId="70E1CC8B" w:rsidR="00F856DD" w:rsidRPr="0077572A" w:rsidRDefault="001102DC" w:rsidP="00456799">
            <w:pPr>
              <w:spacing w:before="0"/>
              <w:rPr>
                <w:sz w:val="20"/>
                <w:szCs w:val="20"/>
              </w:rPr>
            </w:pPr>
            <w:r>
              <w:rPr>
                <w:sz w:val="20"/>
                <w:szCs w:val="20"/>
              </w:rPr>
              <w:t>Supported</w:t>
            </w:r>
            <w:r w:rsidR="00034258" w:rsidRPr="0077572A">
              <w:rPr>
                <w:sz w:val="20"/>
                <w:szCs w:val="20"/>
              </w:rPr>
              <w:t xml:space="preserve"> microfinance </w:t>
            </w:r>
            <w:r>
              <w:rPr>
                <w:sz w:val="20"/>
                <w:szCs w:val="20"/>
              </w:rPr>
              <w:t>assistance</w:t>
            </w:r>
            <w:r w:rsidR="00034258" w:rsidRPr="0077572A">
              <w:rPr>
                <w:sz w:val="20"/>
                <w:szCs w:val="20"/>
              </w:rPr>
              <w:t xml:space="preserve"> to expand the network of village banks, t</w:t>
            </w:r>
            <w:r w:rsidR="00F856DD" w:rsidRPr="0077572A">
              <w:rPr>
                <w:sz w:val="20"/>
                <w:szCs w:val="20"/>
              </w:rPr>
              <w:t xml:space="preserve">he number of single </w:t>
            </w:r>
            <w:r w:rsidR="00DD7FF7">
              <w:rPr>
                <w:sz w:val="20"/>
                <w:szCs w:val="20"/>
              </w:rPr>
              <w:t>women</w:t>
            </w:r>
            <w:r w:rsidR="00F856DD" w:rsidRPr="0077572A">
              <w:rPr>
                <w:sz w:val="20"/>
                <w:szCs w:val="20"/>
              </w:rPr>
              <w:t xml:space="preserve"> account</w:t>
            </w:r>
            <w:r w:rsidR="008218A8" w:rsidRPr="0077572A">
              <w:rPr>
                <w:sz w:val="20"/>
                <w:szCs w:val="20"/>
              </w:rPr>
              <w:t>s</w:t>
            </w:r>
            <w:r w:rsidR="00F856DD" w:rsidRPr="0077572A">
              <w:rPr>
                <w:sz w:val="20"/>
                <w:szCs w:val="20"/>
              </w:rPr>
              <w:t xml:space="preserve"> was increased above the target to 40,849 accounts</w:t>
            </w:r>
            <w:r w:rsidR="00DD7FF7">
              <w:rPr>
                <w:sz w:val="20"/>
                <w:szCs w:val="20"/>
              </w:rPr>
              <w:t xml:space="preserve">. </w:t>
            </w:r>
          </w:p>
        </w:tc>
      </w:tr>
      <w:tr w:rsidR="00F856DD" w14:paraId="5DF0BAD4" w14:textId="77777777" w:rsidTr="00C03C93">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476782F7" w14:textId="678A4653" w:rsidR="00F856DD" w:rsidRPr="0077572A" w:rsidRDefault="00AE1BC7" w:rsidP="00456799">
            <w:pPr>
              <w:spacing w:before="0"/>
              <w:rPr>
                <w:sz w:val="20"/>
                <w:szCs w:val="20"/>
              </w:rPr>
            </w:pPr>
            <w:r w:rsidRPr="0077572A">
              <w:rPr>
                <w:sz w:val="20"/>
                <w:szCs w:val="20"/>
              </w:rPr>
              <w:t xml:space="preserve">Examples of </w:t>
            </w:r>
            <w:r w:rsidR="00F856DD" w:rsidRPr="0077572A">
              <w:rPr>
                <w:sz w:val="20"/>
                <w:szCs w:val="20"/>
              </w:rPr>
              <w:t xml:space="preserve">Australian supported capacity building activities on human rights and COVID-19 for </w:t>
            </w:r>
            <w:proofErr w:type="spellStart"/>
            <w:r w:rsidR="00F856DD" w:rsidRPr="0077572A">
              <w:rPr>
                <w:sz w:val="20"/>
                <w:szCs w:val="20"/>
              </w:rPr>
              <w:t>GoL</w:t>
            </w:r>
            <w:proofErr w:type="spellEnd"/>
            <w:r w:rsidR="00F856DD" w:rsidRPr="0077572A">
              <w:rPr>
                <w:sz w:val="20"/>
                <w:szCs w:val="20"/>
              </w:rPr>
              <w:t xml:space="preserve"> officials </w:t>
            </w:r>
            <w:r w:rsidR="00DD7FF7">
              <w:rPr>
                <w:sz w:val="20"/>
                <w:szCs w:val="20"/>
              </w:rPr>
              <w:t>(men/ women;</w:t>
            </w:r>
            <w:r w:rsidR="00DD7FF7" w:rsidRPr="0077572A">
              <w:rPr>
                <w:sz w:val="20"/>
                <w:szCs w:val="20"/>
              </w:rPr>
              <w:t xml:space="preserve"> </w:t>
            </w:r>
            <w:r w:rsidR="00DD7FF7">
              <w:rPr>
                <w:sz w:val="20"/>
                <w:szCs w:val="20"/>
              </w:rPr>
              <w:t>people with disabilities</w:t>
            </w:r>
            <w:r w:rsidR="00C076F7" w:rsidRPr="0077572A">
              <w:rPr>
                <w:sz w:val="20"/>
                <w:szCs w:val="20"/>
              </w:rPr>
              <w:t>)</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03AEB01E" w14:textId="5554A92E" w:rsidR="00F856DD" w:rsidRPr="0077572A" w:rsidRDefault="00F856DD" w:rsidP="00456799">
            <w:pPr>
              <w:spacing w:before="0"/>
              <w:rPr>
                <w:sz w:val="20"/>
                <w:szCs w:val="20"/>
              </w:rPr>
            </w:pPr>
            <w:r w:rsidRPr="0077572A">
              <w:rPr>
                <w:sz w:val="20"/>
                <w:szCs w:val="20"/>
              </w:rPr>
              <w:t xml:space="preserve">25 participants from government </w:t>
            </w:r>
            <w:r w:rsidR="001A76CC">
              <w:rPr>
                <w:sz w:val="20"/>
                <w:szCs w:val="20"/>
              </w:rPr>
              <w:t xml:space="preserve">(15) </w:t>
            </w:r>
            <w:r w:rsidRPr="0077572A">
              <w:rPr>
                <w:sz w:val="20"/>
                <w:szCs w:val="20"/>
              </w:rPr>
              <w:t xml:space="preserve">and non-government organisations </w:t>
            </w:r>
            <w:r w:rsidR="001A76CC">
              <w:rPr>
                <w:sz w:val="20"/>
                <w:szCs w:val="20"/>
              </w:rPr>
              <w:t xml:space="preserve">(10) </w:t>
            </w:r>
            <w:r w:rsidRPr="0077572A">
              <w:rPr>
                <w:sz w:val="20"/>
                <w:szCs w:val="20"/>
              </w:rPr>
              <w:t>participated in a workshop on the Lao PDR National Disability Strategy and Policy, 22-23 July 2021.</w:t>
            </w:r>
            <w:r w:rsidR="001102DC">
              <w:rPr>
                <w:sz w:val="20"/>
                <w:szCs w:val="20"/>
              </w:rPr>
              <w:t xml:space="preserve"> </w:t>
            </w:r>
            <w:r w:rsidR="00BE65A1">
              <w:rPr>
                <w:sz w:val="20"/>
                <w:szCs w:val="20"/>
              </w:rPr>
              <w:t>12 of the 25 participants were</w:t>
            </w:r>
            <w:r w:rsidR="00827124">
              <w:rPr>
                <w:sz w:val="20"/>
                <w:szCs w:val="20"/>
              </w:rPr>
              <w:t xml:space="preserve"> </w:t>
            </w:r>
            <w:r w:rsidR="00DD7FF7">
              <w:rPr>
                <w:sz w:val="20"/>
                <w:szCs w:val="20"/>
              </w:rPr>
              <w:t>women</w:t>
            </w:r>
            <w:r w:rsidR="00BE65A1">
              <w:rPr>
                <w:sz w:val="20"/>
                <w:szCs w:val="20"/>
              </w:rPr>
              <w:t xml:space="preserve"> </w:t>
            </w:r>
            <w:r w:rsidR="001A76CC">
              <w:rPr>
                <w:sz w:val="20"/>
                <w:szCs w:val="20"/>
              </w:rPr>
              <w:t xml:space="preserve">and </w:t>
            </w:r>
            <w:r w:rsidR="00DD7FF7">
              <w:rPr>
                <w:sz w:val="20"/>
                <w:szCs w:val="20"/>
              </w:rPr>
              <w:t>five</w:t>
            </w:r>
            <w:r w:rsidR="001A76CC">
              <w:rPr>
                <w:sz w:val="20"/>
                <w:szCs w:val="20"/>
              </w:rPr>
              <w:t xml:space="preserve"> were people with disabilit</w:t>
            </w:r>
            <w:r w:rsidR="00DD7FF7">
              <w:rPr>
                <w:sz w:val="20"/>
                <w:szCs w:val="20"/>
              </w:rPr>
              <w:t>ies</w:t>
            </w:r>
            <w:r w:rsidR="001A76CC">
              <w:rPr>
                <w:sz w:val="20"/>
                <w:szCs w:val="20"/>
              </w:rPr>
              <w:t xml:space="preserve">, of which </w:t>
            </w:r>
            <w:r w:rsidR="00DD7FF7">
              <w:rPr>
                <w:sz w:val="20"/>
                <w:szCs w:val="20"/>
              </w:rPr>
              <w:t>three</w:t>
            </w:r>
            <w:r w:rsidR="001A76CC">
              <w:rPr>
                <w:sz w:val="20"/>
                <w:szCs w:val="20"/>
              </w:rPr>
              <w:t xml:space="preserve"> were </w:t>
            </w:r>
            <w:r w:rsidR="00DD7FF7">
              <w:rPr>
                <w:sz w:val="20"/>
                <w:szCs w:val="20"/>
              </w:rPr>
              <w:t>women</w:t>
            </w:r>
            <w:r w:rsidR="001A76CC">
              <w:rPr>
                <w:sz w:val="20"/>
                <w:szCs w:val="20"/>
              </w:rPr>
              <w:t xml:space="preserve">. </w:t>
            </w:r>
            <w:r w:rsidRPr="0077572A">
              <w:rPr>
                <w:sz w:val="20"/>
                <w:szCs w:val="20"/>
              </w:rPr>
              <w:t>Participants discussed a wide range of impacts and challenges of the COVID-19 outbreak for women with disabilities.</w:t>
            </w:r>
          </w:p>
        </w:tc>
      </w:tr>
    </w:tbl>
    <w:p w14:paraId="0AFF8A47" w14:textId="77777777" w:rsidR="00166026" w:rsidRDefault="00166026" w:rsidP="009D4193">
      <w:pPr>
        <w:pStyle w:val="Heading3"/>
      </w:pPr>
    </w:p>
    <w:p w14:paraId="527BFA24" w14:textId="2CB731D5" w:rsidR="00AC73BA" w:rsidRPr="00AC73BA" w:rsidRDefault="00AC73BA" w:rsidP="009D4193">
      <w:pPr>
        <w:pStyle w:val="Heading3"/>
      </w:pPr>
      <w:r w:rsidRPr="00AC73BA">
        <w:t xml:space="preserve">Economic Recovery </w:t>
      </w:r>
    </w:p>
    <w:tbl>
      <w:tblPr>
        <w:tblStyle w:val="TableGrid"/>
        <w:tblW w:w="1053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3823"/>
        <w:gridCol w:w="6713"/>
      </w:tblGrid>
      <w:tr w:rsidR="00F856DD" w14:paraId="6541DEB5" w14:textId="77777777" w:rsidTr="00611676">
        <w:trPr>
          <w:tblHeader/>
        </w:trPr>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shd w:val="clear" w:color="auto" w:fill="A2DCD1" w:themeFill="accent1" w:themeFillTint="99"/>
            <w:vAlign w:val="bottom"/>
          </w:tcPr>
          <w:p w14:paraId="7B68B645" w14:textId="39A83BEA" w:rsidR="00F856DD" w:rsidRPr="00AC73BA" w:rsidRDefault="00F856DD" w:rsidP="00E31023">
            <w:pPr>
              <w:widowControl w:val="0"/>
              <w:spacing w:before="0" w:after="0" w:line="240" w:lineRule="auto"/>
              <w:jc w:val="center"/>
              <w:rPr>
                <w:sz w:val="20"/>
                <w:szCs w:val="20"/>
              </w:rPr>
            </w:pPr>
            <w:r w:rsidRPr="00AC73BA">
              <w:rPr>
                <w:b/>
                <w:sz w:val="20"/>
                <w:szCs w:val="20"/>
              </w:rPr>
              <w:t>Key Results Indicators</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shd w:val="clear" w:color="auto" w:fill="A2DCD1" w:themeFill="accent1" w:themeFillTint="99"/>
            <w:vAlign w:val="bottom"/>
          </w:tcPr>
          <w:p w14:paraId="54CE59D4" w14:textId="04163A25" w:rsidR="00F856DD" w:rsidRPr="00AC73BA" w:rsidRDefault="00F856DD" w:rsidP="00E31023">
            <w:pPr>
              <w:widowControl w:val="0"/>
              <w:spacing w:before="0" w:after="0" w:line="240" w:lineRule="auto"/>
              <w:jc w:val="center"/>
              <w:rPr>
                <w:b/>
                <w:sz w:val="20"/>
                <w:szCs w:val="20"/>
              </w:rPr>
            </w:pPr>
            <w:r w:rsidRPr="00AC73BA">
              <w:rPr>
                <w:b/>
                <w:sz w:val="20"/>
                <w:szCs w:val="20"/>
              </w:rPr>
              <w:t>Progress/Result</w:t>
            </w:r>
          </w:p>
        </w:tc>
      </w:tr>
      <w:tr w:rsidR="00F856DD" w14:paraId="1EAE2D66" w14:textId="77777777" w:rsidTr="00C03C93">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65838CB2" w14:textId="75FE51F3" w:rsidR="00F856DD" w:rsidRPr="0077572A" w:rsidRDefault="00F856DD" w:rsidP="00456799">
            <w:pPr>
              <w:spacing w:before="0"/>
              <w:rPr>
                <w:sz w:val="20"/>
                <w:szCs w:val="20"/>
              </w:rPr>
            </w:pPr>
            <w:r w:rsidRPr="0077572A">
              <w:rPr>
                <w:sz w:val="20"/>
                <w:szCs w:val="20"/>
              </w:rPr>
              <w:t>Examples of entrepreneurial activities (</w:t>
            </w:r>
            <w:r w:rsidR="00DD7FF7" w:rsidRPr="00DD7FF7">
              <w:rPr>
                <w:sz w:val="20"/>
                <w:szCs w:val="20"/>
              </w:rPr>
              <w:t>men/ women; people with disabilities</w:t>
            </w:r>
            <w:r w:rsidRPr="0077572A">
              <w:rPr>
                <w:sz w:val="20"/>
                <w:szCs w:val="20"/>
              </w:rPr>
              <w:t>) supported with financial and/or business development services</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1E8A9B24" w14:textId="2D26C626" w:rsidR="004F3E2F" w:rsidRPr="0077572A" w:rsidRDefault="001102DC">
            <w:pPr>
              <w:spacing w:before="0"/>
              <w:rPr>
                <w:sz w:val="20"/>
                <w:szCs w:val="20"/>
              </w:rPr>
            </w:pPr>
            <w:r>
              <w:rPr>
                <w:sz w:val="20"/>
                <w:szCs w:val="20"/>
              </w:rPr>
              <w:t>In partnership with the United States</w:t>
            </w:r>
            <w:r w:rsidR="008F49D5">
              <w:t xml:space="preserve"> </w:t>
            </w:r>
            <w:r w:rsidR="008F49D5" w:rsidRPr="008F49D5">
              <w:rPr>
                <w:sz w:val="20"/>
                <w:szCs w:val="20"/>
              </w:rPr>
              <w:t>and the World Bank</w:t>
            </w:r>
            <w:r w:rsidR="00F856DD" w:rsidRPr="0077572A">
              <w:rPr>
                <w:sz w:val="20"/>
                <w:szCs w:val="20"/>
              </w:rPr>
              <w:t xml:space="preserve">, </w:t>
            </w:r>
            <w:r>
              <w:rPr>
                <w:sz w:val="20"/>
                <w:szCs w:val="20"/>
              </w:rPr>
              <w:t xml:space="preserve">supported </w:t>
            </w:r>
            <w:r w:rsidR="00F856DD" w:rsidRPr="0077572A">
              <w:rPr>
                <w:sz w:val="20"/>
                <w:szCs w:val="20"/>
              </w:rPr>
              <w:t xml:space="preserve">the Lao PDR Competitiveness and Trade project </w:t>
            </w:r>
            <w:r>
              <w:rPr>
                <w:sz w:val="20"/>
                <w:szCs w:val="20"/>
              </w:rPr>
              <w:t xml:space="preserve">to </w:t>
            </w:r>
            <w:r w:rsidR="00F856DD" w:rsidRPr="0077572A">
              <w:rPr>
                <w:sz w:val="20"/>
                <w:szCs w:val="20"/>
              </w:rPr>
              <w:t xml:space="preserve">increase the target number of companies </w:t>
            </w:r>
            <w:r>
              <w:rPr>
                <w:sz w:val="20"/>
                <w:szCs w:val="20"/>
              </w:rPr>
              <w:t>assisted</w:t>
            </w:r>
            <w:r w:rsidRPr="0077572A">
              <w:rPr>
                <w:sz w:val="20"/>
                <w:szCs w:val="20"/>
              </w:rPr>
              <w:t xml:space="preserve"> </w:t>
            </w:r>
            <w:r w:rsidR="00F856DD" w:rsidRPr="0077572A">
              <w:rPr>
                <w:sz w:val="20"/>
                <w:szCs w:val="20"/>
              </w:rPr>
              <w:t>by the Business Assistance Facility from 300 to 500.</w:t>
            </w:r>
            <w:r>
              <w:rPr>
                <w:sz w:val="20"/>
                <w:szCs w:val="20"/>
              </w:rPr>
              <w:t xml:space="preserve"> </w:t>
            </w:r>
            <w:r w:rsidR="00F856DD" w:rsidRPr="0077572A">
              <w:rPr>
                <w:sz w:val="20"/>
                <w:szCs w:val="20"/>
              </w:rPr>
              <w:t>As of June 2021, the project had approved 169 grants to SMEs.</w:t>
            </w:r>
            <w:r>
              <w:rPr>
                <w:sz w:val="20"/>
                <w:szCs w:val="20"/>
              </w:rPr>
              <w:t xml:space="preserve"> </w:t>
            </w:r>
            <w:r w:rsidR="00F856DD" w:rsidRPr="0077572A">
              <w:rPr>
                <w:sz w:val="20"/>
                <w:szCs w:val="20"/>
              </w:rPr>
              <w:t>107 (63</w:t>
            </w:r>
            <w:r w:rsidR="00AE1BC7">
              <w:rPr>
                <w:sz w:val="20"/>
                <w:szCs w:val="20"/>
              </w:rPr>
              <w:t xml:space="preserve"> per cent</w:t>
            </w:r>
            <w:r w:rsidR="00F856DD" w:rsidRPr="0077572A">
              <w:rPr>
                <w:sz w:val="20"/>
                <w:szCs w:val="20"/>
              </w:rPr>
              <w:t>) grants so far have been provided to women-led enterprises</w:t>
            </w:r>
            <w:r w:rsidR="008F49D5">
              <w:rPr>
                <w:color w:val="FF0000"/>
                <w:sz w:val="20"/>
                <w:szCs w:val="20"/>
              </w:rPr>
              <w:t xml:space="preserve">; </w:t>
            </w:r>
            <w:r w:rsidR="008F49D5" w:rsidRPr="008A7572">
              <w:rPr>
                <w:color w:val="auto"/>
                <w:sz w:val="20"/>
                <w:szCs w:val="20"/>
              </w:rPr>
              <w:t>62 grants to male-led businesses. No data on disability.</w:t>
            </w:r>
          </w:p>
        </w:tc>
      </w:tr>
      <w:tr w:rsidR="00F856DD" w14:paraId="4DF45926" w14:textId="77777777" w:rsidTr="00C03C93">
        <w:tc>
          <w:tcPr>
            <w:tcW w:w="382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0B1E2DC4" w14:textId="06EC2441" w:rsidR="00F856DD" w:rsidRPr="0077572A" w:rsidRDefault="00F856DD" w:rsidP="00456799">
            <w:pPr>
              <w:spacing w:before="0"/>
              <w:rPr>
                <w:sz w:val="20"/>
                <w:szCs w:val="20"/>
              </w:rPr>
            </w:pPr>
            <w:r w:rsidRPr="0077572A">
              <w:rPr>
                <w:sz w:val="20"/>
                <w:szCs w:val="20"/>
              </w:rPr>
              <w:t>Number of postgraduate scholarships provided (</w:t>
            </w:r>
            <w:r w:rsidR="00DD7FF7" w:rsidRPr="00DD7FF7">
              <w:rPr>
                <w:sz w:val="20"/>
                <w:szCs w:val="20"/>
              </w:rPr>
              <w:t>men/ women; people with disabilities</w:t>
            </w:r>
            <w:r w:rsidRPr="0077572A">
              <w:rPr>
                <w:sz w:val="20"/>
                <w:szCs w:val="20"/>
              </w:rPr>
              <w:t>) in priority areas for economic growth, quality governance and inclusive development (target: 30 per year)</w:t>
            </w:r>
          </w:p>
        </w:tc>
        <w:tc>
          <w:tcPr>
            <w:tcW w:w="6713" w:type="dxa"/>
            <w:tcBorders>
              <w:top w:val="single" w:sz="4" w:space="0" w:color="3DA18F" w:themeColor="accent1" w:themeShade="BF"/>
              <w:left w:val="single" w:sz="4" w:space="0" w:color="3DA18F" w:themeColor="accent1" w:themeShade="BF"/>
              <w:bottom w:val="single" w:sz="4" w:space="0" w:color="3DA18F" w:themeColor="accent1" w:themeShade="BF"/>
              <w:right w:val="single" w:sz="4" w:space="0" w:color="3DA18F" w:themeColor="accent1" w:themeShade="BF"/>
            </w:tcBorders>
          </w:tcPr>
          <w:p w14:paraId="1659F935" w14:textId="02C96C0F" w:rsidR="00F856DD" w:rsidRPr="0077572A" w:rsidRDefault="001102DC" w:rsidP="003B7C10">
            <w:pPr>
              <w:spacing w:before="0" w:line="240" w:lineRule="auto"/>
              <w:rPr>
                <w:sz w:val="20"/>
                <w:szCs w:val="20"/>
              </w:rPr>
            </w:pPr>
            <w:r>
              <w:rPr>
                <w:sz w:val="20"/>
                <w:szCs w:val="20"/>
              </w:rPr>
              <w:t xml:space="preserve">Through the </w:t>
            </w:r>
            <w:r w:rsidR="00F856DD" w:rsidRPr="0077572A">
              <w:rPr>
                <w:sz w:val="20"/>
                <w:szCs w:val="20"/>
              </w:rPr>
              <w:t>Laos-Australia Institute</w:t>
            </w:r>
            <w:r>
              <w:rPr>
                <w:sz w:val="20"/>
                <w:szCs w:val="20"/>
              </w:rPr>
              <w:t xml:space="preserve">, </w:t>
            </w:r>
            <w:r w:rsidR="00F856DD" w:rsidRPr="0077572A">
              <w:rPr>
                <w:sz w:val="20"/>
                <w:szCs w:val="20"/>
              </w:rPr>
              <w:t>assisted 63 disadvantaged Lao students (56</w:t>
            </w:r>
            <w:r w:rsidR="00AE1BC7">
              <w:rPr>
                <w:sz w:val="20"/>
                <w:szCs w:val="20"/>
              </w:rPr>
              <w:t xml:space="preserve"> per cent</w:t>
            </w:r>
            <w:r w:rsidR="00C076F7" w:rsidRPr="0077572A">
              <w:rPr>
                <w:sz w:val="20"/>
                <w:szCs w:val="20"/>
              </w:rPr>
              <w:t xml:space="preserve"> </w:t>
            </w:r>
            <w:r w:rsidR="00DD7FF7">
              <w:rPr>
                <w:sz w:val="20"/>
                <w:szCs w:val="20"/>
              </w:rPr>
              <w:t>women</w:t>
            </w:r>
            <w:r w:rsidR="00F856DD" w:rsidRPr="0077572A">
              <w:rPr>
                <w:sz w:val="20"/>
                <w:szCs w:val="20"/>
              </w:rPr>
              <w:t>; 14</w:t>
            </w:r>
            <w:r w:rsidR="00AE1BC7">
              <w:rPr>
                <w:sz w:val="20"/>
                <w:szCs w:val="20"/>
              </w:rPr>
              <w:t xml:space="preserve"> per cent</w:t>
            </w:r>
            <w:r w:rsidR="00C076F7" w:rsidRPr="0077572A">
              <w:rPr>
                <w:sz w:val="20"/>
                <w:szCs w:val="20"/>
              </w:rPr>
              <w:t xml:space="preserve"> people with disabilit</w:t>
            </w:r>
            <w:r w:rsidR="00DD7FF7">
              <w:rPr>
                <w:sz w:val="20"/>
                <w:szCs w:val="20"/>
              </w:rPr>
              <w:t>ies</w:t>
            </w:r>
            <w:r w:rsidR="00F856DD" w:rsidRPr="0077572A">
              <w:rPr>
                <w:sz w:val="20"/>
                <w:szCs w:val="20"/>
              </w:rPr>
              <w:t xml:space="preserve">) to graduate with a </w:t>
            </w:r>
            <w:proofErr w:type="gramStart"/>
            <w:r w:rsidR="00F856DD" w:rsidRPr="0077572A">
              <w:rPr>
                <w:sz w:val="20"/>
                <w:szCs w:val="20"/>
              </w:rPr>
              <w:t>Bachelor’s</w:t>
            </w:r>
            <w:proofErr w:type="gramEnd"/>
            <w:r w:rsidR="00F856DD" w:rsidRPr="0077572A">
              <w:rPr>
                <w:sz w:val="20"/>
                <w:szCs w:val="20"/>
              </w:rPr>
              <w:t xml:space="preserve"> degree and additional employable skills. </w:t>
            </w:r>
          </w:p>
          <w:p w14:paraId="51B66F71" w14:textId="4E655FCE" w:rsidR="00262F5C" w:rsidRPr="0077572A" w:rsidRDefault="00F856DD" w:rsidP="003B7C10">
            <w:pPr>
              <w:spacing w:before="0" w:line="240" w:lineRule="auto"/>
              <w:rPr>
                <w:sz w:val="20"/>
                <w:szCs w:val="20"/>
              </w:rPr>
            </w:pPr>
            <w:r w:rsidRPr="0077572A">
              <w:rPr>
                <w:sz w:val="20"/>
                <w:szCs w:val="20"/>
              </w:rPr>
              <w:t>100</w:t>
            </w:r>
            <w:r w:rsidR="00AE1BC7">
              <w:rPr>
                <w:sz w:val="20"/>
                <w:szCs w:val="20"/>
              </w:rPr>
              <w:t xml:space="preserve"> per cent</w:t>
            </w:r>
            <w:r w:rsidRPr="0077572A">
              <w:rPr>
                <w:sz w:val="20"/>
                <w:szCs w:val="20"/>
              </w:rPr>
              <w:t xml:space="preserve"> (33/33) of Australia Awards students completed studies in priority areas, exceeding </w:t>
            </w:r>
            <w:r w:rsidR="001102DC">
              <w:rPr>
                <w:sz w:val="20"/>
                <w:szCs w:val="20"/>
              </w:rPr>
              <w:t>the</w:t>
            </w:r>
            <w:r w:rsidR="001102DC" w:rsidRPr="0077572A">
              <w:rPr>
                <w:sz w:val="20"/>
                <w:szCs w:val="20"/>
              </w:rPr>
              <w:t xml:space="preserve"> </w:t>
            </w:r>
            <w:r w:rsidRPr="0077572A">
              <w:rPr>
                <w:sz w:val="20"/>
                <w:szCs w:val="20"/>
              </w:rPr>
              <w:t>95</w:t>
            </w:r>
            <w:r w:rsidR="00AE1BC7">
              <w:rPr>
                <w:sz w:val="20"/>
                <w:szCs w:val="20"/>
              </w:rPr>
              <w:t xml:space="preserve"> per cent</w:t>
            </w:r>
            <w:r w:rsidRPr="0077572A">
              <w:rPr>
                <w:sz w:val="20"/>
                <w:szCs w:val="20"/>
              </w:rPr>
              <w:t xml:space="preserve"> target</w:t>
            </w:r>
            <w:r w:rsidR="002C4378" w:rsidRPr="0077572A">
              <w:rPr>
                <w:sz w:val="20"/>
                <w:szCs w:val="20"/>
              </w:rPr>
              <w:t>,</w:t>
            </w:r>
            <w:r w:rsidRPr="0077572A">
              <w:rPr>
                <w:sz w:val="20"/>
                <w:szCs w:val="20"/>
              </w:rPr>
              <w:t xml:space="preserve"> includ</w:t>
            </w:r>
            <w:r w:rsidR="002C4378" w:rsidRPr="0077572A">
              <w:rPr>
                <w:sz w:val="20"/>
                <w:szCs w:val="20"/>
              </w:rPr>
              <w:t>ing</w:t>
            </w:r>
            <w:r w:rsidRPr="0077572A">
              <w:rPr>
                <w:sz w:val="20"/>
                <w:szCs w:val="20"/>
              </w:rPr>
              <w:t xml:space="preserve"> </w:t>
            </w:r>
            <w:r w:rsidR="00DD7FF7">
              <w:rPr>
                <w:sz w:val="20"/>
                <w:szCs w:val="20"/>
              </w:rPr>
              <w:t>one</w:t>
            </w:r>
            <w:r w:rsidRPr="0077572A">
              <w:rPr>
                <w:sz w:val="20"/>
                <w:szCs w:val="20"/>
              </w:rPr>
              <w:t xml:space="preserve"> student</w:t>
            </w:r>
            <w:r w:rsidR="006017C2" w:rsidRPr="0077572A">
              <w:rPr>
                <w:sz w:val="20"/>
                <w:szCs w:val="20"/>
              </w:rPr>
              <w:t xml:space="preserve"> with disabilit</w:t>
            </w:r>
            <w:r w:rsidR="00DD7FF7">
              <w:rPr>
                <w:sz w:val="20"/>
                <w:szCs w:val="20"/>
              </w:rPr>
              <w:t>ies</w:t>
            </w:r>
            <w:r w:rsidR="006017C2" w:rsidRPr="0077572A">
              <w:rPr>
                <w:sz w:val="20"/>
                <w:szCs w:val="20"/>
              </w:rPr>
              <w:t>.</w:t>
            </w:r>
          </w:p>
          <w:p w14:paraId="14BA207A" w14:textId="4D84EEE8" w:rsidR="00F856DD" w:rsidRPr="0077572A" w:rsidRDefault="00F856DD" w:rsidP="003B7C10">
            <w:pPr>
              <w:spacing w:before="0" w:line="240" w:lineRule="auto"/>
              <w:rPr>
                <w:sz w:val="20"/>
                <w:szCs w:val="20"/>
              </w:rPr>
            </w:pPr>
            <w:r w:rsidRPr="0077572A">
              <w:rPr>
                <w:sz w:val="20"/>
                <w:szCs w:val="20"/>
              </w:rPr>
              <w:t>98</w:t>
            </w:r>
            <w:r w:rsidR="00AE1BC7">
              <w:rPr>
                <w:sz w:val="20"/>
                <w:szCs w:val="20"/>
              </w:rPr>
              <w:t xml:space="preserve"> per cent</w:t>
            </w:r>
            <w:r w:rsidRPr="0077572A">
              <w:rPr>
                <w:sz w:val="20"/>
                <w:szCs w:val="20"/>
              </w:rPr>
              <w:t xml:space="preserve"> (63/64) of Laos Australia National Scholarships (LANS) </w:t>
            </w:r>
            <w:r w:rsidR="002C4378" w:rsidRPr="0077572A">
              <w:rPr>
                <w:sz w:val="20"/>
                <w:szCs w:val="20"/>
              </w:rPr>
              <w:t xml:space="preserve">students </w:t>
            </w:r>
            <w:r w:rsidRPr="0077572A">
              <w:rPr>
                <w:sz w:val="20"/>
                <w:szCs w:val="20"/>
              </w:rPr>
              <w:t xml:space="preserve">completed their studies, exceeding </w:t>
            </w:r>
            <w:r w:rsidR="001102DC">
              <w:rPr>
                <w:sz w:val="20"/>
                <w:szCs w:val="20"/>
              </w:rPr>
              <w:t>the</w:t>
            </w:r>
            <w:r w:rsidR="001102DC" w:rsidRPr="0077572A">
              <w:rPr>
                <w:sz w:val="20"/>
                <w:szCs w:val="20"/>
              </w:rPr>
              <w:t xml:space="preserve"> </w:t>
            </w:r>
            <w:r w:rsidRPr="0077572A">
              <w:rPr>
                <w:sz w:val="20"/>
                <w:szCs w:val="20"/>
              </w:rPr>
              <w:t>95</w:t>
            </w:r>
            <w:r w:rsidR="00AE1BC7">
              <w:rPr>
                <w:sz w:val="20"/>
                <w:szCs w:val="20"/>
              </w:rPr>
              <w:t xml:space="preserve"> per cent</w:t>
            </w:r>
            <w:r w:rsidRPr="0077572A">
              <w:rPr>
                <w:sz w:val="20"/>
                <w:szCs w:val="20"/>
              </w:rPr>
              <w:t xml:space="preserve"> target. </w:t>
            </w:r>
          </w:p>
          <w:p w14:paraId="1FB78EE0" w14:textId="7424BE8A" w:rsidR="00F856DD" w:rsidRPr="0077572A" w:rsidRDefault="00F856DD" w:rsidP="003B7C10">
            <w:pPr>
              <w:spacing w:before="0" w:line="240" w:lineRule="auto"/>
              <w:rPr>
                <w:sz w:val="20"/>
                <w:szCs w:val="20"/>
              </w:rPr>
            </w:pPr>
            <w:r w:rsidRPr="0077572A">
              <w:rPr>
                <w:sz w:val="20"/>
                <w:szCs w:val="20"/>
              </w:rPr>
              <w:t>100</w:t>
            </w:r>
            <w:r w:rsidR="00AE1BC7">
              <w:rPr>
                <w:sz w:val="20"/>
                <w:szCs w:val="20"/>
              </w:rPr>
              <w:t xml:space="preserve"> per cent</w:t>
            </w:r>
            <w:r w:rsidRPr="0077572A">
              <w:rPr>
                <w:sz w:val="20"/>
                <w:szCs w:val="20"/>
              </w:rPr>
              <w:t xml:space="preserve"> of Australia Alumni provide</w:t>
            </w:r>
            <w:r w:rsidR="001102DC">
              <w:rPr>
                <w:sz w:val="20"/>
                <w:szCs w:val="20"/>
              </w:rPr>
              <w:t xml:space="preserve">d </w:t>
            </w:r>
            <w:r w:rsidRPr="0077572A">
              <w:rPr>
                <w:sz w:val="20"/>
                <w:szCs w:val="20"/>
              </w:rPr>
              <w:t>credible and relevant examples of contribution to development in key sectors</w:t>
            </w:r>
            <w:r w:rsidR="00D11D95" w:rsidRPr="0077572A">
              <w:rPr>
                <w:sz w:val="20"/>
                <w:szCs w:val="20"/>
              </w:rPr>
              <w:t xml:space="preserve">, exceeding </w:t>
            </w:r>
            <w:r w:rsidR="001102DC">
              <w:rPr>
                <w:sz w:val="20"/>
                <w:szCs w:val="20"/>
              </w:rPr>
              <w:t>the</w:t>
            </w:r>
            <w:r w:rsidR="001102DC" w:rsidRPr="0077572A">
              <w:rPr>
                <w:sz w:val="20"/>
                <w:szCs w:val="20"/>
              </w:rPr>
              <w:t xml:space="preserve"> </w:t>
            </w:r>
            <w:r w:rsidR="00D11D95" w:rsidRPr="0077572A">
              <w:rPr>
                <w:sz w:val="20"/>
                <w:szCs w:val="20"/>
              </w:rPr>
              <w:t>95</w:t>
            </w:r>
            <w:r w:rsidR="00AE1BC7">
              <w:rPr>
                <w:sz w:val="20"/>
                <w:szCs w:val="20"/>
              </w:rPr>
              <w:t xml:space="preserve"> per cent</w:t>
            </w:r>
            <w:r w:rsidR="00D11D95" w:rsidRPr="0077572A">
              <w:rPr>
                <w:sz w:val="20"/>
                <w:szCs w:val="20"/>
              </w:rPr>
              <w:t xml:space="preserve"> target</w:t>
            </w:r>
            <w:r w:rsidR="006017C2" w:rsidRPr="0077572A">
              <w:rPr>
                <w:sz w:val="20"/>
                <w:szCs w:val="20"/>
              </w:rPr>
              <w:t>.</w:t>
            </w:r>
          </w:p>
          <w:p w14:paraId="23FB0B59" w14:textId="3385BF2E" w:rsidR="00F856DD" w:rsidRPr="0077572A" w:rsidRDefault="00F856DD" w:rsidP="003B7C10">
            <w:pPr>
              <w:spacing w:before="0" w:line="240" w:lineRule="auto"/>
              <w:rPr>
                <w:sz w:val="20"/>
                <w:szCs w:val="20"/>
              </w:rPr>
            </w:pPr>
            <w:r w:rsidRPr="0077572A">
              <w:rPr>
                <w:sz w:val="20"/>
                <w:szCs w:val="20"/>
              </w:rPr>
              <w:t>100</w:t>
            </w:r>
            <w:r w:rsidR="00AE1BC7">
              <w:rPr>
                <w:sz w:val="20"/>
                <w:szCs w:val="20"/>
              </w:rPr>
              <w:t xml:space="preserve"> per cent</w:t>
            </w:r>
            <w:r w:rsidRPr="0077572A">
              <w:rPr>
                <w:sz w:val="20"/>
                <w:szCs w:val="20"/>
              </w:rPr>
              <w:t xml:space="preserve"> (21/21) of </w:t>
            </w:r>
            <w:r w:rsidR="00DD7FF7">
              <w:rPr>
                <w:sz w:val="20"/>
                <w:szCs w:val="20"/>
              </w:rPr>
              <w:t>women</w:t>
            </w:r>
            <w:r w:rsidRPr="0077572A">
              <w:rPr>
                <w:sz w:val="20"/>
                <w:szCs w:val="20"/>
              </w:rPr>
              <w:t xml:space="preserve"> Australia Awards, and 100</w:t>
            </w:r>
            <w:r w:rsidR="00AE1BC7">
              <w:rPr>
                <w:sz w:val="20"/>
                <w:szCs w:val="20"/>
              </w:rPr>
              <w:t xml:space="preserve"> per cent</w:t>
            </w:r>
            <w:r w:rsidRPr="0077572A">
              <w:rPr>
                <w:sz w:val="20"/>
                <w:szCs w:val="20"/>
              </w:rPr>
              <w:t xml:space="preserve"> (34/34) of </w:t>
            </w:r>
            <w:r w:rsidR="00DD7FF7">
              <w:rPr>
                <w:sz w:val="20"/>
                <w:szCs w:val="20"/>
              </w:rPr>
              <w:t>women</w:t>
            </w:r>
            <w:r w:rsidRPr="0077572A">
              <w:rPr>
                <w:sz w:val="20"/>
                <w:szCs w:val="20"/>
              </w:rPr>
              <w:t xml:space="preserve"> LANS awardees completed their studies, exceeding our 95</w:t>
            </w:r>
            <w:r w:rsidR="00AE1BC7">
              <w:rPr>
                <w:sz w:val="20"/>
                <w:szCs w:val="20"/>
              </w:rPr>
              <w:t xml:space="preserve"> per cent</w:t>
            </w:r>
            <w:r w:rsidRPr="0077572A">
              <w:rPr>
                <w:sz w:val="20"/>
                <w:szCs w:val="20"/>
              </w:rPr>
              <w:t xml:space="preserve"> target</w:t>
            </w:r>
            <w:r w:rsidR="006017C2" w:rsidRPr="0077572A">
              <w:rPr>
                <w:sz w:val="20"/>
                <w:szCs w:val="20"/>
              </w:rPr>
              <w:t>.</w:t>
            </w:r>
          </w:p>
        </w:tc>
      </w:tr>
    </w:tbl>
    <w:p w14:paraId="61B899A6" w14:textId="01EB6254" w:rsidR="00A107B9" w:rsidRDefault="00A107B9" w:rsidP="001F7F4D"/>
    <w:p w14:paraId="718B4B9C" w14:textId="77777777" w:rsidR="00AF18F4" w:rsidRDefault="00AF18F4" w:rsidP="001F7F4D">
      <w:pPr>
        <w:sectPr w:rsidR="00AF18F4" w:rsidSect="00166026">
          <w:pgSz w:w="11906" w:h="16838" w:code="9"/>
          <w:pgMar w:top="1559" w:right="680" w:bottom="1134" w:left="680" w:header="425" w:footer="567" w:gutter="0"/>
          <w:cols w:space="397"/>
          <w:docGrid w:linePitch="360"/>
        </w:sectPr>
      </w:pPr>
    </w:p>
    <w:p w14:paraId="06ABEE3D" w14:textId="49CB6268" w:rsidR="00D1231A" w:rsidRPr="00456799" w:rsidRDefault="00121DDD" w:rsidP="009D4193">
      <w:pPr>
        <w:pStyle w:val="Heading2"/>
      </w:pPr>
      <w:r w:rsidRPr="00456799">
        <w:t>Annex 2</w:t>
      </w:r>
      <w:r w:rsidR="00D1231A" w:rsidRPr="00456799">
        <w:t>: Investment Performance</w:t>
      </w:r>
      <w:r w:rsidR="000F78C9" w:rsidRPr="00456799">
        <w:t xml:space="preserve"> ratings</w:t>
      </w:r>
    </w:p>
    <w:tbl>
      <w:tblPr>
        <w:tblStyle w:val="GridTable4-Accent1"/>
        <w:tblW w:w="10288" w:type="dxa"/>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299"/>
        <w:gridCol w:w="1075"/>
        <w:gridCol w:w="1273"/>
        <w:gridCol w:w="1351"/>
        <w:gridCol w:w="1508"/>
      </w:tblGrid>
      <w:tr w:rsidR="00456799" w:rsidRPr="00456799" w14:paraId="298EBC79" w14:textId="77777777" w:rsidTr="000545FE">
        <w:trPr>
          <w:cnfStyle w:val="100000000000" w:firstRow="1" w:lastRow="0" w:firstColumn="0" w:lastColumn="0" w:oddVBand="0" w:evenVBand="0" w:oddHBand="0" w:evenHBand="0" w:firstRowFirstColumn="0" w:firstRowLastColumn="0" w:lastRowFirstColumn="0" w:lastRowLastColumn="0"/>
          <w:trHeight w:val="286"/>
          <w:tblHeader/>
        </w:trPr>
        <w:tc>
          <w:tcPr>
            <w:cnfStyle w:val="001000000000" w:firstRow="0" w:lastRow="0" w:firstColumn="1" w:lastColumn="0" w:oddVBand="0" w:evenVBand="0" w:oddHBand="0" w:evenHBand="0" w:firstRowFirstColumn="0" w:firstRowLastColumn="0" w:lastRowFirstColumn="0" w:lastRowLastColumn="0"/>
            <w:tcW w:w="5299" w:type="dxa"/>
            <w:shd w:val="clear" w:color="auto" w:fill="A2DCD1" w:themeFill="accent1" w:themeFillTint="99"/>
            <w:noWrap/>
            <w:hideMark/>
          </w:tcPr>
          <w:p w14:paraId="2E660455" w14:textId="77777777" w:rsidR="00E31023" w:rsidRPr="00456799" w:rsidRDefault="00E31023" w:rsidP="007F1220">
            <w:pPr>
              <w:spacing w:before="60"/>
              <w:jc w:val="center"/>
              <w:rPr>
                <w:rFonts w:ascii="Calibri Light" w:hAnsi="Calibri Light" w:cs="Calibri Light"/>
                <w:b w:val="0"/>
                <w:bCs w:val="0"/>
                <w:sz w:val="20"/>
                <w:szCs w:val="20"/>
                <w:lang w:val="en-AU" w:eastAsia="en-AU"/>
              </w:rPr>
            </w:pPr>
            <w:r w:rsidRPr="00456799">
              <w:rPr>
                <w:rFonts w:ascii="Calibri Light" w:hAnsi="Calibri Light" w:cs="Calibri Light"/>
                <w:sz w:val="20"/>
                <w:szCs w:val="20"/>
                <w:lang w:eastAsia="en-AU"/>
              </w:rPr>
              <w:t>Investment Details</w:t>
            </w:r>
          </w:p>
        </w:tc>
        <w:tc>
          <w:tcPr>
            <w:tcW w:w="1075" w:type="dxa"/>
            <w:shd w:val="clear" w:color="auto" w:fill="A2DCD1" w:themeFill="accent1" w:themeFillTint="99"/>
            <w:noWrap/>
            <w:hideMark/>
          </w:tcPr>
          <w:p w14:paraId="1AC0EF72" w14:textId="3E6F6A68" w:rsidR="00E31023" w:rsidRPr="00456799" w:rsidRDefault="00E31023" w:rsidP="007F1220">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Year</w:t>
            </w:r>
          </w:p>
        </w:tc>
        <w:tc>
          <w:tcPr>
            <w:tcW w:w="1055" w:type="dxa"/>
            <w:shd w:val="clear" w:color="auto" w:fill="A2DCD1" w:themeFill="accent1" w:themeFillTint="99"/>
            <w:noWrap/>
            <w:hideMark/>
          </w:tcPr>
          <w:p w14:paraId="76AEB596" w14:textId="77777777" w:rsidR="00E31023" w:rsidRPr="00456799" w:rsidRDefault="00E31023" w:rsidP="007F1220">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Effectiveness</w:t>
            </w:r>
          </w:p>
        </w:tc>
        <w:tc>
          <w:tcPr>
            <w:tcW w:w="1351" w:type="dxa"/>
            <w:shd w:val="clear" w:color="auto" w:fill="A2DCD1" w:themeFill="accent1" w:themeFillTint="99"/>
            <w:noWrap/>
            <w:hideMark/>
          </w:tcPr>
          <w:p w14:paraId="27793F25" w14:textId="77777777" w:rsidR="00E31023" w:rsidRPr="00456799" w:rsidRDefault="00E31023" w:rsidP="007F1220">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Efficiency</w:t>
            </w:r>
          </w:p>
        </w:tc>
        <w:tc>
          <w:tcPr>
            <w:tcW w:w="1508" w:type="dxa"/>
            <w:shd w:val="clear" w:color="auto" w:fill="A2DCD1" w:themeFill="accent1" w:themeFillTint="99"/>
            <w:noWrap/>
            <w:hideMark/>
          </w:tcPr>
          <w:p w14:paraId="71782776" w14:textId="0E1FC138" w:rsidR="00E31023" w:rsidRPr="00456799" w:rsidRDefault="00E31023" w:rsidP="007F1220">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 xml:space="preserve">Gender </w:t>
            </w:r>
          </w:p>
        </w:tc>
      </w:tr>
      <w:tr w:rsidR="00456799" w:rsidRPr="00456799" w14:paraId="064A76FF" w14:textId="77777777" w:rsidTr="000545F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65C5B4" w:themeColor="accent1"/>
              <w:bottom w:val="nil"/>
            </w:tcBorders>
            <w:hideMark/>
          </w:tcPr>
          <w:p w14:paraId="63E1494B" w14:textId="69FD9150" w:rsidR="00E31023" w:rsidRPr="00456799" w:rsidRDefault="00E31023" w:rsidP="007F1220">
            <w:pPr>
              <w:spacing w:before="6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Basic Education Quality and Access in Laos</w:t>
            </w:r>
          </w:p>
        </w:tc>
        <w:tc>
          <w:tcPr>
            <w:tcW w:w="1075" w:type="dxa"/>
            <w:hideMark/>
          </w:tcPr>
          <w:p w14:paraId="54C5AC32"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2021</w:t>
            </w:r>
          </w:p>
        </w:tc>
        <w:tc>
          <w:tcPr>
            <w:tcW w:w="1055" w:type="dxa"/>
            <w:noWrap/>
            <w:hideMark/>
          </w:tcPr>
          <w:p w14:paraId="3E6BCDDC"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351" w:type="dxa"/>
            <w:noWrap/>
            <w:hideMark/>
          </w:tcPr>
          <w:p w14:paraId="48C546A4"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c>
          <w:tcPr>
            <w:tcW w:w="1508" w:type="dxa"/>
            <w:noWrap/>
            <w:hideMark/>
          </w:tcPr>
          <w:p w14:paraId="5333D3A0"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r>
      <w:tr w:rsidR="00456799" w:rsidRPr="00456799" w14:paraId="764F5C11" w14:textId="77777777" w:rsidTr="000545FE">
        <w:trPr>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nil"/>
              <w:bottom w:val="single" w:sz="4" w:space="0" w:color="65C5B4" w:themeColor="accent1"/>
            </w:tcBorders>
            <w:shd w:val="clear" w:color="auto" w:fill="E0F3EF" w:themeFill="accent1" w:themeFillTint="33"/>
            <w:hideMark/>
          </w:tcPr>
          <w:p w14:paraId="71C3CE41" w14:textId="05476659" w:rsidR="00E31023" w:rsidRPr="00456799" w:rsidRDefault="00456799" w:rsidP="007F1220">
            <w:pPr>
              <w:spacing w:before="60"/>
              <w:ind w:firstLine="200"/>
              <w:rPr>
                <w:rFonts w:ascii="Calibri Light" w:hAnsi="Calibri Light" w:cs="Calibri Light"/>
                <w:b w:val="0"/>
                <w:bCs w:val="0"/>
                <w:sz w:val="20"/>
                <w:szCs w:val="20"/>
                <w:lang w:eastAsia="en-AU"/>
              </w:rPr>
            </w:pPr>
            <w:r>
              <w:rPr>
                <w:rFonts w:ascii="Calibri Light" w:hAnsi="Calibri Light" w:cs="Calibri Light"/>
                <w:b w:val="0"/>
                <w:bCs w:val="0"/>
                <w:sz w:val="20"/>
                <w:szCs w:val="20"/>
                <w:lang w:eastAsia="en-AU"/>
              </w:rPr>
              <w:t xml:space="preserve">Investment </w:t>
            </w:r>
            <w:r w:rsidR="005907ED">
              <w:rPr>
                <w:rFonts w:ascii="Calibri Light" w:hAnsi="Calibri Light" w:cs="Calibri Light"/>
                <w:b w:val="0"/>
                <w:bCs w:val="0"/>
                <w:sz w:val="20"/>
                <w:szCs w:val="20"/>
                <w:lang w:eastAsia="en-AU"/>
              </w:rPr>
              <w:t>d</w:t>
            </w:r>
            <w:r w:rsidR="00E31023" w:rsidRPr="00456799">
              <w:rPr>
                <w:rFonts w:ascii="Calibri Light" w:hAnsi="Calibri Light" w:cs="Calibri Light"/>
                <w:b w:val="0"/>
                <w:bCs w:val="0"/>
                <w:sz w:val="20"/>
                <w:szCs w:val="20"/>
                <w:lang w:eastAsia="en-AU"/>
              </w:rPr>
              <w:t>uration: 2016-</w:t>
            </w:r>
            <w:r>
              <w:rPr>
                <w:rFonts w:ascii="Calibri Light" w:hAnsi="Calibri Light" w:cs="Calibri Light"/>
                <w:b w:val="0"/>
                <w:bCs w:val="0"/>
                <w:sz w:val="20"/>
                <w:szCs w:val="20"/>
                <w:lang w:eastAsia="en-AU"/>
              </w:rPr>
              <w:t>20</w:t>
            </w:r>
            <w:r w:rsidR="00E31023" w:rsidRPr="00456799">
              <w:rPr>
                <w:rFonts w:ascii="Calibri Light" w:hAnsi="Calibri Light" w:cs="Calibri Light"/>
                <w:b w:val="0"/>
                <w:bCs w:val="0"/>
                <w:sz w:val="20"/>
                <w:szCs w:val="20"/>
                <w:lang w:eastAsia="en-AU"/>
              </w:rPr>
              <w:t>22; Budget:</w:t>
            </w:r>
            <w:r>
              <w:rPr>
                <w:rFonts w:ascii="Calibri Light" w:hAnsi="Calibri Light" w:cs="Calibri Light"/>
                <w:b w:val="0"/>
                <w:bCs w:val="0"/>
                <w:sz w:val="20"/>
                <w:szCs w:val="20"/>
                <w:lang w:eastAsia="en-AU"/>
              </w:rPr>
              <w:t xml:space="preserve"> </w:t>
            </w:r>
            <w:r w:rsidR="00E31023" w:rsidRPr="00456799">
              <w:rPr>
                <w:rFonts w:ascii="Calibri Light" w:hAnsi="Calibri Light" w:cs="Calibri Light"/>
                <w:b w:val="0"/>
                <w:bCs w:val="0"/>
                <w:sz w:val="20"/>
                <w:szCs w:val="20"/>
                <w:lang w:eastAsia="en-AU"/>
              </w:rPr>
              <w:t xml:space="preserve"> $64.5m </w:t>
            </w:r>
          </w:p>
        </w:tc>
        <w:tc>
          <w:tcPr>
            <w:tcW w:w="1075" w:type="dxa"/>
            <w:shd w:val="clear" w:color="auto" w:fill="E0F3EF" w:themeFill="accent1" w:themeFillTint="33"/>
            <w:hideMark/>
          </w:tcPr>
          <w:p w14:paraId="7FCC8799"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2020</w:t>
            </w:r>
          </w:p>
        </w:tc>
        <w:tc>
          <w:tcPr>
            <w:tcW w:w="1055" w:type="dxa"/>
            <w:shd w:val="clear" w:color="auto" w:fill="E0F3EF" w:themeFill="accent1" w:themeFillTint="33"/>
            <w:noWrap/>
            <w:hideMark/>
          </w:tcPr>
          <w:p w14:paraId="647AFFAD"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c>
          <w:tcPr>
            <w:tcW w:w="1351" w:type="dxa"/>
            <w:shd w:val="clear" w:color="auto" w:fill="E0F3EF" w:themeFill="accent1" w:themeFillTint="33"/>
            <w:noWrap/>
            <w:hideMark/>
          </w:tcPr>
          <w:p w14:paraId="5DAF7CDE"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c>
          <w:tcPr>
            <w:tcW w:w="1508" w:type="dxa"/>
            <w:shd w:val="clear" w:color="auto" w:fill="E0F3EF" w:themeFill="accent1" w:themeFillTint="33"/>
            <w:noWrap/>
            <w:hideMark/>
          </w:tcPr>
          <w:p w14:paraId="30563581"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r>
      <w:tr w:rsidR="00456799" w:rsidRPr="00456799" w14:paraId="459E885B" w14:textId="77777777" w:rsidTr="000545F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65C5B4" w:themeColor="accent1"/>
              <w:bottom w:val="nil"/>
            </w:tcBorders>
            <w:shd w:val="clear" w:color="auto" w:fill="F2F2F2" w:themeFill="background1" w:themeFillShade="F2"/>
            <w:noWrap/>
            <w:hideMark/>
          </w:tcPr>
          <w:p w14:paraId="5D8BFFF2" w14:textId="4860517B" w:rsidR="00E31023" w:rsidRPr="00456799" w:rsidRDefault="00E31023" w:rsidP="007F1220">
            <w:pPr>
              <w:spacing w:before="6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Lao PDR Competitiveness and Trade</w:t>
            </w:r>
          </w:p>
        </w:tc>
        <w:tc>
          <w:tcPr>
            <w:tcW w:w="1075" w:type="dxa"/>
            <w:shd w:val="clear" w:color="auto" w:fill="F2F2F2" w:themeFill="background1" w:themeFillShade="F2"/>
            <w:hideMark/>
          </w:tcPr>
          <w:p w14:paraId="5EE6C5D9"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2021</w:t>
            </w:r>
          </w:p>
        </w:tc>
        <w:tc>
          <w:tcPr>
            <w:tcW w:w="1055" w:type="dxa"/>
            <w:shd w:val="clear" w:color="auto" w:fill="F2F2F2" w:themeFill="background1" w:themeFillShade="F2"/>
            <w:noWrap/>
            <w:hideMark/>
          </w:tcPr>
          <w:p w14:paraId="5640F4FD" w14:textId="1FD7CB9D" w:rsidR="00E31023" w:rsidRPr="00456799" w:rsidRDefault="005E6AF0"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4</w:t>
            </w:r>
          </w:p>
        </w:tc>
        <w:tc>
          <w:tcPr>
            <w:tcW w:w="1351" w:type="dxa"/>
            <w:shd w:val="clear" w:color="auto" w:fill="F2F2F2" w:themeFill="background1" w:themeFillShade="F2"/>
            <w:noWrap/>
            <w:hideMark/>
          </w:tcPr>
          <w:p w14:paraId="150381FA"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508" w:type="dxa"/>
            <w:shd w:val="clear" w:color="auto" w:fill="F2F2F2" w:themeFill="background1" w:themeFillShade="F2"/>
            <w:noWrap/>
            <w:hideMark/>
          </w:tcPr>
          <w:p w14:paraId="429E1528" w14:textId="34AB0CEB" w:rsidR="00E31023" w:rsidRPr="00456799" w:rsidRDefault="005E6AF0"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4</w:t>
            </w:r>
          </w:p>
        </w:tc>
      </w:tr>
      <w:tr w:rsidR="00456799" w:rsidRPr="00456799" w14:paraId="28C7819E" w14:textId="77777777" w:rsidTr="000545FE">
        <w:trPr>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nil"/>
              <w:bottom w:val="single" w:sz="4" w:space="0" w:color="65C5B4" w:themeColor="accent1"/>
            </w:tcBorders>
            <w:shd w:val="clear" w:color="auto" w:fill="F2F2F2" w:themeFill="background1" w:themeFillShade="F2"/>
            <w:hideMark/>
          </w:tcPr>
          <w:p w14:paraId="6DE1E951" w14:textId="1F2E1530" w:rsidR="00E31023" w:rsidRPr="00456799" w:rsidRDefault="00456799" w:rsidP="007F1220">
            <w:pPr>
              <w:spacing w:before="60"/>
              <w:ind w:firstLine="200"/>
              <w:rPr>
                <w:rFonts w:ascii="Calibri Light" w:hAnsi="Calibri Light" w:cs="Calibri Light"/>
                <w:b w:val="0"/>
                <w:bCs w:val="0"/>
                <w:sz w:val="20"/>
                <w:szCs w:val="20"/>
                <w:lang w:eastAsia="en-AU"/>
              </w:rPr>
            </w:pPr>
            <w:r>
              <w:rPr>
                <w:rFonts w:ascii="Calibri Light" w:hAnsi="Calibri Light" w:cs="Calibri Light"/>
                <w:b w:val="0"/>
                <w:bCs w:val="0"/>
                <w:sz w:val="20"/>
                <w:szCs w:val="20"/>
                <w:lang w:eastAsia="en-AU"/>
              </w:rPr>
              <w:t xml:space="preserve">Investment </w:t>
            </w:r>
            <w:r w:rsidR="005907ED">
              <w:rPr>
                <w:rFonts w:ascii="Calibri Light" w:hAnsi="Calibri Light" w:cs="Calibri Light"/>
                <w:b w:val="0"/>
                <w:bCs w:val="0"/>
                <w:sz w:val="20"/>
                <w:szCs w:val="20"/>
                <w:lang w:eastAsia="en-AU"/>
              </w:rPr>
              <w:t>d</w:t>
            </w:r>
            <w:r w:rsidR="00E31023" w:rsidRPr="00456799">
              <w:rPr>
                <w:rFonts w:ascii="Calibri Light" w:hAnsi="Calibri Light" w:cs="Calibri Light"/>
                <w:b w:val="0"/>
                <w:bCs w:val="0"/>
                <w:sz w:val="20"/>
                <w:szCs w:val="20"/>
                <w:lang w:eastAsia="en-AU"/>
              </w:rPr>
              <w:t>uration: 2018-</w:t>
            </w:r>
            <w:r>
              <w:rPr>
                <w:rFonts w:ascii="Calibri Light" w:hAnsi="Calibri Light" w:cs="Calibri Light"/>
                <w:b w:val="0"/>
                <w:bCs w:val="0"/>
                <w:sz w:val="20"/>
                <w:szCs w:val="20"/>
                <w:lang w:eastAsia="en-AU"/>
              </w:rPr>
              <w:t>20</w:t>
            </w:r>
            <w:r w:rsidR="00E31023" w:rsidRPr="00456799">
              <w:rPr>
                <w:rFonts w:ascii="Calibri Light" w:hAnsi="Calibri Light" w:cs="Calibri Light"/>
                <w:b w:val="0"/>
                <w:bCs w:val="0"/>
                <w:sz w:val="20"/>
                <w:szCs w:val="20"/>
                <w:lang w:eastAsia="en-AU"/>
              </w:rPr>
              <w:t xml:space="preserve">23; Budget: $4.5m </w:t>
            </w:r>
          </w:p>
        </w:tc>
        <w:tc>
          <w:tcPr>
            <w:tcW w:w="1075" w:type="dxa"/>
            <w:shd w:val="clear" w:color="auto" w:fill="F2F2F2" w:themeFill="background1" w:themeFillShade="F2"/>
            <w:hideMark/>
          </w:tcPr>
          <w:p w14:paraId="0EC0B59A"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2020</w:t>
            </w:r>
          </w:p>
        </w:tc>
        <w:tc>
          <w:tcPr>
            <w:tcW w:w="1055" w:type="dxa"/>
            <w:shd w:val="clear" w:color="auto" w:fill="F2F2F2" w:themeFill="background1" w:themeFillShade="F2"/>
            <w:noWrap/>
            <w:hideMark/>
          </w:tcPr>
          <w:p w14:paraId="12037B16"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351" w:type="dxa"/>
            <w:shd w:val="clear" w:color="auto" w:fill="F2F2F2" w:themeFill="background1" w:themeFillShade="F2"/>
            <w:noWrap/>
            <w:hideMark/>
          </w:tcPr>
          <w:p w14:paraId="2A95BFEE"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c>
          <w:tcPr>
            <w:tcW w:w="1508" w:type="dxa"/>
            <w:shd w:val="clear" w:color="auto" w:fill="F2F2F2" w:themeFill="background1" w:themeFillShade="F2"/>
            <w:noWrap/>
            <w:hideMark/>
          </w:tcPr>
          <w:p w14:paraId="4DF0C522"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r>
      <w:tr w:rsidR="00456799" w:rsidRPr="00456799" w14:paraId="4BEE4EAD" w14:textId="77777777" w:rsidTr="000545F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65C5B4" w:themeColor="accent1"/>
              <w:bottom w:val="nil"/>
            </w:tcBorders>
            <w:noWrap/>
            <w:hideMark/>
          </w:tcPr>
          <w:p w14:paraId="08C46331" w14:textId="737E6B8B" w:rsidR="00E31023" w:rsidRPr="00456799" w:rsidRDefault="00E31023" w:rsidP="007F1220">
            <w:pPr>
              <w:spacing w:before="6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Access to Finance for the Poor V</w:t>
            </w:r>
          </w:p>
        </w:tc>
        <w:tc>
          <w:tcPr>
            <w:tcW w:w="1075" w:type="dxa"/>
            <w:hideMark/>
          </w:tcPr>
          <w:p w14:paraId="711E0BA4"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2021</w:t>
            </w:r>
          </w:p>
        </w:tc>
        <w:tc>
          <w:tcPr>
            <w:tcW w:w="1055" w:type="dxa"/>
            <w:noWrap/>
            <w:hideMark/>
          </w:tcPr>
          <w:p w14:paraId="28B17F4D"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351" w:type="dxa"/>
            <w:noWrap/>
            <w:hideMark/>
          </w:tcPr>
          <w:p w14:paraId="3C6D7607"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508" w:type="dxa"/>
            <w:noWrap/>
            <w:hideMark/>
          </w:tcPr>
          <w:p w14:paraId="4E55C834"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r>
      <w:tr w:rsidR="00456799" w:rsidRPr="00456799" w14:paraId="723FCE4D" w14:textId="77777777" w:rsidTr="000545FE">
        <w:trPr>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nil"/>
              <w:bottom w:val="single" w:sz="4" w:space="0" w:color="65C5B4" w:themeColor="accent1"/>
            </w:tcBorders>
            <w:shd w:val="clear" w:color="auto" w:fill="E0F3EF" w:themeFill="accent1" w:themeFillTint="33"/>
            <w:hideMark/>
          </w:tcPr>
          <w:p w14:paraId="104D303F" w14:textId="45EF9666" w:rsidR="00E31023" w:rsidRPr="00456799" w:rsidRDefault="00456799" w:rsidP="007F1220">
            <w:pPr>
              <w:spacing w:before="60"/>
              <w:ind w:firstLine="200"/>
              <w:rPr>
                <w:rFonts w:ascii="Calibri Light" w:hAnsi="Calibri Light" w:cs="Calibri Light"/>
                <w:b w:val="0"/>
                <w:bCs w:val="0"/>
                <w:sz w:val="20"/>
                <w:szCs w:val="20"/>
                <w:lang w:eastAsia="en-AU"/>
              </w:rPr>
            </w:pPr>
            <w:r>
              <w:rPr>
                <w:rFonts w:ascii="Calibri Light" w:hAnsi="Calibri Light" w:cs="Calibri Light"/>
                <w:b w:val="0"/>
                <w:bCs w:val="0"/>
                <w:sz w:val="20"/>
                <w:szCs w:val="20"/>
                <w:lang w:eastAsia="en-AU"/>
              </w:rPr>
              <w:t xml:space="preserve">Investment </w:t>
            </w:r>
            <w:r w:rsidR="005907ED">
              <w:rPr>
                <w:rFonts w:ascii="Calibri Light" w:hAnsi="Calibri Light" w:cs="Calibri Light"/>
                <w:b w:val="0"/>
                <w:bCs w:val="0"/>
                <w:sz w:val="20"/>
                <w:szCs w:val="20"/>
                <w:lang w:eastAsia="en-AU"/>
              </w:rPr>
              <w:t>d</w:t>
            </w:r>
            <w:r w:rsidR="00E31023" w:rsidRPr="00456799">
              <w:rPr>
                <w:rFonts w:ascii="Calibri Light" w:hAnsi="Calibri Light" w:cs="Calibri Light"/>
                <w:b w:val="0"/>
                <w:bCs w:val="0"/>
                <w:sz w:val="20"/>
                <w:szCs w:val="20"/>
                <w:lang w:eastAsia="en-AU"/>
              </w:rPr>
              <w:t>uration: 2018-</w:t>
            </w:r>
            <w:r>
              <w:rPr>
                <w:rFonts w:ascii="Calibri Light" w:hAnsi="Calibri Light" w:cs="Calibri Light"/>
                <w:b w:val="0"/>
                <w:bCs w:val="0"/>
                <w:sz w:val="20"/>
                <w:szCs w:val="20"/>
                <w:lang w:eastAsia="en-AU"/>
              </w:rPr>
              <w:t>20</w:t>
            </w:r>
            <w:r w:rsidR="00E31023" w:rsidRPr="00456799">
              <w:rPr>
                <w:rFonts w:ascii="Calibri Light" w:hAnsi="Calibri Light" w:cs="Calibri Light"/>
                <w:b w:val="0"/>
                <w:bCs w:val="0"/>
                <w:sz w:val="20"/>
                <w:szCs w:val="20"/>
                <w:lang w:eastAsia="en-AU"/>
              </w:rPr>
              <w:t>22; Budget:</w:t>
            </w:r>
            <w:r>
              <w:rPr>
                <w:rFonts w:ascii="Calibri Light" w:hAnsi="Calibri Light" w:cs="Calibri Light"/>
                <w:b w:val="0"/>
                <w:bCs w:val="0"/>
                <w:sz w:val="20"/>
                <w:szCs w:val="20"/>
                <w:lang w:eastAsia="en-AU"/>
              </w:rPr>
              <w:t xml:space="preserve"> </w:t>
            </w:r>
            <w:r w:rsidR="00E31023" w:rsidRPr="00456799">
              <w:rPr>
                <w:rFonts w:ascii="Calibri Light" w:hAnsi="Calibri Light" w:cs="Calibri Light"/>
                <w:b w:val="0"/>
                <w:bCs w:val="0"/>
                <w:sz w:val="20"/>
                <w:szCs w:val="20"/>
                <w:lang w:eastAsia="en-AU"/>
              </w:rPr>
              <w:t xml:space="preserve"> $3.2m </w:t>
            </w:r>
          </w:p>
        </w:tc>
        <w:tc>
          <w:tcPr>
            <w:tcW w:w="1075" w:type="dxa"/>
            <w:shd w:val="clear" w:color="auto" w:fill="E0F3EF" w:themeFill="accent1" w:themeFillTint="33"/>
            <w:hideMark/>
          </w:tcPr>
          <w:p w14:paraId="7C409BDA"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2020</w:t>
            </w:r>
          </w:p>
        </w:tc>
        <w:tc>
          <w:tcPr>
            <w:tcW w:w="1055" w:type="dxa"/>
            <w:shd w:val="clear" w:color="auto" w:fill="E0F3EF" w:themeFill="accent1" w:themeFillTint="33"/>
            <w:noWrap/>
            <w:hideMark/>
          </w:tcPr>
          <w:p w14:paraId="55A7F886"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3</w:t>
            </w:r>
          </w:p>
        </w:tc>
        <w:tc>
          <w:tcPr>
            <w:tcW w:w="1351" w:type="dxa"/>
            <w:shd w:val="clear" w:color="auto" w:fill="E0F3EF" w:themeFill="accent1" w:themeFillTint="33"/>
            <w:noWrap/>
            <w:hideMark/>
          </w:tcPr>
          <w:p w14:paraId="27F6101C"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508" w:type="dxa"/>
            <w:shd w:val="clear" w:color="auto" w:fill="E0F3EF" w:themeFill="accent1" w:themeFillTint="33"/>
            <w:noWrap/>
            <w:hideMark/>
          </w:tcPr>
          <w:p w14:paraId="25D4DD70"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r>
      <w:tr w:rsidR="00456799" w:rsidRPr="00456799" w14:paraId="32F7DC10" w14:textId="77777777" w:rsidTr="000545F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65C5B4" w:themeColor="accent1"/>
              <w:bottom w:val="nil"/>
            </w:tcBorders>
            <w:shd w:val="clear" w:color="auto" w:fill="F2F2F2" w:themeFill="background1" w:themeFillShade="F2"/>
            <w:noWrap/>
            <w:hideMark/>
          </w:tcPr>
          <w:p w14:paraId="14DA5E28" w14:textId="4CF8DBF4" w:rsidR="00E31023" w:rsidRPr="00456799" w:rsidRDefault="00E31023" w:rsidP="007F1220">
            <w:pPr>
              <w:spacing w:before="6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Humanitarian and Health COVID</w:t>
            </w:r>
            <w:r w:rsidR="00DD7FF7">
              <w:rPr>
                <w:rFonts w:ascii="Calibri Light" w:hAnsi="Calibri Light" w:cs="Calibri Light"/>
                <w:sz w:val="20"/>
                <w:szCs w:val="20"/>
                <w:lang w:eastAsia="en-AU"/>
              </w:rPr>
              <w:t>-</w:t>
            </w:r>
            <w:r w:rsidRPr="00456799">
              <w:rPr>
                <w:rFonts w:ascii="Calibri Light" w:hAnsi="Calibri Light" w:cs="Calibri Light"/>
                <w:sz w:val="20"/>
                <w:szCs w:val="20"/>
                <w:lang w:eastAsia="en-AU"/>
              </w:rPr>
              <w:t>19 Response</w:t>
            </w:r>
          </w:p>
        </w:tc>
        <w:tc>
          <w:tcPr>
            <w:tcW w:w="1075" w:type="dxa"/>
            <w:shd w:val="clear" w:color="auto" w:fill="F2F2F2" w:themeFill="background1" w:themeFillShade="F2"/>
            <w:hideMark/>
          </w:tcPr>
          <w:p w14:paraId="185AD384"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2021</w:t>
            </w:r>
          </w:p>
        </w:tc>
        <w:tc>
          <w:tcPr>
            <w:tcW w:w="1055" w:type="dxa"/>
            <w:shd w:val="clear" w:color="auto" w:fill="F2F2F2" w:themeFill="background1" w:themeFillShade="F2"/>
            <w:noWrap/>
            <w:hideMark/>
          </w:tcPr>
          <w:p w14:paraId="6F711E28"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351" w:type="dxa"/>
            <w:shd w:val="clear" w:color="auto" w:fill="F2F2F2" w:themeFill="background1" w:themeFillShade="F2"/>
            <w:noWrap/>
            <w:hideMark/>
          </w:tcPr>
          <w:p w14:paraId="619ECF01"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3</w:t>
            </w:r>
          </w:p>
        </w:tc>
        <w:tc>
          <w:tcPr>
            <w:tcW w:w="1508" w:type="dxa"/>
            <w:shd w:val="clear" w:color="auto" w:fill="F2F2F2" w:themeFill="background1" w:themeFillShade="F2"/>
            <w:noWrap/>
            <w:hideMark/>
          </w:tcPr>
          <w:p w14:paraId="2478378D"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r>
      <w:tr w:rsidR="00456799" w:rsidRPr="00456799" w14:paraId="5F269A36" w14:textId="77777777" w:rsidTr="000545FE">
        <w:trPr>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nil"/>
            </w:tcBorders>
            <w:shd w:val="clear" w:color="auto" w:fill="F2F2F2" w:themeFill="background1" w:themeFillShade="F2"/>
            <w:hideMark/>
          </w:tcPr>
          <w:p w14:paraId="69C2225C" w14:textId="1369973B" w:rsidR="00E31023" w:rsidRPr="00456799" w:rsidRDefault="00456799" w:rsidP="007F1220">
            <w:pPr>
              <w:spacing w:before="60"/>
              <w:ind w:firstLine="200"/>
              <w:rPr>
                <w:rFonts w:ascii="Calibri Light" w:hAnsi="Calibri Light" w:cs="Calibri Light"/>
                <w:b w:val="0"/>
                <w:bCs w:val="0"/>
                <w:sz w:val="20"/>
                <w:szCs w:val="20"/>
                <w:lang w:eastAsia="en-AU"/>
              </w:rPr>
            </w:pPr>
            <w:r>
              <w:rPr>
                <w:rFonts w:ascii="Calibri Light" w:hAnsi="Calibri Light" w:cs="Calibri Light"/>
                <w:b w:val="0"/>
                <w:bCs w:val="0"/>
                <w:sz w:val="20"/>
                <w:szCs w:val="20"/>
                <w:lang w:eastAsia="en-AU"/>
              </w:rPr>
              <w:t xml:space="preserve">Investment </w:t>
            </w:r>
            <w:r w:rsidR="005907ED">
              <w:rPr>
                <w:rFonts w:ascii="Calibri Light" w:hAnsi="Calibri Light" w:cs="Calibri Light"/>
                <w:b w:val="0"/>
                <w:bCs w:val="0"/>
                <w:sz w:val="20"/>
                <w:szCs w:val="20"/>
                <w:lang w:eastAsia="en-AU"/>
              </w:rPr>
              <w:t>d</w:t>
            </w:r>
            <w:r w:rsidR="00E31023" w:rsidRPr="00456799">
              <w:rPr>
                <w:rFonts w:ascii="Calibri Light" w:hAnsi="Calibri Light" w:cs="Calibri Light"/>
                <w:b w:val="0"/>
                <w:bCs w:val="0"/>
                <w:sz w:val="20"/>
                <w:szCs w:val="20"/>
                <w:lang w:eastAsia="en-AU"/>
              </w:rPr>
              <w:t>uration: 2020-</w:t>
            </w:r>
            <w:r>
              <w:rPr>
                <w:rFonts w:ascii="Calibri Light" w:hAnsi="Calibri Light" w:cs="Calibri Light"/>
                <w:b w:val="0"/>
                <w:bCs w:val="0"/>
                <w:sz w:val="20"/>
                <w:szCs w:val="20"/>
                <w:lang w:eastAsia="en-AU"/>
              </w:rPr>
              <w:t>20</w:t>
            </w:r>
            <w:r w:rsidR="00E31023" w:rsidRPr="00456799">
              <w:rPr>
                <w:rFonts w:ascii="Calibri Light" w:hAnsi="Calibri Light" w:cs="Calibri Light"/>
                <w:b w:val="0"/>
                <w:bCs w:val="0"/>
                <w:sz w:val="20"/>
                <w:szCs w:val="20"/>
                <w:lang w:eastAsia="en-AU"/>
              </w:rPr>
              <w:t xml:space="preserve">22; Budget: </w:t>
            </w:r>
            <w:r>
              <w:rPr>
                <w:rFonts w:ascii="Calibri Light" w:hAnsi="Calibri Light" w:cs="Calibri Light"/>
                <w:b w:val="0"/>
                <w:bCs w:val="0"/>
                <w:sz w:val="20"/>
                <w:szCs w:val="20"/>
                <w:lang w:eastAsia="en-AU"/>
              </w:rPr>
              <w:t xml:space="preserve"> </w:t>
            </w:r>
            <w:r w:rsidR="00E31023" w:rsidRPr="00456799">
              <w:rPr>
                <w:rFonts w:ascii="Calibri Light" w:hAnsi="Calibri Light" w:cs="Calibri Light"/>
                <w:b w:val="0"/>
                <w:bCs w:val="0"/>
                <w:sz w:val="20"/>
                <w:szCs w:val="20"/>
                <w:lang w:eastAsia="en-AU"/>
              </w:rPr>
              <w:t xml:space="preserve">$8.05m </w:t>
            </w:r>
          </w:p>
        </w:tc>
        <w:tc>
          <w:tcPr>
            <w:tcW w:w="1075" w:type="dxa"/>
            <w:shd w:val="clear" w:color="auto" w:fill="F2F2F2" w:themeFill="background1" w:themeFillShade="F2"/>
            <w:hideMark/>
          </w:tcPr>
          <w:p w14:paraId="57AD0760"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2020</w:t>
            </w:r>
          </w:p>
        </w:tc>
        <w:tc>
          <w:tcPr>
            <w:tcW w:w="1055" w:type="dxa"/>
            <w:shd w:val="clear" w:color="auto" w:fill="F2F2F2" w:themeFill="background1" w:themeFillShade="F2"/>
            <w:noWrap/>
            <w:hideMark/>
          </w:tcPr>
          <w:p w14:paraId="2400D38E"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n/a</w:t>
            </w:r>
          </w:p>
        </w:tc>
        <w:tc>
          <w:tcPr>
            <w:tcW w:w="1351" w:type="dxa"/>
            <w:shd w:val="clear" w:color="auto" w:fill="F2F2F2" w:themeFill="background1" w:themeFillShade="F2"/>
            <w:noWrap/>
            <w:hideMark/>
          </w:tcPr>
          <w:p w14:paraId="4EC0B4B8"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n/a</w:t>
            </w:r>
          </w:p>
        </w:tc>
        <w:tc>
          <w:tcPr>
            <w:tcW w:w="1508" w:type="dxa"/>
            <w:shd w:val="clear" w:color="auto" w:fill="F2F2F2" w:themeFill="background1" w:themeFillShade="F2"/>
            <w:noWrap/>
            <w:hideMark/>
          </w:tcPr>
          <w:p w14:paraId="51E1D148"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n/a</w:t>
            </w:r>
          </w:p>
        </w:tc>
      </w:tr>
    </w:tbl>
    <w:p w14:paraId="4CE030E5" w14:textId="5FC61945" w:rsidR="00D90B37" w:rsidRPr="00456799" w:rsidRDefault="00D90B37" w:rsidP="00BE12B6"/>
    <w:p w14:paraId="3800A196" w14:textId="692A1364" w:rsidR="00E221FA" w:rsidRPr="00456799" w:rsidRDefault="00E221FA" w:rsidP="009D4193">
      <w:pPr>
        <w:pStyle w:val="Heading2"/>
      </w:pPr>
      <w:r w:rsidRPr="00456799">
        <w:t>Final Investment Performance ratings</w:t>
      </w:r>
    </w:p>
    <w:tbl>
      <w:tblPr>
        <w:tblStyle w:val="GridTable4-Accent1"/>
        <w:tblW w:w="10457" w:type="dxa"/>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209"/>
        <w:gridCol w:w="1165"/>
        <w:gridCol w:w="1273"/>
        <w:gridCol w:w="1328"/>
        <w:gridCol w:w="1482"/>
      </w:tblGrid>
      <w:tr w:rsidR="00456799" w:rsidRPr="00456799" w14:paraId="5718E319" w14:textId="77777777" w:rsidTr="000545FE">
        <w:trPr>
          <w:cnfStyle w:val="100000000000" w:firstRow="1" w:lastRow="0" w:firstColumn="0" w:lastColumn="0" w:oddVBand="0" w:evenVBand="0" w:oddHBand="0" w:evenHBand="0" w:firstRowFirstColumn="0" w:firstRowLastColumn="0" w:lastRowFirstColumn="0" w:lastRowLastColumn="0"/>
          <w:trHeight w:val="228"/>
          <w:tblHeader/>
        </w:trPr>
        <w:tc>
          <w:tcPr>
            <w:cnfStyle w:val="001000000000" w:firstRow="0" w:lastRow="0" w:firstColumn="1" w:lastColumn="0" w:oddVBand="0" w:evenVBand="0" w:oddHBand="0" w:evenHBand="0" w:firstRowFirstColumn="0" w:firstRowLastColumn="0" w:lastRowFirstColumn="0" w:lastRowLastColumn="0"/>
            <w:tcW w:w="5209" w:type="dxa"/>
            <w:shd w:val="clear" w:color="auto" w:fill="A2DCD1" w:themeFill="accent1" w:themeFillTint="99"/>
            <w:noWrap/>
            <w:hideMark/>
          </w:tcPr>
          <w:p w14:paraId="3AAAE4C2" w14:textId="77777777" w:rsidR="00E31023" w:rsidRPr="00456799" w:rsidRDefault="00E31023" w:rsidP="007F1220">
            <w:pPr>
              <w:spacing w:before="60"/>
              <w:jc w:val="center"/>
              <w:rPr>
                <w:rFonts w:ascii="Calibri Light" w:hAnsi="Calibri Light" w:cs="Calibri Light"/>
                <w:b w:val="0"/>
                <w:bCs w:val="0"/>
                <w:sz w:val="20"/>
                <w:szCs w:val="20"/>
                <w:lang w:val="en-AU" w:eastAsia="en-AU"/>
              </w:rPr>
            </w:pPr>
            <w:r w:rsidRPr="00456799">
              <w:rPr>
                <w:rFonts w:ascii="Calibri Light" w:hAnsi="Calibri Light" w:cs="Calibri Light"/>
                <w:sz w:val="20"/>
                <w:szCs w:val="20"/>
                <w:lang w:eastAsia="en-AU"/>
              </w:rPr>
              <w:t>Investment Details</w:t>
            </w:r>
          </w:p>
        </w:tc>
        <w:tc>
          <w:tcPr>
            <w:tcW w:w="1165" w:type="dxa"/>
            <w:shd w:val="clear" w:color="auto" w:fill="A2DCD1" w:themeFill="accent1" w:themeFillTint="99"/>
            <w:noWrap/>
            <w:hideMark/>
          </w:tcPr>
          <w:p w14:paraId="4916B394" w14:textId="5351EB40" w:rsidR="00E31023" w:rsidRPr="00456799" w:rsidRDefault="00E31023" w:rsidP="007F1220">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Year</w:t>
            </w:r>
          </w:p>
        </w:tc>
        <w:tc>
          <w:tcPr>
            <w:tcW w:w="1273" w:type="dxa"/>
            <w:shd w:val="clear" w:color="auto" w:fill="A2DCD1" w:themeFill="accent1" w:themeFillTint="99"/>
            <w:noWrap/>
            <w:hideMark/>
          </w:tcPr>
          <w:p w14:paraId="06F40B16" w14:textId="77777777" w:rsidR="00E31023" w:rsidRPr="00456799" w:rsidRDefault="00E31023" w:rsidP="007F1220">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Effectiveness</w:t>
            </w:r>
          </w:p>
        </w:tc>
        <w:tc>
          <w:tcPr>
            <w:tcW w:w="1328" w:type="dxa"/>
            <w:shd w:val="clear" w:color="auto" w:fill="A2DCD1" w:themeFill="accent1" w:themeFillTint="99"/>
            <w:noWrap/>
            <w:hideMark/>
          </w:tcPr>
          <w:p w14:paraId="5B5A080F" w14:textId="77777777" w:rsidR="00E31023" w:rsidRPr="00456799" w:rsidRDefault="00E31023" w:rsidP="007F1220">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Efficiency</w:t>
            </w:r>
          </w:p>
        </w:tc>
        <w:tc>
          <w:tcPr>
            <w:tcW w:w="1482" w:type="dxa"/>
            <w:shd w:val="clear" w:color="auto" w:fill="A2DCD1" w:themeFill="accent1" w:themeFillTint="99"/>
            <w:noWrap/>
            <w:hideMark/>
          </w:tcPr>
          <w:p w14:paraId="27F402B7" w14:textId="73443A10" w:rsidR="00E31023" w:rsidRPr="00456799" w:rsidRDefault="00E31023" w:rsidP="007F1220">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 xml:space="preserve">Gender </w:t>
            </w:r>
          </w:p>
        </w:tc>
      </w:tr>
      <w:tr w:rsidR="00456799" w:rsidRPr="00456799" w14:paraId="01D04439" w14:textId="77777777" w:rsidTr="000545F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209" w:type="dxa"/>
            <w:tcBorders>
              <w:top w:val="single" w:sz="4" w:space="0" w:color="65C5B4" w:themeColor="accent1"/>
              <w:bottom w:val="nil"/>
            </w:tcBorders>
            <w:hideMark/>
          </w:tcPr>
          <w:p w14:paraId="70CD0DE5" w14:textId="1ADAE58B" w:rsidR="00E31023" w:rsidRPr="00456799" w:rsidRDefault="00E31023" w:rsidP="007F1220">
            <w:pPr>
              <w:spacing w:before="60"/>
              <w:rPr>
                <w:rFonts w:ascii="Calibri Light" w:hAnsi="Calibri Light" w:cs="Calibri Light"/>
                <w:b w:val="0"/>
                <w:bCs w:val="0"/>
                <w:sz w:val="20"/>
                <w:szCs w:val="20"/>
                <w:lang w:eastAsia="en-AU"/>
              </w:rPr>
            </w:pPr>
            <w:r w:rsidRPr="00456799">
              <w:rPr>
                <w:rFonts w:ascii="Calibri Light" w:hAnsi="Calibri Light" w:cs="Calibri Light"/>
                <w:sz w:val="20"/>
                <w:szCs w:val="20"/>
                <w:lang w:eastAsia="en-AU"/>
              </w:rPr>
              <w:t>Laos Australia Institute</w:t>
            </w:r>
          </w:p>
        </w:tc>
        <w:tc>
          <w:tcPr>
            <w:tcW w:w="1165" w:type="dxa"/>
            <w:hideMark/>
          </w:tcPr>
          <w:p w14:paraId="059B05E7" w14:textId="5FD435F0"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2021</w:t>
            </w:r>
            <w:r w:rsidR="00456799">
              <w:rPr>
                <w:rFonts w:ascii="Calibri Light" w:hAnsi="Calibri Light" w:cs="Calibri Light"/>
                <w:sz w:val="20"/>
                <w:szCs w:val="20"/>
                <w:lang w:eastAsia="en-AU"/>
              </w:rPr>
              <w:t xml:space="preserve"> </w:t>
            </w:r>
            <w:r w:rsidRPr="00456799">
              <w:rPr>
                <w:rFonts w:ascii="Calibri Light" w:hAnsi="Calibri Light" w:cs="Calibri Light"/>
                <w:sz w:val="20"/>
                <w:szCs w:val="20"/>
                <w:lang w:eastAsia="en-AU"/>
              </w:rPr>
              <w:t>FIMR</w:t>
            </w:r>
          </w:p>
        </w:tc>
        <w:tc>
          <w:tcPr>
            <w:tcW w:w="1273" w:type="dxa"/>
            <w:noWrap/>
            <w:hideMark/>
          </w:tcPr>
          <w:p w14:paraId="273E1E33"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328" w:type="dxa"/>
            <w:noWrap/>
            <w:hideMark/>
          </w:tcPr>
          <w:p w14:paraId="1519559C"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482" w:type="dxa"/>
            <w:noWrap/>
            <w:hideMark/>
          </w:tcPr>
          <w:p w14:paraId="07F5F54D"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r>
      <w:tr w:rsidR="00456799" w:rsidRPr="00456799" w14:paraId="2CD50FA3" w14:textId="77777777" w:rsidTr="000545FE">
        <w:trPr>
          <w:trHeight w:val="228"/>
        </w:trPr>
        <w:tc>
          <w:tcPr>
            <w:cnfStyle w:val="001000000000" w:firstRow="0" w:lastRow="0" w:firstColumn="1" w:lastColumn="0" w:oddVBand="0" w:evenVBand="0" w:oddHBand="0" w:evenHBand="0" w:firstRowFirstColumn="0" w:firstRowLastColumn="0" w:lastRowFirstColumn="0" w:lastRowLastColumn="0"/>
            <w:tcW w:w="5209" w:type="dxa"/>
            <w:tcBorders>
              <w:top w:val="nil"/>
              <w:bottom w:val="single" w:sz="4" w:space="0" w:color="65C5B4" w:themeColor="accent1"/>
            </w:tcBorders>
            <w:shd w:val="clear" w:color="auto" w:fill="E0F3EF" w:themeFill="accent1" w:themeFillTint="33"/>
            <w:hideMark/>
          </w:tcPr>
          <w:p w14:paraId="2DD5E97E" w14:textId="54DB738C" w:rsidR="00E31023" w:rsidRPr="00456799" w:rsidRDefault="00456799" w:rsidP="007F1220">
            <w:pPr>
              <w:spacing w:before="60"/>
              <w:ind w:firstLine="200"/>
              <w:rPr>
                <w:rFonts w:ascii="Calibri Light" w:hAnsi="Calibri Light" w:cs="Calibri Light"/>
                <w:b w:val="0"/>
                <w:bCs w:val="0"/>
                <w:sz w:val="20"/>
                <w:szCs w:val="20"/>
                <w:lang w:eastAsia="en-AU"/>
              </w:rPr>
            </w:pPr>
            <w:r>
              <w:rPr>
                <w:rFonts w:ascii="Calibri Light" w:hAnsi="Calibri Light" w:cs="Calibri Light"/>
                <w:b w:val="0"/>
                <w:bCs w:val="0"/>
                <w:sz w:val="20"/>
                <w:szCs w:val="20"/>
                <w:lang w:eastAsia="en-AU"/>
              </w:rPr>
              <w:t xml:space="preserve">Investment </w:t>
            </w:r>
            <w:r w:rsidR="005907ED">
              <w:rPr>
                <w:rFonts w:ascii="Calibri Light" w:hAnsi="Calibri Light" w:cs="Calibri Light"/>
                <w:b w:val="0"/>
                <w:bCs w:val="0"/>
                <w:sz w:val="20"/>
                <w:szCs w:val="20"/>
                <w:lang w:eastAsia="en-AU"/>
              </w:rPr>
              <w:t>d</w:t>
            </w:r>
            <w:r w:rsidR="00E31023" w:rsidRPr="00456799">
              <w:rPr>
                <w:rFonts w:ascii="Calibri Light" w:hAnsi="Calibri Light" w:cs="Calibri Light"/>
                <w:b w:val="0"/>
                <w:bCs w:val="0"/>
                <w:sz w:val="20"/>
                <w:szCs w:val="20"/>
                <w:lang w:eastAsia="en-AU"/>
              </w:rPr>
              <w:t>uration: 2012-</w:t>
            </w:r>
            <w:r>
              <w:rPr>
                <w:rFonts w:ascii="Calibri Light" w:hAnsi="Calibri Light" w:cs="Calibri Light"/>
                <w:b w:val="0"/>
                <w:bCs w:val="0"/>
                <w:sz w:val="20"/>
                <w:szCs w:val="20"/>
                <w:lang w:eastAsia="en-AU"/>
              </w:rPr>
              <w:t>20</w:t>
            </w:r>
            <w:r w:rsidR="00E31023" w:rsidRPr="00456799">
              <w:rPr>
                <w:rFonts w:ascii="Calibri Light" w:hAnsi="Calibri Light" w:cs="Calibri Light"/>
                <w:b w:val="0"/>
                <w:bCs w:val="0"/>
                <w:sz w:val="20"/>
                <w:szCs w:val="20"/>
                <w:lang w:eastAsia="en-AU"/>
              </w:rPr>
              <w:t>21; Budget:</w:t>
            </w:r>
            <w:r>
              <w:rPr>
                <w:rFonts w:ascii="Calibri Light" w:hAnsi="Calibri Light" w:cs="Calibri Light"/>
                <w:b w:val="0"/>
                <w:bCs w:val="0"/>
                <w:sz w:val="20"/>
                <w:szCs w:val="20"/>
                <w:lang w:eastAsia="en-AU"/>
              </w:rPr>
              <w:t xml:space="preserve"> </w:t>
            </w:r>
            <w:r w:rsidR="00E31023" w:rsidRPr="00456799">
              <w:rPr>
                <w:rFonts w:ascii="Calibri Light" w:hAnsi="Calibri Light" w:cs="Calibri Light"/>
                <w:b w:val="0"/>
                <w:bCs w:val="0"/>
                <w:sz w:val="20"/>
                <w:szCs w:val="20"/>
                <w:lang w:eastAsia="en-AU"/>
              </w:rPr>
              <w:t xml:space="preserve"> $29.4m</w:t>
            </w:r>
          </w:p>
        </w:tc>
        <w:tc>
          <w:tcPr>
            <w:tcW w:w="1165" w:type="dxa"/>
            <w:shd w:val="clear" w:color="auto" w:fill="E0F3EF" w:themeFill="accent1" w:themeFillTint="33"/>
            <w:hideMark/>
          </w:tcPr>
          <w:p w14:paraId="6AC58276" w14:textId="5CBC98BC" w:rsidR="00E31023" w:rsidRPr="00456799" w:rsidRDefault="00E31023" w:rsidP="00456799">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AU" w:eastAsia="en-AU"/>
              </w:rPr>
            </w:pPr>
            <w:r w:rsidRPr="00456799">
              <w:rPr>
                <w:rFonts w:ascii="Calibri Light" w:hAnsi="Calibri Light" w:cs="Calibri Light"/>
                <w:sz w:val="20"/>
                <w:szCs w:val="20"/>
                <w:lang w:eastAsia="en-AU"/>
              </w:rPr>
              <w:t>2020</w:t>
            </w:r>
            <w:r w:rsidR="00456799">
              <w:rPr>
                <w:rFonts w:ascii="Calibri Light" w:hAnsi="Calibri Light" w:cs="Calibri Light"/>
                <w:sz w:val="20"/>
                <w:szCs w:val="20"/>
                <w:lang w:eastAsia="en-AU"/>
              </w:rPr>
              <w:t xml:space="preserve"> </w:t>
            </w:r>
            <w:r w:rsidRPr="00456799">
              <w:rPr>
                <w:rFonts w:ascii="Calibri Light" w:hAnsi="Calibri Light" w:cs="Calibri Light"/>
                <w:sz w:val="20"/>
                <w:szCs w:val="20"/>
                <w:lang w:eastAsia="en-AU"/>
              </w:rPr>
              <w:t>IMR</w:t>
            </w:r>
          </w:p>
        </w:tc>
        <w:tc>
          <w:tcPr>
            <w:tcW w:w="1273" w:type="dxa"/>
            <w:shd w:val="clear" w:color="auto" w:fill="E0F3EF" w:themeFill="accent1" w:themeFillTint="33"/>
            <w:noWrap/>
            <w:hideMark/>
          </w:tcPr>
          <w:p w14:paraId="362ACF4C"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328" w:type="dxa"/>
            <w:shd w:val="clear" w:color="auto" w:fill="E0F3EF" w:themeFill="accent1" w:themeFillTint="33"/>
            <w:noWrap/>
            <w:hideMark/>
          </w:tcPr>
          <w:p w14:paraId="235F6CB4"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482" w:type="dxa"/>
            <w:shd w:val="clear" w:color="auto" w:fill="E0F3EF" w:themeFill="accent1" w:themeFillTint="33"/>
            <w:noWrap/>
            <w:hideMark/>
          </w:tcPr>
          <w:p w14:paraId="1EDA03EB"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r>
      <w:tr w:rsidR="00456799" w:rsidRPr="00456799" w14:paraId="76C7A2DB" w14:textId="77777777" w:rsidTr="000545FE">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209" w:type="dxa"/>
            <w:tcBorders>
              <w:top w:val="single" w:sz="4" w:space="0" w:color="65C5B4" w:themeColor="accent1"/>
              <w:bottom w:val="nil"/>
            </w:tcBorders>
            <w:shd w:val="clear" w:color="auto" w:fill="F2F2F2" w:themeFill="background1" w:themeFillShade="F2"/>
            <w:hideMark/>
          </w:tcPr>
          <w:p w14:paraId="04C59BB6" w14:textId="2DA36B0F" w:rsidR="00E31023" w:rsidRPr="00456799" w:rsidRDefault="00E31023" w:rsidP="007F1220">
            <w:pPr>
              <w:spacing w:before="60"/>
              <w:rPr>
                <w:rFonts w:ascii="Calibri" w:hAnsi="Calibri" w:cs="Calibri"/>
                <w:b w:val="0"/>
                <w:bCs w:val="0"/>
                <w:sz w:val="20"/>
                <w:szCs w:val="20"/>
                <w:lang w:eastAsia="en-AU"/>
              </w:rPr>
            </w:pPr>
            <w:r w:rsidRPr="00456799">
              <w:rPr>
                <w:rFonts w:ascii="Calibri Light" w:hAnsi="Calibri Light" w:cs="Calibri Light"/>
                <w:sz w:val="20"/>
                <w:szCs w:val="20"/>
                <w:lang w:eastAsia="en-AU"/>
              </w:rPr>
              <w:t>Laos Australia Development Learning Facility</w:t>
            </w:r>
          </w:p>
        </w:tc>
        <w:tc>
          <w:tcPr>
            <w:tcW w:w="1165" w:type="dxa"/>
            <w:shd w:val="clear" w:color="auto" w:fill="F2F2F2" w:themeFill="background1" w:themeFillShade="F2"/>
            <w:hideMark/>
          </w:tcPr>
          <w:p w14:paraId="2BF35123"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2021 FIMR</w:t>
            </w:r>
          </w:p>
        </w:tc>
        <w:tc>
          <w:tcPr>
            <w:tcW w:w="1273" w:type="dxa"/>
            <w:shd w:val="clear" w:color="auto" w:fill="F2F2F2" w:themeFill="background1" w:themeFillShade="F2"/>
            <w:noWrap/>
            <w:hideMark/>
          </w:tcPr>
          <w:p w14:paraId="307C7226"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AU" w:eastAsia="en-AU"/>
              </w:rPr>
            </w:pPr>
            <w:r w:rsidRPr="00456799">
              <w:rPr>
                <w:rFonts w:ascii="Calibri Light" w:hAnsi="Calibri Light" w:cs="Calibri Light"/>
                <w:sz w:val="20"/>
                <w:szCs w:val="20"/>
                <w:lang w:eastAsia="en-AU"/>
              </w:rPr>
              <w:t>3</w:t>
            </w:r>
          </w:p>
        </w:tc>
        <w:tc>
          <w:tcPr>
            <w:tcW w:w="1328" w:type="dxa"/>
            <w:shd w:val="clear" w:color="auto" w:fill="F2F2F2" w:themeFill="background1" w:themeFillShade="F2"/>
            <w:noWrap/>
            <w:hideMark/>
          </w:tcPr>
          <w:p w14:paraId="3133EBC1"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482" w:type="dxa"/>
            <w:shd w:val="clear" w:color="auto" w:fill="F2F2F2" w:themeFill="background1" w:themeFillShade="F2"/>
            <w:noWrap/>
            <w:hideMark/>
          </w:tcPr>
          <w:p w14:paraId="2FE81DB0" w14:textId="77777777" w:rsidR="00E31023" w:rsidRPr="00456799" w:rsidRDefault="00E31023" w:rsidP="007F1220">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r>
      <w:tr w:rsidR="00456799" w:rsidRPr="00456799" w14:paraId="17D8CF91" w14:textId="77777777" w:rsidTr="000545FE">
        <w:trPr>
          <w:trHeight w:val="228"/>
        </w:trPr>
        <w:tc>
          <w:tcPr>
            <w:cnfStyle w:val="001000000000" w:firstRow="0" w:lastRow="0" w:firstColumn="1" w:lastColumn="0" w:oddVBand="0" w:evenVBand="0" w:oddHBand="0" w:evenHBand="0" w:firstRowFirstColumn="0" w:firstRowLastColumn="0" w:lastRowFirstColumn="0" w:lastRowLastColumn="0"/>
            <w:tcW w:w="5209" w:type="dxa"/>
            <w:tcBorders>
              <w:top w:val="nil"/>
            </w:tcBorders>
            <w:shd w:val="clear" w:color="auto" w:fill="F2F2F2" w:themeFill="background1" w:themeFillShade="F2"/>
            <w:hideMark/>
          </w:tcPr>
          <w:p w14:paraId="63BF950E" w14:textId="01EC95C8" w:rsidR="00E31023" w:rsidRPr="00456799" w:rsidRDefault="00456799" w:rsidP="007F1220">
            <w:pPr>
              <w:spacing w:before="60"/>
              <w:ind w:firstLine="200"/>
              <w:rPr>
                <w:rFonts w:ascii="Calibri Light" w:hAnsi="Calibri Light" w:cs="Calibri Light"/>
                <w:b w:val="0"/>
                <w:bCs w:val="0"/>
                <w:sz w:val="20"/>
                <w:szCs w:val="20"/>
                <w:lang w:eastAsia="en-AU"/>
              </w:rPr>
            </w:pPr>
            <w:r>
              <w:rPr>
                <w:rFonts w:ascii="Calibri Light" w:hAnsi="Calibri Light" w:cs="Calibri Light"/>
                <w:b w:val="0"/>
                <w:bCs w:val="0"/>
                <w:sz w:val="20"/>
                <w:szCs w:val="20"/>
                <w:lang w:eastAsia="en-AU"/>
              </w:rPr>
              <w:t xml:space="preserve">Investment </w:t>
            </w:r>
            <w:r w:rsidR="005907ED">
              <w:rPr>
                <w:rFonts w:ascii="Calibri Light" w:hAnsi="Calibri Light" w:cs="Calibri Light"/>
                <w:b w:val="0"/>
                <w:bCs w:val="0"/>
                <w:sz w:val="20"/>
                <w:szCs w:val="20"/>
                <w:lang w:eastAsia="en-AU"/>
              </w:rPr>
              <w:t>d</w:t>
            </w:r>
            <w:r w:rsidR="00E31023" w:rsidRPr="00456799">
              <w:rPr>
                <w:rFonts w:ascii="Calibri Light" w:hAnsi="Calibri Light" w:cs="Calibri Light"/>
                <w:b w:val="0"/>
                <w:bCs w:val="0"/>
                <w:sz w:val="20"/>
                <w:szCs w:val="20"/>
                <w:lang w:eastAsia="en-AU"/>
              </w:rPr>
              <w:t>uration: 2014-</w:t>
            </w:r>
            <w:r>
              <w:rPr>
                <w:rFonts w:ascii="Calibri Light" w:hAnsi="Calibri Light" w:cs="Calibri Light"/>
                <w:b w:val="0"/>
                <w:bCs w:val="0"/>
                <w:sz w:val="20"/>
                <w:szCs w:val="20"/>
                <w:lang w:eastAsia="en-AU"/>
              </w:rPr>
              <w:t>20</w:t>
            </w:r>
            <w:r w:rsidR="00E31023" w:rsidRPr="00456799">
              <w:rPr>
                <w:rFonts w:ascii="Calibri Light" w:hAnsi="Calibri Light" w:cs="Calibri Light"/>
                <w:b w:val="0"/>
                <w:bCs w:val="0"/>
                <w:sz w:val="20"/>
                <w:szCs w:val="20"/>
                <w:lang w:eastAsia="en-AU"/>
              </w:rPr>
              <w:t>21; Budget:</w:t>
            </w:r>
            <w:r>
              <w:rPr>
                <w:rFonts w:ascii="Calibri Light" w:hAnsi="Calibri Light" w:cs="Calibri Light"/>
                <w:b w:val="0"/>
                <w:bCs w:val="0"/>
                <w:sz w:val="20"/>
                <w:szCs w:val="20"/>
                <w:lang w:eastAsia="en-AU"/>
              </w:rPr>
              <w:t xml:space="preserve"> </w:t>
            </w:r>
            <w:r w:rsidR="00E31023" w:rsidRPr="00456799">
              <w:rPr>
                <w:rFonts w:ascii="Calibri Light" w:hAnsi="Calibri Light" w:cs="Calibri Light"/>
                <w:b w:val="0"/>
                <w:bCs w:val="0"/>
                <w:sz w:val="20"/>
                <w:szCs w:val="20"/>
                <w:lang w:eastAsia="en-AU"/>
              </w:rPr>
              <w:t xml:space="preserve"> $10.6m</w:t>
            </w:r>
          </w:p>
        </w:tc>
        <w:tc>
          <w:tcPr>
            <w:tcW w:w="1165" w:type="dxa"/>
            <w:shd w:val="clear" w:color="auto" w:fill="F2F2F2" w:themeFill="background1" w:themeFillShade="F2"/>
            <w:hideMark/>
          </w:tcPr>
          <w:p w14:paraId="19470B1C" w14:textId="5101F3A1" w:rsidR="00E31023" w:rsidRPr="00456799" w:rsidRDefault="00E31023" w:rsidP="00456799">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2020</w:t>
            </w:r>
            <w:r w:rsidR="00456799">
              <w:rPr>
                <w:rFonts w:ascii="Calibri Light" w:hAnsi="Calibri Light" w:cs="Calibri Light"/>
                <w:sz w:val="20"/>
                <w:szCs w:val="20"/>
                <w:lang w:eastAsia="en-AU"/>
              </w:rPr>
              <w:t xml:space="preserve"> </w:t>
            </w:r>
            <w:r w:rsidRPr="00456799">
              <w:rPr>
                <w:rFonts w:ascii="Calibri Light" w:hAnsi="Calibri Light" w:cs="Calibri Light"/>
                <w:sz w:val="20"/>
                <w:szCs w:val="20"/>
                <w:lang w:eastAsia="en-AU"/>
              </w:rPr>
              <w:t>IMR</w:t>
            </w:r>
          </w:p>
        </w:tc>
        <w:tc>
          <w:tcPr>
            <w:tcW w:w="1273" w:type="dxa"/>
            <w:shd w:val="clear" w:color="auto" w:fill="F2F2F2" w:themeFill="background1" w:themeFillShade="F2"/>
            <w:noWrap/>
            <w:hideMark/>
          </w:tcPr>
          <w:p w14:paraId="558200F8"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AU" w:eastAsia="en-AU"/>
              </w:rPr>
            </w:pPr>
            <w:r w:rsidRPr="00456799">
              <w:rPr>
                <w:rFonts w:ascii="Calibri Light" w:hAnsi="Calibri Light" w:cs="Calibri Light"/>
                <w:sz w:val="20"/>
                <w:szCs w:val="20"/>
                <w:lang w:eastAsia="en-AU"/>
              </w:rPr>
              <w:t>4</w:t>
            </w:r>
          </w:p>
        </w:tc>
        <w:tc>
          <w:tcPr>
            <w:tcW w:w="1328" w:type="dxa"/>
            <w:shd w:val="clear" w:color="auto" w:fill="F2F2F2" w:themeFill="background1" w:themeFillShade="F2"/>
            <w:noWrap/>
            <w:hideMark/>
          </w:tcPr>
          <w:p w14:paraId="776C1517"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4</w:t>
            </w:r>
          </w:p>
        </w:tc>
        <w:tc>
          <w:tcPr>
            <w:tcW w:w="1482" w:type="dxa"/>
            <w:shd w:val="clear" w:color="auto" w:fill="F2F2F2" w:themeFill="background1" w:themeFillShade="F2"/>
            <w:noWrap/>
            <w:hideMark/>
          </w:tcPr>
          <w:p w14:paraId="0871FBE2" w14:textId="77777777" w:rsidR="00E31023" w:rsidRPr="00456799" w:rsidRDefault="00E31023" w:rsidP="007F1220">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56799">
              <w:rPr>
                <w:rFonts w:ascii="Calibri Light" w:hAnsi="Calibri Light" w:cs="Calibri Light"/>
                <w:sz w:val="20"/>
                <w:szCs w:val="20"/>
                <w:lang w:eastAsia="en-AU"/>
              </w:rPr>
              <w:t>5</w:t>
            </w:r>
          </w:p>
        </w:tc>
      </w:tr>
    </w:tbl>
    <w:p w14:paraId="31CA54A3" w14:textId="77777777" w:rsidR="000545FE" w:rsidRDefault="000545FE" w:rsidP="00681633">
      <w:pPr>
        <w:spacing w:before="20" w:after="20" w:line="180" w:lineRule="atLeast"/>
        <w:jc w:val="both"/>
        <w:rPr>
          <w:rFonts w:eastAsia="Times New Roman"/>
          <w:b/>
          <w:sz w:val="17"/>
          <w:szCs w:val="17"/>
        </w:rPr>
      </w:pPr>
    </w:p>
    <w:p w14:paraId="1B359F33" w14:textId="5C6F3829" w:rsidR="001642AD" w:rsidRDefault="00681633" w:rsidP="00681633">
      <w:pPr>
        <w:spacing w:before="20" w:after="20" w:line="180" w:lineRule="atLeast"/>
        <w:jc w:val="both"/>
        <w:rPr>
          <w:rFonts w:eastAsia="Times New Roman"/>
          <w:sz w:val="17"/>
          <w:szCs w:val="17"/>
        </w:rPr>
      </w:pPr>
      <w:r w:rsidRPr="00456799">
        <w:rPr>
          <w:rFonts w:eastAsia="Times New Roman"/>
          <w:b/>
          <w:sz w:val="17"/>
          <w:szCs w:val="17"/>
        </w:rPr>
        <w:t>Definitions of rating scale</w:t>
      </w:r>
      <w:r w:rsidRPr="00456799">
        <w:rPr>
          <w:rFonts w:eastAsia="Times New Roman"/>
          <w:sz w:val="17"/>
          <w:szCs w:val="17"/>
        </w:rPr>
        <w:t>:</w:t>
      </w:r>
    </w:p>
    <w:p w14:paraId="5989C7B0" w14:textId="4354ADCA" w:rsidR="00681633" w:rsidRPr="00456799" w:rsidRDefault="00681633" w:rsidP="00681633">
      <w:pPr>
        <w:spacing w:before="20" w:after="20" w:line="180" w:lineRule="atLeast"/>
        <w:jc w:val="both"/>
        <w:rPr>
          <w:rFonts w:eastAsia="Times New Roman"/>
          <w:sz w:val="17"/>
          <w:szCs w:val="17"/>
        </w:rPr>
      </w:pPr>
      <w:r w:rsidRPr="00456799">
        <w:rPr>
          <w:rFonts w:eastAsia="Times New Roman"/>
          <w:sz w:val="17"/>
          <w:szCs w:val="17"/>
          <w:u w:val="single"/>
        </w:rPr>
        <w:t>Satisfactory (4, 5 and 6)</w:t>
      </w:r>
    </w:p>
    <w:p w14:paraId="15BE82E8" w14:textId="77777777" w:rsidR="00681633" w:rsidRPr="00456799" w:rsidRDefault="00681633" w:rsidP="00681633">
      <w:pPr>
        <w:spacing w:line="240" w:lineRule="auto"/>
        <w:rPr>
          <w:sz w:val="16"/>
          <w:szCs w:val="16"/>
        </w:rPr>
      </w:pPr>
      <w:r w:rsidRPr="00456799">
        <w:rPr>
          <w:sz w:val="16"/>
          <w:szCs w:val="16"/>
        </w:rPr>
        <w:t xml:space="preserve">6 = Very good; satisfies criteria in all areas. </w:t>
      </w:r>
      <w:r w:rsidRPr="00456799">
        <w:rPr>
          <w:sz w:val="16"/>
          <w:szCs w:val="16"/>
        </w:rPr>
        <w:br/>
        <w:t>5 = Good; satisfies criteria in almost all areas.</w:t>
      </w:r>
      <w:r w:rsidRPr="00456799">
        <w:rPr>
          <w:sz w:val="16"/>
          <w:szCs w:val="16"/>
        </w:rPr>
        <w:br/>
        <w:t>4 = Adequate; on balance, satisfies criteria; does not fail in any major area.</w:t>
      </w:r>
    </w:p>
    <w:p w14:paraId="48B0BB33" w14:textId="77777777" w:rsidR="00681633" w:rsidRPr="00456799" w:rsidRDefault="00681633" w:rsidP="00681633">
      <w:pPr>
        <w:spacing w:line="240" w:lineRule="auto"/>
        <w:rPr>
          <w:sz w:val="16"/>
          <w:szCs w:val="16"/>
          <w:u w:val="single"/>
        </w:rPr>
      </w:pPr>
      <w:r w:rsidRPr="00456799">
        <w:rPr>
          <w:sz w:val="16"/>
          <w:szCs w:val="16"/>
          <w:u w:val="single"/>
        </w:rPr>
        <w:t>Less than satisfactory (1, 2 and 3)</w:t>
      </w:r>
    </w:p>
    <w:p w14:paraId="4DC45723" w14:textId="3D98DF65" w:rsidR="00681633" w:rsidRPr="00456799" w:rsidRDefault="00681633" w:rsidP="00A25755">
      <w:pPr>
        <w:spacing w:before="0" w:after="0" w:line="240" w:lineRule="auto"/>
      </w:pPr>
      <w:r w:rsidRPr="00456799">
        <w:rPr>
          <w:sz w:val="16"/>
          <w:szCs w:val="16"/>
        </w:rPr>
        <w:t>3 = Less than adequate; on balance does not satisfy criteria and/or fails in at least one major area.</w:t>
      </w:r>
      <w:r w:rsidRPr="00456799">
        <w:rPr>
          <w:sz w:val="16"/>
          <w:szCs w:val="16"/>
        </w:rPr>
        <w:br/>
        <w:t>2 = Poor; does not satisfy criteria in major areas.</w:t>
      </w:r>
      <w:r w:rsidRPr="00456799">
        <w:rPr>
          <w:sz w:val="16"/>
          <w:szCs w:val="16"/>
        </w:rPr>
        <w:br/>
        <w:t>1 = Very poor; does not satisfy criteria in any major area</w:t>
      </w:r>
      <w:r w:rsidRPr="00456799">
        <w:t>.</w:t>
      </w:r>
      <w:r w:rsidRPr="00456799">
        <w:br/>
      </w:r>
    </w:p>
    <w:sectPr w:rsidR="00681633" w:rsidRPr="00456799" w:rsidSect="00DB46DC">
      <w:pgSz w:w="11906" w:h="16838" w:code="9"/>
      <w:pgMar w:top="1559" w:right="680" w:bottom="1418" w:left="680" w:header="425"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3BEF1" w14:textId="77777777" w:rsidR="005A37D5" w:rsidRDefault="005A37D5" w:rsidP="00D37B04">
      <w:r>
        <w:separator/>
      </w:r>
    </w:p>
  </w:endnote>
  <w:endnote w:type="continuationSeparator" w:id="0">
    <w:p w14:paraId="34C7112E" w14:textId="77777777" w:rsidR="005A37D5" w:rsidRDefault="005A37D5"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226994283"/>
      <w:docPartObj>
        <w:docPartGallery w:val="Page Numbers (Bottom of Page)"/>
        <w:docPartUnique/>
      </w:docPartObj>
    </w:sdtPr>
    <w:sdtEndPr/>
    <w:sdtContent>
      <w:p w14:paraId="1CF407F0" w14:textId="1E4997A2" w:rsidR="00456799" w:rsidRDefault="00456799" w:rsidP="00456799">
        <w:pPr>
          <w:pStyle w:val="Footer"/>
          <w:jc w:val="center"/>
          <w:rPr>
            <w:color w:val="auto"/>
          </w:rPr>
        </w:pPr>
      </w:p>
      <w:p w14:paraId="79915C7B" w14:textId="47819F53" w:rsidR="00DA2597" w:rsidRPr="00854F69" w:rsidRDefault="00DA2597" w:rsidP="00DA2597">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0800" behindDoc="1" locked="0" layoutInCell="1" allowOverlap="1" wp14:anchorId="5895D112" wp14:editId="06827915">
              <wp:simplePos x="0" y="0"/>
              <wp:positionH relativeFrom="margin">
                <wp:posOffset>-123190</wp:posOffset>
              </wp:positionH>
              <wp:positionV relativeFrom="page">
                <wp:posOffset>9843770</wp:posOffset>
              </wp:positionV>
              <wp:extent cx="6934835" cy="742071"/>
              <wp:effectExtent l="0" t="0" r="0" b="127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407CF130" w14:textId="16E1CBEC" w:rsidR="00C35791" w:rsidRPr="00456799" w:rsidRDefault="00E50273" w:rsidP="00456799">
        <w:pPr>
          <w:pStyle w:val="Footer"/>
          <w:jc w:val="center"/>
          <w:rPr>
            <w:noProof/>
            <w:color w:val="auto"/>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sdtContent>
      <w:p w14:paraId="40F78B97" w14:textId="5FE0D9C7" w:rsidR="00456799" w:rsidRDefault="00DA2597" w:rsidP="00456799">
        <w:pPr>
          <w:pStyle w:val="Footer"/>
          <w:jc w:val="center"/>
          <w:rPr>
            <w:color w:val="auto"/>
          </w:rPr>
        </w:pPr>
        <w:r w:rsidRPr="00C92805">
          <w:rPr>
            <w:b/>
            <w:noProof/>
            <w:color w:val="495965" w:themeColor="text2"/>
            <w:lang w:val="en-AU" w:eastAsia="en-AU"/>
          </w:rPr>
          <w:drawing>
            <wp:anchor distT="0" distB="0" distL="114300" distR="114300" simplePos="0" relativeHeight="251662848" behindDoc="1" locked="0" layoutInCell="1" allowOverlap="1" wp14:anchorId="4C1030EA" wp14:editId="5D64543A">
              <wp:simplePos x="0" y="0"/>
              <wp:positionH relativeFrom="margin">
                <wp:posOffset>-120650</wp:posOffset>
              </wp:positionH>
              <wp:positionV relativeFrom="page">
                <wp:posOffset>9842500</wp:posOffset>
              </wp:positionV>
              <wp:extent cx="6931181" cy="577850"/>
              <wp:effectExtent l="0" t="0" r="317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1961" cy="577915"/>
                      </a:xfrm>
                      <a:prstGeom prst="rect">
                        <a:avLst/>
                      </a:prstGeom>
                    </pic:spPr>
                  </pic:pic>
                </a:graphicData>
              </a:graphic>
              <wp14:sizeRelH relativeFrom="margin">
                <wp14:pctWidth>0</wp14:pctWidth>
              </wp14:sizeRelH>
              <wp14:sizeRelV relativeFrom="margin">
                <wp14:pctHeight>0</wp14:pctHeight>
              </wp14:sizeRelV>
            </wp:anchor>
          </w:drawing>
        </w:r>
      </w:p>
      <w:p w14:paraId="46298731" w14:textId="77777777" w:rsidR="00DA2597" w:rsidRDefault="00E50273" w:rsidP="00DA2597">
        <w:pPr>
          <w:pStyle w:val="Footer"/>
          <w:ind w:right="198"/>
          <w:rPr>
            <w:color w:val="auto"/>
          </w:rPr>
        </w:pPr>
      </w:p>
    </w:sdtContent>
  </w:sdt>
  <w:p w14:paraId="71DB67D2" w14:textId="3DF26E0D" w:rsidR="00DA2597" w:rsidRPr="00854F69" w:rsidRDefault="00E94463" w:rsidP="00DA2597">
    <w:pPr>
      <w:pStyle w:val="Footer"/>
      <w:ind w:right="198"/>
      <w:rPr>
        <w:b/>
        <w:noProof/>
        <w:color w:val="495965" w:themeColor="text2"/>
        <w:lang w:val="en-AU" w:eastAsia="en-AU"/>
      </w:rPr>
    </w:pPr>
    <w:r>
      <w:rPr>
        <w:b/>
        <w:noProof/>
        <w:color w:val="495965" w:themeColor="text2"/>
        <w:lang w:val="en-AU" w:eastAsia="en-AU"/>
      </w:rPr>
      <w:t>Novem</w:t>
    </w:r>
    <w:r w:rsidR="00DA2597">
      <w:rPr>
        <w:b/>
        <w:noProof/>
        <w:color w:val="495965" w:themeColor="text2"/>
        <w:lang w:val="en-AU" w:eastAsia="en-AU"/>
      </w:rPr>
      <w:t>ber</w:t>
    </w:r>
    <w:r w:rsidR="00DA2597" w:rsidRPr="00C92805">
      <w:rPr>
        <w:b/>
        <w:noProof/>
        <w:color w:val="495965" w:themeColor="text2"/>
        <w:lang w:val="en-AU" w:eastAsia="en-AU"/>
      </w:rPr>
      <w:t xml:space="preserve"> </w:t>
    </w:r>
    <w:r w:rsidR="00DA2597">
      <w:rPr>
        <w:b/>
        <w:noProof/>
        <w:color w:val="495965" w:themeColor="text2"/>
        <w:lang w:val="en-AU" w:eastAsia="en-AU"/>
      </w:rPr>
      <w:t>20</w:t>
    </w:r>
    <w:r w:rsidR="00DA2597" w:rsidRPr="00C92805">
      <w:rPr>
        <w:b/>
        <w:noProof/>
        <w:color w:val="495965" w:themeColor="text2"/>
        <w:lang w:val="en-AU" w:eastAsia="en-AU"/>
      </w:rPr>
      <w:t>2</w:t>
    </w:r>
    <w:r w:rsidR="00DA2597">
      <w:rPr>
        <w:b/>
        <w:noProof/>
        <w:color w:val="495965" w:themeColor="text2"/>
        <w:lang w:val="en-AU" w:eastAsia="en-AU"/>
      </w:rPr>
      <w:t>1</w:t>
    </w:r>
    <w:r>
      <w:rPr>
        <w:b/>
        <w:noProof/>
        <w:color w:val="495965" w:themeColor="text2"/>
        <w:lang w:val="en-AU" w:eastAsia="en-AU"/>
      </w:rPr>
      <w:t xml:space="preserve"> </w:t>
    </w:r>
    <w:r w:rsidR="00DA2597">
      <w:rPr>
        <w:b/>
        <w:noProof/>
        <w:color w:val="495965" w:themeColor="text2"/>
        <w:lang w:val="en-AU" w:eastAsia="en-AU"/>
      </w:rPr>
      <w:tab/>
    </w:r>
    <w:r w:rsidR="00DA2597" w:rsidRPr="007002E3">
      <w:rPr>
        <w:bCs/>
        <w:noProof/>
        <w:color w:val="auto"/>
        <w:lang w:val="en-AU" w:eastAsia="en-AU"/>
      </w:rPr>
      <w:fldChar w:fldCharType="begin"/>
    </w:r>
    <w:r w:rsidR="00DA2597" w:rsidRPr="007002E3">
      <w:rPr>
        <w:bCs/>
        <w:noProof/>
        <w:color w:val="auto"/>
        <w:lang w:val="en-AU" w:eastAsia="en-AU"/>
      </w:rPr>
      <w:instrText xml:space="preserve"> PAGE   \* MERGEFORMAT </w:instrText>
    </w:r>
    <w:r w:rsidR="00DA2597" w:rsidRPr="007002E3">
      <w:rPr>
        <w:bCs/>
        <w:noProof/>
        <w:color w:val="auto"/>
        <w:lang w:val="en-AU" w:eastAsia="en-AU"/>
      </w:rPr>
      <w:fldChar w:fldCharType="separate"/>
    </w:r>
    <w:r w:rsidR="00DA2597">
      <w:rPr>
        <w:bCs/>
        <w:noProof/>
        <w:color w:val="auto"/>
        <w:lang w:val="en-AU" w:eastAsia="en-AU"/>
      </w:rPr>
      <w:t>1</w:t>
    </w:r>
    <w:r w:rsidR="00DA2597" w:rsidRPr="007002E3">
      <w:rPr>
        <w:bCs/>
        <w:noProof/>
        <w:color w:val="auto"/>
        <w:lang w:val="en-AU" w:eastAsia="en-AU"/>
      </w:rPr>
      <w:fldChar w:fldCharType="end"/>
    </w:r>
  </w:p>
  <w:p w14:paraId="67C8CCB3" w14:textId="092ADA95" w:rsidR="00C35791" w:rsidRPr="00456799" w:rsidRDefault="00C35791" w:rsidP="00456799">
    <w:pPr>
      <w:pStyle w:val="Footer"/>
      <w:jc w:val="center"/>
      <w:rPr>
        <w:noProof/>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69758" w14:textId="77777777" w:rsidR="005A37D5" w:rsidRPr="008C5A0E" w:rsidRDefault="005A37D5" w:rsidP="00D37B04">
      <w:pPr>
        <w:pStyle w:val="Footer"/>
      </w:pPr>
    </w:p>
  </w:footnote>
  <w:footnote w:type="continuationSeparator" w:id="0">
    <w:p w14:paraId="6076DA68" w14:textId="77777777" w:rsidR="005A37D5" w:rsidRDefault="005A37D5"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3A4D" w14:textId="5C33A3C0" w:rsidR="002D5B25" w:rsidRPr="00E055AB" w:rsidRDefault="00FA5EFD" w:rsidP="00056F24">
    <w:pPr>
      <w:pStyle w:val="Header"/>
      <w:tabs>
        <w:tab w:val="clear" w:pos="9026"/>
        <w:tab w:val="left" w:pos="9756"/>
      </w:tabs>
      <w:ind w:left="142"/>
      <w:rPr>
        <w:caps w:val="0"/>
      </w:rPr>
    </w:pPr>
    <w:r w:rsidRPr="00A12B40">
      <w:rPr>
        <w:i/>
        <w:noProof/>
        <w:lang w:val="en-AU" w:eastAsia="en-AU"/>
      </w:rPr>
      <w:drawing>
        <wp:anchor distT="0" distB="0" distL="114300" distR="114300" simplePos="0" relativeHeight="251658752" behindDoc="1" locked="0" layoutInCell="1" allowOverlap="1" wp14:anchorId="4949E744" wp14:editId="3339F937">
          <wp:simplePos x="0" y="0"/>
          <wp:positionH relativeFrom="page">
            <wp:posOffset>316040</wp:posOffset>
          </wp:positionH>
          <wp:positionV relativeFrom="page">
            <wp:posOffset>94615</wp:posOffset>
          </wp:positionV>
          <wp:extent cx="6922959" cy="732655"/>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056F24">
      <w:rPr>
        <w:caps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F9FB6" w14:textId="48D8CB5B" w:rsidR="00456799" w:rsidRPr="00DB46DC" w:rsidRDefault="00DB46DC" w:rsidP="00DB46DC">
    <w:pPr>
      <w:pStyle w:val="Header"/>
    </w:pPr>
    <w:r>
      <w:rPr>
        <w:noProof/>
      </w:rPr>
      <w:drawing>
        <wp:inline distT="0" distB="0" distL="0" distR="0" wp14:anchorId="3FFE360E" wp14:editId="166C8251">
          <wp:extent cx="6696075" cy="1247775"/>
          <wp:effectExtent l="0" t="0" r="9525" b="9525"/>
          <wp:docPr id="25" name="Picture 25"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26B4" w14:textId="48287CD3" w:rsidR="00456799" w:rsidRDefault="00080F32" w:rsidP="00456799">
    <w:pPr>
      <w:pStyle w:val="Header"/>
      <w:ind w:left="0"/>
    </w:pPr>
    <w:r w:rsidRPr="00A12B40">
      <w:rPr>
        <w:i/>
        <w:caps w:val="0"/>
      </w:rPr>
      <w:t>Partnerships for Recove</w:t>
    </w:r>
    <w:r>
      <w:rPr>
        <w:i/>
        <w:caps w:val="0"/>
      </w:rPr>
      <w:t>ry</w:t>
    </w:r>
    <w:r w:rsidRPr="00A12B40">
      <w:rPr>
        <w:i/>
        <w:noProof/>
        <w:lang w:val="en-AU" w:eastAsia="en-AU"/>
      </w:rPr>
      <w:drawing>
        <wp:inline distT="0" distB="0" distL="0" distR="0" wp14:anchorId="74ABED70" wp14:editId="6F9C5DF4">
          <wp:extent cx="6696710" cy="705117"/>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696710" cy="705117"/>
                  </a:xfrm>
                  <a:prstGeom prst="rect">
                    <a:avLst/>
                  </a:prstGeom>
                </pic:spPr>
              </pic:pic>
            </a:graphicData>
          </a:graphic>
        </wp:inline>
      </w:drawing>
    </w:r>
  </w:p>
  <w:p w14:paraId="650210BA" w14:textId="66B2933F" w:rsidR="001E563B" w:rsidRPr="00456799" w:rsidRDefault="001E563B" w:rsidP="0045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D4022"/>
    <w:multiLevelType w:val="hybridMultilevel"/>
    <w:tmpl w:val="1278DF74"/>
    <w:lvl w:ilvl="0" w:tplc="C652D356">
      <w:numFmt w:val="bullet"/>
      <w:lvlText w:val="-"/>
      <w:lvlJc w:val="left"/>
      <w:pPr>
        <w:ind w:left="720" w:hanging="360"/>
      </w:pPr>
      <w:rPr>
        <w:rFonts w:ascii="Calibri Light" w:eastAsiaTheme="minorHAnsi" w:hAnsi="Calibri Light" w:cs="Calibri Light" w:hint="default"/>
        <w:color w:val="49596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8F132CE"/>
    <w:multiLevelType w:val="multilevel"/>
    <w:tmpl w:val="3B7A10DE"/>
    <w:numStyleLink w:val="BulletsList"/>
  </w:abstractNum>
  <w:abstractNum w:abstractNumId="8"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2"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3" w15:restartNumberingAfterBreak="0">
    <w:nsid w:val="51100950"/>
    <w:multiLevelType w:val="hybridMultilevel"/>
    <w:tmpl w:val="06869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680A90"/>
    <w:multiLevelType w:val="hybridMultilevel"/>
    <w:tmpl w:val="B870205C"/>
    <w:lvl w:ilvl="0" w:tplc="5B6EE618">
      <w:numFmt w:val="bullet"/>
      <w:lvlText w:val="-"/>
      <w:lvlJc w:val="left"/>
      <w:pPr>
        <w:ind w:left="460" w:hanging="360"/>
      </w:pPr>
      <w:rPr>
        <w:rFonts w:ascii="Calibri Light" w:eastAsiaTheme="minorHAnsi" w:hAnsi="Calibri Light" w:cs="Calibri Light" w:hint="default"/>
      </w:rPr>
    </w:lvl>
    <w:lvl w:ilvl="1" w:tplc="0C090003">
      <w:start w:val="1"/>
      <w:numFmt w:val="bullet"/>
      <w:lvlText w:val="o"/>
      <w:lvlJc w:val="left"/>
      <w:pPr>
        <w:ind w:left="1180" w:hanging="360"/>
      </w:pPr>
      <w:rPr>
        <w:rFonts w:ascii="Courier New" w:hAnsi="Courier New" w:cs="Courier New" w:hint="default"/>
      </w:rPr>
    </w:lvl>
    <w:lvl w:ilvl="2" w:tplc="0C090005">
      <w:start w:val="1"/>
      <w:numFmt w:val="bullet"/>
      <w:lvlText w:val=""/>
      <w:lvlJc w:val="left"/>
      <w:pPr>
        <w:ind w:left="1900" w:hanging="360"/>
      </w:pPr>
      <w:rPr>
        <w:rFonts w:ascii="Wingdings" w:hAnsi="Wingdings" w:hint="default"/>
      </w:rPr>
    </w:lvl>
    <w:lvl w:ilvl="3" w:tplc="0C090001">
      <w:start w:val="1"/>
      <w:numFmt w:val="bullet"/>
      <w:lvlText w:val=""/>
      <w:lvlJc w:val="left"/>
      <w:pPr>
        <w:ind w:left="2620" w:hanging="360"/>
      </w:pPr>
      <w:rPr>
        <w:rFonts w:ascii="Symbol" w:hAnsi="Symbol" w:hint="default"/>
      </w:rPr>
    </w:lvl>
    <w:lvl w:ilvl="4" w:tplc="0C090003">
      <w:start w:val="1"/>
      <w:numFmt w:val="bullet"/>
      <w:lvlText w:val="o"/>
      <w:lvlJc w:val="left"/>
      <w:pPr>
        <w:ind w:left="3340" w:hanging="360"/>
      </w:pPr>
      <w:rPr>
        <w:rFonts w:ascii="Courier New" w:hAnsi="Courier New" w:cs="Courier New" w:hint="default"/>
      </w:rPr>
    </w:lvl>
    <w:lvl w:ilvl="5" w:tplc="0C090005">
      <w:start w:val="1"/>
      <w:numFmt w:val="bullet"/>
      <w:lvlText w:val=""/>
      <w:lvlJc w:val="left"/>
      <w:pPr>
        <w:ind w:left="4060" w:hanging="360"/>
      </w:pPr>
      <w:rPr>
        <w:rFonts w:ascii="Wingdings" w:hAnsi="Wingdings" w:hint="default"/>
      </w:rPr>
    </w:lvl>
    <w:lvl w:ilvl="6" w:tplc="0C090001">
      <w:start w:val="1"/>
      <w:numFmt w:val="bullet"/>
      <w:lvlText w:val=""/>
      <w:lvlJc w:val="left"/>
      <w:pPr>
        <w:ind w:left="4780" w:hanging="360"/>
      </w:pPr>
      <w:rPr>
        <w:rFonts w:ascii="Symbol" w:hAnsi="Symbol" w:hint="default"/>
      </w:rPr>
    </w:lvl>
    <w:lvl w:ilvl="7" w:tplc="0C090003">
      <w:start w:val="1"/>
      <w:numFmt w:val="bullet"/>
      <w:lvlText w:val="o"/>
      <w:lvlJc w:val="left"/>
      <w:pPr>
        <w:ind w:left="5500" w:hanging="360"/>
      </w:pPr>
      <w:rPr>
        <w:rFonts w:ascii="Courier New" w:hAnsi="Courier New" w:cs="Courier New" w:hint="default"/>
      </w:rPr>
    </w:lvl>
    <w:lvl w:ilvl="8" w:tplc="0C090005">
      <w:start w:val="1"/>
      <w:numFmt w:val="bullet"/>
      <w:lvlText w:val=""/>
      <w:lvlJc w:val="left"/>
      <w:pPr>
        <w:ind w:left="6220" w:hanging="360"/>
      </w:pPr>
      <w:rPr>
        <w:rFonts w:ascii="Wingdings" w:hAnsi="Wingdings" w:hint="default"/>
      </w:rPr>
    </w:lvl>
  </w:abstractNum>
  <w:num w:numId="1">
    <w:abstractNumId w:val="21"/>
  </w:num>
  <w:num w:numId="2">
    <w:abstractNumId w:val="2"/>
  </w:num>
  <w:num w:numId="3">
    <w:abstractNumId w:val="6"/>
  </w:num>
  <w:num w:numId="4">
    <w:abstractNumId w:val="14"/>
  </w:num>
  <w:num w:numId="5">
    <w:abstractNumId w:val="17"/>
  </w:num>
  <w:num w:numId="6">
    <w:abstractNumId w:val="6"/>
  </w:num>
  <w:num w:numId="7">
    <w:abstractNumId w:val="2"/>
  </w:num>
  <w:num w:numId="8">
    <w:abstractNumId w:val="4"/>
  </w:num>
  <w:num w:numId="9">
    <w:abstractNumId w:val="24"/>
  </w:num>
  <w:num w:numId="10">
    <w:abstractNumId w:val="7"/>
  </w:num>
  <w:num w:numId="11">
    <w:abstractNumId w:val="12"/>
  </w:num>
  <w:num w:numId="12">
    <w:abstractNumId w:val="13"/>
  </w:num>
  <w:num w:numId="13">
    <w:abstractNumId w:val="0"/>
  </w:num>
  <w:num w:numId="14">
    <w:abstractNumId w:val="11"/>
  </w:num>
  <w:num w:numId="15">
    <w:abstractNumId w:val="15"/>
  </w:num>
  <w:num w:numId="16">
    <w:abstractNumId w:val="19"/>
  </w:num>
  <w:num w:numId="17">
    <w:abstractNumId w:val="5"/>
  </w:num>
  <w:num w:numId="18">
    <w:abstractNumId w:val="16"/>
  </w:num>
  <w:num w:numId="19">
    <w:abstractNumId w:val="23"/>
  </w:num>
  <w:num w:numId="20">
    <w:abstractNumId w:val="9"/>
  </w:num>
  <w:num w:numId="21">
    <w:abstractNumId w:val="22"/>
  </w:num>
  <w:num w:numId="22">
    <w:abstractNumId w:val="8"/>
  </w:num>
  <w:num w:numId="23">
    <w:abstractNumId w:val="3"/>
  </w:num>
  <w:num w:numId="24">
    <w:abstractNumId w:val="20"/>
  </w:num>
  <w:num w:numId="25">
    <w:abstractNumId w:val="25"/>
  </w:num>
  <w:num w:numId="26">
    <w:abstractNumId w:val="10"/>
  </w:num>
  <w:num w:numId="27">
    <w:abstractNumId w:val="18"/>
  </w:num>
  <w:num w:numId="28">
    <w:abstractNumId w:val="1"/>
  </w:num>
  <w:num w:numId="2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4D86"/>
    <w:rsid w:val="000069E8"/>
    <w:rsid w:val="00010006"/>
    <w:rsid w:val="00011235"/>
    <w:rsid w:val="0001573C"/>
    <w:rsid w:val="00015AB7"/>
    <w:rsid w:val="0002080A"/>
    <w:rsid w:val="00026520"/>
    <w:rsid w:val="0002782F"/>
    <w:rsid w:val="00031486"/>
    <w:rsid w:val="000314BA"/>
    <w:rsid w:val="0003160F"/>
    <w:rsid w:val="00034258"/>
    <w:rsid w:val="00035BBF"/>
    <w:rsid w:val="00035CBC"/>
    <w:rsid w:val="0004067C"/>
    <w:rsid w:val="000417C3"/>
    <w:rsid w:val="00041FBA"/>
    <w:rsid w:val="000444F3"/>
    <w:rsid w:val="00050806"/>
    <w:rsid w:val="000545FE"/>
    <w:rsid w:val="000546D9"/>
    <w:rsid w:val="00054E4D"/>
    <w:rsid w:val="00055880"/>
    <w:rsid w:val="00056F24"/>
    <w:rsid w:val="00057F8D"/>
    <w:rsid w:val="00060073"/>
    <w:rsid w:val="000616C6"/>
    <w:rsid w:val="00080F32"/>
    <w:rsid w:val="000822AD"/>
    <w:rsid w:val="000854FD"/>
    <w:rsid w:val="000A407E"/>
    <w:rsid w:val="000B37F5"/>
    <w:rsid w:val="000B5DA7"/>
    <w:rsid w:val="000B78E6"/>
    <w:rsid w:val="000C1B1D"/>
    <w:rsid w:val="000C3A4C"/>
    <w:rsid w:val="000C4411"/>
    <w:rsid w:val="000D2896"/>
    <w:rsid w:val="000D66D6"/>
    <w:rsid w:val="000E1DF7"/>
    <w:rsid w:val="000E58BF"/>
    <w:rsid w:val="000E6C44"/>
    <w:rsid w:val="000F2600"/>
    <w:rsid w:val="000F78C9"/>
    <w:rsid w:val="001102DC"/>
    <w:rsid w:val="001112F2"/>
    <w:rsid w:val="00113288"/>
    <w:rsid w:val="00120AF1"/>
    <w:rsid w:val="001214BE"/>
    <w:rsid w:val="0012165D"/>
    <w:rsid w:val="00121C8D"/>
    <w:rsid w:val="00121DDD"/>
    <w:rsid w:val="001227F1"/>
    <w:rsid w:val="00122DC6"/>
    <w:rsid w:val="001274AA"/>
    <w:rsid w:val="0013101C"/>
    <w:rsid w:val="00132857"/>
    <w:rsid w:val="00137F4E"/>
    <w:rsid w:val="00144CAC"/>
    <w:rsid w:val="001461D6"/>
    <w:rsid w:val="00146E07"/>
    <w:rsid w:val="00151B7E"/>
    <w:rsid w:val="001541EA"/>
    <w:rsid w:val="0016223D"/>
    <w:rsid w:val="001642AD"/>
    <w:rsid w:val="00166026"/>
    <w:rsid w:val="00166032"/>
    <w:rsid w:val="001662F8"/>
    <w:rsid w:val="001706A2"/>
    <w:rsid w:val="0017322A"/>
    <w:rsid w:val="00173E96"/>
    <w:rsid w:val="001741D1"/>
    <w:rsid w:val="00182B1A"/>
    <w:rsid w:val="001841C8"/>
    <w:rsid w:val="00186B4B"/>
    <w:rsid w:val="00191D5F"/>
    <w:rsid w:val="00193C49"/>
    <w:rsid w:val="001A51EE"/>
    <w:rsid w:val="001A76CC"/>
    <w:rsid w:val="001A7815"/>
    <w:rsid w:val="001B78DA"/>
    <w:rsid w:val="001C14F4"/>
    <w:rsid w:val="001C1F11"/>
    <w:rsid w:val="001D1A8F"/>
    <w:rsid w:val="001D3681"/>
    <w:rsid w:val="001D3C98"/>
    <w:rsid w:val="001D4091"/>
    <w:rsid w:val="001D663E"/>
    <w:rsid w:val="001E03BE"/>
    <w:rsid w:val="001E1DC0"/>
    <w:rsid w:val="001E563B"/>
    <w:rsid w:val="001E6D20"/>
    <w:rsid w:val="001F16E7"/>
    <w:rsid w:val="001F7A8B"/>
    <w:rsid w:val="001F7F4D"/>
    <w:rsid w:val="002146BC"/>
    <w:rsid w:val="0021525E"/>
    <w:rsid w:val="002231BD"/>
    <w:rsid w:val="00225AB9"/>
    <w:rsid w:val="002270F7"/>
    <w:rsid w:val="002404E8"/>
    <w:rsid w:val="00244229"/>
    <w:rsid w:val="00247365"/>
    <w:rsid w:val="00255F45"/>
    <w:rsid w:val="002571C0"/>
    <w:rsid w:val="00257CFF"/>
    <w:rsid w:val="00261565"/>
    <w:rsid w:val="00262F5C"/>
    <w:rsid w:val="00270C70"/>
    <w:rsid w:val="002721B5"/>
    <w:rsid w:val="0028602A"/>
    <w:rsid w:val="002941C7"/>
    <w:rsid w:val="002945C4"/>
    <w:rsid w:val="0029663F"/>
    <w:rsid w:val="00297258"/>
    <w:rsid w:val="00297FD1"/>
    <w:rsid w:val="002A64AF"/>
    <w:rsid w:val="002B3381"/>
    <w:rsid w:val="002B5E10"/>
    <w:rsid w:val="002B6C07"/>
    <w:rsid w:val="002C4378"/>
    <w:rsid w:val="002C513E"/>
    <w:rsid w:val="002C793D"/>
    <w:rsid w:val="002D35C9"/>
    <w:rsid w:val="002D4108"/>
    <w:rsid w:val="002D430F"/>
    <w:rsid w:val="002D5B25"/>
    <w:rsid w:val="002E2AF4"/>
    <w:rsid w:val="002E38B2"/>
    <w:rsid w:val="002E500A"/>
    <w:rsid w:val="002F03FB"/>
    <w:rsid w:val="002F138B"/>
    <w:rsid w:val="002F4F2B"/>
    <w:rsid w:val="003002C0"/>
    <w:rsid w:val="00301144"/>
    <w:rsid w:val="003024C7"/>
    <w:rsid w:val="003031C6"/>
    <w:rsid w:val="00304984"/>
    <w:rsid w:val="00311946"/>
    <w:rsid w:val="00312BF8"/>
    <w:rsid w:val="003148B7"/>
    <w:rsid w:val="003158C3"/>
    <w:rsid w:val="00316C3C"/>
    <w:rsid w:val="00316C85"/>
    <w:rsid w:val="00316FA7"/>
    <w:rsid w:val="00324B38"/>
    <w:rsid w:val="003274CD"/>
    <w:rsid w:val="0033222F"/>
    <w:rsid w:val="00332C64"/>
    <w:rsid w:val="00333501"/>
    <w:rsid w:val="003406AF"/>
    <w:rsid w:val="003457C4"/>
    <w:rsid w:val="0035119D"/>
    <w:rsid w:val="00354641"/>
    <w:rsid w:val="003664FE"/>
    <w:rsid w:val="00375D23"/>
    <w:rsid w:val="003806FE"/>
    <w:rsid w:val="00382CE7"/>
    <w:rsid w:val="00384839"/>
    <w:rsid w:val="00387EC8"/>
    <w:rsid w:val="0039215F"/>
    <w:rsid w:val="0039344A"/>
    <w:rsid w:val="003B3091"/>
    <w:rsid w:val="003B4F12"/>
    <w:rsid w:val="003B7C10"/>
    <w:rsid w:val="003C6C4F"/>
    <w:rsid w:val="003C7D0E"/>
    <w:rsid w:val="003D1253"/>
    <w:rsid w:val="003D5386"/>
    <w:rsid w:val="003E24BA"/>
    <w:rsid w:val="003E48D0"/>
    <w:rsid w:val="003E6D7C"/>
    <w:rsid w:val="003F2041"/>
    <w:rsid w:val="003F7D26"/>
    <w:rsid w:val="004007ED"/>
    <w:rsid w:val="00400D50"/>
    <w:rsid w:val="00402ACC"/>
    <w:rsid w:val="00403FD8"/>
    <w:rsid w:val="00404443"/>
    <w:rsid w:val="00404602"/>
    <w:rsid w:val="004120EC"/>
    <w:rsid w:val="0041267F"/>
    <w:rsid w:val="00423DE0"/>
    <w:rsid w:val="00423F31"/>
    <w:rsid w:val="00426340"/>
    <w:rsid w:val="004303AA"/>
    <w:rsid w:val="00431899"/>
    <w:rsid w:val="004348B2"/>
    <w:rsid w:val="004350FF"/>
    <w:rsid w:val="00450381"/>
    <w:rsid w:val="004529F1"/>
    <w:rsid w:val="00453B1A"/>
    <w:rsid w:val="00456799"/>
    <w:rsid w:val="00462A57"/>
    <w:rsid w:val="00467945"/>
    <w:rsid w:val="004728DD"/>
    <w:rsid w:val="00473F2D"/>
    <w:rsid w:val="00473F39"/>
    <w:rsid w:val="00474037"/>
    <w:rsid w:val="00475782"/>
    <w:rsid w:val="00482AE8"/>
    <w:rsid w:val="00486804"/>
    <w:rsid w:val="00487549"/>
    <w:rsid w:val="00493D44"/>
    <w:rsid w:val="00494242"/>
    <w:rsid w:val="004B1EE6"/>
    <w:rsid w:val="004B3775"/>
    <w:rsid w:val="004D0BA0"/>
    <w:rsid w:val="004D7F36"/>
    <w:rsid w:val="004E058F"/>
    <w:rsid w:val="004E3B87"/>
    <w:rsid w:val="004E549D"/>
    <w:rsid w:val="004E6FE4"/>
    <w:rsid w:val="004F3E2F"/>
    <w:rsid w:val="004F5615"/>
    <w:rsid w:val="0050043F"/>
    <w:rsid w:val="00502041"/>
    <w:rsid w:val="00503EB4"/>
    <w:rsid w:val="00510921"/>
    <w:rsid w:val="00510AD3"/>
    <w:rsid w:val="00513348"/>
    <w:rsid w:val="00513AD8"/>
    <w:rsid w:val="00517DD0"/>
    <w:rsid w:val="005204D2"/>
    <w:rsid w:val="0052116A"/>
    <w:rsid w:val="00522396"/>
    <w:rsid w:val="00525ED2"/>
    <w:rsid w:val="00527AD8"/>
    <w:rsid w:val="00530F55"/>
    <w:rsid w:val="005313A5"/>
    <w:rsid w:val="0053159D"/>
    <w:rsid w:val="00531B69"/>
    <w:rsid w:val="00533B5D"/>
    <w:rsid w:val="00534D96"/>
    <w:rsid w:val="00536343"/>
    <w:rsid w:val="00536BAB"/>
    <w:rsid w:val="00540A22"/>
    <w:rsid w:val="005474FC"/>
    <w:rsid w:val="00553079"/>
    <w:rsid w:val="00573D37"/>
    <w:rsid w:val="00577815"/>
    <w:rsid w:val="005822D6"/>
    <w:rsid w:val="005907ED"/>
    <w:rsid w:val="005A1033"/>
    <w:rsid w:val="005A20F6"/>
    <w:rsid w:val="005A37D5"/>
    <w:rsid w:val="005C2EC9"/>
    <w:rsid w:val="005C532B"/>
    <w:rsid w:val="005C774A"/>
    <w:rsid w:val="005D3655"/>
    <w:rsid w:val="005D5489"/>
    <w:rsid w:val="005E0058"/>
    <w:rsid w:val="005E4830"/>
    <w:rsid w:val="005E5524"/>
    <w:rsid w:val="005E6AF0"/>
    <w:rsid w:val="005E73CC"/>
    <w:rsid w:val="005E78D9"/>
    <w:rsid w:val="005F2F66"/>
    <w:rsid w:val="006017C2"/>
    <w:rsid w:val="006031AC"/>
    <w:rsid w:val="00603321"/>
    <w:rsid w:val="006060BA"/>
    <w:rsid w:val="006076DD"/>
    <w:rsid w:val="00610310"/>
    <w:rsid w:val="00611676"/>
    <w:rsid w:val="00616A58"/>
    <w:rsid w:val="00620A3D"/>
    <w:rsid w:val="00622B86"/>
    <w:rsid w:val="00623BA1"/>
    <w:rsid w:val="00630092"/>
    <w:rsid w:val="006346BC"/>
    <w:rsid w:val="006362FF"/>
    <w:rsid w:val="006378FE"/>
    <w:rsid w:val="006408FF"/>
    <w:rsid w:val="0065649B"/>
    <w:rsid w:val="0066203A"/>
    <w:rsid w:val="0066652A"/>
    <w:rsid w:val="006719C3"/>
    <w:rsid w:val="006745FC"/>
    <w:rsid w:val="006750D9"/>
    <w:rsid w:val="00680115"/>
    <w:rsid w:val="00680522"/>
    <w:rsid w:val="00681633"/>
    <w:rsid w:val="00682167"/>
    <w:rsid w:val="00685A1C"/>
    <w:rsid w:val="006A6F52"/>
    <w:rsid w:val="006A791A"/>
    <w:rsid w:val="006B0064"/>
    <w:rsid w:val="006B3E95"/>
    <w:rsid w:val="006B6F6D"/>
    <w:rsid w:val="006C0B06"/>
    <w:rsid w:val="006C3BBD"/>
    <w:rsid w:val="006C42AF"/>
    <w:rsid w:val="006C565B"/>
    <w:rsid w:val="006C6498"/>
    <w:rsid w:val="006D15F1"/>
    <w:rsid w:val="006D5A56"/>
    <w:rsid w:val="006E23A2"/>
    <w:rsid w:val="006E4323"/>
    <w:rsid w:val="006F12CC"/>
    <w:rsid w:val="006F6BA7"/>
    <w:rsid w:val="007075DF"/>
    <w:rsid w:val="00711D8E"/>
    <w:rsid w:val="00712672"/>
    <w:rsid w:val="00716AC0"/>
    <w:rsid w:val="00734E3F"/>
    <w:rsid w:val="00735EFC"/>
    <w:rsid w:val="00736985"/>
    <w:rsid w:val="00740C51"/>
    <w:rsid w:val="00745DF5"/>
    <w:rsid w:val="0076250F"/>
    <w:rsid w:val="0077324F"/>
    <w:rsid w:val="007733DC"/>
    <w:rsid w:val="0077572A"/>
    <w:rsid w:val="00780FA5"/>
    <w:rsid w:val="00796F1C"/>
    <w:rsid w:val="007A09DA"/>
    <w:rsid w:val="007B53F9"/>
    <w:rsid w:val="007B6200"/>
    <w:rsid w:val="007C19B3"/>
    <w:rsid w:val="007C735B"/>
    <w:rsid w:val="007E2EA4"/>
    <w:rsid w:val="007E30BE"/>
    <w:rsid w:val="007E5361"/>
    <w:rsid w:val="007E556D"/>
    <w:rsid w:val="007E7BC7"/>
    <w:rsid w:val="007F1220"/>
    <w:rsid w:val="007F2E4B"/>
    <w:rsid w:val="007F3395"/>
    <w:rsid w:val="007F5C0B"/>
    <w:rsid w:val="007F646C"/>
    <w:rsid w:val="008013DB"/>
    <w:rsid w:val="00801B9F"/>
    <w:rsid w:val="0080204D"/>
    <w:rsid w:val="00815EAE"/>
    <w:rsid w:val="0082053C"/>
    <w:rsid w:val="008218A8"/>
    <w:rsid w:val="00822F43"/>
    <w:rsid w:val="00827124"/>
    <w:rsid w:val="008273CD"/>
    <w:rsid w:val="00831713"/>
    <w:rsid w:val="00841786"/>
    <w:rsid w:val="0084191E"/>
    <w:rsid w:val="00843354"/>
    <w:rsid w:val="00843B76"/>
    <w:rsid w:val="008475F0"/>
    <w:rsid w:val="008515AF"/>
    <w:rsid w:val="00852C32"/>
    <w:rsid w:val="00852CB2"/>
    <w:rsid w:val="00854F69"/>
    <w:rsid w:val="008557A7"/>
    <w:rsid w:val="00856BFE"/>
    <w:rsid w:val="00857312"/>
    <w:rsid w:val="00870928"/>
    <w:rsid w:val="0087096B"/>
    <w:rsid w:val="00877620"/>
    <w:rsid w:val="00887404"/>
    <w:rsid w:val="0089138D"/>
    <w:rsid w:val="0089405C"/>
    <w:rsid w:val="00896309"/>
    <w:rsid w:val="0089741D"/>
    <w:rsid w:val="00897FA2"/>
    <w:rsid w:val="008A1503"/>
    <w:rsid w:val="008A5AFE"/>
    <w:rsid w:val="008A7572"/>
    <w:rsid w:val="008A7B6F"/>
    <w:rsid w:val="008A7D31"/>
    <w:rsid w:val="008C1F60"/>
    <w:rsid w:val="008C478C"/>
    <w:rsid w:val="008C5A0E"/>
    <w:rsid w:val="008C6149"/>
    <w:rsid w:val="008C708C"/>
    <w:rsid w:val="008E4B49"/>
    <w:rsid w:val="008F49D5"/>
    <w:rsid w:val="008F6625"/>
    <w:rsid w:val="00906165"/>
    <w:rsid w:val="00916582"/>
    <w:rsid w:val="00917A7A"/>
    <w:rsid w:val="00925C6E"/>
    <w:rsid w:val="0093173D"/>
    <w:rsid w:val="00933189"/>
    <w:rsid w:val="00943280"/>
    <w:rsid w:val="00943730"/>
    <w:rsid w:val="00950D65"/>
    <w:rsid w:val="009631F2"/>
    <w:rsid w:val="00963EFA"/>
    <w:rsid w:val="00975CA5"/>
    <w:rsid w:val="009765A8"/>
    <w:rsid w:val="009774B4"/>
    <w:rsid w:val="0098555D"/>
    <w:rsid w:val="00986590"/>
    <w:rsid w:val="00991579"/>
    <w:rsid w:val="00992C76"/>
    <w:rsid w:val="009969D6"/>
    <w:rsid w:val="009A112B"/>
    <w:rsid w:val="009A2619"/>
    <w:rsid w:val="009A58FC"/>
    <w:rsid w:val="009B394F"/>
    <w:rsid w:val="009B4D3B"/>
    <w:rsid w:val="009C18DB"/>
    <w:rsid w:val="009C7E60"/>
    <w:rsid w:val="009D3438"/>
    <w:rsid w:val="009D4193"/>
    <w:rsid w:val="009D7407"/>
    <w:rsid w:val="009E0866"/>
    <w:rsid w:val="009E248A"/>
    <w:rsid w:val="009E273C"/>
    <w:rsid w:val="009F1350"/>
    <w:rsid w:val="009F6423"/>
    <w:rsid w:val="00A07A86"/>
    <w:rsid w:val="00A107B9"/>
    <w:rsid w:val="00A12B40"/>
    <w:rsid w:val="00A24A62"/>
    <w:rsid w:val="00A25755"/>
    <w:rsid w:val="00A31C9F"/>
    <w:rsid w:val="00A4144F"/>
    <w:rsid w:val="00A42DEF"/>
    <w:rsid w:val="00A46B28"/>
    <w:rsid w:val="00A47135"/>
    <w:rsid w:val="00A61B4D"/>
    <w:rsid w:val="00A71167"/>
    <w:rsid w:val="00A72201"/>
    <w:rsid w:val="00A727DB"/>
    <w:rsid w:val="00A74192"/>
    <w:rsid w:val="00A75B84"/>
    <w:rsid w:val="00A80123"/>
    <w:rsid w:val="00A80305"/>
    <w:rsid w:val="00A80F95"/>
    <w:rsid w:val="00A868CB"/>
    <w:rsid w:val="00A96364"/>
    <w:rsid w:val="00A97244"/>
    <w:rsid w:val="00A97BF1"/>
    <w:rsid w:val="00AA298A"/>
    <w:rsid w:val="00AA3AA8"/>
    <w:rsid w:val="00AB4187"/>
    <w:rsid w:val="00AB4795"/>
    <w:rsid w:val="00AB6748"/>
    <w:rsid w:val="00AB6BD2"/>
    <w:rsid w:val="00AC107C"/>
    <w:rsid w:val="00AC1389"/>
    <w:rsid w:val="00AC164A"/>
    <w:rsid w:val="00AC3944"/>
    <w:rsid w:val="00AC551D"/>
    <w:rsid w:val="00AC73BA"/>
    <w:rsid w:val="00AD19F7"/>
    <w:rsid w:val="00AD2C2E"/>
    <w:rsid w:val="00AD430F"/>
    <w:rsid w:val="00AD6763"/>
    <w:rsid w:val="00AE1BC7"/>
    <w:rsid w:val="00AE448A"/>
    <w:rsid w:val="00AE74DA"/>
    <w:rsid w:val="00AF18F4"/>
    <w:rsid w:val="00AF2050"/>
    <w:rsid w:val="00AF7ECC"/>
    <w:rsid w:val="00B00BF4"/>
    <w:rsid w:val="00B02B2A"/>
    <w:rsid w:val="00B03CA8"/>
    <w:rsid w:val="00B05B87"/>
    <w:rsid w:val="00B16EF6"/>
    <w:rsid w:val="00B22F0E"/>
    <w:rsid w:val="00B249EC"/>
    <w:rsid w:val="00B26E9E"/>
    <w:rsid w:val="00B33C0A"/>
    <w:rsid w:val="00B34763"/>
    <w:rsid w:val="00B3779F"/>
    <w:rsid w:val="00B401AF"/>
    <w:rsid w:val="00B50ED0"/>
    <w:rsid w:val="00B517B2"/>
    <w:rsid w:val="00B51C2F"/>
    <w:rsid w:val="00B55E19"/>
    <w:rsid w:val="00B56E71"/>
    <w:rsid w:val="00B579A6"/>
    <w:rsid w:val="00B6694E"/>
    <w:rsid w:val="00B71AD8"/>
    <w:rsid w:val="00B84B3C"/>
    <w:rsid w:val="00B857E1"/>
    <w:rsid w:val="00B8599B"/>
    <w:rsid w:val="00B86990"/>
    <w:rsid w:val="00B91FE7"/>
    <w:rsid w:val="00B94758"/>
    <w:rsid w:val="00BA1B89"/>
    <w:rsid w:val="00BA4B6D"/>
    <w:rsid w:val="00BB1C3F"/>
    <w:rsid w:val="00BB26C5"/>
    <w:rsid w:val="00BB2F84"/>
    <w:rsid w:val="00BB3FD0"/>
    <w:rsid w:val="00BC1FED"/>
    <w:rsid w:val="00BC62CD"/>
    <w:rsid w:val="00BD6304"/>
    <w:rsid w:val="00BD710C"/>
    <w:rsid w:val="00BE12B6"/>
    <w:rsid w:val="00BE65A1"/>
    <w:rsid w:val="00BF4DE6"/>
    <w:rsid w:val="00BF6703"/>
    <w:rsid w:val="00C03C93"/>
    <w:rsid w:val="00C06B13"/>
    <w:rsid w:val="00C076F7"/>
    <w:rsid w:val="00C07EFE"/>
    <w:rsid w:val="00C1257E"/>
    <w:rsid w:val="00C150E6"/>
    <w:rsid w:val="00C16A47"/>
    <w:rsid w:val="00C27D25"/>
    <w:rsid w:val="00C30C0E"/>
    <w:rsid w:val="00C35791"/>
    <w:rsid w:val="00C361D0"/>
    <w:rsid w:val="00C42541"/>
    <w:rsid w:val="00C42CDE"/>
    <w:rsid w:val="00C45941"/>
    <w:rsid w:val="00C50B58"/>
    <w:rsid w:val="00C5182A"/>
    <w:rsid w:val="00C52463"/>
    <w:rsid w:val="00C52B3D"/>
    <w:rsid w:val="00C55983"/>
    <w:rsid w:val="00C61649"/>
    <w:rsid w:val="00C63EE9"/>
    <w:rsid w:val="00C716D6"/>
    <w:rsid w:val="00C80F99"/>
    <w:rsid w:val="00C83F4E"/>
    <w:rsid w:val="00C84C30"/>
    <w:rsid w:val="00C87B9B"/>
    <w:rsid w:val="00C908C7"/>
    <w:rsid w:val="00C92805"/>
    <w:rsid w:val="00CA16F3"/>
    <w:rsid w:val="00CA3403"/>
    <w:rsid w:val="00CA37B1"/>
    <w:rsid w:val="00CA3FD8"/>
    <w:rsid w:val="00CA5021"/>
    <w:rsid w:val="00CB1488"/>
    <w:rsid w:val="00CB1959"/>
    <w:rsid w:val="00CB40BD"/>
    <w:rsid w:val="00CB6DCC"/>
    <w:rsid w:val="00CC1D45"/>
    <w:rsid w:val="00CC4A36"/>
    <w:rsid w:val="00CC741B"/>
    <w:rsid w:val="00CD0E4B"/>
    <w:rsid w:val="00CD2329"/>
    <w:rsid w:val="00CD2B1A"/>
    <w:rsid w:val="00CD3F5D"/>
    <w:rsid w:val="00CD4AD4"/>
    <w:rsid w:val="00CD5F45"/>
    <w:rsid w:val="00CE1810"/>
    <w:rsid w:val="00CE4C89"/>
    <w:rsid w:val="00CF07BA"/>
    <w:rsid w:val="00CF21A3"/>
    <w:rsid w:val="00CF75FC"/>
    <w:rsid w:val="00D0296C"/>
    <w:rsid w:val="00D05E55"/>
    <w:rsid w:val="00D11D95"/>
    <w:rsid w:val="00D1231A"/>
    <w:rsid w:val="00D13230"/>
    <w:rsid w:val="00D20A30"/>
    <w:rsid w:val="00D20BC7"/>
    <w:rsid w:val="00D23ECE"/>
    <w:rsid w:val="00D2566A"/>
    <w:rsid w:val="00D2641E"/>
    <w:rsid w:val="00D2676D"/>
    <w:rsid w:val="00D3170B"/>
    <w:rsid w:val="00D32D6F"/>
    <w:rsid w:val="00D34D5D"/>
    <w:rsid w:val="00D37B04"/>
    <w:rsid w:val="00D45555"/>
    <w:rsid w:val="00D4628C"/>
    <w:rsid w:val="00D479B5"/>
    <w:rsid w:val="00D540C6"/>
    <w:rsid w:val="00D55951"/>
    <w:rsid w:val="00D64BD1"/>
    <w:rsid w:val="00D71F34"/>
    <w:rsid w:val="00D7310B"/>
    <w:rsid w:val="00D85F0B"/>
    <w:rsid w:val="00D86D0F"/>
    <w:rsid w:val="00D90B37"/>
    <w:rsid w:val="00D92254"/>
    <w:rsid w:val="00D924D3"/>
    <w:rsid w:val="00DA1B52"/>
    <w:rsid w:val="00DA2597"/>
    <w:rsid w:val="00DB46DC"/>
    <w:rsid w:val="00DC0996"/>
    <w:rsid w:val="00DC238C"/>
    <w:rsid w:val="00DC6D78"/>
    <w:rsid w:val="00DC6F1E"/>
    <w:rsid w:val="00DC7590"/>
    <w:rsid w:val="00DD3E88"/>
    <w:rsid w:val="00DD4231"/>
    <w:rsid w:val="00DD7FF7"/>
    <w:rsid w:val="00DE084C"/>
    <w:rsid w:val="00DE7A14"/>
    <w:rsid w:val="00DF2254"/>
    <w:rsid w:val="00DF5AB1"/>
    <w:rsid w:val="00DF68CF"/>
    <w:rsid w:val="00DF7496"/>
    <w:rsid w:val="00E055AB"/>
    <w:rsid w:val="00E11496"/>
    <w:rsid w:val="00E14F51"/>
    <w:rsid w:val="00E15A6C"/>
    <w:rsid w:val="00E1666D"/>
    <w:rsid w:val="00E20E86"/>
    <w:rsid w:val="00E221FA"/>
    <w:rsid w:val="00E3076E"/>
    <w:rsid w:val="00E31023"/>
    <w:rsid w:val="00E357B7"/>
    <w:rsid w:val="00E410F8"/>
    <w:rsid w:val="00E42990"/>
    <w:rsid w:val="00E42E50"/>
    <w:rsid w:val="00E4584F"/>
    <w:rsid w:val="00E46854"/>
    <w:rsid w:val="00E50273"/>
    <w:rsid w:val="00E532A8"/>
    <w:rsid w:val="00E53800"/>
    <w:rsid w:val="00E6081F"/>
    <w:rsid w:val="00E614AA"/>
    <w:rsid w:val="00E624EC"/>
    <w:rsid w:val="00E70C37"/>
    <w:rsid w:val="00E8296D"/>
    <w:rsid w:val="00E8457B"/>
    <w:rsid w:val="00E90686"/>
    <w:rsid w:val="00E94463"/>
    <w:rsid w:val="00E944AA"/>
    <w:rsid w:val="00E952F8"/>
    <w:rsid w:val="00EA04B2"/>
    <w:rsid w:val="00EA20F3"/>
    <w:rsid w:val="00EA36D9"/>
    <w:rsid w:val="00EC1C25"/>
    <w:rsid w:val="00EC4836"/>
    <w:rsid w:val="00EC608A"/>
    <w:rsid w:val="00EC6D38"/>
    <w:rsid w:val="00ED216F"/>
    <w:rsid w:val="00ED2831"/>
    <w:rsid w:val="00ED3B2D"/>
    <w:rsid w:val="00ED43D1"/>
    <w:rsid w:val="00ED5719"/>
    <w:rsid w:val="00EE0466"/>
    <w:rsid w:val="00EE1CFF"/>
    <w:rsid w:val="00EE4EE1"/>
    <w:rsid w:val="00EF06BD"/>
    <w:rsid w:val="00EF4574"/>
    <w:rsid w:val="00F016BA"/>
    <w:rsid w:val="00F01921"/>
    <w:rsid w:val="00F06E31"/>
    <w:rsid w:val="00F13373"/>
    <w:rsid w:val="00F17114"/>
    <w:rsid w:val="00F20C16"/>
    <w:rsid w:val="00F22DF4"/>
    <w:rsid w:val="00F258BF"/>
    <w:rsid w:val="00F25A93"/>
    <w:rsid w:val="00F2684E"/>
    <w:rsid w:val="00F27235"/>
    <w:rsid w:val="00F277E0"/>
    <w:rsid w:val="00F45486"/>
    <w:rsid w:val="00F47548"/>
    <w:rsid w:val="00F47942"/>
    <w:rsid w:val="00F53309"/>
    <w:rsid w:val="00F53E91"/>
    <w:rsid w:val="00F5404C"/>
    <w:rsid w:val="00F55791"/>
    <w:rsid w:val="00F64659"/>
    <w:rsid w:val="00F647D7"/>
    <w:rsid w:val="00F650C7"/>
    <w:rsid w:val="00F67C6A"/>
    <w:rsid w:val="00F70504"/>
    <w:rsid w:val="00F729EF"/>
    <w:rsid w:val="00F746B7"/>
    <w:rsid w:val="00F760AE"/>
    <w:rsid w:val="00F77CAE"/>
    <w:rsid w:val="00F82271"/>
    <w:rsid w:val="00F83428"/>
    <w:rsid w:val="00F856DD"/>
    <w:rsid w:val="00F875A8"/>
    <w:rsid w:val="00F90B17"/>
    <w:rsid w:val="00F9210B"/>
    <w:rsid w:val="00F96BB9"/>
    <w:rsid w:val="00FA5EFD"/>
    <w:rsid w:val="00FB16C8"/>
    <w:rsid w:val="00FC1216"/>
    <w:rsid w:val="00FD1850"/>
    <w:rsid w:val="00FD3BF4"/>
    <w:rsid w:val="00FE6D51"/>
    <w:rsid w:val="00FE6F2A"/>
    <w:rsid w:val="00FF200A"/>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9D4193"/>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9D4193"/>
    <w:pPr>
      <w:spacing w:before="120" w:after="60"/>
      <w:outlineLvl w:val="2"/>
    </w:pPr>
    <w:rPr>
      <w:bCs/>
      <w:i/>
      <w:caps w:val="0"/>
      <w:szCs w:val="22"/>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D4193"/>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9D4193"/>
    <w:rPr>
      <w:rFonts w:asciiTheme="majorHAnsi" w:eastAsiaTheme="majorEastAsia" w:hAnsiTheme="majorHAnsi" w:cstheme="majorBidi"/>
      <w:b/>
      <w:bCs/>
      <w:i/>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paragraph" w:styleId="Revision">
    <w:name w:val="Revision"/>
    <w:hidden/>
    <w:uiPriority w:val="99"/>
    <w:semiHidden/>
    <w:rsid w:val="00316C3C"/>
    <w:pPr>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F92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392630162">
      <w:bodyDiv w:val="1"/>
      <w:marLeft w:val="0"/>
      <w:marRight w:val="0"/>
      <w:marTop w:val="0"/>
      <w:marBottom w:val="0"/>
      <w:divBdr>
        <w:top w:val="none" w:sz="0" w:space="0" w:color="auto"/>
        <w:left w:val="none" w:sz="0" w:space="0" w:color="auto"/>
        <w:bottom w:val="none" w:sz="0" w:space="0" w:color="auto"/>
        <w:right w:val="none" w:sz="0" w:space="0" w:color="auto"/>
      </w:divBdr>
    </w:div>
    <w:div w:id="473449643">
      <w:bodyDiv w:val="1"/>
      <w:marLeft w:val="0"/>
      <w:marRight w:val="0"/>
      <w:marTop w:val="0"/>
      <w:marBottom w:val="0"/>
      <w:divBdr>
        <w:top w:val="none" w:sz="0" w:space="0" w:color="auto"/>
        <w:left w:val="none" w:sz="0" w:space="0" w:color="auto"/>
        <w:bottom w:val="none" w:sz="0" w:space="0" w:color="auto"/>
        <w:right w:val="none" w:sz="0" w:space="0" w:color="auto"/>
      </w:divBdr>
    </w:div>
    <w:div w:id="873231615">
      <w:bodyDiv w:val="1"/>
      <w:marLeft w:val="0"/>
      <w:marRight w:val="0"/>
      <w:marTop w:val="0"/>
      <w:marBottom w:val="0"/>
      <w:divBdr>
        <w:top w:val="none" w:sz="0" w:space="0" w:color="auto"/>
        <w:left w:val="none" w:sz="0" w:space="0" w:color="auto"/>
        <w:bottom w:val="none" w:sz="0" w:space="0" w:color="auto"/>
        <w:right w:val="none" w:sz="0" w:space="0" w:color="auto"/>
      </w:divBdr>
    </w:div>
    <w:div w:id="991451693">
      <w:bodyDiv w:val="1"/>
      <w:marLeft w:val="0"/>
      <w:marRight w:val="0"/>
      <w:marTop w:val="0"/>
      <w:marBottom w:val="0"/>
      <w:divBdr>
        <w:top w:val="none" w:sz="0" w:space="0" w:color="auto"/>
        <w:left w:val="none" w:sz="0" w:space="0" w:color="auto"/>
        <w:bottom w:val="none" w:sz="0" w:space="0" w:color="auto"/>
        <w:right w:val="none" w:sz="0" w:space="0" w:color="auto"/>
      </w:divBdr>
    </w:div>
    <w:div w:id="1102073051">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664622867">
      <w:bodyDiv w:val="1"/>
      <w:marLeft w:val="0"/>
      <w:marRight w:val="0"/>
      <w:marTop w:val="0"/>
      <w:marBottom w:val="0"/>
      <w:divBdr>
        <w:top w:val="none" w:sz="0" w:space="0" w:color="auto"/>
        <w:left w:val="none" w:sz="0" w:space="0" w:color="auto"/>
        <w:bottom w:val="none" w:sz="0" w:space="0" w:color="auto"/>
        <w:right w:val="none" w:sz="0" w:space="0" w:color="auto"/>
      </w:divBdr>
    </w:div>
    <w:div w:id="1665040068">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21451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2776</Words>
  <Characters>16381</Characters>
  <Application>Microsoft Office Word</Application>
  <DocSecurity>0</DocSecurity>
  <Lines>319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Laos Development Program Progress Report</dc:title>
  <dc:subject/>
  <dc:creator/>
  <cp:keywords/>
  <dc:description/>
  <cp:lastModifiedBy/>
  <cp:revision>1</cp:revision>
  <dcterms:created xsi:type="dcterms:W3CDTF">2021-11-24T05:10:00Z</dcterms:created>
  <dcterms:modified xsi:type="dcterms:W3CDTF">2021-11-24T05:10:00Z</dcterms:modified>
  <cp:category/>
</cp:coreProperties>
</file>