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D6E6F" w14:textId="77777777" w:rsidR="00916262" w:rsidRPr="00117A36" w:rsidRDefault="00916262" w:rsidP="000E0F9E">
      <w:pPr>
        <w:pStyle w:val="Heading1"/>
      </w:pPr>
      <w:bookmarkStart w:id="0" w:name="_Hlk82018592"/>
      <w:r w:rsidRPr="00117A36">
        <w:t>2020-21 Nauru Development Program Progress Report</w:t>
      </w:r>
    </w:p>
    <w:bookmarkEnd w:id="0"/>
    <w:p w14:paraId="5B3C74F1" w14:textId="5F4F2A6E" w:rsidR="001328CB" w:rsidRDefault="001328CB" w:rsidP="00EB4F7A">
      <w:pPr>
        <w:rPr>
          <w:noProof/>
          <w:color w:val="FF0000"/>
        </w:rPr>
      </w:pPr>
      <w:r w:rsidRPr="001328CB">
        <w:rPr>
          <w:noProof/>
        </w:rPr>
        <w:drawing>
          <wp:inline distT="0" distB="0" distL="0" distR="0" wp14:anchorId="5D72454B" wp14:editId="18536C16">
            <wp:extent cx="6696710" cy="2686050"/>
            <wp:effectExtent l="0" t="0" r="0" b="0"/>
            <wp:docPr id="2" name="Picture 2" descr="2020-21 Budget estimate. Total ODA $31.8 million. Bilateral program budget $25.5 million. Regional program budget $5.0 million. Global program budget $0.1 million. Other government departments budget $1.0 million. Temporary, targeted and supplementary measures $0.2 million.&#10;Our development program to Nauru contributes towards achieving the following Sustainable Development Goals: 3,4,5,6,8,9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0-21 Budget estimate. Total ODA $31.8 million. Bilateral program budget $25.5 million. Regional program budget $5.0 million. Global program budget $0.1 million. Other government departments budget $1.0 million. Temporary, targeted and supplementary measures $0.2 million.&#10;Our development program to Nauru contributes towards achieving the following Sustainable Development Goals: 3,4,5,6,8,9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204"/>
                    <a:stretch/>
                  </pic:blipFill>
                  <pic:spPr bwMode="auto">
                    <a:xfrm>
                      <a:off x="0" y="0"/>
                      <a:ext cx="6696710" cy="2686050"/>
                    </a:xfrm>
                    <a:prstGeom prst="rect">
                      <a:avLst/>
                    </a:prstGeom>
                    <a:noFill/>
                    <a:ln>
                      <a:noFill/>
                    </a:ln>
                    <a:extLst>
                      <a:ext uri="{53640926-AAD7-44D8-BBD7-CCE9431645EC}">
                        <a14:shadowObscured xmlns:a14="http://schemas.microsoft.com/office/drawing/2010/main"/>
                      </a:ext>
                    </a:extLst>
                  </pic:spPr>
                </pic:pic>
              </a:graphicData>
            </a:graphic>
          </wp:inline>
        </w:drawing>
      </w:r>
    </w:p>
    <w:p w14:paraId="12F182A4" w14:textId="7E714A4D" w:rsidR="00C84C30" w:rsidRPr="00EB4F7A" w:rsidRDefault="00C84C30" w:rsidP="00EB4F7A">
      <w:pPr>
        <w:rPr>
          <w:b/>
          <w:bCs/>
        </w:rPr>
      </w:pPr>
      <w:r w:rsidRPr="00EB4F7A">
        <w:rPr>
          <w:b/>
          <w:bCs/>
        </w:rPr>
        <w:t xml:space="preserve">CONTEXT </w:t>
      </w:r>
    </w:p>
    <w:p w14:paraId="3A1786FE" w14:textId="64892659" w:rsidR="000F2795" w:rsidRPr="00117A36" w:rsidRDefault="00DA3CF9" w:rsidP="00F90B76">
      <w:pPr>
        <w:spacing w:before="0"/>
      </w:pPr>
      <w:r>
        <w:rPr>
          <w:lang w:val="en-AU"/>
        </w:rPr>
        <w:t xml:space="preserve">Australia’s </w:t>
      </w:r>
      <w:r w:rsidRPr="00DF4995">
        <w:rPr>
          <w:lang w:val="en-AU"/>
        </w:rPr>
        <w:t xml:space="preserve">whole-of-government partnerships ensure we are Nauru’s most significant economic, trade, </w:t>
      </w:r>
      <w:proofErr w:type="gramStart"/>
      <w:r w:rsidRPr="00DF4995">
        <w:rPr>
          <w:lang w:val="en-AU"/>
        </w:rPr>
        <w:t>security</w:t>
      </w:r>
      <w:proofErr w:type="gramEnd"/>
      <w:r w:rsidRPr="00DF4995">
        <w:rPr>
          <w:lang w:val="en-AU"/>
        </w:rPr>
        <w:t xml:space="preserve"> and development partner</w:t>
      </w:r>
      <w:r>
        <w:rPr>
          <w:lang w:val="en-AU"/>
        </w:rPr>
        <w:t>.</w:t>
      </w:r>
      <w:r w:rsidRPr="00117A36">
        <w:t xml:space="preserve"> </w:t>
      </w:r>
      <w:r w:rsidR="000F2795" w:rsidRPr="00117A36">
        <w:t>Nauru’s COVID-19 travel restrictions</w:t>
      </w:r>
      <w:r w:rsidR="00D52002">
        <w:t xml:space="preserve">, </w:t>
      </w:r>
      <w:r w:rsidR="000F2795" w:rsidRPr="00117A36">
        <w:t xml:space="preserve">in-country quarantine and testing were effective </w:t>
      </w:r>
      <w:r w:rsidR="003F09A7" w:rsidRPr="00117A36">
        <w:t xml:space="preserve">in protecting Nauru from </w:t>
      </w:r>
      <w:r w:rsidR="00623374">
        <w:t xml:space="preserve">the </w:t>
      </w:r>
      <w:r w:rsidR="003F09A7" w:rsidRPr="00117A36">
        <w:t>health impacts of COVID-19</w:t>
      </w:r>
      <w:r w:rsidR="000A3149">
        <w:t xml:space="preserve">. </w:t>
      </w:r>
      <w:r w:rsidR="000F2795" w:rsidRPr="00117A36">
        <w:t>The country remained free of COVID-19</w:t>
      </w:r>
      <w:r w:rsidR="003C72FF" w:rsidRPr="00117A36">
        <w:t xml:space="preserve"> and </w:t>
      </w:r>
      <w:r w:rsidR="000F2795" w:rsidRPr="00117A36">
        <w:t>retain</w:t>
      </w:r>
      <w:r w:rsidR="003C72FF" w:rsidRPr="00117A36">
        <w:t>ed</w:t>
      </w:r>
      <w:r w:rsidR="000F2795" w:rsidRPr="00117A36">
        <w:t xml:space="preserve"> connectivity with the outside world as it </w:t>
      </w:r>
      <w:r w:rsidR="00D52002">
        <w:t xml:space="preserve">worked </w:t>
      </w:r>
      <w:r w:rsidR="00845EE9" w:rsidRPr="00117A36">
        <w:t xml:space="preserve">to </w:t>
      </w:r>
      <w:r w:rsidR="003C72FF" w:rsidRPr="00117A36">
        <w:t xml:space="preserve">upgrade </w:t>
      </w:r>
      <w:r w:rsidR="000F2795" w:rsidRPr="00117A36">
        <w:t>its health systems</w:t>
      </w:r>
      <w:r w:rsidR="003C72FF" w:rsidRPr="00117A36">
        <w:t xml:space="preserve"> </w:t>
      </w:r>
      <w:r w:rsidR="005A4A3D" w:rsidRPr="00117A36">
        <w:t xml:space="preserve">in preparation for </w:t>
      </w:r>
      <w:r w:rsidR="00845EE9" w:rsidRPr="00117A36">
        <w:t>a potential outbreak</w:t>
      </w:r>
      <w:r w:rsidR="000F2795" w:rsidRPr="00117A36">
        <w:t>.</w:t>
      </w:r>
    </w:p>
    <w:p w14:paraId="33A28562" w14:textId="3D683519" w:rsidR="000F2795" w:rsidRPr="00117A36" w:rsidRDefault="000F2795" w:rsidP="00F90B76">
      <w:pPr>
        <w:spacing w:before="0"/>
      </w:pPr>
      <w:r w:rsidRPr="00117A36">
        <w:t>Nauru</w:t>
      </w:r>
      <w:r w:rsidR="00671925">
        <w:t>’s effective vaccination drive</w:t>
      </w:r>
      <w:r w:rsidRPr="00117A36">
        <w:t xml:space="preserve"> </w:t>
      </w:r>
      <w:r w:rsidR="00671925">
        <w:t>delivered first doses</w:t>
      </w:r>
      <w:r w:rsidR="00D52002">
        <w:t xml:space="preserve"> </w:t>
      </w:r>
      <w:r w:rsidR="00671925">
        <w:t xml:space="preserve">(AstraZeneca) to </w:t>
      </w:r>
      <w:r w:rsidRPr="00DA3CF9">
        <w:t>108 per cent of the eligible adult population</w:t>
      </w:r>
      <w:r w:rsidRPr="00117A36">
        <w:t xml:space="preserve"> (the data captured </w:t>
      </w:r>
      <w:proofErr w:type="gramStart"/>
      <w:r w:rsidRPr="00117A36">
        <w:t>Nauruan</w:t>
      </w:r>
      <w:proofErr w:type="gramEnd"/>
      <w:r w:rsidRPr="00117A36">
        <w:t xml:space="preserve"> citizens and foreigners)</w:t>
      </w:r>
      <w:r w:rsidR="00671925">
        <w:t xml:space="preserve"> by June 2021 and second doses to 97 per cent o</w:t>
      </w:r>
      <w:r w:rsidRPr="00117A36">
        <w:t>f its adult population</w:t>
      </w:r>
      <w:r w:rsidR="00196354">
        <w:t xml:space="preserve"> </w:t>
      </w:r>
      <w:r w:rsidR="00671925">
        <w:t>by July 2021.</w:t>
      </w:r>
    </w:p>
    <w:p w14:paraId="48AAFBFA" w14:textId="43C4F954" w:rsidR="000F2795" w:rsidRPr="00117A36" w:rsidRDefault="000F2795" w:rsidP="00F90B76">
      <w:pPr>
        <w:spacing w:before="0"/>
      </w:pPr>
      <w:r w:rsidRPr="00117A36">
        <w:t>Nauru’s COVID-19 Taskforce</w:t>
      </w:r>
      <w:r w:rsidR="00671925">
        <w:t xml:space="preserve"> is planning for vaccination of</w:t>
      </w:r>
      <w:r w:rsidRPr="00117A36">
        <w:t xml:space="preserve"> </w:t>
      </w:r>
      <w:r w:rsidR="005A4A3D" w:rsidRPr="00117A36">
        <w:t>12–</w:t>
      </w:r>
      <w:r w:rsidR="00117A36" w:rsidRPr="00117A36">
        <w:t>1</w:t>
      </w:r>
      <w:r w:rsidR="00196354">
        <w:t>7</w:t>
      </w:r>
      <w:r w:rsidR="00117A36" w:rsidRPr="00117A36">
        <w:t>-year-old</w:t>
      </w:r>
      <w:r w:rsidR="00671925">
        <w:t>s, unvaccinated eligible adults, and for</w:t>
      </w:r>
      <w:r w:rsidRPr="00117A36">
        <w:t xml:space="preserve"> “booster” vaccinations.</w:t>
      </w:r>
      <w:r w:rsidR="00F41BFB" w:rsidRPr="00117A36">
        <w:t xml:space="preserve"> </w:t>
      </w:r>
      <w:r w:rsidRPr="00117A36">
        <w:t xml:space="preserve">Global experience suggests that COVID-19 </w:t>
      </w:r>
      <w:r w:rsidR="00DC4D4B">
        <w:t>remains</w:t>
      </w:r>
      <w:r w:rsidRPr="00117A36">
        <w:t xml:space="preserve"> a threat even</w:t>
      </w:r>
      <w:r w:rsidR="00A3756A">
        <w:t xml:space="preserve"> for those fully </w:t>
      </w:r>
      <w:r w:rsidRPr="00117A36">
        <w:t>vaccinated</w:t>
      </w:r>
      <w:r w:rsidR="000A3149">
        <w:t xml:space="preserve">. </w:t>
      </w:r>
      <w:r w:rsidRPr="00117A36">
        <w:t xml:space="preserve">Nauru has high rates of non-communicable diseases (NCDs), </w:t>
      </w:r>
      <w:r w:rsidR="00DC4D4B">
        <w:t xml:space="preserve">largely related to high rates of </w:t>
      </w:r>
      <w:r w:rsidRPr="00117A36">
        <w:t>obesity and smoking, and its health system has limited surge capacity</w:t>
      </w:r>
      <w:r w:rsidR="000A3149">
        <w:t xml:space="preserve">. </w:t>
      </w:r>
      <w:r w:rsidRPr="00117A36">
        <w:t>Nauru’s vulnerability to COVID-19 and other diseases remains high.</w:t>
      </w:r>
    </w:p>
    <w:p w14:paraId="0456B700" w14:textId="6094525A" w:rsidR="000F2795" w:rsidRPr="00117A36" w:rsidRDefault="000F2795" w:rsidP="00F90B76">
      <w:pPr>
        <w:spacing w:before="0"/>
      </w:pPr>
      <w:r w:rsidRPr="00117A36">
        <w:t xml:space="preserve">As anticipated, Nauru’s economy was </w:t>
      </w:r>
      <w:r w:rsidR="003F09A7" w:rsidRPr="00117A36">
        <w:t xml:space="preserve">less </w:t>
      </w:r>
      <w:r w:rsidRPr="00117A36">
        <w:t>affected</w:t>
      </w:r>
      <w:r w:rsidR="003F09A7" w:rsidRPr="00117A36">
        <w:t xml:space="preserve"> </w:t>
      </w:r>
      <w:r w:rsidRPr="00117A36">
        <w:t xml:space="preserve">by the COVID-19 pandemic </w:t>
      </w:r>
      <w:r w:rsidR="003F09A7" w:rsidRPr="00117A36">
        <w:t xml:space="preserve">than other countries in the region </w:t>
      </w:r>
      <w:r w:rsidRPr="00117A36">
        <w:t xml:space="preserve">and expanded during the reporting </w:t>
      </w:r>
      <w:r w:rsidRPr="00DA3CF9">
        <w:t>period</w:t>
      </w:r>
      <w:r w:rsidR="007F3C64" w:rsidRPr="00DA3CF9">
        <w:t xml:space="preserve"> with</w:t>
      </w:r>
      <w:r w:rsidR="007F3C64" w:rsidRPr="00DA3CF9">
        <w:rPr>
          <w:b/>
          <w:bCs/>
        </w:rPr>
        <w:t xml:space="preserve"> GDP forecast</w:t>
      </w:r>
      <w:r w:rsidR="00E478AE" w:rsidRPr="00DA3CF9">
        <w:rPr>
          <w:b/>
          <w:bCs/>
        </w:rPr>
        <w:t xml:space="preserve"> </w:t>
      </w:r>
      <w:r w:rsidR="007F3C64" w:rsidRPr="00DA3CF9">
        <w:rPr>
          <w:b/>
          <w:bCs/>
        </w:rPr>
        <w:t>to grow by 1.</w:t>
      </w:r>
      <w:r w:rsidR="00623374">
        <w:rPr>
          <w:b/>
          <w:bCs/>
        </w:rPr>
        <w:t>5</w:t>
      </w:r>
      <w:r w:rsidR="007F3C64" w:rsidRPr="00DA3CF9">
        <w:rPr>
          <w:b/>
          <w:bCs/>
        </w:rPr>
        <w:t xml:space="preserve"> per cent in 2021</w:t>
      </w:r>
      <w:r w:rsidR="007F3C64">
        <w:t xml:space="preserve"> (Asian Development Bank</w:t>
      </w:r>
      <w:r w:rsidR="00623374">
        <w:t>,</w:t>
      </w:r>
      <w:r w:rsidR="007F3C64">
        <w:t xml:space="preserve"> </w:t>
      </w:r>
      <w:r w:rsidR="00727C61">
        <w:t>Sep</w:t>
      </w:r>
      <w:r w:rsidR="00671925">
        <w:t>tember</w:t>
      </w:r>
      <w:r w:rsidR="00727C61">
        <w:t xml:space="preserve"> </w:t>
      </w:r>
      <w:r w:rsidR="007F3C64">
        <w:t>2021)</w:t>
      </w:r>
      <w:r w:rsidR="00B056AD">
        <w:t>.</w:t>
      </w:r>
      <w:r w:rsidRPr="00117A36">
        <w:t xml:space="preserve"> Government of Nauru (</w:t>
      </w:r>
      <w:proofErr w:type="spellStart"/>
      <w:r w:rsidRPr="00117A36">
        <w:t>GoN</w:t>
      </w:r>
      <w:proofErr w:type="spellEnd"/>
      <w:r w:rsidRPr="00117A36">
        <w:t>) revenue from continuing regional processing operations and the sale of fishing licences insulated Nauru from the global economic downturn.</w:t>
      </w:r>
      <w:r w:rsidR="00F41BFB" w:rsidRPr="00117A36">
        <w:t xml:space="preserve"> </w:t>
      </w:r>
      <w:r w:rsidRPr="00117A36">
        <w:t xml:space="preserve">Nauru used these revenues to pay down public debt (which may </w:t>
      </w:r>
      <w:r w:rsidR="00640D4E" w:rsidRPr="00117A36">
        <w:t xml:space="preserve">make it more difficult </w:t>
      </w:r>
      <w:r w:rsidR="007F3C64">
        <w:t xml:space="preserve">for </w:t>
      </w:r>
      <w:r w:rsidRPr="00117A36">
        <w:t>Nauru to access support from multilateral development banks), and to increase its cash reserves and contributions to the Nauru Intergenerational Trust Fund.</w:t>
      </w:r>
    </w:p>
    <w:p w14:paraId="69C15C67" w14:textId="3528261D" w:rsidR="00F41BFB" w:rsidRPr="00117A36" w:rsidRDefault="00D52002" w:rsidP="00F90B76">
      <w:pPr>
        <w:spacing w:before="0"/>
      </w:pPr>
      <w:r>
        <w:t>T</w:t>
      </w:r>
      <w:r w:rsidR="000F2795" w:rsidRPr="00117A36">
        <w:t xml:space="preserve">he </w:t>
      </w:r>
      <w:proofErr w:type="spellStart"/>
      <w:r w:rsidR="000F2795" w:rsidRPr="00117A36">
        <w:t>GoN</w:t>
      </w:r>
      <w:proofErr w:type="spellEnd"/>
      <w:r w:rsidR="000F2795" w:rsidRPr="00117A36">
        <w:t xml:space="preserve"> did incur costs associated with COVID-19, such as quarantine and increased transport costs</w:t>
      </w:r>
      <w:r w:rsidR="000A3149">
        <w:t xml:space="preserve">. </w:t>
      </w:r>
      <w:r w:rsidR="000F2795" w:rsidRPr="00117A36">
        <w:t xml:space="preserve">Nauru’s outward-focused state-owned enterprises (in particular, Air Nauru and the Nauru Shipping Line) were affected by the global economic </w:t>
      </w:r>
      <w:r w:rsidR="00EB4F7A" w:rsidRPr="00117A36">
        <w:t>slowdown,</w:t>
      </w:r>
      <w:r w:rsidR="00EB4F7A">
        <w:t xml:space="preserve"> with</w:t>
      </w:r>
      <w:r w:rsidR="00671925">
        <w:t xml:space="preserve"> f</w:t>
      </w:r>
      <w:r>
        <w:t>low</w:t>
      </w:r>
      <w:r w:rsidR="00671925">
        <w:t>-</w:t>
      </w:r>
      <w:r w:rsidR="00EB4F7A">
        <w:t>through</w:t>
      </w:r>
      <w:r w:rsidR="00671925">
        <w:t xml:space="preserve"> to </w:t>
      </w:r>
      <w:r w:rsidR="000F2795" w:rsidRPr="00117A36">
        <w:t xml:space="preserve">the </w:t>
      </w:r>
      <w:proofErr w:type="spellStart"/>
      <w:r w:rsidR="000F2795" w:rsidRPr="00117A36">
        <w:t>GoN</w:t>
      </w:r>
      <w:proofErr w:type="spellEnd"/>
      <w:r w:rsidR="000F2795" w:rsidRPr="00117A36">
        <w:t xml:space="preserve"> balance sheet</w:t>
      </w:r>
      <w:r w:rsidR="000A3149">
        <w:t xml:space="preserve">. </w:t>
      </w:r>
      <w:r w:rsidR="000F2795" w:rsidRPr="00DA3CF9">
        <w:rPr>
          <w:b/>
          <w:bCs/>
        </w:rPr>
        <w:t xml:space="preserve">Some fiscal repair will be required </w:t>
      </w:r>
      <w:r w:rsidR="000F2795" w:rsidRPr="00117A36">
        <w:t>in coming years, and the challenge of diversifying Nauru’s economy remains an urgent priority.</w:t>
      </w:r>
      <w:r w:rsidR="00F41BFB" w:rsidRPr="00117A36">
        <w:t xml:space="preserve"> </w:t>
      </w:r>
    </w:p>
    <w:p w14:paraId="56DEF65D" w14:textId="0CF89219" w:rsidR="00FB0CBE" w:rsidRPr="00117A36" w:rsidRDefault="000F2795" w:rsidP="00F90B76">
      <w:pPr>
        <w:spacing w:before="0"/>
      </w:pPr>
      <w:r w:rsidRPr="00117A36">
        <w:t xml:space="preserve">COVID-19 travel restrictions have </w:t>
      </w:r>
      <w:r w:rsidR="00675B35" w:rsidRPr="00117A36">
        <w:t>impacted transport connectivity</w:t>
      </w:r>
      <w:r w:rsidR="00671925">
        <w:t xml:space="preserve">, with </w:t>
      </w:r>
      <w:r w:rsidR="00671925" w:rsidRPr="000473C5">
        <w:t>passenger traffic</w:t>
      </w:r>
      <w:r w:rsidR="00671925">
        <w:t xml:space="preserve"> slowing </w:t>
      </w:r>
      <w:r w:rsidR="00671925" w:rsidRPr="000473C5">
        <w:t>significantly</w:t>
      </w:r>
      <w:r w:rsidR="00D52002">
        <w:t xml:space="preserve"> </w:t>
      </w:r>
      <w:r w:rsidR="00671925">
        <w:t xml:space="preserve">impacting all travel including </w:t>
      </w:r>
      <w:r w:rsidR="00196354">
        <w:t xml:space="preserve">of </w:t>
      </w:r>
      <w:r w:rsidR="00671925" w:rsidRPr="000473C5">
        <w:t>essential personnel</w:t>
      </w:r>
      <w:r w:rsidR="00671925" w:rsidRPr="00A43301">
        <w:t xml:space="preserve"> to and from Nauru</w:t>
      </w:r>
      <w:r w:rsidR="00671925" w:rsidRPr="00D52002">
        <w:t>. The precariousness of Nauru’s food supply chains w</w:t>
      </w:r>
      <w:r w:rsidR="00D52002">
        <w:t>as</w:t>
      </w:r>
      <w:r w:rsidR="00671925" w:rsidRPr="00D52002">
        <w:t xml:space="preserve"> demonstrated in July/August 2021 when supply </w:t>
      </w:r>
      <w:r w:rsidR="00196354">
        <w:t xml:space="preserve">of some food items </w:t>
      </w:r>
      <w:r w:rsidR="00671925" w:rsidRPr="00D52002">
        <w:t xml:space="preserve">was temporarily </w:t>
      </w:r>
      <w:r w:rsidR="00A3756A">
        <w:t>limited following</w:t>
      </w:r>
      <w:r w:rsidR="00671925" w:rsidRPr="00D52002">
        <w:t xml:space="preserve"> the turn-around of a cargo freighter due to COVID-19 cases on board. Nauru is likely to introduce a “no vaccination, no travel” policy in the next reporting period.</w:t>
      </w:r>
      <w:r w:rsidR="00FB0CBE" w:rsidRPr="00117A36">
        <w:br w:type="page"/>
      </w:r>
    </w:p>
    <w:p w14:paraId="08395BDB" w14:textId="6E1280AA" w:rsidR="00916262" w:rsidRPr="00117A36" w:rsidRDefault="00916262" w:rsidP="00D459C4">
      <w:pPr>
        <w:pStyle w:val="Heading2"/>
      </w:pPr>
      <w:r w:rsidRPr="00117A36">
        <w:lastRenderedPageBreak/>
        <w:t>AUSTRALIA’S RESPONSE and PROGRAM HIGHLIGHTS</w:t>
      </w:r>
    </w:p>
    <w:p w14:paraId="1B1245C8" w14:textId="4B924BE6" w:rsidR="000F2795" w:rsidRPr="00117A36" w:rsidRDefault="00DA3CF9" w:rsidP="00F90B76">
      <w:pPr>
        <w:spacing w:before="0"/>
      </w:pPr>
      <w:r>
        <w:t xml:space="preserve">Australia’s development program continues to align with government priorities. </w:t>
      </w:r>
      <w:r w:rsidR="000F2795" w:rsidRPr="00117A36">
        <w:t>COVID-19 impacts on travel and adviser deployment affected the delivery of development programs during the reporting period</w:t>
      </w:r>
      <w:r w:rsidR="00623374">
        <w:t>, limiting progress towards outcomes for some investments</w:t>
      </w:r>
      <w:r w:rsidR="007859C1" w:rsidRPr="00117A36">
        <w:t>.</w:t>
      </w:r>
      <w:r w:rsidR="000F2795" w:rsidRPr="00117A36">
        <w:t xml:space="preserve"> </w:t>
      </w:r>
    </w:p>
    <w:p w14:paraId="1A77478B" w14:textId="77777777" w:rsidR="00146021" w:rsidRDefault="00916262" w:rsidP="00146021">
      <w:pPr>
        <w:pStyle w:val="Heading3"/>
      </w:pPr>
      <w:r w:rsidRPr="00117A36">
        <w:t>Health Security</w:t>
      </w:r>
      <w:bookmarkStart w:id="1" w:name="_Hlk83712403"/>
    </w:p>
    <w:p w14:paraId="3C236763" w14:textId="30B7E920" w:rsidR="00357DEF" w:rsidRPr="00146021" w:rsidRDefault="00357DEF" w:rsidP="00146021">
      <w:pPr>
        <w:pStyle w:val="Heading3"/>
        <w:rPr>
          <w:rFonts w:asciiTheme="minorHAnsi" w:eastAsiaTheme="minorHAnsi" w:hAnsiTheme="minorHAnsi" w:cstheme="minorBidi"/>
          <w:b w:val="0"/>
          <w:bCs w:val="0"/>
          <w:i w:val="0"/>
          <w:sz w:val="22"/>
          <w:szCs w:val="22"/>
        </w:rPr>
      </w:pPr>
      <w:r w:rsidRPr="00146021">
        <w:rPr>
          <w:rFonts w:asciiTheme="minorHAnsi" w:eastAsiaTheme="minorHAnsi" w:hAnsiTheme="minorHAnsi" w:cstheme="minorBidi"/>
          <w:b w:val="0"/>
          <w:bCs w:val="0"/>
          <w:i w:val="0"/>
          <w:sz w:val="22"/>
          <w:szCs w:val="22"/>
        </w:rPr>
        <w:t>Australia’s health sector investment was critical to supporting Nauru respond to COVID</w:t>
      </w:r>
      <w:r w:rsidR="003756F4" w:rsidRPr="00146021">
        <w:rPr>
          <w:rFonts w:asciiTheme="minorHAnsi" w:eastAsiaTheme="minorHAnsi" w:hAnsiTheme="minorHAnsi" w:cstheme="minorBidi"/>
          <w:b w:val="0"/>
          <w:bCs w:val="0"/>
          <w:i w:val="0"/>
          <w:sz w:val="22"/>
          <w:szCs w:val="22"/>
        </w:rPr>
        <w:t>-19</w:t>
      </w:r>
      <w:r w:rsidRPr="00146021">
        <w:rPr>
          <w:rFonts w:asciiTheme="minorHAnsi" w:eastAsiaTheme="minorHAnsi" w:hAnsiTheme="minorHAnsi" w:cstheme="minorBidi"/>
          <w:b w:val="0"/>
          <w:bCs w:val="0"/>
          <w:i w:val="0"/>
          <w:sz w:val="22"/>
          <w:szCs w:val="22"/>
        </w:rPr>
        <w:t>, with the development program supporting Nauru’s health security through direct funding arrangements with the Ministry of Health and Medical Services (MHMS) and the Republic of Nauru Hospital as well as through the Nauru Health Support Program (NHSP)</w:t>
      </w:r>
      <w:r w:rsidR="000A3149" w:rsidRPr="00146021">
        <w:rPr>
          <w:rFonts w:asciiTheme="minorHAnsi" w:eastAsiaTheme="minorHAnsi" w:hAnsiTheme="minorHAnsi" w:cstheme="minorBidi"/>
          <w:b w:val="0"/>
          <w:bCs w:val="0"/>
          <w:i w:val="0"/>
          <w:sz w:val="22"/>
          <w:szCs w:val="22"/>
        </w:rPr>
        <w:t>.</w:t>
      </w:r>
      <w:r w:rsidR="004D332B" w:rsidRPr="00146021">
        <w:rPr>
          <w:rFonts w:asciiTheme="minorHAnsi" w:eastAsiaTheme="minorHAnsi" w:hAnsiTheme="minorHAnsi" w:cstheme="minorBidi"/>
          <w:b w:val="0"/>
          <w:bCs w:val="0"/>
          <w:i w:val="0"/>
          <w:sz w:val="22"/>
          <w:szCs w:val="22"/>
        </w:rPr>
        <w:t xml:space="preserve"> Australia has committed $1.39 million over three years (2020-23) to support Nauru’s COVID-19 response through the procurement of essential supplies and consumables, the provision of technical advice </w:t>
      </w:r>
      <w:r w:rsidR="000C79DB" w:rsidRPr="00146021">
        <w:rPr>
          <w:rFonts w:asciiTheme="minorHAnsi" w:eastAsiaTheme="minorHAnsi" w:hAnsiTheme="minorHAnsi" w:cstheme="minorBidi"/>
          <w:b w:val="0"/>
          <w:bCs w:val="0"/>
          <w:i w:val="0"/>
          <w:sz w:val="22"/>
          <w:szCs w:val="22"/>
        </w:rPr>
        <w:t>to</w:t>
      </w:r>
      <w:r w:rsidR="004D332B" w:rsidRPr="00146021">
        <w:rPr>
          <w:rFonts w:asciiTheme="minorHAnsi" w:eastAsiaTheme="minorHAnsi" w:hAnsiTheme="minorHAnsi" w:cstheme="minorBidi"/>
          <w:b w:val="0"/>
          <w:bCs w:val="0"/>
          <w:i w:val="0"/>
          <w:sz w:val="22"/>
          <w:szCs w:val="22"/>
        </w:rPr>
        <w:t xml:space="preserve"> design </w:t>
      </w:r>
      <w:r w:rsidR="000C79DB" w:rsidRPr="00146021">
        <w:rPr>
          <w:rFonts w:asciiTheme="minorHAnsi" w:eastAsiaTheme="minorHAnsi" w:hAnsiTheme="minorHAnsi" w:cstheme="minorBidi"/>
          <w:b w:val="0"/>
          <w:bCs w:val="0"/>
          <w:i w:val="0"/>
          <w:sz w:val="22"/>
          <w:szCs w:val="22"/>
        </w:rPr>
        <w:t>Nauru’s</w:t>
      </w:r>
      <w:r w:rsidR="004D332B" w:rsidRPr="00146021">
        <w:rPr>
          <w:rFonts w:asciiTheme="minorHAnsi" w:eastAsiaTheme="minorHAnsi" w:hAnsiTheme="minorHAnsi" w:cstheme="minorBidi"/>
          <w:b w:val="0"/>
          <w:bCs w:val="0"/>
          <w:i w:val="0"/>
          <w:sz w:val="22"/>
          <w:szCs w:val="22"/>
        </w:rPr>
        <w:t xml:space="preserve"> vaccination program (via a COVID-19 Adviser who served on the Nauru COVID-19 Taskforce), and payment of Nauru’s </w:t>
      </w:r>
      <w:r w:rsidR="00727C61" w:rsidRPr="00146021">
        <w:rPr>
          <w:rFonts w:asciiTheme="minorHAnsi" w:eastAsiaTheme="minorHAnsi" w:hAnsiTheme="minorHAnsi" w:cstheme="minorBidi"/>
          <w:b w:val="0"/>
          <w:bCs w:val="0"/>
          <w:i w:val="0"/>
          <w:sz w:val="22"/>
          <w:szCs w:val="22"/>
        </w:rPr>
        <w:t>COVID-19 Vaccines Global Access (</w:t>
      </w:r>
      <w:r w:rsidR="004D332B" w:rsidRPr="00146021">
        <w:rPr>
          <w:rFonts w:asciiTheme="minorHAnsi" w:eastAsiaTheme="minorHAnsi" w:hAnsiTheme="minorHAnsi" w:cstheme="minorBidi"/>
          <w:b w:val="0"/>
          <w:bCs w:val="0"/>
          <w:i w:val="0"/>
          <w:sz w:val="22"/>
          <w:szCs w:val="22"/>
        </w:rPr>
        <w:t>COVAX</w:t>
      </w:r>
      <w:r w:rsidR="00727C61" w:rsidRPr="00146021">
        <w:rPr>
          <w:rFonts w:asciiTheme="minorHAnsi" w:eastAsiaTheme="minorHAnsi" w:hAnsiTheme="minorHAnsi" w:cstheme="minorBidi"/>
          <w:b w:val="0"/>
          <w:bCs w:val="0"/>
          <w:i w:val="0"/>
          <w:sz w:val="22"/>
          <w:szCs w:val="22"/>
        </w:rPr>
        <w:t>)</w:t>
      </w:r>
      <w:r w:rsidR="004D332B" w:rsidRPr="00146021">
        <w:rPr>
          <w:rFonts w:asciiTheme="minorHAnsi" w:eastAsiaTheme="minorHAnsi" w:hAnsiTheme="minorHAnsi" w:cstheme="minorBidi"/>
          <w:b w:val="0"/>
          <w:bCs w:val="0"/>
          <w:i w:val="0"/>
          <w:sz w:val="22"/>
          <w:szCs w:val="22"/>
        </w:rPr>
        <w:t xml:space="preserve"> costs</w:t>
      </w:r>
      <w:bookmarkStart w:id="2" w:name="_Hlk84269399"/>
      <w:r w:rsidR="004872E5" w:rsidRPr="00146021">
        <w:rPr>
          <w:rFonts w:asciiTheme="minorHAnsi" w:eastAsiaTheme="minorHAnsi" w:hAnsiTheme="minorHAnsi" w:cstheme="minorBidi"/>
          <w:b w:val="0"/>
          <w:bCs w:val="0"/>
          <w:i w:val="0"/>
          <w:sz w:val="22"/>
          <w:szCs w:val="22"/>
        </w:rPr>
        <w:t>.</w:t>
      </w:r>
      <w:r w:rsidR="000A3149" w:rsidRPr="00146021">
        <w:rPr>
          <w:rFonts w:asciiTheme="minorHAnsi" w:eastAsiaTheme="minorHAnsi" w:hAnsiTheme="minorHAnsi" w:cstheme="minorBidi"/>
          <w:b w:val="0"/>
          <w:bCs w:val="0"/>
          <w:i w:val="0"/>
          <w:sz w:val="22"/>
          <w:szCs w:val="22"/>
        </w:rPr>
        <w:t xml:space="preserve"> </w:t>
      </w:r>
    </w:p>
    <w:bookmarkEnd w:id="2"/>
    <w:p w14:paraId="6988CE76" w14:textId="12C99742" w:rsidR="00357DEF" w:rsidRDefault="00357DEF" w:rsidP="00357DEF">
      <w:pPr>
        <w:pStyle w:val="Bullet1"/>
      </w:pPr>
      <w:r w:rsidRPr="00DA3CF9">
        <w:rPr>
          <w:b/>
          <w:bCs/>
        </w:rPr>
        <w:t>The rollout of a new Health Management Information System (HMIS) supported by Australia began in March 2021</w:t>
      </w:r>
      <w:r w:rsidR="000A3149">
        <w:rPr>
          <w:b/>
          <w:bCs/>
        </w:rPr>
        <w:t xml:space="preserve">. </w:t>
      </w:r>
      <w:r w:rsidRPr="00357DEF">
        <w:t>The HMIS includes an electronic medical records system, cancer registration, pathology and radiology modules, and links to the upgraded m-Supply pharmaceutical supply management system</w:t>
      </w:r>
      <w:r w:rsidR="000A3149">
        <w:t xml:space="preserve">. </w:t>
      </w:r>
      <w:r w:rsidRPr="00357DEF">
        <w:t xml:space="preserve">Parallel work was undertaken to repair health system servers, operating </w:t>
      </w:r>
      <w:proofErr w:type="gramStart"/>
      <w:r w:rsidRPr="00357DEF">
        <w:t>systems</w:t>
      </w:r>
      <w:proofErr w:type="gramEnd"/>
      <w:r w:rsidRPr="00357DEF">
        <w:t xml:space="preserve"> and applications</w:t>
      </w:r>
      <w:r w:rsidR="000A3149">
        <w:t xml:space="preserve">. </w:t>
      </w:r>
      <w:r w:rsidRPr="00357DEF">
        <w:t xml:space="preserve">Staff training to use these new systems continues. </w:t>
      </w:r>
      <w:r w:rsidRPr="00DA3CF9">
        <w:t>The system will enable better data analysis, including access to gender-disaggregated data to inform policy and practice.</w:t>
      </w:r>
    </w:p>
    <w:p w14:paraId="44E2B8CF" w14:textId="49EF3D3D" w:rsidR="00357DEF" w:rsidRDefault="00DB6D42" w:rsidP="00357DEF">
      <w:pPr>
        <w:pStyle w:val="Bullet1"/>
      </w:pPr>
      <w:r>
        <w:t xml:space="preserve">In the reporting period, </w:t>
      </w:r>
      <w:r w:rsidR="00357DEF" w:rsidRPr="00D41E37">
        <w:t>Australia</w:t>
      </w:r>
      <w:r w:rsidR="00357DEF" w:rsidRPr="00671925">
        <w:t xml:space="preserve"> </w:t>
      </w:r>
      <w:r w:rsidR="00357DEF" w:rsidRPr="00F628F0">
        <w:t xml:space="preserve">also </w:t>
      </w:r>
      <w:r w:rsidR="00357DEF" w:rsidRPr="00D41E37">
        <w:t>provided</w:t>
      </w:r>
      <w:r w:rsidR="00357DEF" w:rsidRPr="00DA3CF9">
        <w:rPr>
          <w:b/>
          <w:bCs/>
        </w:rPr>
        <w:t xml:space="preserve"> human resources direct to MHMS in response to the mass resignation of expatriate health professionals</w:t>
      </w:r>
      <w:r w:rsidR="000A3149">
        <w:t xml:space="preserve">. </w:t>
      </w:r>
      <w:r w:rsidR="00357DEF">
        <w:t>We facilitated recruitment to fill the vacant Deputy Secretary and Director of Medical Services in-line positions in MHMS</w:t>
      </w:r>
      <w:r w:rsidR="000A3149">
        <w:rPr>
          <w:b/>
          <w:bCs/>
        </w:rPr>
        <w:t xml:space="preserve">. </w:t>
      </w:r>
      <w:r w:rsidR="00357DEF" w:rsidRPr="00DA3CF9">
        <w:t>Our COVID-19 Adviser provided additional advice on clinical matters such as infection prevention and control</w:t>
      </w:r>
      <w:r w:rsidR="00357DEF" w:rsidRPr="00A43301">
        <w:t xml:space="preserve"> and is helping to finalise plans for Nauru’s new acute ward.</w:t>
      </w:r>
    </w:p>
    <w:p w14:paraId="48D8B46A" w14:textId="399F05EF" w:rsidR="00357DEF" w:rsidRDefault="00357DEF" w:rsidP="00357DEF">
      <w:pPr>
        <w:pStyle w:val="Bullet1"/>
      </w:pPr>
      <w:r>
        <w:t xml:space="preserve">The World Health </w:t>
      </w:r>
      <w:r w:rsidRPr="00DE12FF">
        <w:t>Organisation (</w:t>
      </w:r>
      <w:r w:rsidRPr="00623374">
        <w:t>WHO</w:t>
      </w:r>
      <w:r w:rsidRPr="00DE12FF">
        <w:t>),</w:t>
      </w:r>
      <w:r>
        <w:t xml:space="preserve"> implementing partner of Australia’s NCD activities under the NHSP, </w:t>
      </w:r>
      <w:r w:rsidRPr="00DA3CF9">
        <w:rPr>
          <w:b/>
          <w:bCs/>
        </w:rPr>
        <w:t xml:space="preserve">made solid improvements in tobacco risk awareness </w:t>
      </w:r>
      <w:r w:rsidRPr="0095658C">
        <w:t>during the reporting period</w:t>
      </w:r>
      <w:r w:rsidR="000A3149">
        <w:t xml:space="preserve">. </w:t>
      </w:r>
      <w:r>
        <w:t xml:space="preserve">The </w:t>
      </w:r>
      <w:proofErr w:type="spellStart"/>
      <w:r w:rsidRPr="00DA3CF9">
        <w:t>GoN</w:t>
      </w:r>
      <w:proofErr w:type="spellEnd"/>
      <w:r w:rsidRPr="00DA3CF9">
        <w:t xml:space="preserve"> introduced a 20 per cent increase in tobacco taxes in July 2020</w:t>
      </w:r>
      <w:r w:rsidRPr="00A43301">
        <w:t>. Funds raised were used to support additional tobacco control measures</w:t>
      </w:r>
      <w:r w:rsidR="000A3149">
        <w:t xml:space="preserve">. </w:t>
      </w:r>
      <w:r w:rsidRPr="00A43301">
        <w:t xml:space="preserve">Nauru </w:t>
      </w:r>
      <w:r w:rsidR="000F1720">
        <w:t>m</w:t>
      </w:r>
      <w:r w:rsidRPr="00A43301">
        <w:t>edia ran a successful health promotion campaign targeting tobacco use</w:t>
      </w:r>
      <w:r>
        <w:t xml:space="preserve"> and MHMS staff were trained ahead of the launch of the smoking cessation clinic in May 2021.</w:t>
      </w:r>
    </w:p>
    <w:p w14:paraId="3C8E30D5" w14:textId="1A320F4B" w:rsidR="00357DEF" w:rsidRPr="00146021" w:rsidRDefault="00357DEF" w:rsidP="00357DEF">
      <w:pPr>
        <w:pStyle w:val="Bullet1"/>
      </w:pPr>
      <w:r>
        <w:t xml:space="preserve">There were also </w:t>
      </w:r>
      <w:r w:rsidRPr="00DA3CF9">
        <w:t>improvements in NCD detection and management</w:t>
      </w:r>
      <w:r>
        <w:t xml:space="preserve">. </w:t>
      </w:r>
      <w:r w:rsidRPr="00DA3CF9">
        <w:rPr>
          <w:b/>
          <w:bCs/>
        </w:rPr>
        <w:t>Our programs supported the development of NCD Guidelines to address risk factors, and staff training which improved standards of care</w:t>
      </w:r>
      <w:r>
        <w:t>, especially for patients susceptible to cardiovascular disease</w:t>
      </w:r>
      <w:r w:rsidR="000A3149">
        <w:t xml:space="preserve">. </w:t>
      </w:r>
      <w:r w:rsidRPr="00DA3CF9">
        <w:t>Challenges remain in several areas</w:t>
      </w:r>
      <w:r>
        <w:t xml:space="preserve"> including low patient compliance with diabetic foot checks, and the collection, </w:t>
      </w:r>
      <w:proofErr w:type="gramStart"/>
      <w:r>
        <w:t>access</w:t>
      </w:r>
      <w:proofErr w:type="gramEnd"/>
      <w:r>
        <w:t xml:space="preserve"> and analysis of data. Australian support for two nurses working in community health centres for 12 months strengthened Nauru’s public health delivery</w:t>
      </w:r>
      <w:r w:rsidR="000A3149">
        <w:t xml:space="preserve">. </w:t>
      </w:r>
      <w:r>
        <w:t>To strengthen Nauru’s health system planning and health services delivery, a Community Health Adviser and Health Planning Adviser also commenced work toward the end of the reporting period</w:t>
      </w:r>
      <w:r w:rsidR="00F628F0" w:rsidRPr="00FD012E">
        <w:t>,</w:t>
      </w:r>
      <w:r w:rsidR="00F628F0" w:rsidRPr="00135933">
        <w:t xml:space="preserve"> and a no-cost 12-month extension to the WHO grant </w:t>
      </w:r>
      <w:r w:rsidR="00F628F0" w:rsidRPr="00146021">
        <w:t xml:space="preserve">agreement is expected to enable full implementation of </w:t>
      </w:r>
      <w:r w:rsidR="00DC68DA" w:rsidRPr="00146021">
        <w:t xml:space="preserve">the </w:t>
      </w:r>
      <w:r w:rsidR="00F628F0" w:rsidRPr="00146021">
        <w:t>program.</w:t>
      </w:r>
    </w:p>
    <w:p w14:paraId="35F42B8E" w14:textId="24B375E5" w:rsidR="00357DEF" w:rsidRPr="005A00A5" w:rsidRDefault="00357DEF" w:rsidP="00357DEF">
      <w:pPr>
        <w:pStyle w:val="Bullet1"/>
      </w:pPr>
      <w:bookmarkStart w:id="3" w:name="_Hlk84269184"/>
      <w:r w:rsidRPr="00146021">
        <w:rPr>
          <w:b/>
          <w:bCs/>
        </w:rPr>
        <w:t>NHSP was rated an “investment requiring improvement” in 2019-20 and 2020</w:t>
      </w:r>
      <w:r w:rsidR="005A3BEC" w:rsidRPr="00146021">
        <w:rPr>
          <w:b/>
          <w:bCs/>
        </w:rPr>
        <w:t>-</w:t>
      </w:r>
      <w:r w:rsidRPr="00146021">
        <w:rPr>
          <w:b/>
          <w:bCs/>
        </w:rPr>
        <w:t>21, r</w:t>
      </w:r>
      <w:r w:rsidRPr="00B00FB3">
        <w:rPr>
          <w:b/>
          <w:bCs/>
        </w:rPr>
        <w:t xml:space="preserve">eflecting </w:t>
      </w:r>
      <w:r w:rsidR="003E2EFA" w:rsidRPr="00B00FB3">
        <w:rPr>
          <w:b/>
          <w:bCs/>
        </w:rPr>
        <w:t>challenges faced by the</w:t>
      </w:r>
      <w:r w:rsidRPr="00B00FB3">
        <w:rPr>
          <w:b/>
          <w:bCs/>
        </w:rPr>
        <w:t xml:space="preserve"> contractor and capacity constraints facing local health service providers</w:t>
      </w:r>
      <w:r w:rsidRPr="00B00FB3">
        <w:t xml:space="preserve">, exacerbated by COVID-19 impacts and travel restrictions. The program started to show progress during the latter part of the reporting period following improvements </w:t>
      </w:r>
      <w:r w:rsidR="003E2EFA" w:rsidRPr="00B00FB3">
        <w:t xml:space="preserve">enabled by </w:t>
      </w:r>
      <w:r w:rsidRPr="00B00FB3">
        <w:t>the return of in-country program staff and an increased focus on program management and coordination</w:t>
      </w:r>
      <w:r w:rsidR="003E2EFA" w:rsidRPr="00B00FB3">
        <w:t>,</w:t>
      </w:r>
      <w:r w:rsidR="00F628F0" w:rsidRPr="00B00FB3">
        <w:t xml:space="preserve"> including increased senior on-ground presence </w:t>
      </w:r>
      <w:r w:rsidRPr="00B00FB3">
        <w:t xml:space="preserve">and reinforcement of local health service provider capacity (recruitment and funding to fill two senior </w:t>
      </w:r>
      <w:r w:rsidR="00F628F0" w:rsidRPr="00B00FB3">
        <w:t>in-line health positions</w:t>
      </w:r>
      <w:r w:rsidR="000F1720" w:rsidRPr="00B00FB3">
        <w:t>)</w:t>
      </w:r>
      <w:r w:rsidR="00F628F0" w:rsidRPr="00B00FB3">
        <w:t xml:space="preserve">. </w:t>
      </w:r>
      <w:bookmarkEnd w:id="3"/>
      <w:r w:rsidR="00DC68DA" w:rsidRPr="00B00FB3">
        <w:t>We have developed a plan to ensure</w:t>
      </w:r>
      <w:r w:rsidR="00F628F0" w:rsidRPr="00B00FB3">
        <w:t xml:space="preserve"> sustained program improvement</w:t>
      </w:r>
      <w:r w:rsidR="00DC68DA" w:rsidRPr="00B00FB3">
        <w:t>, including</w:t>
      </w:r>
      <w:r w:rsidR="00F628F0" w:rsidRPr="00B00FB3">
        <w:t xml:space="preserve"> </w:t>
      </w:r>
      <w:r w:rsidR="00DC68DA" w:rsidRPr="00B00FB3">
        <w:t>regular</w:t>
      </w:r>
      <w:r w:rsidR="00F628F0" w:rsidRPr="00B00FB3">
        <w:t xml:space="preserve"> high-level dialogue with </w:t>
      </w:r>
      <w:proofErr w:type="spellStart"/>
      <w:r w:rsidR="00F628F0" w:rsidRPr="00B00FB3">
        <w:t>GoN</w:t>
      </w:r>
      <w:proofErr w:type="spellEnd"/>
      <w:r w:rsidR="00DC68DA" w:rsidRPr="00B00FB3">
        <w:t xml:space="preserve"> on program issues</w:t>
      </w:r>
      <w:r w:rsidR="00F628F0" w:rsidRPr="00B00FB3">
        <w:t>. The program has added two locally recruited gender and social inclusion support staff to strengthen performance and reporting on gender outcomes.</w:t>
      </w:r>
    </w:p>
    <w:p w14:paraId="67F1E330" w14:textId="7337A7B2" w:rsidR="00357DEF" w:rsidRDefault="00357DEF" w:rsidP="00357DEF">
      <w:pPr>
        <w:pStyle w:val="Bullet1"/>
      </w:pPr>
      <w:r w:rsidRPr="00DA3CF9">
        <w:rPr>
          <w:b/>
          <w:bCs/>
        </w:rPr>
        <w:t>Our health program in Nauru will be reviewed in the next reporting period</w:t>
      </w:r>
      <w:r w:rsidRPr="005A00A5">
        <w:t>, with the intent to streamline</w:t>
      </w:r>
      <w:r>
        <w:t xml:space="preserve"> and incorporate the full range of support we currently provide into a single coherent health program.</w:t>
      </w:r>
    </w:p>
    <w:bookmarkEnd w:id="1"/>
    <w:p w14:paraId="5EA6F0AE" w14:textId="77777777" w:rsidR="00146021" w:rsidRDefault="00916262" w:rsidP="00146021">
      <w:pPr>
        <w:pStyle w:val="Heading3"/>
      </w:pPr>
      <w:r w:rsidRPr="00117A36">
        <w:lastRenderedPageBreak/>
        <w:t>Stability</w:t>
      </w:r>
      <w:bookmarkStart w:id="4" w:name="_Hlk82418391"/>
    </w:p>
    <w:p w14:paraId="11601447" w14:textId="6F27A30C" w:rsidR="000F2795" w:rsidRPr="00146021" w:rsidRDefault="000F2795" w:rsidP="00146021">
      <w:pPr>
        <w:pStyle w:val="Heading3"/>
        <w:rPr>
          <w:rFonts w:asciiTheme="minorHAnsi" w:eastAsiaTheme="minorHAnsi" w:hAnsiTheme="minorHAnsi" w:cstheme="minorBidi"/>
          <w:b w:val="0"/>
          <w:bCs w:val="0"/>
          <w:i w:val="0"/>
          <w:sz w:val="22"/>
          <w:szCs w:val="22"/>
        </w:rPr>
      </w:pPr>
      <w:r w:rsidRPr="00146021">
        <w:rPr>
          <w:rFonts w:asciiTheme="minorHAnsi" w:eastAsiaTheme="minorHAnsi" w:hAnsiTheme="minorHAnsi" w:cstheme="minorBidi"/>
          <w:b w:val="0"/>
          <w:bCs w:val="0"/>
          <w:i w:val="0"/>
          <w:sz w:val="22"/>
          <w:szCs w:val="22"/>
        </w:rPr>
        <w:t xml:space="preserve">Australia’s long-term partnership with the Nauru education sector </w:t>
      </w:r>
      <w:proofErr w:type="gramStart"/>
      <w:r w:rsidRPr="00146021">
        <w:rPr>
          <w:rFonts w:asciiTheme="minorHAnsi" w:eastAsiaTheme="minorHAnsi" w:hAnsiTheme="minorHAnsi" w:cstheme="minorBidi"/>
          <w:b w:val="0"/>
          <w:bCs w:val="0"/>
          <w:i w:val="0"/>
          <w:sz w:val="22"/>
          <w:szCs w:val="22"/>
        </w:rPr>
        <w:t>includes:</w:t>
      </w:r>
      <w:proofErr w:type="gramEnd"/>
      <w:r w:rsidRPr="00146021">
        <w:rPr>
          <w:rFonts w:asciiTheme="minorHAnsi" w:eastAsiaTheme="minorHAnsi" w:hAnsiTheme="minorHAnsi" w:cstheme="minorBidi"/>
          <w:b w:val="0"/>
          <w:bCs w:val="0"/>
          <w:i w:val="0"/>
          <w:sz w:val="22"/>
          <w:szCs w:val="22"/>
        </w:rPr>
        <w:t xml:space="preserve"> Nauruan students studying at Australian schools; Australia Awards scholarships and support to the Australia Pacific Training Coalition for technical and vocational education and training.</w:t>
      </w:r>
      <w:r w:rsidR="00D15FEB" w:rsidRPr="00146021">
        <w:rPr>
          <w:rFonts w:asciiTheme="minorHAnsi" w:eastAsiaTheme="minorHAnsi" w:hAnsiTheme="minorHAnsi" w:cstheme="minorBidi"/>
          <w:b w:val="0"/>
          <w:bCs w:val="0"/>
          <w:i w:val="0"/>
          <w:sz w:val="22"/>
          <w:szCs w:val="22"/>
        </w:rPr>
        <w:t xml:space="preserve"> </w:t>
      </w:r>
      <w:r w:rsidRPr="00146021">
        <w:rPr>
          <w:rFonts w:asciiTheme="minorHAnsi" w:eastAsiaTheme="minorHAnsi" w:hAnsiTheme="minorHAnsi" w:cstheme="minorBidi"/>
          <w:b w:val="0"/>
          <w:bCs w:val="0"/>
          <w:i w:val="0"/>
          <w:sz w:val="22"/>
          <w:szCs w:val="22"/>
        </w:rPr>
        <w:t xml:space="preserve">Australia also supports the </w:t>
      </w:r>
      <w:proofErr w:type="spellStart"/>
      <w:r w:rsidRPr="00146021">
        <w:rPr>
          <w:rFonts w:asciiTheme="minorHAnsi" w:eastAsiaTheme="minorHAnsi" w:hAnsiTheme="minorHAnsi" w:cstheme="minorBidi"/>
          <w:b w:val="0"/>
          <w:bCs w:val="0"/>
          <w:i w:val="0"/>
          <w:sz w:val="22"/>
          <w:szCs w:val="22"/>
        </w:rPr>
        <w:t>GoN’s</w:t>
      </w:r>
      <w:proofErr w:type="spellEnd"/>
      <w:r w:rsidRPr="00146021">
        <w:rPr>
          <w:rFonts w:asciiTheme="minorHAnsi" w:eastAsiaTheme="minorHAnsi" w:hAnsiTheme="minorHAnsi" w:cstheme="minorBidi"/>
          <w:b w:val="0"/>
          <w:bCs w:val="0"/>
          <w:i w:val="0"/>
          <w:sz w:val="22"/>
          <w:szCs w:val="22"/>
        </w:rPr>
        <w:t xml:space="preserve"> own arrangements with the Queensland Department of Education to deliver the Queensland Certificate of Education and the University of New England (UNE) </w:t>
      </w:r>
      <w:r w:rsidR="00C259CF" w:rsidRPr="00146021">
        <w:rPr>
          <w:rFonts w:asciiTheme="minorHAnsi" w:eastAsiaTheme="minorHAnsi" w:hAnsiTheme="minorHAnsi" w:cstheme="minorBidi"/>
          <w:b w:val="0"/>
          <w:bCs w:val="0"/>
          <w:i w:val="0"/>
          <w:sz w:val="22"/>
          <w:szCs w:val="22"/>
        </w:rPr>
        <w:t xml:space="preserve">to provide </w:t>
      </w:r>
      <w:r w:rsidRPr="00146021">
        <w:rPr>
          <w:rFonts w:asciiTheme="minorHAnsi" w:eastAsiaTheme="minorHAnsi" w:hAnsiTheme="minorHAnsi" w:cstheme="minorBidi"/>
          <w:b w:val="0"/>
          <w:bCs w:val="0"/>
          <w:i w:val="0"/>
          <w:sz w:val="22"/>
          <w:szCs w:val="22"/>
        </w:rPr>
        <w:t>teacher training</w:t>
      </w:r>
      <w:r w:rsidR="000A3149" w:rsidRPr="00146021">
        <w:rPr>
          <w:rFonts w:asciiTheme="minorHAnsi" w:eastAsiaTheme="minorHAnsi" w:hAnsiTheme="minorHAnsi" w:cstheme="minorBidi"/>
          <w:b w:val="0"/>
          <w:bCs w:val="0"/>
          <w:i w:val="0"/>
          <w:sz w:val="22"/>
          <w:szCs w:val="22"/>
        </w:rPr>
        <w:t xml:space="preserve">. </w:t>
      </w:r>
      <w:r w:rsidR="00146021" w:rsidRPr="00146021">
        <w:rPr>
          <w:rFonts w:asciiTheme="minorHAnsi" w:eastAsiaTheme="minorHAnsi" w:hAnsiTheme="minorHAnsi" w:cstheme="minorBidi"/>
          <w:b w:val="0"/>
          <w:bCs w:val="0"/>
          <w:i w:val="0"/>
          <w:sz w:val="22"/>
          <w:szCs w:val="22"/>
        </w:rPr>
        <w:t>T</w:t>
      </w:r>
      <w:r w:rsidRPr="00146021">
        <w:rPr>
          <w:rFonts w:asciiTheme="minorHAnsi" w:eastAsiaTheme="minorHAnsi" w:hAnsiTheme="minorHAnsi" w:cstheme="minorBidi"/>
          <w:b w:val="0"/>
          <w:bCs w:val="0"/>
          <w:i w:val="0"/>
          <w:sz w:val="22"/>
          <w:szCs w:val="22"/>
        </w:rPr>
        <w:t>wo bachelor students and seven associate degree students graduated th</w:t>
      </w:r>
      <w:r w:rsidR="00640D4E" w:rsidRPr="00146021">
        <w:rPr>
          <w:rFonts w:asciiTheme="minorHAnsi" w:eastAsiaTheme="minorHAnsi" w:hAnsiTheme="minorHAnsi" w:cstheme="minorBidi"/>
          <w:b w:val="0"/>
          <w:bCs w:val="0"/>
          <w:i w:val="0"/>
          <w:sz w:val="22"/>
          <w:szCs w:val="22"/>
        </w:rPr>
        <w:t xml:space="preserve">e UNE teacher training </w:t>
      </w:r>
      <w:r w:rsidR="00D36D74" w:rsidRPr="00146021">
        <w:rPr>
          <w:rFonts w:asciiTheme="minorHAnsi" w:eastAsiaTheme="minorHAnsi" w:hAnsiTheme="minorHAnsi" w:cstheme="minorBidi"/>
          <w:b w:val="0"/>
          <w:bCs w:val="0"/>
          <w:i w:val="0"/>
          <w:sz w:val="22"/>
          <w:szCs w:val="22"/>
        </w:rPr>
        <w:t>program during the reporting period, while 12</w:t>
      </w:r>
      <w:r w:rsidRPr="00146021">
        <w:rPr>
          <w:rFonts w:asciiTheme="minorHAnsi" w:eastAsiaTheme="minorHAnsi" w:hAnsiTheme="minorHAnsi" w:cstheme="minorBidi"/>
          <w:b w:val="0"/>
          <w:bCs w:val="0"/>
          <w:i w:val="0"/>
          <w:sz w:val="22"/>
          <w:szCs w:val="22"/>
        </w:rPr>
        <w:t xml:space="preserve"> new students joined the cohort of seven ongoing students.</w:t>
      </w:r>
    </w:p>
    <w:bookmarkEnd w:id="4"/>
    <w:p w14:paraId="2DF6A370" w14:textId="44011EF5" w:rsidR="000F2795" w:rsidRPr="000473C5" w:rsidRDefault="00DB6D42" w:rsidP="00F90B76">
      <w:pPr>
        <w:pStyle w:val="Bullet1"/>
      </w:pPr>
      <w:r>
        <w:t xml:space="preserve">In the reporting period, </w:t>
      </w:r>
      <w:r w:rsidR="000F2795" w:rsidRPr="00117A36">
        <w:t xml:space="preserve">Australia offered </w:t>
      </w:r>
      <w:r w:rsidR="000F2795" w:rsidRPr="00573D01">
        <w:t xml:space="preserve">nine </w:t>
      </w:r>
      <w:r w:rsidR="00D15FEB" w:rsidRPr="00573D01">
        <w:t>Australia Awards s</w:t>
      </w:r>
      <w:r w:rsidR="000F2795" w:rsidRPr="00573D01">
        <w:t>cholarships</w:t>
      </w:r>
      <w:r w:rsidR="000F2795" w:rsidRPr="00117A36">
        <w:t xml:space="preserve"> at undergraduate, Masters and PhD levels, of which eight were to Australian tertiary institutions and one to a Pacific regional institution</w:t>
      </w:r>
      <w:r w:rsidR="000A3149">
        <w:t xml:space="preserve">. </w:t>
      </w:r>
      <w:r w:rsidR="000F2795" w:rsidRPr="00117A36">
        <w:t>Only one student chose to mobilise to Fiji during the reporting period – the other eight chose to defer commencement until 2022</w:t>
      </w:r>
      <w:r w:rsidR="000A3149">
        <w:t xml:space="preserve">. </w:t>
      </w:r>
      <w:r w:rsidR="000F2795" w:rsidRPr="00A43301">
        <w:t xml:space="preserve">On 17 June 2021, 42 </w:t>
      </w:r>
      <w:proofErr w:type="gramStart"/>
      <w:r w:rsidR="000F2795" w:rsidRPr="00A43301">
        <w:t>Nauruan</w:t>
      </w:r>
      <w:proofErr w:type="gramEnd"/>
      <w:r w:rsidR="000F2795" w:rsidRPr="00A43301">
        <w:t xml:space="preserve"> students were on Australia Award </w:t>
      </w:r>
      <w:r w:rsidR="00D15FEB" w:rsidRPr="00A43301">
        <w:t>s</w:t>
      </w:r>
      <w:r w:rsidR="000F2795" w:rsidRPr="00A43301">
        <w:t>cholarships.</w:t>
      </w:r>
    </w:p>
    <w:p w14:paraId="02A9520E" w14:textId="77717CFC" w:rsidR="000F2795" w:rsidRPr="00573D01" w:rsidRDefault="000F2795" w:rsidP="00F90B76">
      <w:pPr>
        <w:pStyle w:val="Bullet1"/>
      </w:pPr>
      <w:bookmarkStart w:id="5" w:name="_Hlk82418559"/>
      <w:r w:rsidRPr="00A43301">
        <w:t>Australia had a direct funding arrangement with Nauru’s Department of Education during the reporting period</w:t>
      </w:r>
      <w:r w:rsidR="000A3149">
        <w:t xml:space="preserve">. </w:t>
      </w:r>
      <w:r w:rsidRPr="00A43301">
        <w:t>The arrangement supported</w:t>
      </w:r>
      <w:r w:rsidR="00E1244F" w:rsidRPr="00A43301">
        <w:t>:</w:t>
      </w:r>
      <w:r w:rsidRPr="00A43301">
        <w:t xml:space="preserve"> Nauru’s delivery of its education strategic plan to build professional capacity at all levels; delivery of inclusive education; curriculum development; and </w:t>
      </w:r>
      <w:r w:rsidR="00E1244F" w:rsidRPr="00A43301">
        <w:t xml:space="preserve">strengthening </w:t>
      </w:r>
      <w:r w:rsidRPr="00A43301">
        <w:t>education systems and information technology</w:t>
      </w:r>
      <w:r w:rsidR="00D15FEB" w:rsidRPr="00117A36">
        <w:t xml:space="preserve">. </w:t>
      </w:r>
      <w:r w:rsidRPr="00117A36">
        <w:t xml:space="preserve">A Strategic Plan Implementation Adviser assisted Nauruan education authorities to implement, monitor and report on results including </w:t>
      </w:r>
      <w:r w:rsidR="00807765" w:rsidRPr="00117A36">
        <w:t xml:space="preserve">on </w:t>
      </w:r>
      <w:r w:rsidRPr="00117A36">
        <w:t>student enrolment and attendance; learning outcomes</w:t>
      </w:r>
      <w:r w:rsidR="00135933">
        <w:t>;</w:t>
      </w:r>
      <w:r w:rsidRPr="00117A36">
        <w:t xml:space="preserve"> delivery of secondary education and training; and </w:t>
      </w:r>
      <w:r w:rsidR="00807765" w:rsidRPr="00117A36">
        <w:t>strength of the</w:t>
      </w:r>
      <w:r w:rsidRPr="00117A36">
        <w:t xml:space="preserve"> education system</w:t>
      </w:r>
      <w:r w:rsidRPr="00A43301">
        <w:rPr>
          <w:b/>
          <w:bCs/>
        </w:rPr>
        <w:t>.</w:t>
      </w:r>
      <w:r w:rsidR="00FC50E6" w:rsidRPr="00A43301">
        <w:rPr>
          <w:b/>
          <w:bCs/>
        </w:rPr>
        <w:t xml:space="preserve"> </w:t>
      </w:r>
      <w:bookmarkEnd w:id="5"/>
    </w:p>
    <w:p w14:paraId="34BD8840" w14:textId="07AAAD8B" w:rsidR="000F2795" w:rsidRPr="00A43301" w:rsidRDefault="00F628F0" w:rsidP="00F90B76">
      <w:pPr>
        <w:pStyle w:val="Bullet1"/>
      </w:pPr>
      <w:r>
        <w:t xml:space="preserve">We will continue our </w:t>
      </w:r>
      <w:r w:rsidR="000F2795" w:rsidRPr="00117A36">
        <w:t>success</w:t>
      </w:r>
      <w:r>
        <w:t xml:space="preserve">ful </w:t>
      </w:r>
      <w:r w:rsidR="000F2795" w:rsidRPr="00A43301">
        <w:t xml:space="preserve">partnership with </w:t>
      </w:r>
      <w:r w:rsidR="005A3BEC">
        <w:t>the United Nations Development Programme (</w:t>
      </w:r>
      <w:r w:rsidR="000F2795" w:rsidRPr="00A43301">
        <w:t>UNDP</w:t>
      </w:r>
      <w:r w:rsidR="005A3BEC">
        <w:t>)</w:t>
      </w:r>
      <w:r w:rsidR="000F2795" w:rsidRPr="00A43301">
        <w:t xml:space="preserve"> to support electoral reform</w:t>
      </w:r>
      <w:r w:rsidR="00783556" w:rsidRPr="00A43301">
        <w:t>. The project has</w:t>
      </w:r>
      <w:r w:rsidR="00FD6DAD" w:rsidRPr="00A43301">
        <w:t xml:space="preserve"> targeted</w:t>
      </w:r>
      <w:r w:rsidR="00783556" w:rsidRPr="00A43301">
        <w:t xml:space="preserve"> increased engagement of women and girls in politics and public life and </w:t>
      </w:r>
      <w:r w:rsidR="00FD6DAD" w:rsidRPr="00A43301">
        <w:t xml:space="preserve">continues to </w:t>
      </w:r>
      <w:r w:rsidR="00A43224" w:rsidRPr="00A43301">
        <w:t>support</w:t>
      </w:r>
      <w:r w:rsidR="00783556" w:rsidRPr="00A43301">
        <w:t xml:space="preserve"> </w:t>
      </w:r>
      <w:r w:rsidR="00A43224" w:rsidRPr="00A43301">
        <w:t xml:space="preserve">key democratic institutions responsible for ensuring effective, </w:t>
      </w:r>
      <w:proofErr w:type="gramStart"/>
      <w:r w:rsidR="00A43224" w:rsidRPr="00A43301">
        <w:t>inclusive</w:t>
      </w:r>
      <w:proofErr w:type="gramEnd"/>
      <w:r w:rsidR="00A43224" w:rsidRPr="00A43301">
        <w:t xml:space="preserve"> and accountable political governance</w:t>
      </w:r>
      <w:r w:rsidR="00FD6DAD" w:rsidRPr="00A43301">
        <w:t xml:space="preserve">. With project support, </w:t>
      </w:r>
      <w:r w:rsidR="00783556" w:rsidRPr="00A43301">
        <w:t>Nauru</w:t>
      </w:r>
      <w:r w:rsidR="00FD6DAD" w:rsidRPr="00A43301">
        <w:t xml:space="preserve"> </w:t>
      </w:r>
      <w:r w:rsidR="00D36D74" w:rsidRPr="00A43301">
        <w:t xml:space="preserve">passed legislation to </w:t>
      </w:r>
      <w:r w:rsidR="00783556" w:rsidRPr="00A43301">
        <w:t xml:space="preserve">formally </w:t>
      </w:r>
      <w:r w:rsidR="00B10140" w:rsidRPr="00A43301">
        <w:t>separat</w:t>
      </w:r>
      <w:r w:rsidR="00D36D74" w:rsidRPr="00A43301">
        <w:t>e</w:t>
      </w:r>
      <w:r w:rsidR="00B10140" w:rsidRPr="00A43301">
        <w:t xml:space="preserve"> </w:t>
      </w:r>
      <w:r w:rsidR="00D36D74" w:rsidRPr="00A43301">
        <w:t xml:space="preserve">the </w:t>
      </w:r>
      <w:r w:rsidR="00B10140" w:rsidRPr="00A43301">
        <w:t xml:space="preserve">parliament </w:t>
      </w:r>
      <w:r w:rsidR="00D36D74" w:rsidRPr="00A43301">
        <w:t>from</w:t>
      </w:r>
      <w:r w:rsidR="00B10140" w:rsidRPr="00A43301">
        <w:t xml:space="preserve"> the executive branch of government. </w:t>
      </w:r>
    </w:p>
    <w:p w14:paraId="710C0C6A" w14:textId="13BEA464" w:rsidR="00916262" w:rsidRPr="004872E5" w:rsidRDefault="00E1244F" w:rsidP="00F90B76">
      <w:pPr>
        <w:pStyle w:val="Bullet1"/>
      </w:pPr>
      <w:r w:rsidRPr="004872E5">
        <w:t>An Australian-supported</w:t>
      </w:r>
      <w:r w:rsidR="000F2795" w:rsidRPr="004872E5">
        <w:t xml:space="preserve"> gender advis</w:t>
      </w:r>
      <w:r w:rsidRPr="004872E5">
        <w:t>e</w:t>
      </w:r>
      <w:r w:rsidR="000F2795" w:rsidRPr="004872E5">
        <w:t xml:space="preserve">r </w:t>
      </w:r>
      <w:r w:rsidRPr="004872E5">
        <w:t xml:space="preserve">assisted </w:t>
      </w:r>
      <w:r w:rsidR="000F2795" w:rsidRPr="004872E5">
        <w:t xml:space="preserve">the </w:t>
      </w:r>
      <w:proofErr w:type="spellStart"/>
      <w:r w:rsidR="000F2795" w:rsidRPr="004872E5">
        <w:t>GoN</w:t>
      </w:r>
      <w:proofErr w:type="spellEnd"/>
      <w:r w:rsidR="000F2795" w:rsidRPr="004872E5">
        <w:t xml:space="preserve"> Ministry of Women’s and Social Development Affairs</w:t>
      </w:r>
      <w:r w:rsidR="00A43224" w:rsidRPr="004872E5">
        <w:t xml:space="preserve"> </w:t>
      </w:r>
      <w:r w:rsidR="00F628F0">
        <w:t>to</w:t>
      </w:r>
      <w:r w:rsidR="00A43224" w:rsidRPr="004872E5">
        <w:t xml:space="preserve"> </w:t>
      </w:r>
      <w:r w:rsidR="00EB4F7A" w:rsidRPr="004872E5">
        <w:t>commenc</w:t>
      </w:r>
      <w:r w:rsidR="00EB4F7A">
        <w:t>e</w:t>
      </w:r>
      <w:r w:rsidR="00D36D74" w:rsidRPr="004872E5">
        <w:t xml:space="preserve"> develop</w:t>
      </w:r>
      <w:r w:rsidR="00135933">
        <w:t xml:space="preserve">ment of </w:t>
      </w:r>
      <w:r w:rsidR="00D36D74" w:rsidRPr="004872E5">
        <w:t xml:space="preserve">a </w:t>
      </w:r>
      <w:r w:rsidR="00A43224" w:rsidRPr="004872E5">
        <w:t>public service sexual harassment policy and a National Women's Policy</w:t>
      </w:r>
      <w:r w:rsidR="000A3149" w:rsidRPr="004872E5">
        <w:t xml:space="preserve">. </w:t>
      </w:r>
      <w:r w:rsidR="00F628F0">
        <w:t xml:space="preserve">We plan further work </w:t>
      </w:r>
      <w:r w:rsidR="000F2795" w:rsidRPr="004872E5">
        <w:t>in the next reporting period</w:t>
      </w:r>
      <w:r w:rsidR="00D36D74" w:rsidRPr="004872E5">
        <w:t xml:space="preserve"> </w:t>
      </w:r>
      <w:r w:rsidR="006C43CD" w:rsidRPr="004872E5">
        <w:t xml:space="preserve">to </w:t>
      </w:r>
      <w:r w:rsidR="00F628F0">
        <w:t xml:space="preserve">support </w:t>
      </w:r>
      <w:proofErr w:type="spellStart"/>
      <w:r w:rsidR="00F628F0">
        <w:t>GoN</w:t>
      </w:r>
      <w:proofErr w:type="spellEnd"/>
      <w:r w:rsidR="00473B65" w:rsidRPr="004872E5">
        <w:t xml:space="preserve"> deliver on these policies</w:t>
      </w:r>
      <w:r w:rsidR="00F628F0">
        <w:t xml:space="preserve">, and to strengthen our own use of gender analysis and data across </w:t>
      </w:r>
      <w:proofErr w:type="gramStart"/>
      <w:r w:rsidR="00135933">
        <w:t>all</w:t>
      </w:r>
      <w:r w:rsidR="00FD012E">
        <w:t xml:space="preserve"> of</w:t>
      </w:r>
      <w:proofErr w:type="gramEnd"/>
      <w:r w:rsidR="00FD012E">
        <w:t xml:space="preserve"> </w:t>
      </w:r>
      <w:r w:rsidR="00F628F0">
        <w:t xml:space="preserve">our programs. </w:t>
      </w:r>
    </w:p>
    <w:p w14:paraId="449ACA00" w14:textId="77777777" w:rsidR="00146021" w:rsidRDefault="005B1190" w:rsidP="00146021">
      <w:pPr>
        <w:pStyle w:val="Heading3"/>
      </w:pPr>
      <w:r w:rsidRPr="00117A36">
        <w:t>Economic recovery</w:t>
      </w:r>
      <w:bookmarkStart w:id="6" w:name="_Hlk83811462"/>
    </w:p>
    <w:p w14:paraId="0D613257" w14:textId="77DBC17D" w:rsidR="005B1190" w:rsidRPr="00117A36" w:rsidRDefault="005B1190" w:rsidP="00146021">
      <w:pPr>
        <w:pStyle w:val="Heading3"/>
      </w:pPr>
      <w:r w:rsidRPr="00146021">
        <w:rPr>
          <w:rFonts w:asciiTheme="minorHAnsi" w:eastAsiaTheme="minorHAnsi" w:hAnsiTheme="minorHAnsi" w:cstheme="minorBidi"/>
          <w:b w:val="0"/>
          <w:bCs w:val="0"/>
          <w:i w:val="0"/>
          <w:sz w:val="22"/>
          <w:szCs w:val="22"/>
        </w:rPr>
        <w:t xml:space="preserve">Australia continued to support Nauru’s economic resilience through </w:t>
      </w:r>
      <w:r w:rsidRPr="00146021">
        <w:rPr>
          <w:rFonts w:asciiTheme="minorHAnsi" w:eastAsiaTheme="minorHAnsi" w:hAnsiTheme="minorHAnsi" w:cstheme="minorBidi"/>
          <w:i w:val="0"/>
          <w:sz w:val="22"/>
          <w:szCs w:val="22"/>
        </w:rPr>
        <w:t>extensive technical advisory support</w:t>
      </w:r>
      <w:r w:rsidR="00EB25FB" w:rsidRPr="00146021">
        <w:rPr>
          <w:rFonts w:asciiTheme="minorHAnsi" w:eastAsiaTheme="minorHAnsi" w:hAnsiTheme="minorHAnsi" w:cstheme="minorBidi"/>
          <w:i w:val="0"/>
          <w:sz w:val="22"/>
          <w:szCs w:val="22"/>
        </w:rPr>
        <w:t xml:space="preserve">, </w:t>
      </w:r>
      <w:r w:rsidR="00503ABF" w:rsidRPr="00146021">
        <w:rPr>
          <w:rFonts w:asciiTheme="minorHAnsi" w:eastAsiaTheme="minorHAnsi" w:hAnsiTheme="minorHAnsi" w:cstheme="minorBidi"/>
          <w:i w:val="0"/>
          <w:sz w:val="22"/>
          <w:szCs w:val="22"/>
        </w:rPr>
        <w:t xml:space="preserve">a direct health financing package and assistance </w:t>
      </w:r>
      <w:bookmarkEnd w:id="6"/>
      <w:r w:rsidRPr="00146021">
        <w:rPr>
          <w:rFonts w:asciiTheme="minorHAnsi" w:eastAsiaTheme="minorHAnsi" w:hAnsiTheme="minorHAnsi" w:cstheme="minorBidi"/>
          <w:i w:val="0"/>
          <w:sz w:val="22"/>
          <w:szCs w:val="22"/>
        </w:rPr>
        <w:t>to retain Nauru’s air and sea connectivity</w:t>
      </w:r>
      <w:r w:rsidRPr="00146021">
        <w:rPr>
          <w:rFonts w:asciiTheme="minorHAnsi" w:eastAsiaTheme="minorHAnsi" w:hAnsiTheme="minorHAnsi" w:cstheme="minorBidi"/>
          <w:b w:val="0"/>
          <w:bCs w:val="0"/>
          <w:i w:val="0"/>
          <w:sz w:val="22"/>
          <w:szCs w:val="22"/>
        </w:rPr>
        <w:t xml:space="preserve"> as COVID-19 travel restrictions and the global economic downturn reduced transport movement in the region</w:t>
      </w:r>
      <w:r w:rsidRPr="00117A36">
        <w:t xml:space="preserve">. </w:t>
      </w:r>
    </w:p>
    <w:p w14:paraId="64D4E9ED" w14:textId="4EC21448" w:rsidR="005B1190" w:rsidRPr="00117A36" w:rsidRDefault="005B1190" w:rsidP="00F90B76">
      <w:pPr>
        <w:pStyle w:val="Bullet1"/>
      </w:pPr>
      <w:r w:rsidRPr="00A43301">
        <w:rPr>
          <w:b/>
          <w:bCs/>
        </w:rPr>
        <w:t>Australian-funded advisers filled senior Nauru government in-line positions and critical advisory roles</w:t>
      </w:r>
      <w:r w:rsidR="000A3149" w:rsidRPr="00623374">
        <w:t xml:space="preserve">. </w:t>
      </w:r>
      <w:r w:rsidRPr="00117A36">
        <w:t xml:space="preserve">Each provided important technical advice to </w:t>
      </w:r>
      <w:proofErr w:type="spellStart"/>
      <w:r w:rsidRPr="00117A36">
        <w:t>GoN</w:t>
      </w:r>
      <w:proofErr w:type="spellEnd"/>
      <w:r w:rsidRPr="00117A36">
        <w:t xml:space="preserve"> public financial management (cash reconciliation, audit responses, budget planning etc), and ensured accountability for the portion of Australia’s development finance provided directly to Nauru. </w:t>
      </w:r>
    </w:p>
    <w:p w14:paraId="5FB73535" w14:textId="7F14F8F6" w:rsidR="005B1190" w:rsidRPr="00117A36" w:rsidRDefault="005B1190" w:rsidP="00F90B76">
      <w:pPr>
        <w:pStyle w:val="Bullet1"/>
      </w:pPr>
      <w:r w:rsidRPr="00117A36">
        <w:t xml:space="preserve">To bolster Nauru’s savings and promote the country’s long-term economic sustainability, </w:t>
      </w:r>
      <w:r w:rsidR="00DB6D42">
        <w:t xml:space="preserve">in the reporting period </w:t>
      </w:r>
      <w:r w:rsidRPr="00117A36">
        <w:t xml:space="preserve">Australia and Nauru both made </w:t>
      </w:r>
      <w:r w:rsidRPr="00A43301">
        <w:t>increased contributions to the Nauru Trust Fund</w:t>
      </w:r>
      <w:r w:rsidR="000A3149">
        <w:t xml:space="preserve">. </w:t>
      </w:r>
      <w:r w:rsidRPr="00A43301">
        <w:t xml:space="preserve">Australian Business Volunteers worked closely with the </w:t>
      </w:r>
      <w:r w:rsidRPr="000473C5">
        <w:t>Nauru Chamber of Commerce</w:t>
      </w:r>
      <w:r w:rsidRPr="00A43301">
        <w:t xml:space="preserve"> to develop a private sector roadmap</w:t>
      </w:r>
      <w:r w:rsidRPr="00117A36">
        <w:t xml:space="preserve"> which will support future economic diversification</w:t>
      </w:r>
      <w:r w:rsidR="000A3149">
        <w:t xml:space="preserve">. </w:t>
      </w:r>
    </w:p>
    <w:p w14:paraId="7C1E61DC" w14:textId="7C4258EA" w:rsidR="005B1190" w:rsidRPr="00117A36" w:rsidRDefault="005B1190" w:rsidP="00F90B76">
      <w:pPr>
        <w:pStyle w:val="Bullet1"/>
      </w:pPr>
      <w:r w:rsidRPr="00A43301">
        <w:t>COVID-19 impacted activity on the port development project during the reporting period, resulting in a mutually agreed suspension of works</w:t>
      </w:r>
      <w:r w:rsidRPr="00117A36">
        <w:t xml:space="preserve">. </w:t>
      </w:r>
      <w:r w:rsidRPr="007F308A">
        <w:t>Work recommenced toward</w:t>
      </w:r>
      <w:r w:rsidR="00047C93">
        <w:t>s</w:t>
      </w:r>
      <w:r w:rsidRPr="007F308A">
        <w:t xml:space="preserve"> the end of the reporting period</w:t>
      </w:r>
      <w:r w:rsidRPr="00117A36">
        <w:t>. We will continue to work closely with project partners to manage project risks to site management and resourcing, project budget and safeguards</w:t>
      </w:r>
      <w:r w:rsidR="000A3149">
        <w:t xml:space="preserve">. </w:t>
      </w:r>
      <w:r w:rsidRPr="00117A36">
        <w:t xml:space="preserve">These issues compound pre-existing delays. The project is now expected to </w:t>
      </w:r>
      <w:r w:rsidR="00EB25FB">
        <w:t xml:space="preserve">be </w:t>
      </w:r>
      <w:r w:rsidRPr="00A43301">
        <w:t>completed in 202</w:t>
      </w:r>
      <w:r w:rsidR="00EB4F7A">
        <w:t>3</w:t>
      </w:r>
      <w:r w:rsidRPr="00117A36">
        <w:t xml:space="preserve"> (prior to COVID-19, the port project was due to be complete</w:t>
      </w:r>
      <w:r>
        <w:t>d</w:t>
      </w:r>
      <w:r w:rsidRPr="00117A36">
        <w:t xml:space="preserve"> in late 2020).</w:t>
      </w:r>
    </w:p>
    <w:p w14:paraId="349D3DE4" w14:textId="1859F608" w:rsidR="005B1190" w:rsidRPr="00117A36" w:rsidRDefault="005B1190" w:rsidP="00F90B76">
      <w:pPr>
        <w:pStyle w:val="Bullet1"/>
      </w:pPr>
      <w:r w:rsidRPr="00117A36">
        <w:t xml:space="preserve">Initial </w:t>
      </w:r>
      <w:r w:rsidRPr="00A43301">
        <w:t>scoping work to re-surface Nauru’s airstrip commenced</w:t>
      </w:r>
      <w:r w:rsidRPr="000473C5">
        <w:t xml:space="preserve"> during the reporting period</w:t>
      </w:r>
      <w:r w:rsidR="000A3149">
        <w:t xml:space="preserve">. </w:t>
      </w:r>
      <w:r w:rsidRPr="000473C5">
        <w:t xml:space="preserve">We supported a scoping and design project that will conclude in the next reporting period, for </w:t>
      </w:r>
      <w:r w:rsidRPr="00A43301">
        <w:t xml:space="preserve">possible grant funding by the </w:t>
      </w:r>
      <w:r w:rsidRPr="00623374">
        <w:t>Australian Infrastructure Financing Facility for the Pacific</w:t>
      </w:r>
      <w:r w:rsidR="000A3149" w:rsidRPr="00DE12FF">
        <w:t>.</w:t>
      </w:r>
      <w:r w:rsidR="000A3149">
        <w:t xml:space="preserve"> </w:t>
      </w:r>
      <w:r w:rsidRPr="00117A36">
        <w:t xml:space="preserve">The </w:t>
      </w:r>
      <w:r w:rsidR="00047C93">
        <w:t>study</w:t>
      </w:r>
      <w:r w:rsidRPr="00117A36">
        <w:t xml:space="preserve"> will also assess the condition of Nauru’s ring road and make recommendations for road re-surfacing.</w:t>
      </w:r>
    </w:p>
    <w:p w14:paraId="688B71F0" w14:textId="77777777" w:rsidR="00916262" w:rsidRPr="00117A36" w:rsidRDefault="00916262" w:rsidP="00D459C4">
      <w:pPr>
        <w:pStyle w:val="Heading2"/>
      </w:pPr>
      <w:r w:rsidRPr="00117A36">
        <w:lastRenderedPageBreak/>
        <w:t>Annex 1: Progress against COVID-19 Response plan results indicators</w:t>
      </w:r>
    </w:p>
    <w:p w14:paraId="489EE179" w14:textId="77777777" w:rsidR="00916262" w:rsidRPr="00117A36" w:rsidRDefault="00916262" w:rsidP="00573D01">
      <w:pPr>
        <w:pStyle w:val="Heading3"/>
      </w:pPr>
      <w:r w:rsidRPr="00117A36">
        <w:t>Health Security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4390"/>
        <w:gridCol w:w="6146"/>
      </w:tblGrid>
      <w:tr w:rsidR="00916262" w:rsidRPr="00F90B76" w14:paraId="4A387310" w14:textId="77777777" w:rsidTr="00004CD7">
        <w:trPr>
          <w:tblHeader/>
        </w:trPr>
        <w:tc>
          <w:tcPr>
            <w:tcW w:w="4390" w:type="dxa"/>
            <w:tcBorders>
              <w:bottom w:val="single" w:sz="4" w:space="0" w:color="A6A6A6" w:themeColor="background1" w:themeShade="A6"/>
            </w:tcBorders>
            <w:shd w:val="clear" w:color="auto" w:fill="A2DCD1" w:themeFill="accent1" w:themeFillTint="99"/>
          </w:tcPr>
          <w:p w14:paraId="123CBE45" w14:textId="77777777" w:rsidR="00916262" w:rsidRPr="00F90B76" w:rsidRDefault="00916262" w:rsidP="00F90B76">
            <w:pPr>
              <w:spacing w:before="0"/>
              <w:jc w:val="center"/>
              <w:rPr>
                <w:b/>
              </w:rPr>
            </w:pPr>
            <w:r w:rsidRPr="00F90B76">
              <w:rPr>
                <w:b/>
              </w:rPr>
              <w:t>Key Results Indicators</w:t>
            </w:r>
          </w:p>
        </w:tc>
        <w:tc>
          <w:tcPr>
            <w:tcW w:w="6146" w:type="dxa"/>
            <w:tcBorders>
              <w:bottom w:val="single" w:sz="4" w:space="0" w:color="A6A6A6" w:themeColor="background1" w:themeShade="A6"/>
            </w:tcBorders>
            <w:shd w:val="clear" w:color="auto" w:fill="A2DCD1" w:themeFill="accent1" w:themeFillTint="99"/>
          </w:tcPr>
          <w:p w14:paraId="3F5C1257" w14:textId="77777777" w:rsidR="00916262" w:rsidRPr="00F90B76" w:rsidRDefault="00916262" w:rsidP="00F90B76">
            <w:pPr>
              <w:spacing w:before="0"/>
              <w:ind w:left="100"/>
              <w:jc w:val="center"/>
            </w:pPr>
            <w:r w:rsidRPr="00F90B76">
              <w:rPr>
                <w:b/>
              </w:rPr>
              <w:t>Progress/Result</w:t>
            </w:r>
          </w:p>
        </w:tc>
      </w:tr>
      <w:tr w:rsidR="000F2795" w:rsidRPr="00F90B76" w14:paraId="74CD9F84" w14:textId="77777777" w:rsidTr="00FB0E61">
        <w:tc>
          <w:tcPr>
            <w:tcW w:w="4390" w:type="dxa"/>
            <w:tcBorders>
              <w:bottom w:val="single" w:sz="4" w:space="0" w:color="A6A6A6" w:themeColor="background1" w:themeShade="A6"/>
            </w:tcBorders>
          </w:tcPr>
          <w:p w14:paraId="72A31662" w14:textId="6AC3AA5A" w:rsidR="000F2795" w:rsidRPr="00D41E37" w:rsidRDefault="000F2795" w:rsidP="00F90B76">
            <w:pPr>
              <w:spacing w:before="0"/>
              <w:rPr>
                <w:sz w:val="20"/>
                <w:szCs w:val="20"/>
              </w:rPr>
            </w:pPr>
            <w:r w:rsidRPr="00D41E37">
              <w:rPr>
                <w:sz w:val="20"/>
                <w:szCs w:val="20"/>
              </w:rPr>
              <w:t>Evidence that Australia has contributed to strengthened health systems, including examples of implementation of health information systems</w:t>
            </w:r>
          </w:p>
        </w:tc>
        <w:tc>
          <w:tcPr>
            <w:tcW w:w="6146" w:type="dxa"/>
            <w:tcBorders>
              <w:bottom w:val="single" w:sz="4" w:space="0" w:color="A6A6A6" w:themeColor="background1" w:themeShade="A6"/>
            </w:tcBorders>
          </w:tcPr>
          <w:p w14:paraId="6106CD65" w14:textId="4E404F79" w:rsidR="000F2795" w:rsidRPr="00D41E37" w:rsidRDefault="0054412E" w:rsidP="00D41E37">
            <w:pPr>
              <w:spacing w:before="0"/>
              <w:rPr>
                <w:sz w:val="20"/>
                <w:szCs w:val="20"/>
              </w:rPr>
            </w:pPr>
            <w:r w:rsidRPr="00D41E37">
              <w:rPr>
                <w:sz w:val="20"/>
                <w:szCs w:val="20"/>
              </w:rPr>
              <w:t xml:space="preserve">Supported the </w:t>
            </w:r>
            <w:r w:rsidR="000F2795" w:rsidRPr="00D41E37">
              <w:rPr>
                <w:sz w:val="20"/>
                <w:szCs w:val="20"/>
              </w:rPr>
              <w:t xml:space="preserve">HMIS rollout, with upgrades to </w:t>
            </w:r>
            <w:r w:rsidR="00727C61" w:rsidRPr="00D41E37">
              <w:rPr>
                <w:sz w:val="20"/>
                <w:szCs w:val="20"/>
              </w:rPr>
              <w:t xml:space="preserve">information technology </w:t>
            </w:r>
            <w:r w:rsidR="000F2795" w:rsidRPr="00D41E37">
              <w:rPr>
                <w:sz w:val="20"/>
                <w:szCs w:val="20"/>
              </w:rPr>
              <w:t>hardware.</w:t>
            </w:r>
          </w:p>
          <w:p w14:paraId="6319EE08" w14:textId="6E3717CF" w:rsidR="000F2795" w:rsidRPr="00D41E37" w:rsidRDefault="0054412E" w:rsidP="00D41E37">
            <w:pPr>
              <w:spacing w:before="0"/>
              <w:rPr>
                <w:sz w:val="20"/>
                <w:szCs w:val="20"/>
              </w:rPr>
            </w:pPr>
            <w:r w:rsidRPr="00D41E37">
              <w:rPr>
                <w:sz w:val="20"/>
                <w:szCs w:val="20"/>
              </w:rPr>
              <w:t xml:space="preserve">Supported </w:t>
            </w:r>
            <w:r w:rsidR="00371B8E" w:rsidRPr="00D41E37">
              <w:rPr>
                <w:sz w:val="20"/>
                <w:szCs w:val="20"/>
              </w:rPr>
              <w:t>k</w:t>
            </w:r>
            <w:r w:rsidR="000F2795" w:rsidRPr="00D41E37">
              <w:rPr>
                <w:sz w:val="20"/>
                <w:szCs w:val="20"/>
              </w:rPr>
              <w:t>ey positions in MHMS and</w:t>
            </w:r>
            <w:r w:rsidR="00371B8E" w:rsidRPr="00D41E37">
              <w:rPr>
                <w:sz w:val="20"/>
                <w:szCs w:val="20"/>
              </w:rPr>
              <w:t xml:space="preserve"> provided </w:t>
            </w:r>
            <w:r w:rsidR="000F2795" w:rsidRPr="00D41E37">
              <w:rPr>
                <w:sz w:val="20"/>
                <w:szCs w:val="20"/>
              </w:rPr>
              <w:t xml:space="preserve">technical </w:t>
            </w:r>
            <w:r w:rsidRPr="00D41E37">
              <w:rPr>
                <w:sz w:val="20"/>
                <w:szCs w:val="20"/>
              </w:rPr>
              <w:t xml:space="preserve">assistance </w:t>
            </w:r>
            <w:r w:rsidR="000F2795" w:rsidRPr="00D41E37">
              <w:rPr>
                <w:sz w:val="20"/>
                <w:szCs w:val="20"/>
              </w:rPr>
              <w:t>on health system planning</w:t>
            </w:r>
            <w:r w:rsidRPr="00D41E37">
              <w:rPr>
                <w:sz w:val="20"/>
                <w:szCs w:val="20"/>
              </w:rPr>
              <w:t>, including n</w:t>
            </w:r>
            <w:r w:rsidR="00D36D74" w:rsidRPr="00D41E37">
              <w:rPr>
                <w:sz w:val="20"/>
                <w:szCs w:val="20"/>
              </w:rPr>
              <w:t xml:space="preserve">ew NCD </w:t>
            </w:r>
            <w:r w:rsidRPr="00D41E37">
              <w:rPr>
                <w:sz w:val="20"/>
                <w:szCs w:val="20"/>
              </w:rPr>
              <w:t>g</w:t>
            </w:r>
            <w:r w:rsidR="00D36D74" w:rsidRPr="00D41E37">
              <w:rPr>
                <w:sz w:val="20"/>
                <w:szCs w:val="20"/>
              </w:rPr>
              <w:t>uideline</w:t>
            </w:r>
            <w:r w:rsidRPr="00D41E37">
              <w:rPr>
                <w:sz w:val="20"/>
                <w:szCs w:val="20"/>
              </w:rPr>
              <w:t>s</w:t>
            </w:r>
            <w:r w:rsidR="00D36D74" w:rsidRPr="00D41E37">
              <w:rPr>
                <w:sz w:val="20"/>
                <w:szCs w:val="20"/>
              </w:rPr>
              <w:t>.</w:t>
            </w:r>
          </w:p>
        </w:tc>
      </w:tr>
      <w:tr w:rsidR="000F2795" w:rsidRPr="00F90B76" w14:paraId="18E6C742" w14:textId="77777777" w:rsidTr="00FB0E61">
        <w:tc>
          <w:tcPr>
            <w:tcW w:w="4390" w:type="dxa"/>
            <w:tcBorders>
              <w:bottom w:val="single" w:sz="4" w:space="0" w:color="A6A6A6" w:themeColor="background1" w:themeShade="A6"/>
            </w:tcBorders>
          </w:tcPr>
          <w:p w14:paraId="0F6D7967" w14:textId="529947C0" w:rsidR="000F2795" w:rsidRPr="00D41E37" w:rsidRDefault="000F2795" w:rsidP="00F90B76">
            <w:pPr>
              <w:spacing w:before="0"/>
              <w:rPr>
                <w:sz w:val="20"/>
                <w:szCs w:val="20"/>
              </w:rPr>
            </w:pPr>
            <w:r w:rsidRPr="00D41E37">
              <w:rPr>
                <w:sz w:val="20"/>
                <w:szCs w:val="20"/>
              </w:rPr>
              <w:t>Evidence that Nauru has improved responses to health security threats, including progress toward community-based primary health care</w:t>
            </w:r>
          </w:p>
        </w:tc>
        <w:tc>
          <w:tcPr>
            <w:tcW w:w="6146" w:type="dxa"/>
            <w:tcBorders>
              <w:bottom w:val="single" w:sz="4" w:space="0" w:color="A6A6A6" w:themeColor="background1" w:themeShade="A6"/>
            </w:tcBorders>
          </w:tcPr>
          <w:p w14:paraId="558280D6" w14:textId="2EDB56AF" w:rsidR="000F2795" w:rsidRPr="00D41E37" w:rsidRDefault="0054412E" w:rsidP="00D41E37">
            <w:pPr>
              <w:spacing w:before="0"/>
              <w:rPr>
                <w:sz w:val="20"/>
                <w:szCs w:val="20"/>
              </w:rPr>
            </w:pPr>
            <w:r w:rsidRPr="00D41E37">
              <w:rPr>
                <w:sz w:val="20"/>
                <w:szCs w:val="20"/>
              </w:rPr>
              <w:t xml:space="preserve">Supported the implementation of </w:t>
            </w:r>
            <w:r w:rsidR="000F2795" w:rsidRPr="00D41E37">
              <w:rPr>
                <w:sz w:val="20"/>
                <w:szCs w:val="20"/>
              </w:rPr>
              <w:t>COVID-19 preparedness and vaccination programs</w:t>
            </w:r>
            <w:r w:rsidRPr="00D41E37">
              <w:rPr>
                <w:sz w:val="20"/>
                <w:szCs w:val="20"/>
              </w:rPr>
              <w:t>.</w:t>
            </w:r>
          </w:p>
          <w:p w14:paraId="213C9FCC" w14:textId="0D625391" w:rsidR="000F2795" w:rsidRPr="00D41E37" w:rsidRDefault="0054412E" w:rsidP="00D41E37">
            <w:pPr>
              <w:spacing w:before="0"/>
              <w:rPr>
                <w:sz w:val="20"/>
                <w:szCs w:val="20"/>
              </w:rPr>
            </w:pPr>
            <w:r w:rsidRPr="00D41E37">
              <w:rPr>
                <w:sz w:val="20"/>
                <w:szCs w:val="20"/>
              </w:rPr>
              <w:t>Supported technical advice for n</w:t>
            </w:r>
            <w:r w:rsidR="000F2795" w:rsidRPr="00D41E37">
              <w:rPr>
                <w:sz w:val="20"/>
                <w:szCs w:val="20"/>
              </w:rPr>
              <w:t>urses working in community health centres</w:t>
            </w:r>
            <w:r w:rsidR="007859C1" w:rsidRPr="00D41E37">
              <w:rPr>
                <w:sz w:val="20"/>
                <w:szCs w:val="20"/>
              </w:rPr>
              <w:t xml:space="preserve"> and </w:t>
            </w:r>
            <w:r w:rsidR="000F2795" w:rsidRPr="00D41E37">
              <w:rPr>
                <w:sz w:val="20"/>
                <w:szCs w:val="20"/>
              </w:rPr>
              <w:t>on community wellness practices.</w:t>
            </w:r>
          </w:p>
          <w:p w14:paraId="56410EEF" w14:textId="18EFD004" w:rsidR="008665C9" w:rsidRPr="00D41E37" w:rsidRDefault="0054412E" w:rsidP="00F90B76">
            <w:pPr>
              <w:spacing w:before="0"/>
              <w:ind w:left="84"/>
              <w:rPr>
                <w:sz w:val="20"/>
                <w:szCs w:val="20"/>
              </w:rPr>
            </w:pPr>
            <w:r w:rsidRPr="00D41E37">
              <w:rPr>
                <w:sz w:val="20"/>
                <w:szCs w:val="20"/>
              </w:rPr>
              <w:t xml:space="preserve">Supported the public health staff training </w:t>
            </w:r>
            <w:r w:rsidR="008665C9" w:rsidRPr="00D41E37">
              <w:rPr>
                <w:sz w:val="20"/>
                <w:szCs w:val="20"/>
              </w:rPr>
              <w:t xml:space="preserve">ahead of </w:t>
            </w:r>
            <w:r w:rsidRPr="00D41E37">
              <w:rPr>
                <w:sz w:val="20"/>
                <w:szCs w:val="20"/>
              </w:rPr>
              <w:t xml:space="preserve">the </w:t>
            </w:r>
            <w:r w:rsidR="008665C9" w:rsidRPr="00D41E37">
              <w:rPr>
                <w:sz w:val="20"/>
                <w:szCs w:val="20"/>
              </w:rPr>
              <w:t>launch of the tobacco cessation clinic.</w:t>
            </w:r>
          </w:p>
        </w:tc>
      </w:tr>
      <w:tr w:rsidR="000F2795" w:rsidRPr="00F90B76" w14:paraId="612C2A3A" w14:textId="77777777" w:rsidTr="00FB0E61">
        <w:tc>
          <w:tcPr>
            <w:tcW w:w="4390" w:type="dxa"/>
          </w:tcPr>
          <w:p w14:paraId="6877000C" w14:textId="430BE7DE" w:rsidR="000F2795" w:rsidRPr="00D41E37" w:rsidRDefault="000F2795" w:rsidP="00F90B76">
            <w:pPr>
              <w:spacing w:before="0"/>
              <w:rPr>
                <w:sz w:val="20"/>
                <w:szCs w:val="20"/>
              </w:rPr>
            </w:pPr>
            <w:r w:rsidRPr="00D41E37">
              <w:rPr>
                <w:sz w:val="20"/>
                <w:szCs w:val="20"/>
              </w:rPr>
              <w:t xml:space="preserve">Number of new or improved therapeutics, diagnostics, </w:t>
            </w:r>
            <w:proofErr w:type="gramStart"/>
            <w:r w:rsidRPr="00D41E37">
              <w:rPr>
                <w:sz w:val="20"/>
                <w:szCs w:val="20"/>
              </w:rPr>
              <w:t>vaccines</w:t>
            </w:r>
            <w:proofErr w:type="gramEnd"/>
            <w:r w:rsidRPr="00D41E37">
              <w:rPr>
                <w:sz w:val="20"/>
                <w:szCs w:val="20"/>
              </w:rPr>
              <w:t xml:space="preserve"> and additional equipment available in Nauru</w:t>
            </w:r>
          </w:p>
        </w:tc>
        <w:tc>
          <w:tcPr>
            <w:tcW w:w="6146" w:type="dxa"/>
          </w:tcPr>
          <w:p w14:paraId="6DC607F5" w14:textId="6899CFA3" w:rsidR="000F2795" w:rsidRPr="00D41E37" w:rsidRDefault="0054412E" w:rsidP="00DE2A1E">
            <w:pPr>
              <w:spacing w:before="0"/>
              <w:rPr>
                <w:sz w:val="20"/>
                <w:szCs w:val="20"/>
              </w:rPr>
            </w:pPr>
            <w:r w:rsidRPr="00D41E37">
              <w:rPr>
                <w:sz w:val="20"/>
                <w:szCs w:val="20"/>
              </w:rPr>
              <w:t>S</w:t>
            </w:r>
            <w:r w:rsidR="000F2795" w:rsidRPr="00D41E37">
              <w:rPr>
                <w:sz w:val="20"/>
                <w:szCs w:val="20"/>
              </w:rPr>
              <w:t>upport</w:t>
            </w:r>
            <w:r w:rsidR="00BC7186" w:rsidRPr="00D41E37">
              <w:rPr>
                <w:sz w:val="20"/>
                <w:szCs w:val="20"/>
              </w:rPr>
              <w:t>ed</w:t>
            </w:r>
            <w:r w:rsidR="00316B4A" w:rsidRPr="00D41E37">
              <w:rPr>
                <w:sz w:val="20"/>
                <w:szCs w:val="20"/>
              </w:rPr>
              <w:t xml:space="preserve"> </w:t>
            </w:r>
            <w:bookmarkStart w:id="7" w:name="_Hlk83991646"/>
            <w:r w:rsidR="00316B4A" w:rsidRPr="00D41E37">
              <w:rPr>
                <w:sz w:val="20"/>
                <w:szCs w:val="20"/>
              </w:rPr>
              <w:t xml:space="preserve">the </w:t>
            </w:r>
            <w:r w:rsidR="000F2795" w:rsidRPr="00D41E37">
              <w:rPr>
                <w:sz w:val="20"/>
                <w:szCs w:val="20"/>
              </w:rPr>
              <w:t xml:space="preserve">procurement of 7,200 COVID-19 </w:t>
            </w:r>
            <w:r w:rsidR="00DE2A1E" w:rsidRPr="00D41E37">
              <w:rPr>
                <w:sz w:val="20"/>
                <w:szCs w:val="20"/>
              </w:rPr>
              <w:t>A</w:t>
            </w:r>
            <w:r w:rsidR="00623374" w:rsidRPr="00D41E37">
              <w:rPr>
                <w:sz w:val="20"/>
                <w:szCs w:val="20"/>
              </w:rPr>
              <w:t xml:space="preserve">stra </w:t>
            </w:r>
            <w:r w:rsidR="00DE2A1E" w:rsidRPr="00D41E37">
              <w:rPr>
                <w:sz w:val="20"/>
                <w:szCs w:val="20"/>
              </w:rPr>
              <w:t>Z</w:t>
            </w:r>
            <w:r w:rsidR="00623374" w:rsidRPr="00D41E37">
              <w:rPr>
                <w:sz w:val="20"/>
                <w:szCs w:val="20"/>
              </w:rPr>
              <w:t>eneca</w:t>
            </w:r>
            <w:r w:rsidR="00DE2A1E" w:rsidRPr="00D41E37">
              <w:rPr>
                <w:sz w:val="20"/>
                <w:szCs w:val="20"/>
              </w:rPr>
              <w:t>-</w:t>
            </w:r>
            <w:r w:rsidR="00DE12FF" w:rsidRPr="00D41E37">
              <w:rPr>
                <w:sz w:val="20"/>
                <w:szCs w:val="20"/>
              </w:rPr>
              <w:t xml:space="preserve"> </w:t>
            </w:r>
            <w:r w:rsidR="000F2795" w:rsidRPr="00D41E37">
              <w:rPr>
                <w:sz w:val="20"/>
                <w:szCs w:val="20"/>
              </w:rPr>
              <w:t>vaccine doses.</w:t>
            </w:r>
            <w:bookmarkEnd w:id="7"/>
          </w:p>
        </w:tc>
      </w:tr>
    </w:tbl>
    <w:p w14:paraId="64FF2C58" w14:textId="77777777" w:rsidR="00916262" w:rsidRPr="00117A36" w:rsidRDefault="00916262" w:rsidP="00573D01">
      <w:pPr>
        <w:pStyle w:val="Heading3"/>
      </w:pPr>
      <w:r w:rsidRPr="00117A36">
        <w:t>Stability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4390"/>
        <w:gridCol w:w="6146"/>
      </w:tblGrid>
      <w:tr w:rsidR="00916262" w:rsidRPr="00F90B76" w14:paraId="2C543529" w14:textId="77777777" w:rsidTr="00004CD7">
        <w:trPr>
          <w:tblHeader/>
        </w:trPr>
        <w:tc>
          <w:tcPr>
            <w:tcW w:w="4390" w:type="dxa"/>
            <w:shd w:val="clear" w:color="auto" w:fill="A2DCD1" w:themeFill="accent1" w:themeFillTint="99"/>
            <w:vAlign w:val="bottom"/>
          </w:tcPr>
          <w:p w14:paraId="2C5517CB" w14:textId="77777777" w:rsidR="00916262" w:rsidRPr="00F90B76" w:rsidRDefault="00916262" w:rsidP="00F90B76">
            <w:pPr>
              <w:widowControl w:val="0"/>
              <w:spacing w:before="0"/>
              <w:jc w:val="center"/>
            </w:pPr>
            <w:r w:rsidRPr="00F90B76">
              <w:rPr>
                <w:b/>
              </w:rPr>
              <w:t>Key Results Indicators</w:t>
            </w:r>
          </w:p>
        </w:tc>
        <w:tc>
          <w:tcPr>
            <w:tcW w:w="6146" w:type="dxa"/>
            <w:shd w:val="clear" w:color="auto" w:fill="A2DCD1" w:themeFill="accent1" w:themeFillTint="99"/>
            <w:vAlign w:val="bottom"/>
          </w:tcPr>
          <w:p w14:paraId="577E88D5" w14:textId="77777777" w:rsidR="00916262" w:rsidRPr="00F90B76" w:rsidRDefault="00916262" w:rsidP="00F90B76">
            <w:pPr>
              <w:widowControl w:val="0"/>
              <w:spacing w:before="0"/>
              <w:jc w:val="center"/>
            </w:pPr>
            <w:r w:rsidRPr="00F90B76">
              <w:rPr>
                <w:b/>
              </w:rPr>
              <w:t>Progress/Result</w:t>
            </w:r>
          </w:p>
        </w:tc>
      </w:tr>
      <w:tr w:rsidR="000F2795" w:rsidRPr="00F90B76" w14:paraId="70D7EE87" w14:textId="77777777" w:rsidTr="00FB0E61">
        <w:tc>
          <w:tcPr>
            <w:tcW w:w="4390" w:type="dxa"/>
            <w:tcBorders>
              <w:bottom w:val="single" w:sz="4" w:space="0" w:color="A6A6A6" w:themeColor="background1" w:themeShade="A6"/>
            </w:tcBorders>
          </w:tcPr>
          <w:p w14:paraId="3588414F" w14:textId="5AEC3923" w:rsidR="000F2795" w:rsidRPr="00D41E37" w:rsidRDefault="00EB4F7A" w:rsidP="00F90B76">
            <w:pPr>
              <w:spacing w:before="0"/>
              <w:rPr>
                <w:sz w:val="20"/>
                <w:szCs w:val="20"/>
              </w:rPr>
            </w:pPr>
            <w:r w:rsidRPr="00D41E37">
              <w:rPr>
                <w:sz w:val="20"/>
                <w:szCs w:val="20"/>
              </w:rPr>
              <w:t xml:space="preserve">Education </w:t>
            </w:r>
            <w:r w:rsidR="00047C93" w:rsidRPr="00D41E37">
              <w:rPr>
                <w:sz w:val="20"/>
                <w:szCs w:val="20"/>
              </w:rPr>
              <w:t>s</w:t>
            </w:r>
            <w:r w:rsidRPr="00D41E37">
              <w:rPr>
                <w:sz w:val="20"/>
                <w:szCs w:val="20"/>
              </w:rPr>
              <w:t>ector adapted to COVID-19 with</w:t>
            </w:r>
            <w:r w:rsidR="000F2795" w:rsidRPr="00D41E37">
              <w:rPr>
                <w:sz w:val="20"/>
                <w:szCs w:val="20"/>
              </w:rPr>
              <w:t xml:space="preserve"> examples of progress toward </w:t>
            </w:r>
            <w:r w:rsidRPr="00D41E37">
              <w:rPr>
                <w:sz w:val="20"/>
                <w:szCs w:val="20"/>
              </w:rPr>
              <w:t>pandemic</w:t>
            </w:r>
            <w:r w:rsidR="000F2795" w:rsidRPr="00D41E37">
              <w:rPr>
                <w:sz w:val="20"/>
                <w:szCs w:val="20"/>
              </w:rPr>
              <w:t xml:space="preserve"> responses, links to Australian systems, and strengthened focus on early childhood</w:t>
            </w:r>
          </w:p>
        </w:tc>
        <w:tc>
          <w:tcPr>
            <w:tcW w:w="6146" w:type="dxa"/>
            <w:tcBorders>
              <w:bottom w:val="single" w:sz="4" w:space="0" w:color="A6A6A6" w:themeColor="background1" w:themeShade="A6"/>
            </w:tcBorders>
          </w:tcPr>
          <w:p w14:paraId="552C5094" w14:textId="77777777" w:rsidR="0054412E" w:rsidRPr="00D41E37" w:rsidRDefault="00316B4A" w:rsidP="00D41E37">
            <w:pPr>
              <w:spacing w:before="0"/>
              <w:rPr>
                <w:sz w:val="20"/>
                <w:szCs w:val="20"/>
              </w:rPr>
            </w:pPr>
            <w:r w:rsidRPr="00D41E37">
              <w:rPr>
                <w:sz w:val="20"/>
                <w:szCs w:val="20"/>
              </w:rPr>
              <w:t>As Nauru remained COVID-19 free, no pivot in the education response was required.</w:t>
            </w:r>
          </w:p>
          <w:p w14:paraId="57FD4E1C" w14:textId="3358EBD3" w:rsidR="0054412E" w:rsidRPr="00D41E37" w:rsidRDefault="0054412E" w:rsidP="00D41E37">
            <w:pPr>
              <w:spacing w:before="0"/>
              <w:rPr>
                <w:sz w:val="20"/>
                <w:szCs w:val="20"/>
              </w:rPr>
            </w:pPr>
            <w:r w:rsidRPr="00D41E37">
              <w:rPr>
                <w:sz w:val="20"/>
                <w:szCs w:val="20"/>
              </w:rPr>
              <w:t>Supported the awarding of n</w:t>
            </w:r>
            <w:r w:rsidR="000F2795" w:rsidRPr="00D41E37">
              <w:rPr>
                <w:sz w:val="20"/>
                <w:szCs w:val="20"/>
              </w:rPr>
              <w:t xml:space="preserve">ine </w:t>
            </w:r>
            <w:r w:rsidRPr="00D41E37">
              <w:rPr>
                <w:sz w:val="20"/>
                <w:szCs w:val="20"/>
              </w:rPr>
              <w:t>new s</w:t>
            </w:r>
            <w:r w:rsidR="000F2795" w:rsidRPr="00D41E37">
              <w:rPr>
                <w:sz w:val="20"/>
                <w:szCs w:val="20"/>
              </w:rPr>
              <w:t>cholarships</w:t>
            </w:r>
            <w:r w:rsidRPr="00D41E37">
              <w:rPr>
                <w:sz w:val="20"/>
                <w:szCs w:val="20"/>
              </w:rPr>
              <w:t xml:space="preserve">, with </w:t>
            </w:r>
            <w:r w:rsidR="000F2795" w:rsidRPr="00D41E37">
              <w:rPr>
                <w:sz w:val="20"/>
                <w:szCs w:val="20"/>
              </w:rPr>
              <w:t xml:space="preserve">eight to </w:t>
            </w:r>
            <w:r w:rsidRPr="00D41E37">
              <w:rPr>
                <w:sz w:val="20"/>
                <w:szCs w:val="20"/>
              </w:rPr>
              <w:t xml:space="preserve">undertake </w:t>
            </w:r>
            <w:r w:rsidR="000F2795" w:rsidRPr="00D41E37">
              <w:rPr>
                <w:sz w:val="20"/>
                <w:szCs w:val="20"/>
              </w:rPr>
              <w:t>study in Australia</w:t>
            </w:r>
            <w:r w:rsidR="000A3149" w:rsidRPr="00D41E37">
              <w:rPr>
                <w:sz w:val="20"/>
                <w:szCs w:val="20"/>
              </w:rPr>
              <w:t xml:space="preserve">. </w:t>
            </w:r>
          </w:p>
          <w:p w14:paraId="39E71330" w14:textId="755BDE02" w:rsidR="00413A61" w:rsidRPr="00D41E37" w:rsidRDefault="0054412E" w:rsidP="00D41E37">
            <w:pPr>
              <w:spacing w:before="0"/>
              <w:rPr>
                <w:sz w:val="20"/>
                <w:szCs w:val="20"/>
              </w:rPr>
            </w:pPr>
            <w:r w:rsidRPr="00D41E37">
              <w:rPr>
                <w:sz w:val="20"/>
                <w:szCs w:val="20"/>
              </w:rPr>
              <w:t xml:space="preserve">Supported the graduation </w:t>
            </w:r>
            <w:r w:rsidR="00EC75F7" w:rsidRPr="00D41E37">
              <w:rPr>
                <w:sz w:val="20"/>
                <w:szCs w:val="20"/>
              </w:rPr>
              <w:t xml:space="preserve">of </w:t>
            </w:r>
            <w:r w:rsidRPr="00D41E37">
              <w:rPr>
                <w:sz w:val="20"/>
                <w:szCs w:val="20"/>
              </w:rPr>
              <w:t xml:space="preserve">two </w:t>
            </w:r>
            <w:r w:rsidR="000F2795" w:rsidRPr="00D41E37">
              <w:rPr>
                <w:sz w:val="20"/>
                <w:szCs w:val="20"/>
              </w:rPr>
              <w:t>bachelor students and seven associate degree students, with 19 students now in training</w:t>
            </w:r>
            <w:r w:rsidR="00D36D74" w:rsidRPr="00D41E37">
              <w:rPr>
                <w:sz w:val="20"/>
                <w:szCs w:val="20"/>
              </w:rPr>
              <w:t xml:space="preserve"> at UNE</w:t>
            </w:r>
            <w:r w:rsidRPr="00D41E37">
              <w:rPr>
                <w:sz w:val="20"/>
                <w:szCs w:val="20"/>
              </w:rPr>
              <w:t xml:space="preserve"> in early childhood</w:t>
            </w:r>
            <w:r w:rsidR="000F2795" w:rsidRPr="00D41E37">
              <w:rPr>
                <w:sz w:val="20"/>
                <w:szCs w:val="20"/>
              </w:rPr>
              <w:t>.</w:t>
            </w:r>
          </w:p>
        </w:tc>
      </w:tr>
      <w:tr w:rsidR="000F2795" w:rsidRPr="00F90B76" w14:paraId="6C119B5C" w14:textId="77777777" w:rsidTr="00FB0E61">
        <w:tc>
          <w:tcPr>
            <w:tcW w:w="4390" w:type="dxa"/>
            <w:tcBorders>
              <w:bottom w:val="single" w:sz="4" w:space="0" w:color="A6A6A6" w:themeColor="background1" w:themeShade="A6"/>
            </w:tcBorders>
          </w:tcPr>
          <w:p w14:paraId="26E6A5EF" w14:textId="195A09C0" w:rsidR="000F2795" w:rsidRPr="00D41E37" w:rsidRDefault="000F2795" w:rsidP="00F90B76">
            <w:pPr>
              <w:spacing w:before="0"/>
              <w:rPr>
                <w:sz w:val="20"/>
                <w:szCs w:val="20"/>
              </w:rPr>
            </w:pPr>
            <w:r w:rsidRPr="00D41E37">
              <w:rPr>
                <w:sz w:val="20"/>
                <w:szCs w:val="20"/>
              </w:rPr>
              <w:t>Examples of Australia contributing to policing responses to COVID-19 and improved services for women and girl survivors of violence</w:t>
            </w:r>
          </w:p>
        </w:tc>
        <w:tc>
          <w:tcPr>
            <w:tcW w:w="6146" w:type="dxa"/>
            <w:tcBorders>
              <w:bottom w:val="single" w:sz="4" w:space="0" w:color="A6A6A6" w:themeColor="background1" w:themeShade="A6"/>
            </w:tcBorders>
          </w:tcPr>
          <w:p w14:paraId="37E7D77C" w14:textId="77777777" w:rsidR="00D41E37" w:rsidRPr="00D41E37" w:rsidRDefault="00D41E37" w:rsidP="00D41E37">
            <w:pPr>
              <w:spacing w:before="0"/>
              <w:rPr>
                <w:sz w:val="20"/>
                <w:szCs w:val="20"/>
              </w:rPr>
            </w:pPr>
            <w:r w:rsidRPr="00D41E37">
              <w:rPr>
                <w:sz w:val="20"/>
                <w:szCs w:val="20"/>
              </w:rPr>
              <w:t>S</w:t>
            </w:r>
            <w:r w:rsidR="0054412E" w:rsidRPr="00D41E37">
              <w:rPr>
                <w:sz w:val="20"/>
                <w:szCs w:val="20"/>
              </w:rPr>
              <w:t xml:space="preserve">upported </w:t>
            </w:r>
            <w:r w:rsidR="00316B4A" w:rsidRPr="00D41E37">
              <w:rPr>
                <w:sz w:val="20"/>
                <w:szCs w:val="20"/>
              </w:rPr>
              <w:t>u</w:t>
            </w:r>
            <w:r w:rsidR="000F2795" w:rsidRPr="00D41E37">
              <w:rPr>
                <w:sz w:val="20"/>
                <w:szCs w:val="20"/>
              </w:rPr>
              <w:t>pgrades to women’s safehouse</w:t>
            </w:r>
            <w:r w:rsidR="0054412E" w:rsidRPr="00D41E37">
              <w:rPr>
                <w:sz w:val="20"/>
                <w:szCs w:val="20"/>
              </w:rPr>
              <w:t>s</w:t>
            </w:r>
            <w:r w:rsidR="000F2795" w:rsidRPr="00D41E37">
              <w:rPr>
                <w:sz w:val="20"/>
                <w:szCs w:val="20"/>
              </w:rPr>
              <w:t>.</w:t>
            </w:r>
          </w:p>
          <w:p w14:paraId="1F49C4DA" w14:textId="747E9A06" w:rsidR="000F2795" w:rsidRPr="00D41E37" w:rsidRDefault="0054412E" w:rsidP="00D41E37">
            <w:pPr>
              <w:spacing w:before="0"/>
              <w:rPr>
                <w:sz w:val="20"/>
                <w:szCs w:val="20"/>
              </w:rPr>
            </w:pPr>
            <w:r w:rsidRPr="00D41E37">
              <w:rPr>
                <w:sz w:val="20"/>
                <w:szCs w:val="20"/>
              </w:rPr>
              <w:t>Supported a range of t</w:t>
            </w:r>
            <w:r w:rsidR="000F2795" w:rsidRPr="00D41E37">
              <w:rPr>
                <w:sz w:val="20"/>
                <w:szCs w:val="20"/>
              </w:rPr>
              <w:t xml:space="preserve">echnical support on gender policies </w:t>
            </w:r>
            <w:r w:rsidRPr="00D41E37">
              <w:rPr>
                <w:sz w:val="20"/>
                <w:szCs w:val="20"/>
              </w:rPr>
              <w:t>to</w:t>
            </w:r>
            <w:r w:rsidR="000F2795" w:rsidRPr="00D41E37">
              <w:rPr>
                <w:sz w:val="20"/>
                <w:szCs w:val="20"/>
              </w:rPr>
              <w:t xml:space="preserve"> the Ministry of Women’s Affairs and Social Development.</w:t>
            </w:r>
          </w:p>
        </w:tc>
      </w:tr>
      <w:tr w:rsidR="000F2795" w:rsidRPr="00F90B76" w14:paraId="15A18BA7" w14:textId="77777777" w:rsidTr="00FB0E61">
        <w:tc>
          <w:tcPr>
            <w:tcW w:w="4390" w:type="dxa"/>
          </w:tcPr>
          <w:p w14:paraId="7A821327" w14:textId="532B85F0" w:rsidR="000F2795" w:rsidRPr="00D41E37" w:rsidRDefault="000F2795" w:rsidP="00F90B76">
            <w:pPr>
              <w:spacing w:before="0"/>
              <w:rPr>
                <w:sz w:val="20"/>
                <w:szCs w:val="20"/>
              </w:rPr>
            </w:pPr>
            <w:r w:rsidRPr="00D41E37">
              <w:rPr>
                <w:sz w:val="20"/>
                <w:szCs w:val="20"/>
              </w:rPr>
              <w:t>Number of significant evidence-based policy changes in key sectors of engagement</w:t>
            </w:r>
          </w:p>
        </w:tc>
        <w:tc>
          <w:tcPr>
            <w:tcW w:w="6146" w:type="dxa"/>
          </w:tcPr>
          <w:p w14:paraId="46A6B386" w14:textId="36228744" w:rsidR="000F2795" w:rsidRPr="00D41E37" w:rsidRDefault="0054412E" w:rsidP="00D41E37">
            <w:pPr>
              <w:spacing w:before="0"/>
              <w:rPr>
                <w:sz w:val="20"/>
                <w:szCs w:val="20"/>
              </w:rPr>
            </w:pPr>
            <w:r w:rsidRPr="00D41E37">
              <w:rPr>
                <w:sz w:val="20"/>
                <w:szCs w:val="20"/>
              </w:rPr>
              <w:t xml:space="preserve">Supported </w:t>
            </w:r>
            <w:r w:rsidR="00FC50E6" w:rsidRPr="00D41E37">
              <w:rPr>
                <w:sz w:val="20"/>
                <w:szCs w:val="20"/>
              </w:rPr>
              <w:t>work to achieve the s</w:t>
            </w:r>
            <w:r w:rsidR="000F2795" w:rsidRPr="00D41E37">
              <w:rPr>
                <w:sz w:val="20"/>
                <w:szCs w:val="20"/>
              </w:rPr>
              <w:t xml:space="preserve">eparation of Nauru’s parliament from </w:t>
            </w:r>
            <w:r w:rsidR="00B45BC7" w:rsidRPr="00D41E37">
              <w:rPr>
                <w:sz w:val="20"/>
                <w:szCs w:val="20"/>
              </w:rPr>
              <w:t>the executive arm of government</w:t>
            </w:r>
            <w:r w:rsidR="009F10D7" w:rsidRPr="00D41E37">
              <w:rPr>
                <w:sz w:val="20"/>
                <w:szCs w:val="20"/>
              </w:rPr>
              <w:t xml:space="preserve"> </w:t>
            </w:r>
            <w:r w:rsidRPr="00D41E37">
              <w:rPr>
                <w:sz w:val="20"/>
                <w:szCs w:val="20"/>
              </w:rPr>
              <w:t xml:space="preserve">under the </w:t>
            </w:r>
            <w:r w:rsidR="009F10D7" w:rsidRPr="00D41E37">
              <w:rPr>
                <w:sz w:val="20"/>
                <w:szCs w:val="20"/>
              </w:rPr>
              <w:t>Parliamentary Act 2020</w:t>
            </w:r>
            <w:r w:rsidR="000F2795" w:rsidRPr="00D41E37">
              <w:rPr>
                <w:sz w:val="20"/>
                <w:szCs w:val="20"/>
              </w:rPr>
              <w:t>.</w:t>
            </w:r>
          </w:p>
          <w:p w14:paraId="1F79904D" w14:textId="6FECF614" w:rsidR="000F2795" w:rsidRPr="00D41E37" w:rsidRDefault="0054412E" w:rsidP="00D41E37">
            <w:pPr>
              <w:spacing w:before="0"/>
              <w:rPr>
                <w:sz w:val="20"/>
                <w:szCs w:val="20"/>
              </w:rPr>
            </w:pPr>
            <w:r w:rsidRPr="00D41E37">
              <w:rPr>
                <w:sz w:val="20"/>
                <w:szCs w:val="20"/>
              </w:rPr>
              <w:t>Supported the d</w:t>
            </w:r>
            <w:r w:rsidR="00D36D74" w:rsidRPr="00D41E37">
              <w:rPr>
                <w:sz w:val="20"/>
                <w:szCs w:val="20"/>
              </w:rPr>
              <w:t xml:space="preserve">rafting </w:t>
            </w:r>
            <w:r w:rsidR="00FC50E6" w:rsidRPr="00D41E37">
              <w:rPr>
                <w:sz w:val="20"/>
                <w:szCs w:val="20"/>
              </w:rPr>
              <w:t xml:space="preserve">of </w:t>
            </w:r>
            <w:r w:rsidRPr="00D41E37">
              <w:rPr>
                <w:sz w:val="20"/>
                <w:szCs w:val="20"/>
              </w:rPr>
              <w:t xml:space="preserve">two gender policies: </w:t>
            </w:r>
            <w:proofErr w:type="gramStart"/>
            <w:r w:rsidRPr="00D41E37">
              <w:rPr>
                <w:sz w:val="20"/>
                <w:szCs w:val="20"/>
              </w:rPr>
              <w:t>the</w:t>
            </w:r>
            <w:proofErr w:type="gramEnd"/>
            <w:r w:rsidRPr="00D41E37">
              <w:rPr>
                <w:sz w:val="20"/>
                <w:szCs w:val="20"/>
              </w:rPr>
              <w:t xml:space="preserve"> </w:t>
            </w:r>
            <w:r w:rsidR="000F2795" w:rsidRPr="00D41E37">
              <w:rPr>
                <w:sz w:val="20"/>
                <w:szCs w:val="20"/>
              </w:rPr>
              <w:t>National Women’s Policy</w:t>
            </w:r>
            <w:r w:rsidRPr="00D41E37">
              <w:rPr>
                <w:sz w:val="20"/>
                <w:szCs w:val="20"/>
              </w:rPr>
              <w:t xml:space="preserve">; </w:t>
            </w:r>
            <w:r w:rsidR="000F2795" w:rsidRPr="00D41E37">
              <w:rPr>
                <w:sz w:val="20"/>
                <w:szCs w:val="20"/>
              </w:rPr>
              <w:t xml:space="preserve">and </w:t>
            </w:r>
            <w:r w:rsidRPr="00D41E37">
              <w:rPr>
                <w:sz w:val="20"/>
                <w:szCs w:val="20"/>
              </w:rPr>
              <w:t xml:space="preserve">the </w:t>
            </w:r>
            <w:r w:rsidR="000F2795" w:rsidRPr="00D41E37">
              <w:rPr>
                <w:sz w:val="20"/>
                <w:szCs w:val="20"/>
              </w:rPr>
              <w:t>Public Service Sexual Harassment Policy</w:t>
            </w:r>
            <w:r w:rsidRPr="00D41E37">
              <w:rPr>
                <w:sz w:val="20"/>
                <w:szCs w:val="20"/>
              </w:rPr>
              <w:t>.</w:t>
            </w:r>
          </w:p>
        </w:tc>
      </w:tr>
    </w:tbl>
    <w:p w14:paraId="084D95CB" w14:textId="77777777" w:rsidR="00916262" w:rsidRPr="00117A36" w:rsidRDefault="00916262" w:rsidP="00573D01">
      <w:pPr>
        <w:pStyle w:val="Heading3"/>
      </w:pPr>
      <w:r w:rsidRPr="00117A36">
        <w:lastRenderedPageBreak/>
        <w:t xml:space="preserve">Economic Recovery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4390"/>
        <w:gridCol w:w="6146"/>
      </w:tblGrid>
      <w:tr w:rsidR="00916262" w:rsidRPr="00F90B76" w14:paraId="03A6809C" w14:textId="77777777" w:rsidTr="00004CD7">
        <w:trPr>
          <w:tblHeader/>
        </w:trPr>
        <w:tc>
          <w:tcPr>
            <w:tcW w:w="4390" w:type="dxa"/>
            <w:shd w:val="clear" w:color="auto" w:fill="A2DCD1" w:themeFill="accent1" w:themeFillTint="99"/>
            <w:vAlign w:val="bottom"/>
          </w:tcPr>
          <w:p w14:paraId="2378520F" w14:textId="77777777" w:rsidR="00916262" w:rsidRPr="00F90B76" w:rsidRDefault="00916262" w:rsidP="00F90B76">
            <w:pPr>
              <w:widowControl w:val="0"/>
              <w:spacing w:before="0"/>
              <w:jc w:val="center"/>
              <w:rPr>
                <w:b/>
              </w:rPr>
            </w:pPr>
            <w:r w:rsidRPr="00F90B76">
              <w:rPr>
                <w:b/>
              </w:rPr>
              <w:t>Key Results Indicators</w:t>
            </w:r>
          </w:p>
        </w:tc>
        <w:tc>
          <w:tcPr>
            <w:tcW w:w="6146" w:type="dxa"/>
            <w:shd w:val="clear" w:color="auto" w:fill="A2DCD1" w:themeFill="accent1" w:themeFillTint="99"/>
            <w:vAlign w:val="bottom"/>
          </w:tcPr>
          <w:p w14:paraId="59F0BD99" w14:textId="77777777" w:rsidR="00916262" w:rsidRPr="00F90B76" w:rsidRDefault="00916262" w:rsidP="00F90B76">
            <w:pPr>
              <w:widowControl w:val="0"/>
              <w:spacing w:before="0"/>
              <w:jc w:val="center"/>
              <w:rPr>
                <w:b/>
              </w:rPr>
            </w:pPr>
            <w:r w:rsidRPr="00F90B76">
              <w:rPr>
                <w:b/>
              </w:rPr>
              <w:t>Progress/Result</w:t>
            </w:r>
          </w:p>
        </w:tc>
      </w:tr>
      <w:tr w:rsidR="000F2795" w:rsidRPr="00F90B76" w14:paraId="71A97981" w14:textId="77777777" w:rsidTr="001A22ED">
        <w:tc>
          <w:tcPr>
            <w:tcW w:w="4390" w:type="dxa"/>
          </w:tcPr>
          <w:p w14:paraId="25A094F9" w14:textId="7FBB9B30" w:rsidR="000F2795" w:rsidRPr="00D41E37" w:rsidRDefault="000F2795" w:rsidP="00F90B76">
            <w:pPr>
              <w:spacing w:before="0"/>
              <w:rPr>
                <w:sz w:val="20"/>
                <w:szCs w:val="20"/>
              </w:rPr>
            </w:pPr>
            <w:r w:rsidRPr="00D41E37">
              <w:rPr>
                <w:sz w:val="20"/>
                <w:szCs w:val="20"/>
              </w:rPr>
              <w:t>Examples of policy and technical advice on longer term economic recovery, including accounting for the impacts of climate change</w:t>
            </w:r>
          </w:p>
        </w:tc>
        <w:tc>
          <w:tcPr>
            <w:tcW w:w="6146" w:type="dxa"/>
          </w:tcPr>
          <w:p w14:paraId="1C7FE60E" w14:textId="30BE34E8" w:rsidR="000F2795" w:rsidRPr="00D41E37" w:rsidRDefault="002C4049" w:rsidP="00D41E37">
            <w:pPr>
              <w:spacing w:before="0"/>
              <w:rPr>
                <w:sz w:val="20"/>
                <w:szCs w:val="20"/>
              </w:rPr>
            </w:pPr>
            <w:r w:rsidRPr="00D41E37">
              <w:rPr>
                <w:sz w:val="20"/>
                <w:szCs w:val="20"/>
              </w:rPr>
              <w:t>Supported a</w:t>
            </w:r>
            <w:r w:rsidR="000F2795" w:rsidRPr="00D41E37">
              <w:rPr>
                <w:sz w:val="20"/>
                <w:szCs w:val="20"/>
              </w:rPr>
              <w:t xml:space="preserve">dvisers in </w:t>
            </w:r>
            <w:r w:rsidR="00D15FEB" w:rsidRPr="00D41E37">
              <w:rPr>
                <w:sz w:val="20"/>
                <w:szCs w:val="20"/>
              </w:rPr>
              <w:t>several</w:t>
            </w:r>
            <w:r w:rsidR="000F2795" w:rsidRPr="00D41E37">
              <w:rPr>
                <w:sz w:val="20"/>
                <w:szCs w:val="20"/>
              </w:rPr>
              <w:t xml:space="preserve"> senior in-line and technical roles </w:t>
            </w:r>
            <w:r w:rsidRPr="00D41E37">
              <w:rPr>
                <w:sz w:val="20"/>
                <w:szCs w:val="20"/>
              </w:rPr>
              <w:t xml:space="preserve">to support </w:t>
            </w:r>
            <w:r w:rsidR="000F2795" w:rsidRPr="00D41E37">
              <w:rPr>
                <w:sz w:val="20"/>
                <w:szCs w:val="20"/>
              </w:rPr>
              <w:t>the Ministry of Finance including Treasury, Customs and Revenue divisions.</w:t>
            </w:r>
          </w:p>
        </w:tc>
      </w:tr>
      <w:tr w:rsidR="000F2795" w:rsidRPr="00F90B76" w14:paraId="48C90B8C" w14:textId="77777777" w:rsidTr="001A22ED">
        <w:tc>
          <w:tcPr>
            <w:tcW w:w="4390" w:type="dxa"/>
          </w:tcPr>
          <w:p w14:paraId="0DA74293" w14:textId="5B3D6E48" w:rsidR="000F2795" w:rsidRPr="00D41E37" w:rsidRDefault="000F2795" w:rsidP="00F90B76">
            <w:pPr>
              <w:spacing w:before="0"/>
              <w:rPr>
                <w:sz w:val="20"/>
                <w:szCs w:val="20"/>
              </w:rPr>
            </w:pPr>
            <w:r w:rsidRPr="00D41E37">
              <w:rPr>
                <w:sz w:val="20"/>
                <w:szCs w:val="20"/>
              </w:rPr>
              <w:t xml:space="preserve">Examples of Australia supporting Nauru’s transport connectivity, </w:t>
            </w:r>
            <w:proofErr w:type="gramStart"/>
            <w:r w:rsidRPr="00D41E37">
              <w:rPr>
                <w:sz w:val="20"/>
                <w:szCs w:val="20"/>
              </w:rPr>
              <w:t>including:</w:t>
            </w:r>
            <w:proofErr w:type="gramEnd"/>
            <w:r w:rsidRPr="00D41E37">
              <w:rPr>
                <w:sz w:val="20"/>
                <w:szCs w:val="20"/>
              </w:rPr>
              <w:t xml:space="preserve"> port project progress; progress toward airport runway upgrade; and support for Nauru Airlines</w:t>
            </w:r>
          </w:p>
        </w:tc>
        <w:tc>
          <w:tcPr>
            <w:tcW w:w="6146" w:type="dxa"/>
          </w:tcPr>
          <w:p w14:paraId="140CC407" w14:textId="2AFD8FB0" w:rsidR="000F2795" w:rsidRPr="00D41E37" w:rsidRDefault="002C4049" w:rsidP="00D41E37">
            <w:pPr>
              <w:spacing w:before="0"/>
              <w:rPr>
                <w:sz w:val="20"/>
                <w:szCs w:val="20"/>
              </w:rPr>
            </w:pPr>
            <w:r w:rsidRPr="00D41E37">
              <w:rPr>
                <w:sz w:val="20"/>
                <w:szCs w:val="20"/>
              </w:rPr>
              <w:t xml:space="preserve">Supported </w:t>
            </w:r>
            <w:r w:rsidR="000F2795" w:rsidRPr="00D41E37">
              <w:rPr>
                <w:sz w:val="20"/>
                <w:szCs w:val="20"/>
              </w:rPr>
              <w:t xml:space="preserve">Nauru Airlines, </w:t>
            </w:r>
            <w:proofErr w:type="spellStart"/>
            <w:r w:rsidR="000F2795" w:rsidRPr="00D41E37">
              <w:rPr>
                <w:sz w:val="20"/>
                <w:szCs w:val="20"/>
              </w:rPr>
              <w:t>Naeoro</w:t>
            </w:r>
            <w:proofErr w:type="spellEnd"/>
            <w:r w:rsidR="000F2795" w:rsidRPr="00D41E37">
              <w:rPr>
                <w:sz w:val="20"/>
                <w:szCs w:val="20"/>
              </w:rPr>
              <w:t xml:space="preserve"> Post and Nauru Shipping Lines to ensure transport connectivity</w:t>
            </w:r>
            <w:r w:rsidRPr="00D41E37">
              <w:rPr>
                <w:sz w:val="20"/>
                <w:szCs w:val="20"/>
              </w:rPr>
              <w:t xml:space="preserve"> within the region and beyond</w:t>
            </w:r>
            <w:r w:rsidR="000F2795" w:rsidRPr="00D41E37">
              <w:rPr>
                <w:sz w:val="20"/>
                <w:szCs w:val="20"/>
              </w:rPr>
              <w:t>.</w:t>
            </w:r>
            <w:r w:rsidR="00C0492D" w:rsidRPr="00D41E37">
              <w:rPr>
                <w:sz w:val="20"/>
                <w:szCs w:val="20"/>
              </w:rPr>
              <w:t xml:space="preserve"> </w:t>
            </w:r>
            <w:r w:rsidRPr="00D41E37">
              <w:rPr>
                <w:sz w:val="20"/>
                <w:szCs w:val="20"/>
              </w:rPr>
              <w:t xml:space="preserve">Continued to support </w:t>
            </w:r>
            <w:r w:rsidR="000F2795" w:rsidRPr="00D41E37">
              <w:rPr>
                <w:sz w:val="20"/>
                <w:szCs w:val="20"/>
              </w:rPr>
              <w:t>major transport infrastructure projects at the port and airstrip.</w:t>
            </w:r>
          </w:p>
        </w:tc>
      </w:tr>
      <w:tr w:rsidR="000F2795" w:rsidRPr="00F90B76" w14:paraId="2877475E" w14:textId="77777777" w:rsidTr="001A22ED">
        <w:tc>
          <w:tcPr>
            <w:tcW w:w="4390" w:type="dxa"/>
          </w:tcPr>
          <w:p w14:paraId="63CCCCE1" w14:textId="5EBCA515" w:rsidR="000F2795" w:rsidRPr="00D41E37" w:rsidRDefault="001A22ED" w:rsidP="00F90B76">
            <w:pPr>
              <w:spacing w:before="0"/>
              <w:rPr>
                <w:sz w:val="20"/>
                <w:szCs w:val="20"/>
              </w:rPr>
            </w:pPr>
            <w:r w:rsidRPr="00D41E37">
              <w:rPr>
                <w:sz w:val="20"/>
                <w:szCs w:val="20"/>
              </w:rPr>
              <w:t>P</w:t>
            </w:r>
            <w:r w:rsidR="000F2795" w:rsidRPr="00D41E37">
              <w:rPr>
                <w:sz w:val="20"/>
                <w:szCs w:val="20"/>
              </w:rPr>
              <w:t>artnering with the private sector and other partners to ensure supply lines are open</w:t>
            </w:r>
          </w:p>
        </w:tc>
        <w:tc>
          <w:tcPr>
            <w:tcW w:w="6146" w:type="dxa"/>
          </w:tcPr>
          <w:p w14:paraId="42DCB778" w14:textId="2EBBEF64" w:rsidR="000F2795" w:rsidRPr="00D41E37" w:rsidRDefault="002C4049" w:rsidP="00D41E37">
            <w:pPr>
              <w:spacing w:before="0"/>
              <w:rPr>
                <w:sz w:val="20"/>
                <w:szCs w:val="20"/>
              </w:rPr>
            </w:pPr>
            <w:r w:rsidRPr="00D41E37">
              <w:rPr>
                <w:sz w:val="20"/>
                <w:szCs w:val="20"/>
              </w:rPr>
              <w:t>Supported</w:t>
            </w:r>
            <w:r w:rsidR="000F2795" w:rsidRPr="00D41E37">
              <w:rPr>
                <w:sz w:val="20"/>
                <w:szCs w:val="20"/>
              </w:rPr>
              <w:t xml:space="preserve"> </w:t>
            </w:r>
            <w:r w:rsidR="00D15FEB" w:rsidRPr="00D41E37">
              <w:rPr>
                <w:sz w:val="20"/>
                <w:szCs w:val="20"/>
              </w:rPr>
              <w:t>Australian Business Volunteers</w:t>
            </w:r>
            <w:r w:rsidR="00DE2A1E" w:rsidRPr="00D41E37">
              <w:rPr>
                <w:sz w:val="20"/>
                <w:szCs w:val="20"/>
              </w:rPr>
              <w:t xml:space="preserve"> and </w:t>
            </w:r>
            <w:r w:rsidRPr="00D41E37">
              <w:rPr>
                <w:sz w:val="20"/>
                <w:szCs w:val="20"/>
              </w:rPr>
              <w:t xml:space="preserve">the </w:t>
            </w:r>
            <w:r w:rsidR="000F2795" w:rsidRPr="00D41E37">
              <w:rPr>
                <w:sz w:val="20"/>
                <w:szCs w:val="20"/>
              </w:rPr>
              <w:t>Nauru Chamber of Commerce</w:t>
            </w:r>
            <w:r w:rsidR="00DE2A1E" w:rsidRPr="00D41E37">
              <w:rPr>
                <w:sz w:val="20"/>
                <w:szCs w:val="20"/>
              </w:rPr>
              <w:t xml:space="preserve"> to develop a</w:t>
            </w:r>
            <w:r w:rsidR="000F2795" w:rsidRPr="00D41E37">
              <w:rPr>
                <w:sz w:val="20"/>
                <w:szCs w:val="20"/>
              </w:rPr>
              <w:t xml:space="preserve"> private sector development roadmap. </w:t>
            </w:r>
          </w:p>
        </w:tc>
      </w:tr>
    </w:tbl>
    <w:p w14:paraId="50CE9BC0" w14:textId="2F35FCCF" w:rsidR="00B00FB3" w:rsidRDefault="00B00FB3" w:rsidP="00D41E37"/>
    <w:p w14:paraId="45305BFA" w14:textId="77777777" w:rsidR="00B00FB3" w:rsidRDefault="00B00FB3">
      <w:pPr>
        <w:suppressAutoHyphens w:val="0"/>
        <w:spacing w:before="0" w:after="120" w:line="440" w:lineRule="atLeast"/>
      </w:pPr>
      <w:r>
        <w:br w:type="page"/>
      </w:r>
    </w:p>
    <w:p w14:paraId="4F73F976" w14:textId="77777777" w:rsidR="00047C93" w:rsidRPr="00047C93" w:rsidRDefault="00047C93" w:rsidP="00D41E37"/>
    <w:p w14:paraId="02F9B3A6" w14:textId="79CA9EFE" w:rsidR="00916262" w:rsidRPr="00117A36" w:rsidRDefault="00916262" w:rsidP="00047C93">
      <w:pPr>
        <w:pStyle w:val="Heading2"/>
      </w:pPr>
      <w:r w:rsidRPr="00117A36">
        <w:t>Annex 2: Investment Performance ratings</w:t>
      </w:r>
    </w:p>
    <w:tbl>
      <w:tblPr>
        <w:tblStyle w:val="DFATTable1"/>
        <w:tblW w:w="9918" w:type="dxa"/>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531"/>
        <w:gridCol w:w="1134"/>
        <w:gridCol w:w="1418"/>
        <w:gridCol w:w="1417"/>
        <w:gridCol w:w="1418"/>
      </w:tblGrid>
      <w:tr w:rsidR="00F90B76" w:rsidRPr="00F90B76" w14:paraId="76277A10" w14:textId="77777777" w:rsidTr="00D17D0B">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65C5B4" w:themeColor="accent1"/>
              <w:right w:val="single" w:sz="4" w:space="0" w:color="65C5B4" w:themeColor="accent1"/>
            </w:tcBorders>
            <w:shd w:val="clear" w:color="auto" w:fill="A2DCD1" w:themeFill="accent1" w:themeFillTint="99"/>
            <w:noWrap/>
            <w:hideMark/>
          </w:tcPr>
          <w:p w14:paraId="406D9A42" w14:textId="77777777" w:rsidR="00916262" w:rsidRPr="00F90B76" w:rsidRDefault="00916262" w:rsidP="00F90B76">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val="en-AU" w:eastAsia="en-AU"/>
              </w:rPr>
              <w:t>Investment Details</w:t>
            </w:r>
          </w:p>
        </w:tc>
        <w:tc>
          <w:tcPr>
            <w:tcW w:w="1134" w:type="dxa"/>
            <w:tcBorders>
              <w:left w:val="single" w:sz="4" w:space="0" w:color="65C5B4" w:themeColor="accent1"/>
              <w:right w:val="single" w:sz="4" w:space="0" w:color="65C5B4" w:themeColor="accent1"/>
            </w:tcBorders>
            <w:shd w:val="clear" w:color="auto" w:fill="A2DCD1" w:themeFill="accent1" w:themeFillTint="99"/>
            <w:noWrap/>
            <w:hideMark/>
          </w:tcPr>
          <w:p w14:paraId="47C39D3C" w14:textId="59F99017" w:rsidR="00916262" w:rsidRPr="00F90B76" w:rsidRDefault="00916262" w:rsidP="00117A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val="en-AU" w:eastAsia="en-AU"/>
              </w:rPr>
              <w:t>Year</w:t>
            </w:r>
          </w:p>
        </w:tc>
        <w:tc>
          <w:tcPr>
            <w:tcW w:w="1418" w:type="dxa"/>
            <w:tcBorders>
              <w:left w:val="single" w:sz="4" w:space="0" w:color="65C5B4" w:themeColor="accent1"/>
              <w:right w:val="single" w:sz="4" w:space="0" w:color="65C5B4" w:themeColor="accent1"/>
            </w:tcBorders>
            <w:shd w:val="clear" w:color="auto" w:fill="A2DCD1" w:themeFill="accent1" w:themeFillTint="99"/>
            <w:noWrap/>
            <w:hideMark/>
          </w:tcPr>
          <w:p w14:paraId="3673EDAD" w14:textId="77777777" w:rsidR="00916262" w:rsidRPr="00F90B76" w:rsidRDefault="00916262" w:rsidP="00117A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val="en-AU" w:eastAsia="en-AU"/>
              </w:rPr>
              <w:t>Effectiveness</w:t>
            </w:r>
          </w:p>
        </w:tc>
        <w:tc>
          <w:tcPr>
            <w:tcW w:w="1417" w:type="dxa"/>
            <w:tcBorders>
              <w:left w:val="single" w:sz="4" w:space="0" w:color="65C5B4" w:themeColor="accent1"/>
              <w:right w:val="single" w:sz="4" w:space="0" w:color="65C5B4" w:themeColor="accent1"/>
            </w:tcBorders>
            <w:shd w:val="clear" w:color="auto" w:fill="A2DCD1" w:themeFill="accent1" w:themeFillTint="99"/>
            <w:noWrap/>
            <w:hideMark/>
          </w:tcPr>
          <w:p w14:paraId="1871C863" w14:textId="77777777" w:rsidR="00916262" w:rsidRPr="00F90B76" w:rsidRDefault="00916262" w:rsidP="00117A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val="en-AU" w:eastAsia="en-AU"/>
              </w:rPr>
              <w:t>Efficiency</w:t>
            </w:r>
          </w:p>
        </w:tc>
        <w:tc>
          <w:tcPr>
            <w:tcW w:w="1418" w:type="dxa"/>
            <w:tcBorders>
              <w:left w:val="single" w:sz="4" w:space="0" w:color="65C5B4" w:themeColor="accent1"/>
              <w:right w:val="nil"/>
            </w:tcBorders>
            <w:shd w:val="clear" w:color="auto" w:fill="A2DCD1" w:themeFill="accent1" w:themeFillTint="99"/>
            <w:noWrap/>
            <w:hideMark/>
          </w:tcPr>
          <w:p w14:paraId="60213CD4" w14:textId="77777777" w:rsidR="00916262" w:rsidRPr="00F90B76" w:rsidRDefault="00916262" w:rsidP="00117A3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val="en-AU" w:eastAsia="en-AU"/>
              </w:rPr>
              <w:t>Gender Equality</w:t>
            </w:r>
          </w:p>
        </w:tc>
      </w:tr>
      <w:tr w:rsidR="00916262" w:rsidRPr="00F90B76" w14:paraId="645A9E81" w14:textId="77777777" w:rsidTr="00D17D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vAlign w:val="bottom"/>
            <w:hideMark/>
          </w:tcPr>
          <w:p w14:paraId="6382AAFA" w14:textId="0ACA381A" w:rsidR="00916262" w:rsidRPr="00F90B76" w:rsidRDefault="00916262" w:rsidP="00117A36">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eastAsia="en-AU"/>
              </w:rPr>
              <w:t xml:space="preserve">Nauru Health Support Program </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26E619B4"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2021</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6474E2E8"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3</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7331DA49"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3</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5A9013F6"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3</w:t>
            </w:r>
          </w:p>
        </w:tc>
      </w:tr>
      <w:tr w:rsidR="00916262" w:rsidRPr="00F90B76" w14:paraId="73138C30" w14:textId="77777777" w:rsidTr="00D17D0B">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037FA86A" w14:textId="283ED22C" w:rsidR="00916262" w:rsidRPr="00F90B76" w:rsidRDefault="00232083" w:rsidP="00117A36">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Calibri Light" w:hAnsi="Calibri Light" w:cs="Calibri Light"/>
                <w:sz w:val="20"/>
                <w:szCs w:val="20"/>
                <w:lang w:eastAsia="en-AU"/>
              </w:rPr>
              <w:t xml:space="preserve">Investment </w:t>
            </w:r>
            <w:r w:rsidR="00916262" w:rsidRPr="00F90B76">
              <w:rPr>
                <w:rFonts w:asciiTheme="minorHAnsi" w:eastAsia="Times New Roman" w:hAnsiTheme="minorHAnsi" w:cstheme="minorHAnsi"/>
                <w:color w:val="404040"/>
                <w:sz w:val="20"/>
                <w:szCs w:val="20"/>
                <w:lang w:val="en-AU" w:eastAsia="en-AU"/>
              </w:rPr>
              <w:t xml:space="preserve">Duration: 2018-22; Budget: $8.4m </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536C8D0D"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2020</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066BFB73"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3</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779A2871"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3</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700E63B2"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3</w:t>
            </w:r>
          </w:p>
        </w:tc>
      </w:tr>
      <w:tr w:rsidR="00916262" w:rsidRPr="00F90B76" w14:paraId="49A25264" w14:textId="77777777" w:rsidTr="00D17D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5C5B4" w:themeColor="accent1"/>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4FF5F643" w14:textId="45E4DD5F" w:rsidR="00916262" w:rsidRPr="00F90B76" w:rsidRDefault="00916262" w:rsidP="00117A36">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eastAsia="en-AU"/>
              </w:rPr>
              <w:t xml:space="preserve">Nauru Public Sector Reform </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29F546AD"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2021</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hideMark/>
          </w:tcPr>
          <w:p w14:paraId="41A528A0"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hideMark/>
          </w:tcPr>
          <w:p w14:paraId="78144A6D"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hideMark/>
          </w:tcPr>
          <w:p w14:paraId="3D7842AA"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3</w:t>
            </w:r>
          </w:p>
        </w:tc>
      </w:tr>
      <w:tr w:rsidR="00916262" w:rsidRPr="00F90B76" w14:paraId="2EF8B02B" w14:textId="77777777" w:rsidTr="00D17D0B">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Borders>
              <w:top w:val="nil"/>
              <w:left w:val="single" w:sz="4" w:space="0" w:color="65C5B4" w:themeColor="accent1"/>
              <w:bottom w:val="single" w:sz="4" w:space="0" w:color="65C5B4" w:themeColor="accent1"/>
              <w:right w:val="single" w:sz="4" w:space="0" w:color="65C5B4" w:themeColor="accent1"/>
            </w:tcBorders>
            <w:shd w:val="clear" w:color="auto" w:fill="E0F3EF" w:themeFill="accent1" w:themeFillTint="33"/>
            <w:hideMark/>
          </w:tcPr>
          <w:p w14:paraId="733FAFF9" w14:textId="6E2F2EA4" w:rsidR="00916262" w:rsidRPr="00F90B76" w:rsidRDefault="00232083" w:rsidP="00117A36">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Calibri Light" w:hAnsi="Calibri Light" w:cs="Calibri Light"/>
                <w:sz w:val="20"/>
                <w:szCs w:val="20"/>
                <w:lang w:eastAsia="en-AU"/>
              </w:rPr>
              <w:t xml:space="preserve">Investment </w:t>
            </w:r>
            <w:r w:rsidR="00916262" w:rsidRPr="00F90B76">
              <w:rPr>
                <w:rFonts w:asciiTheme="minorHAnsi" w:eastAsia="Times New Roman" w:hAnsiTheme="minorHAnsi" w:cstheme="minorHAnsi"/>
                <w:color w:val="404040"/>
                <w:sz w:val="20"/>
                <w:szCs w:val="20"/>
                <w:lang w:val="en-AU" w:eastAsia="en-AU"/>
              </w:rPr>
              <w:t xml:space="preserve">Duration: 2009-21; </w:t>
            </w:r>
            <w:r w:rsidR="00F90B76">
              <w:rPr>
                <w:rFonts w:asciiTheme="minorHAnsi" w:eastAsia="Times New Roman" w:hAnsiTheme="minorHAnsi" w:cstheme="minorHAnsi"/>
                <w:color w:val="404040"/>
                <w:sz w:val="20"/>
                <w:szCs w:val="20"/>
                <w:lang w:val="en-AU" w:eastAsia="en-AU"/>
              </w:rPr>
              <w:t>B</w:t>
            </w:r>
            <w:r w:rsidR="00916262" w:rsidRPr="00F90B76">
              <w:rPr>
                <w:rFonts w:asciiTheme="minorHAnsi" w:eastAsia="Times New Roman" w:hAnsiTheme="minorHAnsi" w:cstheme="minorHAnsi"/>
                <w:color w:val="404040"/>
                <w:sz w:val="20"/>
                <w:szCs w:val="20"/>
                <w:lang w:val="en-AU" w:eastAsia="en-AU"/>
              </w:rPr>
              <w:t>udget: $52m</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hideMark/>
          </w:tcPr>
          <w:p w14:paraId="6D4EE801"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2020</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hideMark/>
          </w:tcPr>
          <w:p w14:paraId="072754A5"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hideMark/>
          </w:tcPr>
          <w:p w14:paraId="0AE6EF2C"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hideMark/>
          </w:tcPr>
          <w:p w14:paraId="58722B6C"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3</w:t>
            </w:r>
          </w:p>
        </w:tc>
      </w:tr>
      <w:tr w:rsidR="00916262" w:rsidRPr="00F90B76" w14:paraId="2D4AF2C9" w14:textId="77777777" w:rsidTr="00D17D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noWrap/>
            <w:vAlign w:val="bottom"/>
            <w:hideMark/>
          </w:tcPr>
          <w:p w14:paraId="158B249C" w14:textId="7EF35FB6" w:rsidR="00916262" w:rsidRPr="00F90B76" w:rsidRDefault="00916262" w:rsidP="00117A36">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eastAsia="en-AU"/>
              </w:rPr>
              <w:t xml:space="preserve">Nauru Infrastructure and Services </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160836FC"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2021</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543231DE"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24B00710"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100BBC7E"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3</w:t>
            </w:r>
          </w:p>
        </w:tc>
      </w:tr>
      <w:tr w:rsidR="00916262" w:rsidRPr="00F90B76" w14:paraId="765EABA3" w14:textId="77777777" w:rsidTr="00D17D0B">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2F50C7A9" w14:textId="6DBA51E6" w:rsidR="00916262" w:rsidRPr="00F90B76" w:rsidRDefault="00232083" w:rsidP="00117A36">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Calibri Light" w:hAnsi="Calibri Light" w:cs="Calibri Light"/>
                <w:sz w:val="20"/>
                <w:szCs w:val="20"/>
                <w:lang w:eastAsia="en-AU"/>
              </w:rPr>
              <w:t xml:space="preserve">Investment </w:t>
            </w:r>
            <w:r w:rsidR="00916262" w:rsidRPr="00F90B76">
              <w:rPr>
                <w:rFonts w:asciiTheme="minorHAnsi" w:eastAsia="Times New Roman" w:hAnsiTheme="minorHAnsi" w:cstheme="minorHAnsi"/>
                <w:color w:val="404040"/>
                <w:sz w:val="20"/>
                <w:szCs w:val="20"/>
                <w:lang w:val="en-AU" w:eastAsia="en-AU"/>
              </w:rPr>
              <w:t xml:space="preserve">Duration: 2009-21; Budget: $74m </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4908728A"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2020</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641EF14C"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121BD04C"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3</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5012A55C"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3</w:t>
            </w:r>
          </w:p>
        </w:tc>
      </w:tr>
      <w:tr w:rsidR="00916262" w:rsidRPr="00F90B76" w14:paraId="696DA57F" w14:textId="77777777" w:rsidTr="00D17D0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5C5B4" w:themeColor="accent1"/>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28EB77AA" w14:textId="5EEBB6DD" w:rsidR="00916262" w:rsidRPr="00F90B76" w:rsidRDefault="00916262" w:rsidP="00117A36">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F90B76">
              <w:rPr>
                <w:rFonts w:asciiTheme="minorHAnsi" w:eastAsia="Times New Roman" w:hAnsiTheme="minorHAnsi" w:cstheme="minorHAnsi"/>
                <w:b/>
                <w:bCs/>
                <w:color w:val="404040"/>
                <w:sz w:val="20"/>
                <w:szCs w:val="20"/>
                <w:lang w:eastAsia="en-AU"/>
              </w:rPr>
              <w:t xml:space="preserve">Nauru Improved Education </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hideMark/>
          </w:tcPr>
          <w:p w14:paraId="6C5A7A84"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2021</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hideMark/>
          </w:tcPr>
          <w:p w14:paraId="661AF7E9"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hideMark/>
          </w:tcPr>
          <w:p w14:paraId="33A59D75"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hideMark/>
          </w:tcPr>
          <w:p w14:paraId="739655FC" w14:textId="77777777" w:rsidR="00916262" w:rsidRPr="00F90B76" w:rsidRDefault="00916262" w:rsidP="00117A3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4</w:t>
            </w:r>
          </w:p>
        </w:tc>
      </w:tr>
      <w:tr w:rsidR="00916262" w:rsidRPr="00F90B76" w14:paraId="3C59E372" w14:textId="77777777" w:rsidTr="00D17D0B">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Borders>
              <w:top w:val="nil"/>
              <w:left w:val="single" w:sz="4" w:space="0" w:color="65C5B4" w:themeColor="accent1"/>
              <w:bottom w:val="single" w:sz="4" w:space="0" w:color="65C5B4" w:themeColor="accent1"/>
              <w:right w:val="single" w:sz="4" w:space="0" w:color="65C5B4" w:themeColor="accent1"/>
            </w:tcBorders>
            <w:shd w:val="clear" w:color="auto" w:fill="E0F3EF" w:themeFill="accent1" w:themeFillTint="33"/>
            <w:hideMark/>
          </w:tcPr>
          <w:p w14:paraId="2E72EA34" w14:textId="196DF1A8" w:rsidR="00916262" w:rsidRPr="00F90B76" w:rsidRDefault="00232083" w:rsidP="00117A36">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Calibri Light" w:hAnsi="Calibri Light" w:cs="Calibri Light"/>
                <w:sz w:val="20"/>
                <w:szCs w:val="20"/>
                <w:lang w:eastAsia="en-AU"/>
              </w:rPr>
              <w:t xml:space="preserve">Investment </w:t>
            </w:r>
            <w:r w:rsidR="00916262" w:rsidRPr="00F90B76">
              <w:rPr>
                <w:rFonts w:asciiTheme="minorHAnsi" w:eastAsia="Times New Roman" w:hAnsiTheme="minorHAnsi" w:cstheme="minorHAnsi"/>
                <w:color w:val="404040"/>
                <w:sz w:val="20"/>
                <w:szCs w:val="20"/>
                <w:lang w:val="en-AU" w:eastAsia="en-AU"/>
              </w:rPr>
              <w:t xml:space="preserve">Duration: 2009-18; Budget: $34m </w:t>
            </w:r>
          </w:p>
        </w:tc>
        <w:tc>
          <w:tcPr>
            <w:tcW w:w="1134"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hideMark/>
          </w:tcPr>
          <w:p w14:paraId="098FAA68"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2020</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hideMark/>
          </w:tcPr>
          <w:p w14:paraId="6788FF44"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val="en-AU"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hideMark/>
          </w:tcPr>
          <w:p w14:paraId="0DB5C958"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hideMark/>
          </w:tcPr>
          <w:p w14:paraId="11F9EF31" w14:textId="77777777" w:rsidR="00916262" w:rsidRPr="00F90B76" w:rsidRDefault="00916262" w:rsidP="00117A36">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90B76">
              <w:rPr>
                <w:rFonts w:asciiTheme="minorHAnsi" w:eastAsia="Times New Roman" w:hAnsiTheme="minorHAnsi" w:cstheme="minorHAnsi"/>
                <w:color w:val="000000"/>
                <w:sz w:val="20"/>
                <w:szCs w:val="20"/>
                <w:lang w:eastAsia="en-AU"/>
              </w:rPr>
              <w:t>4</w:t>
            </w:r>
          </w:p>
        </w:tc>
      </w:tr>
    </w:tbl>
    <w:p w14:paraId="2B2CA1AB" w14:textId="0511CB96" w:rsidR="00D17D0B" w:rsidRDefault="00916262" w:rsidP="00D17D0B">
      <w:pPr>
        <w:spacing w:before="240" w:after="0" w:line="240" w:lineRule="auto"/>
        <w:jc w:val="both"/>
        <w:rPr>
          <w:rFonts w:eastAsia="Times New Roman"/>
          <w:b/>
          <w:sz w:val="17"/>
          <w:szCs w:val="17"/>
        </w:rPr>
      </w:pPr>
      <w:r w:rsidRPr="00F90B76">
        <w:rPr>
          <w:rFonts w:eastAsia="Times New Roman"/>
          <w:b/>
          <w:sz w:val="17"/>
          <w:szCs w:val="17"/>
        </w:rPr>
        <w:t>Definitions of rating scale:</w:t>
      </w:r>
    </w:p>
    <w:p w14:paraId="25ACA8FB" w14:textId="38A19DB9" w:rsidR="00916262" w:rsidRPr="00F90B76" w:rsidRDefault="00916262" w:rsidP="00D17D0B">
      <w:pPr>
        <w:spacing w:after="0" w:line="240" w:lineRule="auto"/>
        <w:jc w:val="both"/>
        <w:rPr>
          <w:sz w:val="17"/>
          <w:szCs w:val="17"/>
          <w:u w:val="single"/>
        </w:rPr>
      </w:pPr>
      <w:r w:rsidRPr="00F90B76">
        <w:rPr>
          <w:sz w:val="17"/>
          <w:szCs w:val="17"/>
          <w:u w:val="single"/>
        </w:rPr>
        <w:t>Satisfactory (4, 5 and 6)</w:t>
      </w:r>
    </w:p>
    <w:p w14:paraId="6BDB641F" w14:textId="77777777" w:rsidR="00916262" w:rsidRPr="00F90B76" w:rsidRDefault="00916262" w:rsidP="00117A36">
      <w:pPr>
        <w:rPr>
          <w:sz w:val="16"/>
          <w:szCs w:val="16"/>
        </w:rPr>
      </w:pPr>
      <w:r w:rsidRPr="00F90B76">
        <w:rPr>
          <w:sz w:val="16"/>
          <w:szCs w:val="16"/>
        </w:rPr>
        <w:t xml:space="preserve">6 = Very good; satisfies criteria in all areas. </w:t>
      </w:r>
      <w:r w:rsidRPr="00F90B76">
        <w:rPr>
          <w:sz w:val="16"/>
          <w:szCs w:val="16"/>
        </w:rPr>
        <w:br/>
        <w:t>5 = Good; satisfies criteria in almost all areas.</w:t>
      </w:r>
      <w:r w:rsidRPr="00F90B76">
        <w:rPr>
          <w:sz w:val="16"/>
          <w:szCs w:val="16"/>
        </w:rPr>
        <w:br/>
        <w:t>4 = Adequate; on balance, satisfies criteria; does not fail in any major area.</w:t>
      </w:r>
    </w:p>
    <w:p w14:paraId="5A9CE947" w14:textId="77777777" w:rsidR="00916262" w:rsidRPr="00F90B76" w:rsidRDefault="00916262" w:rsidP="00117A36">
      <w:pPr>
        <w:rPr>
          <w:sz w:val="17"/>
          <w:szCs w:val="17"/>
          <w:u w:val="single"/>
        </w:rPr>
      </w:pPr>
      <w:r w:rsidRPr="00F90B76">
        <w:rPr>
          <w:sz w:val="17"/>
          <w:szCs w:val="17"/>
          <w:u w:val="single"/>
        </w:rPr>
        <w:t>Less than satisfactory (1, 2 and 3)</w:t>
      </w:r>
    </w:p>
    <w:p w14:paraId="50AE37E9" w14:textId="77777777" w:rsidR="00916262" w:rsidRPr="00F90B76" w:rsidRDefault="00916262" w:rsidP="00117A36">
      <w:pPr>
        <w:rPr>
          <w:sz w:val="16"/>
          <w:szCs w:val="16"/>
        </w:rPr>
      </w:pPr>
      <w:r w:rsidRPr="00F90B76">
        <w:rPr>
          <w:sz w:val="16"/>
          <w:szCs w:val="16"/>
        </w:rPr>
        <w:t>3 = Less than adequate; on balance does not satisfy criteria and/or fails in at least one major area.</w:t>
      </w:r>
      <w:r w:rsidRPr="00F90B76">
        <w:rPr>
          <w:sz w:val="16"/>
          <w:szCs w:val="16"/>
        </w:rPr>
        <w:br/>
        <w:t>2 = Poor; does not satisfy criteria in major areas.</w:t>
      </w:r>
      <w:r w:rsidRPr="00F90B76">
        <w:rPr>
          <w:sz w:val="16"/>
          <w:szCs w:val="16"/>
        </w:rPr>
        <w:br/>
        <w:t xml:space="preserve">1 = Very poor; does not satisfy criteria in many major </w:t>
      </w:r>
      <w:proofErr w:type="gramStart"/>
      <w:r w:rsidRPr="00F90B76">
        <w:rPr>
          <w:sz w:val="16"/>
          <w:szCs w:val="16"/>
        </w:rPr>
        <w:t>area</w:t>
      </w:r>
      <w:proofErr w:type="gramEnd"/>
      <w:r w:rsidRPr="00F90B76">
        <w:rPr>
          <w:sz w:val="16"/>
          <w:szCs w:val="16"/>
        </w:rPr>
        <w:t>.</w:t>
      </w:r>
    </w:p>
    <w:sectPr w:rsidR="00916262" w:rsidRPr="00F90B76" w:rsidSect="004C2CF5">
      <w:headerReference w:type="default" r:id="rId9"/>
      <w:footerReference w:type="default" r:id="rId10"/>
      <w:headerReference w:type="first" r:id="rId11"/>
      <w:footerReference w:type="first" r:id="rId12"/>
      <w:pgSz w:w="11906" w:h="16838" w:code="9"/>
      <w:pgMar w:top="1559" w:right="680" w:bottom="1418" w:left="680" w:header="567" w:footer="34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42A98" w14:textId="77777777" w:rsidR="002E1AFC" w:rsidRDefault="002E1AFC" w:rsidP="00D37B04">
      <w:r>
        <w:separator/>
      </w:r>
    </w:p>
  </w:endnote>
  <w:endnote w:type="continuationSeparator" w:id="0">
    <w:p w14:paraId="1B6299E6" w14:textId="77777777" w:rsidR="002E1AFC" w:rsidRDefault="002E1AF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B636999" w14:textId="2980E5D8" w:rsidR="0005564F" w:rsidRDefault="00D11CFE">
        <w:pPr>
          <w:pStyle w:val="Footer"/>
          <w:jc w:val="center"/>
          <w:rPr>
            <w:color w:val="auto"/>
          </w:rPr>
        </w:pPr>
        <w:r w:rsidRPr="00C92805">
          <w:rPr>
            <w:b/>
            <w:noProof/>
            <w:color w:val="495965" w:themeColor="text2"/>
            <w:lang w:val="en-AU" w:eastAsia="en-AU"/>
          </w:rPr>
          <w:drawing>
            <wp:anchor distT="0" distB="0" distL="114300" distR="114300" simplePos="0" relativeHeight="251659264" behindDoc="1" locked="0" layoutInCell="1" allowOverlap="1" wp14:anchorId="458432BE" wp14:editId="0F536B19">
              <wp:simplePos x="0" y="0"/>
              <wp:positionH relativeFrom="margin">
                <wp:posOffset>-120650</wp:posOffset>
              </wp:positionH>
              <wp:positionV relativeFrom="page">
                <wp:posOffset>9785350</wp:posOffset>
              </wp:positionV>
              <wp:extent cx="6931025" cy="596888"/>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70338" cy="600274"/>
                      </a:xfrm>
                      <a:prstGeom prst="rect">
                        <a:avLst/>
                      </a:prstGeom>
                    </pic:spPr>
                  </pic:pic>
                </a:graphicData>
              </a:graphic>
              <wp14:sizeRelH relativeFrom="margin">
                <wp14:pctWidth>0</wp14:pctWidth>
              </wp14:sizeRelH>
              <wp14:sizeRelV relativeFrom="margin">
                <wp14:pctHeight>0</wp14:pctHeight>
              </wp14:sizeRelV>
            </wp:anchor>
          </w:drawing>
        </w:r>
      </w:p>
      <w:p w14:paraId="21BC07CE" w14:textId="63372CF1" w:rsidR="00D11CFE" w:rsidRPr="00854F69" w:rsidRDefault="00D11CFE" w:rsidP="00D11CFE">
        <w:pPr>
          <w:pStyle w:val="Footer"/>
          <w:ind w:right="198"/>
          <w:rPr>
            <w:b/>
            <w:noProof/>
            <w:color w:val="495965" w:themeColor="text2"/>
            <w:lang w:val="en-AU" w:eastAsia="en-AU"/>
          </w:rPr>
        </w:pP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0BB5A1F" w14:textId="6BEF5B1B" w:rsidR="0005564F" w:rsidRDefault="0005564F">
        <w:pPr>
          <w:pStyle w:val="Footer"/>
          <w:jc w:val="center"/>
          <w:rPr>
            <w:color w:val="auto"/>
          </w:rPr>
        </w:pPr>
      </w:p>
      <w:p w14:paraId="1E51B8D5" w14:textId="0C7B2962" w:rsidR="001D3DDD" w:rsidRPr="001D3DDD" w:rsidRDefault="00433552" w:rsidP="00D11CFE">
        <w:pPr>
          <w:pStyle w:val="Footer"/>
          <w:jc w:val="center"/>
          <w:rPr>
            <w:color w:val="auto"/>
          </w:rPr>
        </w:pPr>
      </w:p>
    </w:sdtContent>
  </w:sdt>
  <w:p w14:paraId="3A729F02" w14:textId="519EAB54" w:rsidR="009131E9" w:rsidRDefault="009131E9"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5888" w14:textId="54254A81" w:rsidR="00D11CFE" w:rsidRPr="00854F69" w:rsidRDefault="00D11CFE" w:rsidP="00D11CFE">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55910098" wp14:editId="0850D4DA">
          <wp:simplePos x="0" y="0"/>
          <wp:positionH relativeFrom="margin">
            <wp:posOffset>-120650</wp:posOffset>
          </wp:positionH>
          <wp:positionV relativeFrom="page">
            <wp:posOffset>10007600</wp:posOffset>
          </wp:positionV>
          <wp:extent cx="6931181" cy="57658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6863" cy="577053"/>
                  </a:xfrm>
                  <a:prstGeom prst="rect">
                    <a:avLst/>
                  </a:prstGeom>
                </pic:spPr>
              </pic:pic>
            </a:graphicData>
          </a:graphic>
          <wp14:sizeRelH relativeFrom="margin">
            <wp14:pctWidth>0</wp14:pctWidth>
          </wp14:sizeRelH>
          <wp14:sizeRelV relativeFrom="margin">
            <wp14:pctHeight>0</wp14:pctHeight>
          </wp14:sizeRelV>
        </wp:anchor>
      </w:drawing>
    </w:r>
    <w:r w:rsidR="002B438B">
      <w:rPr>
        <w:b/>
        <w:noProof/>
        <w:color w:val="495965" w:themeColor="text2"/>
        <w:lang w:val="en-AU" w:eastAsia="en-AU"/>
      </w:rPr>
      <w:t>Novemb</w:t>
    </w:r>
    <w:r>
      <w:rPr>
        <w:b/>
        <w:noProof/>
        <w:color w:val="495965" w:themeColor="text2"/>
        <w:lang w:val="en-AU" w:eastAsia="en-AU"/>
      </w:rPr>
      <w:t>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2B438B">
      <w:rPr>
        <w:b/>
        <w:noProof/>
        <w:color w:val="495965" w:themeColor="text2"/>
        <w:lang w:val="en-AU" w:eastAsia="en-AU"/>
      </w:rPr>
      <w:t xml:space="preserve"> </w:t>
    </w:r>
    <w:r>
      <w:rPr>
        <w:b/>
        <w:noProof/>
        <w:color w:val="495965" w:themeColor="text2"/>
        <w:lang w:val="en-AU" w:eastAsia="en-AU"/>
      </w:rPr>
      <w:tab/>
    </w:r>
    <w:r w:rsidR="002B438B">
      <w:rPr>
        <w:b/>
        <w:noProof/>
        <w:color w:val="495965" w:themeColor="text2"/>
        <w:lang w:val="en-AU" w:eastAsia="en-AU"/>
      </w:rPr>
      <w:t xml:space="preserve">  </w:t>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0DC25F7B" w14:textId="77777777" w:rsidR="00D11CFE" w:rsidRPr="00D11CFE" w:rsidRDefault="00D11CFE" w:rsidP="00D1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E0EC7" w14:textId="77777777" w:rsidR="002E1AFC" w:rsidRPr="008C5A0E" w:rsidRDefault="002E1AFC" w:rsidP="00D37B04">
      <w:pPr>
        <w:pStyle w:val="Footer"/>
      </w:pPr>
    </w:p>
  </w:footnote>
  <w:footnote w:type="continuationSeparator" w:id="0">
    <w:p w14:paraId="2CE21871" w14:textId="77777777" w:rsidR="002E1AFC" w:rsidRDefault="002E1AFC"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9B7FBEF" w:rsidR="009131E9" w:rsidRDefault="009131E9" w:rsidP="007A4493">
    <w:pPr>
      <w:pStyle w:val="Header"/>
      <w:ind w:left="0"/>
    </w:pPr>
    <w:bookmarkStart w:id="8" w:name="_Hlk82018139"/>
    <w:bookmarkStart w:id="9" w:name="_Hlk82018140"/>
    <w:r w:rsidRPr="00A12B40">
      <w:rPr>
        <w:i/>
        <w:caps w:val="0"/>
      </w:rPr>
      <w:t>Partnerships for Recovery</w:t>
    </w: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1D34" w14:textId="61CBBCAA" w:rsidR="002A0ABA" w:rsidRDefault="009131E9">
    <w:r>
      <w:rPr>
        <w:noProof/>
        <w:sz w:val="20"/>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F5D6C"/>
    <w:multiLevelType w:val="hybridMultilevel"/>
    <w:tmpl w:val="83C2143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2DD7D86"/>
    <w:multiLevelType w:val="hybridMultilevel"/>
    <w:tmpl w:val="C98818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8" w15:restartNumberingAfterBreak="0">
    <w:nsid w:val="37F31420"/>
    <w:multiLevelType w:val="hybridMultilevel"/>
    <w:tmpl w:val="A74A5F2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38F132CE"/>
    <w:multiLevelType w:val="multilevel"/>
    <w:tmpl w:val="3B7A10DE"/>
    <w:numStyleLink w:val="BulletsList"/>
  </w:abstractNum>
  <w:abstractNum w:abstractNumId="10"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4"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5"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F5394D"/>
    <w:multiLevelType w:val="hybridMultilevel"/>
    <w:tmpl w:val="D99E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6"/>
  </w:num>
  <w:num w:numId="4">
    <w:abstractNumId w:val="16"/>
  </w:num>
  <w:num w:numId="5">
    <w:abstractNumId w:val="19"/>
  </w:num>
  <w:num w:numId="6">
    <w:abstractNumId w:val="6"/>
  </w:num>
  <w:num w:numId="7">
    <w:abstractNumId w:val="1"/>
  </w:num>
  <w:num w:numId="8">
    <w:abstractNumId w:val="3"/>
  </w:num>
  <w:num w:numId="9">
    <w:abstractNumId w:val="27"/>
  </w:num>
  <w:num w:numId="10">
    <w:abstractNumId w:val="9"/>
  </w:num>
  <w:num w:numId="11">
    <w:abstractNumId w:val="14"/>
  </w:num>
  <w:num w:numId="12">
    <w:abstractNumId w:val="15"/>
  </w:num>
  <w:num w:numId="13">
    <w:abstractNumId w:val="0"/>
  </w:num>
  <w:num w:numId="14">
    <w:abstractNumId w:val="13"/>
  </w:num>
  <w:num w:numId="15">
    <w:abstractNumId w:val="17"/>
  </w:num>
  <w:num w:numId="16">
    <w:abstractNumId w:val="21"/>
  </w:num>
  <w:num w:numId="17">
    <w:abstractNumId w:val="4"/>
  </w:num>
  <w:num w:numId="18">
    <w:abstractNumId w:val="18"/>
  </w:num>
  <w:num w:numId="19">
    <w:abstractNumId w:val="26"/>
  </w:num>
  <w:num w:numId="20">
    <w:abstractNumId w:val="11"/>
  </w:num>
  <w:num w:numId="21">
    <w:abstractNumId w:val="25"/>
  </w:num>
  <w:num w:numId="22">
    <w:abstractNumId w:val="10"/>
  </w:num>
  <w:num w:numId="23">
    <w:abstractNumId w:val="2"/>
  </w:num>
  <w:num w:numId="24">
    <w:abstractNumId w:val="23"/>
  </w:num>
  <w:num w:numId="25">
    <w:abstractNumId w:val="28"/>
  </w:num>
  <w:num w:numId="26">
    <w:abstractNumId w:val="12"/>
  </w:num>
  <w:num w:numId="27">
    <w:abstractNumId w:val="20"/>
  </w:num>
  <w:num w:numId="28">
    <w:abstractNumId w:val="22"/>
  </w:num>
  <w:num w:numId="29">
    <w:abstractNumId w:val="5"/>
  </w:num>
  <w:num w:numId="30">
    <w:abstractNumId w:val="8"/>
  </w:num>
  <w:num w:numId="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4CD7"/>
    <w:rsid w:val="00010006"/>
    <w:rsid w:val="00011235"/>
    <w:rsid w:val="00015AB7"/>
    <w:rsid w:val="0001794C"/>
    <w:rsid w:val="0002080A"/>
    <w:rsid w:val="0002782F"/>
    <w:rsid w:val="00031486"/>
    <w:rsid w:val="000314BA"/>
    <w:rsid w:val="00035BBF"/>
    <w:rsid w:val="00035CBC"/>
    <w:rsid w:val="000417C3"/>
    <w:rsid w:val="000444F3"/>
    <w:rsid w:val="00044AC4"/>
    <w:rsid w:val="000473C5"/>
    <w:rsid w:val="00047A67"/>
    <w:rsid w:val="00047C93"/>
    <w:rsid w:val="00050806"/>
    <w:rsid w:val="000546D9"/>
    <w:rsid w:val="00054E4D"/>
    <w:rsid w:val="0005564F"/>
    <w:rsid w:val="00055880"/>
    <w:rsid w:val="00056F24"/>
    <w:rsid w:val="00060073"/>
    <w:rsid w:val="000616C6"/>
    <w:rsid w:val="000822AD"/>
    <w:rsid w:val="000854FD"/>
    <w:rsid w:val="000A3149"/>
    <w:rsid w:val="000A407E"/>
    <w:rsid w:val="000B16CA"/>
    <w:rsid w:val="000B37F5"/>
    <w:rsid w:val="000B5DA7"/>
    <w:rsid w:val="000B78E6"/>
    <w:rsid w:val="000C3A4C"/>
    <w:rsid w:val="000C4411"/>
    <w:rsid w:val="000C79DB"/>
    <w:rsid w:val="000D0A59"/>
    <w:rsid w:val="000D2896"/>
    <w:rsid w:val="000D66D6"/>
    <w:rsid w:val="000E0F9E"/>
    <w:rsid w:val="000E58BF"/>
    <w:rsid w:val="000E6C44"/>
    <w:rsid w:val="000E7F3F"/>
    <w:rsid w:val="000F02F1"/>
    <w:rsid w:val="000F1720"/>
    <w:rsid w:val="000F23B1"/>
    <w:rsid w:val="000F2600"/>
    <w:rsid w:val="000F2795"/>
    <w:rsid w:val="000F78C9"/>
    <w:rsid w:val="000F7C5B"/>
    <w:rsid w:val="00113288"/>
    <w:rsid w:val="00117A36"/>
    <w:rsid w:val="001214BE"/>
    <w:rsid w:val="0012165D"/>
    <w:rsid w:val="00121DDD"/>
    <w:rsid w:val="001227F1"/>
    <w:rsid w:val="0013101C"/>
    <w:rsid w:val="001328CB"/>
    <w:rsid w:val="001336B5"/>
    <w:rsid w:val="0013385F"/>
    <w:rsid w:val="00135933"/>
    <w:rsid w:val="0013752C"/>
    <w:rsid w:val="00137F4E"/>
    <w:rsid w:val="00146021"/>
    <w:rsid w:val="001461D6"/>
    <w:rsid w:val="00146E07"/>
    <w:rsid w:val="001541EA"/>
    <w:rsid w:val="0016223D"/>
    <w:rsid w:val="00166032"/>
    <w:rsid w:val="001662F8"/>
    <w:rsid w:val="001841C8"/>
    <w:rsid w:val="00186B4B"/>
    <w:rsid w:val="00193C49"/>
    <w:rsid w:val="00196354"/>
    <w:rsid w:val="00196A0B"/>
    <w:rsid w:val="00196B7D"/>
    <w:rsid w:val="001A22ED"/>
    <w:rsid w:val="001A51EE"/>
    <w:rsid w:val="001A7815"/>
    <w:rsid w:val="001B78DA"/>
    <w:rsid w:val="001C14F4"/>
    <w:rsid w:val="001C1F11"/>
    <w:rsid w:val="001C483F"/>
    <w:rsid w:val="001D1840"/>
    <w:rsid w:val="001D1A8F"/>
    <w:rsid w:val="001D3C98"/>
    <w:rsid w:val="001D3DDD"/>
    <w:rsid w:val="001D4091"/>
    <w:rsid w:val="001D663E"/>
    <w:rsid w:val="001E03BE"/>
    <w:rsid w:val="001E1DC0"/>
    <w:rsid w:val="001E563B"/>
    <w:rsid w:val="001E61F9"/>
    <w:rsid w:val="001E6D20"/>
    <w:rsid w:val="001F16E7"/>
    <w:rsid w:val="001F4064"/>
    <w:rsid w:val="001F54E6"/>
    <w:rsid w:val="001F7A8B"/>
    <w:rsid w:val="001F7F4D"/>
    <w:rsid w:val="002019EE"/>
    <w:rsid w:val="00216C55"/>
    <w:rsid w:val="002231BD"/>
    <w:rsid w:val="00224C80"/>
    <w:rsid w:val="002270F7"/>
    <w:rsid w:val="00232083"/>
    <w:rsid w:val="002404E8"/>
    <w:rsid w:val="00244229"/>
    <w:rsid w:val="00247365"/>
    <w:rsid w:val="002525BE"/>
    <w:rsid w:val="0025362D"/>
    <w:rsid w:val="0025582D"/>
    <w:rsid w:val="00255F45"/>
    <w:rsid w:val="00261565"/>
    <w:rsid w:val="00265329"/>
    <w:rsid w:val="00270C70"/>
    <w:rsid w:val="002719EE"/>
    <w:rsid w:val="002721B5"/>
    <w:rsid w:val="00274711"/>
    <w:rsid w:val="0028602A"/>
    <w:rsid w:val="002945C4"/>
    <w:rsid w:val="0029663F"/>
    <w:rsid w:val="00297258"/>
    <w:rsid w:val="00297FD1"/>
    <w:rsid w:val="002A0ABA"/>
    <w:rsid w:val="002B3381"/>
    <w:rsid w:val="002B438B"/>
    <w:rsid w:val="002B5E10"/>
    <w:rsid w:val="002C4049"/>
    <w:rsid w:val="002C793D"/>
    <w:rsid w:val="002D03A2"/>
    <w:rsid w:val="002D35C9"/>
    <w:rsid w:val="002D4108"/>
    <w:rsid w:val="002D430F"/>
    <w:rsid w:val="002D5B25"/>
    <w:rsid w:val="002E082F"/>
    <w:rsid w:val="002E1AFC"/>
    <w:rsid w:val="002E2AF4"/>
    <w:rsid w:val="002E38B2"/>
    <w:rsid w:val="002E500A"/>
    <w:rsid w:val="002F03FB"/>
    <w:rsid w:val="002F4096"/>
    <w:rsid w:val="002F4DD9"/>
    <w:rsid w:val="002F4F2B"/>
    <w:rsid w:val="003002C0"/>
    <w:rsid w:val="00301144"/>
    <w:rsid w:val="003031C6"/>
    <w:rsid w:val="00304984"/>
    <w:rsid w:val="00311946"/>
    <w:rsid w:val="00312BF8"/>
    <w:rsid w:val="003148B7"/>
    <w:rsid w:val="003158C3"/>
    <w:rsid w:val="00316B4A"/>
    <w:rsid w:val="003274CD"/>
    <w:rsid w:val="00333501"/>
    <w:rsid w:val="003406AF"/>
    <w:rsid w:val="003457C4"/>
    <w:rsid w:val="0035119D"/>
    <w:rsid w:val="003535F8"/>
    <w:rsid w:val="00354641"/>
    <w:rsid w:val="00356F16"/>
    <w:rsid w:val="00357DEF"/>
    <w:rsid w:val="003622C1"/>
    <w:rsid w:val="00363A9F"/>
    <w:rsid w:val="003664FE"/>
    <w:rsid w:val="00371B8E"/>
    <w:rsid w:val="003756F4"/>
    <w:rsid w:val="00375D23"/>
    <w:rsid w:val="003806FE"/>
    <w:rsid w:val="003816B3"/>
    <w:rsid w:val="00382CE7"/>
    <w:rsid w:val="00387B3B"/>
    <w:rsid w:val="00387EC8"/>
    <w:rsid w:val="0039215F"/>
    <w:rsid w:val="0039344A"/>
    <w:rsid w:val="003B3091"/>
    <w:rsid w:val="003B4F12"/>
    <w:rsid w:val="003C6C4F"/>
    <w:rsid w:val="003C72FF"/>
    <w:rsid w:val="003C7D0E"/>
    <w:rsid w:val="003D1253"/>
    <w:rsid w:val="003D26B5"/>
    <w:rsid w:val="003D30B6"/>
    <w:rsid w:val="003E24BA"/>
    <w:rsid w:val="003E2EFA"/>
    <w:rsid w:val="003F09A7"/>
    <w:rsid w:val="003F2041"/>
    <w:rsid w:val="003F7D26"/>
    <w:rsid w:val="004007ED"/>
    <w:rsid w:val="00400D50"/>
    <w:rsid w:val="00402ACC"/>
    <w:rsid w:val="00403130"/>
    <w:rsid w:val="00403FD8"/>
    <w:rsid w:val="00404443"/>
    <w:rsid w:val="00404602"/>
    <w:rsid w:val="004120EC"/>
    <w:rsid w:val="0041267F"/>
    <w:rsid w:val="00413A61"/>
    <w:rsid w:val="00423DE0"/>
    <w:rsid w:val="00423F31"/>
    <w:rsid w:val="0042526D"/>
    <w:rsid w:val="00426340"/>
    <w:rsid w:val="00427C76"/>
    <w:rsid w:val="004303AA"/>
    <w:rsid w:val="00431899"/>
    <w:rsid w:val="00433552"/>
    <w:rsid w:val="00434279"/>
    <w:rsid w:val="00450381"/>
    <w:rsid w:val="004529F1"/>
    <w:rsid w:val="00453B1A"/>
    <w:rsid w:val="00462A57"/>
    <w:rsid w:val="004676EF"/>
    <w:rsid w:val="004728DD"/>
    <w:rsid w:val="00473B65"/>
    <w:rsid w:val="00473F2D"/>
    <w:rsid w:val="00473F39"/>
    <w:rsid w:val="00474037"/>
    <w:rsid w:val="00475782"/>
    <w:rsid w:val="00482AE8"/>
    <w:rsid w:val="00486804"/>
    <w:rsid w:val="004872E5"/>
    <w:rsid w:val="00487549"/>
    <w:rsid w:val="00490645"/>
    <w:rsid w:val="004931BA"/>
    <w:rsid w:val="00494242"/>
    <w:rsid w:val="004A41B8"/>
    <w:rsid w:val="004B3775"/>
    <w:rsid w:val="004C2214"/>
    <w:rsid w:val="004C2CF5"/>
    <w:rsid w:val="004D0BA0"/>
    <w:rsid w:val="004D332B"/>
    <w:rsid w:val="004D7F36"/>
    <w:rsid w:val="004E058F"/>
    <w:rsid w:val="004E3B87"/>
    <w:rsid w:val="004E549D"/>
    <w:rsid w:val="004F5615"/>
    <w:rsid w:val="00502041"/>
    <w:rsid w:val="00503ABF"/>
    <w:rsid w:val="00503EB4"/>
    <w:rsid w:val="0050592F"/>
    <w:rsid w:val="00510921"/>
    <w:rsid w:val="00510AD3"/>
    <w:rsid w:val="00513348"/>
    <w:rsid w:val="00513AD8"/>
    <w:rsid w:val="00515F0F"/>
    <w:rsid w:val="00517DD0"/>
    <w:rsid w:val="005204D2"/>
    <w:rsid w:val="00522396"/>
    <w:rsid w:val="00527AD8"/>
    <w:rsid w:val="0053159D"/>
    <w:rsid w:val="00531B69"/>
    <w:rsid w:val="00533B5D"/>
    <w:rsid w:val="00534D96"/>
    <w:rsid w:val="00536343"/>
    <w:rsid w:val="00536BAB"/>
    <w:rsid w:val="00540A22"/>
    <w:rsid w:val="0054412E"/>
    <w:rsid w:val="005474FC"/>
    <w:rsid w:val="00553079"/>
    <w:rsid w:val="00560E83"/>
    <w:rsid w:val="00565BF6"/>
    <w:rsid w:val="005736BB"/>
    <w:rsid w:val="00573D01"/>
    <w:rsid w:val="00577815"/>
    <w:rsid w:val="005822D6"/>
    <w:rsid w:val="00582FA4"/>
    <w:rsid w:val="005A00A5"/>
    <w:rsid w:val="005A20F6"/>
    <w:rsid w:val="005A3A80"/>
    <w:rsid w:val="005A3BEC"/>
    <w:rsid w:val="005A4A3D"/>
    <w:rsid w:val="005B1190"/>
    <w:rsid w:val="005C2EC9"/>
    <w:rsid w:val="005C532B"/>
    <w:rsid w:val="005D3655"/>
    <w:rsid w:val="005D5489"/>
    <w:rsid w:val="005E0058"/>
    <w:rsid w:val="005E3CCA"/>
    <w:rsid w:val="005E4830"/>
    <w:rsid w:val="005E5524"/>
    <w:rsid w:val="005E73CC"/>
    <w:rsid w:val="005F0968"/>
    <w:rsid w:val="005F2F66"/>
    <w:rsid w:val="00601FCD"/>
    <w:rsid w:val="006031AC"/>
    <w:rsid w:val="00603321"/>
    <w:rsid w:val="00616A58"/>
    <w:rsid w:val="00616FF6"/>
    <w:rsid w:val="00620A3D"/>
    <w:rsid w:val="00622B86"/>
    <w:rsid w:val="00623374"/>
    <w:rsid w:val="00623BA1"/>
    <w:rsid w:val="00630092"/>
    <w:rsid w:val="006346BC"/>
    <w:rsid w:val="006362FF"/>
    <w:rsid w:val="006378FE"/>
    <w:rsid w:val="006408FF"/>
    <w:rsid w:val="00640D4E"/>
    <w:rsid w:val="0065649B"/>
    <w:rsid w:val="0066203A"/>
    <w:rsid w:val="0066652A"/>
    <w:rsid w:val="00671925"/>
    <w:rsid w:val="006719C3"/>
    <w:rsid w:val="006745FC"/>
    <w:rsid w:val="006750D9"/>
    <w:rsid w:val="00675B35"/>
    <w:rsid w:val="00680115"/>
    <w:rsid w:val="00680522"/>
    <w:rsid w:val="00681633"/>
    <w:rsid w:val="00682167"/>
    <w:rsid w:val="00690AE1"/>
    <w:rsid w:val="006A6F52"/>
    <w:rsid w:val="006A791A"/>
    <w:rsid w:val="006B0064"/>
    <w:rsid w:val="006B3E95"/>
    <w:rsid w:val="006B51B2"/>
    <w:rsid w:val="006B6F6D"/>
    <w:rsid w:val="006C0B06"/>
    <w:rsid w:val="006C3BBD"/>
    <w:rsid w:val="006C42AF"/>
    <w:rsid w:val="006C43CD"/>
    <w:rsid w:val="006C565B"/>
    <w:rsid w:val="006C6498"/>
    <w:rsid w:val="006D15F1"/>
    <w:rsid w:val="006D5464"/>
    <w:rsid w:val="006D5A56"/>
    <w:rsid w:val="006E4323"/>
    <w:rsid w:val="006F20DF"/>
    <w:rsid w:val="006F3054"/>
    <w:rsid w:val="006F4451"/>
    <w:rsid w:val="006F6BA7"/>
    <w:rsid w:val="007075DF"/>
    <w:rsid w:val="00711D8E"/>
    <w:rsid w:val="00712672"/>
    <w:rsid w:val="007178C4"/>
    <w:rsid w:val="00727C61"/>
    <w:rsid w:val="00731786"/>
    <w:rsid w:val="00734E3F"/>
    <w:rsid w:val="00736985"/>
    <w:rsid w:val="00742E4A"/>
    <w:rsid w:val="00745DF5"/>
    <w:rsid w:val="00751718"/>
    <w:rsid w:val="007624BC"/>
    <w:rsid w:val="0076250F"/>
    <w:rsid w:val="0077324F"/>
    <w:rsid w:val="007733DC"/>
    <w:rsid w:val="00780FA5"/>
    <w:rsid w:val="00783556"/>
    <w:rsid w:val="007859C1"/>
    <w:rsid w:val="00794D99"/>
    <w:rsid w:val="00796F1C"/>
    <w:rsid w:val="007A4493"/>
    <w:rsid w:val="007B0985"/>
    <w:rsid w:val="007B53F9"/>
    <w:rsid w:val="007B6200"/>
    <w:rsid w:val="007B7E8A"/>
    <w:rsid w:val="007C19B3"/>
    <w:rsid w:val="007C735B"/>
    <w:rsid w:val="007E5361"/>
    <w:rsid w:val="007E556D"/>
    <w:rsid w:val="007E7BC7"/>
    <w:rsid w:val="007F308A"/>
    <w:rsid w:val="007F3395"/>
    <w:rsid w:val="007F3C64"/>
    <w:rsid w:val="007F5C0B"/>
    <w:rsid w:val="007F646C"/>
    <w:rsid w:val="008006AD"/>
    <w:rsid w:val="00801B9F"/>
    <w:rsid w:val="0080204D"/>
    <w:rsid w:val="00805AB1"/>
    <w:rsid w:val="00807765"/>
    <w:rsid w:val="0082053C"/>
    <w:rsid w:val="00822F43"/>
    <w:rsid w:val="00836295"/>
    <w:rsid w:val="0084191E"/>
    <w:rsid w:val="00843B76"/>
    <w:rsid w:val="00844737"/>
    <w:rsid w:val="00844E3D"/>
    <w:rsid w:val="00845EE9"/>
    <w:rsid w:val="008475F0"/>
    <w:rsid w:val="008515AF"/>
    <w:rsid w:val="00852C32"/>
    <w:rsid w:val="00854F69"/>
    <w:rsid w:val="008557A7"/>
    <w:rsid w:val="00856BFE"/>
    <w:rsid w:val="00857312"/>
    <w:rsid w:val="008665C9"/>
    <w:rsid w:val="00870928"/>
    <w:rsid w:val="00877620"/>
    <w:rsid w:val="008811B9"/>
    <w:rsid w:val="00881605"/>
    <w:rsid w:val="00886D78"/>
    <w:rsid w:val="00887404"/>
    <w:rsid w:val="0089405C"/>
    <w:rsid w:val="00897FA2"/>
    <w:rsid w:val="008A1503"/>
    <w:rsid w:val="008A5AFE"/>
    <w:rsid w:val="008A6BB7"/>
    <w:rsid w:val="008A7B6F"/>
    <w:rsid w:val="008C1F60"/>
    <w:rsid w:val="008C478C"/>
    <w:rsid w:val="008C5A0E"/>
    <w:rsid w:val="008C6149"/>
    <w:rsid w:val="008C708C"/>
    <w:rsid w:val="008E4B49"/>
    <w:rsid w:val="008F6625"/>
    <w:rsid w:val="00905D5D"/>
    <w:rsid w:val="00906FDA"/>
    <w:rsid w:val="009131E9"/>
    <w:rsid w:val="00916262"/>
    <w:rsid w:val="00916582"/>
    <w:rsid w:val="00917A7A"/>
    <w:rsid w:val="00920854"/>
    <w:rsid w:val="00930AE0"/>
    <w:rsid w:val="0093173D"/>
    <w:rsid w:val="00937866"/>
    <w:rsid w:val="00943730"/>
    <w:rsid w:val="00946AED"/>
    <w:rsid w:val="00950D65"/>
    <w:rsid w:val="00952815"/>
    <w:rsid w:val="0095658C"/>
    <w:rsid w:val="00973E39"/>
    <w:rsid w:val="00975CA5"/>
    <w:rsid w:val="009774B4"/>
    <w:rsid w:val="00986590"/>
    <w:rsid w:val="00991579"/>
    <w:rsid w:val="00992C76"/>
    <w:rsid w:val="009969D6"/>
    <w:rsid w:val="009A112B"/>
    <w:rsid w:val="009A2619"/>
    <w:rsid w:val="009A4FA0"/>
    <w:rsid w:val="009A58FC"/>
    <w:rsid w:val="009B394F"/>
    <w:rsid w:val="009B4D3B"/>
    <w:rsid w:val="009C18DB"/>
    <w:rsid w:val="009D3438"/>
    <w:rsid w:val="009D7407"/>
    <w:rsid w:val="009E0866"/>
    <w:rsid w:val="009E273C"/>
    <w:rsid w:val="009F10D7"/>
    <w:rsid w:val="009F1350"/>
    <w:rsid w:val="009F6423"/>
    <w:rsid w:val="00A07A86"/>
    <w:rsid w:val="00A107B9"/>
    <w:rsid w:val="00A12B40"/>
    <w:rsid w:val="00A24A62"/>
    <w:rsid w:val="00A25F1F"/>
    <w:rsid w:val="00A31C9F"/>
    <w:rsid w:val="00A3756A"/>
    <w:rsid w:val="00A4144F"/>
    <w:rsid w:val="00A43224"/>
    <w:rsid w:val="00A43301"/>
    <w:rsid w:val="00A46B28"/>
    <w:rsid w:val="00A47135"/>
    <w:rsid w:val="00A532C0"/>
    <w:rsid w:val="00A61B4D"/>
    <w:rsid w:val="00A71167"/>
    <w:rsid w:val="00A71F3E"/>
    <w:rsid w:val="00A72201"/>
    <w:rsid w:val="00A74192"/>
    <w:rsid w:val="00A75B84"/>
    <w:rsid w:val="00A80123"/>
    <w:rsid w:val="00A80305"/>
    <w:rsid w:val="00A80F95"/>
    <w:rsid w:val="00A868CB"/>
    <w:rsid w:val="00A9182B"/>
    <w:rsid w:val="00A96364"/>
    <w:rsid w:val="00A97244"/>
    <w:rsid w:val="00A97BF1"/>
    <w:rsid w:val="00AA298A"/>
    <w:rsid w:val="00AA3AA8"/>
    <w:rsid w:val="00AB4795"/>
    <w:rsid w:val="00AB6748"/>
    <w:rsid w:val="00AB6BD2"/>
    <w:rsid w:val="00AC04CF"/>
    <w:rsid w:val="00AC107C"/>
    <w:rsid w:val="00AC164A"/>
    <w:rsid w:val="00AC2129"/>
    <w:rsid w:val="00AC3944"/>
    <w:rsid w:val="00AC551D"/>
    <w:rsid w:val="00AD19F7"/>
    <w:rsid w:val="00AD2C2E"/>
    <w:rsid w:val="00AE2B7B"/>
    <w:rsid w:val="00AE448A"/>
    <w:rsid w:val="00AE74DA"/>
    <w:rsid w:val="00AF18F4"/>
    <w:rsid w:val="00AF2050"/>
    <w:rsid w:val="00AF20C2"/>
    <w:rsid w:val="00AF7ECC"/>
    <w:rsid w:val="00B00459"/>
    <w:rsid w:val="00B00BF4"/>
    <w:rsid w:val="00B00FB3"/>
    <w:rsid w:val="00B02B2A"/>
    <w:rsid w:val="00B03CA8"/>
    <w:rsid w:val="00B056AD"/>
    <w:rsid w:val="00B05B87"/>
    <w:rsid w:val="00B10140"/>
    <w:rsid w:val="00B16EF6"/>
    <w:rsid w:val="00B215D0"/>
    <w:rsid w:val="00B22F0E"/>
    <w:rsid w:val="00B249EC"/>
    <w:rsid w:val="00B33C0A"/>
    <w:rsid w:val="00B34763"/>
    <w:rsid w:val="00B401AF"/>
    <w:rsid w:val="00B45BC7"/>
    <w:rsid w:val="00B4671A"/>
    <w:rsid w:val="00B50ED0"/>
    <w:rsid w:val="00B51C2F"/>
    <w:rsid w:val="00B55E19"/>
    <w:rsid w:val="00B56C15"/>
    <w:rsid w:val="00B56E71"/>
    <w:rsid w:val="00B579A6"/>
    <w:rsid w:val="00B71AD8"/>
    <w:rsid w:val="00B84B3C"/>
    <w:rsid w:val="00B857E1"/>
    <w:rsid w:val="00B8599B"/>
    <w:rsid w:val="00B86990"/>
    <w:rsid w:val="00B91FE7"/>
    <w:rsid w:val="00B929BE"/>
    <w:rsid w:val="00B94758"/>
    <w:rsid w:val="00B94E59"/>
    <w:rsid w:val="00BA1B89"/>
    <w:rsid w:val="00BA4B6D"/>
    <w:rsid w:val="00BB26C5"/>
    <w:rsid w:val="00BB2F84"/>
    <w:rsid w:val="00BB3FD0"/>
    <w:rsid w:val="00BC00D3"/>
    <w:rsid w:val="00BC1FED"/>
    <w:rsid w:val="00BC67A3"/>
    <w:rsid w:val="00BC7186"/>
    <w:rsid w:val="00BD6304"/>
    <w:rsid w:val="00BD710C"/>
    <w:rsid w:val="00BD7A4F"/>
    <w:rsid w:val="00BE01D7"/>
    <w:rsid w:val="00BE12B6"/>
    <w:rsid w:val="00BF1579"/>
    <w:rsid w:val="00BF4DE6"/>
    <w:rsid w:val="00BF6703"/>
    <w:rsid w:val="00C018C0"/>
    <w:rsid w:val="00C0492D"/>
    <w:rsid w:val="00C06B13"/>
    <w:rsid w:val="00C16A47"/>
    <w:rsid w:val="00C17B1E"/>
    <w:rsid w:val="00C259CF"/>
    <w:rsid w:val="00C27D25"/>
    <w:rsid w:val="00C35791"/>
    <w:rsid w:val="00C373DE"/>
    <w:rsid w:val="00C37697"/>
    <w:rsid w:val="00C42541"/>
    <w:rsid w:val="00C42CDE"/>
    <w:rsid w:val="00C45941"/>
    <w:rsid w:val="00C461A5"/>
    <w:rsid w:val="00C50B58"/>
    <w:rsid w:val="00C5182A"/>
    <w:rsid w:val="00C52463"/>
    <w:rsid w:val="00C52B3D"/>
    <w:rsid w:val="00C55983"/>
    <w:rsid w:val="00C61649"/>
    <w:rsid w:val="00C63381"/>
    <w:rsid w:val="00C63EE9"/>
    <w:rsid w:val="00C70B54"/>
    <w:rsid w:val="00C72695"/>
    <w:rsid w:val="00C80F99"/>
    <w:rsid w:val="00C83F4E"/>
    <w:rsid w:val="00C84C30"/>
    <w:rsid w:val="00C87B9B"/>
    <w:rsid w:val="00C908C7"/>
    <w:rsid w:val="00C92805"/>
    <w:rsid w:val="00CA16F3"/>
    <w:rsid w:val="00CA3403"/>
    <w:rsid w:val="00CA37B1"/>
    <w:rsid w:val="00CA3FD8"/>
    <w:rsid w:val="00CA5021"/>
    <w:rsid w:val="00CA67EC"/>
    <w:rsid w:val="00CB1488"/>
    <w:rsid w:val="00CB1959"/>
    <w:rsid w:val="00CB1FE8"/>
    <w:rsid w:val="00CB40BD"/>
    <w:rsid w:val="00CB5D23"/>
    <w:rsid w:val="00CC1D45"/>
    <w:rsid w:val="00CC741B"/>
    <w:rsid w:val="00CD0E4B"/>
    <w:rsid w:val="00CD3F5D"/>
    <w:rsid w:val="00CD4AD4"/>
    <w:rsid w:val="00CE4C89"/>
    <w:rsid w:val="00CF07BA"/>
    <w:rsid w:val="00CF21A3"/>
    <w:rsid w:val="00CF2C23"/>
    <w:rsid w:val="00D0296C"/>
    <w:rsid w:val="00D040D7"/>
    <w:rsid w:val="00D05E55"/>
    <w:rsid w:val="00D11CFE"/>
    <w:rsid w:val="00D1231A"/>
    <w:rsid w:val="00D15FEB"/>
    <w:rsid w:val="00D17D0B"/>
    <w:rsid w:val="00D20A30"/>
    <w:rsid w:val="00D20BC7"/>
    <w:rsid w:val="00D2641E"/>
    <w:rsid w:val="00D3170B"/>
    <w:rsid w:val="00D32D6F"/>
    <w:rsid w:val="00D34D5D"/>
    <w:rsid w:val="00D36D74"/>
    <w:rsid w:val="00D37B04"/>
    <w:rsid w:val="00D41E37"/>
    <w:rsid w:val="00D45555"/>
    <w:rsid w:val="00D45817"/>
    <w:rsid w:val="00D459C4"/>
    <w:rsid w:val="00D4628C"/>
    <w:rsid w:val="00D479B5"/>
    <w:rsid w:val="00D47E0D"/>
    <w:rsid w:val="00D52002"/>
    <w:rsid w:val="00D5362D"/>
    <w:rsid w:val="00D540C6"/>
    <w:rsid w:val="00D64BD1"/>
    <w:rsid w:val="00D71F34"/>
    <w:rsid w:val="00D7310B"/>
    <w:rsid w:val="00D80E8F"/>
    <w:rsid w:val="00D85F0B"/>
    <w:rsid w:val="00D90B37"/>
    <w:rsid w:val="00D92254"/>
    <w:rsid w:val="00D924D3"/>
    <w:rsid w:val="00DA1987"/>
    <w:rsid w:val="00DA1B52"/>
    <w:rsid w:val="00DA3CF9"/>
    <w:rsid w:val="00DB6D42"/>
    <w:rsid w:val="00DC0996"/>
    <w:rsid w:val="00DC238C"/>
    <w:rsid w:val="00DC4D4B"/>
    <w:rsid w:val="00DC68DA"/>
    <w:rsid w:val="00DC6D78"/>
    <w:rsid w:val="00DD122F"/>
    <w:rsid w:val="00DD3E88"/>
    <w:rsid w:val="00DE084C"/>
    <w:rsid w:val="00DE12FF"/>
    <w:rsid w:val="00DE2A1E"/>
    <w:rsid w:val="00DF2254"/>
    <w:rsid w:val="00DF68CF"/>
    <w:rsid w:val="00E0497E"/>
    <w:rsid w:val="00E055AB"/>
    <w:rsid w:val="00E1244F"/>
    <w:rsid w:val="00E14F51"/>
    <w:rsid w:val="00E15A6C"/>
    <w:rsid w:val="00E1666D"/>
    <w:rsid w:val="00E221FA"/>
    <w:rsid w:val="00E3076E"/>
    <w:rsid w:val="00E357B7"/>
    <w:rsid w:val="00E410F8"/>
    <w:rsid w:val="00E42990"/>
    <w:rsid w:val="00E42E50"/>
    <w:rsid w:val="00E4584F"/>
    <w:rsid w:val="00E478AE"/>
    <w:rsid w:val="00E532A8"/>
    <w:rsid w:val="00E53800"/>
    <w:rsid w:val="00E6021C"/>
    <w:rsid w:val="00E6081F"/>
    <w:rsid w:val="00E614AA"/>
    <w:rsid w:val="00E624EC"/>
    <w:rsid w:val="00E70C37"/>
    <w:rsid w:val="00E70D86"/>
    <w:rsid w:val="00E8296D"/>
    <w:rsid w:val="00E8457B"/>
    <w:rsid w:val="00E944AA"/>
    <w:rsid w:val="00EA04B2"/>
    <w:rsid w:val="00EA0DA7"/>
    <w:rsid w:val="00EA20F3"/>
    <w:rsid w:val="00EA36D9"/>
    <w:rsid w:val="00EA4C75"/>
    <w:rsid w:val="00EB25FB"/>
    <w:rsid w:val="00EB4F7A"/>
    <w:rsid w:val="00EC608A"/>
    <w:rsid w:val="00EC6D38"/>
    <w:rsid w:val="00EC75F7"/>
    <w:rsid w:val="00EC76D9"/>
    <w:rsid w:val="00ED2831"/>
    <w:rsid w:val="00ED39A7"/>
    <w:rsid w:val="00ED3B2D"/>
    <w:rsid w:val="00ED43D1"/>
    <w:rsid w:val="00EE0466"/>
    <w:rsid w:val="00EE1CFF"/>
    <w:rsid w:val="00EE4EE1"/>
    <w:rsid w:val="00EF4574"/>
    <w:rsid w:val="00F01921"/>
    <w:rsid w:val="00F13373"/>
    <w:rsid w:val="00F258BF"/>
    <w:rsid w:val="00F25A93"/>
    <w:rsid w:val="00F2684E"/>
    <w:rsid w:val="00F27235"/>
    <w:rsid w:val="00F32F70"/>
    <w:rsid w:val="00F35C47"/>
    <w:rsid w:val="00F41BFB"/>
    <w:rsid w:val="00F45486"/>
    <w:rsid w:val="00F47942"/>
    <w:rsid w:val="00F53309"/>
    <w:rsid w:val="00F53E91"/>
    <w:rsid w:val="00F5404C"/>
    <w:rsid w:val="00F55791"/>
    <w:rsid w:val="00F628F0"/>
    <w:rsid w:val="00F650C7"/>
    <w:rsid w:val="00F65F53"/>
    <w:rsid w:val="00F67C6A"/>
    <w:rsid w:val="00F70504"/>
    <w:rsid w:val="00F729EF"/>
    <w:rsid w:val="00F746B7"/>
    <w:rsid w:val="00F760AE"/>
    <w:rsid w:val="00F77CAE"/>
    <w:rsid w:val="00F82271"/>
    <w:rsid w:val="00F83428"/>
    <w:rsid w:val="00F875A8"/>
    <w:rsid w:val="00F90B17"/>
    <w:rsid w:val="00F90B76"/>
    <w:rsid w:val="00F96BB9"/>
    <w:rsid w:val="00FA4D1A"/>
    <w:rsid w:val="00FA5EFD"/>
    <w:rsid w:val="00FB0CBE"/>
    <w:rsid w:val="00FB1F6D"/>
    <w:rsid w:val="00FB4B6D"/>
    <w:rsid w:val="00FB4E64"/>
    <w:rsid w:val="00FC1216"/>
    <w:rsid w:val="00FC50E6"/>
    <w:rsid w:val="00FC5365"/>
    <w:rsid w:val="00FD012E"/>
    <w:rsid w:val="00FD1850"/>
    <w:rsid w:val="00FD6DAD"/>
    <w:rsid w:val="00FD710F"/>
    <w:rsid w:val="00FE6D51"/>
    <w:rsid w:val="00FE6F2A"/>
    <w:rsid w:val="00FF2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D459C4"/>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573D01"/>
    <w:pPr>
      <w:outlineLvl w:val="2"/>
    </w:pPr>
    <w:rPr>
      <w:bCs/>
      <w:i/>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D459C4"/>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573D01"/>
    <w:rPr>
      <w:rFonts w:asciiTheme="majorHAnsi" w:eastAsiaTheme="majorEastAsia" w:hAnsiTheme="majorHAnsi" w:cstheme="majorBidi"/>
      <w:b/>
      <w:bCs/>
      <w:i/>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3816B3"/>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370302452">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13667</Characters>
  <Application>Microsoft Office Word</Application>
  <DocSecurity>0</DocSecurity>
  <Lines>249</Lines>
  <Paragraphs>116</Paragraphs>
  <ScaleCrop>false</ScaleCrop>
  <HeadingPairs>
    <vt:vector size="2" baseType="variant">
      <vt:variant>
        <vt:lpstr>Title</vt:lpstr>
      </vt:variant>
      <vt:variant>
        <vt:i4>1</vt:i4>
      </vt:variant>
    </vt:vector>
  </HeadingPairs>
  <TitlesOfParts>
    <vt:vector size="1" baseType="lpstr">
      <vt:lpstr>2020-21 Nauru Development Progarm Progress Report</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Nauru Development Program Progress Report</dc:title>
  <dc:subject/>
  <dc:creator/>
  <cp:keywords/>
  <cp:lastModifiedBy/>
  <cp:revision>1</cp:revision>
  <dcterms:created xsi:type="dcterms:W3CDTF">2021-11-24T05:12:00Z</dcterms:created>
  <dcterms:modified xsi:type="dcterms:W3CDTF">2021-11-24T05:54:00Z</dcterms:modified>
  <cp:category/>
</cp:coreProperties>
</file>