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27F92A4F" w:rsidR="00FA5EFD" w:rsidRDefault="002E500A" w:rsidP="00B37369">
      <w:pPr>
        <w:pStyle w:val="Heading1"/>
      </w:pPr>
      <w:r w:rsidRPr="002E500A">
        <w:t xml:space="preserve">2020-21 </w:t>
      </w:r>
      <w:r w:rsidR="00BD57FE">
        <w:t>Nepal</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1DC41973" w14:textId="136E8C6A" w:rsidR="002E2319" w:rsidRDefault="00CB32C8" w:rsidP="002E2319">
      <w:pPr>
        <w:rPr>
          <w:noProof/>
        </w:rPr>
      </w:pPr>
      <w:r w:rsidRPr="00CB32C8">
        <w:rPr>
          <w:noProof/>
        </w:rPr>
        <w:drawing>
          <wp:inline distT="0" distB="0" distL="0" distR="0" wp14:anchorId="0F3526E5" wp14:editId="56063017">
            <wp:extent cx="6696710" cy="2501900"/>
            <wp:effectExtent l="0" t="0" r="0" b="0"/>
            <wp:docPr id="1" name="Picture 1" descr="2020-21 Budget estimate. Total ODA $21.4 million. Bilateral program budget $9.1 million. Regional program budget $4.3 million. Global program budget $7.2 million. Other government departments budget $0.7 million.&#10;Our development program to Nepal contributes towards achieving the following Sustainable Development Goals: 1,4,5,8,9,10,11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21.4 million. Bilateral program budget $9.1 million. Regional program budget $4.3 million. Global program budget $7.2 million. Other government departments budget $0.7 million.&#10;Our development program to Nepal contributes towards achieving the following Sustainable Development Goals: 1,4,5,8,9,10,11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014"/>
                    <a:stretch/>
                  </pic:blipFill>
                  <pic:spPr bwMode="auto">
                    <a:xfrm>
                      <a:off x="0" y="0"/>
                      <a:ext cx="6696710" cy="250190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51315254" w:rsidR="00C84C30" w:rsidRPr="00297FD1" w:rsidRDefault="00C84C30" w:rsidP="008A6BB7">
      <w:pPr>
        <w:pStyle w:val="Heading2"/>
      </w:pPr>
      <w:r w:rsidRPr="00297FD1">
        <w:t xml:space="preserve">CONTEXT </w:t>
      </w:r>
    </w:p>
    <w:p w14:paraId="62BF2B44" w14:textId="271EB192" w:rsidR="00462910" w:rsidRPr="00EE0866" w:rsidRDefault="0080664F" w:rsidP="00D4279A">
      <w:bookmarkStart w:id="0" w:name="_Hlk81296054"/>
      <w:r>
        <w:t xml:space="preserve">Australia and Nepal have continued our longstanding </w:t>
      </w:r>
      <w:r w:rsidR="00FB40A5">
        <w:t xml:space="preserve">development </w:t>
      </w:r>
      <w:r>
        <w:t xml:space="preserve">partnership, supporting Nepal’s </w:t>
      </w:r>
      <w:r w:rsidR="00D94190">
        <w:t>COVID-19</w:t>
      </w:r>
      <w:r w:rsidR="009576D8">
        <w:t xml:space="preserve"> </w:t>
      </w:r>
      <w:r w:rsidR="00FB40A5">
        <w:t xml:space="preserve">response and longer-term recovery, as the pandemic </w:t>
      </w:r>
      <w:r w:rsidR="009576D8">
        <w:t>impact</w:t>
      </w:r>
      <w:r w:rsidR="00FB40A5">
        <w:t>ed</w:t>
      </w:r>
      <w:r w:rsidR="00521220">
        <w:t xml:space="preserve"> </w:t>
      </w:r>
      <w:r w:rsidR="009576D8">
        <w:t xml:space="preserve">health systems, </w:t>
      </w:r>
      <w:r w:rsidR="00BC1B69">
        <w:t>economic growth</w:t>
      </w:r>
      <w:r w:rsidR="00FB40A5">
        <w:t xml:space="preserve">, </w:t>
      </w:r>
      <w:r w:rsidR="00870740">
        <w:t>livelihoods</w:t>
      </w:r>
      <w:r w:rsidR="00FB40A5">
        <w:t xml:space="preserve"> and </w:t>
      </w:r>
      <w:r w:rsidR="001D31D3">
        <w:t>affected</w:t>
      </w:r>
      <w:r w:rsidR="00FB40A5">
        <w:t xml:space="preserve"> the humanitarian </w:t>
      </w:r>
      <w:r w:rsidR="001D31D3">
        <w:t>response</w:t>
      </w:r>
      <w:r w:rsidR="00FB40A5">
        <w:t xml:space="preserve"> </w:t>
      </w:r>
      <w:r w:rsidR="001D31D3">
        <w:t>to</w:t>
      </w:r>
      <w:r w:rsidR="00FB40A5">
        <w:t xml:space="preserve"> monsoon season</w:t>
      </w:r>
      <w:r w:rsidR="007078AA">
        <w:t xml:space="preserve">. </w:t>
      </w:r>
    </w:p>
    <w:bookmarkEnd w:id="0"/>
    <w:p w14:paraId="030180C5" w14:textId="56DEC9D6" w:rsidR="00462910" w:rsidRDefault="00D94190" w:rsidP="00D4279A">
      <w:r w:rsidRPr="00104A42">
        <w:rPr>
          <w:b/>
          <w:bCs/>
        </w:rPr>
        <w:t>The pandemic</w:t>
      </w:r>
      <w:r w:rsidR="006F2CD7" w:rsidRPr="00104A42">
        <w:rPr>
          <w:b/>
          <w:bCs/>
        </w:rPr>
        <w:t xml:space="preserve"> has placed significant strain on Nepal’s healthcare system</w:t>
      </w:r>
      <w:r w:rsidR="007078AA" w:rsidRPr="00EE0866">
        <w:t>.</w:t>
      </w:r>
      <w:r w:rsidR="007078AA">
        <w:t xml:space="preserve"> </w:t>
      </w:r>
      <w:r w:rsidR="00BB656F" w:rsidRPr="00104A42">
        <w:t>As of 1 August 2021</w:t>
      </w:r>
      <w:r w:rsidR="00CF7E2E" w:rsidRPr="00104A42">
        <w:t>,</w:t>
      </w:r>
      <w:r w:rsidR="00BB656F" w:rsidRPr="00104A42">
        <w:t xml:space="preserve"> Nepal ha</w:t>
      </w:r>
      <w:r w:rsidR="00FA5C79" w:rsidRPr="00104A42">
        <w:t>d</w:t>
      </w:r>
      <w:r w:rsidR="00BB656F" w:rsidRPr="00104A42">
        <w:t xml:space="preserve"> 699,649 </w:t>
      </w:r>
      <w:r w:rsidR="00CF7E2E" w:rsidRPr="00104A42">
        <w:t xml:space="preserve">cases of </w:t>
      </w:r>
      <w:r w:rsidR="00BB656F" w:rsidRPr="00104A42">
        <w:t xml:space="preserve">COVID-19, according to the </w:t>
      </w:r>
      <w:r w:rsidR="00B37369">
        <w:t>World Health Organisation (WHO)</w:t>
      </w:r>
      <w:r w:rsidR="007078AA" w:rsidRPr="00104A42">
        <w:t xml:space="preserve">. </w:t>
      </w:r>
      <w:r w:rsidR="00AB363F" w:rsidRPr="00104A42">
        <w:t>The second</w:t>
      </w:r>
      <w:r w:rsidR="00871CA5" w:rsidRPr="00104A42">
        <w:t>, more intensive</w:t>
      </w:r>
      <w:r w:rsidR="002C70D8" w:rsidRPr="00104A42">
        <w:t>,</w:t>
      </w:r>
      <w:r w:rsidR="00871CA5" w:rsidRPr="00104A42">
        <w:t xml:space="preserve"> </w:t>
      </w:r>
      <w:r w:rsidR="00AB363F" w:rsidRPr="00104A42">
        <w:t>wave of CO</w:t>
      </w:r>
      <w:r w:rsidR="00BB656F" w:rsidRPr="00104A42">
        <w:t>VI</w:t>
      </w:r>
      <w:r w:rsidR="00AB363F" w:rsidRPr="00104A42">
        <w:t>D-19</w:t>
      </w:r>
      <w:r w:rsidR="002B782F" w:rsidRPr="00104A42">
        <w:t xml:space="preserve"> </w:t>
      </w:r>
      <w:r w:rsidR="007321E2" w:rsidRPr="00104A42">
        <w:t>saw hospital system</w:t>
      </w:r>
      <w:r w:rsidR="00FA5C79" w:rsidRPr="00104A42">
        <w:t>s</w:t>
      </w:r>
      <w:r w:rsidR="007321E2" w:rsidRPr="00104A42">
        <w:t xml:space="preserve"> </w:t>
      </w:r>
      <w:r w:rsidR="00EC4A33" w:rsidRPr="00104A42">
        <w:t>exceed capacity</w:t>
      </w:r>
      <w:r w:rsidR="002B782F" w:rsidRPr="00104A42">
        <w:t xml:space="preserve">, with </w:t>
      </w:r>
      <w:r w:rsidR="004004CB" w:rsidRPr="00104A42">
        <w:t xml:space="preserve">shortages of </w:t>
      </w:r>
      <w:r w:rsidR="007321E2" w:rsidRPr="00104A42">
        <w:t xml:space="preserve">beds, </w:t>
      </w:r>
      <w:proofErr w:type="gramStart"/>
      <w:r w:rsidR="004004CB" w:rsidRPr="00104A42">
        <w:t>oxygen</w:t>
      </w:r>
      <w:proofErr w:type="gramEnd"/>
      <w:r w:rsidR="004004CB" w:rsidRPr="00104A42">
        <w:t xml:space="preserve"> and essential equipment</w:t>
      </w:r>
      <w:r w:rsidR="007078AA" w:rsidRPr="00104A42">
        <w:t xml:space="preserve">. </w:t>
      </w:r>
      <w:r w:rsidR="007321E2" w:rsidRPr="00104A42">
        <w:t>With donor support, t</w:t>
      </w:r>
      <w:r w:rsidR="002C02C6" w:rsidRPr="00104A42">
        <w:t xml:space="preserve">he Government of Nepal </w:t>
      </w:r>
      <w:r w:rsidR="007321E2" w:rsidRPr="00104A42">
        <w:t>(</w:t>
      </w:r>
      <w:proofErr w:type="spellStart"/>
      <w:r w:rsidR="007321E2" w:rsidRPr="00104A42">
        <w:t>GoN</w:t>
      </w:r>
      <w:proofErr w:type="spellEnd"/>
      <w:r w:rsidR="007321E2" w:rsidRPr="00104A42">
        <w:t xml:space="preserve">) </w:t>
      </w:r>
      <w:r w:rsidR="00CD765D" w:rsidRPr="00104A42">
        <w:t xml:space="preserve">worked rapidly to establish new health care </w:t>
      </w:r>
      <w:r w:rsidR="009F20FE" w:rsidRPr="00104A42">
        <w:t>facilities</w:t>
      </w:r>
      <w:r w:rsidR="00CD765D" w:rsidRPr="00104A42">
        <w:t xml:space="preserve"> for the treatment of COVID-19</w:t>
      </w:r>
      <w:r w:rsidR="007078AA" w:rsidRPr="00104A42">
        <w:t>.</w:t>
      </w:r>
      <w:r w:rsidR="007078AA">
        <w:t xml:space="preserve"> </w:t>
      </w:r>
    </w:p>
    <w:p w14:paraId="76DF0F4B" w14:textId="3E4104B3" w:rsidR="00D4279A" w:rsidRDefault="00D22ACB" w:rsidP="00D4279A">
      <w:r>
        <w:t>Nepal has commenced a national vaccination campaign, t</w:t>
      </w:r>
      <w:r w:rsidR="000D17CF">
        <w:t>hrough government procurement</w:t>
      </w:r>
      <w:r w:rsidR="00462910">
        <w:t>, grants</w:t>
      </w:r>
      <w:r w:rsidR="000D17CF">
        <w:t xml:space="preserve"> and </w:t>
      </w:r>
      <w:r w:rsidR="00871CA5">
        <w:t xml:space="preserve">international </w:t>
      </w:r>
      <w:r w:rsidR="000D17CF">
        <w:t>donations</w:t>
      </w:r>
      <w:r w:rsidR="00C73BF8">
        <w:t xml:space="preserve"> from </w:t>
      </w:r>
      <w:r w:rsidR="00D94190">
        <w:t xml:space="preserve">Australia and other partners, including the </w:t>
      </w:r>
      <w:r w:rsidR="00B37369">
        <w:t>United States</w:t>
      </w:r>
      <w:r w:rsidR="00D94190">
        <w:t xml:space="preserve">, </w:t>
      </w:r>
      <w:proofErr w:type="gramStart"/>
      <w:r w:rsidR="00C73BF8">
        <w:t>China</w:t>
      </w:r>
      <w:proofErr w:type="gramEnd"/>
      <w:r w:rsidR="00FA5C79">
        <w:t xml:space="preserve"> </w:t>
      </w:r>
      <w:r w:rsidR="00546479">
        <w:t>and India</w:t>
      </w:r>
      <w:r w:rsidR="007078AA">
        <w:t xml:space="preserve">. </w:t>
      </w:r>
      <w:r w:rsidRPr="00104A42">
        <w:rPr>
          <w:b/>
          <w:bCs/>
        </w:rPr>
        <w:t>According to WHO assessments</w:t>
      </w:r>
      <w:r w:rsidR="000D17CF" w:rsidRPr="00104A42">
        <w:rPr>
          <w:b/>
          <w:bCs/>
        </w:rPr>
        <w:t xml:space="preserve">, </w:t>
      </w:r>
      <w:r w:rsidR="00FA261F">
        <w:rPr>
          <w:b/>
          <w:bCs/>
        </w:rPr>
        <w:t>29.2</w:t>
      </w:r>
      <w:r w:rsidR="000D17CF" w:rsidRPr="00104A42">
        <w:rPr>
          <w:b/>
          <w:bCs/>
        </w:rPr>
        <w:t xml:space="preserve"> per cent of the population </w:t>
      </w:r>
      <w:r w:rsidRPr="00104A42">
        <w:rPr>
          <w:b/>
          <w:bCs/>
        </w:rPr>
        <w:t xml:space="preserve">were </w:t>
      </w:r>
      <w:r w:rsidR="000D17CF" w:rsidRPr="00104A42">
        <w:rPr>
          <w:b/>
          <w:bCs/>
        </w:rPr>
        <w:t xml:space="preserve">fully vaccinated as </w:t>
      </w:r>
      <w:r w:rsidR="00871CA5" w:rsidRPr="00104A42">
        <w:rPr>
          <w:b/>
          <w:bCs/>
        </w:rPr>
        <w:t>of</w:t>
      </w:r>
      <w:r w:rsidR="000D17CF" w:rsidRPr="00104A42">
        <w:rPr>
          <w:b/>
          <w:bCs/>
        </w:rPr>
        <w:t xml:space="preserve"> </w:t>
      </w:r>
      <w:r w:rsidR="00FA261F">
        <w:rPr>
          <w:b/>
          <w:bCs/>
        </w:rPr>
        <w:t>6 October</w:t>
      </w:r>
      <w:r w:rsidR="000D17CF" w:rsidRPr="00104A42">
        <w:rPr>
          <w:b/>
          <w:bCs/>
        </w:rPr>
        <w:t xml:space="preserve"> 202</w:t>
      </w:r>
      <w:r w:rsidR="007E0AEC" w:rsidRPr="00104A42">
        <w:rPr>
          <w:b/>
          <w:bCs/>
        </w:rPr>
        <w:t>1</w:t>
      </w:r>
      <w:r w:rsidR="007078AA">
        <w:t xml:space="preserve">. </w:t>
      </w:r>
      <w:bookmarkStart w:id="1" w:name="_Hlk80538466"/>
    </w:p>
    <w:p w14:paraId="0CEC467A" w14:textId="0F3E2F77" w:rsidR="00D4279A" w:rsidRPr="00104A42" w:rsidRDefault="00E3764D" w:rsidP="00D4279A">
      <w:r>
        <w:t>Political instability has had an impact on consistent leadership</w:t>
      </w:r>
      <w:r w:rsidR="008674A3">
        <w:t xml:space="preserve"> and management of</w:t>
      </w:r>
      <w:r w:rsidR="008674A3" w:rsidRPr="008674A3">
        <w:t xml:space="preserve"> </w:t>
      </w:r>
      <w:r w:rsidR="008674A3">
        <w:t>Nepal’s COVID-19 response</w:t>
      </w:r>
      <w:r w:rsidR="007078AA">
        <w:t xml:space="preserve">. </w:t>
      </w:r>
      <w:r w:rsidRPr="00104A42">
        <w:t>Nepal’s</w:t>
      </w:r>
      <w:r w:rsidR="002B782F" w:rsidRPr="00104A42">
        <w:t xml:space="preserve"> House of Representatives </w:t>
      </w:r>
      <w:r w:rsidRPr="00104A42">
        <w:t xml:space="preserve">was dissolved </w:t>
      </w:r>
      <w:r w:rsidR="00462910" w:rsidRPr="00104A42">
        <w:t xml:space="preserve">in </w:t>
      </w:r>
      <w:r w:rsidR="002B782F" w:rsidRPr="00104A42">
        <w:t>December 2020</w:t>
      </w:r>
      <w:r w:rsidR="00871CA5" w:rsidRPr="00104A42">
        <w:t xml:space="preserve"> and May 2021</w:t>
      </w:r>
      <w:r w:rsidRPr="00104A42">
        <w:t xml:space="preserve"> and </w:t>
      </w:r>
      <w:r w:rsidR="00462910" w:rsidRPr="00104A42">
        <w:t xml:space="preserve">subsequently </w:t>
      </w:r>
      <w:r w:rsidRPr="00104A42">
        <w:t>reinstated</w:t>
      </w:r>
      <w:r w:rsidR="007078AA" w:rsidRPr="00104A42">
        <w:t xml:space="preserve">. </w:t>
      </w:r>
      <w:r w:rsidR="007321E2" w:rsidRPr="00104A42">
        <w:t xml:space="preserve">A caretaker Prime Minister was </w:t>
      </w:r>
      <w:r w:rsidR="001F1F24" w:rsidRPr="00104A42">
        <w:t>installed</w:t>
      </w:r>
      <w:r w:rsidR="00462910" w:rsidRPr="00104A42">
        <w:t xml:space="preserve">, </w:t>
      </w:r>
      <w:r w:rsidR="008A6BFD" w:rsidRPr="00104A42">
        <w:t>with</w:t>
      </w:r>
      <w:r w:rsidR="007321E2" w:rsidRPr="00104A42">
        <w:t xml:space="preserve"> a</w:t>
      </w:r>
      <w:r w:rsidRPr="00104A42">
        <w:t xml:space="preserve"> </w:t>
      </w:r>
      <w:r w:rsidR="00871CA5" w:rsidRPr="00104A42">
        <w:t xml:space="preserve">new Prime Minister </w:t>
      </w:r>
      <w:r w:rsidRPr="00104A42">
        <w:t xml:space="preserve">appointed </w:t>
      </w:r>
      <w:r w:rsidR="00871CA5" w:rsidRPr="00104A42">
        <w:t>in July 2021</w:t>
      </w:r>
      <w:r w:rsidR="002B782F" w:rsidRPr="00104A42">
        <w:t>.</w:t>
      </w:r>
      <w:bookmarkEnd w:id="1"/>
      <w:r w:rsidR="00D4279A" w:rsidRPr="00104A42">
        <w:t xml:space="preserve"> </w:t>
      </w:r>
    </w:p>
    <w:p w14:paraId="6A2E17DE" w14:textId="50019058" w:rsidR="00D4279A" w:rsidRDefault="00FC1C2C" w:rsidP="00760066">
      <w:pPr>
        <w:tabs>
          <w:tab w:val="left" w:pos="1985"/>
        </w:tabs>
      </w:pPr>
      <w:r w:rsidRPr="00104A42">
        <w:t>E</w:t>
      </w:r>
      <w:r w:rsidR="007D5C49" w:rsidRPr="00104A42">
        <w:t xml:space="preserve">conomic </w:t>
      </w:r>
      <w:r w:rsidR="008C5479" w:rsidRPr="00104A42">
        <w:t xml:space="preserve">growth </w:t>
      </w:r>
      <w:r w:rsidR="00FF1C29" w:rsidRPr="00104A42">
        <w:t xml:space="preserve">has </w:t>
      </w:r>
      <w:r w:rsidR="00F20BA7">
        <w:t>shown a partial recovery</w:t>
      </w:r>
      <w:r w:rsidR="00FF1C29" w:rsidRPr="00104A42">
        <w:t xml:space="preserve">, with </w:t>
      </w:r>
      <w:r w:rsidR="00EE40AE">
        <w:t>the Asian Development Bank (ADB)</w:t>
      </w:r>
      <w:r w:rsidR="004A066B">
        <w:t xml:space="preserve"> </w:t>
      </w:r>
      <w:r w:rsidR="00EE40AE">
        <w:t>forecasting a</w:t>
      </w:r>
      <w:r w:rsidR="00FF1C29" w:rsidRPr="00104A42">
        <w:t xml:space="preserve"> growth rate of</w:t>
      </w:r>
      <w:r w:rsidRPr="00104A42">
        <w:t xml:space="preserve"> </w:t>
      </w:r>
      <w:r w:rsidR="00EE40AE">
        <w:t>2.3</w:t>
      </w:r>
      <w:r w:rsidRPr="00104A42">
        <w:t xml:space="preserve"> per cent in 2021, from a contraction of</w:t>
      </w:r>
      <w:r w:rsidR="00D45657">
        <w:t xml:space="preserve"> 2.1 </w:t>
      </w:r>
      <w:r w:rsidRPr="00104A42">
        <w:t>per cent in 2020</w:t>
      </w:r>
      <w:r w:rsidR="007078AA" w:rsidRPr="00104A42">
        <w:t xml:space="preserve">. </w:t>
      </w:r>
      <w:r w:rsidR="007E0AEC" w:rsidRPr="00104A42">
        <w:t>A</w:t>
      </w:r>
      <w:r w:rsidR="0014197D" w:rsidRPr="00104A42">
        <w:t xml:space="preserve"> fiscal deficit of </w:t>
      </w:r>
      <w:r w:rsidR="008F6012">
        <w:t>nine</w:t>
      </w:r>
      <w:r w:rsidR="007321E2" w:rsidRPr="00104A42">
        <w:t xml:space="preserve"> per cent</w:t>
      </w:r>
      <w:r w:rsidR="0014197D" w:rsidRPr="00104A42">
        <w:t xml:space="preserve"> of </w:t>
      </w:r>
      <w:r w:rsidR="00B248CA">
        <w:t>gross domestic product (</w:t>
      </w:r>
      <w:r w:rsidR="0014197D" w:rsidRPr="00104A42">
        <w:t>GDP</w:t>
      </w:r>
      <w:r w:rsidR="00B248CA">
        <w:t>)</w:t>
      </w:r>
      <w:r w:rsidR="0014197D" w:rsidRPr="00104A42">
        <w:t xml:space="preserve"> i</w:t>
      </w:r>
      <w:r w:rsidR="007E0AEC" w:rsidRPr="00104A42">
        <w:t>s forecast for</w:t>
      </w:r>
      <w:r w:rsidR="0014197D" w:rsidRPr="00104A42">
        <w:t xml:space="preserve"> 2021</w:t>
      </w:r>
      <w:r w:rsidR="007E0AEC" w:rsidRPr="00104A42">
        <w:t>,</w:t>
      </w:r>
      <w:r w:rsidR="0014197D" w:rsidRPr="00104A42">
        <w:t xml:space="preserve"> </w:t>
      </w:r>
      <w:r w:rsidRPr="00104A42">
        <w:t xml:space="preserve">according to the </w:t>
      </w:r>
      <w:r w:rsidR="00EE40AE">
        <w:t>ADB</w:t>
      </w:r>
      <w:r w:rsidR="007078AA" w:rsidRPr="00104A42">
        <w:t xml:space="preserve">. </w:t>
      </w:r>
      <w:r w:rsidR="00D22ACB" w:rsidRPr="00104A42">
        <w:t>Remittance inflows increased during this period, d</w:t>
      </w:r>
      <w:r w:rsidR="00E01F23" w:rsidRPr="00104A42">
        <w:t xml:space="preserve">espite forecasts of a significant drop in remittance earnings </w:t>
      </w:r>
      <w:r w:rsidR="008A6BFD" w:rsidRPr="00104A42">
        <w:t>(</w:t>
      </w:r>
      <w:r w:rsidR="002A137B" w:rsidRPr="00104A42">
        <w:t xml:space="preserve">a key contributor to </w:t>
      </w:r>
      <w:r w:rsidR="008F6012">
        <w:t>GDP</w:t>
      </w:r>
      <w:r w:rsidR="008A6BFD" w:rsidRPr="00104A42">
        <w:t>,</w:t>
      </w:r>
      <w:r w:rsidR="007321E2" w:rsidRPr="00104A42">
        <w:t xml:space="preserve"> </w:t>
      </w:r>
      <w:r w:rsidR="002A137B" w:rsidRPr="00104A42">
        <w:t>accounting for 24.1 per cent of GDP in 2020</w:t>
      </w:r>
      <w:r w:rsidR="00462910" w:rsidRPr="00104A42">
        <w:t xml:space="preserve"> according to the</w:t>
      </w:r>
      <w:r w:rsidR="002A137B" w:rsidRPr="00104A42">
        <w:t xml:space="preserve"> World Bank</w:t>
      </w:r>
      <w:r w:rsidR="007321E2" w:rsidRPr="00104A42">
        <w:t>)</w:t>
      </w:r>
      <w:r w:rsidR="007078AA" w:rsidRPr="00104A42">
        <w:t xml:space="preserve">. </w:t>
      </w:r>
      <w:r w:rsidR="007E0AEC" w:rsidRPr="00104A42">
        <w:t>However, COVID-19 has resulted in job losses with 44.6 per cent of households in Nepal reporting reduced incomes as of June 2021, according to World Food Programme (WFP) analysis</w:t>
      </w:r>
      <w:r w:rsidR="007078AA">
        <w:t xml:space="preserve">. </w:t>
      </w:r>
    </w:p>
    <w:p w14:paraId="58FF75EB" w14:textId="5223060C" w:rsidR="00A77131" w:rsidRPr="00760066" w:rsidRDefault="00D4279A" w:rsidP="00A77131">
      <w:r w:rsidRPr="00760066">
        <w:t>T</w:t>
      </w:r>
      <w:r w:rsidR="00681A92" w:rsidRPr="00760066">
        <w:t xml:space="preserve">he </w:t>
      </w:r>
      <w:r w:rsidR="00681A92" w:rsidRPr="00104A42">
        <w:rPr>
          <w:b/>
          <w:bCs/>
        </w:rPr>
        <w:t>economic growth rate for 2022 is projected to be</w:t>
      </w:r>
      <w:r w:rsidR="006C63A4" w:rsidRPr="00104A42">
        <w:rPr>
          <w:b/>
          <w:bCs/>
        </w:rPr>
        <w:t xml:space="preserve"> </w:t>
      </w:r>
      <w:r w:rsidR="00FC1C2C" w:rsidRPr="00104A42">
        <w:rPr>
          <w:b/>
          <w:bCs/>
        </w:rPr>
        <w:t>5.1 per cent</w:t>
      </w:r>
      <w:r w:rsidR="007078AA">
        <w:t xml:space="preserve">. </w:t>
      </w:r>
      <w:r w:rsidR="007E0AEC">
        <w:t>This remains</w:t>
      </w:r>
      <w:r w:rsidR="00045D04" w:rsidRPr="00760066">
        <w:t xml:space="preserve"> </w:t>
      </w:r>
      <w:r w:rsidR="00045D04" w:rsidRPr="00104A42">
        <w:rPr>
          <w:b/>
          <w:bCs/>
        </w:rPr>
        <w:t>subject to</w:t>
      </w:r>
      <w:r w:rsidR="00CF7E2E" w:rsidRPr="00104A42">
        <w:rPr>
          <w:b/>
          <w:bCs/>
        </w:rPr>
        <w:t xml:space="preserve"> economic</w:t>
      </w:r>
      <w:r w:rsidR="00BB656F" w:rsidRPr="00104A42">
        <w:rPr>
          <w:b/>
          <w:bCs/>
        </w:rPr>
        <w:t xml:space="preserve"> </w:t>
      </w:r>
      <w:r w:rsidR="001C2274" w:rsidRPr="00104A42">
        <w:rPr>
          <w:b/>
          <w:bCs/>
        </w:rPr>
        <w:t>recovery in India</w:t>
      </w:r>
      <w:r w:rsidR="001C2274" w:rsidRPr="00760066">
        <w:t>, a key trading partner</w:t>
      </w:r>
      <w:r w:rsidR="00045D04" w:rsidRPr="00760066">
        <w:t>, a</w:t>
      </w:r>
      <w:r w:rsidR="001C2274" w:rsidRPr="00760066">
        <w:t xml:space="preserve">s well as </w:t>
      </w:r>
      <w:r w:rsidR="00BB656F" w:rsidRPr="00760066">
        <w:t xml:space="preserve">global recovery </w:t>
      </w:r>
      <w:r w:rsidR="001C2274" w:rsidRPr="00760066">
        <w:t>to drive</w:t>
      </w:r>
      <w:r w:rsidR="00BB656F" w:rsidRPr="00760066">
        <w:t xml:space="preserve"> export earnings</w:t>
      </w:r>
      <w:r w:rsidR="001C2274" w:rsidRPr="00760066">
        <w:t xml:space="preserve"> and overseas employment</w:t>
      </w:r>
      <w:r w:rsidR="002A137B" w:rsidRPr="00760066">
        <w:t>.</w:t>
      </w:r>
      <w:r w:rsidR="00FC1C2C" w:rsidRPr="00760066">
        <w:t xml:space="preserve"> </w:t>
      </w:r>
    </w:p>
    <w:p w14:paraId="611438EC" w14:textId="4662582C" w:rsidR="00A77131" w:rsidRDefault="00D94190" w:rsidP="00D4279A">
      <w:r>
        <w:t>COV</w:t>
      </w:r>
      <w:r w:rsidR="002E6D8A">
        <w:t>I</w:t>
      </w:r>
      <w:r>
        <w:t xml:space="preserve">D-19 created additional challenges in </w:t>
      </w:r>
      <w:r w:rsidR="00F20BA7">
        <w:t>responding to</w:t>
      </w:r>
      <w:r>
        <w:t xml:space="preserve"> this year’s mons</w:t>
      </w:r>
      <w:r w:rsidR="005D6B91">
        <w:t>oo</w:t>
      </w:r>
      <w:r>
        <w:t>n</w:t>
      </w:r>
      <w:r w:rsidR="007078AA">
        <w:t xml:space="preserve">. </w:t>
      </w:r>
      <w:r w:rsidR="005D6B91">
        <w:t>COVID-19 infections among frontline workers</w:t>
      </w:r>
      <w:r w:rsidR="005E743A">
        <w:t xml:space="preserve"> and </w:t>
      </w:r>
      <w:r w:rsidR="005D6B91">
        <w:t xml:space="preserve">healthcare </w:t>
      </w:r>
      <w:r w:rsidR="002E6D8A">
        <w:t>staff</w:t>
      </w:r>
      <w:r w:rsidR="005D6B91">
        <w:t xml:space="preserve"> </w:t>
      </w:r>
      <w:r w:rsidR="002E6D8A" w:rsidRPr="00104A42">
        <w:rPr>
          <w:b/>
          <w:bCs/>
        </w:rPr>
        <w:t>impacted</w:t>
      </w:r>
      <w:r w:rsidR="005D6B91" w:rsidRPr="00104A42">
        <w:rPr>
          <w:b/>
          <w:bCs/>
        </w:rPr>
        <w:t xml:space="preserve"> the delivery of essential services to monsoon-affected communities</w:t>
      </w:r>
      <w:r w:rsidR="005D6B91">
        <w:t xml:space="preserve">, and </w:t>
      </w:r>
      <w:r w:rsidR="008674A3">
        <w:t xml:space="preserve">the </w:t>
      </w:r>
      <w:r w:rsidR="005D6B91">
        <w:t>use of public buildings to shelter</w:t>
      </w:r>
      <w:r w:rsidR="008200D5">
        <w:t xml:space="preserve"> displaced families</w:t>
      </w:r>
      <w:r w:rsidR="005E743A">
        <w:t xml:space="preserve"> was complicated by</w:t>
      </w:r>
      <w:r w:rsidR="005E743A" w:rsidRPr="005E743A">
        <w:t xml:space="preserve"> </w:t>
      </w:r>
      <w:r w:rsidR="005E743A">
        <w:t>transmission risks</w:t>
      </w:r>
      <w:r w:rsidR="008200D5">
        <w:t>.</w:t>
      </w:r>
    </w:p>
    <w:p w14:paraId="22900C6A" w14:textId="4D4EBE14" w:rsidR="00EC608A" w:rsidRDefault="00FC1216" w:rsidP="008A6BB7">
      <w:pPr>
        <w:pStyle w:val="Heading2"/>
      </w:pPr>
      <w:r w:rsidRPr="00FC1216">
        <w:lastRenderedPageBreak/>
        <w:t>AUSTRALIA’S RESPONS</w:t>
      </w:r>
      <w:r w:rsidR="00193C49">
        <w:t xml:space="preserve">E </w:t>
      </w:r>
      <w:r w:rsidR="00A46B28">
        <w:t>and</w:t>
      </w:r>
      <w:r w:rsidR="00193C49">
        <w:t xml:space="preserve"> PROGRAM HIGHLIGHTS</w:t>
      </w:r>
    </w:p>
    <w:p w14:paraId="60DEE27A" w14:textId="308C48DA" w:rsidR="002B02F0" w:rsidRPr="002B02F0" w:rsidRDefault="002B02F0" w:rsidP="002B02F0">
      <w:r w:rsidRPr="2C54E8EB">
        <w:rPr>
          <w:rFonts w:ascii="Calibri Light" w:eastAsia="Calibri Light" w:hAnsi="Calibri Light" w:cs="Calibri Light"/>
        </w:rPr>
        <w:t xml:space="preserve">Australia's development program continues to align with government priorities and deliver across the pillars of the </w:t>
      </w:r>
      <w:r w:rsidRPr="2C54E8EB">
        <w:rPr>
          <w:rFonts w:ascii="Calibri Light" w:eastAsia="Calibri Light" w:hAnsi="Calibri Light" w:cs="Calibri Light"/>
          <w:i/>
          <w:iCs/>
        </w:rPr>
        <w:t>Partnerships for Recovery</w:t>
      </w:r>
      <w:r w:rsidRPr="2C54E8EB">
        <w:rPr>
          <w:rFonts w:ascii="Calibri Light" w:eastAsia="Calibri Light" w:hAnsi="Calibri Light" w:cs="Calibri Light"/>
        </w:rPr>
        <w:t xml:space="preserve"> framework</w:t>
      </w:r>
      <w:r w:rsidRPr="00B2184D">
        <w:rPr>
          <w:rFonts w:ascii="Calibri Light" w:eastAsia="Calibri Light" w:hAnsi="Calibri Light" w:cs="Calibri Light"/>
        </w:rPr>
        <w:t>.</w:t>
      </w:r>
      <w:r w:rsidR="00B2184D" w:rsidRPr="00B2184D">
        <w:rPr>
          <w:rFonts w:ascii="Calibri Light" w:eastAsia="Calibri Light" w:hAnsi="Calibri Light" w:cs="Calibri Light"/>
        </w:rPr>
        <w:t xml:space="preserve"> </w:t>
      </w:r>
      <w:r w:rsidR="00B2184D" w:rsidRPr="00B2184D">
        <w:rPr>
          <w:rFonts w:eastAsia="Times New Roman"/>
        </w:rPr>
        <w:t>In a challenging environment, our investments have made satisfactory progress with only two investments showing a decline in effectiveness</w:t>
      </w:r>
      <w:r w:rsidR="00B318A8">
        <w:rPr>
          <w:rFonts w:eastAsia="Times New Roman"/>
        </w:rPr>
        <w:t xml:space="preserve"> </w:t>
      </w:r>
      <w:r w:rsidR="002778E3">
        <w:rPr>
          <w:rFonts w:eastAsia="Times New Roman"/>
        </w:rPr>
        <w:t>in</w:t>
      </w:r>
      <w:r w:rsidR="00B318A8">
        <w:rPr>
          <w:rFonts w:eastAsia="Times New Roman"/>
        </w:rPr>
        <w:t xml:space="preserve"> the reporting period</w:t>
      </w:r>
      <w:r w:rsidR="00B2184D">
        <w:rPr>
          <w:rFonts w:eastAsia="Times New Roman"/>
          <w:i/>
          <w:iCs/>
        </w:rPr>
        <w:t>.</w:t>
      </w:r>
    </w:p>
    <w:p w14:paraId="79BE876C" w14:textId="68208608" w:rsidR="00297FD1" w:rsidRPr="00216C55" w:rsidRDefault="00297FD1" w:rsidP="008D4FEF">
      <w:pPr>
        <w:pStyle w:val="Heading3"/>
      </w:pPr>
      <w:r w:rsidRPr="00216C55">
        <w:t>Health Security</w:t>
      </w:r>
    </w:p>
    <w:p w14:paraId="5A81304C" w14:textId="0A90ECF9" w:rsidR="0013345C" w:rsidRDefault="001B7ADF" w:rsidP="00D4279A">
      <w:r>
        <w:t xml:space="preserve">Australia is </w:t>
      </w:r>
      <w:r w:rsidR="0013345C">
        <w:t xml:space="preserve">continuing </w:t>
      </w:r>
      <w:r w:rsidR="00045D04">
        <w:t>to support Nepal’s</w:t>
      </w:r>
      <w:r>
        <w:t xml:space="preserve"> immediate health </w:t>
      </w:r>
      <w:r w:rsidR="002C70D8">
        <w:t xml:space="preserve">security </w:t>
      </w:r>
      <w:r>
        <w:t>needs, with a focus on</w:t>
      </w:r>
      <w:r w:rsidR="0011225F">
        <w:t xml:space="preserve"> supporting frontline health workers </w:t>
      </w:r>
      <w:r w:rsidR="00092F2E">
        <w:t>as well as</w:t>
      </w:r>
      <w:r w:rsidR="00DF54E2">
        <w:t xml:space="preserve"> the needs of</w:t>
      </w:r>
      <w:r>
        <w:t xml:space="preserve"> vulnerable communities, women, people with disabilities and traditionally marginalised groups</w:t>
      </w:r>
      <w:r w:rsidR="007078AA">
        <w:t xml:space="preserve">. </w:t>
      </w:r>
    </w:p>
    <w:p w14:paraId="691D9F66" w14:textId="5F9D870F" w:rsidR="00EE0866" w:rsidRPr="00104A42" w:rsidRDefault="00EE0866" w:rsidP="00EE0866">
      <w:r>
        <w:t xml:space="preserve">In 2021, </w:t>
      </w:r>
      <w:r w:rsidRPr="00104A42">
        <w:rPr>
          <w:b/>
          <w:bCs/>
        </w:rPr>
        <w:t>Australia increased support to</w:t>
      </w:r>
      <w:r>
        <w:t xml:space="preserve"> </w:t>
      </w:r>
      <w:r w:rsidRPr="00104A42">
        <w:rPr>
          <w:b/>
          <w:bCs/>
        </w:rPr>
        <w:t xml:space="preserve">Nepal’s COVID-19 response through a new emergency funding package of </w:t>
      </w:r>
      <w:r w:rsidR="006C6876">
        <w:rPr>
          <w:b/>
          <w:bCs/>
        </w:rPr>
        <w:br/>
      </w:r>
      <w:r w:rsidRPr="00104A42">
        <w:rPr>
          <w:b/>
          <w:bCs/>
        </w:rPr>
        <w:t>$7 million</w:t>
      </w:r>
      <w:r w:rsidR="00B37369">
        <w:t xml:space="preserve">. </w:t>
      </w:r>
      <w:r>
        <w:t xml:space="preserve">This support was directed through established, on-the-ground, </w:t>
      </w:r>
      <w:r w:rsidR="008F6012">
        <w:t>non-government organisation (NGO)</w:t>
      </w:r>
      <w:r>
        <w:t xml:space="preserve"> partners, to ensure the greatest immediate impact to local communities</w:t>
      </w:r>
      <w:r w:rsidR="00B37369">
        <w:t xml:space="preserve">. </w:t>
      </w:r>
      <w:r>
        <w:t xml:space="preserve">These new initiatives </w:t>
      </w:r>
      <w:r w:rsidRPr="00104A42">
        <w:t>worked with hospitals and healthcare facilities to support health system capacity with the provision of essential medical equipment and supplies, including oxygen plants, as well as training to frontline health workers</w:t>
      </w:r>
      <w:r w:rsidR="00B37369">
        <w:t xml:space="preserve">. </w:t>
      </w:r>
      <w:r w:rsidRPr="00104A42">
        <w:t xml:space="preserve">  </w:t>
      </w:r>
    </w:p>
    <w:p w14:paraId="2C1AB135" w14:textId="10D39D87" w:rsidR="00EE0866" w:rsidRDefault="00EE0866" w:rsidP="00EE0866">
      <w:r>
        <w:t xml:space="preserve">At the request of </w:t>
      </w:r>
      <w:proofErr w:type="spellStart"/>
      <w:r>
        <w:t>GoN</w:t>
      </w:r>
      <w:proofErr w:type="spellEnd"/>
      <w:r>
        <w:t xml:space="preserve">, </w:t>
      </w:r>
      <w:r w:rsidRPr="00104A42">
        <w:rPr>
          <w:b/>
          <w:bCs/>
        </w:rPr>
        <w:t xml:space="preserve">Australia provided an emergency shipment of </w:t>
      </w:r>
      <w:r w:rsidR="008F6012">
        <w:rPr>
          <w:b/>
          <w:bCs/>
        </w:rPr>
        <w:t>personal protective equipment (PPE</w:t>
      </w:r>
      <w:r w:rsidR="008F6012" w:rsidRPr="002778E3">
        <w:t>)</w:t>
      </w:r>
      <w:r w:rsidR="00B318A8" w:rsidRPr="002778E3">
        <w:t xml:space="preserve"> </w:t>
      </w:r>
      <w:r w:rsidR="002778E3">
        <w:t>in</w:t>
      </w:r>
      <w:r w:rsidR="00B318A8" w:rsidRPr="002778E3">
        <w:t xml:space="preserve"> the reporting period</w:t>
      </w:r>
      <w:r w:rsidRPr="00104A42">
        <w:t>, through a Royal Australian Air Force flight</w:t>
      </w:r>
      <w:r>
        <w:t xml:space="preserve"> to the region, to assist those working in the frontline of Nepal’s COVID-19 response</w:t>
      </w:r>
      <w:r w:rsidR="00B37369">
        <w:t xml:space="preserve">. </w:t>
      </w:r>
      <w:r>
        <w:t xml:space="preserve">In partnership with the WFP, </w:t>
      </w:r>
      <w:r w:rsidR="0063378E">
        <w:t>A</w:t>
      </w:r>
      <w:r>
        <w:t xml:space="preserve">ustralia supported the coordination, </w:t>
      </w:r>
      <w:proofErr w:type="gramStart"/>
      <w:r>
        <w:t>storage</w:t>
      </w:r>
      <w:proofErr w:type="gramEnd"/>
      <w:r>
        <w:t xml:space="preserve"> and targeted distribution of relief supplies across federal and provincial levels</w:t>
      </w:r>
      <w:r w:rsidR="00B37369">
        <w:t xml:space="preserve">. </w:t>
      </w:r>
      <w:r>
        <w:t xml:space="preserve">Australia has also supported the expansion of </w:t>
      </w:r>
      <w:r w:rsidRPr="00104A42">
        <w:rPr>
          <w:rFonts w:ascii="Calibri Light" w:eastAsia="Calibri Light" w:hAnsi="Calibri Light" w:cs="Times New Roman"/>
          <w:color w:val="495965"/>
        </w:rPr>
        <w:t>COVID-19 vaccine coverage in Nepal through our $130 million contribution to the</w:t>
      </w:r>
      <w:r w:rsidR="008F6012" w:rsidRPr="008F6012">
        <w:t xml:space="preserve"> </w:t>
      </w:r>
      <w:r w:rsidR="008F6012" w:rsidRPr="008F6012">
        <w:rPr>
          <w:rFonts w:ascii="Calibri Light" w:eastAsia="Calibri Light" w:hAnsi="Calibri Light" w:cs="Times New Roman"/>
          <w:color w:val="495965"/>
        </w:rPr>
        <w:t>COVID-19 Vaccines Global Access</w:t>
      </w:r>
      <w:r w:rsidRPr="00104A42">
        <w:rPr>
          <w:rFonts w:ascii="Calibri Light" w:eastAsia="Calibri Light" w:hAnsi="Calibri Light" w:cs="Times New Roman"/>
          <w:color w:val="495965"/>
        </w:rPr>
        <w:t xml:space="preserve"> </w:t>
      </w:r>
      <w:r w:rsidR="008F6012">
        <w:rPr>
          <w:rFonts w:ascii="Calibri Light" w:eastAsia="Calibri Light" w:hAnsi="Calibri Light" w:cs="Times New Roman"/>
          <w:color w:val="495965"/>
        </w:rPr>
        <w:t>(</w:t>
      </w:r>
      <w:r w:rsidRPr="00104A42">
        <w:rPr>
          <w:rFonts w:ascii="Calibri Light" w:eastAsia="Calibri Light" w:hAnsi="Calibri Light" w:cs="Times New Roman"/>
          <w:color w:val="495965"/>
        </w:rPr>
        <w:t>COVAX</w:t>
      </w:r>
      <w:r w:rsidR="008F6012">
        <w:rPr>
          <w:rFonts w:ascii="Calibri Light" w:eastAsia="Calibri Light" w:hAnsi="Calibri Light" w:cs="Times New Roman"/>
          <w:color w:val="495965"/>
        </w:rPr>
        <w:t>)</w:t>
      </w:r>
      <w:r w:rsidRPr="00104A42">
        <w:rPr>
          <w:rFonts w:ascii="Calibri Light" w:eastAsia="Calibri Light" w:hAnsi="Calibri Light" w:cs="Times New Roman"/>
          <w:color w:val="495965"/>
        </w:rPr>
        <w:t xml:space="preserve"> </w:t>
      </w:r>
      <w:r w:rsidRPr="00104A42">
        <w:t>Advance Market Commitment. </w:t>
      </w:r>
      <w:proofErr w:type="gramStart"/>
      <w:r w:rsidRPr="00104A42">
        <w:t>At</w:t>
      </w:r>
      <w:proofErr w:type="gramEnd"/>
      <w:r w:rsidRPr="00104A42">
        <w:t xml:space="preserve"> 30 June</w:t>
      </w:r>
      <w:r w:rsidR="00B318A8">
        <w:t xml:space="preserve"> 2021</w:t>
      </w:r>
      <w:r w:rsidRPr="00104A42">
        <w:t>, this global mechanism had delivered 348,000 COVID-19 vaccine doses to Nepal</w:t>
      </w:r>
      <w:r>
        <w:t xml:space="preserve">. </w:t>
      </w:r>
    </w:p>
    <w:p w14:paraId="69709539" w14:textId="670B6E1C" w:rsidR="00EC1E26" w:rsidRDefault="00BB0A73" w:rsidP="00BB0A73">
      <w:r>
        <w:t>To support Nepal’s rapid</w:t>
      </w:r>
      <w:r w:rsidR="00083CC3">
        <w:t>ly</w:t>
      </w:r>
      <w:r>
        <w:t xml:space="preserve"> establish</w:t>
      </w:r>
      <w:r w:rsidR="00083CC3">
        <w:t>ed</w:t>
      </w:r>
      <w:r>
        <w:t xml:space="preserve"> new healthcare facilities, </w:t>
      </w:r>
      <w:r w:rsidRPr="00104A42">
        <w:rPr>
          <w:b/>
          <w:bCs/>
        </w:rPr>
        <w:t xml:space="preserve">our Subnational Governance </w:t>
      </w:r>
      <w:r w:rsidR="0063378E">
        <w:rPr>
          <w:b/>
          <w:bCs/>
        </w:rPr>
        <w:t>P</w:t>
      </w:r>
      <w:r w:rsidRPr="00104A42">
        <w:rPr>
          <w:b/>
          <w:bCs/>
        </w:rPr>
        <w:t xml:space="preserve">rogram </w:t>
      </w:r>
      <w:r w:rsidR="000B6F4B" w:rsidRPr="00104A42">
        <w:rPr>
          <w:b/>
          <w:bCs/>
        </w:rPr>
        <w:t xml:space="preserve">(SNGP) </w:t>
      </w:r>
      <w:r w:rsidRPr="00104A42">
        <w:rPr>
          <w:b/>
          <w:bCs/>
        </w:rPr>
        <w:t xml:space="preserve">with </w:t>
      </w:r>
      <w:r w:rsidR="00603743" w:rsidRPr="00104A42">
        <w:rPr>
          <w:b/>
          <w:bCs/>
        </w:rPr>
        <w:br/>
      </w:r>
      <w:r w:rsidRPr="00104A42">
        <w:rPr>
          <w:b/>
          <w:bCs/>
        </w:rPr>
        <w:t xml:space="preserve">The Asia Foundation </w:t>
      </w:r>
      <w:r w:rsidR="000B6F4B" w:rsidRPr="00104A42">
        <w:rPr>
          <w:b/>
          <w:bCs/>
        </w:rPr>
        <w:t xml:space="preserve">(TAF) </w:t>
      </w:r>
      <w:r w:rsidR="00EC1E26" w:rsidRPr="00104A42">
        <w:rPr>
          <w:b/>
          <w:bCs/>
        </w:rPr>
        <w:t>work</w:t>
      </w:r>
      <w:r w:rsidR="00083CC3" w:rsidRPr="00104A42">
        <w:rPr>
          <w:b/>
          <w:bCs/>
        </w:rPr>
        <w:t>ed</w:t>
      </w:r>
      <w:r w:rsidR="00EC1E26" w:rsidRPr="00104A42">
        <w:rPr>
          <w:b/>
          <w:bCs/>
        </w:rPr>
        <w:t xml:space="preserve"> with health care providers to facilitate the</w:t>
      </w:r>
      <w:r w:rsidRPr="00104A42">
        <w:rPr>
          <w:b/>
          <w:bCs/>
        </w:rPr>
        <w:t xml:space="preserve"> </w:t>
      </w:r>
      <w:r w:rsidR="000B6F4B" w:rsidRPr="00104A42">
        <w:rPr>
          <w:b/>
          <w:bCs/>
        </w:rPr>
        <w:t>develop</w:t>
      </w:r>
      <w:r w:rsidR="00EC1E26" w:rsidRPr="00104A42">
        <w:rPr>
          <w:b/>
          <w:bCs/>
        </w:rPr>
        <w:t>ment of</w:t>
      </w:r>
      <w:r w:rsidRPr="00104A42">
        <w:rPr>
          <w:b/>
          <w:bCs/>
        </w:rPr>
        <w:t xml:space="preserve"> hospital management policies and ambulance procedures</w:t>
      </w:r>
      <w:r w:rsidR="007078AA">
        <w:t xml:space="preserve">. </w:t>
      </w:r>
      <w:r w:rsidR="00D45657">
        <w:t>The program is also</w:t>
      </w:r>
      <w:r w:rsidR="00EC1E26">
        <w:t xml:space="preserve"> working</w:t>
      </w:r>
      <w:r>
        <w:t xml:space="preserve"> with local governments</w:t>
      </w:r>
      <w:r w:rsidR="00BC64FB">
        <w:t xml:space="preserve"> to</w:t>
      </w:r>
      <w:r>
        <w:t xml:space="preserve"> </w:t>
      </w:r>
      <w:r w:rsidR="000B6F4B">
        <w:t>develop</w:t>
      </w:r>
      <w:r>
        <w:t xml:space="preserve"> guidelines and standards for the operation, establishment and upgrading of public and private health facilities</w:t>
      </w:r>
      <w:r w:rsidR="007078AA">
        <w:t xml:space="preserve">. </w:t>
      </w:r>
    </w:p>
    <w:p w14:paraId="76AAF93E" w14:textId="09EFE771" w:rsidR="00BB0A73" w:rsidRDefault="00EC1E26" w:rsidP="00BB0A73">
      <w:r>
        <w:t xml:space="preserve">To counter disinformation and increase public awareness of infection control measures, </w:t>
      </w:r>
      <w:r w:rsidRPr="00104A42">
        <w:rPr>
          <w:b/>
          <w:bCs/>
        </w:rPr>
        <w:t>w</w:t>
      </w:r>
      <w:r w:rsidR="00BB0A73" w:rsidRPr="00104A42">
        <w:rPr>
          <w:b/>
          <w:bCs/>
        </w:rPr>
        <w:t xml:space="preserve">e supported public health messaging </w:t>
      </w:r>
      <w:r w:rsidR="000B6F4B" w:rsidRPr="00104A42">
        <w:rPr>
          <w:b/>
          <w:bCs/>
        </w:rPr>
        <w:t xml:space="preserve">to over 8.8 million people </w:t>
      </w:r>
      <w:r w:rsidR="00BB0A73" w:rsidRPr="00104A42">
        <w:t xml:space="preserve">using print, </w:t>
      </w:r>
      <w:proofErr w:type="gramStart"/>
      <w:r w:rsidR="00BB0A73" w:rsidRPr="00104A42">
        <w:t>radio</w:t>
      </w:r>
      <w:proofErr w:type="gramEnd"/>
      <w:r w:rsidR="00BB0A73" w:rsidRPr="00104A42">
        <w:t xml:space="preserve"> and online programs,</w:t>
      </w:r>
      <w:r w:rsidR="00BB0A73">
        <w:t xml:space="preserve"> in various local languages,</w:t>
      </w:r>
      <w:r>
        <w:t xml:space="preserve"> in</w:t>
      </w:r>
      <w:r w:rsidR="00BB0A73">
        <w:t xml:space="preserve"> </w:t>
      </w:r>
      <w:r w:rsidR="000B6F4B">
        <w:t>partner</w:t>
      </w:r>
      <w:r>
        <w:t>ship</w:t>
      </w:r>
      <w:r w:rsidR="000B6F4B">
        <w:t xml:space="preserve"> </w:t>
      </w:r>
      <w:r w:rsidR="00BB0A73">
        <w:t>with health experts and civil society</w:t>
      </w:r>
      <w:r>
        <w:t>.</w:t>
      </w:r>
      <w:r w:rsidR="00BB0A73">
        <w:t xml:space="preserve"> </w:t>
      </w:r>
    </w:p>
    <w:p w14:paraId="16CF6D68" w14:textId="214EFEB7" w:rsidR="0011225F" w:rsidRDefault="00EC1E26" w:rsidP="00D4279A">
      <w:r w:rsidRPr="00104A42">
        <w:rPr>
          <w:b/>
          <w:bCs/>
        </w:rPr>
        <w:t>W</w:t>
      </w:r>
      <w:r w:rsidR="00465ABC" w:rsidRPr="00104A42">
        <w:rPr>
          <w:b/>
          <w:bCs/>
        </w:rPr>
        <w:t xml:space="preserve">e </w:t>
      </w:r>
      <w:r w:rsidR="000B6F4B" w:rsidRPr="00104A42">
        <w:rPr>
          <w:b/>
          <w:bCs/>
        </w:rPr>
        <w:t>supported</w:t>
      </w:r>
      <w:r w:rsidR="00465ABC" w:rsidRPr="00104A42">
        <w:rPr>
          <w:b/>
          <w:bCs/>
        </w:rPr>
        <w:t xml:space="preserve"> the continuation of</w:t>
      </w:r>
      <w:r w:rsidRPr="00104A42">
        <w:rPr>
          <w:b/>
          <w:bCs/>
        </w:rPr>
        <w:t xml:space="preserve"> essential</w:t>
      </w:r>
      <w:r w:rsidR="00465ABC" w:rsidRPr="00104A42">
        <w:rPr>
          <w:b/>
          <w:bCs/>
        </w:rPr>
        <w:t xml:space="preserve"> sexual and reproductive health services for women and girls</w:t>
      </w:r>
      <w:r w:rsidR="007078AA">
        <w:t xml:space="preserve">. </w:t>
      </w:r>
      <w:r w:rsidR="00083CC3">
        <w:t>Through our existing and new partnerships, including the Sexual and Reproducti</w:t>
      </w:r>
      <w:r w:rsidR="009B217A">
        <w:t>ve</w:t>
      </w:r>
      <w:r w:rsidR="00083CC3">
        <w:t xml:space="preserve"> Health Program in Crisis and Post Crisis Settings we </w:t>
      </w:r>
      <w:r w:rsidR="00465ABC">
        <w:t>provi</w:t>
      </w:r>
      <w:r w:rsidR="00083CC3">
        <w:t>ded</w:t>
      </w:r>
      <w:r w:rsidR="00465ABC">
        <w:t xml:space="preserve"> PPE to community health clinics and improv</w:t>
      </w:r>
      <w:r w:rsidR="00083CC3">
        <w:t>ed</w:t>
      </w:r>
      <w:r w:rsidR="00465ABC">
        <w:t xml:space="preserve"> access to telemedicine and alternative services delivery options</w:t>
      </w:r>
      <w:r w:rsidR="0054117E">
        <w:t xml:space="preserve"> for those unable to</w:t>
      </w:r>
      <w:r w:rsidR="00F72658">
        <w:t xml:space="preserve"> </w:t>
      </w:r>
      <w:r w:rsidR="0054117E">
        <w:t>attend health facilities</w:t>
      </w:r>
      <w:r w:rsidR="007078AA">
        <w:t xml:space="preserve">. </w:t>
      </w:r>
      <w:r w:rsidR="0054117E">
        <w:t>In partnership with</w:t>
      </w:r>
      <w:r w:rsidR="006C6876">
        <w:t xml:space="preserve"> the United Nations Population Fund</w:t>
      </w:r>
      <w:r w:rsidR="0054117E">
        <w:t xml:space="preserve"> </w:t>
      </w:r>
      <w:r w:rsidR="006C6876">
        <w:t>(</w:t>
      </w:r>
      <w:r w:rsidR="0054117E">
        <w:t>UNFPA</w:t>
      </w:r>
      <w:r w:rsidR="006C6876">
        <w:t>)</w:t>
      </w:r>
      <w:r w:rsidR="000B6F4B">
        <w:t>,</w:t>
      </w:r>
      <w:r w:rsidR="0054117E">
        <w:t xml:space="preserve"> we provided Emergency Reproductive Health kits to health facilities impacted by monsoon and COVID-19</w:t>
      </w:r>
      <w:r w:rsidR="00650493">
        <w:t xml:space="preserve"> and</w:t>
      </w:r>
      <w:r w:rsidR="0054117E">
        <w:t xml:space="preserve"> </w:t>
      </w:r>
      <w:r w:rsidR="003C3E18">
        <w:t>crisis management centres that offer specialised support to survivors of gender-based violence</w:t>
      </w:r>
      <w:r w:rsidR="007078AA">
        <w:t>.</w:t>
      </w:r>
    </w:p>
    <w:p w14:paraId="1D48D073" w14:textId="7EDD6586" w:rsidR="00297FD1" w:rsidRPr="00216C55" w:rsidRDefault="00297FD1" w:rsidP="008D4FEF">
      <w:pPr>
        <w:pStyle w:val="Heading3"/>
      </w:pPr>
      <w:r w:rsidRPr="00216C55">
        <w:t>Stability</w:t>
      </w:r>
    </w:p>
    <w:p w14:paraId="32198A7C" w14:textId="3C8C28D3" w:rsidR="00A233A7" w:rsidRDefault="00A233A7" w:rsidP="00D4279A">
      <w:r>
        <w:t xml:space="preserve">We </w:t>
      </w:r>
      <w:r w:rsidR="000B6F4B">
        <w:t>continue to partner</w:t>
      </w:r>
      <w:r w:rsidR="00044F27">
        <w:t xml:space="preserve"> </w:t>
      </w:r>
      <w:r w:rsidR="00CE0494">
        <w:t>with</w:t>
      </w:r>
      <w:r w:rsidR="000B6F4B">
        <w:t xml:space="preserve"> </w:t>
      </w:r>
      <w:proofErr w:type="spellStart"/>
      <w:r w:rsidR="000B6F4B">
        <w:t>GoN</w:t>
      </w:r>
      <w:proofErr w:type="spellEnd"/>
      <w:r w:rsidR="00044F27">
        <w:t xml:space="preserve"> </w:t>
      </w:r>
      <w:r>
        <w:t xml:space="preserve">to strengthen </w:t>
      </w:r>
      <w:r w:rsidR="00905788">
        <w:t xml:space="preserve">coordination </w:t>
      </w:r>
      <w:r w:rsidR="00277528">
        <w:t xml:space="preserve">among the </w:t>
      </w:r>
      <w:r w:rsidR="000B6F4B">
        <w:t xml:space="preserve">three </w:t>
      </w:r>
      <w:r w:rsidR="00CE0494">
        <w:t>spheres</w:t>
      </w:r>
      <w:r w:rsidR="000B6F4B">
        <w:t xml:space="preserve"> of Nepal’s nascent</w:t>
      </w:r>
      <w:r w:rsidR="00277528">
        <w:t xml:space="preserve"> </w:t>
      </w:r>
      <w:r w:rsidR="000B6F4B">
        <w:t xml:space="preserve">federal </w:t>
      </w:r>
      <w:r w:rsidR="00277528">
        <w:t>government</w:t>
      </w:r>
      <w:r w:rsidR="00905788">
        <w:t xml:space="preserve">, and to support </w:t>
      </w:r>
      <w:r w:rsidR="0013345C">
        <w:t>inclusive governance</w:t>
      </w:r>
      <w:r w:rsidR="00465ABC">
        <w:t xml:space="preserve"> that </w:t>
      </w:r>
      <w:r w:rsidR="008906D1">
        <w:t>enables th</w:t>
      </w:r>
      <w:r w:rsidR="00D45657">
        <w:t>e</w:t>
      </w:r>
      <w:r w:rsidR="008906D1">
        <w:t xml:space="preserve"> participation of women, people with disabilities and traditionally marginalised groups</w:t>
      </w:r>
      <w:r w:rsidR="00277528">
        <w:t>.</w:t>
      </w:r>
      <w:r w:rsidR="00BB11F3">
        <w:t xml:space="preserve"> </w:t>
      </w:r>
    </w:p>
    <w:p w14:paraId="67E595BD" w14:textId="1D67F3D1" w:rsidR="00B266B9" w:rsidRDefault="00BC1FA2" w:rsidP="00B266B9">
      <w:r>
        <w:t>In 2021,</w:t>
      </w:r>
      <w:r w:rsidR="0030458E">
        <w:t xml:space="preserve"> </w:t>
      </w:r>
      <w:r w:rsidR="000B6F4B">
        <w:t>under the SNGP we</w:t>
      </w:r>
      <w:r w:rsidR="007C2889">
        <w:t xml:space="preserve"> </w:t>
      </w:r>
      <w:r w:rsidR="0030458E">
        <w:t>supported the enactment of Nepal’s</w:t>
      </w:r>
      <w:r>
        <w:t xml:space="preserve"> </w:t>
      </w:r>
      <w:r w:rsidRPr="00BC1FA2">
        <w:t>Intergovernmental Relations and Coordination Bill</w:t>
      </w:r>
      <w:r w:rsidR="007078AA">
        <w:t xml:space="preserve">. </w:t>
      </w:r>
      <w:r w:rsidR="007C2889">
        <w:t xml:space="preserve">This </w:t>
      </w:r>
      <w:r w:rsidR="00BB11F3">
        <w:t xml:space="preserve">foundational </w:t>
      </w:r>
      <w:r w:rsidR="007C2889">
        <w:t>legislat</w:t>
      </w:r>
      <w:r w:rsidR="00650493">
        <w:t>ion</w:t>
      </w:r>
      <w:r w:rsidR="007C2889">
        <w:t xml:space="preserve"> </w:t>
      </w:r>
      <w:r w:rsidR="00395D2D" w:rsidRPr="00395D2D">
        <w:t xml:space="preserve">guides coordination and communication across all </w:t>
      </w:r>
      <w:r w:rsidR="00CE0494">
        <w:t xml:space="preserve">spheres </w:t>
      </w:r>
      <w:r w:rsidR="00395D2D" w:rsidRPr="00395D2D">
        <w:t>of government</w:t>
      </w:r>
      <w:r w:rsidR="00B266B9">
        <w:t xml:space="preserve">, including clarifying roles and responsibilities </w:t>
      </w:r>
      <w:r w:rsidR="005C7F43">
        <w:t>regarding</w:t>
      </w:r>
      <w:r w:rsidR="00B266B9">
        <w:t xml:space="preserve"> health care and COVID-19 management</w:t>
      </w:r>
      <w:r w:rsidR="007078AA">
        <w:t xml:space="preserve">. </w:t>
      </w:r>
    </w:p>
    <w:p w14:paraId="616F4041" w14:textId="77777777" w:rsidR="00F20BA7" w:rsidRDefault="00B266B9" w:rsidP="00B266B9">
      <w:r w:rsidRPr="00104A42">
        <w:rPr>
          <w:b/>
          <w:bCs/>
        </w:rPr>
        <w:t>Our partnership with the World Bank</w:t>
      </w:r>
      <w:r>
        <w:t xml:space="preserve"> </w:t>
      </w:r>
      <w:r w:rsidRPr="00104A42">
        <w:rPr>
          <w:b/>
          <w:bCs/>
        </w:rPr>
        <w:t>strengthened Nepal’s Public Financial Management</w:t>
      </w:r>
      <w:r>
        <w:t xml:space="preserve">, which </w:t>
      </w:r>
      <w:r w:rsidR="002F686E">
        <w:t>supports</w:t>
      </w:r>
      <w:r>
        <w:t xml:space="preserve"> </w:t>
      </w:r>
      <w:proofErr w:type="spellStart"/>
      <w:r>
        <w:t>GoN’s</w:t>
      </w:r>
      <w:proofErr w:type="spellEnd"/>
      <w:r>
        <w:t xml:space="preserve"> effective resource allocation, strengthened public service delivery and inclusive development</w:t>
      </w:r>
      <w:r w:rsidR="007078AA">
        <w:t xml:space="preserve">. </w:t>
      </w:r>
      <w:r>
        <w:t xml:space="preserve">This partnership resulted in the development and launch of a National Business Continuity Management Guideline and Business Continuity Plan for the three </w:t>
      </w:r>
      <w:r w:rsidR="00F0156F">
        <w:t>spheres</w:t>
      </w:r>
      <w:r>
        <w:t xml:space="preserve"> of government, mitigating disruptions to government service delivery</w:t>
      </w:r>
      <w:r w:rsidR="00034E67">
        <w:t xml:space="preserve"> due to COVID</w:t>
      </w:r>
      <w:r w:rsidR="007751EC">
        <w:t>-19</w:t>
      </w:r>
      <w:r w:rsidR="007078AA">
        <w:t xml:space="preserve">. </w:t>
      </w:r>
    </w:p>
    <w:p w14:paraId="1A84452C" w14:textId="0F024DD0" w:rsidR="00D4279A" w:rsidRDefault="00BF1F91" w:rsidP="00D4279A">
      <w:r w:rsidRPr="00104A42">
        <w:rPr>
          <w:b/>
          <w:bCs/>
        </w:rPr>
        <w:lastRenderedPageBreak/>
        <w:t xml:space="preserve">We </w:t>
      </w:r>
      <w:r w:rsidR="00BB11F3" w:rsidRPr="00104A42">
        <w:rPr>
          <w:b/>
          <w:bCs/>
        </w:rPr>
        <w:t>supported</w:t>
      </w:r>
      <w:r w:rsidR="00145265" w:rsidRPr="00104A42">
        <w:rPr>
          <w:b/>
          <w:bCs/>
        </w:rPr>
        <w:t xml:space="preserve"> the participation of women elected </w:t>
      </w:r>
      <w:r w:rsidR="00CE0494" w:rsidRPr="00104A42">
        <w:rPr>
          <w:b/>
          <w:bCs/>
        </w:rPr>
        <w:t>to</w:t>
      </w:r>
      <w:r w:rsidR="00145265" w:rsidRPr="00104A42">
        <w:rPr>
          <w:b/>
          <w:bCs/>
        </w:rPr>
        <w:t xml:space="preserve"> local government, </w:t>
      </w:r>
      <w:r w:rsidR="002F686E" w:rsidRPr="00104A42">
        <w:rPr>
          <w:b/>
          <w:bCs/>
        </w:rPr>
        <w:t>with</w:t>
      </w:r>
      <w:r w:rsidR="00145265" w:rsidRPr="00104A42">
        <w:rPr>
          <w:b/>
          <w:bCs/>
        </w:rPr>
        <w:t xml:space="preserve"> training, mentoring and capacity building</w:t>
      </w:r>
      <w:r w:rsidRPr="00104A42">
        <w:rPr>
          <w:b/>
          <w:bCs/>
        </w:rPr>
        <w:t xml:space="preserve"> </w:t>
      </w:r>
      <w:r w:rsidR="002F686E" w:rsidRPr="00104A42">
        <w:rPr>
          <w:b/>
          <w:bCs/>
        </w:rPr>
        <w:t>through</w:t>
      </w:r>
      <w:r w:rsidRPr="00104A42">
        <w:rPr>
          <w:b/>
          <w:bCs/>
        </w:rPr>
        <w:t xml:space="preserve"> our She Leads program</w:t>
      </w:r>
      <w:r w:rsidR="007078AA">
        <w:t xml:space="preserve">. </w:t>
      </w:r>
      <w:r w:rsidR="00A233A7">
        <w:t xml:space="preserve">In 2021, we expanded this </w:t>
      </w:r>
      <w:r w:rsidR="00D85A54">
        <w:t>program to</w:t>
      </w:r>
      <w:r w:rsidR="00A233A7">
        <w:t xml:space="preserve"> </w:t>
      </w:r>
      <w:r w:rsidR="006C6876">
        <w:t xml:space="preserve">an additional province, </w:t>
      </w:r>
      <w:r w:rsidR="00D85A54">
        <w:t xml:space="preserve">which </w:t>
      </w:r>
      <w:r w:rsidR="00145265">
        <w:t>will support a further 500 locally elected women representatives, including women from the marginalised Dalit community</w:t>
      </w:r>
      <w:r w:rsidR="00D85A54">
        <w:t xml:space="preserve">. </w:t>
      </w:r>
    </w:p>
    <w:p w14:paraId="03E6545E" w14:textId="6E8E6E92" w:rsidR="00D4279A" w:rsidRDefault="00D85A54" w:rsidP="00D4279A">
      <w:r>
        <w:t>Australia’s expertise in climate and water are strengthening Nepal’s</w:t>
      </w:r>
      <w:r w:rsidR="00FD232F">
        <w:t xml:space="preserve"> water resource management</w:t>
      </w:r>
      <w:r w:rsidR="007078AA" w:rsidRPr="00104A42">
        <w:t xml:space="preserve">. </w:t>
      </w:r>
      <w:r w:rsidR="002778E3">
        <w:t>In</w:t>
      </w:r>
      <w:r w:rsidR="00B318A8">
        <w:t xml:space="preserve"> the reporting period, the </w:t>
      </w:r>
      <w:proofErr w:type="spellStart"/>
      <w:r w:rsidR="00E41056" w:rsidRPr="00104A42">
        <w:t>GoN</w:t>
      </w:r>
      <w:proofErr w:type="spellEnd"/>
      <w:r w:rsidR="00E41056" w:rsidRPr="00104A42">
        <w:t xml:space="preserve">, with assistance from </w:t>
      </w:r>
      <w:r w:rsidR="008F6012">
        <w:t xml:space="preserve">the </w:t>
      </w:r>
      <w:r w:rsidR="008F6012" w:rsidRPr="008F6012">
        <w:t>Commonwealth Scientific and Industrial Research Organisation</w:t>
      </w:r>
      <w:r w:rsidR="004215B6">
        <w:t>,</w:t>
      </w:r>
      <w:r w:rsidR="007666E8" w:rsidRPr="00104A42">
        <w:t xml:space="preserve"> launched</w:t>
      </w:r>
      <w:r w:rsidR="009D254B" w:rsidRPr="00104A42">
        <w:t xml:space="preserve"> the final phase of</w:t>
      </w:r>
      <w:r w:rsidR="007666E8" w:rsidRPr="00104A42">
        <w:t xml:space="preserve"> its water resources development strategy</w:t>
      </w:r>
      <w:r w:rsidR="00D45657">
        <w:t xml:space="preserve"> - </w:t>
      </w:r>
      <w:r w:rsidR="00FD232F">
        <w:t xml:space="preserve">the result </w:t>
      </w:r>
      <w:r w:rsidR="000D7B9B">
        <w:t xml:space="preserve">of </w:t>
      </w:r>
      <w:r w:rsidR="009D254B">
        <w:t>a</w:t>
      </w:r>
      <w:r w:rsidR="00FD232F">
        <w:t xml:space="preserve"> </w:t>
      </w:r>
      <w:r w:rsidR="007666E8">
        <w:t>five</w:t>
      </w:r>
      <w:r w:rsidR="00FD232F">
        <w:t>-year</w:t>
      </w:r>
      <w:r w:rsidR="007666E8">
        <w:t xml:space="preserve"> </w:t>
      </w:r>
      <w:r w:rsidR="00FD232F">
        <w:t>collaboration</w:t>
      </w:r>
      <w:r w:rsidR="007078AA">
        <w:t xml:space="preserve">. </w:t>
      </w:r>
      <w:r w:rsidR="004C7AA5">
        <w:t xml:space="preserve">The strategy </w:t>
      </w:r>
      <w:r w:rsidR="00BB11F3">
        <w:t>supports</w:t>
      </w:r>
      <w:r w:rsidR="004C7AA5">
        <w:t xml:space="preserve"> e</w:t>
      </w:r>
      <w:r w:rsidR="000D7B9B">
        <w:t>quitable and inclusive water access</w:t>
      </w:r>
      <w:r w:rsidR="00BB11F3">
        <w:t xml:space="preserve">, essential for sanitation, </w:t>
      </w:r>
      <w:proofErr w:type="gramStart"/>
      <w:r w:rsidR="00BB11F3">
        <w:t>agriculture</w:t>
      </w:r>
      <w:proofErr w:type="gramEnd"/>
      <w:r w:rsidR="00BB11F3">
        <w:t xml:space="preserve"> and livelihoods</w:t>
      </w:r>
      <w:r w:rsidR="007078AA">
        <w:t xml:space="preserve">. </w:t>
      </w:r>
    </w:p>
    <w:p w14:paraId="7028116E" w14:textId="3ED68893" w:rsidR="00EE3C25" w:rsidRPr="008C1F60" w:rsidRDefault="008F6012" w:rsidP="00D4279A">
      <w:r>
        <w:t xml:space="preserve">The </w:t>
      </w:r>
      <w:r w:rsidRPr="008F6012">
        <w:t>Australian Centre for International Agricultural Research</w:t>
      </w:r>
      <w:r w:rsidR="00B248CA">
        <w:t xml:space="preserve"> (ACIAR)</w:t>
      </w:r>
      <w:r w:rsidRPr="008F6012">
        <w:t xml:space="preserve"> </w:t>
      </w:r>
      <w:r w:rsidR="00395D2D">
        <w:t xml:space="preserve">long-term partnership with Nepal </w:t>
      </w:r>
      <w:r w:rsidR="00BB11F3">
        <w:t>promoted</w:t>
      </w:r>
      <w:r w:rsidR="00395D2D">
        <w:t xml:space="preserve"> agricultural productivity</w:t>
      </w:r>
      <w:r w:rsidR="00FD232F">
        <w:t xml:space="preserve"> </w:t>
      </w:r>
      <w:r w:rsidR="00D67889">
        <w:t xml:space="preserve">to </w:t>
      </w:r>
      <w:r w:rsidR="00D67889" w:rsidRPr="00104A42">
        <w:rPr>
          <w:b/>
          <w:bCs/>
        </w:rPr>
        <w:t>improve food and nut</w:t>
      </w:r>
      <w:r w:rsidR="002B0A85" w:rsidRPr="00104A42">
        <w:rPr>
          <w:b/>
          <w:bCs/>
        </w:rPr>
        <w:t>r</w:t>
      </w:r>
      <w:r w:rsidR="00D67889" w:rsidRPr="00104A42">
        <w:rPr>
          <w:b/>
          <w:bCs/>
        </w:rPr>
        <w:t>i</w:t>
      </w:r>
      <w:r w:rsidR="002B0A85" w:rsidRPr="00104A42">
        <w:rPr>
          <w:b/>
          <w:bCs/>
        </w:rPr>
        <w:t>ti</w:t>
      </w:r>
      <w:r w:rsidR="00D67889" w:rsidRPr="00104A42">
        <w:rPr>
          <w:b/>
          <w:bCs/>
        </w:rPr>
        <w:t>on</w:t>
      </w:r>
      <w:r w:rsidR="00395D2D" w:rsidRPr="00104A42">
        <w:rPr>
          <w:b/>
          <w:bCs/>
        </w:rPr>
        <w:t>al</w:t>
      </w:r>
      <w:r w:rsidR="00D67889" w:rsidRPr="00104A42">
        <w:rPr>
          <w:b/>
          <w:bCs/>
        </w:rPr>
        <w:t xml:space="preserve"> securi</w:t>
      </w:r>
      <w:r w:rsidR="002B0A85" w:rsidRPr="00104A42">
        <w:rPr>
          <w:b/>
          <w:bCs/>
        </w:rPr>
        <w:t>t</w:t>
      </w:r>
      <w:r w:rsidR="00D67889" w:rsidRPr="00104A42">
        <w:rPr>
          <w:b/>
          <w:bCs/>
        </w:rPr>
        <w:t>y</w:t>
      </w:r>
      <w:r w:rsidR="00D67889">
        <w:t xml:space="preserve"> of </w:t>
      </w:r>
      <w:r w:rsidR="00395D2D">
        <w:t xml:space="preserve">disadvantaged rural communities, </w:t>
      </w:r>
      <w:r w:rsidR="00562E72">
        <w:t xml:space="preserve">and </w:t>
      </w:r>
      <w:r w:rsidR="00BB11F3">
        <w:t>support</w:t>
      </w:r>
      <w:r w:rsidR="00562E72">
        <w:t>ed</w:t>
      </w:r>
      <w:r w:rsidR="00BB11F3">
        <w:t xml:space="preserve"> </w:t>
      </w:r>
      <w:r w:rsidR="00395D2D">
        <w:t>forestry and water management</w:t>
      </w:r>
      <w:r w:rsidR="00562E72">
        <w:t xml:space="preserve">, </w:t>
      </w:r>
      <w:r w:rsidR="002778E3">
        <w:t>in</w:t>
      </w:r>
      <w:r w:rsidR="00562E72">
        <w:t xml:space="preserve"> the reporting period</w:t>
      </w:r>
      <w:r w:rsidR="00B37369">
        <w:t xml:space="preserve">. </w:t>
      </w:r>
      <w:r w:rsidR="000A4CC3" w:rsidRPr="00987D68">
        <w:t>ACIAR also supported partners to implement and sustain transformative agricultural change, using agricultural mechanisation as a case study.</w:t>
      </w:r>
    </w:p>
    <w:p w14:paraId="0B17EEFD" w14:textId="76050A44" w:rsidR="008C1F60" w:rsidRPr="00216C55" w:rsidRDefault="00297FD1" w:rsidP="008D4FEF">
      <w:pPr>
        <w:pStyle w:val="Heading3"/>
      </w:pPr>
      <w:r w:rsidRPr="00216C55">
        <w:t>Economic recovery</w:t>
      </w:r>
    </w:p>
    <w:p w14:paraId="15C8BDAA" w14:textId="0A84609B" w:rsidR="004C72A7" w:rsidRDefault="001B7ADF" w:rsidP="004A449D">
      <w:r>
        <w:t xml:space="preserve">Australia </w:t>
      </w:r>
      <w:r w:rsidR="002A3CD1">
        <w:t>supported</w:t>
      </w:r>
      <w:r w:rsidR="00166269">
        <w:t xml:space="preserve"> Nepal’s </w:t>
      </w:r>
      <w:r w:rsidR="002A3CD1">
        <w:t>short and medium</w:t>
      </w:r>
      <w:r w:rsidR="007C4CC7">
        <w:t>-</w:t>
      </w:r>
      <w:r w:rsidR="002A3CD1">
        <w:t xml:space="preserve">term COVID-19 </w:t>
      </w:r>
      <w:r w:rsidR="00166269">
        <w:t>economic recovery</w:t>
      </w:r>
      <w:r w:rsidR="00121E35">
        <w:t xml:space="preserve"> </w:t>
      </w:r>
      <w:r w:rsidR="002A3CD1">
        <w:t xml:space="preserve">as well as </w:t>
      </w:r>
      <w:r w:rsidR="00121E35">
        <w:t>longer-term economic development</w:t>
      </w:r>
      <w:r w:rsidR="00166269">
        <w:t xml:space="preserve"> as the country transitions from </w:t>
      </w:r>
      <w:r w:rsidR="00B248CA">
        <w:t>l</w:t>
      </w:r>
      <w:r w:rsidR="00166269">
        <w:t xml:space="preserve">east </w:t>
      </w:r>
      <w:r w:rsidR="00B248CA">
        <w:t>d</w:t>
      </w:r>
      <w:r w:rsidR="00166269">
        <w:t xml:space="preserve">eveloped </w:t>
      </w:r>
      <w:r w:rsidR="00B248CA">
        <w:t>c</w:t>
      </w:r>
      <w:r w:rsidR="00166269">
        <w:t>ountry status in 2026</w:t>
      </w:r>
      <w:r w:rsidR="00121E35">
        <w:t>.</w:t>
      </w:r>
    </w:p>
    <w:p w14:paraId="62BCAACF" w14:textId="2FCE364E" w:rsidR="00562E72" w:rsidRDefault="00395D2D" w:rsidP="004A449D">
      <w:r w:rsidRPr="00395D2D">
        <w:t>Australia’s COVID-19 emergency response package for the region</w:t>
      </w:r>
      <w:r w:rsidR="002A3CD1">
        <w:t xml:space="preserve"> addressed</w:t>
      </w:r>
      <w:r w:rsidRPr="00395D2D">
        <w:t xml:space="preserve"> the economic impacts of the</w:t>
      </w:r>
      <w:r w:rsidR="008332C2">
        <w:t xml:space="preserve"> p</w:t>
      </w:r>
      <w:r w:rsidRPr="00395D2D">
        <w:t>andemic</w:t>
      </w:r>
      <w:r w:rsidR="007078AA">
        <w:t xml:space="preserve">. </w:t>
      </w:r>
      <w:r w:rsidR="002A3CD1">
        <w:t>Through</w:t>
      </w:r>
      <w:r w:rsidRPr="00395D2D">
        <w:t xml:space="preserve"> local NGOs</w:t>
      </w:r>
      <w:r w:rsidR="002A3CD1">
        <w:t>,</w:t>
      </w:r>
      <w:r w:rsidRPr="00395D2D">
        <w:t xml:space="preserve"> we support</w:t>
      </w:r>
      <w:r w:rsidR="00562E72">
        <w:t>ed</w:t>
      </w:r>
      <w:r w:rsidRPr="00395D2D">
        <w:t xml:space="preserve"> economic resilience by </w:t>
      </w:r>
      <w:r w:rsidRPr="00104A42">
        <w:rPr>
          <w:b/>
          <w:bCs/>
        </w:rPr>
        <w:t>providing business skills training to vulnerable microenterprises to enhance their business planning skills, identify and access new markets</w:t>
      </w:r>
      <w:r w:rsidRPr="00395D2D">
        <w:t xml:space="preserve"> amid COVID</w:t>
      </w:r>
      <w:r w:rsidR="007751EC">
        <w:t>-19</w:t>
      </w:r>
      <w:r w:rsidRPr="00395D2D">
        <w:t xml:space="preserve"> market disruption, diversify </w:t>
      </w:r>
    </w:p>
    <w:p w14:paraId="272C8DB6" w14:textId="12FF2F0C" w:rsidR="00DC559A" w:rsidRDefault="00395D2D" w:rsidP="004A449D">
      <w:r w:rsidRPr="00395D2D">
        <w:t>businesses and establish links with financial institutions and government services.</w:t>
      </w:r>
    </w:p>
    <w:p w14:paraId="595FD54B" w14:textId="5231F7B4" w:rsidR="00627B77" w:rsidRDefault="009D254B" w:rsidP="004A449D">
      <w:r>
        <w:t>After 1</w:t>
      </w:r>
      <w:r w:rsidR="002D51D5">
        <w:t>5</w:t>
      </w:r>
      <w:r>
        <w:t xml:space="preserve"> years of partnership</w:t>
      </w:r>
      <w:r w:rsidR="002A3CD1">
        <w:t xml:space="preserve"> with </w:t>
      </w:r>
      <w:r w:rsidR="00B248CA">
        <w:t>United Nations Development Programme</w:t>
      </w:r>
      <w:r w:rsidR="002A3CD1">
        <w:t xml:space="preserve"> and </w:t>
      </w:r>
      <w:proofErr w:type="spellStart"/>
      <w:r w:rsidR="002A3CD1">
        <w:t>GoN</w:t>
      </w:r>
      <w:proofErr w:type="spellEnd"/>
      <w:r>
        <w:t xml:space="preserve">, </w:t>
      </w:r>
      <w:r w:rsidRPr="00104A42">
        <w:rPr>
          <w:b/>
          <w:bCs/>
        </w:rPr>
        <w:t>Australia successfully</w:t>
      </w:r>
      <w:r>
        <w:t xml:space="preserve"> </w:t>
      </w:r>
      <w:r w:rsidRPr="00104A42">
        <w:rPr>
          <w:b/>
          <w:bCs/>
        </w:rPr>
        <w:t xml:space="preserve">concluded our support for the Microenterprise </w:t>
      </w:r>
      <w:r w:rsidR="005D27B4" w:rsidRPr="00104A42">
        <w:rPr>
          <w:b/>
          <w:bCs/>
        </w:rPr>
        <w:t>Development Programme for Poverty Alleviation</w:t>
      </w:r>
      <w:r w:rsidR="005D27B4">
        <w:t>, f</w:t>
      </w:r>
      <w:r w:rsidR="00C86206">
        <w:t>ollowing the</w:t>
      </w:r>
      <w:r w:rsidR="005D27B4">
        <w:t xml:space="preserve"> program’s</w:t>
      </w:r>
      <w:r w:rsidR="00C86206">
        <w:t xml:space="preserve"> integration into </w:t>
      </w:r>
      <w:proofErr w:type="spellStart"/>
      <w:r w:rsidR="008332C2">
        <w:t>GoN</w:t>
      </w:r>
      <w:proofErr w:type="spellEnd"/>
      <w:r w:rsidR="00C86206">
        <w:t xml:space="preserve"> </w:t>
      </w:r>
      <w:r w:rsidR="00A351DF">
        <w:t>policies and</w:t>
      </w:r>
      <w:r w:rsidR="002D51D5">
        <w:t xml:space="preserve"> </w:t>
      </w:r>
      <w:r w:rsidR="00C86206">
        <w:t>systems</w:t>
      </w:r>
      <w:r w:rsidR="007078AA">
        <w:t xml:space="preserve">. </w:t>
      </w:r>
      <w:r w:rsidR="002A3CD1">
        <w:t xml:space="preserve">The microenterprise model was </w:t>
      </w:r>
      <w:r w:rsidR="007C4CC7">
        <w:t>operating</w:t>
      </w:r>
      <w:r w:rsidR="002B0DF9">
        <w:t xml:space="preserve"> </w:t>
      </w:r>
      <w:r w:rsidR="005D27B4">
        <w:t>across</w:t>
      </w:r>
      <w:r w:rsidR="002D51D5">
        <w:t xml:space="preserve"> all 753</w:t>
      </w:r>
      <w:r w:rsidR="005D27B4">
        <w:t xml:space="preserve"> local governments</w:t>
      </w:r>
      <w:r w:rsidR="006C6876">
        <w:t xml:space="preserve">, creating over </w:t>
      </w:r>
      <w:r w:rsidR="009651CD">
        <w:t>7,47</w:t>
      </w:r>
      <w:r w:rsidR="0063378E">
        <w:t>8</w:t>
      </w:r>
      <w:r w:rsidR="006C6876">
        <w:t xml:space="preserve"> </w:t>
      </w:r>
      <w:r w:rsidR="009651CD">
        <w:t>new microentrepreneurs (84 per cent women) in the reporting period</w:t>
      </w:r>
      <w:r w:rsidR="005D27B4">
        <w:t>.</w:t>
      </w:r>
    </w:p>
    <w:p w14:paraId="7DF70F7B" w14:textId="5210819F" w:rsidR="008906D1" w:rsidRDefault="002A3CD1" w:rsidP="008906D1">
      <w:r>
        <w:t xml:space="preserve">Through </w:t>
      </w:r>
      <w:r w:rsidRPr="00104A42">
        <w:rPr>
          <w:b/>
          <w:bCs/>
        </w:rPr>
        <w:t>the</w:t>
      </w:r>
      <w:r w:rsidR="000D7B9B" w:rsidRPr="00104A42">
        <w:rPr>
          <w:b/>
          <w:bCs/>
        </w:rPr>
        <w:t xml:space="preserve"> Business Partnership Platform</w:t>
      </w:r>
      <w:r w:rsidRPr="00104A42">
        <w:rPr>
          <w:b/>
          <w:bCs/>
        </w:rPr>
        <w:t xml:space="preserve"> (BPP),</w:t>
      </w:r>
      <w:r w:rsidR="006C1626">
        <w:t xml:space="preserve"> </w:t>
      </w:r>
      <w:r w:rsidR="00A351DF">
        <w:t xml:space="preserve">we </w:t>
      </w:r>
      <w:r>
        <w:t>initiated</w:t>
      </w:r>
      <w:r w:rsidR="00A351DF">
        <w:t xml:space="preserve"> new </w:t>
      </w:r>
      <w:r w:rsidR="009E5ECF">
        <w:t>partnerships</w:t>
      </w:r>
      <w:r w:rsidR="006C1626">
        <w:t xml:space="preserve"> </w:t>
      </w:r>
      <w:r w:rsidR="00A351DF">
        <w:t xml:space="preserve">with </w:t>
      </w:r>
      <w:r w:rsidR="00816E37">
        <w:t>Nepal’s</w:t>
      </w:r>
      <w:r w:rsidR="009E5ECF">
        <w:t xml:space="preserve"> private sector</w:t>
      </w:r>
      <w:r w:rsidR="007078AA">
        <w:t xml:space="preserve">. </w:t>
      </w:r>
      <w:r>
        <w:t xml:space="preserve">The BPP </w:t>
      </w:r>
      <w:r w:rsidR="00395E36">
        <w:t xml:space="preserve">is </w:t>
      </w:r>
      <w:r w:rsidR="009E5ECF">
        <w:t>support</w:t>
      </w:r>
      <w:r w:rsidR="00395E36">
        <w:t>ing</w:t>
      </w:r>
      <w:r w:rsidR="009E5ECF">
        <w:t xml:space="preserve"> </w:t>
      </w:r>
      <w:r w:rsidR="00FC1FC2">
        <w:t xml:space="preserve">innovative </w:t>
      </w:r>
      <w:r w:rsidR="009E5ECF" w:rsidRPr="00104A42">
        <w:t xml:space="preserve">social enterprises that are </w:t>
      </w:r>
      <w:r w:rsidR="00816E37" w:rsidRPr="00104A42">
        <w:t xml:space="preserve">working to build safer and more environmentally friendly homes and community facilities, as well as local businesses </w:t>
      </w:r>
      <w:r w:rsidRPr="00104A42">
        <w:t>providing</w:t>
      </w:r>
      <w:r w:rsidR="00816E37" w:rsidRPr="00104A42">
        <w:t xml:space="preserve"> fish farmers and vegetable growers with new </w:t>
      </w:r>
      <w:r w:rsidRPr="00104A42">
        <w:t xml:space="preserve">skills to </w:t>
      </w:r>
      <w:r w:rsidR="00816E37" w:rsidRPr="00104A42">
        <w:t xml:space="preserve">reduce </w:t>
      </w:r>
      <w:r w:rsidR="00DF54E2" w:rsidRPr="00104A42">
        <w:t>post-production loss</w:t>
      </w:r>
      <w:r w:rsidR="00D675CB" w:rsidRPr="00104A42">
        <w:t xml:space="preserve"> and improve access to markets</w:t>
      </w:r>
      <w:r w:rsidR="007078AA">
        <w:t xml:space="preserve">. </w:t>
      </w:r>
    </w:p>
    <w:p w14:paraId="4871C16F" w14:textId="15061692" w:rsidR="008A2173" w:rsidRDefault="00AD6977" w:rsidP="008A2173">
      <w:r>
        <w:t xml:space="preserve">We </w:t>
      </w:r>
      <w:r w:rsidR="00C0064C">
        <w:t>continued</w:t>
      </w:r>
      <w:r w:rsidR="004C7AA5">
        <w:t xml:space="preserve"> to invest in </w:t>
      </w:r>
      <w:r w:rsidR="00EC00C9">
        <w:t xml:space="preserve">Nepal’s </w:t>
      </w:r>
      <w:r w:rsidR="004C7AA5">
        <w:t>human development and education</w:t>
      </w:r>
      <w:r w:rsidR="00562E72">
        <w:t xml:space="preserve"> </w:t>
      </w:r>
      <w:r w:rsidR="002778E3">
        <w:t>in</w:t>
      </w:r>
      <w:r w:rsidR="00562E72">
        <w:t xml:space="preserve"> the reporting period</w:t>
      </w:r>
      <w:r w:rsidR="007078AA">
        <w:t>.</w:t>
      </w:r>
      <w:r w:rsidR="007078AA" w:rsidRPr="00104A42">
        <w:rPr>
          <w:b/>
          <w:bCs/>
        </w:rPr>
        <w:t xml:space="preserve"> </w:t>
      </w:r>
      <w:r w:rsidR="003C4BEC" w:rsidRPr="00104A42">
        <w:rPr>
          <w:b/>
          <w:bCs/>
        </w:rPr>
        <w:t xml:space="preserve">Our newly established education programs, in partnership with </w:t>
      </w:r>
      <w:r w:rsidR="00B248CA" w:rsidRPr="00B248CA">
        <w:rPr>
          <w:b/>
          <w:bCs/>
        </w:rPr>
        <w:t xml:space="preserve">Rural Education and Environment Development Centre </w:t>
      </w:r>
      <w:r w:rsidR="003C4BEC" w:rsidRPr="00104A42">
        <w:rPr>
          <w:b/>
          <w:bCs/>
        </w:rPr>
        <w:t xml:space="preserve">Nepal and </w:t>
      </w:r>
      <w:r w:rsidR="00C0064C" w:rsidRPr="00104A42">
        <w:rPr>
          <w:b/>
          <w:bCs/>
        </w:rPr>
        <w:t>TAF</w:t>
      </w:r>
      <w:r w:rsidR="00905B44" w:rsidRPr="00104A42">
        <w:rPr>
          <w:b/>
          <w:bCs/>
        </w:rPr>
        <w:t>,</w:t>
      </w:r>
      <w:r w:rsidRPr="00104A42">
        <w:rPr>
          <w:b/>
          <w:bCs/>
        </w:rPr>
        <w:t xml:space="preserve"> </w:t>
      </w:r>
      <w:r w:rsidR="00C0064C" w:rsidRPr="00104A42">
        <w:rPr>
          <w:b/>
          <w:bCs/>
        </w:rPr>
        <w:t>provided</w:t>
      </w:r>
      <w:r w:rsidR="00FA5C79" w:rsidRPr="00104A42">
        <w:rPr>
          <w:b/>
          <w:bCs/>
        </w:rPr>
        <w:t xml:space="preserve"> </w:t>
      </w:r>
      <w:r w:rsidR="001B692F" w:rsidRPr="00104A42">
        <w:rPr>
          <w:b/>
          <w:bCs/>
        </w:rPr>
        <w:t>access to</w:t>
      </w:r>
      <w:r w:rsidR="003C4BEC" w:rsidRPr="00104A42">
        <w:rPr>
          <w:b/>
          <w:bCs/>
        </w:rPr>
        <w:t xml:space="preserve"> education </w:t>
      </w:r>
      <w:r w:rsidR="00C0064C" w:rsidRPr="00104A42">
        <w:rPr>
          <w:b/>
          <w:bCs/>
        </w:rPr>
        <w:t xml:space="preserve">services </w:t>
      </w:r>
      <w:r w:rsidR="003C4BEC" w:rsidRPr="00104A42">
        <w:rPr>
          <w:b/>
          <w:bCs/>
        </w:rPr>
        <w:t>for students</w:t>
      </w:r>
      <w:r w:rsidR="003F3F7A" w:rsidRPr="00104A42">
        <w:rPr>
          <w:b/>
          <w:bCs/>
        </w:rPr>
        <w:t xml:space="preserve"> impacted by school closures</w:t>
      </w:r>
      <w:r w:rsidR="00034E67" w:rsidRPr="00104A42">
        <w:rPr>
          <w:b/>
          <w:bCs/>
        </w:rPr>
        <w:t xml:space="preserve"> due to COVID</w:t>
      </w:r>
      <w:r w:rsidR="007751EC" w:rsidRPr="00104A42">
        <w:rPr>
          <w:b/>
          <w:bCs/>
        </w:rPr>
        <w:t>-19</w:t>
      </w:r>
      <w:r w:rsidR="007078AA">
        <w:t xml:space="preserve">. </w:t>
      </w:r>
      <w:r w:rsidR="007C4CC7">
        <w:t xml:space="preserve">According to </w:t>
      </w:r>
      <w:r w:rsidR="00B248CA">
        <w:t xml:space="preserve">the </w:t>
      </w:r>
      <w:r w:rsidR="00B248CA" w:rsidRPr="00B248CA">
        <w:t>United Nations Children's Fund</w:t>
      </w:r>
      <w:r w:rsidR="007C4CC7">
        <w:t xml:space="preserve">, </w:t>
      </w:r>
      <w:r w:rsidR="0080664F">
        <w:t>71 per cent of children</w:t>
      </w:r>
      <w:r w:rsidR="007C4CC7">
        <w:t xml:space="preserve"> in Nepal did</w:t>
      </w:r>
      <w:r w:rsidR="0080664F">
        <w:t xml:space="preserve"> not hav</w:t>
      </w:r>
      <w:r w:rsidR="007C4CC7">
        <w:t>e</w:t>
      </w:r>
      <w:r w:rsidR="0080664F">
        <w:t xml:space="preserve"> access to remote learning</w:t>
      </w:r>
      <w:r w:rsidR="007C4CC7">
        <w:t xml:space="preserve"> due to limited internet connectivity</w:t>
      </w:r>
      <w:r w:rsidR="007078AA">
        <w:t xml:space="preserve">. </w:t>
      </w:r>
      <w:r w:rsidR="007C4CC7">
        <w:t>W</w:t>
      </w:r>
      <w:r w:rsidR="00C0064C">
        <w:t xml:space="preserve">ith </w:t>
      </w:r>
      <w:r w:rsidR="00905B44">
        <w:t>radio classes and education packs</w:t>
      </w:r>
      <w:r w:rsidR="007C4CC7">
        <w:t>, we</w:t>
      </w:r>
      <w:r w:rsidR="001B692F">
        <w:t xml:space="preserve"> were able to</w:t>
      </w:r>
      <w:r w:rsidR="007C4CC7">
        <w:t xml:space="preserve"> reach regional communities, </w:t>
      </w:r>
      <w:r w:rsidR="00277AB5">
        <w:t>benefit</w:t>
      </w:r>
      <w:r w:rsidR="007C4CC7">
        <w:t>ing</w:t>
      </w:r>
      <w:r w:rsidR="00277AB5">
        <w:t xml:space="preserve"> students </w:t>
      </w:r>
      <w:r w:rsidR="00FA5C79">
        <w:t>and</w:t>
      </w:r>
      <w:r w:rsidR="00905B44">
        <w:t xml:space="preserve"> family members and</w:t>
      </w:r>
      <w:r w:rsidR="00FA5C79">
        <w:t xml:space="preserve"> </w:t>
      </w:r>
      <w:r w:rsidR="007C4CC7">
        <w:t>providing</w:t>
      </w:r>
      <w:r w:rsidR="00905B44">
        <w:t xml:space="preserve"> communities</w:t>
      </w:r>
      <w:r w:rsidR="00C0064C">
        <w:t xml:space="preserve"> with </w:t>
      </w:r>
      <w:r w:rsidR="008A2173">
        <w:t xml:space="preserve">access to </w:t>
      </w:r>
      <w:r w:rsidR="00C0064C">
        <w:t>public health messaging</w:t>
      </w:r>
      <w:r w:rsidR="008906D1">
        <w:t>.</w:t>
      </w:r>
    </w:p>
    <w:p w14:paraId="43C981BA" w14:textId="4BB4D55A" w:rsidR="008A2173" w:rsidRDefault="008A2173" w:rsidP="008A2173">
      <w:r w:rsidRPr="00104A42">
        <w:t>The Australia Awards Program responded to the challenges of COVID-19 by using virtual platforms and processes to continue its scholarships, short</w:t>
      </w:r>
      <w:r w:rsidR="007C4CC7" w:rsidRPr="00104A42">
        <w:t>-</w:t>
      </w:r>
      <w:r w:rsidRPr="00104A42">
        <w:t xml:space="preserve">term training opportunities and alumni engagement activities, including grants </w:t>
      </w:r>
      <w:r w:rsidR="00616653" w:rsidRPr="00104A42">
        <w:t>for</w:t>
      </w:r>
      <w:r w:rsidRPr="00104A42">
        <w:t xml:space="preserve"> medical equipment for</w:t>
      </w:r>
      <w:r>
        <w:t xml:space="preserve"> Tribhuvan University Teaching Hospital</w:t>
      </w:r>
      <w:r w:rsidRPr="008A2173">
        <w:t>.</w:t>
      </w:r>
    </w:p>
    <w:p w14:paraId="7B18360B" w14:textId="7F1C33FE" w:rsidR="008906D1" w:rsidRDefault="00CA2079" w:rsidP="008906D1">
      <w:r>
        <w:t>Through</w:t>
      </w:r>
      <w:r w:rsidR="00C0064C">
        <w:t>out</w:t>
      </w:r>
      <w:r>
        <w:t xml:space="preserve"> COVID-19</w:t>
      </w:r>
      <w:r w:rsidR="00562E72">
        <w:t xml:space="preserve"> and the reporting period</w:t>
      </w:r>
      <w:r>
        <w:t xml:space="preserve">, the </w:t>
      </w:r>
      <w:r w:rsidR="00DB3115">
        <w:t xml:space="preserve">Australian Volunteers </w:t>
      </w:r>
      <w:r w:rsidR="00C0064C">
        <w:t>P</w:t>
      </w:r>
      <w:r w:rsidR="00DB3115">
        <w:t>rogram</w:t>
      </w:r>
      <w:r>
        <w:t xml:space="preserve"> </w:t>
      </w:r>
      <w:r w:rsidR="00FA5C79">
        <w:t xml:space="preserve">has </w:t>
      </w:r>
      <w:r>
        <w:t xml:space="preserve">continued to support </w:t>
      </w:r>
      <w:r w:rsidR="0050462B">
        <w:t>government agencies</w:t>
      </w:r>
      <w:r w:rsidR="00395E36">
        <w:t xml:space="preserve"> </w:t>
      </w:r>
      <w:r w:rsidR="00FA5C79">
        <w:t>through</w:t>
      </w:r>
      <w:r w:rsidR="00C0064C">
        <w:t xml:space="preserve"> </w:t>
      </w:r>
      <w:r w:rsidR="00395E36">
        <w:t>remote volunteer placements</w:t>
      </w:r>
      <w:r w:rsidR="0050462B">
        <w:t xml:space="preserve">, </w:t>
      </w:r>
      <w:r w:rsidR="00B266B9">
        <w:t>for example, providing</w:t>
      </w:r>
      <w:r w:rsidR="00051B5A">
        <w:t xml:space="preserve"> capacity development for organisations that </w:t>
      </w:r>
      <w:r w:rsidR="00BC64FB">
        <w:t xml:space="preserve">work with </w:t>
      </w:r>
      <w:r w:rsidR="00051B5A">
        <w:t>people with disabilities</w:t>
      </w:r>
      <w:r w:rsidR="007078AA">
        <w:t xml:space="preserve">. </w:t>
      </w:r>
    </w:p>
    <w:p w14:paraId="201C0C9B" w14:textId="25E52925" w:rsidR="008906D1" w:rsidRDefault="003C4BEC" w:rsidP="008906D1">
      <w:r w:rsidRPr="00104A42">
        <w:rPr>
          <w:b/>
          <w:bCs/>
        </w:rPr>
        <w:t>Australian NGO Cooperation Program (ANCP) partners</w:t>
      </w:r>
      <w:r w:rsidR="004C7AA5" w:rsidRPr="00104A42">
        <w:rPr>
          <w:b/>
          <w:bCs/>
        </w:rPr>
        <w:t xml:space="preserve"> </w:t>
      </w:r>
      <w:r w:rsidR="00C0064C" w:rsidRPr="00104A42">
        <w:rPr>
          <w:b/>
          <w:bCs/>
        </w:rPr>
        <w:t>expanded</w:t>
      </w:r>
      <w:r w:rsidR="004C7AA5" w:rsidRPr="00104A42">
        <w:rPr>
          <w:b/>
          <w:bCs/>
        </w:rPr>
        <w:t xml:space="preserve"> their engagement</w:t>
      </w:r>
      <w:r w:rsidR="004C7AA5">
        <w:t xml:space="preserve"> in Nepal</w:t>
      </w:r>
      <w:r>
        <w:t xml:space="preserve"> during the pandemic</w:t>
      </w:r>
      <w:r w:rsidR="00C0064C">
        <w:t>,</w:t>
      </w:r>
      <w:r w:rsidR="00395E36">
        <w:t xml:space="preserve"> including</w:t>
      </w:r>
      <w:r w:rsidR="00330428">
        <w:t xml:space="preserve"> through </w:t>
      </w:r>
      <w:r w:rsidR="00395E36">
        <w:t xml:space="preserve">new initiatives to support </w:t>
      </w:r>
      <w:r w:rsidR="0060160C" w:rsidRPr="00104A42">
        <w:rPr>
          <w:b/>
          <w:bCs/>
        </w:rPr>
        <w:t xml:space="preserve">access </w:t>
      </w:r>
      <w:r w:rsidR="00FA5C79" w:rsidRPr="00104A42">
        <w:rPr>
          <w:b/>
          <w:bCs/>
        </w:rPr>
        <w:t xml:space="preserve">to </w:t>
      </w:r>
      <w:r w:rsidR="00395E36" w:rsidRPr="00104A42">
        <w:rPr>
          <w:b/>
          <w:bCs/>
        </w:rPr>
        <w:t xml:space="preserve">health services </w:t>
      </w:r>
      <w:r w:rsidR="00D94190" w:rsidRPr="00104A42">
        <w:rPr>
          <w:b/>
          <w:bCs/>
        </w:rPr>
        <w:t xml:space="preserve">for people with disabilities </w:t>
      </w:r>
      <w:r w:rsidR="00395E36" w:rsidRPr="00104A42">
        <w:rPr>
          <w:b/>
          <w:bCs/>
        </w:rPr>
        <w:t xml:space="preserve">and </w:t>
      </w:r>
      <w:r w:rsidR="00330428" w:rsidRPr="00104A42">
        <w:rPr>
          <w:b/>
          <w:bCs/>
        </w:rPr>
        <w:t>improve access to water</w:t>
      </w:r>
      <w:r w:rsidR="00FA5C79" w:rsidRPr="00104A42">
        <w:rPr>
          <w:b/>
          <w:bCs/>
        </w:rPr>
        <w:t>,</w:t>
      </w:r>
      <w:r w:rsidR="00330428" w:rsidRPr="00104A42">
        <w:rPr>
          <w:b/>
          <w:bCs/>
        </w:rPr>
        <w:t xml:space="preserve"> sanitation</w:t>
      </w:r>
      <w:r w:rsidR="00FA5C79" w:rsidRPr="00104A42">
        <w:rPr>
          <w:b/>
          <w:bCs/>
        </w:rPr>
        <w:t xml:space="preserve"> and hygiene</w:t>
      </w:r>
      <w:r w:rsidR="00330428" w:rsidRPr="00104A42">
        <w:rPr>
          <w:b/>
          <w:bCs/>
        </w:rPr>
        <w:t xml:space="preserve"> </w:t>
      </w:r>
      <w:r w:rsidR="00E95683" w:rsidRPr="00104A42">
        <w:rPr>
          <w:b/>
          <w:bCs/>
        </w:rPr>
        <w:t>services</w:t>
      </w:r>
      <w:r w:rsidR="00D94190" w:rsidRPr="00104A42">
        <w:rPr>
          <w:b/>
          <w:bCs/>
        </w:rPr>
        <w:t xml:space="preserve"> for women and girls</w:t>
      </w:r>
      <w:r w:rsidR="007078AA">
        <w:t xml:space="preserve">. </w:t>
      </w:r>
    </w:p>
    <w:p w14:paraId="60F5F5A1" w14:textId="27B3A1DA" w:rsidR="0006154E" w:rsidRDefault="00627B77" w:rsidP="0006154E">
      <w:r>
        <w:br/>
      </w:r>
    </w:p>
    <w:p w14:paraId="12E24BAE" w14:textId="0CBA4501" w:rsidR="00BC1FED" w:rsidRDefault="00121DDD" w:rsidP="0006154E">
      <w:pPr>
        <w:pStyle w:val="Heading2"/>
      </w:pPr>
      <w:r>
        <w:lastRenderedPageBreak/>
        <w:t>Annex 1</w:t>
      </w:r>
      <w:r w:rsidR="001F7F4D" w:rsidRPr="002945C4">
        <w:t xml:space="preserve">: </w:t>
      </w:r>
      <w:r w:rsidR="00540A22">
        <w:t xml:space="preserve">Progress against </w:t>
      </w:r>
      <w:r w:rsidR="008A1503">
        <w:t xml:space="preserve">COVID-19 Response plan </w:t>
      </w:r>
      <w:r w:rsidR="00E1666D">
        <w:t>results indicators</w:t>
      </w:r>
    </w:p>
    <w:p w14:paraId="53E0B1CB" w14:textId="67B3AAA4" w:rsidR="00AE2B7B" w:rsidRDefault="00AE2B7B" w:rsidP="008D4FEF">
      <w:pPr>
        <w:pStyle w:val="Heading3"/>
      </w:pPr>
      <w:r w:rsidRPr="00AE2B7B">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7B4C18" w14:paraId="72C2F5DB" w14:textId="77777777" w:rsidTr="003C48D0">
        <w:trPr>
          <w:tblHeader/>
        </w:trPr>
        <w:tc>
          <w:tcPr>
            <w:tcW w:w="4390" w:type="dxa"/>
            <w:shd w:val="clear" w:color="auto" w:fill="A2DCD1" w:themeFill="accent1" w:themeFillTint="99"/>
          </w:tcPr>
          <w:p w14:paraId="723B4EF2" w14:textId="77777777" w:rsidR="007B4C18" w:rsidRPr="005736BB" w:rsidRDefault="007B4C18" w:rsidP="003C48D0">
            <w:pPr>
              <w:spacing w:before="0" w:after="0" w:line="240" w:lineRule="auto"/>
              <w:jc w:val="center"/>
              <w:rPr>
                <w:b/>
                <w:sz w:val="20"/>
                <w:szCs w:val="20"/>
              </w:rPr>
            </w:pPr>
            <w:r w:rsidRPr="005736BB">
              <w:rPr>
                <w:b/>
                <w:sz w:val="20"/>
                <w:szCs w:val="20"/>
              </w:rPr>
              <w:t>Key Results Indicators</w:t>
            </w:r>
          </w:p>
        </w:tc>
        <w:tc>
          <w:tcPr>
            <w:tcW w:w="6146" w:type="dxa"/>
            <w:shd w:val="clear" w:color="auto" w:fill="A2DCD1" w:themeFill="accent1" w:themeFillTint="99"/>
          </w:tcPr>
          <w:p w14:paraId="68507C71" w14:textId="77777777" w:rsidR="007B4C18" w:rsidRPr="005736BB" w:rsidRDefault="007B4C18" w:rsidP="003C48D0">
            <w:pPr>
              <w:spacing w:before="0" w:after="0"/>
              <w:ind w:left="100"/>
              <w:jc w:val="center"/>
              <w:rPr>
                <w:sz w:val="20"/>
                <w:szCs w:val="20"/>
              </w:rPr>
            </w:pPr>
            <w:r w:rsidRPr="005736BB">
              <w:rPr>
                <w:b/>
                <w:sz w:val="20"/>
                <w:szCs w:val="20"/>
              </w:rPr>
              <w:t>Progress/Result</w:t>
            </w:r>
          </w:p>
        </w:tc>
      </w:tr>
      <w:tr w:rsidR="007B4C18" w:rsidRPr="007078AA" w14:paraId="1D691D04" w14:textId="77777777" w:rsidTr="003C48D0">
        <w:trPr>
          <w:tblHeader/>
        </w:trPr>
        <w:tc>
          <w:tcPr>
            <w:tcW w:w="4390" w:type="dxa"/>
          </w:tcPr>
          <w:p w14:paraId="3C5EC799" w14:textId="77777777" w:rsidR="007B4C18" w:rsidRPr="007078AA" w:rsidRDefault="007B4C18" w:rsidP="003C48D0">
            <w:pPr>
              <w:spacing w:before="60" w:line="240" w:lineRule="auto"/>
              <w:contextualSpacing/>
              <w:rPr>
                <w:bCs/>
                <w:sz w:val="20"/>
                <w:szCs w:val="20"/>
              </w:rPr>
            </w:pPr>
            <w:r w:rsidRPr="007078AA">
              <w:rPr>
                <w:bCs/>
                <w:sz w:val="20"/>
                <w:szCs w:val="20"/>
              </w:rPr>
              <w:t xml:space="preserve">Health systems and preparedness – Evidence of technical and policy advice in health-related policies, </w:t>
            </w:r>
            <w:proofErr w:type="gramStart"/>
            <w:r w:rsidRPr="007078AA">
              <w:rPr>
                <w:bCs/>
                <w:sz w:val="20"/>
                <w:szCs w:val="20"/>
              </w:rPr>
              <w:t>guidelines</w:t>
            </w:r>
            <w:proofErr w:type="gramEnd"/>
            <w:r w:rsidRPr="007078AA">
              <w:rPr>
                <w:bCs/>
                <w:sz w:val="20"/>
                <w:szCs w:val="20"/>
              </w:rPr>
              <w:t xml:space="preserve"> and procedures for target municipalities (Target: 4 policies/guidelines)</w:t>
            </w:r>
          </w:p>
        </w:tc>
        <w:tc>
          <w:tcPr>
            <w:tcW w:w="6146" w:type="dxa"/>
          </w:tcPr>
          <w:p w14:paraId="1B1C07EF" w14:textId="77777777" w:rsidR="007B4C18" w:rsidRPr="007078AA" w:rsidRDefault="007B4C18" w:rsidP="003C48D0">
            <w:pPr>
              <w:spacing w:before="100" w:beforeAutospacing="1" w:after="100" w:afterAutospacing="1" w:line="240" w:lineRule="auto"/>
              <w:rPr>
                <w:bCs/>
                <w:sz w:val="20"/>
                <w:szCs w:val="20"/>
              </w:rPr>
            </w:pPr>
            <w:r>
              <w:rPr>
                <w:bCs/>
                <w:sz w:val="20"/>
                <w:szCs w:val="20"/>
              </w:rPr>
              <w:t>S</w:t>
            </w:r>
            <w:r w:rsidRPr="007078AA">
              <w:rPr>
                <w:bCs/>
                <w:sz w:val="20"/>
                <w:szCs w:val="20"/>
              </w:rPr>
              <w:t xml:space="preserve">trengthened health systems by supporting the development of guidelines for: the establishment of healthcare institutions; the registration, </w:t>
            </w:r>
            <w:proofErr w:type="gramStart"/>
            <w:r w:rsidRPr="007078AA">
              <w:rPr>
                <w:bCs/>
                <w:sz w:val="20"/>
                <w:szCs w:val="20"/>
              </w:rPr>
              <w:t>monitoring</w:t>
            </w:r>
            <w:proofErr w:type="gramEnd"/>
            <w:r w:rsidRPr="007078AA">
              <w:rPr>
                <w:bCs/>
                <w:sz w:val="20"/>
                <w:szCs w:val="20"/>
              </w:rPr>
              <w:t xml:space="preserve"> and regulation of health facilities; and operating procedures for ambulances.</w:t>
            </w:r>
            <w:r>
              <w:rPr>
                <w:bCs/>
                <w:sz w:val="20"/>
                <w:szCs w:val="20"/>
              </w:rPr>
              <w:br/>
            </w:r>
            <w:r>
              <w:rPr>
                <w:bCs/>
                <w:sz w:val="20"/>
                <w:szCs w:val="20"/>
              </w:rPr>
              <w:br/>
              <w:t>C</w:t>
            </w:r>
            <w:r w:rsidRPr="007078AA">
              <w:rPr>
                <w:bCs/>
                <w:sz w:val="20"/>
                <w:szCs w:val="20"/>
              </w:rPr>
              <w:t xml:space="preserve">oordinated policy dialogue among the Ministry of Health, local governments and health experts on COVID-19 health policy and arrangements </w:t>
            </w:r>
            <w:r>
              <w:rPr>
                <w:bCs/>
                <w:sz w:val="20"/>
                <w:szCs w:val="20"/>
              </w:rPr>
              <w:t>to support the</w:t>
            </w:r>
            <w:r w:rsidRPr="007078AA">
              <w:rPr>
                <w:bCs/>
                <w:sz w:val="20"/>
                <w:szCs w:val="20"/>
              </w:rPr>
              <w:t xml:space="preserve"> </w:t>
            </w:r>
            <w:proofErr w:type="spellStart"/>
            <w:r w:rsidRPr="007078AA">
              <w:rPr>
                <w:bCs/>
                <w:sz w:val="20"/>
                <w:szCs w:val="20"/>
              </w:rPr>
              <w:t>GoN’s</w:t>
            </w:r>
            <w:proofErr w:type="spellEnd"/>
            <w:r w:rsidRPr="007078AA">
              <w:rPr>
                <w:bCs/>
                <w:sz w:val="20"/>
                <w:szCs w:val="20"/>
              </w:rPr>
              <w:t xml:space="preserve"> pandemic response. </w:t>
            </w:r>
          </w:p>
        </w:tc>
      </w:tr>
      <w:tr w:rsidR="007B4C18" w:rsidRPr="007078AA" w14:paraId="11330537" w14:textId="77777777" w:rsidTr="003C48D0">
        <w:trPr>
          <w:tblHeader/>
        </w:trPr>
        <w:tc>
          <w:tcPr>
            <w:tcW w:w="4390" w:type="dxa"/>
          </w:tcPr>
          <w:p w14:paraId="648AD6FA" w14:textId="77777777" w:rsidR="007B4C18" w:rsidRPr="007078AA" w:rsidRDefault="007B4C18" w:rsidP="003C48D0">
            <w:pPr>
              <w:spacing w:before="60" w:line="240" w:lineRule="auto"/>
              <w:contextualSpacing/>
              <w:rPr>
                <w:bCs/>
                <w:sz w:val="20"/>
                <w:szCs w:val="20"/>
              </w:rPr>
            </w:pPr>
            <w:r w:rsidRPr="007078AA">
              <w:rPr>
                <w:bCs/>
                <w:sz w:val="20"/>
                <w:szCs w:val="20"/>
              </w:rPr>
              <w:t>Infectious disease outbreak response – Number of people reached through public health security related information and awareness efforts (Target: 53,700)</w:t>
            </w:r>
          </w:p>
        </w:tc>
        <w:tc>
          <w:tcPr>
            <w:tcW w:w="6146" w:type="dxa"/>
          </w:tcPr>
          <w:p w14:paraId="3D661B53" w14:textId="5B4AA643" w:rsidR="007B4C18" w:rsidRPr="007078AA" w:rsidRDefault="007B4C18" w:rsidP="003C48D0">
            <w:pPr>
              <w:spacing w:before="100" w:beforeAutospacing="1" w:after="100" w:afterAutospacing="1" w:line="240" w:lineRule="auto"/>
              <w:rPr>
                <w:bCs/>
                <w:sz w:val="20"/>
                <w:szCs w:val="20"/>
              </w:rPr>
            </w:pPr>
            <w:r>
              <w:rPr>
                <w:bCs/>
                <w:sz w:val="20"/>
                <w:szCs w:val="20"/>
              </w:rPr>
              <w:t>S</w:t>
            </w:r>
            <w:r w:rsidRPr="007078AA">
              <w:rPr>
                <w:bCs/>
                <w:sz w:val="20"/>
                <w:szCs w:val="20"/>
              </w:rPr>
              <w:t>upported improved health information for communities across Nepal</w:t>
            </w:r>
            <w:r>
              <w:rPr>
                <w:bCs/>
                <w:sz w:val="20"/>
                <w:szCs w:val="20"/>
              </w:rPr>
              <w:t xml:space="preserve">. This included </w:t>
            </w:r>
            <w:r w:rsidRPr="007078AA">
              <w:rPr>
                <w:bCs/>
                <w:sz w:val="20"/>
                <w:szCs w:val="20"/>
              </w:rPr>
              <w:t>developing and broadcasting campaigns with health experts, government officials and civil society to counter false information on COVID-19</w:t>
            </w:r>
            <w:r>
              <w:rPr>
                <w:bCs/>
                <w:sz w:val="20"/>
                <w:szCs w:val="20"/>
              </w:rPr>
              <w:t xml:space="preserve">. This </w:t>
            </w:r>
            <w:r w:rsidRPr="007078AA">
              <w:rPr>
                <w:bCs/>
                <w:sz w:val="20"/>
                <w:szCs w:val="20"/>
              </w:rPr>
              <w:t>us</w:t>
            </w:r>
            <w:r>
              <w:rPr>
                <w:bCs/>
                <w:sz w:val="20"/>
                <w:szCs w:val="20"/>
              </w:rPr>
              <w:t>ed</w:t>
            </w:r>
            <w:r w:rsidRPr="007078AA">
              <w:rPr>
                <w:bCs/>
                <w:sz w:val="20"/>
                <w:szCs w:val="20"/>
              </w:rPr>
              <w:t xml:space="preserve"> traditional and social media platforms. </w:t>
            </w:r>
            <w:r>
              <w:rPr>
                <w:bCs/>
                <w:sz w:val="20"/>
                <w:szCs w:val="20"/>
              </w:rPr>
              <w:t>This supporte</w:t>
            </w:r>
            <w:r w:rsidRPr="007078AA">
              <w:rPr>
                <w:bCs/>
                <w:sz w:val="20"/>
                <w:szCs w:val="20"/>
              </w:rPr>
              <w:t xml:space="preserve">d 54 weekly Facebook live episodes and 42 weekly radio programs reaching </w:t>
            </w:r>
            <w:r>
              <w:rPr>
                <w:bCs/>
                <w:sz w:val="20"/>
                <w:szCs w:val="20"/>
              </w:rPr>
              <w:t xml:space="preserve">34,000 people in </w:t>
            </w:r>
            <w:r w:rsidRPr="007078AA">
              <w:rPr>
                <w:bCs/>
                <w:sz w:val="20"/>
                <w:szCs w:val="20"/>
              </w:rPr>
              <w:t>regional and remote communities across Nepal</w:t>
            </w:r>
            <w:r w:rsidR="00F8179D">
              <w:rPr>
                <w:bCs/>
                <w:sz w:val="20"/>
                <w:szCs w:val="20"/>
              </w:rPr>
              <w:t xml:space="preserve"> and is on track to meet the final target</w:t>
            </w:r>
            <w:r>
              <w:rPr>
                <w:bCs/>
                <w:sz w:val="20"/>
                <w:szCs w:val="20"/>
              </w:rPr>
              <w:t xml:space="preserve">. </w:t>
            </w:r>
          </w:p>
        </w:tc>
      </w:tr>
      <w:tr w:rsidR="007B4C18" w:rsidRPr="007078AA" w14:paraId="325A731B" w14:textId="77777777" w:rsidTr="003C48D0">
        <w:trPr>
          <w:tblHeader/>
        </w:trPr>
        <w:tc>
          <w:tcPr>
            <w:tcW w:w="4390" w:type="dxa"/>
          </w:tcPr>
          <w:p w14:paraId="6D5BBC16" w14:textId="77777777" w:rsidR="007B4C18" w:rsidRPr="007078AA" w:rsidRDefault="007B4C18" w:rsidP="003C48D0">
            <w:pPr>
              <w:spacing w:before="60" w:line="240" w:lineRule="auto"/>
              <w:contextualSpacing/>
              <w:rPr>
                <w:bCs/>
                <w:sz w:val="20"/>
                <w:szCs w:val="20"/>
              </w:rPr>
            </w:pPr>
            <w:r w:rsidRPr="007078AA">
              <w:rPr>
                <w:bCs/>
                <w:sz w:val="20"/>
                <w:szCs w:val="20"/>
              </w:rPr>
              <w:t>Number of new health supplies stored, delivered and accessible in a timely manner (Target: 9,000 cubic metres and 900 metric tonnes)</w:t>
            </w:r>
          </w:p>
        </w:tc>
        <w:tc>
          <w:tcPr>
            <w:tcW w:w="6146" w:type="dxa"/>
          </w:tcPr>
          <w:p w14:paraId="734B7F2A" w14:textId="6916A731" w:rsidR="007B4C18" w:rsidRPr="007078AA" w:rsidRDefault="007B4C18" w:rsidP="003C48D0">
            <w:pPr>
              <w:spacing w:before="0" w:after="0"/>
              <w:rPr>
                <w:sz w:val="20"/>
                <w:szCs w:val="20"/>
              </w:rPr>
            </w:pPr>
            <w:r>
              <w:rPr>
                <w:sz w:val="20"/>
                <w:szCs w:val="20"/>
              </w:rPr>
              <w:t>I</w:t>
            </w:r>
            <w:r w:rsidRPr="007078AA">
              <w:rPr>
                <w:sz w:val="20"/>
                <w:szCs w:val="20"/>
              </w:rPr>
              <w:t>n partnership with the WFP, supported the construction of six mobile storage units</w:t>
            </w:r>
            <w:r>
              <w:rPr>
                <w:sz w:val="20"/>
                <w:szCs w:val="20"/>
              </w:rPr>
              <w:t xml:space="preserve"> to </w:t>
            </w:r>
            <w:r w:rsidRPr="007078AA">
              <w:rPr>
                <w:sz w:val="20"/>
                <w:szCs w:val="20"/>
              </w:rPr>
              <w:t>distribut</w:t>
            </w:r>
            <w:r>
              <w:rPr>
                <w:sz w:val="20"/>
                <w:szCs w:val="20"/>
              </w:rPr>
              <w:t>e</w:t>
            </w:r>
            <w:r w:rsidRPr="007078AA">
              <w:rPr>
                <w:sz w:val="20"/>
                <w:szCs w:val="20"/>
              </w:rPr>
              <w:t xml:space="preserve"> COVID-19 supplies.</w:t>
            </w:r>
            <w:r>
              <w:rPr>
                <w:sz w:val="20"/>
                <w:szCs w:val="20"/>
              </w:rPr>
              <w:t xml:space="preserve"> </w:t>
            </w:r>
            <w:proofErr w:type="gramStart"/>
            <w:r>
              <w:rPr>
                <w:sz w:val="20"/>
                <w:szCs w:val="20"/>
              </w:rPr>
              <w:t>Also</w:t>
            </w:r>
            <w:proofErr w:type="gramEnd"/>
            <w:r w:rsidRPr="007078AA">
              <w:rPr>
                <w:sz w:val="20"/>
                <w:szCs w:val="20"/>
              </w:rPr>
              <w:t xml:space="preserve"> with WFP, </w:t>
            </w:r>
            <w:r>
              <w:rPr>
                <w:sz w:val="20"/>
                <w:szCs w:val="20"/>
              </w:rPr>
              <w:t xml:space="preserve">supported the storage of </w:t>
            </w:r>
            <w:r w:rsidRPr="007078AA">
              <w:rPr>
                <w:sz w:val="20"/>
                <w:szCs w:val="20"/>
              </w:rPr>
              <w:t>7,735 cubic metres</w:t>
            </w:r>
            <w:r w:rsidR="003F637A">
              <w:rPr>
                <w:sz w:val="20"/>
                <w:szCs w:val="20"/>
              </w:rPr>
              <w:t xml:space="preserve"> (1,435 metric tonnes)</w:t>
            </w:r>
            <w:r w:rsidRPr="007078AA">
              <w:rPr>
                <w:sz w:val="20"/>
                <w:szCs w:val="20"/>
              </w:rPr>
              <w:t xml:space="preserve"> of new health supplies in humanitarian staging areas across Nepal, </w:t>
            </w:r>
            <w:r>
              <w:rPr>
                <w:sz w:val="20"/>
                <w:szCs w:val="20"/>
              </w:rPr>
              <w:t>with</w:t>
            </w:r>
            <w:r w:rsidRPr="007078AA">
              <w:rPr>
                <w:sz w:val="20"/>
                <w:szCs w:val="20"/>
              </w:rPr>
              <w:t xml:space="preserve"> 3,760 cubic metres</w:t>
            </w:r>
            <w:r w:rsidR="003F637A">
              <w:rPr>
                <w:sz w:val="20"/>
                <w:szCs w:val="20"/>
              </w:rPr>
              <w:t xml:space="preserve"> (1,392 metric tonnes)</w:t>
            </w:r>
            <w:r w:rsidRPr="007078AA">
              <w:rPr>
                <w:sz w:val="20"/>
                <w:szCs w:val="20"/>
              </w:rPr>
              <w:t xml:space="preserve"> of new health supplies delivered.</w:t>
            </w:r>
          </w:p>
        </w:tc>
      </w:tr>
      <w:tr w:rsidR="007B4C18" w:rsidRPr="007078AA" w14:paraId="46416A5E" w14:textId="77777777" w:rsidTr="003C48D0">
        <w:trPr>
          <w:tblHeader/>
        </w:trPr>
        <w:tc>
          <w:tcPr>
            <w:tcW w:w="4390" w:type="dxa"/>
          </w:tcPr>
          <w:p w14:paraId="52FEAE98" w14:textId="77777777" w:rsidR="007B4C18" w:rsidRPr="007078AA" w:rsidRDefault="007B4C18" w:rsidP="003C48D0">
            <w:pPr>
              <w:spacing w:before="0" w:after="0" w:line="240" w:lineRule="auto"/>
              <w:rPr>
                <w:sz w:val="20"/>
                <w:szCs w:val="20"/>
              </w:rPr>
            </w:pPr>
            <w:r w:rsidRPr="007078AA">
              <w:rPr>
                <w:bCs/>
                <w:sz w:val="20"/>
                <w:szCs w:val="20"/>
              </w:rPr>
              <w:t>Sexual and reproductive health – number of contraceptive protection kits from unplanned pregnancies made available through Australian support (Target: 33)</w:t>
            </w:r>
          </w:p>
        </w:tc>
        <w:tc>
          <w:tcPr>
            <w:tcW w:w="6146" w:type="dxa"/>
          </w:tcPr>
          <w:p w14:paraId="0F7CEA9E" w14:textId="77777777" w:rsidR="007B4C18" w:rsidRPr="007078AA" w:rsidRDefault="007B4C18" w:rsidP="003C48D0">
            <w:pPr>
              <w:spacing w:before="0" w:after="0"/>
              <w:rPr>
                <w:sz w:val="20"/>
                <w:szCs w:val="20"/>
              </w:rPr>
            </w:pPr>
            <w:r>
              <w:rPr>
                <w:sz w:val="20"/>
                <w:szCs w:val="20"/>
              </w:rPr>
              <w:t>S</w:t>
            </w:r>
            <w:r w:rsidRPr="007078AA">
              <w:rPr>
                <w:sz w:val="20"/>
                <w:szCs w:val="20"/>
              </w:rPr>
              <w:t>upported UNFPA to distribute 44 Emergency Reproductive Health kits to 14 health facilities across Nepal. These kits provide essential medications and equipment to provide life-saving reproductive health services for women and girls, including those who have experienced gender-based violence.</w:t>
            </w:r>
          </w:p>
        </w:tc>
      </w:tr>
    </w:tbl>
    <w:p w14:paraId="03B1486E" w14:textId="77777777" w:rsidR="007B4C18" w:rsidRDefault="007B4C18" w:rsidP="007B4C18"/>
    <w:p w14:paraId="317F1A50" w14:textId="6A479505" w:rsidR="007B4C18" w:rsidRDefault="007B4C18" w:rsidP="008D4FEF">
      <w:pPr>
        <w:pStyle w:val="Heading3"/>
      </w:pPr>
      <w:r w:rsidRPr="006D5D77">
        <w:t>Stability</w:t>
      </w:r>
    </w:p>
    <w:tbl>
      <w:tblPr>
        <w:tblStyle w:val="TableGrid"/>
        <w:tblpPr w:leftFromText="180" w:rightFromText="180" w:vertAnchor="text" w:horzAnchor="margin" w:tblpY="7"/>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8D4FEF" w14:paraId="332AA0C0" w14:textId="77777777" w:rsidTr="008D4FEF">
        <w:trPr>
          <w:tblHeader/>
        </w:trPr>
        <w:tc>
          <w:tcPr>
            <w:tcW w:w="4390" w:type="dxa"/>
            <w:shd w:val="clear" w:color="auto" w:fill="A2DCD1" w:themeFill="accent1" w:themeFillTint="99"/>
            <w:vAlign w:val="bottom"/>
          </w:tcPr>
          <w:p w14:paraId="4D5E6519" w14:textId="77777777" w:rsidR="008D4FEF" w:rsidRPr="005736BB" w:rsidRDefault="008D4FEF" w:rsidP="008D4FEF">
            <w:pPr>
              <w:widowControl w:val="0"/>
              <w:spacing w:before="0" w:after="0" w:line="240" w:lineRule="auto"/>
              <w:jc w:val="center"/>
              <w:rPr>
                <w:sz w:val="20"/>
                <w:szCs w:val="20"/>
              </w:rPr>
            </w:pPr>
            <w:r w:rsidRPr="005736BB">
              <w:rPr>
                <w:b/>
                <w:sz w:val="20"/>
                <w:szCs w:val="20"/>
              </w:rPr>
              <w:t>Key Results Indicators</w:t>
            </w:r>
          </w:p>
        </w:tc>
        <w:tc>
          <w:tcPr>
            <w:tcW w:w="6146" w:type="dxa"/>
            <w:shd w:val="clear" w:color="auto" w:fill="A2DCD1" w:themeFill="accent1" w:themeFillTint="99"/>
            <w:vAlign w:val="bottom"/>
          </w:tcPr>
          <w:p w14:paraId="39595550" w14:textId="77777777" w:rsidR="008D4FEF" w:rsidRPr="005736BB" w:rsidRDefault="008D4FEF" w:rsidP="008D4FEF">
            <w:pPr>
              <w:widowControl w:val="0"/>
              <w:spacing w:before="0" w:after="0" w:line="240" w:lineRule="auto"/>
              <w:jc w:val="center"/>
              <w:rPr>
                <w:sz w:val="20"/>
                <w:szCs w:val="20"/>
              </w:rPr>
            </w:pPr>
            <w:r w:rsidRPr="005736BB">
              <w:rPr>
                <w:b/>
                <w:sz w:val="20"/>
                <w:szCs w:val="20"/>
              </w:rPr>
              <w:t>Progress/Result</w:t>
            </w:r>
          </w:p>
        </w:tc>
      </w:tr>
      <w:tr w:rsidR="008D4FEF" w14:paraId="21F77C76" w14:textId="77777777" w:rsidTr="008D4FEF">
        <w:trPr>
          <w:tblHeader/>
        </w:trPr>
        <w:tc>
          <w:tcPr>
            <w:tcW w:w="4390" w:type="dxa"/>
          </w:tcPr>
          <w:p w14:paraId="0565B28E" w14:textId="77777777" w:rsidR="008D4FEF" w:rsidRPr="007078AA" w:rsidRDefault="008D4FEF" w:rsidP="008D4FEF">
            <w:pPr>
              <w:widowControl w:val="0"/>
              <w:spacing w:before="0" w:after="0" w:line="240" w:lineRule="auto"/>
              <w:rPr>
                <w:sz w:val="20"/>
                <w:szCs w:val="20"/>
              </w:rPr>
            </w:pPr>
            <w:r w:rsidRPr="007078AA">
              <w:rPr>
                <w:bCs/>
                <w:sz w:val="20"/>
                <w:szCs w:val="20"/>
              </w:rPr>
              <w:t>Improved governance – Number of significant policy changes supported by Australia to strengthen sub-national governance in Nepal (Target: 7)</w:t>
            </w:r>
          </w:p>
        </w:tc>
        <w:tc>
          <w:tcPr>
            <w:tcW w:w="6146" w:type="dxa"/>
          </w:tcPr>
          <w:p w14:paraId="297FAC08" w14:textId="647A909A" w:rsidR="008D4FEF" w:rsidRPr="00FA1125" w:rsidRDefault="008D4FEF" w:rsidP="008D4FEF">
            <w:pPr>
              <w:widowControl w:val="0"/>
              <w:spacing w:before="0" w:after="0" w:line="240" w:lineRule="auto"/>
              <w:rPr>
                <w:bCs/>
                <w:sz w:val="20"/>
                <w:szCs w:val="20"/>
              </w:rPr>
            </w:pPr>
            <w:r>
              <w:rPr>
                <w:bCs/>
                <w:sz w:val="20"/>
                <w:szCs w:val="20"/>
              </w:rPr>
              <w:t>S</w:t>
            </w:r>
            <w:r w:rsidRPr="007078AA">
              <w:rPr>
                <w:bCs/>
                <w:sz w:val="20"/>
                <w:szCs w:val="20"/>
              </w:rPr>
              <w:t>upported the drafting of the Province and Local Level Coordination and Disputes Resolution Bill</w:t>
            </w:r>
            <w:r>
              <w:rPr>
                <w:bCs/>
                <w:sz w:val="20"/>
                <w:szCs w:val="20"/>
              </w:rPr>
              <w:t>, following</w:t>
            </w:r>
            <w:r w:rsidRPr="007078AA">
              <w:rPr>
                <w:bCs/>
                <w:sz w:val="20"/>
                <w:szCs w:val="20"/>
              </w:rPr>
              <w:t xml:space="preserve"> a series of consultation meetings with provincial and local level stakeholders. </w:t>
            </w:r>
            <w:r w:rsidRPr="007078AA">
              <w:rPr>
                <w:bCs/>
                <w:sz w:val="20"/>
                <w:szCs w:val="20"/>
              </w:rPr>
              <w:br/>
            </w:r>
            <w:r w:rsidRPr="007078AA">
              <w:rPr>
                <w:bCs/>
                <w:sz w:val="20"/>
                <w:szCs w:val="20"/>
              </w:rPr>
              <w:br/>
            </w:r>
            <w:r>
              <w:rPr>
                <w:bCs/>
                <w:sz w:val="20"/>
                <w:szCs w:val="20"/>
              </w:rPr>
              <w:t>Su</w:t>
            </w:r>
            <w:r w:rsidRPr="007078AA">
              <w:rPr>
                <w:bCs/>
                <w:sz w:val="20"/>
                <w:szCs w:val="20"/>
              </w:rPr>
              <w:t>pported the Ministry of Federal Affairs and General Administration to draft the law on the use of natural resources</w:t>
            </w:r>
            <w:r>
              <w:rPr>
                <w:bCs/>
                <w:sz w:val="20"/>
                <w:szCs w:val="20"/>
              </w:rPr>
              <w:t>. To enable implementation of this law, supported key government bodies (</w:t>
            </w:r>
            <w:r w:rsidRPr="007078AA">
              <w:rPr>
                <w:bCs/>
                <w:sz w:val="20"/>
                <w:szCs w:val="20"/>
              </w:rPr>
              <w:t>Delegated Legislation and Government Assurance Committee</w:t>
            </w:r>
            <w:r>
              <w:rPr>
                <w:bCs/>
                <w:sz w:val="20"/>
                <w:szCs w:val="20"/>
              </w:rPr>
              <w:t xml:space="preserve"> </w:t>
            </w:r>
            <w:r w:rsidRPr="007078AA">
              <w:rPr>
                <w:bCs/>
                <w:sz w:val="20"/>
                <w:szCs w:val="20"/>
              </w:rPr>
              <w:t>and Office of Prime Minister and Council of Ministers</w:t>
            </w:r>
            <w:r>
              <w:rPr>
                <w:bCs/>
                <w:sz w:val="20"/>
                <w:szCs w:val="20"/>
              </w:rPr>
              <w:t>)</w:t>
            </w:r>
            <w:r w:rsidRPr="007078AA">
              <w:rPr>
                <w:bCs/>
                <w:sz w:val="20"/>
                <w:szCs w:val="20"/>
              </w:rPr>
              <w:t xml:space="preserve"> to identify other sectoral areas to draft the policies, guidelines to strengthen intergovernmental coordination.</w:t>
            </w:r>
            <w:r w:rsidR="00F8179D">
              <w:rPr>
                <w:bCs/>
                <w:sz w:val="20"/>
                <w:szCs w:val="20"/>
              </w:rPr>
              <w:t xml:space="preserve">  Progress toward the target is ongoing.</w:t>
            </w:r>
          </w:p>
        </w:tc>
      </w:tr>
    </w:tbl>
    <w:p w14:paraId="572CC033" w14:textId="77777777" w:rsidR="008D4FEF" w:rsidRPr="008D4FEF" w:rsidRDefault="008D4FEF" w:rsidP="008D4FEF">
      <w:pPr>
        <w:spacing w:before="0" w:after="0" w:line="240" w:lineRule="auto"/>
      </w:pPr>
    </w:p>
    <w:p w14:paraId="38B4FD18" w14:textId="125E60F5" w:rsidR="007B4C18" w:rsidRDefault="007B4C18" w:rsidP="007B4C18"/>
    <w:p w14:paraId="49BA454F" w14:textId="34851E66" w:rsidR="007B4C18" w:rsidRDefault="007B4C18" w:rsidP="007B4C18"/>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7B4C18" w14:paraId="4E47D944" w14:textId="77777777" w:rsidTr="007B4C18">
        <w:trPr>
          <w:tblHeader/>
        </w:trPr>
        <w:tc>
          <w:tcPr>
            <w:tcW w:w="4390" w:type="dxa"/>
            <w:shd w:val="clear" w:color="auto" w:fill="A2DCD1" w:themeFill="accent1" w:themeFillTint="99"/>
            <w:vAlign w:val="bottom"/>
          </w:tcPr>
          <w:p w14:paraId="7920DB8E" w14:textId="22AEC7AF" w:rsidR="007B4C18" w:rsidRPr="007078AA" w:rsidRDefault="007B4C18" w:rsidP="007B4C18">
            <w:pPr>
              <w:spacing w:before="60" w:line="240" w:lineRule="auto"/>
              <w:contextualSpacing/>
              <w:jc w:val="center"/>
              <w:rPr>
                <w:bCs/>
                <w:sz w:val="20"/>
                <w:szCs w:val="20"/>
              </w:rPr>
            </w:pPr>
            <w:r w:rsidRPr="005736BB">
              <w:rPr>
                <w:b/>
                <w:sz w:val="20"/>
                <w:szCs w:val="20"/>
              </w:rPr>
              <w:lastRenderedPageBreak/>
              <w:t>Key Results Indicators</w:t>
            </w:r>
          </w:p>
        </w:tc>
        <w:tc>
          <w:tcPr>
            <w:tcW w:w="6146" w:type="dxa"/>
            <w:shd w:val="clear" w:color="auto" w:fill="A2DCD1" w:themeFill="accent1" w:themeFillTint="99"/>
            <w:vAlign w:val="bottom"/>
          </w:tcPr>
          <w:p w14:paraId="7C93D463" w14:textId="262F52F3" w:rsidR="007B4C18" w:rsidRDefault="007B4C18" w:rsidP="007B4C18">
            <w:pPr>
              <w:spacing w:before="100" w:beforeAutospacing="1" w:after="100" w:afterAutospacing="1" w:line="240" w:lineRule="auto"/>
              <w:jc w:val="center"/>
              <w:rPr>
                <w:bCs/>
                <w:sz w:val="20"/>
                <w:szCs w:val="20"/>
              </w:rPr>
            </w:pPr>
            <w:r w:rsidRPr="005736BB">
              <w:rPr>
                <w:b/>
                <w:sz w:val="20"/>
                <w:szCs w:val="20"/>
              </w:rPr>
              <w:t>Progress/Result</w:t>
            </w:r>
          </w:p>
        </w:tc>
      </w:tr>
      <w:tr w:rsidR="00CA5021" w14:paraId="0556A95D" w14:textId="77777777" w:rsidTr="007A4493">
        <w:trPr>
          <w:tblHeader/>
        </w:trPr>
        <w:tc>
          <w:tcPr>
            <w:tcW w:w="4390" w:type="dxa"/>
          </w:tcPr>
          <w:p w14:paraId="62F5276A" w14:textId="71FA9AF7" w:rsidR="00CA5021" w:rsidRPr="007078AA" w:rsidRDefault="00193145" w:rsidP="00193145">
            <w:pPr>
              <w:spacing w:before="60" w:line="240" w:lineRule="auto"/>
              <w:contextualSpacing/>
              <w:rPr>
                <w:bCs/>
                <w:sz w:val="20"/>
                <w:szCs w:val="20"/>
              </w:rPr>
            </w:pPr>
            <w:r w:rsidRPr="007078AA">
              <w:rPr>
                <w:bCs/>
                <w:sz w:val="20"/>
                <w:szCs w:val="20"/>
              </w:rPr>
              <w:t>Number of elected women representatives report increased confidence in their leadership skills regarding pandemic/disaster response (Target: 70 per cent of women trained)</w:t>
            </w:r>
          </w:p>
        </w:tc>
        <w:tc>
          <w:tcPr>
            <w:tcW w:w="6146" w:type="dxa"/>
          </w:tcPr>
          <w:p w14:paraId="71F5FF79" w14:textId="0DFBB713" w:rsidR="00CA5021" w:rsidRPr="007078AA" w:rsidRDefault="00FA1125" w:rsidP="00CE0494">
            <w:pPr>
              <w:spacing w:before="100" w:beforeAutospacing="1" w:after="100" w:afterAutospacing="1" w:line="240" w:lineRule="auto"/>
              <w:rPr>
                <w:sz w:val="20"/>
                <w:szCs w:val="20"/>
              </w:rPr>
            </w:pPr>
            <w:r>
              <w:rPr>
                <w:bCs/>
                <w:sz w:val="20"/>
                <w:szCs w:val="20"/>
              </w:rPr>
              <w:t>P</w:t>
            </w:r>
            <w:r w:rsidR="00CE0494" w:rsidRPr="007078AA">
              <w:rPr>
                <w:bCs/>
                <w:sz w:val="20"/>
                <w:szCs w:val="20"/>
              </w:rPr>
              <w:t>rovided leadership training to 483 elected women representatives</w:t>
            </w:r>
            <w:r w:rsidR="007078AA" w:rsidRPr="007078AA">
              <w:rPr>
                <w:bCs/>
                <w:sz w:val="20"/>
                <w:szCs w:val="20"/>
              </w:rPr>
              <w:t xml:space="preserve">. </w:t>
            </w:r>
            <w:r w:rsidR="00CE0494" w:rsidRPr="007078AA">
              <w:rPr>
                <w:bCs/>
                <w:sz w:val="20"/>
                <w:szCs w:val="20"/>
              </w:rPr>
              <w:t xml:space="preserve">Following the training, 412 out of 483 participants </w:t>
            </w:r>
            <w:r w:rsidR="0046292C">
              <w:rPr>
                <w:bCs/>
                <w:sz w:val="20"/>
                <w:szCs w:val="20"/>
              </w:rPr>
              <w:t>reported</w:t>
            </w:r>
            <w:r w:rsidR="00CE0494" w:rsidRPr="007078AA">
              <w:rPr>
                <w:bCs/>
                <w:sz w:val="20"/>
                <w:szCs w:val="20"/>
              </w:rPr>
              <w:t xml:space="preserve"> </w:t>
            </w:r>
            <w:r w:rsidR="0046292C">
              <w:rPr>
                <w:bCs/>
                <w:sz w:val="20"/>
                <w:szCs w:val="20"/>
              </w:rPr>
              <w:t>increased capacity to</w:t>
            </w:r>
            <w:r w:rsidR="00CE0494" w:rsidRPr="007078AA">
              <w:rPr>
                <w:bCs/>
                <w:sz w:val="20"/>
                <w:szCs w:val="20"/>
              </w:rPr>
              <w:t xml:space="preserve"> raise awareness </w:t>
            </w:r>
            <w:r w:rsidR="0046292C">
              <w:rPr>
                <w:bCs/>
                <w:sz w:val="20"/>
                <w:szCs w:val="20"/>
              </w:rPr>
              <w:t>on</w:t>
            </w:r>
            <w:r w:rsidR="00CE0494" w:rsidRPr="007078AA">
              <w:rPr>
                <w:bCs/>
                <w:sz w:val="20"/>
                <w:szCs w:val="20"/>
              </w:rPr>
              <w:t xml:space="preserve"> COVID-19</w:t>
            </w:r>
            <w:r w:rsidR="0046292C">
              <w:rPr>
                <w:bCs/>
                <w:sz w:val="20"/>
                <w:szCs w:val="20"/>
              </w:rPr>
              <w:t xml:space="preserve"> issues</w:t>
            </w:r>
            <w:r w:rsidR="00CE0494" w:rsidRPr="007078AA">
              <w:rPr>
                <w:bCs/>
                <w:sz w:val="20"/>
                <w:szCs w:val="20"/>
              </w:rPr>
              <w:t xml:space="preserve"> </w:t>
            </w:r>
            <w:r w:rsidR="0046292C">
              <w:rPr>
                <w:bCs/>
                <w:sz w:val="20"/>
                <w:szCs w:val="20"/>
              </w:rPr>
              <w:t>to</w:t>
            </w:r>
            <w:r w:rsidR="00CE0494" w:rsidRPr="007078AA">
              <w:rPr>
                <w:bCs/>
                <w:sz w:val="20"/>
                <w:szCs w:val="20"/>
              </w:rPr>
              <w:t xml:space="preserve"> build resilience in their communities</w:t>
            </w:r>
            <w:r w:rsidR="007078AA" w:rsidRPr="007078AA">
              <w:rPr>
                <w:bCs/>
                <w:sz w:val="20"/>
                <w:szCs w:val="20"/>
              </w:rPr>
              <w:t xml:space="preserve">. </w:t>
            </w:r>
            <w:r w:rsidR="00034E67" w:rsidRPr="007078AA">
              <w:rPr>
                <w:bCs/>
                <w:sz w:val="20"/>
                <w:szCs w:val="20"/>
              </w:rPr>
              <w:t>Eighty-three</w:t>
            </w:r>
            <w:r w:rsidR="00CE0494" w:rsidRPr="007078AA">
              <w:rPr>
                <w:bCs/>
                <w:sz w:val="20"/>
                <w:szCs w:val="20"/>
              </w:rPr>
              <w:t xml:space="preserve"> per cent of </w:t>
            </w:r>
            <w:r w:rsidR="00F8179D">
              <w:rPr>
                <w:bCs/>
                <w:sz w:val="20"/>
                <w:szCs w:val="20"/>
              </w:rPr>
              <w:t>the elected women representatives</w:t>
            </w:r>
            <w:r w:rsidR="00F8179D" w:rsidRPr="007078AA">
              <w:rPr>
                <w:bCs/>
                <w:sz w:val="20"/>
                <w:szCs w:val="20"/>
              </w:rPr>
              <w:t xml:space="preserve"> </w:t>
            </w:r>
            <w:r w:rsidR="00F8179D">
              <w:rPr>
                <w:bCs/>
                <w:sz w:val="20"/>
                <w:szCs w:val="20"/>
              </w:rPr>
              <w:t xml:space="preserve">(target 70 per cent) </w:t>
            </w:r>
            <w:r w:rsidR="00CE0494" w:rsidRPr="007078AA">
              <w:rPr>
                <w:bCs/>
                <w:sz w:val="20"/>
                <w:szCs w:val="20"/>
              </w:rPr>
              <w:t xml:space="preserve">reported increased confidence in their leadership skills </w:t>
            </w:r>
            <w:r w:rsidR="0024290D" w:rsidRPr="007078AA">
              <w:rPr>
                <w:bCs/>
                <w:sz w:val="20"/>
                <w:szCs w:val="20"/>
              </w:rPr>
              <w:t>regarding</w:t>
            </w:r>
            <w:r w:rsidR="00CE0494" w:rsidRPr="007078AA">
              <w:rPr>
                <w:bCs/>
                <w:sz w:val="20"/>
                <w:szCs w:val="20"/>
              </w:rPr>
              <w:t xml:space="preserve"> their roles in the pandemic response</w:t>
            </w:r>
            <w:r w:rsidR="007078AA" w:rsidRPr="007078AA">
              <w:rPr>
                <w:bCs/>
                <w:sz w:val="20"/>
                <w:szCs w:val="20"/>
              </w:rPr>
              <w:t xml:space="preserve">. </w:t>
            </w:r>
          </w:p>
        </w:tc>
      </w:tr>
      <w:tr w:rsidR="00CA5021" w14:paraId="5DF0BAD4" w14:textId="77777777" w:rsidTr="007A4493">
        <w:trPr>
          <w:tblHeader/>
        </w:trPr>
        <w:tc>
          <w:tcPr>
            <w:tcW w:w="4390" w:type="dxa"/>
          </w:tcPr>
          <w:p w14:paraId="476782F7" w14:textId="3617F050" w:rsidR="00CA5021" w:rsidRPr="007078AA" w:rsidRDefault="00193145" w:rsidP="00193145">
            <w:pPr>
              <w:spacing w:before="60" w:line="240" w:lineRule="auto"/>
              <w:contextualSpacing/>
              <w:rPr>
                <w:sz w:val="20"/>
                <w:szCs w:val="20"/>
              </w:rPr>
            </w:pPr>
            <w:r w:rsidRPr="007078AA">
              <w:rPr>
                <w:bCs/>
                <w:sz w:val="20"/>
                <w:szCs w:val="20"/>
              </w:rPr>
              <w:t xml:space="preserve">Number of people receiving basic hand washing facilities in their households (Target: 40,000) </w:t>
            </w:r>
          </w:p>
        </w:tc>
        <w:tc>
          <w:tcPr>
            <w:tcW w:w="6146" w:type="dxa"/>
          </w:tcPr>
          <w:p w14:paraId="69182282" w14:textId="3C253938" w:rsidR="00CA5021" w:rsidRPr="0046292C" w:rsidRDefault="0046292C" w:rsidP="0046292C">
            <w:pPr>
              <w:spacing w:before="100" w:beforeAutospacing="1" w:after="100" w:afterAutospacing="1"/>
              <w:rPr>
                <w:bCs/>
                <w:sz w:val="20"/>
                <w:szCs w:val="20"/>
                <w:lang w:val="en-AU"/>
              </w:rPr>
            </w:pPr>
            <w:r>
              <w:rPr>
                <w:bCs/>
                <w:sz w:val="20"/>
                <w:szCs w:val="20"/>
              </w:rPr>
              <w:t>Supported</w:t>
            </w:r>
            <w:r w:rsidR="008200D5" w:rsidRPr="007078AA">
              <w:rPr>
                <w:bCs/>
                <w:sz w:val="20"/>
                <w:szCs w:val="20"/>
              </w:rPr>
              <w:t xml:space="preserve"> </w:t>
            </w:r>
            <w:r>
              <w:rPr>
                <w:bCs/>
                <w:sz w:val="20"/>
                <w:szCs w:val="20"/>
              </w:rPr>
              <w:t>local government</w:t>
            </w:r>
            <w:r w:rsidR="008200D5" w:rsidRPr="007078AA">
              <w:rPr>
                <w:bCs/>
                <w:sz w:val="20"/>
                <w:szCs w:val="20"/>
              </w:rPr>
              <w:t xml:space="preserve"> </w:t>
            </w:r>
            <w:r>
              <w:rPr>
                <w:bCs/>
                <w:sz w:val="20"/>
                <w:szCs w:val="20"/>
              </w:rPr>
              <w:t xml:space="preserve">water, </w:t>
            </w:r>
            <w:proofErr w:type="gramStart"/>
            <w:r>
              <w:rPr>
                <w:bCs/>
                <w:sz w:val="20"/>
                <w:szCs w:val="20"/>
              </w:rPr>
              <w:t>sanitation</w:t>
            </w:r>
            <w:proofErr w:type="gramEnd"/>
            <w:r>
              <w:rPr>
                <w:bCs/>
                <w:sz w:val="20"/>
                <w:szCs w:val="20"/>
              </w:rPr>
              <w:t xml:space="preserve"> and hygiene (WASH)</w:t>
            </w:r>
            <w:r w:rsidR="008200D5" w:rsidRPr="007078AA">
              <w:rPr>
                <w:bCs/>
                <w:sz w:val="20"/>
                <w:szCs w:val="20"/>
              </w:rPr>
              <w:t xml:space="preserve"> coordination committees to increase monitoring</w:t>
            </w:r>
            <w:r>
              <w:rPr>
                <w:bCs/>
                <w:sz w:val="20"/>
                <w:szCs w:val="20"/>
              </w:rPr>
              <w:t xml:space="preserve"> of WASH issues</w:t>
            </w:r>
            <w:r w:rsidR="009651CD">
              <w:rPr>
                <w:bCs/>
                <w:sz w:val="20"/>
                <w:szCs w:val="20"/>
              </w:rPr>
              <w:t xml:space="preserve"> </w:t>
            </w:r>
            <w:r w:rsidR="008200D5" w:rsidRPr="007078AA">
              <w:rPr>
                <w:bCs/>
                <w:sz w:val="20"/>
                <w:szCs w:val="20"/>
              </w:rPr>
              <w:t>and undertake messaging on hygiene practices</w:t>
            </w:r>
            <w:r w:rsidR="007078AA" w:rsidRPr="007078AA">
              <w:rPr>
                <w:bCs/>
                <w:sz w:val="20"/>
                <w:szCs w:val="20"/>
              </w:rPr>
              <w:t>.</w:t>
            </w:r>
            <w:r>
              <w:rPr>
                <w:bCs/>
                <w:sz w:val="20"/>
                <w:szCs w:val="20"/>
              </w:rPr>
              <w:t xml:space="preserve"> This s</w:t>
            </w:r>
            <w:r w:rsidR="008200D5" w:rsidRPr="007078AA">
              <w:rPr>
                <w:bCs/>
                <w:sz w:val="20"/>
                <w:szCs w:val="20"/>
              </w:rPr>
              <w:t xml:space="preserve">upported </w:t>
            </w:r>
            <w:r w:rsidR="00F8179D">
              <w:rPr>
                <w:bCs/>
                <w:sz w:val="20"/>
                <w:szCs w:val="20"/>
              </w:rPr>
              <w:t>15,354 people</w:t>
            </w:r>
            <w:r w:rsidR="00A36E67">
              <w:rPr>
                <w:bCs/>
                <w:sz w:val="20"/>
                <w:szCs w:val="20"/>
              </w:rPr>
              <w:t xml:space="preserve"> receive access</w:t>
            </w:r>
            <w:r w:rsidR="00444F77">
              <w:rPr>
                <w:bCs/>
                <w:sz w:val="20"/>
                <w:szCs w:val="20"/>
              </w:rPr>
              <w:t xml:space="preserve"> to </w:t>
            </w:r>
            <w:r w:rsidR="00A36E67">
              <w:rPr>
                <w:bCs/>
                <w:sz w:val="20"/>
                <w:szCs w:val="20"/>
              </w:rPr>
              <w:t>basic hand washing facilities</w:t>
            </w:r>
            <w:r w:rsidR="00F8179D">
              <w:rPr>
                <w:bCs/>
                <w:sz w:val="20"/>
                <w:szCs w:val="20"/>
              </w:rPr>
              <w:t xml:space="preserve">, including </w:t>
            </w:r>
            <w:r w:rsidR="008200D5" w:rsidRPr="007078AA">
              <w:rPr>
                <w:bCs/>
                <w:sz w:val="20"/>
                <w:szCs w:val="20"/>
              </w:rPr>
              <w:t xml:space="preserve">1,000 households with people with disabilities as well as </w:t>
            </w:r>
            <w:r w:rsidR="00B248CA">
              <w:rPr>
                <w:bCs/>
                <w:sz w:val="20"/>
                <w:szCs w:val="20"/>
              </w:rPr>
              <w:t>eight</w:t>
            </w:r>
            <w:r w:rsidR="008200D5" w:rsidRPr="007078AA">
              <w:rPr>
                <w:bCs/>
                <w:sz w:val="20"/>
                <w:szCs w:val="20"/>
              </w:rPr>
              <w:t xml:space="preserve"> health care facilities, </w:t>
            </w:r>
            <w:r w:rsidR="00034E67" w:rsidRPr="007078AA">
              <w:rPr>
                <w:bCs/>
                <w:sz w:val="20"/>
                <w:szCs w:val="20"/>
              </w:rPr>
              <w:t>two</w:t>
            </w:r>
            <w:r w:rsidR="008200D5" w:rsidRPr="007078AA">
              <w:rPr>
                <w:bCs/>
                <w:sz w:val="20"/>
                <w:szCs w:val="20"/>
              </w:rPr>
              <w:t xml:space="preserve"> schools and </w:t>
            </w:r>
            <w:r w:rsidR="00034E67" w:rsidRPr="007078AA">
              <w:rPr>
                <w:bCs/>
                <w:sz w:val="20"/>
                <w:szCs w:val="20"/>
              </w:rPr>
              <w:t>four</w:t>
            </w:r>
            <w:r w:rsidR="008200D5" w:rsidRPr="007078AA">
              <w:rPr>
                <w:bCs/>
                <w:sz w:val="20"/>
                <w:szCs w:val="20"/>
              </w:rPr>
              <w:t xml:space="preserve"> isolation centres</w:t>
            </w:r>
            <w:r w:rsidR="00B37369">
              <w:rPr>
                <w:bCs/>
                <w:sz w:val="20"/>
                <w:szCs w:val="20"/>
              </w:rPr>
              <w:t xml:space="preserve">. </w:t>
            </w:r>
            <w:r w:rsidR="009651CD">
              <w:rPr>
                <w:bCs/>
                <w:sz w:val="20"/>
                <w:szCs w:val="20"/>
              </w:rPr>
              <w:t>Due to COVID-19 related travel restrictions and market disruptions, progress on this indicator was slower than anticipated, however, work is ongoing.</w:t>
            </w:r>
            <w:r w:rsidR="008200D5" w:rsidRPr="007078AA">
              <w:rPr>
                <w:bCs/>
                <w:sz w:val="20"/>
                <w:szCs w:val="20"/>
              </w:rPr>
              <w:t xml:space="preserve"> </w:t>
            </w:r>
          </w:p>
        </w:tc>
      </w:tr>
      <w:tr w:rsidR="00CA5021" w14:paraId="7E704FEB" w14:textId="77777777" w:rsidTr="007A4493">
        <w:trPr>
          <w:tblHeader/>
        </w:trPr>
        <w:tc>
          <w:tcPr>
            <w:tcW w:w="4390" w:type="dxa"/>
          </w:tcPr>
          <w:p w14:paraId="1CC2F0CD" w14:textId="2D4DF208" w:rsidR="00CA5021" w:rsidRPr="007078AA" w:rsidRDefault="00193145" w:rsidP="00193145">
            <w:pPr>
              <w:spacing w:before="60" w:line="240" w:lineRule="auto"/>
              <w:contextualSpacing/>
              <w:rPr>
                <w:sz w:val="20"/>
                <w:szCs w:val="20"/>
              </w:rPr>
            </w:pPr>
            <w:r w:rsidRPr="007078AA">
              <w:rPr>
                <w:bCs/>
                <w:sz w:val="20"/>
                <w:szCs w:val="20"/>
              </w:rPr>
              <w:t>Food security – Policy and technical advice on building capacity for food security</w:t>
            </w:r>
            <w:r w:rsidR="007078AA" w:rsidRPr="007078AA">
              <w:rPr>
                <w:bCs/>
                <w:sz w:val="20"/>
                <w:szCs w:val="20"/>
              </w:rPr>
              <w:t xml:space="preserve">. </w:t>
            </w:r>
            <w:r w:rsidRPr="007078AA">
              <w:rPr>
                <w:bCs/>
                <w:sz w:val="20"/>
                <w:szCs w:val="20"/>
              </w:rPr>
              <w:t>Examples: Support to produce food security and nutrition surveillance monitoring reports</w:t>
            </w:r>
          </w:p>
        </w:tc>
        <w:tc>
          <w:tcPr>
            <w:tcW w:w="6146" w:type="dxa"/>
          </w:tcPr>
          <w:p w14:paraId="7D9CAB9B" w14:textId="4D833828" w:rsidR="00CA5021" w:rsidRPr="007078AA" w:rsidRDefault="00CE0494" w:rsidP="00BF39D9">
            <w:pPr>
              <w:spacing w:before="0" w:after="0"/>
              <w:rPr>
                <w:sz w:val="20"/>
                <w:szCs w:val="20"/>
              </w:rPr>
            </w:pPr>
            <w:r w:rsidRPr="007078AA">
              <w:rPr>
                <w:sz w:val="20"/>
                <w:szCs w:val="20"/>
              </w:rPr>
              <w:t>I</w:t>
            </w:r>
            <w:r w:rsidR="0046292C">
              <w:rPr>
                <w:sz w:val="20"/>
                <w:szCs w:val="20"/>
              </w:rPr>
              <w:t xml:space="preserve">n </w:t>
            </w:r>
            <w:r w:rsidRPr="007078AA">
              <w:rPr>
                <w:sz w:val="20"/>
                <w:szCs w:val="20"/>
              </w:rPr>
              <w:t>partnership with WFP, supported a household Vulnerability Analysis and Mapping report and two market assessment reports</w:t>
            </w:r>
            <w:r w:rsidR="0046292C">
              <w:rPr>
                <w:sz w:val="20"/>
                <w:szCs w:val="20"/>
              </w:rPr>
              <w:t xml:space="preserve"> to </w:t>
            </w:r>
            <w:r w:rsidRPr="007078AA">
              <w:rPr>
                <w:sz w:val="20"/>
                <w:szCs w:val="20"/>
              </w:rPr>
              <w:t xml:space="preserve">provide </w:t>
            </w:r>
            <w:proofErr w:type="spellStart"/>
            <w:r w:rsidR="0046292C">
              <w:rPr>
                <w:sz w:val="20"/>
                <w:szCs w:val="20"/>
              </w:rPr>
              <w:t>GoN</w:t>
            </w:r>
            <w:proofErr w:type="spellEnd"/>
            <w:r w:rsidRPr="007078AA">
              <w:rPr>
                <w:sz w:val="20"/>
                <w:szCs w:val="20"/>
              </w:rPr>
              <w:t xml:space="preserve"> with food security and nutrition data to inform policy development and service delivery needs</w:t>
            </w:r>
            <w:r w:rsidR="007078AA" w:rsidRPr="007078AA">
              <w:rPr>
                <w:sz w:val="20"/>
                <w:szCs w:val="20"/>
              </w:rPr>
              <w:t xml:space="preserve">. </w:t>
            </w:r>
          </w:p>
        </w:tc>
      </w:tr>
    </w:tbl>
    <w:p w14:paraId="173513DC" w14:textId="77777777" w:rsidR="008D4FEF" w:rsidRDefault="008D4FEF" w:rsidP="008D4FEF">
      <w:pPr>
        <w:pStyle w:val="Heading3"/>
      </w:pPr>
    </w:p>
    <w:p w14:paraId="3F2619AB" w14:textId="1DB08042" w:rsidR="00AE2B7B" w:rsidRPr="00AE2B7B" w:rsidRDefault="00AE2B7B" w:rsidP="008D4FEF">
      <w:pPr>
        <w:pStyle w:val="Heading3"/>
      </w:pPr>
      <w:r w:rsidRPr="00AE2B7B">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007A4493">
        <w:trPr>
          <w:tblHeader/>
        </w:trPr>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007A4493">
        <w:trPr>
          <w:tblHeader/>
        </w:trPr>
        <w:tc>
          <w:tcPr>
            <w:tcW w:w="4390" w:type="dxa"/>
          </w:tcPr>
          <w:p w14:paraId="09579CA3" w14:textId="54B0D7DA" w:rsidR="00F94033" w:rsidRPr="007078AA" w:rsidRDefault="00F94033" w:rsidP="00F94033">
            <w:pPr>
              <w:spacing w:before="60" w:line="240" w:lineRule="auto"/>
              <w:rPr>
                <w:sz w:val="20"/>
                <w:szCs w:val="20"/>
              </w:rPr>
            </w:pPr>
            <w:r w:rsidRPr="007078AA">
              <w:rPr>
                <w:bCs/>
                <w:sz w:val="20"/>
                <w:szCs w:val="20"/>
              </w:rPr>
              <w:t>Economic policy support</w:t>
            </w:r>
            <w:r w:rsidRPr="007078AA">
              <w:rPr>
                <w:sz w:val="20"/>
                <w:szCs w:val="20"/>
              </w:rPr>
              <w:t xml:space="preserve"> – Technical and policy advice provided on stimulus measure or longer-term economic recovery</w:t>
            </w:r>
            <w:r w:rsidRPr="007078AA">
              <w:rPr>
                <w:sz w:val="20"/>
                <w:szCs w:val="20"/>
              </w:rPr>
              <w:br/>
            </w:r>
            <w:r w:rsidRPr="007078AA">
              <w:rPr>
                <w:sz w:val="20"/>
                <w:szCs w:val="20"/>
              </w:rPr>
              <w:br/>
              <w:t>Examples:</w:t>
            </w:r>
          </w:p>
          <w:p w14:paraId="0120BC83" w14:textId="5F5B7953" w:rsidR="00F94033" w:rsidRPr="007078AA" w:rsidRDefault="00F94033" w:rsidP="00F94033">
            <w:pPr>
              <w:pStyle w:val="ListParagraph"/>
              <w:numPr>
                <w:ilvl w:val="0"/>
                <w:numId w:val="14"/>
              </w:numPr>
              <w:spacing w:before="60" w:line="240" w:lineRule="auto"/>
              <w:rPr>
                <w:sz w:val="20"/>
                <w:szCs w:val="20"/>
              </w:rPr>
            </w:pPr>
            <w:r w:rsidRPr="007078AA">
              <w:rPr>
                <w:sz w:val="20"/>
                <w:szCs w:val="20"/>
              </w:rPr>
              <w:t xml:space="preserve">Support to develop a robust Federal Medium Term Expenditure Framework </w:t>
            </w:r>
          </w:p>
          <w:p w14:paraId="234C1CE4" w14:textId="5F6D0B0F" w:rsidR="00CA5021" w:rsidRPr="007078AA" w:rsidRDefault="00F94033" w:rsidP="00F94033">
            <w:pPr>
              <w:pStyle w:val="ListParagraph"/>
              <w:numPr>
                <w:ilvl w:val="0"/>
                <w:numId w:val="14"/>
              </w:numPr>
              <w:spacing w:before="60" w:line="240" w:lineRule="auto"/>
              <w:rPr>
                <w:sz w:val="20"/>
                <w:szCs w:val="20"/>
              </w:rPr>
            </w:pPr>
            <w:r w:rsidRPr="007078AA">
              <w:rPr>
                <w:sz w:val="20"/>
                <w:szCs w:val="20"/>
              </w:rPr>
              <w:t>Unified budget guidelines, including gender-responsive budgeting processes in sub</w:t>
            </w:r>
            <w:r w:rsidRPr="007078AA">
              <w:rPr>
                <w:sz w:val="20"/>
                <w:szCs w:val="20"/>
              </w:rPr>
              <w:noBreakHyphen/>
              <w:t>national governments</w:t>
            </w:r>
          </w:p>
        </w:tc>
        <w:tc>
          <w:tcPr>
            <w:tcW w:w="6146" w:type="dxa"/>
          </w:tcPr>
          <w:p w14:paraId="7E94481C" w14:textId="77777777" w:rsidR="00D922DF" w:rsidRDefault="00E67BC0" w:rsidP="00D922DF">
            <w:pPr>
              <w:spacing w:before="0" w:after="0"/>
              <w:rPr>
                <w:sz w:val="20"/>
                <w:szCs w:val="20"/>
              </w:rPr>
            </w:pPr>
            <w:r w:rsidRPr="007078AA">
              <w:rPr>
                <w:sz w:val="20"/>
                <w:szCs w:val="20"/>
              </w:rPr>
              <w:t xml:space="preserve">In partnership with the World Bank, </w:t>
            </w:r>
            <w:r w:rsidR="0046292C">
              <w:rPr>
                <w:sz w:val="20"/>
                <w:szCs w:val="20"/>
              </w:rPr>
              <w:t>s</w:t>
            </w:r>
            <w:r w:rsidRPr="007078AA">
              <w:rPr>
                <w:sz w:val="20"/>
                <w:szCs w:val="20"/>
              </w:rPr>
              <w:t xml:space="preserve">upported reform and strengthening of Nepal’s </w:t>
            </w:r>
            <w:r w:rsidR="0046292C">
              <w:rPr>
                <w:sz w:val="20"/>
                <w:szCs w:val="20"/>
              </w:rPr>
              <w:t>p</w:t>
            </w:r>
            <w:r w:rsidRPr="007078AA">
              <w:rPr>
                <w:sz w:val="20"/>
                <w:szCs w:val="20"/>
              </w:rPr>
              <w:t xml:space="preserve">ublic </w:t>
            </w:r>
            <w:r w:rsidR="0046292C">
              <w:rPr>
                <w:sz w:val="20"/>
                <w:szCs w:val="20"/>
              </w:rPr>
              <w:t>f</w:t>
            </w:r>
            <w:r w:rsidRPr="007078AA">
              <w:rPr>
                <w:sz w:val="20"/>
                <w:szCs w:val="20"/>
              </w:rPr>
              <w:t xml:space="preserve">inancial </w:t>
            </w:r>
            <w:r w:rsidR="0046292C">
              <w:rPr>
                <w:sz w:val="20"/>
                <w:szCs w:val="20"/>
              </w:rPr>
              <w:t>m</w:t>
            </w:r>
            <w:r w:rsidRPr="007078AA">
              <w:rPr>
                <w:sz w:val="20"/>
                <w:szCs w:val="20"/>
              </w:rPr>
              <w:t>anagement</w:t>
            </w:r>
            <w:r w:rsidR="00502DF1" w:rsidRPr="007078AA">
              <w:rPr>
                <w:sz w:val="20"/>
                <w:szCs w:val="20"/>
              </w:rPr>
              <w:t xml:space="preserve"> </w:t>
            </w:r>
            <w:r w:rsidR="0046292C">
              <w:rPr>
                <w:sz w:val="20"/>
                <w:szCs w:val="20"/>
              </w:rPr>
              <w:t>essential for</w:t>
            </w:r>
            <w:r w:rsidRPr="007078AA">
              <w:rPr>
                <w:sz w:val="20"/>
                <w:szCs w:val="20"/>
              </w:rPr>
              <w:t xml:space="preserve"> longer-term economic recovery from COVID-19</w:t>
            </w:r>
            <w:r w:rsidR="007078AA" w:rsidRPr="007078AA">
              <w:rPr>
                <w:sz w:val="20"/>
                <w:szCs w:val="20"/>
              </w:rPr>
              <w:t xml:space="preserve">. </w:t>
            </w:r>
            <w:r w:rsidR="0046292C">
              <w:rPr>
                <w:sz w:val="20"/>
                <w:szCs w:val="20"/>
              </w:rPr>
              <w:t xml:space="preserve">This </w:t>
            </w:r>
            <w:r w:rsidRPr="007078AA">
              <w:rPr>
                <w:sz w:val="20"/>
                <w:szCs w:val="20"/>
              </w:rPr>
              <w:t xml:space="preserve">improved government service delivery through the initiation of </w:t>
            </w:r>
            <w:r w:rsidR="0046292C">
              <w:rPr>
                <w:sz w:val="20"/>
                <w:szCs w:val="20"/>
              </w:rPr>
              <w:t xml:space="preserve">the </w:t>
            </w:r>
            <w:r w:rsidRPr="007078AA">
              <w:rPr>
                <w:sz w:val="20"/>
                <w:szCs w:val="20"/>
              </w:rPr>
              <w:t xml:space="preserve">National Business Continuity Management Guideline and Business Continuity Plan for the three </w:t>
            </w:r>
            <w:r w:rsidR="0046292C">
              <w:rPr>
                <w:sz w:val="20"/>
                <w:szCs w:val="20"/>
              </w:rPr>
              <w:t>levels</w:t>
            </w:r>
            <w:r w:rsidR="00502DF1" w:rsidRPr="007078AA">
              <w:rPr>
                <w:sz w:val="20"/>
                <w:szCs w:val="20"/>
              </w:rPr>
              <w:t xml:space="preserve"> </w:t>
            </w:r>
            <w:r w:rsidRPr="007078AA">
              <w:rPr>
                <w:sz w:val="20"/>
                <w:szCs w:val="20"/>
              </w:rPr>
              <w:t>of government</w:t>
            </w:r>
            <w:r w:rsidR="00502DF1" w:rsidRPr="007078AA">
              <w:rPr>
                <w:sz w:val="20"/>
                <w:szCs w:val="20"/>
              </w:rPr>
              <w:t xml:space="preserve">. </w:t>
            </w:r>
          </w:p>
          <w:p w14:paraId="0F2D3FB7" w14:textId="77777777" w:rsidR="00D922DF" w:rsidRDefault="00D922DF" w:rsidP="00CA5021">
            <w:pPr>
              <w:spacing w:before="0" w:after="0"/>
              <w:ind w:left="97"/>
              <w:rPr>
                <w:sz w:val="20"/>
                <w:szCs w:val="20"/>
              </w:rPr>
            </w:pPr>
          </w:p>
          <w:p w14:paraId="5A50515E" w14:textId="280CC87B" w:rsidR="00CA5021" w:rsidRPr="007078AA" w:rsidRDefault="00D922DF" w:rsidP="00D922DF">
            <w:pPr>
              <w:spacing w:before="0" w:after="0"/>
              <w:rPr>
                <w:sz w:val="20"/>
                <w:szCs w:val="20"/>
              </w:rPr>
            </w:pPr>
            <w:r>
              <w:rPr>
                <w:sz w:val="20"/>
                <w:szCs w:val="20"/>
              </w:rPr>
              <w:t>Supported t</w:t>
            </w:r>
            <w:r w:rsidR="00E67BC0" w:rsidRPr="007078AA">
              <w:rPr>
                <w:sz w:val="20"/>
                <w:szCs w:val="20"/>
              </w:rPr>
              <w:t xml:space="preserve">he </w:t>
            </w:r>
            <w:r w:rsidRPr="007078AA">
              <w:rPr>
                <w:sz w:val="20"/>
                <w:szCs w:val="20"/>
              </w:rPr>
              <w:t>Office of the Auditor</w:t>
            </w:r>
            <w:r>
              <w:rPr>
                <w:sz w:val="20"/>
                <w:szCs w:val="20"/>
              </w:rPr>
              <w:t>-</w:t>
            </w:r>
            <w:r w:rsidRPr="007078AA">
              <w:rPr>
                <w:sz w:val="20"/>
                <w:szCs w:val="20"/>
              </w:rPr>
              <w:t xml:space="preserve">General </w:t>
            </w:r>
            <w:r>
              <w:rPr>
                <w:sz w:val="20"/>
                <w:szCs w:val="20"/>
              </w:rPr>
              <w:t xml:space="preserve">to upgrade the </w:t>
            </w:r>
            <w:r w:rsidR="00E67BC0" w:rsidRPr="007078AA">
              <w:rPr>
                <w:sz w:val="20"/>
                <w:szCs w:val="20"/>
              </w:rPr>
              <w:t xml:space="preserve">Nepal Audit Management System </w:t>
            </w:r>
            <w:r>
              <w:rPr>
                <w:sz w:val="20"/>
                <w:szCs w:val="20"/>
              </w:rPr>
              <w:t xml:space="preserve">to enable </w:t>
            </w:r>
            <w:r w:rsidR="00E67BC0" w:rsidRPr="007078AA">
              <w:rPr>
                <w:sz w:val="20"/>
                <w:szCs w:val="20"/>
              </w:rPr>
              <w:t>remote auditing capabilit</w:t>
            </w:r>
            <w:r w:rsidR="00502DF1" w:rsidRPr="007078AA">
              <w:rPr>
                <w:sz w:val="20"/>
                <w:szCs w:val="20"/>
              </w:rPr>
              <w:t>ies</w:t>
            </w:r>
            <w:r w:rsidR="00E67BC0" w:rsidRPr="007078AA">
              <w:rPr>
                <w:sz w:val="20"/>
                <w:szCs w:val="20"/>
              </w:rPr>
              <w:t xml:space="preserve"> of all three </w:t>
            </w:r>
            <w:r>
              <w:rPr>
                <w:sz w:val="20"/>
                <w:szCs w:val="20"/>
              </w:rPr>
              <w:t>level</w:t>
            </w:r>
            <w:r w:rsidR="00502DF1" w:rsidRPr="007078AA">
              <w:rPr>
                <w:sz w:val="20"/>
                <w:szCs w:val="20"/>
              </w:rPr>
              <w:t xml:space="preserve"> </w:t>
            </w:r>
            <w:r w:rsidR="00E67BC0" w:rsidRPr="007078AA">
              <w:rPr>
                <w:sz w:val="20"/>
                <w:szCs w:val="20"/>
              </w:rPr>
              <w:t xml:space="preserve">of government, the importance of which </w:t>
            </w:r>
            <w:r w:rsidR="00A87217" w:rsidRPr="007078AA">
              <w:rPr>
                <w:sz w:val="20"/>
                <w:szCs w:val="20"/>
              </w:rPr>
              <w:t xml:space="preserve">was </w:t>
            </w:r>
            <w:r w:rsidR="00E67BC0" w:rsidRPr="007078AA">
              <w:rPr>
                <w:sz w:val="20"/>
                <w:szCs w:val="20"/>
              </w:rPr>
              <w:t>highlighted by the pandemic</w:t>
            </w:r>
            <w:r w:rsidR="007078AA" w:rsidRPr="007078AA">
              <w:rPr>
                <w:sz w:val="20"/>
                <w:szCs w:val="20"/>
              </w:rPr>
              <w:t xml:space="preserve">. </w:t>
            </w:r>
          </w:p>
        </w:tc>
      </w:tr>
      <w:tr w:rsidR="00CA5021" w14:paraId="1EAE2D66" w14:textId="77777777" w:rsidTr="007A4493">
        <w:trPr>
          <w:tblHeader/>
        </w:trPr>
        <w:tc>
          <w:tcPr>
            <w:tcW w:w="4390" w:type="dxa"/>
          </w:tcPr>
          <w:p w14:paraId="65838CB2" w14:textId="0BB3647F" w:rsidR="00CA5021" w:rsidRPr="007078AA" w:rsidRDefault="00F94033" w:rsidP="00D922DF">
            <w:pPr>
              <w:spacing w:before="0" w:after="0"/>
              <w:rPr>
                <w:sz w:val="20"/>
                <w:szCs w:val="20"/>
              </w:rPr>
            </w:pPr>
            <w:r w:rsidRPr="007078AA">
              <w:rPr>
                <w:sz w:val="20"/>
                <w:szCs w:val="20"/>
              </w:rPr>
              <w:t xml:space="preserve">Economic empowerment – Number of </w:t>
            </w:r>
            <w:r w:rsidR="00B37369">
              <w:rPr>
                <w:sz w:val="20"/>
                <w:szCs w:val="20"/>
              </w:rPr>
              <w:t>women</w:t>
            </w:r>
            <w:r w:rsidRPr="007078AA">
              <w:rPr>
                <w:sz w:val="20"/>
                <w:szCs w:val="20"/>
              </w:rPr>
              <w:t xml:space="preserve"> entrepreneurs provided with financial and/or business development services (including microfinance) (Target: 7,200</w:t>
            </w:r>
            <w:r w:rsidR="00812BCC" w:rsidRPr="007078AA">
              <w:rPr>
                <w:sz w:val="20"/>
                <w:szCs w:val="20"/>
              </w:rPr>
              <w:t>*</w:t>
            </w:r>
            <w:r w:rsidRPr="007078AA">
              <w:rPr>
                <w:sz w:val="20"/>
                <w:szCs w:val="20"/>
              </w:rPr>
              <w:t xml:space="preserve">) </w:t>
            </w:r>
          </w:p>
        </w:tc>
        <w:tc>
          <w:tcPr>
            <w:tcW w:w="6146" w:type="dxa"/>
          </w:tcPr>
          <w:p w14:paraId="02B96D99" w14:textId="6E9D8928" w:rsidR="00CA5021" w:rsidRPr="007078AA" w:rsidRDefault="00D922DF" w:rsidP="00D922DF">
            <w:pPr>
              <w:spacing w:before="0" w:after="0"/>
              <w:rPr>
                <w:sz w:val="20"/>
                <w:szCs w:val="20"/>
              </w:rPr>
            </w:pPr>
            <w:r>
              <w:rPr>
                <w:sz w:val="20"/>
                <w:szCs w:val="20"/>
              </w:rPr>
              <w:t>P</w:t>
            </w:r>
            <w:r w:rsidR="00CE0494" w:rsidRPr="007078AA">
              <w:rPr>
                <w:sz w:val="20"/>
                <w:szCs w:val="20"/>
              </w:rPr>
              <w:t>rovided technical advice to support recovery from the economic impacts of COVID-19</w:t>
            </w:r>
            <w:r>
              <w:rPr>
                <w:sz w:val="20"/>
                <w:szCs w:val="20"/>
              </w:rPr>
              <w:t>, including technical assistance</w:t>
            </w:r>
            <w:r w:rsidR="00CE0494" w:rsidRPr="007078AA">
              <w:rPr>
                <w:sz w:val="20"/>
                <w:szCs w:val="20"/>
              </w:rPr>
              <w:t xml:space="preserve"> to the Ministry of Industry, Commerce and Supplies to embed its micro-enterprise development program within local governments</w:t>
            </w:r>
            <w:r w:rsidR="007078AA" w:rsidRPr="007078AA">
              <w:rPr>
                <w:sz w:val="20"/>
                <w:szCs w:val="20"/>
              </w:rPr>
              <w:t xml:space="preserve">. </w:t>
            </w:r>
            <w:r w:rsidR="00CE0494" w:rsidRPr="007078AA">
              <w:rPr>
                <w:sz w:val="20"/>
                <w:szCs w:val="20"/>
              </w:rPr>
              <w:t xml:space="preserve">The resulted in the creation of 7,478 new </w:t>
            </w:r>
            <w:r w:rsidR="00413B1D" w:rsidRPr="007078AA">
              <w:rPr>
                <w:sz w:val="20"/>
                <w:szCs w:val="20"/>
              </w:rPr>
              <w:t>m</w:t>
            </w:r>
            <w:r w:rsidR="00CE0494" w:rsidRPr="007078AA">
              <w:rPr>
                <w:sz w:val="20"/>
                <w:szCs w:val="20"/>
              </w:rPr>
              <w:t>icroentrepreneurs, of which 84 per cent were women and 44 per cent from traditionally marginalised indigenous communities.</w:t>
            </w:r>
          </w:p>
        </w:tc>
      </w:tr>
      <w:tr w:rsidR="00CA5021" w14:paraId="4DF45926" w14:textId="77777777" w:rsidTr="007A4493">
        <w:trPr>
          <w:tblHeader/>
        </w:trPr>
        <w:tc>
          <w:tcPr>
            <w:tcW w:w="4390" w:type="dxa"/>
          </w:tcPr>
          <w:p w14:paraId="0B1E2DC4" w14:textId="03AC07A0" w:rsidR="00CA5021" w:rsidRPr="007078AA" w:rsidRDefault="00F94033" w:rsidP="00D922DF">
            <w:pPr>
              <w:spacing w:before="0" w:after="0"/>
              <w:rPr>
                <w:sz w:val="20"/>
                <w:szCs w:val="20"/>
              </w:rPr>
            </w:pPr>
            <w:r w:rsidRPr="007078AA">
              <w:rPr>
                <w:sz w:val="20"/>
                <w:szCs w:val="20"/>
              </w:rPr>
              <w:t>Number of people with access to digital financial services (Target: 25,000)</w:t>
            </w:r>
          </w:p>
        </w:tc>
        <w:tc>
          <w:tcPr>
            <w:tcW w:w="6146" w:type="dxa"/>
          </w:tcPr>
          <w:p w14:paraId="1FCE71E6" w14:textId="634C87E9" w:rsidR="00CA5021" w:rsidRPr="007078AA" w:rsidRDefault="00D922DF" w:rsidP="00D922DF">
            <w:pPr>
              <w:spacing w:before="0" w:after="0"/>
              <w:rPr>
                <w:sz w:val="20"/>
                <w:szCs w:val="20"/>
              </w:rPr>
            </w:pPr>
            <w:r>
              <w:rPr>
                <w:sz w:val="20"/>
                <w:szCs w:val="20"/>
              </w:rPr>
              <w:t>Supported</w:t>
            </w:r>
            <w:r w:rsidR="00CE0494" w:rsidRPr="007078AA">
              <w:rPr>
                <w:sz w:val="20"/>
                <w:szCs w:val="20"/>
              </w:rPr>
              <w:t xml:space="preserve"> 21,396 people to access digital financial services </w:t>
            </w:r>
            <w:r>
              <w:rPr>
                <w:sz w:val="20"/>
                <w:szCs w:val="20"/>
              </w:rPr>
              <w:t>(</w:t>
            </w:r>
            <w:r w:rsidR="00CE0494" w:rsidRPr="007078AA">
              <w:rPr>
                <w:sz w:val="20"/>
                <w:szCs w:val="20"/>
              </w:rPr>
              <w:t>14,208 women</w:t>
            </w:r>
            <w:r>
              <w:rPr>
                <w:sz w:val="20"/>
                <w:szCs w:val="20"/>
              </w:rPr>
              <w:t>)</w:t>
            </w:r>
            <w:r w:rsidR="007078AA" w:rsidRPr="007078AA">
              <w:rPr>
                <w:sz w:val="20"/>
                <w:szCs w:val="20"/>
              </w:rPr>
              <w:t xml:space="preserve">. </w:t>
            </w:r>
            <w:r>
              <w:rPr>
                <w:sz w:val="20"/>
                <w:szCs w:val="20"/>
              </w:rPr>
              <w:t>P</w:t>
            </w:r>
            <w:r w:rsidRPr="007078AA">
              <w:rPr>
                <w:sz w:val="20"/>
                <w:szCs w:val="20"/>
              </w:rPr>
              <w:t>roviding access to digital financial services</w:t>
            </w:r>
            <w:r>
              <w:rPr>
                <w:sz w:val="20"/>
                <w:szCs w:val="20"/>
              </w:rPr>
              <w:t xml:space="preserve"> </w:t>
            </w:r>
            <w:r w:rsidR="00CE0494" w:rsidRPr="007078AA">
              <w:rPr>
                <w:sz w:val="20"/>
                <w:szCs w:val="20"/>
              </w:rPr>
              <w:t>played a crucial role in sending and receiving remittance during the COVID-19 pandemic</w:t>
            </w:r>
            <w:r w:rsidR="002B5ED3" w:rsidRPr="007078AA">
              <w:rPr>
                <w:sz w:val="20"/>
                <w:szCs w:val="20"/>
              </w:rPr>
              <w:t>,</w:t>
            </w:r>
            <w:r w:rsidR="00CE0494" w:rsidRPr="007078AA">
              <w:rPr>
                <w:sz w:val="20"/>
                <w:szCs w:val="20"/>
              </w:rPr>
              <w:t xml:space="preserve"> </w:t>
            </w:r>
            <w:r>
              <w:rPr>
                <w:sz w:val="20"/>
                <w:szCs w:val="20"/>
              </w:rPr>
              <w:t>fostering</w:t>
            </w:r>
            <w:r w:rsidR="00CE0494" w:rsidRPr="007078AA">
              <w:rPr>
                <w:sz w:val="20"/>
                <w:szCs w:val="20"/>
              </w:rPr>
              <w:t xml:space="preserve"> financial inclusion in remote areas of Nepal</w:t>
            </w:r>
            <w:r w:rsidR="007078AA" w:rsidRPr="007078AA">
              <w:rPr>
                <w:sz w:val="20"/>
                <w:szCs w:val="20"/>
              </w:rPr>
              <w:t xml:space="preserve">. </w:t>
            </w:r>
          </w:p>
        </w:tc>
      </w:tr>
    </w:tbl>
    <w:p w14:paraId="2F13E6BA" w14:textId="2719CEF7" w:rsidR="00812BCC" w:rsidRPr="0024290D" w:rsidRDefault="00812BCC" w:rsidP="00812BCC">
      <w:pPr>
        <w:rPr>
          <w:sz w:val="20"/>
          <w:szCs w:val="20"/>
        </w:rPr>
        <w:sectPr w:rsidR="00812BCC" w:rsidRPr="0024290D" w:rsidSect="000A0651">
          <w:headerReference w:type="default" r:id="rId9"/>
          <w:footerReference w:type="default" r:id="rId10"/>
          <w:headerReference w:type="first" r:id="rId11"/>
          <w:footerReference w:type="first" r:id="rId12"/>
          <w:pgSz w:w="11906" w:h="16838" w:code="9"/>
          <w:pgMar w:top="1559" w:right="680" w:bottom="1418" w:left="680" w:header="567" w:footer="347" w:gutter="0"/>
          <w:cols w:space="397"/>
          <w:titlePg/>
          <w:docGrid w:linePitch="360"/>
        </w:sectPr>
      </w:pPr>
      <w:r w:rsidRPr="0024290D">
        <w:rPr>
          <w:sz w:val="20"/>
          <w:szCs w:val="20"/>
        </w:rPr>
        <w:t>* Target has been corrected due to a publication error.</w:t>
      </w:r>
    </w:p>
    <w:p w14:paraId="7B536D24" w14:textId="77777777" w:rsidR="0054522E" w:rsidRDefault="0054522E" w:rsidP="0054522E">
      <w:pPr>
        <w:pStyle w:val="Heading2"/>
      </w:pPr>
      <w:r>
        <w:lastRenderedPageBreak/>
        <w:t>Annex 2</w:t>
      </w:r>
      <w:r w:rsidRPr="00D1231A">
        <w:t xml:space="preserve">: </w:t>
      </w:r>
      <w:r>
        <w:t>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54522E" w:rsidRPr="00AF18F4" w14:paraId="1DF38321"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4A8F0B05" w14:textId="77777777" w:rsidR="0054522E" w:rsidRPr="005736BB" w:rsidRDefault="0054522E" w:rsidP="00FA5C79">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hideMark/>
          </w:tcPr>
          <w:p w14:paraId="6CA68BEA" w14:textId="651C5438"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hideMark/>
          </w:tcPr>
          <w:p w14:paraId="4C528CB0" w14:textId="77777777"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hideMark/>
          </w:tcPr>
          <w:p w14:paraId="15EC1F5F" w14:textId="77777777"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hideMark/>
          </w:tcPr>
          <w:p w14:paraId="1E7C346A" w14:textId="77777777"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54522E" w:rsidRPr="00AF18F4" w14:paraId="438644B3"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21FA3A71" w14:textId="77777777" w:rsidR="0054522E" w:rsidRPr="00CA5021" w:rsidRDefault="0054522E" w:rsidP="00FA5C79">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PFM Multi Donor Trust Fund Phase II</w:t>
            </w:r>
          </w:p>
        </w:tc>
        <w:tc>
          <w:tcPr>
            <w:tcW w:w="1134" w:type="dxa"/>
            <w:tcBorders>
              <w:top w:val="none" w:sz="0" w:space="0" w:color="auto"/>
              <w:bottom w:val="none" w:sz="0" w:space="0" w:color="auto"/>
            </w:tcBorders>
            <w:shd w:val="clear" w:color="auto" w:fill="F2F2F2" w:themeFill="background1" w:themeFillShade="F2"/>
            <w:hideMark/>
          </w:tcPr>
          <w:p w14:paraId="17A0D666"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2021</w:t>
            </w:r>
          </w:p>
        </w:tc>
        <w:tc>
          <w:tcPr>
            <w:tcW w:w="1276" w:type="dxa"/>
            <w:tcBorders>
              <w:top w:val="none" w:sz="0" w:space="0" w:color="auto"/>
              <w:bottom w:val="none" w:sz="0" w:space="0" w:color="auto"/>
            </w:tcBorders>
            <w:shd w:val="clear" w:color="auto" w:fill="F2F2F2" w:themeFill="background1" w:themeFillShade="F2"/>
            <w:noWrap/>
            <w:hideMark/>
          </w:tcPr>
          <w:p w14:paraId="104DB643"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c>
          <w:tcPr>
            <w:tcW w:w="1134" w:type="dxa"/>
            <w:tcBorders>
              <w:top w:val="none" w:sz="0" w:space="0" w:color="auto"/>
              <w:bottom w:val="none" w:sz="0" w:space="0" w:color="auto"/>
            </w:tcBorders>
            <w:shd w:val="clear" w:color="auto" w:fill="F2F2F2" w:themeFill="background1" w:themeFillShade="F2"/>
            <w:noWrap/>
            <w:hideMark/>
          </w:tcPr>
          <w:p w14:paraId="1055EC74"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c>
          <w:tcPr>
            <w:tcW w:w="1276" w:type="dxa"/>
            <w:tcBorders>
              <w:top w:val="none" w:sz="0" w:space="0" w:color="auto"/>
              <w:bottom w:val="none" w:sz="0" w:space="0" w:color="auto"/>
            </w:tcBorders>
            <w:shd w:val="clear" w:color="auto" w:fill="F2F2F2" w:themeFill="background1" w:themeFillShade="F2"/>
            <w:noWrap/>
            <w:hideMark/>
          </w:tcPr>
          <w:p w14:paraId="4B5CD5E3"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r>
      <w:tr w:rsidR="0054522E" w:rsidRPr="00AF18F4" w14:paraId="00BAA1FD"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11065BB3" w14:textId="7DE33C64" w:rsidR="0054522E" w:rsidRPr="00CA5021" w:rsidRDefault="0054522E" w:rsidP="00FA5C79">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uration: 20</w:t>
            </w:r>
            <w:r>
              <w:rPr>
                <w:rFonts w:asciiTheme="minorHAnsi" w:eastAsia="Times New Roman" w:hAnsiTheme="minorHAnsi" w:cstheme="minorHAnsi"/>
                <w:color w:val="404040"/>
                <w:sz w:val="20"/>
                <w:szCs w:val="20"/>
                <w:lang w:val="en-AU" w:eastAsia="en-AU"/>
              </w:rPr>
              <w:t>16</w:t>
            </w:r>
            <w:r w:rsidRPr="00CA5021">
              <w:rPr>
                <w:rFonts w:asciiTheme="minorHAnsi" w:eastAsia="Times New Roman" w:hAnsiTheme="minorHAnsi" w:cstheme="minorHAnsi"/>
                <w:color w:val="404040"/>
                <w:sz w:val="20"/>
                <w:szCs w:val="20"/>
                <w:lang w:val="en-AU" w:eastAsia="en-AU"/>
              </w:rPr>
              <w:t>-2</w:t>
            </w:r>
            <w:r>
              <w:rPr>
                <w:rFonts w:asciiTheme="minorHAnsi" w:eastAsia="Times New Roman" w:hAnsiTheme="minorHAnsi" w:cstheme="minorHAnsi"/>
                <w:color w:val="404040"/>
                <w:sz w:val="20"/>
                <w:szCs w:val="20"/>
                <w:lang w:val="en-AU" w:eastAsia="en-AU"/>
              </w:rPr>
              <w:t>6</w:t>
            </w:r>
            <w:r w:rsidRPr="00CA5021">
              <w:rPr>
                <w:rFonts w:asciiTheme="minorHAnsi" w:eastAsia="Times New Roman" w:hAnsiTheme="minorHAnsi" w:cstheme="minorHAnsi"/>
                <w:color w:val="404040"/>
                <w:sz w:val="20"/>
                <w:szCs w:val="20"/>
                <w:lang w:val="en-AU" w:eastAsia="en-AU"/>
              </w:rPr>
              <w:t>; Budget: $5.</w:t>
            </w:r>
            <w:r>
              <w:rPr>
                <w:rFonts w:asciiTheme="minorHAnsi" w:eastAsia="Times New Roman" w:hAnsiTheme="minorHAnsi" w:cstheme="minorHAnsi"/>
                <w:color w:val="404040"/>
                <w:sz w:val="20"/>
                <w:szCs w:val="20"/>
                <w:lang w:val="en-AU" w:eastAsia="en-AU"/>
              </w:rPr>
              <w:t>3</w:t>
            </w:r>
            <w:r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F2F2F2" w:themeFill="background1" w:themeFillShade="F2"/>
            <w:hideMark/>
          </w:tcPr>
          <w:p w14:paraId="3BF89F3F"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2020</w:t>
            </w:r>
          </w:p>
        </w:tc>
        <w:tc>
          <w:tcPr>
            <w:tcW w:w="1276" w:type="dxa"/>
            <w:tcBorders>
              <w:top w:val="none" w:sz="0" w:space="0" w:color="auto"/>
              <w:bottom w:val="none" w:sz="0" w:space="0" w:color="auto"/>
            </w:tcBorders>
            <w:shd w:val="clear" w:color="auto" w:fill="F2F2F2" w:themeFill="background1" w:themeFillShade="F2"/>
            <w:noWrap/>
            <w:hideMark/>
          </w:tcPr>
          <w:p w14:paraId="4C01F6B9"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134" w:type="dxa"/>
            <w:tcBorders>
              <w:top w:val="none" w:sz="0" w:space="0" w:color="auto"/>
              <w:bottom w:val="none" w:sz="0" w:space="0" w:color="auto"/>
            </w:tcBorders>
            <w:shd w:val="clear" w:color="auto" w:fill="F2F2F2" w:themeFill="background1" w:themeFillShade="F2"/>
            <w:noWrap/>
            <w:hideMark/>
          </w:tcPr>
          <w:p w14:paraId="0262F1F3"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276" w:type="dxa"/>
            <w:tcBorders>
              <w:top w:val="none" w:sz="0" w:space="0" w:color="auto"/>
              <w:bottom w:val="none" w:sz="0" w:space="0" w:color="auto"/>
            </w:tcBorders>
            <w:shd w:val="clear" w:color="auto" w:fill="F2F2F2" w:themeFill="background1" w:themeFillShade="F2"/>
            <w:noWrap/>
            <w:hideMark/>
          </w:tcPr>
          <w:p w14:paraId="28E8A97B"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r>
      <w:tr w:rsidR="0054522E" w:rsidRPr="00AF18F4" w14:paraId="017B34CA"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noWrap/>
            <w:vAlign w:val="bottom"/>
            <w:hideMark/>
          </w:tcPr>
          <w:p w14:paraId="12E52A46" w14:textId="77777777" w:rsidR="0054522E" w:rsidRPr="00CA5021" w:rsidRDefault="0054522E" w:rsidP="00FA5C79">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She Leads Nepal</w:t>
            </w:r>
          </w:p>
        </w:tc>
        <w:tc>
          <w:tcPr>
            <w:tcW w:w="1134" w:type="dxa"/>
            <w:tcBorders>
              <w:top w:val="none" w:sz="0" w:space="0" w:color="auto"/>
              <w:bottom w:val="none" w:sz="0" w:space="0" w:color="auto"/>
            </w:tcBorders>
            <w:shd w:val="clear" w:color="auto" w:fill="E0F3EF" w:themeFill="accent1" w:themeFillTint="33"/>
            <w:hideMark/>
          </w:tcPr>
          <w:p w14:paraId="7C937E38"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2021</w:t>
            </w:r>
          </w:p>
        </w:tc>
        <w:tc>
          <w:tcPr>
            <w:tcW w:w="1276" w:type="dxa"/>
            <w:tcBorders>
              <w:top w:val="none" w:sz="0" w:space="0" w:color="auto"/>
              <w:bottom w:val="none" w:sz="0" w:space="0" w:color="auto"/>
            </w:tcBorders>
            <w:shd w:val="clear" w:color="auto" w:fill="E0F3EF" w:themeFill="accent1" w:themeFillTint="33"/>
            <w:noWrap/>
            <w:hideMark/>
          </w:tcPr>
          <w:p w14:paraId="415E17ED"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134" w:type="dxa"/>
            <w:tcBorders>
              <w:top w:val="none" w:sz="0" w:space="0" w:color="auto"/>
              <w:bottom w:val="none" w:sz="0" w:space="0" w:color="auto"/>
            </w:tcBorders>
            <w:shd w:val="clear" w:color="auto" w:fill="E0F3EF" w:themeFill="accent1" w:themeFillTint="33"/>
            <w:noWrap/>
            <w:hideMark/>
          </w:tcPr>
          <w:p w14:paraId="51C8BEC8"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top w:val="none" w:sz="0" w:space="0" w:color="auto"/>
              <w:bottom w:val="none" w:sz="0" w:space="0" w:color="auto"/>
            </w:tcBorders>
            <w:shd w:val="clear" w:color="auto" w:fill="E0F3EF" w:themeFill="accent1" w:themeFillTint="33"/>
            <w:noWrap/>
            <w:hideMark/>
          </w:tcPr>
          <w:p w14:paraId="1D4BD6C6"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r>
      <w:tr w:rsidR="0054522E" w:rsidRPr="00AF18F4" w14:paraId="00442707"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E0F3EF" w:themeFill="accent1" w:themeFillTint="33"/>
            <w:hideMark/>
          </w:tcPr>
          <w:p w14:paraId="6EA4C81A" w14:textId="1190CC6E" w:rsidR="0054522E" w:rsidRPr="00CA5021" w:rsidRDefault="0054522E" w:rsidP="00FA5C79">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uration: 201</w:t>
            </w:r>
            <w:r>
              <w:rPr>
                <w:rFonts w:asciiTheme="minorHAnsi" w:eastAsia="Times New Roman" w:hAnsiTheme="minorHAnsi" w:cstheme="minorHAnsi"/>
                <w:color w:val="404040"/>
                <w:sz w:val="20"/>
                <w:szCs w:val="20"/>
                <w:lang w:val="en-AU" w:eastAsia="en-AU"/>
              </w:rPr>
              <w:t>9</w:t>
            </w:r>
            <w:r w:rsidRPr="00CA5021">
              <w:rPr>
                <w:rFonts w:asciiTheme="minorHAnsi" w:eastAsia="Times New Roman" w:hAnsiTheme="minorHAnsi" w:cstheme="minorHAnsi"/>
                <w:color w:val="404040"/>
                <w:sz w:val="20"/>
                <w:szCs w:val="20"/>
                <w:lang w:val="en-AU" w:eastAsia="en-AU"/>
              </w:rPr>
              <w:t>-2</w:t>
            </w:r>
            <w:r>
              <w:rPr>
                <w:rFonts w:asciiTheme="minorHAnsi" w:eastAsia="Times New Roman" w:hAnsiTheme="minorHAnsi" w:cstheme="minorHAnsi"/>
                <w:color w:val="404040"/>
                <w:sz w:val="20"/>
                <w:szCs w:val="20"/>
                <w:lang w:val="en-AU" w:eastAsia="en-AU"/>
              </w:rPr>
              <w:t>2</w:t>
            </w:r>
            <w:r w:rsidRPr="00CA5021">
              <w:rPr>
                <w:rFonts w:asciiTheme="minorHAnsi" w:eastAsia="Times New Roman" w:hAnsiTheme="minorHAnsi" w:cstheme="minorHAnsi"/>
                <w:color w:val="404040"/>
                <w:sz w:val="20"/>
                <w:szCs w:val="20"/>
                <w:lang w:val="en-AU" w:eastAsia="en-AU"/>
              </w:rPr>
              <w:t>; Budget: $</w:t>
            </w:r>
            <w:r>
              <w:rPr>
                <w:rFonts w:asciiTheme="minorHAnsi" w:eastAsia="Times New Roman" w:hAnsiTheme="minorHAnsi" w:cstheme="minorHAnsi"/>
                <w:color w:val="404040"/>
                <w:sz w:val="20"/>
                <w:szCs w:val="20"/>
                <w:lang w:val="en-AU" w:eastAsia="en-AU"/>
              </w:rPr>
              <w:t>3</w:t>
            </w:r>
            <w:r w:rsidRPr="00CA5021">
              <w:rPr>
                <w:rFonts w:asciiTheme="minorHAnsi" w:eastAsia="Times New Roman" w:hAnsiTheme="minorHAnsi" w:cstheme="minorHAnsi"/>
                <w:color w:val="404040"/>
                <w:sz w:val="20"/>
                <w:szCs w:val="20"/>
                <w:lang w:val="en-AU" w:eastAsia="en-AU"/>
              </w:rPr>
              <w:t>.</w:t>
            </w:r>
            <w:r>
              <w:rPr>
                <w:rFonts w:asciiTheme="minorHAnsi" w:eastAsia="Times New Roman" w:hAnsiTheme="minorHAnsi" w:cstheme="minorHAnsi"/>
                <w:color w:val="404040"/>
                <w:sz w:val="20"/>
                <w:szCs w:val="20"/>
                <w:lang w:val="en-AU" w:eastAsia="en-AU"/>
              </w:rPr>
              <w:t>8</w:t>
            </w:r>
            <w:r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E0F3EF" w:themeFill="accent1" w:themeFillTint="33"/>
            <w:hideMark/>
          </w:tcPr>
          <w:p w14:paraId="429D796B"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2020</w:t>
            </w:r>
          </w:p>
        </w:tc>
        <w:tc>
          <w:tcPr>
            <w:tcW w:w="1276" w:type="dxa"/>
            <w:tcBorders>
              <w:top w:val="none" w:sz="0" w:space="0" w:color="auto"/>
              <w:bottom w:val="none" w:sz="0" w:space="0" w:color="auto"/>
            </w:tcBorders>
            <w:shd w:val="clear" w:color="auto" w:fill="E0F3EF" w:themeFill="accent1" w:themeFillTint="33"/>
            <w:noWrap/>
            <w:hideMark/>
          </w:tcPr>
          <w:p w14:paraId="2E47D983" w14:textId="20CE20F4" w:rsidR="0054522E" w:rsidRPr="00CA5021" w:rsidRDefault="00B37369"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n/a</w:t>
            </w:r>
          </w:p>
        </w:tc>
        <w:tc>
          <w:tcPr>
            <w:tcW w:w="1134" w:type="dxa"/>
            <w:tcBorders>
              <w:top w:val="none" w:sz="0" w:space="0" w:color="auto"/>
              <w:bottom w:val="none" w:sz="0" w:space="0" w:color="auto"/>
            </w:tcBorders>
            <w:shd w:val="clear" w:color="auto" w:fill="E0F3EF" w:themeFill="accent1" w:themeFillTint="33"/>
            <w:noWrap/>
            <w:hideMark/>
          </w:tcPr>
          <w:p w14:paraId="15702FB0" w14:textId="0A07967E" w:rsidR="0054522E" w:rsidRPr="00CA5021" w:rsidRDefault="00B37369"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n/a</w:t>
            </w:r>
          </w:p>
        </w:tc>
        <w:tc>
          <w:tcPr>
            <w:tcW w:w="1276" w:type="dxa"/>
            <w:tcBorders>
              <w:top w:val="none" w:sz="0" w:space="0" w:color="auto"/>
              <w:bottom w:val="none" w:sz="0" w:space="0" w:color="auto"/>
            </w:tcBorders>
            <w:shd w:val="clear" w:color="auto" w:fill="E0F3EF" w:themeFill="accent1" w:themeFillTint="33"/>
            <w:noWrap/>
            <w:hideMark/>
          </w:tcPr>
          <w:p w14:paraId="0BE23627" w14:textId="0C73EC7D" w:rsidR="0054522E" w:rsidRPr="00CA5021" w:rsidRDefault="00B37369"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n/a</w:t>
            </w:r>
          </w:p>
        </w:tc>
      </w:tr>
      <w:tr w:rsidR="0054522E" w:rsidRPr="00AF18F4" w14:paraId="58700AE2"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vAlign w:val="bottom"/>
          </w:tcPr>
          <w:p w14:paraId="5199D524" w14:textId="77777777" w:rsidR="0054522E" w:rsidRDefault="0054522E" w:rsidP="005D6B91">
            <w:pPr>
              <w:suppressAutoHyphens w:val="0"/>
              <w:spacing w:before="0" w:after="0" w:line="240" w:lineRule="auto"/>
              <w:rPr>
                <w:rFonts w:eastAsia="Times New Roman" w:cstheme="minorHAnsi"/>
                <w:color w:val="404040"/>
                <w:sz w:val="20"/>
                <w:szCs w:val="20"/>
                <w:lang w:val="en-AU" w:eastAsia="en-AU"/>
              </w:rPr>
            </w:pPr>
            <w:r>
              <w:rPr>
                <w:rFonts w:asciiTheme="minorHAnsi" w:eastAsia="Times New Roman" w:hAnsiTheme="minorHAnsi" w:cstheme="minorHAnsi"/>
                <w:b/>
                <w:bCs/>
                <w:color w:val="404040"/>
                <w:sz w:val="20"/>
                <w:szCs w:val="20"/>
                <w:lang w:eastAsia="en-AU"/>
              </w:rPr>
              <w:t>Strengthening Humanitarian Preparedness in Nepal</w:t>
            </w:r>
          </w:p>
        </w:tc>
        <w:tc>
          <w:tcPr>
            <w:tcW w:w="1134" w:type="dxa"/>
            <w:shd w:val="clear" w:color="auto" w:fill="F2F2F2" w:themeFill="background1" w:themeFillShade="F2"/>
          </w:tcPr>
          <w:p w14:paraId="15929641"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21</w:t>
            </w:r>
          </w:p>
        </w:tc>
        <w:tc>
          <w:tcPr>
            <w:tcW w:w="1276" w:type="dxa"/>
            <w:shd w:val="clear" w:color="auto" w:fill="F2F2F2" w:themeFill="background1" w:themeFillShade="F2"/>
            <w:noWrap/>
          </w:tcPr>
          <w:p w14:paraId="339B0B1D" w14:textId="77777777" w:rsidR="0054522E"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asciiTheme="minorHAnsi" w:eastAsia="Times New Roman" w:hAnsiTheme="minorHAnsi" w:cstheme="minorHAnsi"/>
                <w:color w:val="000000"/>
                <w:sz w:val="20"/>
                <w:szCs w:val="20"/>
                <w:lang w:val="en-AU" w:eastAsia="en-AU"/>
              </w:rPr>
              <w:t>4</w:t>
            </w:r>
          </w:p>
        </w:tc>
        <w:tc>
          <w:tcPr>
            <w:tcW w:w="1134" w:type="dxa"/>
            <w:shd w:val="clear" w:color="auto" w:fill="F2F2F2" w:themeFill="background1" w:themeFillShade="F2"/>
            <w:noWrap/>
          </w:tcPr>
          <w:p w14:paraId="5E0626A8" w14:textId="77777777" w:rsidR="0054522E"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asciiTheme="minorHAnsi" w:eastAsia="Times New Roman" w:hAnsiTheme="minorHAnsi" w:cstheme="minorHAnsi"/>
                <w:color w:val="000000"/>
                <w:sz w:val="20"/>
                <w:szCs w:val="20"/>
                <w:lang w:eastAsia="en-AU"/>
              </w:rPr>
              <w:t>4</w:t>
            </w:r>
          </w:p>
        </w:tc>
        <w:tc>
          <w:tcPr>
            <w:tcW w:w="1276" w:type="dxa"/>
            <w:shd w:val="clear" w:color="auto" w:fill="F2F2F2" w:themeFill="background1" w:themeFillShade="F2"/>
            <w:noWrap/>
          </w:tcPr>
          <w:p w14:paraId="2D05F40B" w14:textId="77777777" w:rsidR="0054522E"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asciiTheme="minorHAnsi" w:eastAsia="Times New Roman" w:hAnsiTheme="minorHAnsi" w:cstheme="minorHAnsi"/>
                <w:color w:val="000000"/>
                <w:sz w:val="20"/>
                <w:szCs w:val="20"/>
                <w:lang w:eastAsia="en-AU"/>
              </w:rPr>
              <w:t>4</w:t>
            </w:r>
          </w:p>
        </w:tc>
      </w:tr>
      <w:tr w:rsidR="0054522E" w:rsidRPr="00AF18F4" w14:paraId="781A3473"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5D5E657A" w14:textId="343C0724" w:rsidR="0054522E" w:rsidRDefault="0054522E" w:rsidP="00FA5C79">
            <w:pPr>
              <w:suppressAutoHyphens w:val="0"/>
              <w:spacing w:before="0" w:after="0" w:line="240" w:lineRule="auto"/>
              <w:ind w:firstLineChars="100" w:firstLine="200"/>
              <w:rPr>
                <w:rFonts w:eastAsia="Times New Roman" w:cstheme="minorHAnsi"/>
                <w:b/>
                <w:bCs/>
                <w:color w:val="404040"/>
                <w:sz w:val="20"/>
                <w:szCs w:val="20"/>
                <w:lang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 xml:space="preserve">uration: </w:t>
            </w:r>
            <w:r>
              <w:rPr>
                <w:rFonts w:asciiTheme="minorHAnsi" w:eastAsia="Times New Roman" w:hAnsiTheme="minorHAnsi" w:cstheme="minorHAnsi"/>
                <w:color w:val="404040"/>
                <w:sz w:val="20"/>
                <w:szCs w:val="20"/>
                <w:lang w:val="en-AU" w:eastAsia="en-AU"/>
              </w:rPr>
              <w:t>2018-24</w:t>
            </w:r>
            <w:r w:rsidR="005D6B91">
              <w:rPr>
                <w:rFonts w:asciiTheme="minorHAnsi" w:eastAsia="Times New Roman" w:hAnsiTheme="minorHAnsi" w:cstheme="minorHAnsi"/>
                <w:color w:val="404040"/>
                <w:sz w:val="20"/>
                <w:szCs w:val="20"/>
                <w:lang w:val="en-AU" w:eastAsia="en-AU"/>
              </w:rPr>
              <w:t>;</w:t>
            </w:r>
            <w:r w:rsidRPr="00CA5021">
              <w:rPr>
                <w:rFonts w:asciiTheme="minorHAnsi" w:eastAsia="Times New Roman" w:hAnsiTheme="minorHAnsi" w:cstheme="minorHAnsi"/>
                <w:color w:val="404040"/>
                <w:sz w:val="20"/>
                <w:szCs w:val="20"/>
                <w:lang w:val="en-AU" w:eastAsia="en-AU"/>
              </w:rPr>
              <w:t xml:space="preserve"> Budget: $</w:t>
            </w:r>
            <w:r>
              <w:rPr>
                <w:rFonts w:asciiTheme="minorHAnsi" w:eastAsia="Times New Roman" w:hAnsiTheme="minorHAnsi" w:cstheme="minorHAnsi"/>
                <w:color w:val="404040"/>
                <w:sz w:val="20"/>
                <w:szCs w:val="20"/>
                <w:lang w:val="en-AU" w:eastAsia="en-AU"/>
              </w:rPr>
              <w:t>4.77</w:t>
            </w:r>
            <w:r w:rsidRPr="00CA5021">
              <w:rPr>
                <w:rFonts w:asciiTheme="minorHAnsi" w:eastAsia="Times New Roman" w:hAnsiTheme="minorHAnsi" w:cstheme="minorHAnsi"/>
                <w:color w:val="404040"/>
                <w:sz w:val="20"/>
                <w:szCs w:val="20"/>
                <w:lang w:val="en-AU" w:eastAsia="en-AU"/>
              </w:rPr>
              <w:t xml:space="preserve">m </w:t>
            </w:r>
          </w:p>
        </w:tc>
        <w:tc>
          <w:tcPr>
            <w:tcW w:w="1134" w:type="dxa"/>
            <w:shd w:val="clear" w:color="auto" w:fill="F2F2F2" w:themeFill="background1" w:themeFillShade="F2"/>
          </w:tcPr>
          <w:p w14:paraId="0967F04F"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20</w:t>
            </w:r>
          </w:p>
        </w:tc>
        <w:tc>
          <w:tcPr>
            <w:tcW w:w="1276" w:type="dxa"/>
            <w:shd w:val="clear" w:color="auto" w:fill="F2F2F2" w:themeFill="background1" w:themeFillShade="F2"/>
            <w:noWrap/>
          </w:tcPr>
          <w:p w14:paraId="737ACB41" w14:textId="77777777" w:rsidR="0054522E"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asciiTheme="minorHAnsi" w:eastAsia="Times New Roman" w:hAnsiTheme="minorHAnsi" w:cstheme="minorHAnsi"/>
                <w:color w:val="000000"/>
                <w:sz w:val="20"/>
                <w:szCs w:val="20"/>
                <w:lang w:val="en-AU" w:eastAsia="en-AU"/>
              </w:rPr>
              <w:t>5</w:t>
            </w:r>
          </w:p>
        </w:tc>
        <w:tc>
          <w:tcPr>
            <w:tcW w:w="1134" w:type="dxa"/>
            <w:shd w:val="clear" w:color="auto" w:fill="F2F2F2" w:themeFill="background1" w:themeFillShade="F2"/>
            <w:noWrap/>
          </w:tcPr>
          <w:p w14:paraId="48D48488" w14:textId="77777777" w:rsidR="0054522E"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asciiTheme="minorHAnsi" w:eastAsia="Times New Roman" w:hAnsiTheme="minorHAnsi" w:cstheme="minorHAnsi"/>
                <w:color w:val="000000"/>
                <w:sz w:val="20"/>
                <w:szCs w:val="20"/>
                <w:lang w:val="en-AU" w:eastAsia="en-AU"/>
              </w:rPr>
              <w:t>5</w:t>
            </w:r>
          </w:p>
        </w:tc>
        <w:tc>
          <w:tcPr>
            <w:tcW w:w="1276" w:type="dxa"/>
            <w:shd w:val="clear" w:color="auto" w:fill="F2F2F2" w:themeFill="background1" w:themeFillShade="F2"/>
            <w:noWrap/>
          </w:tcPr>
          <w:p w14:paraId="1BED426E" w14:textId="77777777" w:rsidR="0054522E"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Pr>
                <w:rFonts w:asciiTheme="minorHAnsi" w:eastAsia="Times New Roman" w:hAnsiTheme="minorHAnsi" w:cstheme="minorHAnsi"/>
                <w:color w:val="000000"/>
                <w:sz w:val="20"/>
                <w:szCs w:val="20"/>
                <w:lang w:val="en-AU" w:eastAsia="en-AU"/>
              </w:rPr>
              <w:t>5</w:t>
            </w:r>
          </w:p>
        </w:tc>
      </w:tr>
    </w:tbl>
    <w:p w14:paraId="205B0C5A" w14:textId="77777777" w:rsidR="0054522E" w:rsidRDefault="0054522E" w:rsidP="0054522E">
      <w:pPr>
        <w:pStyle w:val="Heading2"/>
      </w:pPr>
      <w:r>
        <w:t>Final I</w:t>
      </w:r>
      <w:r w:rsidRPr="00D1231A">
        <w:t>nvestment Performance</w:t>
      </w:r>
      <w:r>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54522E" w:rsidRPr="00AF18F4" w14:paraId="3F8C1C3D"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tcBorders>
            <w:shd w:val="clear" w:color="auto" w:fill="A2DCD1" w:themeFill="accent1" w:themeFillTint="99"/>
            <w:noWrap/>
            <w:hideMark/>
          </w:tcPr>
          <w:p w14:paraId="5FF593D0" w14:textId="77777777" w:rsidR="0054522E" w:rsidRPr="005736BB" w:rsidRDefault="0054522E" w:rsidP="00FA5C79">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134" w:type="dxa"/>
            <w:tcBorders>
              <w:top w:val="none" w:sz="0" w:space="0" w:color="auto"/>
              <w:bottom w:val="none" w:sz="0" w:space="0" w:color="auto"/>
            </w:tcBorders>
            <w:shd w:val="clear" w:color="auto" w:fill="A2DCD1" w:themeFill="accent1" w:themeFillTint="99"/>
            <w:noWrap/>
            <w:hideMark/>
          </w:tcPr>
          <w:p w14:paraId="6B347876" w14:textId="0E441668"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276" w:type="dxa"/>
            <w:tcBorders>
              <w:top w:val="none" w:sz="0" w:space="0" w:color="auto"/>
              <w:bottom w:val="none" w:sz="0" w:space="0" w:color="auto"/>
            </w:tcBorders>
            <w:shd w:val="clear" w:color="auto" w:fill="A2DCD1" w:themeFill="accent1" w:themeFillTint="99"/>
            <w:noWrap/>
            <w:hideMark/>
          </w:tcPr>
          <w:p w14:paraId="56FE4844" w14:textId="77777777"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134" w:type="dxa"/>
            <w:tcBorders>
              <w:top w:val="none" w:sz="0" w:space="0" w:color="auto"/>
              <w:bottom w:val="none" w:sz="0" w:space="0" w:color="auto"/>
            </w:tcBorders>
            <w:shd w:val="clear" w:color="auto" w:fill="A2DCD1" w:themeFill="accent1" w:themeFillTint="99"/>
            <w:noWrap/>
            <w:hideMark/>
          </w:tcPr>
          <w:p w14:paraId="74274D37" w14:textId="77777777"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tcBorders>
              <w:top w:val="none" w:sz="0" w:space="0" w:color="auto"/>
              <w:bottom w:val="none" w:sz="0" w:space="0" w:color="auto"/>
            </w:tcBorders>
            <w:shd w:val="clear" w:color="auto" w:fill="A2DCD1" w:themeFill="accent1" w:themeFillTint="99"/>
            <w:noWrap/>
            <w:hideMark/>
          </w:tcPr>
          <w:p w14:paraId="22CA2221" w14:textId="77777777" w:rsidR="0054522E" w:rsidRPr="005736BB"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54522E" w:rsidRPr="00AF18F4" w14:paraId="3D95A046"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7D24183D" w14:textId="32DBDD0A" w:rsidR="0054522E" w:rsidRPr="00CA5021" w:rsidRDefault="00297333" w:rsidP="00FA5C79">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Subnational</w:t>
            </w:r>
            <w:r w:rsidR="0054522E">
              <w:rPr>
                <w:rFonts w:asciiTheme="minorHAnsi" w:eastAsia="Times New Roman" w:hAnsiTheme="minorHAnsi" w:cstheme="minorHAnsi"/>
                <w:b/>
                <w:bCs/>
                <w:color w:val="404040"/>
                <w:sz w:val="20"/>
                <w:szCs w:val="20"/>
                <w:lang w:eastAsia="en-AU"/>
              </w:rPr>
              <w:t xml:space="preserve"> Governance Program for Nepal</w:t>
            </w:r>
          </w:p>
        </w:tc>
        <w:tc>
          <w:tcPr>
            <w:tcW w:w="1134" w:type="dxa"/>
            <w:tcBorders>
              <w:top w:val="none" w:sz="0" w:space="0" w:color="auto"/>
              <w:bottom w:val="none" w:sz="0" w:space="0" w:color="auto"/>
            </w:tcBorders>
            <w:shd w:val="clear" w:color="auto" w:fill="F2F2F2" w:themeFill="background1" w:themeFillShade="F2"/>
            <w:hideMark/>
          </w:tcPr>
          <w:p w14:paraId="6CC2D252"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21 FIMR</w:t>
            </w:r>
          </w:p>
        </w:tc>
        <w:tc>
          <w:tcPr>
            <w:tcW w:w="1276" w:type="dxa"/>
            <w:tcBorders>
              <w:top w:val="none" w:sz="0" w:space="0" w:color="auto"/>
              <w:bottom w:val="none" w:sz="0" w:space="0" w:color="auto"/>
            </w:tcBorders>
            <w:shd w:val="clear" w:color="auto" w:fill="F2F2F2" w:themeFill="background1" w:themeFillShade="F2"/>
            <w:noWrap/>
            <w:hideMark/>
          </w:tcPr>
          <w:p w14:paraId="090B7EDE"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one" w:sz="0" w:space="0" w:color="auto"/>
            </w:tcBorders>
            <w:shd w:val="clear" w:color="auto" w:fill="F2F2F2" w:themeFill="background1" w:themeFillShade="F2"/>
            <w:noWrap/>
            <w:hideMark/>
          </w:tcPr>
          <w:p w14:paraId="190EAD7E"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top w:val="none" w:sz="0" w:space="0" w:color="auto"/>
              <w:bottom w:val="none" w:sz="0" w:space="0" w:color="auto"/>
            </w:tcBorders>
            <w:shd w:val="clear" w:color="auto" w:fill="F2F2F2" w:themeFill="background1" w:themeFillShade="F2"/>
            <w:noWrap/>
            <w:hideMark/>
          </w:tcPr>
          <w:p w14:paraId="63228001"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54522E" w:rsidRPr="00AF18F4" w14:paraId="794EEF4C" w14:textId="77777777" w:rsidTr="006215A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bottom w:val="none" w:sz="0" w:space="0" w:color="auto"/>
            </w:tcBorders>
            <w:shd w:val="clear" w:color="auto" w:fill="F2F2F2" w:themeFill="background1" w:themeFillShade="F2"/>
            <w:hideMark/>
          </w:tcPr>
          <w:p w14:paraId="30326536" w14:textId="77777777" w:rsidR="0054522E" w:rsidRPr="00CA5021" w:rsidRDefault="0054522E" w:rsidP="00FA5C79">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Pr="00CA5021">
              <w:rPr>
                <w:rFonts w:asciiTheme="minorHAnsi" w:eastAsia="Times New Roman" w:hAnsiTheme="minorHAnsi" w:cstheme="minorHAnsi"/>
                <w:color w:val="404040"/>
                <w:sz w:val="20"/>
                <w:szCs w:val="20"/>
                <w:lang w:val="en-AU" w:eastAsia="en-AU"/>
              </w:rPr>
              <w:t xml:space="preserve">uration: </w:t>
            </w:r>
            <w:r>
              <w:rPr>
                <w:rFonts w:asciiTheme="minorHAnsi" w:eastAsia="Times New Roman" w:hAnsiTheme="minorHAnsi" w:cstheme="minorHAnsi"/>
                <w:color w:val="404040"/>
                <w:sz w:val="20"/>
                <w:szCs w:val="20"/>
                <w:lang w:val="en-AU" w:eastAsia="en-AU"/>
              </w:rPr>
              <w:t>2017-21</w:t>
            </w:r>
            <w:r w:rsidRPr="00CA5021">
              <w:rPr>
                <w:rFonts w:asciiTheme="minorHAnsi" w:eastAsia="Times New Roman" w:hAnsiTheme="minorHAnsi" w:cstheme="minorHAnsi"/>
                <w:color w:val="404040"/>
                <w:sz w:val="20"/>
                <w:szCs w:val="20"/>
                <w:lang w:val="en-AU" w:eastAsia="en-AU"/>
              </w:rPr>
              <w:t>; Budget: $</w:t>
            </w:r>
            <w:r>
              <w:rPr>
                <w:rFonts w:asciiTheme="minorHAnsi" w:eastAsia="Times New Roman" w:hAnsiTheme="minorHAnsi" w:cstheme="minorHAnsi"/>
                <w:color w:val="404040"/>
                <w:sz w:val="20"/>
                <w:szCs w:val="20"/>
                <w:lang w:val="en-AU" w:eastAsia="en-AU"/>
              </w:rPr>
              <w:t>20.35</w:t>
            </w:r>
            <w:r w:rsidRPr="00CA5021">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F2F2F2" w:themeFill="background1" w:themeFillShade="F2"/>
            <w:hideMark/>
          </w:tcPr>
          <w:p w14:paraId="1861A2E9"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w:t>
            </w:r>
            <w:r>
              <w:rPr>
                <w:rFonts w:asciiTheme="minorHAnsi" w:eastAsia="Times New Roman" w:hAnsiTheme="minorHAnsi" w:cstheme="minorHAnsi"/>
                <w:color w:val="000000"/>
                <w:sz w:val="20"/>
                <w:szCs w:val="20"/>
                <w:lang w:eastAsia="en-AU"/>
              </w:rPr>
              <w:t>20 IMR</w:t>
            </w:r>
          </w:p>
        </w:tc>
        <w:tc>
          <w:tcPr>
            <w:tcW w:w="1276" w:type="dxa"/>
            <w:tcBorders>
              <w:top w:val="none" w:sz="0" w:space="0" w:color="auto"/>
              <w:bottom w:val="none" w:sz="0" w:space="0" w:color="auto"/>
            </w:tcBorders>
            <w:shd w:val="clear" w:color="auto" w:fill="F2F2F2" w:themeFill="background1" w:themeFillShade="F2"/>
            <w:noWrap/>
            <w:hideMark/>
          </w:tcPr>
          <w:p w14:paraId="74B37366"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top w:val="none" w:sz="0" w:space="0" w:color="auto"/>
              <w:bottom w:val="none" w:sz="0" w:space="0" w:color="auto"/>
            </w:tcBorders>
            <w:shd w:val="clear" w:color="auto" w:fill="F2F2F2" w:themeFill="background1" w:themeFillShade="F2"/>
            <w:noWrap/>
            <w:hideMark/>
          </w:tcPr>
          <w:p w14:paraId="235EF715"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276" w:type="dxa"/>
            <w:tcBorders>
              <w:top w:val="none" w:sz="0" w:space="0" w:color="auto"/>
              <w:bottom w:val="none" w:sz="0" w:space="0" w:color="auto"/>
            </w:tcBorders>
            <w:shd w:val="clear" w:color="auto" w:fill="F2F2F2" w:themeFill="background1" w:themeFillShade="F2"/>
            <w:noWrap/>
            <w:hideMark/>
          </w:tcPr>
          <w:p w14:paraId="0D39B12E" w14:textId="77777777" w:rsidR="0054522E" w:rsidRPr="00CA5021" w:rsidRDefault="0054522E" w:rsidP="00FA5C79">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r>
    </w:tbl>
    <w:p w14:paraId="643F42A6" w14:textId="19E8AD11" w:rsidR="0054522E" w:rsidRDefault="0054522E" w:rsidP="0054522E">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69ECC6E0" w14:textId="77777777" w:rsidR="0054522E" w:rsidRPr="00787267" w:rsidRDefault="0054522E" w:rsidP="0054522E">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3B9660C8" w14:textId="77777777" w:rsidR="0054522E" w:rsidRPr="00787267" w:rsidRDefault="0054522E" w:rsidP="0054522E">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130BB798" w14:textId="77777777" w:rsidR="0054522E" w:rsidRPr="00787267" w:rsidRDefault="0054522E" w:rsidP="0054522E">
      <w:pPr>
        <w:spacing w:line="240" w:lineRule="auto"/>
        <w:rPr>
          <w:sz w:val="16"/>
          <w:szCs w:val="16"/>
          <w:u w:val="single"/>
        </w:rPr>
      </w:pPr>
      <w:r w:rsidRPr="00787267">
        <w:rPr>
          <w:sz w:val="16"/>
          <w:szCs w:val="16"/>
          <w:u w:val="single"/>
        </w:rPr>
        <w:t>Less than satisfactory (1, 2 and 3)</w:t>
      </w:r>
    </w:p>
    <w:p w14:paraId="438EFB04" w14:textId="77777777" w:rsidR="0054522E" w:rsidRDefault="0054522E" w:rsidP="0054522E">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p w14:paraId="4DC45723" w14:textId="101C33B8" w:rsidR="00681633" w:rsidRDefault="00681633" w:rsidP="0054522E">
      <w:pPr>
        <w:pStyle w:val="Heading2"/>
      </w:pP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48037" w14:textId="77777777" w:rsidR="005910C6" w:rsidRDefault="005910C6" w:rsidP="00D37B04">
      <w:r>
        <w:separator/>
      </w:r>
    </w:p>
  </w:endnote>
  <w:endnote w:type="continuationSeparator" w:id="0">
    <w:p w14:paraId="35481A8F" w14:textId="77777777" w:rsidR="005910C6" w:rsidRDefault="005910C6"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3726C7EC" w:rsidR="00FA5C79" w:rsidRDefault="00FA5C79">
        <w:pPr>
          <w:pStyle w:val="Footer"/>
          <w:jc w:val="center"/>
          <w:rPr>
            <w:color w:val="auto"/>
          </w:rPr>
        </w:pPr>
      </w:p>
      <w:p w14:paraId="0CAF41BF" w14:textId="77777777" w:rsidR="007B4C18" w:rsidRDefault="007B4C18" w:rsidP="007B4C18">
        <w:pPr>
          <w:pStyle w:val="Footer"/>
        </w:pPr>
        <w:r w:rsidRPr="00C92805">
          <w:rPr>
            <w:b/>
            <w:noProof/>
            <w:color w:val="495965" w:themeColor="text2"/>
            <w:lang w:val="en-AU" w:eastAsia="en-AU"/>
          </w:rPr>
          <w:drawing>
            <wp:anchor distT="0" distB="0" distL="114300" distR="114300" simplePos="0" relativeHeight="251671552" behindDoc="1" locked="0" layoutInCell="1" allowOverlap="1" wp14:anchorId="3A7A06A4" wp14:editId="765D9BA4">
              <wp:simplePos x="0" y="0"/>
              <wp:positionH relativeFrom="margin">
                <wp:posOffset>-117475</wp:posOffset>
              </wp:positionH>
              <wp:positionV relativeFrom="page">
                <wp:posOffset>9772650</wp:posOffset>
              </wp:positionV>
              <wp:extent cx="6924675" cy="643881"/>
              <wp:effectExtent l="0" t="0" r="0" b="4445"/>
              <wp:wrapNone/>
              <wp:docPr id="294" name="Picture 2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7028439" cy="653529"/>
                      </a:xfrm>
                      <a:prstGeom prst="rect">
                        <a:avLst/>
                      </a:prstGeom>
                    </pic:spPr>
                  </pic:pic>
                </a:graphicData>
              </a:graphic>
              <wp14:sizeRelH relativeFrom="margin">
                <wp14:pctWidth>0</wp14:pctWidth>
              </wp14:sizeRelH>
              <wp14:sizeRelV relativeFrom="margin">
                <wp14:pctHeight>0</wp14:pctHeight>
              </wp14:sizeRelV>
            </wp:anchor>
          </w:drawing>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6</w:t>
        </w:r>
        <w:r w:rsidRPr="007002E3">
          <w:rPr>
            <w:bCs/>
            <w:noProof/>
            <w:color w:val="auto"/>
            <w:lang w:val="en-AU" w:eastAsia="en-AU"/>
          </w:rPr>
          <w:fldChar w:fldCharType="end"/>
        </w:r>
      </w:p>
      <w:p w14:paraId="1E51B8D5" w14:textId="59F3CE97" w:rsidR="00FA5C79" w:rsidRPr="001D3DDD" w:rsidRDefault="00110031" w:rsidP="0005564F">
        <w:pPr>
          <w:pStyle w:val="Footer"/>
          <w:spacing w:line="240" w:lineRule="auto"/>
          <w:jc w:val="center"/>
          <w:rPr>
            <w:color w:val="auto"/>
          </w:rPr>
        </w:pPr>
      </w:p>
    </w:sdtContent>
  </w:sdt>
  <w:p w14:paraId="3A729F02" w14:textId="519EAB54" w:rsidR="00FA5C79" w:rsidRDefault="00FA5C79"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38352" w14:textId="26A21287" w:rsidR="000A0651" w:rsidRPr="00854F69" w:rsidRDefault="000A0651" w:rsidP="000A0651">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9504" behindDoc="1" locked="0" layoutInCell="1" allowOverlap="1" wp14:anchorId="5F91CD95" wp14:editId="7788C370">
          <wp:simplePos x="0" y="0"/>
          <wp:positionH relativeFrom="margin">
            <wp:posOffset>-120650</wp:posOffset>
          </wp:positionH>
          <wp:positionV relativeFrom="page">
            <wp:posOffset>9950450</wp:posOffset>
          </wp:positionV>
          <wp:extent cx="6931025" cy="539736"/>
          <wp:effectExtent l="0" t="0" r="0" b="0"/>
          <wp:wrapNone/>
          <wp:docPr id="296" name="Pictur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74042" cy="543086"/>
                  </a:xfrm>
                  <a:prstGeom prst="rect">
                    <a:avLst/>
                  </a:prstGeom>
                </pic:spPr>
              </pic:pic>
            </a:graphicData>
          </a:graphic>
          <wp14:sizeRelH relativeFrom="margin">
            <wp14:pctWidth>0</wp14:pctWidth>
          </wp14:sizeRelH>
          <wp14:sizeRelV relativeFrom="margin">
            <wp14:pctHeight>0</wp14:pctHeight>
          </wp14:sizeRelV>
        </wp:anchor>
      </w:drawing>
    </w:r>
    <w:r w:rsidR="00595967">
      <w:rPr>
        <w:b/>
        <w:noProof/>
        <w:color w:val="495965" w:themeColor="text2"/>
        <w:lang w:val="en-AU" w:eastAsia="en-AU"/>
      </w:rPr>
      <w:t>Novem</w:t>
    </w:r>
    <w:r>
      <w:rPr>
        <w:b/>
        <w:noProof/>
        <w:color w:val="495965" w:themeColor="text2"/>
        <w:lang w:val="en-AU" w:eastAsia="en-AU"/>
      </w:rPr>
      <w:t>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Pr>
        <w:b/>
        <w:noProof/>
        <w:color w:val="495965" w:themeColor="text2"/>
        <w:lang w:val="en-AU" w:eastAsia="en-AU"/>
      </w:rPr>
      <w:tab/>
    </w:r>
    <w:r w:rsidR="00595967">
      <w:rPr>
        <w:b/>
        <w:noProof/>
        <w:color w:val="495965" w:themeColor="text2"/>
        <w:lang w:val="en-AU" w:eastAsia="en-AU"/>
      </w:rPr>
      <w:t xml:space="preserve">   </w:t>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07717C61" w14:textId="77777777" w:rsidR="009B46AC" w:rsidRDefault="009B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ADC6" w14:textId="77777777" w:rsidR="005910C6" w:rsidRPr="008C5A0E" w:rsidRDefault="005910C6" w:rsidP="00D37B04">
      <w:pPr>
        <w:pStyle w:val="Footer"/>
      </w:pPr>
    </w:p>
  </w:footnote>
  <w:footnote w:type="continuationSeparator" w:id="0">
    <w:p w14:paraId="7CDFA5A4" w14:textId="77777777" w:rsidR="005910C6" w:rsidRDefault="005910C6"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B7FBEF" w:rsidR="00FA5C79" w:rsidRDefault="00FA5C79" w:rsidP="007A4493">
    <w:pPr>
      <w:pStyle w:val="Header"/>
      <w:ind w:left="0"/>
    </w:pPr>
    <w:r w:rsidRPr="00A12B40">
      <w:rPr>
        <w:i/>
        <w:caps w:val="0"/>
      </w:rPr>
      <w:t>Partnerships for Recovery</w:t>
    </w:r>
    <w:r w:rsidRPr="00A12B40">
      <w:rPr>
        <w:i/>
        <w:noProof/>
        <w:lang w:val="en-AU" w:eastAsia="en-AU"/>
      </w:rPr>
      <w:drawing>
        <wp:inline distT="0" distB="0" distL="0" distR="0" wp14:anchorId="7248A92F" wp14:editId="7CBD7E78">
          <wp:extent cx="6718853" cy="707390"/>
          <wp:effectExtent l="0" t="0" r="6350" b="0"/>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FA5C79" w:rsidRDefault="00FA5C79" w:rsidP="001F7F4D">
    <w:pPr>
      <w:pStyle w:val="Header"/>
      <w:spacing w:after="240"/>
      <w:ind w:left="0"/>
    </w:pPr>
    <w:r>
      <w:rPr>
        <w:noProof/>
      </w:rPr>
      <w:drawing>
        <wp:inline distT="0" distB="0" distL="0" distR="0" wp14:anchorId="53173A37" wp14:editId="3D212865">
          <wp:extent cx="6696075" cy="1247775"/>
          <wp:effectExtent l="0" t="0" r="9525" b="9525"/>
          <wp:docPr id="295" name="Picture 295"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B1CF3"/>
    <w:multiLevelType w:val="hybridMultilevel"/>
    <w:tmpl w:val="D09EFB48"/>
    <w:lvl w:ilvl="0" w:tplc="8654B9AE">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5"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F82F9F"/>
    <w:multiLevelType w:val="hybridMultilevel"/>
    <w:tmpl w:val="7868BC56"/>
    <w:lvl w:ilvl="0" w:tplc="35D8EE8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4"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BA92781"/>
    <w:multiLevelType w:val="hybridMultilevel"/>
    <w:tmpl w:val="B4A82C80"/>
    <w:lvl w:ilvl="0" w:tplc="9664FCD8">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6"/>
  </w:num>
  <w:num w:numId="4">
    <w:abstractNumId w:val="15"/>
  </w:num>
  <w:num w:numId="5">
    <w:abstractNumId w:val="19"/>
  </w:num>
  <w:num w:numId="6">
    <w:abstractNumId w:val="6"/>
  </w:num>
  <w:num w:numId="7">
    <w:abstractNumId w:val="1"/>
  </w:num>
  <w:num w:numId="8">
    <w:abstractNumId w:val="4"/>
  </w:num>
  <w:num w:numId="9">
    <w:abstractNumId w:val="26"/>
  </w:num>
  <w:num w:numId="10">
    <w:abstractNumId w:val="7"/>
  </w:num>
  <w:num w:numId="11">
    <w:abstractNumId w:val="13"/>
  </w:num>
  <w:num w:numId="12">
    <w:abstractNumId w:val="14"/>
  </w:num>
  <w:num w:numId="13">
    <w:abstractNumId w:val="0"/>
  </w:num>
  <w:num w:numId="14">
    <w:abstractNumId w:val="11"/>
  </w:num>
  <w:num w:numId="15">
    <w:abstractNumId w:val="17"/>
  </w:num>
  <w:num w:numId="16">
    <w:abstractNumId w:val="21"/>
  </w:num>
  <w:num w:numId="17">
    <w:abstractNumId w:val="5"/>
  </w:num>
  <w:num w:numId="18">
    <w:abstractNumId w:val="18"/>
  </w:num>
  <w:num w:numId="19">
    <w:abstractNumId w:val="25"/>
  </w:num>
  <w:num w:numId="20">
    <w:abstractNumId w:val="9"/>
  </w:num>
  <w:num w:numId="21">
    <w:abstractNumId w:val="24"/>
  </w:num>
  <w:num w:numId="22">
    <w:abstractNumId w:val="8"/>
  </w:num>
  <w:num w:numId="23">
    <w:abstractNumId w:val="2"/>
  </w:num>
  <w:num w:numId="24">
    <w:abstractNumId w:val="22"/>
  </w:num>
  <w:num w:numId="25">
    <w:abstractNumId w:val="27"/>
  </w:num>
  <w:num w:numId="26">
    <w:abstractNumId w:val="10"/>
  </w:num>
  <w:num w:numId="27">
    <w:abstractNumId w:val="20"/>
  </w:num>
  <w:num w:numId="28">
    <w:abstractNumId w:val="3"/>
  </w:num>
  <w:num w:numId="29">
    <w:abstractNumId w:val="7"/>
  </w:num>
  <w:num w:numId="30">
    <w:abstractNumId w:val="12"/>
  </w:num>
  <w:num w:numId="3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3900"/>
    <w:rsid w:val="00004F36"/>
    <w:rsid w:val="00010006"/>
    <w:rsid w:val="00011235"/>
    <w:rsid w:val="00015AB7"/>
    <w:rsid w:val="000172F7"/>
    <w:rsid w:val="0002080A"/>
    <w:rsid w:val="0002782F"/>
    <w:rsid w:val="00031486"/>
    <w:rsid w:val="000314BA"/>
    <w:rsid w:val="00034E67"/>
    <w:rsid w:val="0003585E"/>
    <w:rsid w:val="00035BBF"/>
    <w:rsid w:val="00035CBC"/>
    <w:rsid w:val="000417C3"/>
    <w:rsid w:val="000444F3"/>
    <w:rsid w:val="00044F27"/>
    <w:rsid w:val="00045D04"/>
    <w:rsid w:val="00046237"/>
    <w:rsid w:val="00050806"/>
    <w:rsid w:val="00051B5A"/>
    <w:rsid w:val="000546D9"/>
    <w:rsid w:val="00054E4D"/>
    <w:rsid w:val="0005564F"/>
    <w:rsid w:val="00055880"/>
    <w:rsid w:val="00056F24"/>
    <w:rsid w:val="00060073"/>
    <w:rsid w:val="000614D2"/>
    <w:rsid w:val="0006154E"/>
    <w:rsid w:val="000616C6"/>
    <w:rsid w:val="00062877"/>
    <w:rsid w:val="00067844"/>
    <w:rsid w:val="00076921"/>
    <w:rsid w:val="000822AD"/>
    <w:rsid w:val="00083CC3"/>
    <w:rsid w:val="000854FD"/>
    <w:rsid w:val="00092F2E"/>
    <w:rsid w:val="00097AF3"/>
    <w:rsid w:val="000A0651"/>
    <w:rsid w:val="000A407E"/>
    <w:rsid w:val="000A4CC3"/>
    <w:rsid w:val="000A58DB"/>
    <w:rsid w:val="000B37F5"/>
    <w:rsid w:val="000B5DA7"/>
    <w:rsid w:val="000B6F4B"/>
    <w:rsid w:val="000B78E6"/>
    <w:rsid w:val="000C3A4C"/>
    <w:rsid w:val="000C4411"/>
    <w:rsid w:val="000D17CF"/>
    <w:rsid w:val="000D2896"/>
    <w:rsid w:val="000D66D6"/>
    <w:rsid w:val="000D7B9B"/>
    <w:rsid w:val="000E58BF"/>
    <w:rsid w:val="000E6C44"/>
    <w:rsid w:val="000F2600"/>
    <w:rsid w:val="000F78C9"/>
    <w:rsid w:val="000F7B7B"/>
    <w:rsid w:val="00104A42"/>
    <w:rsid w:val="00110031"/>
    <w:rsid w:val="0011225F"/>
    <w:rsid w:val="00113288"/>
    <w:rsid w:val="00116F02"/>
    <w:rsid w:val="001214BE"/>
    <w:rsid w:val="0012165D"/>
    <w:rsid w:val="00121DDD"/>
    <w:rsid w:val="00121E35"/>
    <w:rsid w:val="001227F1"/>
    <w:rsid w:val="0013101C"/>
    <w:rsid w:val="0013345C"/>
    <w:rsid w:val="0013385F"/>
    <w:rsid w:val="00137F4E"/>
    <w:rsid w:val="0014197D"/>
    <w:rsid w:val="00145265"/>
    <w:rsid w:val="001461D6"/>
    <w:rsid w:val="00146E07"/>
    <w:rsid w:val="0015134D"/>
    <w:rsid w:val="001541EA"/>
    <w:rsid w:val="0016223D"/>
    <w:rsid w:val="00166032"/>
    <w:rsid w:val="00166269"/>
    <w:rsid w:val="001662F8"/>
    <w:rsid w:val="00167CAA"/>
    <w:rsid w:val="00172EB3"/>
    <w:rsid w:val="00180758"/>
    <w:rsid w:val="001841C8"/>
    <w:rsid w:val="00184274"/>
    <w:rsid w:val="00186B4B"/>
    <w:rsid w:val="00193145"/>
    <w:rsid w:val="00193C49"/>
    <w:rsid w:val="001A51EE"/>
    <w:rsid w:val="001A7815"/>
    <w:rsid w:val="001B2EC8"/>
    <w:rsid w:val="001B692F"/>
    <w:rsid w:val="001B78DA"/>
    <w:rsid w:val="001B7ADF"/>
    <w:rsid w:val="001C14F4"/>
    <w:rsid w:val="001C1F11"/>
    <w:rsid w:val="001C2274"/>
    <w:rsid w:val="001C483F"/>
    <w:rsid w:val="001D1A8F"/>
    <w:rsid w:val="001D31D3"/>
    <w:rsid w:val="001D3C98"/>
    <w:rsid w:val="001D3DDD"/>
    <w:rsid w:val="001D4091"/>
    <w:rsid w:val="001D663E"/>
    <w:rsid w:val="001E03BE"/>
    <w:rsid w:val="001E1DC0"/>
    <w:rsid w:val="001E563B"/>
    <w:rsid w:val="001E6D20"/>
    <w:rsid w:val="001F16E7"/>
    <w:rsid w:val="001F1F24"/>
    <w:rsid w:val="001F7A8B"/>
    <w:rsid w:val="001F7F4D"/>
    <w:rsid w:val="002078F1"/>
    <w:rsid w:val="00216C55"/>
    <w:rsid w:val="002231BD"/>
    <w:rsid w:val="00223FB7"/>
    <w:rsid w:val="002270F7"/>
    <w:rsid w:val="002404E8"/>
    <w:rsid w:val="0024290D"/>
    <w:rsid w:val="00244229"/>
    <w:rsid w:val="00247365"/>
    <w:rsid w:val="00247611"/>
    <w:rsid w:val="00255F45"/>
    <w:rsid w:val="00261565"/>
    <w:rsid w:val="002655D4"/>
    <w:rsid w:val="00270C70"/>
    <w:rsid w:val="002721B5"/>
    <w:rsid w:val="00275715"/>
    <w:rsid w:val="00277528"/>
    <w:rsid w:val="002778E3"/>
    <w:rsid w:val="00277AB5"/>
    <w:rsid w:val="0028602A"/>
    <w:rsid w:val="002945C4"/>
    <w:rsid w:val="0029663F"/>
    <w:rsid w:val="00297258"/>
    <w:rsid w:val="00297333"/>
    <w:rsid w:val="00297FD1"/>
    <w:rsid w:val="002A137B"/>
    <w:rsid w:val="002A3CD1"/>
    <w:rsid w:val="002B02F0"/>
    <w:rsid w:val="002B0A85"/>
    <w:rsid w:val="002B0DF9"/>
    <w:rsid w:val="002B3381"/>
    <w:rsid w:val="002B5E10"/>
    <w:rsid w:val="002B5ED3"/>
    <w:rsid w:val="002B782F"/>
    <w:rsid w:val="002C02C6"/>
    <w:rsid w:val="002C1473"/>
    <w:rsid w:val="002C70D8"/>
    <w:rsid w:val="002C793D"/>
    <w:rsid w:val="002D35C9"/>
    <w:rsid w:val="002D4108"/>
    <w:rsid w:val="002D430F"/>
    <w:rsid w:val="002D51D5"/>
    <w:rsid w:val="002D5B25"/>
    <w:rsid w:val="002E2319"/>
    <w:rsid w:val="002E2AF4"/>
    <w:rsid w:val="002E38B2"/>
    <w:rsid w:val="002E3C00"/>
    <w:rsid w:val="002E500A"/>
    <w:rsid w:val="002E6767"/>
    <w:rsid w:val="002E6D8A"/>
    <w:rsid w:val="002F03FB"/>
    <w:rsid w:val="002F4F2B"/>
    <w:rsid w:val="002F686E"/>
    <w:rsid w:val="003001FF"/>
    <w:rsid w:val="003002C0"/>
    <w:rsid w:val="00301144"/>
    <w:rsid w:val="003031C6"/>
    <w:rsid w:val="0030458E"/>
    <w:rsid w:val="00304984"/>
    <w:rsid w:val="00311946"/>
    <w:rsid w:val="00312BF8"/>
    <w:rsid w:val="003148B7"/>
    <w:rsid w:val="003158C3"/>
    <w:rsid w:val="0032105B"/>
    <w:rsid w:val="003212A3"/>
    <w:rsid w:val="003265E8"/>
    <w:rsid w:val="003274CD"/>
    <w:rsid w:val="00330428"/>
    <w:rsid w:val="00330E58"/>
    <w:rsid w:val="00333501"/>
    <w:rsid w:val="003406AF"/>
    <w:rsid w:val="003457C4"/>
    <w:rsid w:val="0035119D"/>
    <w:rsid w:val="003535F8"/>
    <w:rsid w:val="00354641"/>
    <w:rsid w:val="003622C1"/>
    <w:rsid w:val="00363A9F"/>
    <w:rsid w:val="003664FE"/>
    <w:rsid w:val="00375D23"/>
    <w:rsid w:val="003801A8"/>
    <w:rsid w:val="003806FE"/>
    <w:rsid w:val="00382CE7"/>
    <w:rsid w:val="00387EC8"/>
    <w:rsid w:val="0039215F"/>
    <w:rsid w:val="00392C81"/>
    <w:rsid w:val="0039344A"/>
    <w:rsid w:val="00395D2D"/>
    <w:rsid w:val="00395E36"/>
    <w:rsid w:val="003A585D"/>
    <w:rsid w:val="003B3091"/>
    <w:rsid w:val="003B4C8F"/>
    <w:rsid w:val="003B4F12"/>
    <w:rsid w:val="003C3E18"/>
    <w:rsid w:val="003C4BEC"/>
    <w:rsid w:val="003C5162"/>
    <w:rsid w:val="003C52CC"/>
    <w:rsid w:val="003C6C4F"/>
    <w:rsid w:val="003C7D0E"/>
    <w:rsid w:val="003D1253"/>
    <w:rsid w:val="003E24BA"/>
    <w:rsid w:val="003F2041"/>
    <w:rsid w:val="003F39E3"/>
    <w:rsid w:val="003F3F7A"/>
    <w:rsid w:val="003F637A"/>
    <w:rsid w:val="003F7D26"/>
    <w:rsid w:val="004004CB"/>
    <w:rsid w:val="004007ED"/>
    <w:rsid w:val="00400D50"/>
    <w:rsid w:val="00402ACC"/>
    <w:rsid w:val="00403FD8"/>
    <w:rsid w:val="00404443"/>
    <w:rsid w:val="00404602"/>
    <w:rsid w:val="004120EC"/>
    <w:rsid w:val="0041267F"/>
    <w:rsid w:val="00413B1D"/>
    <w:rsid w:val="004215B6"/>
    <w:rsid w:val="00423BCD"/>
    <w:rsid w:val="00423DE0"/>
    <w:rsid w:val="00423F31"/>
    <w:rsid w:val="0042526D"/>
    <w:rsid w:val="00426340"/>
    <w:rsid w:val="00426A34"/>
    <w:rsid w:val="004303AA"/>
    <w:rsid w:val="00431899"/>
    <w:rsid w:val="00444F77"/>
    <w:rsid w:val="00447EAC"/>
    <w:rsid w:val="00450381"/>
    <w:rsid w:val="004522D8"/>
    <w:rsid w:val="004529F1"/>
    <w:rsid w:val="00453B1A"/>
    <w:rsid w:val="00462910"/>
    <w:rsid w:val="0046292C"/>
    <w:rsid w:val="00462A57"/>
    <w:rsid w:val="004647A3"/>
    <w:rsid w:val="00465328"/>
    <w:rsid w:val="00465ABC"/>
    <w:rsid w:val="0046674F"/>
    <w:rsid w:val="004728DD"/>
    <w:rsid w:val="00473BFD"/>
    <w:rsid w:val="00473F2D"/>
    <w:rsid w:val="00473F39"/>
    <w:rsid w:val="00474037"/>
    <w:rsid w:val="004742F3"/>
    <w:rsid w:val="00475782"/>
    <w:rsid w:val="00482AE8"/>
    <w:rsid w:val="00483811"/>
    <w:rsid w:val="00486804"/>
    <w:rsid w:val="00487549"/>
    <w:rsid w:val="00494242"/>
    <w:rsid w:val="004A066B"/>
    <w:rsid w:val="004A41B8"/>
    <w:rsid w:val="004A449D"/>
    <w:rsid w:val="004A66F7"/>
    <w:rsid w:val="004B3775"/>
    <w:rsid w:val="004B5C3A"/>
    <w:rsid w:val="004C3F8E"/>
    <w:rsid w:val="004C56D1"/>
    <w:rsid w:val="004C71C8"/>
    <w:rsid w:val="004C72A7"/>
    <w:rsid w:val="004C7AA5"/>
    <w:rsid w:val="004D0690"/>
    <w:rsid w:val="004D0BA0"/>
    <w:rsid w:val="004D40F5"/>
    <w:rsid w:val="004D7F36"/>
    <w:rsid w:val="004E058F"/>
    <w:rsid w:val="004E3B87"/>
    <w:rsid w:val="004E549D"/>
    <w:rsid w:val="004E7541"/>
    <w:rsid w:val="004F1AD4"/>
    <w:rsid w:val="004F303F"/>
    <w:rsid w:val="004F5615"/>
    <w:rsid w:val="00502041"/>
    <w:rsid w:val="00502DF1"/>
    <w:rsid w:val="00503EB4"/>
    <w:rsid w:val="0050462B"/>
    <w:rsid w:val="0050592F"/>
    <w:rsid w:val="00506236"/>
    <w:rsid w:val="00510921"/>
    <w:rsid w:val="00510AD3"/>
    <w:rsid w:val="00511D01"/>
    <w:rsid w:val="00512941"/>
    <w:rsid w:val="00513348"/>
    <w:rsid w:val="00513AD8"/>
    <w:rsid w:val="00514234"/>
    <w:rsid w:val="00517DD0"/>
    <w:rsid w:val="005204D2"/>
    <w:rsid w:val="00521220"/>
    <w:rsid w:val="00522396"/>
    <w:rsid w:val="00524B07"/>
    <w:rsid w:val="00527AD8"/>
    <w:rsid w:val="00531455"/>
    <w:rsid w:val="0053159D"/>
    <w:rsid w:val="00531B69"/>
    <w:rsid w:val="00533B5D"/>
    <w:rsid w:val="00534CE5"/>
    <w:rsid w:val="00534D96"/>
    <w:rsid w:val="00536343"/>
    <w:rsid w:val="00536BAB"/>
    <w:rsid w:val="00540A22"/>
    <w:rsid w:val="00540AB9"/>
    <w:rsid w:val="0054117E"/>
    <w:rsid w:val="0054522E"/>
    <w:rsid w:val="00546479"/>
    <w:rsid w:val="005474FC"/>
    <w:rsid w:val="00553079"/>
    <w:rsid w:val="00560E83"/>
    <w:rsid w:val="00562E72"/>
    <w:rsid w:val="005736BB"/>
    <w:rsid w:val="00577815"/>
    <w:rsid w:val="005822D6"/>
    <w:rsid w:val="00582903"/>
    <w:rsid w:val="005910C6"/>
    <w:rsid w:val="00595967"/>
    <w:rsid w:val="00596E9B"/>
    <w:rsid w:val="005A0168"/>
    <w:rsid w:val="005A20F6"/>
    <w:rsid w:val="005A5C85"/>
    <w:rsid w:val="005C2EC9"/>
    <w:rsid w:val="005C532B"/>
    <w:rsid w:val="005C577D"/>
    <w:rsid w:val="005C7F43"/>
    <w:rsid w:val="005D27B4"/>
    <w:rsid w:val="005D3655"/>
    <w:rsid w:val="005D5489"/>
    <w:rsid w:val="005D59A0"/>
    <w:rsid w:val="005D5BC9"/>
    <w:rsid w:val="005D6A3D"/>
    <w:rsid w:val="005D6B91"/>
    <w:rsid w:val="005E0058"/>
    <w:rsid w:val="005E0444"/>
    <w:rsid w:val="005E13AD"/>
    <w:rsid w:val="005E4830"/>
    <w:rsid w:val="005E5524"/>
    <w:rsid w:val="005E73CC"/>
    <w:rsid w:val="005E743A"/>
    <w:rsid w:val="005F2B67"/>
    <w:rsid w:val="005F2F66"/>
    <w:rsid w:val="005F3787"/>
    <w:rsid w:val="005F5319"/>
    <w:rsid w:val="005F6676"/>
    <w:rsid w:val="0060160C"/>
    <w:rsid w:val="00601EBA"/>
    <w:rsid w:val="00602749"/>
    <w:rsid w:val="006031AC"/>
    <w:rsid w:val="00603321"/>
    <w:rsid w:val="00603743"/>
    <w:rsid w:val="006062FF"/>
    <w:rsid w:val="00606751"/>
    <w:rsid w:val="00616653"/>
    <w:rsid w:val="00616A58"/>
    <w:rsid w:val="00620A3D"/>
    <w:rsid w:val="00620DB4"/>
    <w:rsid w:val="006215A4"/>
    <w:rsid w:val="00622B86"/>
    <w:rsid w:val="00623BA1"/>
    <w:rsid w:val="00627B77"/>
    <w:rsid w:val="00630092"/>
    <w:rsid w:val="0063298B"/>
    <w:rsid w:val="0063378E"/>
    <w:rsid w:val="006346BC"/>
    <w:rsid w:val="006362FF"/>
    <w:rsid w:val="006378FE"/>
    <w:rsid w:val="006408FF"/>
    <w:rsid w:val="00650493"/>
    <w:rsid w:val="0065649B"/>
    <w:rsid w:val="0066203A"/>
    <w:rsid w:val="006622B4"/>
    <w:rsid w:val="006637B1"/>
    <w:rsid w:val="0066652A"/>
    <w:rsid w:val="006719C3"/>
    <w:rsid w:val="006745FC"/>
    <w:rsid w:val="006750D9"/>
    <w:rsid w:val="00680115"/>
    <w:rsid w:val="00680522"/>
    <w:rsid w:val="00681633"/>
    <w:rsid w:val="00681A92"/>
    <w:rsid w:val="00682167"/>
    <w:rsid w:val="00690AE1"/>
    <w:rsid w:val="006A6F52"/>
    <w:rsid w:val="006A741E"/>
    <w:rsid w:val="006A791A"/>
    <w:rsid w:val="006B0064"/>
    <w:rsid w:val="006B3E95"/>
    <w:rsid w:val="006B51B2"/>
    <w:rsid w:val="006B6E05"/>
    <w:rsid w:val="006B6F6D"/>
    <w:rsid w:val="006C0B06"/>
    <w:rsid w:val="006C1181"/>
    <w:rsid w:val="006C1626"/>
    <w:rsid w:val="006C334A"/>
    <w:rsid w:val="006C3BBD"/>
    <w:rsid w:val="006C42AF"/>
    <w:rsid w:val="006C494D"/>
    <w:rsid w:val="006C565B"/>
    <w:rsid w:val="006C63A4"/>
    <w:rsid w:val="006C6498"/>
    <w:rsid w:val="006C6876"/>
    <w:rsid w:val="006D15F1"/>
    <w:rsid w:val="006D3527"/>
    <w:rsid w:val="006D58CB"/>
    <w:rsid w:val="006D5A56"/>
    <w:rsid w:val="006D5D77"/>
    <w:rsid w:val="006E4323"/>
    <w:rsid w:val="006F2CD7"/>
    <w:rsid w:val="006F4328"/>
    <w:rsid w:val="006F6BA7"/>
    <w:rsid w:val="0070158C"/>
    <w:rsid w:val="007075DF"/>
    <w:rsid w:val="007078AA"/>
    <w:rsid w:val="00711D8E"/>
    <w:rsid w:val="00712672"/>
    <w:rsid w:val="007178C4"/>
    <w:rsid w:val="00726DD3"/>
    <w:rsid w:val="007321E2"/>
    <w:rsid w:val="00734E3F"/>
    <w:rsid w:val="00736985"/>
    <w:rsid w:val="00745DF5"/>
    <w:rsid w:val="00751718"/>
    <w:rsid w:val="00760066"/>
    <w:rsid w:val="0076250F"/>
    <w:rsid w:val="007666E8"/>
    <w:rsid w:val="0077324F"/>
    <w:rsid w:val="007733DC"/>
    <w:rsid w:val="007751EC"/>
    <w:rsid w:val="00780FA5"/>
    <w:rsid w:val="007835BC"/>
    <w:rsid w:val="00794D99"/>
    <w:rsid w:val="00796812"/>
    <w:rsid w:val="00796F1C"/>
    <w:rsid w:val="007A185B"/>
    <w:rsid w:val="007A2E61"/>
    <w:rsid w:val="007A3C33"/>
    <w:rsid w:val="007A4493"/>
    <w:rsid w:val="007B4C18"/>
    <w:rsid w:val="007B53F9"/>
    <w:rsid w:val="007B6200"/>
    <w:rsid w:val="007B6EDE"/>
    <w:rsid w:val="007C19B3"/>
    <w:rsid w:val="007C2889"/>
    <w:rsid w:val="007C4CC7"/>
    <w:rsid w:val="007C735B"/>
    <w:rsid w:val="007D5C49"/>
    <w:rsid w:val="007E0AEC"/>
    <w:rsid w:val="007E5361"/>
    <w:rsid w:val="007E556D"/>
    <w:rsid w:val="007E7BC7"/>
    <w:rsid w:val="007F3395"/>
    <w:rsid w:val="007F5C0B"/>
    <w:rsid w:val="007F646C"/>
    <w:rsid w:val="00801B9F"/>
    <w:rsid w:val="0080204D"/>
    <w:rsid w:val="0080664F"/>
    <w:rsid w:val="00812BCC"/>
    <w:rsid w:val="00816E37"/>
    <w:rsid w:val="008200D5"/>
    <w:rsid w:val="0082053C"/>
    <w:rsid w:val="00822F43"/>
    <w:rsid w:val="00823689"/>
    <w:rsid w:val="008332C2"/>
    <w:rsid w:val="00835F59"/>
    <w:rsid w:val="0084191E"/>
    <w:rsid w:val="00843B76"/>
    <w:rsid w:val="00844737"/>
    <w:rsid w:val="008475F0"/>
    <w:rsid w:val="008477A2"/>
    <w:rsid w:val="008515AF"/>
    <w:rsid w:val="00852C32"/>
    <w:rsid w:val="00854F69"/>
    <w:rsid w:val="008557A7"/>
    <w:rsid w:val="00856BFE"/>
    <w:rsid w:val="00857312"/>
    <w:rsid w:val="008674A3"/>
    <w:rsid w:val="00870740"/>
    <w:rsid w:val="00870928"/>
    <w:rsid w:val="00871CA5"/>
    <w:rsid w:val="00877620"/>
    <w:rsid w:val="00881605"/>
    <w:rsid w:val="00887404"/>
    <w:rsid w:val="008906D1"/>
    <w:rsid w:val="008913FE"/>
    <w:rsid w:val="0089405C"/>
    <w:rsid w:val="00897FA2"/>
    <w:rsid w:val="008A1503"/>
    <w:rsid w:val="008A2173"/>
    <w:rsid w:val="008A2A8B"/>
    <w:rsid w:val="008A5AFE"/>
    <w:rsid w:val="008A6BB7"/>
    <w:rsid w:val="008A6BFD"/>
    <w:rsid w:val="008A7B6F"/>
    <w:rsid w:val="008B6AAB"/>
    <w:rsid w:val="008C1F60"/>
    <w:rsid w:val="008C478C"/>
    <w:rsid w:val="008C5479"/>
    <w:rsid w:val="008C5A0E"/>
    <w:rsid w:val="008C6149"/>
    <w:rsid w:val="008C708C"/>
    <w:rsid w:val="008C796E"/>
    <w:rsid w:val="008D0557"/>
    <w:rsid w:val="008D4FEF"/>
    <w:rsid w:val="008E225A"/>
    <w:rsid w:val="008E4B49"/>
    <w:rsid w:val="008E773F"/>
    <w:rsid w:val="008F6012"/>
    <w:rsid w:val="008F6625"/>
    <w:rsid w:val="008F6C5A"/>
    <w:rsid w:val="008F6D7B"/>
    <w:rsid w:val="00905788"/>
    <w:rsid w:val="00905B44"/>
    <w:rsid w:val="009131E9"/>
    <w:rsid w:val="00916582"/>
    <w:rsid w:val="00917008"/>
    <w:rsid w:val="00917A7A"/>
    <w:rsid w:val="00920854"/>
    <w:rsid w:val="0093173D"/>
    <w:rsid w:val="00937866"/>
    <w:rsid w:val="00943730"/>
    <w:rsid w:val="00950D65"/>
    <w:rsid w:val="00952815"/>
    <w:rsid w:val="00953D8A"/>
    <w:rsid w:val="009576D8"/>
    <w:rsid w:val="009651CD"/>
    <w:rsid w:val="00975CA5"/>
    <w:rsid w:val="009774B4"/>
    <w:rsid w:val="00985646"/>
    <w:rsid w:val="00986590"/>
    <w:rsid w:val="00991579"/>
    <w:rsid w:val="00991EE8"/>
    <w:rsid w:val="00992460"/>
    <w:rsid w:val="00992C76"/>
    <w:rsid w:val="009969D6"/>
    <w:rsid w:val="009A112B"/>
    <w:rsid w:val="009A2619"/>
    <w:rsid w:val="009A58FC"/>
    <w:rsid w:val="009B217A"/>
    <w:rsid w:val="009B394F"/>
    <w:rsid w:val="009B46AC"/>
    <w:rsid w:val="009B4D3B"/>
    <w:rsid w:val="009B72E3"/>
    <w:rsid w:val="009C18DB"/>
    <w:rsid w:val="009D254B"/>
    <w:rsid w:val="009D3438"/>
    <w:rsid w:val="009D38AB"/>
    <w:rsid w:val="009D7407"/>
    <w:rsid w:val="009E0866"/>
    <w:rsid w:val="009E13C5"/>
    <w:rsid w:val="009E273C"/>
    <w:rsid w:val="009E4DDE"/>
    <w:rsid w:val="009E5ECF"/>
    <w:rsid w:val="009F1350"/>
    <w:rsid w:val="009F20FE"/>
    <w:rsid w:val="009F5DF7"/>
    <w:rsid w:val="009F6423"/>
    <w:rsid w:val="00A03F1E"/>
    <w:rsid w:val="00A07A86"/>
    <w:rsid w:val="00A107B9"/>
    <w:rsid w:val="00A12B40"/>
    <w:rsid w:val="00A233A7"/>
    <w:rsid w:val="00A24A62"/>
    <w:rsid w:val="00A25255"/>
    <w:rsid w:val="00A30396"/>
    <w:rsid w:val="00A31C9F"/>
    <w:rsid w:val="00A322F7"/>
    <w:rsid w:val="00A351DF"/>
    <w:rsid w:val="00A36E67"/>
    <w:rsid w:val="00A4144F"/>
    <w:rsid w:val="00A43A25"/>
    <w:rsid w:val="00A46B28"/>
    <w:rsid w:val="00A47135"/>
    <w:rsid w:val="00A52E18"/>
    <w:rsid w:val="00A55A17"/>
    <w:rsid w:val="00A61B4D"/>
    <w:rsid w:val="00A70F42"/>
    <w:rsid w:val="00A71167"/>
    <w:rsid w:val="00A72201"/>
    <w:rsid w:val="00A74192"/>
    <w:rsid w:val="00A75B84"/>
    <w:rsid w:val="00A75B91"/>
    <w:rsid w:val="00A76BEC"/>
    <w:rsid w:val="00A77131"/>
    <w:rsid w:val="00A80123"/>
    <w:rsid w:val="00A80305"/>
    <w:rsid w:val="00A80F95"/>
    <w:rsid w:val="00A868CB"/>
    <w:rsid w:val="00A87217"/>
    <w:rsid w:val="00A96364"/>
    <w:rsid w:val="00A97244"/>
    <w:rsid w:val="00A97BF1"/>
    <w:rsid w:val="00AA298A"/>
    <w:rsid w:val="00AA3AA8"/>
    <w:rsid w:val="00AB084D"/>
    <w:rsid w:val="00AB363F"/>
    <w:rsid w:val="00AB4795"/>
    <w:rsid w:val="00AB6748"/>
    <w:rsid w:val="00AB6BD2"/>
    <w:rsid w:val="00AC107C"/>
    <w:rsid w:val="00AC164A"/>
    <w:rsid w:val="00AC3944"/>
    <w:rsid w:val="00AC551D"/>
    <w:rsid w:val="00AD19F7"/>
    <w:rsid w:val="00AD2C2E"/>
    <w:rsid w:val="00AD6977"/>
    <w:rsid w:val="00AE2B7B"/>
    <w:rsid w:val="00AE32FB"/>
    <w:rsid w:val="00AE448A"/>
    <w:rsid w:val="00AE4725"/>
    <w:rsid w:val="00AE74DA"/>
    <w:rsid w:val="00AF1279"/>
    <w:rsid w:val="00AF18F4"/>
    <w:rsid w:val="00AF2050"/>
    <w:rsid w:val="00AF7ECC"/>
    <w:rsid w:val="00B00BF4"/>
    <w:rsid w:val="00B02B2A"/>
    <w:rsid w:val="00B03CA8"/>
    <w:rsid w:val="00B05B87"/>
    <w:rsid w:val="00B16EF6"/>
    <w:rsid w:val="00B2184D"/>
    <w:rsid w:val="00B22F0E"/>
    <w:rsid w:val="00B248CA"/>
    <w:rsid w:val="00B249EC"/>
    <w:rsid w:val="00B266B9"/>
    <w:rsid w:val="00B318A8"/>
    <w:rsid w:val="00B33C0A"/>
    <w:rsid w:val="00B34763"/>
    <w:rsid w:val="00B37369"/>
    <w:rsid w:val="00B401AF"/>
    <w:rsid w:val="00B41AB3"/>
    <w:rsid w:val="00B46860"/>
    <w:rsid w:val="00B50ED0"/>
    <w:rsid w:val="00B51C2F"/>
    <w:rsid w:val="00B55E19"/>
    <w:rsid w:val="00B56E71"/>
    <w:rsid w:val="00B579A6"/>
    <w:rsid w:val="00B71AD8"/>
    <w:rsid w:val="00B72898"/>
    <w:rsid w:val="00B84B3C"/>
    <w:rsid w:val="00B857E1"/>
    <w:rsid w:val="00B8599B"/>
    <w:rsid w:val="00B86990"/>
    <w:rsid w:val="00B91FE7"/>
    <w:rsid w:val="00B929BE"/>
    <w:rsid w:val="00B94758"/>
    <w:rsid w:val="00BA15EE"/>
    <w:rsid w:val="00BA1B89"/>
    <w:rsid w:val="00BA4B6D"/>
    <w:rsid w:val="00BA51C2"/>
    <w:rsid w:val="00BA5FDC"/>
    <w:rsid w:val="00BB0A73"/>
    <w:rsid w:val="00BB11F3"/>
    <w:rsid w:val="00BB26C5"/>
    <w:rsid w:val="00BB2F84"/>
    <w:rsid w:val="00BB3FD0"/>
    <w:rsid w:val="00BB656F"/>
    <w:rsid w:val="00BC1B69"/>
    <w:rsid w:val="00BC1FA2"/>
    <w:rsid w:val="00BC1FED"/>
    <w:rsid w:val="00BC64FB"/>
    <w:rsid w:val="00BD57FE"/>
    <w:rsid w:val="00BD6304"/>
    <w:rsid w:val="00BD710C"/>
    <w:rsid w:val="00BE12B6"/>
    <w:rsid w:val="00BF1579"/>
    <w:rsid w:val="00BF1F91"/>
    <w:rsid w:val="00BF39D9"/>
    <w:rsid w:val="00BF3EDA"/>
    <w:rsid w:val="00BF4DE6"/>
    <w:rsid w:val="00BF6703"/>
    <w:rsid w:val="00C0064C"/>
    <w:rsid w:val="00C06B13"/>
    <w:rsid w:val="00C16A47"/>
    <w:rsid w:val="00C2020F"/>
    <w:rsid w:val="00C27D25"/>
    <w:rsid w:val="00C301FF"/>
    <w:rsid w:val="00C35791"/>
    <w:rsid w:val="00C37697"/>
    <w:rsid w:val="00C42541"/>
    <w:rsid w:val="00C42CDE"/>
    <w:rsid w:val="00C45941"/>
    <w:rsid w:val="00C50B58"/>
    <w:rsid w:val="00C5182A"/>
    <w:rsid w:val="00C52463"/>
    <w:rsid w:val="00C52B3D"/>
    <w:rsid w:val="00C541F9"/>
    <w:rsid w:val="00C55983"/>
    <w:rsid w:val="00C559F8"/>
    <w:rsid w:val="00C568B3"/>
    <w:rsid w:val="00C61649"/>
    <w:rsid w:val="00C63EE9"/>
    <w:rsid w:val="00C73BF8"/>
    <w:rsid w:val="00C80F99"/>
    <w:rsid w:val="00C82142"/>
    <w:rsid w:val="00C83F4E"/>
    <w:rsid w:val="00C84C30"/>
    <w:rsid w:val="00C86206"/>
    <w:rsid w:val="00C87B9B"/>
    <w:rsid w:val="00C908C7"/>
    <w:rsid w:val="00C92805"/>
    <w:rsid w:val="00CA16F3"/>
    <w:rsid w:val="00CA2079"/>
    <w:rsid w:val="00CA3403"/>
    <w:rsid w:val="00CA37B1"/>
    <w:rsid w:val="00CA3FD8"/>
    <w:rsid w:val="00CA5021"/>
    <w:rsid w:val="00CB0008"/>
    <w:rsid w:val="00CB1488"/>
    <w:rsid w:val="00CB1959"/>
    <w:rsid w:val="00CB32C8"/>
    <w:rsid w:val="00CB40BD"/>
    <w:rsid w:val="00CC1D45"/>
    <w:rsid w:val="00CC741B"/>
    <w:rsid w:val="00CD0E4B"/>
    <w:rsid w:val="00CD2038"/>
    <w:rsid w:val="00CD3F5D"/>
    <w:rsid w:val="00CD4AD4"/>
    <w:rsid w:val="00CD765D"/>
    <w:rsid w:val="00CE0494"/>
    <w:rsid w:val="00CE4C89"/>
    <w:rsid w:val="00CF07BA"/>
    <w:rsid w:val="00CF21A3"/>
    <w:rsid w:val="00CF7E2E"/>
    <w:rsid w:val="00D0296C"/>
    <w:rsid w:val="00D0561B"/>
    <w:rsid w:val="00D05E55"/>
    <w:rsid w:val="00D062E9"/>
    <w:rsid w:val="00D07328"/>
    <w:rsid w:val="00D10C77"/>
    <w:rsid w:val="00D1231A"/>
    <w:rsid w:val="00D20A30"/>
    <w:rsid w:val="00D20BC7"/>
    <w:rsid w:val="00D22ACB"/>
    <w:rsid w:val="00D2641E"/>
    <w:rsid w:val="00D3170B"/>
    <w:rsid w:val="00D32D6F"/>
    <w:rsid w:val="00D34D5D"/>
    <w:rsid w:val="00D37B04"/>
    <w:rsid w:val="00D4279A"/>
    <w:rsid w:val="00D442CC"/>
    <w:rsid w:val="00D45555"/>
    <w:rsid w:val="00D45657"/>
    <w:rsid w:val="00D4628C"/>
    <w:rsid w:val="00D479B5"/>
    <w:rsid w:val="00D540C6"/>
    <w:rsid w:val="00D64BD1"/>
    <w:rsid w:val="00D675CB"/>
    <w:rsid w:val="00D67889"/>
    <w:rsid w:val="00D71F34"/>
    <w:rsid w:val="00D7310B"/>
    <w:rsid w:val="00D85A54"/>
    <w:rsid w:val="00D85F0B"/>
    <w:rsid w:val="00D90B37"/>
    <w:rsid w:val="00D92254"/>
    <w:rsid w:val="00D922DF"/>
    <w:rsid w:val="00D924D3"/>
    <w:rsid w:val="00D94190"/>
    <w:rsid w:val="00DA1B52"/>
    <w:rsid w:val="00DB2AC1"/>
    <w:rsid w:val="00DB3115"/>
    <w:rsid w:val="00DC0996"/>
    <w:rsid w:val="00DC238C"/>
    <w:rsid w:val="00DC559A"/>
    <w:rsid w:val="00DC6D78"/>
    <w:rsid w:val="00DD3E88"/>
    <w:rsid w:val="00DD7F4D"/>
    <w:rsid w:val="00DE084C"/>
    <w:rsid w:val="00DE3759"/>
    <w:rsid w:val="00DE5553"/>
    <w:rsid w:val="00DF2254"/>
    <w:rsid w:val="00DF54E2"/>
    <w:rsid w:val="00DF68CF"/>
    <w:rsid w:val="00E01F23"/>
    <w:rsid w:val="00E0497E"/>
    <w:rsid w:val="00E04CA3"/>
    <w:rsid w:val="00E055AB"/>
    <w:rsid w:val="00E14F51"/>
    <w:rsid w:val="00E15A6C"/>
    <w:rsid w:val="00E1623E"/>
    <w:rsid w:val="00E1666D"/>
    <w:rsid w:val="00E221FA"/>
    <w:rsid w:val="00E26DC7"/>
    <w:rsid w:val="00E3076E"/>
    <w:rsid w:val="00E32BE3"/>
    <w:rsid w:val="00E357B7"/>
    <w:rsid w:val="00E3764D"/>
    <w:rsid w:val="00E41056"/>
    <w:rsid w:val="00E410F8"/>
    <w:rsid w:val="00E42990"/>
    <w:rsid w:val="00E42E50"/>
    <w:rsid w:val="00E4384F"/>
    <w:rsid w:val="00E4584F"/>
    <w:rsid w:val="00E532A8"/>
    <w:rsid w:val="00E53800"/>
    <w:rsid w:val="00E6081F"/>
    <w:rsid w:val="00E614AA"/>
    <w:rsid w:val="00E624EC"/>
    <w:rsid w:val="00E64725"/>
    <w:rsid w:val="00E67BC0"/>
    <w:rsid w:val="00E70C37"/>
    <w:rsid w:val="00E814B7"/>
    <w:rsid w:val="00E8296D"/>
    <w:rsid w:val="00E8457B"/>
    <w:rsid w:val="00E944AA"/>
    <w:rsid w:val="00E95683"/>
    <w:rsid w:val="00EA04B2"/>
    <w:rsid w:val="00EA20F3"/>
    <w:rsid w:val="00EA36D9"/>
    <w:rsid w:val="00EB7356"/>
    <w:rsid w:val="00EC00C9"/>
    <w:rsid w:val="00EC1E26"/>
    <w:rsid w:val="00EC4A33"/>
    <w:rsid w:val="00EC608A"/>
    <w:rsid w:val="00EC6D38"/>
    <w:rsid w:val="00ED2831"/>
    <w:rsid w:val="00ED2B71"/>
    <w:rsid w:val="00ED3B2D"/>
    <w:rsid w:val="00ED43D1"/>
    <w:rsid w:val="00EE0466"/>
    <w:rsid w:val="00EE0866"/>
    <w:rsid w:val="00EE1CFF"/>
    <w:rsid w:val="00EE3C25"/>
    <w:rsid w:val="00EE40AE"/>
    <w:rsid w:val="00EE4EE1"/>
    <w:rsid w:val="00EF4574"/>
    <w:rsid w:val="00EF478F"/>
    <w:rsid w:val="00F0156F"/>
    <w:rsid w:val="00F01921"/>
    <w:rsid w:val="00F13373"/>
    <w:rsid w:val="00F20BA7"/>
    <w:rsid w:val="00F212EB"/>
    <w:rsid w:val="00F21D79"/>
    <w:rsid w:val="00F258BF"/>
    <w:rsid w:val="00F25A93"/>
    <w:rsid w:val="00F2684E"/>
    <w:rsid w:val="00F27235"/>
    <w:rsid w:val="00F32F70"/>
    <w:rsid w:val="00F364A5"/>
    <w:rsid w:val="00F3797F"/>
    <w:rsid w:val="00F45486"/>
    <w:rsid w:val="00F47942"/>
    <w:rsid w:val="00F51514"/>
    <w:rsid w:val="00F52CF6"/>
    <w:rsid w:val="00F53309"/>
    <w:rsid w:val="00F53E91"/>
    <w:rsid w:val="00F5404C"/>
    <w:rsid w:val="00F55791"/>
    <w:rsid w:val="00F61E2E"/>
    <w:rsid w:val="00F650C7"/>
    <w:rsid w:val="00F67404"/>
    <w:rsid w:val="00F67C6A"/>
    <w:rsid w:val="00F70504"/>
    <w:rsid w:val="00F72658"/>
    <w:rsid w:val="00F729EF"/>
    <w:rsid w:val="00F746B7"/>
    <w:rsid w:val="00F760AE"/>
    <w:rsid w:val="00F76D39"/>
    <w:rsid w:val="00F77CAE"/>
    <w:rsid w:val="00F8179D"/>
    <w:rsid w:val="00F82271"/>
    <w:rsid w:val="00F83428"/>
    <w:rsid w:val="00F875A8"/>
    <w:rsid w:val="00F90B17"/>
    <w:rsid w:val="00F94033"/>
    <w:rsid w:val="00F96BB9"/>
    <w:rsid w:val="00FA1125"/>
    <w:rsid w:val="00FA261F"/>
    <w:rsid w:val="00FA4D1A"/>
    <w:rsid w:val="00FA5C79"/>
    <w:rsid w:val="00FA5EFD"/>
    <w:rsid w:val="00FB3723"/>
    <w:rsid w:val="00FB40A5"/>
    <w:rsid w:val="00FB4CB3"/>
    <w:rsid w:val="00FC1216"/>
    <w:rsid w:val="00FC1C2C"/>
    <w:rsid w:val="00FC1FC2"/>
    <w:rsid w:val="00FC5365"/>
    <w:rsid w:val="00FD1850"/>
    <w:rsid w:val="00FD1CE0"/>
    <w:rsid w:val="00FD232F"/>
    <w:rsid w:val="00FD710F"/>
    <w:rsid w:val="00FE1991"/>
    <w:rsid w:val="00FE2E1A"/>
    <w:rsid w:val="00FE5106"/>
    <w:rsid w:val="00FE6D51"/>
    <w:rsid w:val="00FE6F2A"/>
    <w:rsid w:val="00FF1C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8D4FEF"/>
    <w:pPr>
      <w:spacing w:before="0" w:after="0"/>
      <w:contextualSpacing w:val="0"/>
      <w:outlineLvl w:val="2"/>
    </w:pPr>
    <w:rPr>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8D4FEF"/>
    <w:rPr>
      <w:rFonts w:asciiTheme="majorHAnsi" w:eastAsiaTheme="majorEastAsia" w:hAnsiTheme="majorHAnsi" w:cstheme="majorBid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NormalWeb">
    <w:name w:val="Normal (Web)"/>
    <w:basedOn w:val="Normal"/>
    <w:uiPriority w:val="99"/>
    <w:semiHidden/>
    <w:unhideWhenUsed/>
    <w:rsid w:val="00816E37"/>
    <w:pPr>
      <w:suppressAutoHyphens w:val="0"/>
      <w:spacing w:before="100" w:beforeAutospacing="1" w:after="100" w:afterAutospacing="1" w:line="240" w:lineRule="auto"/>
    </w:pPr>
    <w:rPr>
      <w:rFonts w:ascii="Calibri" w:hAnsi="Calibri" w:cs="Calibri"/>
      <w:color w:val="auto"/>
      <w:lang w:val="en-AU" w:eastAsia="en-AU"/>
    </w:rPr>
  </w:style>
  <w:style w:type="character" w:customStyle="1" w:styleId="size">
    <w:name w:val="size"/>
    <w:basedOn w:val="DefaultParagraphFont"/>
    <w:rsid w:val="00816E37"/>
  </w:style>
  <w:style w:type="paragraph" w:styleId="Revision">
    <w:name w:val="Revision"/>
    <w:hidden/>
    <w:uiPriority w:val="99"/>
    <w:semiHidden/>
    <w:rsid w:val="00104A42"/>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362636208">
      <w:bodyDiv w:val="1"/>
      <w:marLeft w:val="0"/>
      <w:marRight w:val="0"/>
      <w:marTop w:val="0"/>
      <w:marBottom w:val="0"/>
      <w:divBdr>
        <w:top w:val="none" w:sz="0" w:space="0" w:color="auto"/>
        <w:left w:val="none" w:sz="0" w:space="0" w:color="auto"/>
        <w:bottom w:val="none" w:sz="0" w:space="0" w:color="auto"/>
        <w:right w:val="none" w:sz="0" w:space="0" w:color="auto"/>
      </w:divBdr>
    </w:div>
    <w:div w:id="489908682">
      <w:bodyDiv w:val="1"/>
      <w:marLeft w:val="0"/>
      <w:marRight w:val="0"/>
      <w:marTop w:val="0"/>
      <w:marBottom w:val="0"/>
      <w:divBdr>
        <w:top w:val="none" w:sz="0" w:space="0" w:color="auto"/>
        <w:left w:val="none" w:sz="0" w:space="0" w:color="auto"/>
        <w:bottom w:val="none" w:sz="0" w:space="0" w:color="auto"/>
        <w:right w:val="none" w:sz="0" w:space="0" w:color="auto"/>
      </w:divBdr>
    </w:div>
    <w:div w:id="888537478">
      <w:bodyDiv w:val="1"/>
      <w:marLeft w:val="0"/>
      <w:marRight w:val="0"/>
      <w:marTop w:val="0"/>
      <w:marBottom w:val="0"/>
      <w:divBdr>
        <w:top w:val="none" w:sz="0" w:space="0" w:color="auto"/>
        <w:left w:val="none" w:sz="0" w:space="0" w:color="auto"/>
        <w:bottom w:val="none" w:sz="0" w:space="0" w:color="auto"/>
        <w:right w:val="none" w:sz="0" w:space="0" w:color="auto"/>
      </w:divBdr>
    </w:div>
    <w:div w:id="1264220166">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91629460">
      <w:bodyDiv w:val="1"/>
      <w:marLeft w:val="0"/>
      <w:marRight w:val="0"/>
      <w:marTop w:val="0"/>
      <w:marBottom w:val="0"/>
      <w:divBdr>
        <w:top w:val="none" w:sz="0" w:space="0" w:color="auto"/>
        <w:left w:val="none" w:sz="0" w:space="0" w:color="auto"/>
        <w:bottom w:val="none" w:sz="0" w:space="0" w:color="auto"/>
        <w:right w:val="none" w:sz="0" w:space="0" w:color="auto"/>
      </w:divBdr>
    </w:div>
    <w:div w:id="1540892748">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866C-5EAF-4B2E-B685-F125DE16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16206</Characters>
  <Application>Microsoft Office Word</Application>
  <DocSecurity>0</DocSecurity>
  <Lines>317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Nepal Development Program Progress Report</dc:title>
  <dc:subject/>
  <dc:creator/>
  <cp:keywords/>
  <cp:lastModifiedBy/>
  <cp:revision>1</cp:revision>
  <dcterms:created xsi:type="dcterms:W3CDTF">2021-11-24T05:13:00Z</dcterms:created>
  <dcterms:modified xsi:type="dcterms:W3CDTF">2021-11-24T05:14:00Z</dcterms:modified>
  <cp:category/>
</cp:coreProperties>
</file>