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6282A" w14:textId="6D7C3721" w:rsidR="00210040" w:rsidRPr="007852BC" w:rsidRDefault="002E500A" w:rsidP="00A00C22">
      <w:pPr>
        <w:pStyle w:val="Heading1"/>
      </w:pPr>
      <w:r w:rsidRPr="002E500A">
        <w:t xml:space="preserve">2020-21 </w:t>
      </w:r>
      <w:r w:rsidR="00867FC2">
        <w:t>Palestinian Territories</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7C20D199" w14:textId="05457DE3" w:rsidR="00AF2FD3" w:rsidRPr="00AF2FD3" w:rsidRDefault="003D2AC6">
      <w:r w:rsidRPr="003D2AC6">
        <w:rPr>
          <w:noProof/>
        </w:rPr>
        <w:drawing>
          <wp:inline distT="0" distB="0" distL="0" distR="0" wp14:anchorId="275C091C" wp14:editId="448DF556">
            <wp:extent cx="6696710" cy="2806700"/>
            <wp:effectExtent l="0" t="0" r="0" b="0"/>
            <wp:docPr id="1" name="Picture 1" descr="2020-21 Budget estimate. Total ODA $29.8 million. Bilateral program budget $17.1 million. Regional program budget $1.3 million. Global program budget $11.4 million. Other government departments budget $0.&#10;Our development program to Palestinian Territories contributes towards achieving the following Sustainable Development Goals: 1,2,3,5,6,8,9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29.8 million. Bilateral program budget $17.1 million. Regional program budget $1.3 million. Global program budget $11.4 million. Other government departments budget $0.&#10;Our development program to Palestinian Territories contributes towards achieving the following Sustainable Development Goals: 1,2,3,5,6,8,9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3503"/>
                    <a:stretch/>
                  </pic:blipFill>
                  <pic:spPr bwMode="auto">
                    <a:xfrm>
                      <a:off x="0" y="0"/>
                      <a:ext cx="6696710" cy="2806700"/>
                    </a:xfrm>
                    <a:prstGeom prst="rect">
                      <a:avLst/>
                    </a:prstGeom>
                    <a:noFill/>
                    <a:ln>
                      <a:noFill/>
                    </a:ln>
                    <a:extLst>
                      <a:ext uri="{53640926-AAD7-44D8-BBD7-CCE9431645EC}">
                        <a14:shadowObscured xmlns:a14="http://schemas.microsoft.com/office/drawing/2010/main"/>
                      </a:ext>
                    </a:extLst>
                  </pic:spPr>
                </pic:pic>
              </a:graphicData>
            </a:graphic>
          </wp:inline>
        </w:drawing>
      </w:r>
    </w:p>
    <w:p w14:paraId="12F182A4" w14:textId="2F00DDCD" w:rsidR="00C84C30" w:rsidRPr="00297FD1" w:rsidRDefault="00C84C30" w:rsidP="008A6BB7">
      <w:pPr>
        <w:pStyle w:val="Heading2"/>
      </w:pPr>
      <w:r w:rsidRPr="00297FD1">
        <w:t xml:space="preserve">CONTEXT </w:t>
      </w:r>
    </w:p>
    <w:p w14:paraId="00AF80EE" w14:textId="739814C7" w:rsidR="008204C7" w:rsidRDefault="009B7EAE" w:rsidP="006B1FC3">
      <w:pPr>
        <w:pStyle w:val="Bullet1"/>
        <w:numPr>
          <w:ilvl w:val="0"/>
          <w:numId w:val="0"/>
        </w:numPr>
      </w:pPr>
      <w:r>
        <w:t xml:space="preserve">Australia’s </w:t>
      </w:r>
      <w:r w:rsidR="00A77278">
        <w:t xml:space="preserve">development </w:t>
      </w:r>
      <w:r>
        <w:t>assistance to the Palestinian Territories is delivered in the context of Australia’s long-standing support for a two-state solution, where Israel and a future Palestinian state co-exist in peace and security.</w:t>
      </w:r>
    </w:p>
    <w:p w14:paraId="42C8A8A3" w14:textId="2887E6D7" w:rsidR="00202142" w:rsidRDefault="001F0A07" w:rsidP="006B1FC3">
      <w:pPr>
        <w:pStyle w:val="Bullet1"/>
        <w:numPr>
          <w:ilvl w:val="0"/>
          <w:numId w:val="0"/>
        </w:numPr>
      </w:pPr>
      <w:r>
        <w:t>In 2020-21, development challenges i</w:t>
      </w:r>
      <w:r w:rsidR="00995EB6">
        <w:t>n the Palestinian Territories</w:t>
      </w:r>
      <w:r>
        <w:t xml:space="preserve"> were exacerbated by</w:t>
      </w:r>
      <w:r w:rsidR="00995EB6">
        <w:t xml:space="preserve"> the COVID-19 pandemic</w:t>
      </w:r>
      <w:r>
        <w:t xml:space="preserve"> and </w:t>
      </w:r>
      <w:r w:rsidR="00995EB6">
        <w:t xml:space="preserve">conflict between Israel and the Palestinians. </w:t>
      </w:r>
      <w:r w:rsidR="00202142" w:rsidRPr="00D836E1">
        <w:t xml:space="preserve">COVID-19 has </w:t>
      </w:r>
      <w:r w:rsidR="00897648" w:rsidRPr="00D836E1">
        <w:t>impacted heavily on</w:t>
      </w:r>
      <w:r w:rsidR="00202142" w:rsidRPr="00D836E1">
        <w:t xml:space="preserve"> the humanitarian needs of Palestinians across the West Bank, Gaza, Lebanon, </w:t>
      </w:r>
      <w:proofErr w:type="gramStart"/>
      <w:r w:rsidR="00202142" w:rsidRPr="00D836E1">
        <w:t>Syria</w:t>
      </w:r>
      <w:proofErr w:type="gramEnd"/>
      <w:r w:rsidR="00202142" w:rsidRPr="00D836E1">
        <w:t xml:space="preserve"> and Jordan</w:t>
      </w:r>
      <w:r w:rsidR="00202142" w:rsidRPr="00F42093">
        <w:t>.</w:t>
      </w:r>
      <w:r w:rsidR="00202142" w:rsidRPr="00312FEB">
        <w:t xml:space="preserve"> </w:t>
      </w:r>
      <w:r w:rsidR="0051536A">
        <w:t xml:space="preserve">Access to health care </w:t>
      </w:r>
      <w:r w:rsidR="00386031">
        <w:t xml:space="preserve">remained </w:t>
      </w:r>
      <w:r w:rsidR="0051536A">
        <w:t>under pressure</w:t>
      </w:r>
      <w:r w:rsidR="00CE743C">
        <w:t xml:space="preserve"> and </w:t>
      </w:r>
      <w:r w:rsidR="00202142" w:rsidRPr="008204C7">
        <w:rPr>
          <w:b/>
          <w:bCs/>
        </w:rPr>
        <w:t>Australia’s humanitarian and development</w:t>
      </w:r>
      <w:r w:rsidR="00202142" w:rsidRPr="00D836E1">
        <w:rPr>
          <w:b/>
          <w:bCs/>
        </w:rPr>
        <w:t xml:space="preserve"> support</w:t>
      </w:r>
      <w:r w:rsidR="005134EE" w:rsidRPr="00D836E1">
        <w:rPr>
          <w:b/>
          <w:bCs/>
        </w:rPr>
        <w:t xml:space="preserve"> pivoted in 2020 to</w:t>
      </w:r>
      <w:r w:rsidR="0096640C" w:rsidRPr="00D836E1">
        <w:rPr>
          <w:b/>
          <w:bCs/>
        </w:rPr>
        <w:t xml:space="preserve"> focus on </w:t>
      </w:r>
      <w:r w:rsidR="00841A44" w:rsidRPr="00D836E1">
        <w:rPr>
          <w:b/>
          <w:bCs/>
        </w:rPr>
        <w:t>increasing support for</w:t>
      </w:r>
      <w:r w:rsidR="0096640C" w:rsidRPr="00D836E1">
        <w:rPr>
          <w:b/>
          <w:bCs/>
        </w:rPr>
        <w:t xml:space="preserve"> core health and social protection services and fostering economic recovery</w:t>
      </w:r>
      <w:r w:rsidR="0096640C">
        <w:t>.</w:t>
      </w:r>
    </w:p>
    <w:p w14:paraId="719E1170" w14:textId="766221FA" w:rsidR="00313F16" w:rsidRDefault="00313F16" w:rsidP="006B1FC3">
      <w:pPr>
        <w:pStyle w:val="Bullet1"/>
        <w:numPr>
          <w:ilvl w:val="0"/>
          <w:numId w:val="0"/>
        </w:numPr>
      </w:pPr>
      <w:r>
        <w:t>According to</w:t>
      </w:r>
      <w:r w:rsidR="00CE743C">
        <w:t xml:space="preserve"> the</w:t>
      </w:r>
      <w:r>
        <w:t xml:space="preserve"> World Health Organisation</w:t>
      </w:r>
      <w:r w:rsidR="001E28BF">
        <w:t xml:space="preserve"> (WHO)</w:t>
      </w:r>
      <w:r>
        <w:t xml:space="preserve">, there </w:t>
      </w:r>
      <w:r w:rsidR="00386031">
        <w:t>were</w:t>
      </w:r>
      <w:r>
        <w:t xml:space="preserve"> </w:t>
      </w:r>
      <w:r w:rsidRPr="008204C7">
        <w:t xml:space="preserve">351,753 reported cases of COVID-19 in the Palestinian Territories throughout the pandemic (as </w:t>
      </w:r>
      <w:proofErr w:type="gramStart"/>
      <w:r w:rsidRPr="008204C7">
        <w:t>at</w:t>
      </w:r>
      <w:proofErr w:type="gramEnd"/>
      <w:r w:rsidRPr="008204C7">
        <w:t xml:space="preserve"> 1 August 2021)</w:t>
      </w:r>
      <w:r>
        <w:t>.</w:t>
      </w:r>
      <w:r w:rsidRPr="00313F16">
        <w:t xml:space="preserve"> </w:t>
      </w:r>
      <w:r w:rsidRPr="00361EBD">
        <w:t>Surges in cases, particularly in Gaza since August 2020</w:t>
      </w:r>
      <w:r w:rsidR="00386031" w:rsidRPr="00361EBD">
        <w:t>,</w:t>
      </w:r>
      <w:r w:rsidRPr="00D836E1">
        <w:rPr>
          <w:b/>
          <w:bCs/>
        </w:rPr>
        <w:t xml:space="preserve"> </w:t>
      </w:r>
      <w:r w:rsidRPr="003552F3">
        <w:t xml:space="preserve">have resulted in intermittent lockdowns and stressed an already burdened healthcare system. </w:t>
      </w:r>
      <w:r w:rsidRPr="00361EBD">
        <w:t xml:space="preserve">As of 2 June 2021, the vaccination campaign across the Palestinian </w:t>
      </w:r>
      <w:r w:rsidR="00381714">
        <w:t>T</w:t>
      </w:r>
      <w:r w:rsidRPr="00361EBD">
        <w:t>erritories has vaccinated 344,260 Palestinians in the West Bank and Gaza</w:t>
      </w:r>
      <w:r w:rsidR="00386031" w:rsidRPr="00361EBD">
        <w:t>,</w:t>
      </w:r>
      <w:r w:rsidRPr="00361EBD">
        <w:t xml:space="preserve"> or </w:t>
      </w:r>
      <w:r w:rsidR="001E28BF">
        <w:t>seven</w:t>
      </w:r>
      <w:r w:rsidR="00897648" w:rsidRPr="00361EBD">
        <w:t xml:space="preserve"> per cent</w:t>
      </w:r>
      <w:r w:rsidRPr="00361EBD">
        <w:t xml:space="preserve"> of the population. </w:t>
      </w:r>
      <w:r w:rsidR="0096640C" w:rsidRPr="00361EBD">
        <w:t>A combination of lack of vaccines and poor communication arou</w:t>
      </w:r>
      <w:r w:rsidR="0096640C">
        <w:t>nd the</w:t>
      </w:r>
      <w:r w:rsidR="00C46147">
        <w:t>ir</w:t>
      </w:r>
      <w:r w:rsidR="0096640C">
        <w:t xml:space="preserve"> benefits have led to </w:t>
      </w:r>
      <w:r>
        <w:t>report</w:t>
      </w:r>
      <w:r w:rsidR="0096640C">
        <w:t>ed</w:t>
      </w:r>
      <w:r>
        <w:t xml:space="preserve"> </w:t>
      </w:r>
      <w:r w:rsidRPr="008204C7">
        <w:t>widespread vaccine hesitancy</w:t>
      </w:r>
      <w:r>
        <w:t xml:space="preserve">, amid </w:t>
      </w:r>
      <w:r w:rsidR="0096640C">
        <w:t>continually high numbers of infections.</w:t>
      </w:r>
    </w:p>
    <w:p w14:paraId="02897032" w14:textId="30F79B7D" w:rsidR="00CE743C" w:rsidRDefault="0048537B" w:rsidP="006B1FC3">
      <w:pPr>
        <w:pStyle w:val="Bullet1"/>
        <w:numPr>
          <w:ilvl w:val="0"/>
          <w:numId w:val="0"/>
        </w:numPr>
      </w:pPr>
      <w:r w:rsidRPr="003428C7">
        <w:t>M</w:t>
      </w:r>
      <w:r w:rsidRPr="00E6100E">
        <w:t xml:space="preserve">andatory lockdown </w:t>
      </w:r>
      <w:r w:rsidRPr="003428C7">
        <w:t>measures</w:t>
      </w:r>
      <w:r>
        <w:t xml:space="preserve">, necessary as a </w:t>
      </w:r>
      <w:r w:rsidR="00386031">
        <w:t xml:space="preserve">public </w:t>
      </w:r>
      <w:r>
        <w:t>health response,</w:t>
      </w:r>
      <w:r w:rsidRPr="003428C7">
        <w:t xml:space="preserve"> </w:t>
      </w:r>
      <w:r w:rsidR="002F646A">
        <w:t>increased</w:t>
      </w:r>
      <w:r w:rsidR="00E9110A">
        <w:t xml:space="preserve"> </w:t>
      </w:r>
      <w:r w:rsidR="00386031">
        <w:t>the</w:t>
      </w:r>
      <w:r w:rsidRPr="00E6100E">
        <w:t xml:space="preserve"> risk of </w:t>
      </w:r>
      <w:r w:rsidRPr="00282639">
        <w:t xml:space="preserve">Gender Based Violence </w:t>
      </w:r>
      <w:r w:rsidR="00912B9B">
        <w:t xml:space="preserve">(GBV) </w:t>
      </w:r>
      <w:r w:rsidRPr="00282639">
        <w:t xml:space="preserve">affecting women and children, </w:t>
      </w:r>
      <w:r>
        <w:t xml:space="preserve">incidences of </w:t>
      </w:r>
      <w:r w:rsidRPr="00282639">
        <w:t xml:space="preserve">mental illness and </w:t>
      </w:r>
      <w:r w:rsidR="00DB3CFA">
        <w:t>psychological distress</w:t>
      </w:r>
      <w:r w:rsidRPr="00AC5D8A">
        <w:t>.</w:t>
      </w:r>
    </w:p>
    <w:p w14:paraId="74D333D6" w14:textId="4B6C21B0" w:rsidR="00CE743C" w:rsidRDefault="00CE743C" w:rsidP="006B1FC3">
      <w:pPr>
        <w:pStyle w:val="Bullet1"/>
        <w:numPr>
          <w:ilvl w:val="0"/>
          <w:numId w:val="0"/>
        </w:numPr>
      </w:pPr>
      <w:r w:rsidRPr="008204C7">
        <w:rPr>
          <w:b/>
          <w:bCs/>
        </w:rPr>
        <w:t>The economic impact of COVID-19 has been severe.</w:t>
      </w:r>
      <w:r w:rsidRPr="00361EBD">
        <w:t xml:space="preserve"> </w:t>
      </w:r>
      <w:r>
        <w:t xml:space="preserve">The </w:t>
      </w:r>
      <w:r w:rsidRPr="008204C7">
        <w:t>International Monetary Fund</w:t>
      </w:r>
      <w:r w:rsidR="001E28BF">
        <w:t xml:space="preserve"> </w:t>
      </w:r>
      <w:r w:rsidRPr="008204C7">
        <w:t xml:space="preserve">estimates that </w:t>
      </w:r>
      <w:r w:rsidR="001E28BF">
        <w:t>gross domestic product</w:t>
      </w:r>
      <w:r w:rsidRPr="008204C7">
        <w:t xml:space="preserve"> fell by 11</w:t>
      </w:r>
      <w:r w:rsidR="0096640C" w:rsidRPr="008204C7">
        <w:t> </w:t>
      </w:r>
      <w:r w:rsidRPr="008204C7">
        <w:t xml:space="preserve">per cent in 2020. </w:t>
      </w:r>
      <w:r>
        <w:t>Limited economic activity</w:t>
      </w:r>
      <w:r w:rsidR="0096640C">
        <w:t>—</w:t>
      </w:r>
      <w:r>
        <w:t xml:space="preserve">compounded by the Palestinian Authority’s deteriorating financial situation, a reduction in social assistance, </w:t>
      </w:r>
      <w:r w:rsidR="00897648">
        <w:t>worsening</w:t>
      </w:r>
      <w:r>
        <w:t xml:space="preserve"> public infrastructure and the impact of COVID-19</w:t>
      </w:r>
      <w:r w:rsidR="0096640C">
        <w:t>—further challenged</w:t>
      </w:r>
      <w:r w:rsidR="002B6AA5">
        <w:t xml:space="preserve"> </w:t>
      </w:r>
      <w:r>
        <w:t>the delivery and availability of essential services.</w:t>
      </w:r>
    </w:p>
    <w:p w14:paraId="2C5C5D2D" w14:textId="15EC8B5F" w:rsidR="00D03AFB" w:rsidRPr="00361EBD" w:rsidRDefault="001F0A07" w:rsidP="006B1FC3">
      <w:pPr>
        <w:pStyle w:val="Bullet1"/>
        <w:numPr>
          <w:ilvl w:val="0"/>
          <w:numId w:val="0"/>
        </w:numPr>
      </w:pPr>
      <w:r w:rsidRPr="00D836E1">
        <w:rPr>
          <w:b/>
          <w:bCs/>
        </w:rPr>
        <w:t>The conflict with Israel in May 2021</w:t>
      </w:r>
      <w:r w:rsidR="00806F33" w:rsidRPr="00D836E1">
        <w:rPr>
          <w:b/>
          <w:bCs/>
        </w:rPr>
        <w:t xml:space="preserve"> </w:t>
      </w:r>
      <w:r w:rsidR="0048537B" w:rsidRPr="00D836E1">
        <w:rPr>
          <w:b/>
          <w:bCs/>
        </w:rPr>
        <w:t xml:space="preserve">exacerbated existing economic </w:t>
      </w:r>
      <w:r w:rsidRPr="00D836E1">
        <w:rPr>
          <w:b/>
          <w:bCs/>
        </w:rPr>
        <w:t xml:space="preserve">and health system </w:t>
      </w:r>
      <w:r w:rsidR="0048537B" w:rsidRPr="00D836E1">
        <w:rPr>
          <w:b/>
          <w:bCs/>
        </w:rPr>
        <w:t xml:space="preserve">challenges </w:t>
      </w:r>
      <w:r w:rsidRPr="00D836E1">
        <w:rPr>
          <w:b/>
          <w:bCs/>
        </w:rPr>
        <w:t>in Gaza</w:t>
      </w:r>
      <w:r>
        <w:t>.</w:t>
      </w:r>
      <w:r w:rsidR="007E19FC">
        <w:t xml:space="preserve"> </w:t>
      </w:r>
      <w:r w:rsidR="00452183">
        <w:t>M</w:t>
      </w:r>
      <w:r w:rsidR="007E19FC">
        <w:t>edical facilities</w:t>
      </w:r>
      <w:r w:rsidR="00D17AD5">
        <w:t>, roads, housing</w:t>
      </w:r>
      <w:r w:rsidR="007E19FC">
        <w:t xml:space="preserve"> and water and sanitation infrastructure were damaged and destroyed</w:t>
      </w:r>
      <w:r>
        <w:t xml:space="preserve"> during the conflict</w:t>
      </w:r>
      <w:r w:rsidR="007E19FC">
        <w:t xml:space="preserve">. </w:t>
      </w:r>
      <w:r w:rsidR="009F3B52" w:rsidRPr="00361EBD">
        <w:t>COVID-19 testing facilities were also damaged which continue to impact testing rates. People displacement during these events saw a reduction in physical distancing</w:t>
      </w:r>
      <w:r w:rsidR="00381714">
        <w:t xml:space="preserve"> </w:t>
      </w:r>
      <w:r w:rsidR="009F3B52" w:rsidRPr="00361EBD">
        <w:t>–</w:t>
      </w:r>
      <w:r w:rsidR="00381714">
        <w:t xml:space="preserve"> </w:t>
      </w:r>
      <w:r w:rsidR="003C574E">
        <w:t xml:space="preserve">increasing the risk of </w:t>
      </w:r>
      <w:r w:rsidR="009F3B52" w:rsidRPr="00361EBD">
        <w:t xml:space="preserve">COVID-19 transmission. </w:t>
      </w:r>
    </w:p>
    <w:p w14:paraId="22900C6A" w14:textId="11C06362" w:rsidR="00EC608A" w:rsidRDefault="00FC1216" w:rsidP="008A6BB7">
      <w:pPr>
        <w:pStyle w:val="Heading2"/>
      </w:pPr>
      <w:r w:rsidRPr="00FC1216">
        <w:lastRenderedPageBreak/>
        <w:t>AUSTRALIA’S RESPONS</w:t>
      </w:r>
      <w:r w:rsidR="00193C49">
        <w:t xml:space="preserve">E </w:t>
      </w:r>
      <w:r w:rsidR="00A46B28">
        <w:t>and</w:t>
      </w:r>
      <w:r w:rsidR="00193C49">
        <w:t xml:space="preserve"> PROGRAM HIGHLIGHTS</w:t>
      </w:r>
    </w:p>
    <w:p w14:paraId="77C6B714" w14:textId="5BEEC0A1" w:rsidR="00FE05BE" w:rsidRDefault="00EB2CF6" w:rsidP="00EB2CF6">
      <w:pPr>
        <w:pStyle w:val="Bullet1"/>
        <w:numPr>
          <w:ilvl w:val="0"/>
          <w:numId w:val="0"/>
        </w:numPr>
      </w:pPr>
      <w:r>
        <w:t>In</w:t>
      </w:r>
      <w:r w:rsidR="00EE2182">
        <w:t xml:space="preserve"> the reporting period</w:t>
      </w:r>
      <w:r w:rsidR="009B7EAE">
        <w:t xml:space="preserve">, </w:t>
      </w:r>
      <w:r w:rsidR="00EE2182">
        <w:t xml:space="preserve">and </w:t>
      </w:r>
      <w:r w:rsidR="009B7EAE">
        <w:t>in a challenging operating environment,</w:t>
      </w:r>
      <w:r w:rsidR="00FE05BE">
        <w:t xml:space="preserve"> </w:t>
      </w:r>
      <w:r w:rsidR="005A2DF9">
        <w:t xml:space="preserve">Australia </w:t>
      </w:r>
      <w:r w:rsidR="005134EE">
        <w:t xml:space="preserve">pivoted to </w:t>
      </w:r>
      <w:r w:rsidR="005A2DF9">
        <w:t>support the pandemic response</w:t>
      </w:r>
      <w:r w:rsidR="00A225E6">
        <w:t xml:space="preserve"> in the Palestinian Territories</w:t>
      </w:r>
      <w:r w:rsidR="00FE05BE">
        <w:t>.</w:t>
      </w:r>
      <w:r w:rsidR="00C46147" w:rsidRPr="00C46147">
        <w:t xml:space="preserve"> </w:t>
      </w:r>
      <w:r w:rsidR="00C46147">
        <w:t xml:space="preserve">The Australian Government also provided an </w:t>
      </w:r>
      <w:r w:rsidR="00C46147" w:rsidRPr="00D836E1">
        <w:rPr>
          <w:b/>
          <w:bCs/>
        </w:rPr>
        <w:t>additional contribution of $3 million to the International Committee of the Red Cross (ICRC) and a further $2 million to the United Nations Office for Project Services (UNOPS)</w:t>
      </w:r>
      <w:r w:rsidR="00C46147">
        <w:t xml:space="preserve"> to address the humanitarian emergency. </w:t>
      </w:r>
    </w:p>
    <w:p w14:paraId="79BE876C" w14:textId="68208608" w:rsidR="00297FD1" w:rsidRPr="00216C55" w:rsidRDefault="00297FD1" w:rsidP="008A6BB7">
      <w:pPr>
        <w:pStyle w:val="Heading3"/>
      </w:pPr>
      <w:r w:rsidRPr="00216C55">
        <w:t>Health Security</w:t>
      </w:r>
    </w:p>
    <w:p w14:paraId="0FCDECFB" w14:textId="6168CA9A" w:rsidR="00361EBD" w:rsidRDefault="00323332" w:rsidP="00361EBD">
      <w:pPr>
        <w:rPr>
          <w:b/>
          <w:bCs/>
        </w:rPr>
      </w:pPr>
      <w:r w:rsidRPr="00D836E1">
        <w:rPr>
          <w:b/>
          <w:bCs/>
        </w:rPr>
        <w:t xml:space="preserve">Australia provided funding to </w:t>
      </w:r>
      <w:r w:rsidR="001E28BF">
        <w:rPr>
          <w:b/>
          <w:bCs/>
        </w:rPr>
        <w:t>U</w:t>
      </w:r>
      <w:r w:rsidR="001E28BF" w:rsidRPr="001E28BF">
        <w:rPr>
          <w:b/>
          <w:bCs/>
        </w:rPr>
        <w:t>nited Nations Relief and Works Agency for Palestine Refugees in the Near Eas</w:t>
      </w:r>
      <w:r w:rsidR="001E28BF">
        <w:rPr>
          <w:b/>
          <w:bCs/>
        </w:rPr>
        <w:t>t</w:t>
      </w:r>
      <w:r w:rsidR="001E28BF" w:rsidRPr="001E28BF">
        <w:rPr>
          <w:b/>
          <w:bCs/>
        </w:rPr>
        <w:t xml:space="preserve"> </w:t>
      </w:r>
      <w:r w:rsidR="001E28BF">
        <w:rPr>
          <w:b/>
          <w:bCs/>
        </w:rPr>
        <w:t>(</w:t>
      </w:r>
      <w:r w:rsidRPr="00D836E1">
        <w:rPr>
          <w:b/>
          <w:bCs/>
        </w:rPr>
        <w:t>UNRWA</w:t>
      </w:r>
      <w:r w:rsidR="001E28BF">
        <w:rPr>
          <w:b/>
          <w:bCs/>
        </w:rPr>
        <w:t>)</w:t>
      </w:r>
      <w:r w:rsidR="00C46147">
        <w:rPr>
          <w:b/>
          <w:bCs/>
        </w:rPr>
        <w:t xml:space="preserve"> ($10</w:t>
      </w:r>
      <w:r w:rsidR="00381714">
        <w:rPr>
          <w:b/>
          <w:bCs/>
        </w:rPr>
        <w:t>.0</w:t>
      </w:r>
      <w:r w:rsidR="00C46147">
        <w:rPr>
          <w:b/>
          <w:bCs/>
        </w:rPr>
        <w:t xml:space="preserve"> million)</w:t>
      </w:r>
      <w:r w:rsidRPr="00D836E1">
        <w:rPr>
          <w:b/>
          <w:bCs/>
        </w:rPr>
        <w:t>, the ICRC</w:t>
      </w:r>
      <w:r w:rsidR="00C46147">
        <w:rPr>
          <w:b/>
          <w:bCs/>
        </w:rPr>
        <w:t xml:space="preserve"> ($11.9 million)</w:t>
      </w:r>
      <w:r w:rsidRPr="00D836E1">
        <w:rPr>
          <w:b/>
          <w:bCs/>
        </w:rPr>
        <w:t xml:space="preserve"> and </w:t>
      </w:r>
      <w:r w:rsidR="00D51314" w:rsidRPr="00D836E1">
        <w:rPr>
          <w:b/>
          <w:bCs/>
        </w:rPr>
        <w:t>WHO</w:t>
      </w:r>
      <w:r w:rsidR="00C46147">
        <w:rPr>
          <w:b/>
          <w:bCs/>
        </w:rPr>
        <w:t xml:space="preserve"> ($1</w:t>
      </w:r>
      <w:r w:rsidR="00381714">
        <w:rPr>
          <w:b/>
          <w:bCs/>
        </w:rPr>
        <w:t>.0</w:t>
      </w:r>
      <w:r w:rsidR="00C46147">
        <w:rPr>
          <w:b/>
          <w:bCs/>
        </w:rPr>
        <w:t xml:space="preserve"> </w:t>
      </w:r>
      <w:r w:rsidR="00381714">
        <w:rPr>
          <w:b/>
          <w:bCs/>
        </w:rPr>
        <w:t>million</w:t>
      </w:r>
      <w:r w:rsidR="00C46147">
        <w:rPr>
          <w:b/>
          <w:bCs/>
        </w:rPr>
        <w:t>)</w:t>
      </w:r>
      <w:r w:rsidRPr="00D836E1">
        <w:rPr>
          <w:b/>
          <w:bCs/>
        </w:rPr>
        <w:t xml:space="preserve"> to deliver health service</w:t>
      </w:r>
      <w:r w:rsidR="0006599F" w:rsidRPr="00D836E1">
        <w:rPr>
          <w:b/>
          <w:bCs/>
        </w:rPr>
        <w:t>s</w:t>
      </w:r>
      <w:r w:rsidRPr="00D836E1">
        <w:rPr>
          <w:b/>
          <w:bCs/>
        </w:rPr>
        <w:t xml:space="preserve"> to vulnerable Palestinians throughout 2020-21.</w:t>
      </w:r>
      <w:r>
        <w:t xml:space="preserve"> These organisations are frontline responders to the immediate impacts of COVID-19 in the P</w:t>
      </w:r>
      <w:r w:rsidR="00FE05BE">
        <w:t>alestinian Territorie</w:t>
      </w:r>
      <w:r>
        <w:t xml:space="preserve">s. Australian support to these partners </w:t>
      </w:r>
      <w:r w:rsidR="00FE05BE">
        <w:t>remains</w:t>
      </w:r>
      <w:r>
        <w:t xml:space="preserve"> flexible, enabling them to respond to the emerging needs and priorities created by the pandem</w:t>
      </w:r>
      <w:r w:rsidR="00FE05BE">
        <w:t xml:space="preserve">ic, as well as other events such as the May 2021 hostilities. </w:t>
      </w:r>
      <w:r w:rsidR="00361EBD" w:rsidRPr="00A00C22">
        <w:t xml:space="preserve">This </w:t>
      </w:r>
      <w:r w:rsidR="003C574E">
        <w:t xml:space="preserve">support </w:t>
      </w:r>
      <w:r w:rsidR="00361EBD" w:rsidRPr="00A00C22">
        <w:t xml:space="preserve">is in addition to Australia’s support to the </w:t>
      </w:r>
      <w:r w:rsidR="001E28BF" w:rsidRPr="001E28BF">
        <w:t xml:space="preserve">COVID-19 Vaccines Global Access </w:t>
      </w:r>
      <w:r w:rsidR="001E28BF">
        <w:t>(</w:t>
      </w:r>
      <w:r w:rsidR="00361EBD" w:rsidRPr="00A00C22">
        <w:t>COVAX</w:t>
      </w:r>
      <w:r w:rsidR="001E28BF">
        <w:t>)</w:t>
      </w:r>
      <w:r w:rsidR="00361EBD" w:rsidRPr="00A00C22">
        <w:t xml:space="preserve"> Advance Market Commitment totalling $130 million. </w:t>
      </w:r>
      <w:r w:rsidR="00A11D43">
        <w:t xml:space="preserve">As </w:t>
      </w:r>
      <w:proofErr w:type="gramStart"/>
      <w:r w:rsidR="00A11D43">
        <w:t>at</w:t>
      </w:r>
      <w:proofErr w:type="gramEnd"/>
      <w:r w:rsidR="00A11D43">
        <w:t xml:space="preserve"> 30 June 2021, the </w:t>
      </w:r>
      <w:r w:rsidR="00A11D43">
        <w:rPr>
          <w:rFonts w:eastAsia="Times New Roman"/>
        </w:rPr>
        <w:t>Palestinian Territories had received 308,400 COVID-19 doses through COVAX.</w:t>
      </w:r>
    </w:p>
    <w:p w14:paraId="762D1CD4" w14:textId="42C28798" w:rsidR="00323332" w:rsidRDefault="00EE2182" w:rsidP="003622C1">
      <w:pPr>
        <w:pStyle w:val="Bullet1"/>
        <w:numPr>
          <w:ilvl w:val="0"/>
          <w:numId w:val="0"/>
        </w:numPr>
      </w:pPr>
      <w:r w:rsidRPr="00EB2CF6">
        <w:t>In the reporting period,</w:t>
      </w:r>
      <w:r>
        <w:rPr>
          <w:b/>
          <w:bCs/>
        </w:rPr>
        <w:t xml:space="preserve"> </w:t>
      </w:r>
      <w:r w:rsidR="00361EBD" w:rsidRPr="008204C7">
        <w:rPr>
          <w:b/>
          <w:bCs/>
        </w:rPr>
        <w:t>Australia’s contribution to the</w:t>
      </w:r>
      <w:r w:rsidR="00361EBD">
        <w:t xml:space="preserve"> </w:t>
      </w:r>
      <w:r w:rsidR="00361EBD">
        <w:rPr>
          <w:b/>
          <w:bCs/>
        </w:rPr>
        <w:t>ICRC funded personal protective equipment (PPE) and supplies for quarantine centres and hospital intensive care units</w:t>
      </w:r>
      <w:r w:rsidR="00361EBD">
        <w:t xml:space="preserve">. Australia’s contribution to </w:t>
      </w:r>
      <w:r w:rsidR="00361EBD" w:rsidRPr="008204C7">
        <w:t xml:space="preserve">UNRWA, through a multi-year Partnership Framework (2016-2021), supported delivery of frontline medical services in the Palestinian Territories. At the height of the May 2021 conflict, 113,000 displaced people sought shelter at UNRWA schools and hosting communities. </w:t>
      </w:r>
      <w:r w:rsidR="00361EBD">
        <w:t xml:space="preserve">Australia’s contribution to the WHO directly contributed to the COVID-19 response and access to medical supplies and technical assistance in Gaza and the West Bank. </w:t>
      </w:r>
    </w:p>
    <w:p w14:paraId="1D48D073" w14:textId="6C41279C" w:rsidR="00297FD1" w:rsidRPr="00216C55" w:rsidRDefault="00297FD1" w:rsidP="008A6BB7">
      <w:pPr>
        <w:pStyle w:val="Heading3"/>
      </w:pPr>
      <w:r w:rsidRPr="00216C55">
        <w:t>Stability</w:t>
      </w:r>
    </w:p>
    <w:p w14:paraId="72D0F6F3" w14:textId="0579A74C" w:rsidR="003552F3" w:rsidRPr="00DE4C3E" w:rsidRDefault="007879B9" w:rsidP="00DE4C3E">
      <w:pPr>
        <w:pStyle w:val="Bullet1"/>
        <w:numPr>
          <w:ilvl w:val="0"/>
          <w:numId w:val="0"/>
        </w:numPr>
      </w:pPr>
      <w:r>
        <w:t xml:space="preserve">Australia </w:t>
      </w:r>
      <w:r w:rsidR="00806F33">
        <w:t>continues to work</w:t>
      </w:r>
      <w:r>
        <w:t xml:space="preserve"> with a range of partners to ensure food security, social protection mechanisms for refugees, appropriate referral systems for survivors of domestic violence during the pandemic, and access to clean water and sanitation </w:t>
      </w:r>
      <w:r w:rsidR="003C574E">
        <w:t>for</w:t>
      </w:r>
      <w:r>
        <w:t xml:space="preserve"> at-risk populations in Gaza.</w:t>
      </w:r>
      <w:r w:rsidR="00806F33">
        <w:t xml:space="preserve"> Our contribution to </w:t>
      </w:r>
      <w:r w:rsidR="001E28BF">
        <w:t xml:space="preserve">the </w:t>
      </w:r>
      <w:r>
        <w:t xml:space="preserve">UNOPS Project Management Unit and Access Coordination Unit </w:t>
      </w:r>
      <w:r w:rsidR="00806F33">
        <w:t>(which was increased</w:t>
      </w:r>
      <w:r w:rsidR="00E35BB1">
        <w:t xml:space="preserve"> by $2</w:t>
      </w:r>
      <w:r w:rsidR="00132117">
        <w:t xml:space="preserve"> </w:t>
      </w:r>
      <w:r w:rsidR="00E35BB1">
        <w:t>m</w:t>
      </w:r>
      <w:r w:rsidR="00132117">
        <w:t>illion</w:t>
      </w:r>
      <w:r w:rsidR="00806F33">
        <w:t xml:space="preserve"> in response to the May 2021 </w:t>
      </w:r>
      <w:r w:rsidR="00FF348E">
        <w:t>conflict</w:t>
      </w:r>
      <w:r w:rsidR="00806F33">
        <w:t xml:space="preserve">) </w:t>
      </w:r>
      <w:r>
        <w:t>provide</w:t>
      </w:r>
      <w:r w:rsidR="00806F33">
        <w:t>s</w:t>
      </w:r>
      <w:r>
        <w:t xml:space="preserve"> crucial logistics expertise to ensure efficient entry of </w:t>
      </w:r>
      <w:r w:rsidR="00613E73">
        <w:t xml:space="preserve">critical </w:t>
      </w:r>
      <w:r>
        <w:t>goods (</w:t>
      </w:r>
      <w:r w:rsidR="00806F33">
        <w:t xml:space="preserve">which also includes </w:t>
      </w:r>
      <w:r>
        <w:t>medical supplies</w:t>
      </w:r>
      <w:r w:rsidR="00806F33">
        <w:t xml:space="preserve"> to respond to the COVID-19 pandemic</w:t>
      </w:r>
      <w:r>
        <w:t xml:space="preserve">) and </w:t>
      </w:r>
      <w:r w:rsidR="00327F1C">
        <w:t xml:space="preserve">humanitarian </w:t>
      </w:r>
      <w:r>
        <w:t>personnel into Gaza.</w:t>
      </w:r>
    </w:p>
    <w:p w14:paraId="0B17EEFD" w14:textId="505BF4F3" w:rsidR="008C1F60" w:rsidRPr="00216C55" w:rsidRDefault="00297FD1" w:rsidP="008A6BB7">
      <w:pPr>
        <w:pStyle w:val="Heading3"/>
      </w:pPr>
      <w:r w:rsidRPr="00216C55">
        <w:t>Economic recovery</w:t>
      </w:r>
    </w:p>
    <w:p w14:paraId="014AB124" w14:textId="5D728FD4" w:rsidR="007E19FC" w:rsidRPr="000C44CA" w:rsidRDefault="007E19FC" w:rsidP="007E19FC">
      <w:r>
        <w:t>While Australia and the Palestinian Territories have limited business ties</w:t>
      </w:r>
      <w:r w:rsidRPr="00361EBD">
        <w:t>, Australia is an important source of imported food</w:t>
      </w:r>
      <w:r w:rsidR="00D361F5" w:rsidRPr="00361EBD">
        <w:t>,</w:t>
      </w:r>
      <w:r w:rsidRPr="00361EBD">
        <w:t xml:space="preserve"> such as rice and frozen meat. These imported goods continue to c</w:t>
      </w:r>
      <w:r w:rsidRPr="000C44CA">
        <w:t>ontribute to food security, particularly in the West Bank.</w:t>
      </w:r>
    </w:p>
    <w:p w14:paraId="297A6601" w14:textId="2A0124FB" w:rsidR="007E19FC" w:rsidRPr="000C44CA" w:rsidRDefault="007E19FC" w:rsidP="007E19FC">
      <w:r w:rsidRPr="000C44CA">
        <w:t>Australia’s</w:t>
      </w:r>
      <w:r w:rsidRPr="00EE3F6B">
        <w:rPr>
          <w:b/>
          <w:bCs/>
        </w:rPr>
        <w:t xml:space="preserve"> support through the Australia Middle East </w:t>
      </w:r>
      <w:r w:rsidR="00132117">
        <w:rPr>
          <w:b/>
          <w:bCs/>
        </w:rPr>
        <w:t>Non-Government Organisation</w:t>
      </w:r>
      <w:r w:rsidRPr="00EE3F6B">
        <w:rPr>
          <w:b/>
          <w:bCs/>
        </w:rPr>
        <w:t xml:space="preserve"> Cooperation Agreement Phase 3 (AMENCA 3) </w:t>
      </w:r>
      <w:r w:rsidRPr="00361EBD">
        <w:t>market systems development program, which concluded in Septem</w:t>
      </w:r>
      <w:r w:rsidRPr="000C44CA">
        <w:t xml:space="preserve">ber 2021, </w:t>
      </w:r>
      <w:r w:rsidRPr="00361EBD">
        <w:t>assisted Palestinian farmers to ensure</w:t>
      </w:r>
      <w:r w:rsidRPr="00EE3F6B">
        <w:rPr>
          <w:b/>
          <w:bCs/>
        </w:rPr>
        <w:t xml:space="preserve"> </w:t>
      </w:r>
      <w:r w:rsidRPr="008204C7">
        <w:t>food security</w:t>
      </w:r>
      <w:r w:rsidRPr="000C44CA">
        <w:t xml:space="preserve"> in the wake of lockdown and combat the pandemic’s economic fallout. </w:t>
      </w:r>
    </w:p>
    <w:p w14:paraId="649C9427" w14:textId="0F049A06" w:rsidR="00952815" w:rsidRDefault="007E19FC" w:rsidP="00DE4C3E">
      <w:r>
        <w:t xml:space="preserve">The </w:t>
      </w:r>
      <w:r w:rsidRPr="00EE3F6B">
        <w:rPr>
          <w:b/>
          <w:bCs/>
        </w:rPr>
        <w:t>Australia Awards program</w:t>
      </w:r>
      <w:r>
        <w:t xml:space="preserve"> contribute</w:t>
      </w:r>
      <w:r w:rsidR="00230696">
        <w:t>s</w:t>
      </w:r>
      <w:r>
        <w:t xml:space="preserve"> to the education of future leaders in areas of economic recovery and long-term resilience (including the agriculture, public </w:t>
      </w:r>
      <w:proofErr w:type="gramStart"/>
      <w:r>
        <w:t>policy</w:t>
      </w:r>
      <w:proofErr w:type="gramEnd"/>
      <w:r>
        <w:t xml:space="preserve"> and water sectors). </w:t>
      </w:r>
      <w:r w:rsidRPr="008204C7">
        <w:t xml:space="preserve">We continue to support </w:t>
      </w:r>
      <w:proofErr w:type="gramStart"/>
      <w:r w:rsidRPr="008204C7">
        <w:t>a number of</w:t>
      </w:r>
      <w:proofErr w:type="gramEnd"/>
      <w:r w:rsidRPr="008204C7">
        <w:t xml:space="preserve"> scholars</w:t>
      </w:r>
      <w:r w:rsidRPr="00EE3F6B">
        <w:rPr>
          <w:b/>
          <w:bCs/>
        </w:rPr>
        <w:t xml:space="preserve"> </w:t>
      </w:r>
      <w:r w:rsidRPr="00361EBD">
        <w:t>who remain in Australia completing their studies</w:t>
      </w:r>
      <w:r>
        <w:t xml:space="preserve"> and prepare for future intakes of scholars following the reopening of international border</w:t>
      </w:r>
      <w:r w:rsidR="00DE4C3E">
        <w:t>s.</w:t>
      </w:r>
    </w:p>
    <w:p w14:paraId="67575F11" w14:textId="09A08987" w:rsidR="00DE4C3E" w:rsidRDefault="00DE4C3E" w:rsidP="00DE4C3E">
      <w:pPr>
        <w:sectPr w:rsidR="00DE4C3E" w:rsidSect="00E16B56">
          <w:headerReference w:type="default" r:id="rId9"/>
          <w:footerReference w:type="default" r:id="rId10"/>
          <w:headerReference w:type="first" r:id="rId11"/>
          <w:footerReference w:type="first" r:id="rId12"/>
          <w:pgSz w:w="11906" w:h="16838" w:code="9"/>
          <w:pgMar w:top="1559" w:right="680" w:bottom="1418" w:left="680" w:header="567" w:footer="340" w:gutter="0"/>
          <w:cols w:space="397"/>
          <w:titlePg/>
          <w:docGrid w:linePitch="360"/>
        </w:sectPr>
      </w:pPr>
    </w:p>
    <w:p w14:paraId="23F9D4AD" w14:textId="117A6E3C" w:rsidR="00D35C21" w:rsidRDefault="00121DDD" w:rsidP="00DE4C3E">
      <w:pPr>
        <w:pStyle w:val="Heading2"/>
      </w:pPr>
      <w:r>
        <w:lastRenderedPageBreak/>
        <w:t>Annex 1</w:t>
      </w:r>
      <w:r w:rsidR="001F7F4D" w:rsidRPr="002945C4">
        <w:t xml:space="preserve">: </w:t>
      </w:r>
      <w:r w:rsidR="00540A22">
        <w:t xml:space="preserve">Progress against </w:t>
      </w:r>
      <w:r w:rsidR="008A1503">
        <w:t xml:space="preserve">COVID-19 Response plan </w:t>
      </w:r>
      <w:r w:rsidR="00E1666D">
        <w:t>results indicators</w:t>
      </w:r>
    </w:p>
    <w:p w14:paraId="002A3A57" w14:textId="4BBB3B8A" w:rsidR="00C31A16" w:rsidRPr="00C31A16" w:rsidRDefault="00AE2B7B" w:rsidP="00A770BF">
      <w:pPr>
        <w:pStyle w:val="Heading3"/>
      </w:pPr>
      <w:r w:rsidRPr="00AE2B7B">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007A4493">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5D4066B5" w14:textId="77777777" w:rsidTr="007A4493">
        <w:trPr>
          <w:tblHeader/>
        </w:trPr>
        <w:tc>
          <w:tcPr>
            <w:tcW w:w="4390" w:type="dxa"/>
          </w:tcPr>
          <w:p w14:paraId="354112BD" w14:textId="796EB46E" w:rsidR="00877620" w:rsidRPr="00AB517B" w:rsidRDefault="00D35C21" w:rsidP="00CA5021">
            <w:pPr>
              <w:spacing w:before="0" w:after="0"/>
              <w:rPr>
                <w:sz w:val="20"/>
                <w:szCs w:val="20"/>
              </w:rPr>
            </w:pPr>
            <w:r w:rsidRPr="00AB517B">
              <w:rPr>
                <w:sz w:val="20"/>
                <w:szCs w:val="20"/>
              </w:rPr>
              <w:t>Eligible Palestinians are treated at UNRWA medical centres</w:t>
            </w:r>
          </w:p>
        </w:tc>
        <w:tc>
          <w:tcPr>
            <w:tcW w:w="6146" w:type="dxa"/>
          </w:tcPr>
          <w:p w14:paraId="1C78B18E" w14:textId="3952914D" w:rsidR="00877620" w:rsidRPr="00AB517B" w:rsidRDefault="00D07413" w:rsidP="00202142">
            <w:pPr>
              <w:spacing w:before="0" w:after="0"/>
              <w:rPr>
                <w:sz w:val="20"/>
                <w:szCs w:val="20"/>
              </w:rPr>
            </w:pPr>
            <w:r w:rsidRPr="00AB517B">
              <w:rPr>
                <w:sz w:val="20"/>
                <w:szCs w:val="20"/>
              </w:rPr>
              <w:t xml:space="preserve">Supported </w:t>
            </w:r>
            <w:r w:rsidR="00202142" w:rsidRPr="00AB517B">
              <w:rPr>
                <w:sz w:val="20"/>
                <w:szCs w:val="20"/>
              </w:rPr>
              <w:t>5.79 million primary health care consultations</w:t>
            </w:r>
            <w:r w:rsidR="00B30546" w:rsidRPr="00AB517B">
              <w:rPr>
                <w:sz w:val="20"/>
                <w:szCs w:val="20"/>
              </w:rPr>
              <w:t xml:space="preserve"> </w:t>
            </w:r>
            <w:r w:rsidR="00994F60" w:rsidRPr="00AB517B">
              <w:rPr>
                <w:sz w:val="20"/>
                <w:szCs w:val="20"/>
              </w:rPr>
              <w:t xml:space="preserve">and </w:t>
            </w:r>
            <w:r w:rsidR="00B30546" w:rsidRPr="00AB517B">
              <w:rPr>
                <w:sz w:val="20"/>
                <w:szCs w:val="20"/>
              </w:rPr>
              <w:t xml:space="preserve">the </w:t>
            </w:r>
            <w:r w:rsidR="00202142" w:rsidRPr="00AB517B">
              <w:rPr>
                <w:sz w:val="20"/>
                <w:szCs w:val="20"/>
              </w:rPr>
              <w:t xml:space="preserve">  construct</w:t>
            </w:r>
            <w:r w:rsidR="00B30546" w:rsidRPr="00AB517B">
              <w:rPr>
                <w:sz w:val="20"/>
                <w:szCs w:val="20"/>
              </w:rPr>
              <w:t>ion</w:t>
            </w:r>
            <w:r w:rsidR="00202142" w:rsidRPr="00AB517B">
              <w:rPr>
                <w:sz w:val="20"/>
                <w:szCs w:val="20"/>
              </w:rPr>
              <w:t>, upgrad</w:t>
            </w:r>
            <w:r w:rsidR="00B30546" w:rsidRPr="00AB517B">
              <w:rPr>
                <w:sz w:val="20"/>
                <w:szCs w:val="20"/>
              </w:rPr>
              <w:t>ing</w:t>
            </w:r>
            <w:r w:rsidR="00202142" w:rsidRPr="00AB517B">
              <w:rPr>
                <w:sz w:val="20"/>
                <w:szCs w:val="20"/>
              </w:rPr>
              <w:t xml:space="preserve"> or reconstruct</w:t>
            </w:r>
            <w:r w:rsidR="00994F60" w:rsidRPr="00AB517B">
              <w:rPr>
                <w:sz w:val="20"/>
                <w:szCs w:val="20"/>
              </w:rPr>
              <w:t>ion of</w:t>
            </w:r>
            <w:r w:rsidR="00202142" w:rsidRPr="00AB517B">
              <w:rPr>
                <w:sz w:val="20"/>
                <w:szCs w:val="20"/>
              </w:rPr>
              <w:t xml:space="preserve"> three health centres. </w:t>
            </w:r>
          </w:p>
        </w:tc>
      </w:tr>
      <w:tr w:rsidR="00CA5021" w14:paraId="4AD746D8" w14:textId="77777777" w:rsidTr="007A4493">
        <w:trPr>
          <w:tblHeader/>
        </w:trPr>
        <w:tc>
          <w:tcPr>
            <w:tcW w:w="4390" w:type="dxa"/>
          </w:tcPr>
          <w:p w14:paraId="0AB10A98" w14:textId="3E87C3C8" w:rsidR="00CA5021" w:rsidRPr="00AB517B" w:rsidRDefault="00D35C21" w:rsidP="00CA5021">
            <w:pPr>
              <w:spacing w:before="0" w:after="0"/>
              <w:rPr>
                <w:sz w:val="20"/>
                <w:szCs w:val="20"/>
              </w:rPr>
            </w:pPr>
            <w:r w:rsidRPr="00AB517B">
              <w:rPr>
                <w:sz w:val="20"/>
                <w:szCs w:val="20"/>
              </w:rPr>
              <w:t>Provision of school-based mental health and psychosocial support to distressed refugees</w:t>
            </w:r>
          </w:p>
        </w:tc>
        <w:tc>
          <w:tcPr>
            <w:tcW w:w="6146" w:type="dxa"/>
          </w:tcPr>
          <w:p w14:paraId="44F01EB8" w14:textId="757596C5" w:rsidR="00CA5021" w:rsidRPr="00AB517B" w:rsidRDefault="00994F60" w:rsidP="0099309D">
            <w:pPr>
              <w:spacing w:before="0" w:after="0"/>
              <w:rPr>
                <w:sz w:val="20"/>
                <w:szCs w:val="20"/>
              </w:rPr>
            </w:pPr>
            <w:r w:rsidRPr="00AB517B">
              <w:rPr>
                <w:sz w:val="20"/>
                <w:szCs w:val="20"/>
              </w:rPr>
              <w:t xml:space="preserve">Supported </w:t>
            </w:r>
            <w:r w:rsidR="0099309D" w:rsidRPr="00AB517B">
              <w:rPr>
                <w:sz w:val="20"/>
                <w:szCs w:val="20"/>
              </w:rPr>
              <w:t xml:space="preserve">school counsellors </w:t>
            </w:r>
            <w:r w:rsidRPr="00AB517B">
              <w:rPr>
                <w:sz w:val="20"/>
                <w:szCs w:val="20"/>
              </w:rPr>
              <w:t xml:space="preserve">to reach </w:t>
            </w:r>
            <w:r w:rsidR="0099309D" w:rsidRPr="00AB517B">
              <w:rPr>
                <w:sz w:val="20"/>
                <w:szCs w:val="20"/>
              </w:rPr>
              <w:t>15,942 students (7,642 girls</w:t>
            </w:r>
            <w:r w:rsidRPr="00AB517B">
              <w:rPr>
                <w:sz w:val="20"/>
                <w:szCs w:val="20"/>
              </w:rPr>
              <w:t xml:space="preserve"> and </w:t>
            </w:r>
            <w:r w:rsidR="0099309D" w:rsidRPr="00AB517B">
              <w:rPr>
                <w:sz w:val="20"/>
                <w:szCs w:val="20"/>
              </w:rPr>
              <w:t xml:space="preserve">8,300 boys) through individual counselling </w:t>
            </w:r>
            <w:r w:rsidRPr="00AB517B">
              <w:rPr>
                <w:sz w:val="20"/>
                <w:szCs w:val="20"/>
              </w:rPr>
              <w:t xml:space="preserve">and a further </w:t>
            </w:r>
            <w:r w:rsidR="0099309D" w:rsidRPr="00AB517B">
              <w:rPr>
                <w:sz w:val="20"/>
                <w:szCs w:val="20"/>
              </w:rPr>
              <w:t>2,728 students (1,320 girl</w:t>
            </w:r>
            <w:r w:rsidR="00132117" w:rsidRPr="00AB517B">
              <w:rPr>
                <w:sz w:val="20"/>
                <w:szCs w:val="20"/>
              </w:rPr>
              <w:t>s</w:t>
            </w:r>
            <w:r w:rsidRPr="00AB517B">
              <w:rPr>
                <w:sz w:val="20"/>
                <w:szCs w:val="20"/>
              </w:rPr>
              <w:t xml:space="preserve"> and</w:t>
            </w:r>
            <w:r w:rsidR="0099309D" w:rsidRPr="00AB517B">
              <w:rPr>
                <w:sz w:val="20"/>
                <w:szCs w:val="20"/>
              </w:rPr>
              <w:t xml:space="preserve">, 1,408 boys) </w:t>
            </w:r>
            <w:r w:rsidRPr="00AB517B">
              <w:rPr>
                <w:sz w:val="20"/>
                <w:szCs w:val="20"/>
              </w:rPr>
              <w:t xml:space="preserve">to receive </w:t>
            </w:r>
            <w:r w:rsidR="0099309D" w:rsidRPr="00AB517B">
              <w:rPr>
                <w:sz w:val="20"/>
                <w:szCs w:val="20"/>
              </w:rPr>
              <w:t xml:space="preserve">group counselling. </w:t>
            </w:r>
            <w:r w:rsidRPr="00AB517B">
              <w:rPr>
                <w:sz w:val="20"/>
                <w:szCs w:val="20"/>
              </w:rPr>
              <w:t xml:space="preserve">Supported </w:t>
            </w:r>
            <w:r w:rsidR="0099309D" w:rsidRPr="00AB517B">
              <w:rPr>
                <w:sz w:val="20"/>
                <w:szCs w:val="20"/>
              </w:rPr>
              <w:t xml:space="preserve">1,345 parent awareness and consultation sessions </w:t>
            </w:r>
            <w:r w:rsidRPr="00AB517B">
              <w:rPr>
                <w:sz w:val="20"/>
                <w:szCs w:val="20"/>
              </w:rPr>
              <w:t>(</w:t>
            </w:r>
            <w:r w:rsidR="0099309D" w:rsidRPr="00AB517B">
              <w:rPr>
                <w:sz w:val="20"/>
                <w:szCs w:val="20"/>
              </w:rPr>
              <w:t>convened remotely to avoid physical gatherings</w:t>
            </w:r>
            <w:r w:rsidRPr="00AB517B">
              <w:rPr>
                <w:sz w:val="20"/>
                <w:szCs w:val="20"/>
              </w:rPr>
              <w:t>)</w:t>
            </w:r>
            <w:r w:rsidR="0099309D" w:rsidRPr="00AB517B">
              <w:rPr>
                <w:sz w:val="20"/>
                <w:szCs w:val="20"/>
              </w:rPr>
              <w:t xml:space="preserve">. </w:t>
            </w:r>
          </w:p>
        </w:tc>
      </w:tr>
      <w:tr w:rsidR="00CA5021" w14:paraId="561E10FB" w14:textId="77777777" w:rsidTr="007A4493">
        <w:trPr>
          <w:tblHeader/>
        </w:trPr>
        <w:tc>
          <w:tcPr>
            <w:tcW w:w="4390" w:type="dxa"/>
          </w:tcPr>
          <w:p w14:paraId="3FC5A9AE" w14:textId="572EEEB0" w:rsidR="00CA5021" w:rsidRPr="00AB517B" w:rsidRDefault="00D35C21" w:rsidP="00CA5021">
            <w:pPr>
              <w:spacing w:before="0" w:after="0"/>
              <w:rPr>
                <w:sz w:val="20"/>
                <w:szCs w:val="20"/>
              </w:rPr>
            </w:pPr>
            <w:r w:rsidRPr="00AB517B">
              <w:rPr>
                <w:sz w:val="20"/>
                <w:szCs w:val="20"/>
              </w:rPr>
              <w:t>Provision of technical support and training to medical staff (including PPE and other medical material)</w:t>
            </w:r>
          </w:p>
        </w:tc>
        <w:tc>
          <w:tcPr>
            <w:tcW w:w="6146" w:type="dxa"/>
          </w:tcPr>
          <w:p w14:paraId="3A571C95" w14:textId="42B1F5FC" w:rsidR="00D81BAF" w:rsidRPr="00AB517B" w:rsidRDefault="00D81BAF" w:rsidP="00A00C22">
            <w:pPr>
              <w:spacing w:before="0"/>
              <w:rPr>
                <w:sz w:val="20"/>
                <w:szCs w:val="20"/>
              </w:rPr>
            </w:pPr>
            <w:r w:rsidRPr="00AB517B">
              <w:rPr>
                <w:sz w:val="20"/>
                <w:szCs w:val="20"/>
              </w:rPr>
              <w:t>Through assistance to ICRC s</w:t>
            </w:r>
            <w:r w:rsidR="00994F60" w:rsidRPr="00AB517B">
              <w:rPr>
                <w:sz w:val="20"/>
                <w:szCs w:val="20"/>
              </w:rPr>
              <w:t xml:space="preserve">upported </w:t>
            </w:r>
            <w:r w:rsidR="0067558B" w:rsidRPr="00AB517B">
              <w:rPr>
                <w:sz w:val="20"/>
                <w:szCs w:val="20"/>
              </w:rPr>
              <w:t>health officials, the Palestine Red Crescent and other emergency responders, seven hospitals and a rehabilitation centre in Gaza</w:t>
            </w:r>
            <w:r w:rsidR="00994F60" w:rsidRPr="00AB517B">
              <w:rPr>
                <w:sz w:val="20"/>
                <w:szCs w:val="20"/>
              </w:rPr>
              <w:t xml:space="preserve"> to maintain medical </w:t>
            </w:r>
            <w:r w:rsidR="0067558B" w:rsidRPr="00AB517B">
              <w:rPr>
                <w:sz w:val="20"/>
                <w:szCs w:val="20"/>
              </w:rPr>
              <w:t>operations</w:t>
            </w:r>
            <w:r w:rsidRPr="00AB517B">
              <w:rPr>
                <w:sz w:val="20"/>
                <w:szCs w:val="20"/>
              </w:rPr>
              <w:t>. This i</w:t>
            </w:r>
            <w:r w:rsidR="00994F60" w:rsidRPr="00AB517B">
              <w:rPr>
                <w:sz w:val="20"/>
                <w:szCs w:val="20"/>
              </w:rPr>
              <w:t>nclud</w:t>
            </w:r>
            <w:r w:rsidRPr="00AB517B">
              <w:rPr>
                <w:sz w:val="20"/>
                <w:szCs w:val="20"/>
              </w:rPr>
              <w:t>ed</w:t>
            </w:r>
            <w:r w:rsidR="00994F60" w:rsidRPr="00AB517B">
              <w:rPr>
                <w:sz w:val="20"/>
                <w:szCs w:val="20"/>
              </w:rPr>
              <w:t xml:space="preserve"> </w:t>
            </w:r>
            <w:proofErr w:type="gramStart"/>
            <w:r w:rsidRPr="00AB517B">
              <w:rPr>
                <w:sz w:val="20"/>
                <w:szCs w:val="20"/>
              </w:rPr>
              <w:t>providing:</w:t>
            </w:r>
            <w:proofErr w:type="gramEnd"/>
            <w:r w:rsidRPr="00AB517B">
              <w:rPr>
                <w:sz w:val="20"/>
                <w:szCs w:val="20"/>
              </w:rPr>
              <w:t xml:space="preserve"> </w:t>
            </w:r>
            <w:r w:rsidR="0067558B" w:rsidRPr="00AB517B">
              <w:rPr>
                <w:sz w:val="20"/>
                <w:szCs w:val="20"/>
              </w:rPr>
              <w:t xml:space="preserve"> PPE, cleaning items, medical equipment (defibrillators</w:t>
            </w:r>
            <w:r w:rsidR="00132117" w:rsidRPr="00AB517B">
              <w:rPr>
                <w:sz w:val="20"/>
                <w:szCs w:val="20"/>
              </w:rPr>
              <w:t xml:space="preserve"> and</w:t>
            </w:r>
            <w:r w:rsidR="0067558B" w:rsidRPr="00AB517B">
              <w:rPr>
                <w:sz w:val="20"/>
                <w:szCs w:val="20"/>
              </w:rPr>
              <w:t xml:space="preserve"> ventilators) and spare parts for ambulances. </w:t>
            </w:r>
          </w:p>
          <w:p w14:paraId="4B5D5A71" w14:textId="4ADC9B13" w:rsidR="00D81BAF" w:rsidRPr="00AB517B" w:rsidRDefault="00D81BAF" w:rsidP="00334A8E">
            <w:pPr>
              <w:rPr>
                <w:sz w:val="20"/>
                <w:szCs w:val="20"/>
              </w:rPr>
            </w:pPr>
            <w:r w:rsidRPr="00AB517B">
              <w:rPr>
                <w:sz w:val="20"/>
                <w:szCs w:val="20"/>
              </w:rPr>
              <w:t>Through assistance to WHO supported the provision of</w:t>
            </w:r>
            <w:r w:rsidR="006A7C5A" w:rsidRPr="00AB517B">
              <w:rPr>
                <w:sz w:val="20"/>
                <w:szCs w:val="20"/>
              </w:rPr>
              <w:t xml:space="preserve"> testing supplies and medical equipment</w:t>
            </w:r>
            <w:r w:rsidRPr="00AB517B">
              <w:rPr>
                <w:sz w:val="20"/>
                <w:szCs w:val="20"/>
              </w:rPr>
              <w:t xml:space="preserve">, plus </w:t>
            </w:r>
            <w:r w:rsidR="006A7C5A" w:rsidRPr="00AB517B">
              <w:rPr>
                <w:sz w:val="20"/>
                <w:szCs w:val="20"/>
              </w:rPr>
              <w:t xml:space="preserve">training on case management </w:t>
            </w:r>
            <w:r w:rsidR="00E2562A" w:rsidRPr="00AB517B">
              <w:rPr>
                <w:sz w:val="20"/>
                <w:szCs w:val="20"/>
              </w:rPr>
              <w:t>for</w:t>
            </w:r>
            <w:r w:rsidR="006A7C5A" w:rsidRPr="00AB517B">
              <w:rPr>
                <w:sz w:val="20"/>
                <w:szCs w:val="20"/>
              </w:rPr>
              <w:t xml:space="preserve"> critical COVID-19 patients. </w:t>
            </w:r>
            <w:r w:rsidRPr="00AB517B">
              <w:rPr>
                <w:sz w:val="20"/>
                <w:szCs w:val="20"/>
              </w:rPr>
              <w:t>This included: the purchase of 10,000</w:t>
            </w:r>
            <w:r w:rsidR="00E2562A" w:rsidRPr="00AB517B">
              <w:rPr>
                <w:sz w:val="20"/>
                <w:szCs w:val="20"/>
              </w:rPr>
              <w:t xml:space="preserve"> </w:t>
            </w:r>
            <w:r w:rsidR="00132117" w:rsidRPr="00AB517B">
              <w:rPr>
                <w:sz w:val="20"/>
                <w:szCs w:val="20"/>
              </w:rPr>
              <w:t xml:space="preserve">polymerase chain reaction </w:t>
            </w:r>
            <w:r w:rsidR="00E2562A" w:rsidRPr="00AB517B">
              <w:rPr>
                <w:sz w:val="20"/>
                <w:szCs w:val="20"/>
              </w:rPr>
              <w:t>test</w:t>
            </w:r>
            <w:r w:rsidRPr="00AB517B">
              <w:rPr>
                <w:sz w:val="20"/>
                <w:szCs w:val="20"/>
              </w:rPr>
              <w:t xml:space="preserve"> kits</w:t>
            </w:r>
            <w:r w:rsidR="00E2562A" w:rsidRPr="00AB517B">
              <w:rPr>
                <w:sz w:val="20"/>
                <w:szCs w:val="20"/>
              </w:rPr>
              <w:t xml:space="preserve"> </w:t>
            </w:r>
            <w:r w:rsidRPr="00AB517B">
              <w:rPr>
                <w:sz w:val="20"/>
                <w:szCs w:val="20"/>
              </w:rPr>
              <w:t xml:space="preserve">and </w:t>
            </w:r>
            <w:r w:rsidR="00E2562A" w:rsidRPr="00AB517B">
              <w:rPr>
                <w:sz w:val="20"/>
                <w:szCs w:val="20"/>
              </w:rPr>
              <w:t xml:space="preserve">10,000 rapid antigen tests. </w:t>
            </w:r>
          </w:p>
          <w:p w14:paraId="1D0B508E" w14:textId="6D0BFDBD" w:rsidR="006A7C5A" w:rsidRPr="00AB517B" w:rsidRDefault="00D81BAF" w:rsidP="00A00C22">
            <w:pPr>
              <w:rPr>
                <w:sz w:val="20"/>
                <w:szCs w:val="20"/>
              </w:rPr>
            </w:pPr>
            <w:r w:rsidRPr="00AB517B">
              <w:rPr>
                <w:sz w:val="20"/>
                <w:szCs w:val="20"/>
              </w:rPr>
              <w:t xml:space="preserve">Supported an additional </w:t>
            </w:r>
            <w:r w:rsidR="00E2562A" w:rsidRPr="00AB517B">
              <w:rPr>
                <w:sz w:val="20"/>
                <w:szCs w:val="20"/>
              </w:rPr>
              <w:t xml:space="preserve">40 hospital beds </w:t>
            </w:r>
            <w:r w:rsidR="00B06B01" w:rsidRPr="00AB517B">
              <w:rPr>
                <w:sz w:val="20"/>
                <w:szCs w:val="20"/>
              </w:rPr>
              <w:t xml:space="preserve">in </w:t>
            </w:r>
            <w:r w:rsidR="00E2562A" w:rsidRPr="00AB517B">
              <w:rPr>
                <w:sz w:val="20"/>
                <w:szCs w:val="20"/>
              </w:rPr>
              <w:t>Gaza</w:t>
            </w:r>
            <w:r w:rsidRPr="00AB517B">
              <w:rPr>
                <w:sz w:val="20"/>
                <w:szCs w:val="20"/>
              </w:rPr>
              <w:t xml:space="preserve"> and the training of a</w:t>
            </w:r>
            <w:r w:rsidR="00E2562A" w:rsidRPr="00AB517B">
              <w:rPr>
                <w:sz w:val="20"/>
                <w:szCs w:val="20"/>
              </w:rPr>
              <w:t xml:space="preserve">pproximately 270 </w:t>
            </w:r>
            <w:r w:rsidR="00132117" w:rsidRPr="00AB517B">
              <w:rPr>
                <w:sz w:val="20"/>
                <w:szCs w:val="20"/>
              </w:rPr>
              <w:t>intensive care unit</w:t>
            </w:r>
            <w:r w:rsidR="00E2562A" w:rsidRPr="00AB517B">
              <w:rPr>
                <w:sz w:val="20"/>
                <w:szCs w:val="20"/>
              </w:rPr>
              <w:t xml:space="preserve"> hospital staff on case management.</w:t>
            </w:r>
          </w:p>
        </w:tc>
      </w:tr>
      <w:tr w:rsidR="00AB517B" w14:paraId="0A9F54AB" w14:textId="77777777" w:rsidTr="007A4493">
        <w:trPr>
          <w:tblHeader/>
        </w:trPr>
        <w:tc>
          <w:tcPr>
            <w:tcW w:w="4390" w:type="dxa"/>
          </w:tcPr>
          <w:p w14:paraId="7619A6FC" w14:textId="383531BC" w:rsidR="00AB517B" w:rsidRPr="00AB517B" w:rsidRDefault="00AB517B" w:rsidP="00AB517B">
            <w:pPr>
              <w:spacing w:before="0" w:after="0"/>
              <w:rPr>
                <w:sz w:val="20"/>
                <w:szCs w:val="20"/>
              </w:rPr>
            </w:pPr>
            <w:r w:rsidRPr="00AB517B">
              <w:rPr>
                <w:sz w:val="20"/>
                <w:szCs w:val="20"/>
              </w:rPr>
              <w:t>Palestinians are provided water and sanitation during the pandemic</w:t>
            </w:r>
          </w:p>
        </w:tc>
        <w:tc>
          <w:tcPr>
            <w:tcW w:w="6146" w:type="dxa"/>
          </w:tcPr>
          <w:p w14:paraId="6BC1C20D" w14:textId="77777777" w:rsidR="00AB517B" w:rsidRPr="00AB517B" w:rsidRDefault="00AB517B" w:rsidP="00AB517B">
            <w:pPr>
              <w:spacing w:before="0" w:after="0"/>
              <w:ind w:left="100"/>
              <w:rPr>
                <w:sz w:val="20"/>
                <w:szCs w:val="20"/>
              </w:rPr>
            </w:pPr>
            <w:r w:rsidRPr="00AB517B">
              <w:rPr>
                <w:sz w:val="20"/>
                <w:szCs w:val="20"/>
              </w:rPr>
              <w:t xml:space="preserve">Supported approximately 1.9 million people in Gaza with increased access to clean water and wastewater treatment. </w:t>
            </w:r>
          </w:p>
          <w:p w14:paraId="51281AF7" w14:textId="033E54E1" w:rsidR="00AB517B" w:rsidRPr="00AB517B" w:rsidRDefault="00AB517B" w:rsidP="00AB517B">
            <w:pPr>
              <w:spacing w:before="0"/>
              <w:rPr>
                <w:sz w:val="20"/>
                <w:szCs w:val="20"/>
              </w:rPr>
            </w:pPr>
            <w:r w:rsidRPr="00AB517B">
              <w:rPr>
                <w:sz w:val="20"/>
                <w:szCs w:val="20"/>
              </w:rPr>
              <w:t>Supported the establishment of an infection-control area for staff of the European Gaza Hospital and replacement of the hospital’s wastewater-management system.</w:t>
            </w:r>
          </w:p>
        </w:tc>
      </w:tr>
      <w:tr w:rsidR="00AB517B" w14:paraId="61EB2D54" w14:textId="77777777" w:rsidTr="007A4493">
        <w:trPr>
          <w:tblHeader/>
        </w:trPr>
        <w:tc>
          <w:tcPr>
            <w:tcW w:w="4390" w:type="dxa"/>
          </w:tcPr>
          <w:p w14:paraId="48B1DDEA" w14:textId="5D2B88DA" w:rsidR="00AB517B" w:rsidRPr="00AB517B" w:rsidRDefault="00AB517B" w:rsidP="00AB517B">
            <w:pPr>
              <w:spacing w:before="0" w:after="0"/>
              <w:rPr>
                <w:sz w:val="20"/>
                <w:szCs w:val="20"/>
              </w:rPr>
            </w:pPr>
            <w:r w:rsidRPr="00AB517B">
              <w:rPr>
                <w:sz w:val="20"/>
                <w:szCs w:val="20"/>
              </w:rPr>
              <w:t>Movement of goods and people to support adequate supply of equipment and medications and to support economic recovery</w:t>
            </w:r>
          </w:p>
        </w:tc>
        <w:tc>
          <w:tcPr>
            <w:tcW w:w="6146" w:type="dxa"/>
          </w:tcPr>
          <w:p w14:paraId="6A2DEB62" w14:textId="77777777" w:rsidR="00AB517B" w:rsidRPr="00AB517B" w:rsidRDefault="00AB517B" w:rsidP="00AB517B">
            <w:pPr>
              <w:spacing w:before="0" w:after="0"/>
              <w:ind w:left="100"/>
              <w:rPr>
                <w:sz w:val="20"/>
                <w:szCs w:val="20"/>
              </w:rPr>
            </w:pPr>
            <w:r w:rsidRPr="00AB517B">
              <w:rPr>
                <w:sz w:val="20"/>
                <w:szCs w:val="20"/>
              </w:rPr>
              <w:t>Through assistance to UNOPS, supported the movement of personnel and humanitarian and infrastructure supplies into Gaza. Through the Project Monitoring Unit, UNOPS manages the dual use monitoring system which provides assurances regarding the recipient of construction material.</w:t>
            </w:r>
          </w:p>
          <w:p w14:paraId="7EAC06C8" w14:textId="77777777" w:rsidR="00AB517B" w:rsidRPr="00AB517B" w:rsidRDefault="00AB517B" w:rsidP="00AB517B">
            <w:pPr>
              <w:spacing w:before="0" w:after="0"/>
              <w:ind w:left="100"/>
              <w:rPr>
                <w:sz w:val="20"/>
                <w:szCs w:val="20"/>
              </w:rPr>
            </w:pPr>
          </w:p>
          <w:p w14:paraId="6A9B4677" w14:textId="288D3459" w:rsidR="00AB517B" w:rsidRPr="00AB517B" w:rsidRDefault="00AB517B" w:rsidP="00AB517B">
            <w:pPr>
              <w:spacing w:before="0" w:after="0"/>
              <w:ind w:left="100"/>
              <w:rPr>
                <w:sz w:val="20"/>
                <w:szCs w:val="20"/>
              </w:rPr>
            </w:pPr>
            <w:r w:rsidRPr="00AB517B">
              <w:rPr>
                <w:i/>
                <w:iCs/>
                <w:sz w:val="20"/>
                <w:szCs w:val="20"/>
              </w:rPr>
              <w:t xml:space="preserve">Note: between May and November 2020, the Palestinian Authority suspended bilateral cooperation with the Israeli authorities in response to West Bank annexation plans. This deepened the economic crisis in the Palestinian Territories and further constrained movement from Gaza to Israel via the </w:t>
            </w:r>
            <w:proofErr w:type="spellStart"/>
            <w:r w:rsidRPr="00AB517B">
              <w:rPr>
                <w:i/>
                <w:iCs/>
                <w:sz w:val="20"/>
                <w:szCs w:val="20"/>
              </w:rPr>
              <w:t>Erez</w:t>
            </w:r>
            <w:proofErr w:type="spellEnd"/>
            <w:r w:rsidRPr="00AB517B">
              <w:rPr>
                <w:i/>
                <w:iCs/>
                <w:sz w:val="20"/>
                <w:szCs w:val="20"/>
              </w:rPr>
              <w:t xml:space="preserve"> crossing, which was already limited due to the border restrictions in place and COVID-19.</w:t>
            </w:r>
          </w:p>
        </w:tc>
      </w:tr>
    </w:tbl>
    <w:p w14:paraId="3D570CE5" w14:textId="711F2C7B" w:rsidR="00A770BF" w:rsidRDefault="00A770BF"/>
    <w:p w14:paraId="08BBE344" w14:textId="6870AF1C" w:rsidR="00AE2B7B" w:rsidRPr="00AE2B7B" w:rsidRDefault="00AE2B7B" w:rsidP="008A6BB7">
      <w:pPr>
        <w:pStyle w:val="Heading3"/>
      </w:pPr>
      <w:r w:rsidRPr="00AE2B7B">
        <w:lastRenderedPageBreak/>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7A4493">
        <w:trPr>
          <w:tblHeader/>
        </w:trPr>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7E704FEB" w14:textId="77777777" w:rsidTr="007A4493">
        <w:trPr>
          <w:tblHeader/>
        </w:trPr>
        <w:tc>
          <w:tcPr>
            <w:tcW w:w="4390" w:type="dxa"/>
          </w:tcPr>
          <w:p w14:paraId="1CC2F0CD" w14:textId="4E4BB302" w:rsidR="00CA5021" w:rsidRPr="00AB517B" w:rsidRDefault="00D35C21" w:rsidP="00CA5021">
            <w:pPr>
              <w:spacing w:before="0" w:after="0"/>
              <w:rPr>
                <w:sz w:val="20"/>
                <w:szCs w:val="20"/>
              </w:rPr>
            </w:pPr>
            <w:r w:rsidRPr="00AB517B">
              <w:rPr>
                <w:sz w:val="20"/>
                <w:szCs w:val="20"/>
              </w:rPr>
              <w:t>Palestinian victims of violence are referred to protection service providers</w:t>
            </w:r>
          </w:p>
        </w:tc>
        <w:tc>
          <w:tcPr>
            <w:tcW w:w="6146" w:type="dxa"/>
          </w:tcPr>
          <w:p w14:paraId="1D0486B1" w14:textId="0D26A1A3" w:rsidR="00CA5021" w:rsidRPr="00AB517B" w:rsidRDefault="00334A8E">
            <w:pPr>
              <w:spacing w:before="0" w:after="0"/>
              <w:rPr>
                <w:sz w:val="20"/>
                <w:szCs w:val="20"/>
              </w:rPr>
            </w:pPr>
            <w:r w:rsidRPr="00AB517B">
              <w:rPr>
                <w:sz w:val="20"/>
                <w:szCs w:val="20"/>
              </w:rPr>
              <w:t xml:space="preserve">Supported </w:t>
            </w:r>
            <w:r w:rsidR="00D14377" w:rsidRPr="00AB517B">
              <w:rPr>
                <w:sz w:val="20"/>
                <w:szCs w:val="20"/>
              </w:rPr>
              <w:t xml:space="preserve">4,152 GBV survivors (3,347 </w:t>
            </w:r>
            <w:r w:rsidR="001E28BF" w:rsidRPr="00AB517B">
              <w:rPr>
                <w:sz w:val="20"/>
                <w:szCs w:val="20"/>
              </w:rPr>
              <w:t>women</w:t>
            </w:r>
            <w:r w:rsidR="00D14377" w:rsidRPr="00AB517B">
              <w:rPr>
                <w:sz w:val="20"/>
                <w:szCs w:val="20"/>
              </w:rPr>
              <w:t xml:space="preserve"> and 805 </w:t>
            </w:r>
            <w:r w:rsidR="001E28BF" w:rsidRPr="00AB517B">
              <w:rPr>
                <w:sz w:val="20"/>
                <w:szCs w:val="20"/>
              </w:rPr>
              <w:t>men</w:t>
            </w:r>
            <w:r w:rsidR="00D14377" w:rsidRPr="00AB517B">
              <w:rPr>
                <w:sz w:val="20"/>
                <w:szCs w:val="20"/>
              </w:rPr>
              <w:t xml:space="preserve">) </w:t>
            </w:r>
            <w:r w:rsidRPr="00AB517B">
              <w:rPr>
                <w:sz w:val="20"/>
                <w:szCs w:val="20"/>
              </w:rPr>
              <w:t>with services</w:t>
            </w:r>
            <w:r w:rsidR="00D14377" w:rsidRPr="00AB517B">
              <w:rPr>
                <w:sz w:val="20"/>
                <w:szCs w:val="20"/>
              </w:rPr>
              <w:t>.</w:t>
            </w:r>
          </w:p>
          <w:p w14:paraId="175D0A35" w14:textId="77777777" w:rsidR="00B2008F" w:rsidRPr="00AB517B" w:rsidRDefault="00B2008F" w:rsidP="00A00C22">
            <w:pPr>
              <w:spacing w:before="0" w:after="0"/>
              <w:rPr>
                <w:sz w:val="20"/>
                <w:szCs w:val="20"/>
              </w:rPr>
            </w:pPr>
          </w:p>
          <w:p w14:paraId="6EE05510" w14:textId="7CC5470E" w:rsidR="00334A8E" w:rsidRPr="00AB517B" w:rsidRDefault="00334A8E" w:rsidP="00A00C22">
            <w:pPr>
              <w:spacing w:before="0" w:after="0"/>
              <w:rPr>
                <w:sz w:val="20"/>
                <w:szCs w:val="20"/>
              </w:rPr>
            </w:pPr>
            <w:r w:rsidRPr="00AB517B">
              <w:rPr>
                <w:sz w:val="20"/>
                <w:szCs w:val="20"/>
              </w:rPr>
              <w:t xml:space="preserve">In response to a reported increase in GBV against women and girls, supported the rapid adaption of GBV service delivery provision. This included: a move to remote assistance through helplines, WhatsApp check-ins and adjusted referral pathways; and information disseminated through social media, text messages and television. </w:t>
            </w:r>
          </w:p>
          <w:p w14:paraId="656500E6" w14:textId="77777777" w:rsidR="00334A8E" w:rsidRPr="00AB517B" w:rsidRDefault="00334A8E" w:rsidP="00D14377">
            <w:pPr>
              <w:spacing w:before="0" w:after="0"/>
              <w:ind w:left="100"/>
              <w:rPr>
                <w:sz w:val="20"/>
                <w:szCs w:val="20"/>
              </w:rPr>
            </w:pPr>
          </w:p>
          <w:p w14:paraId="7D9CAB9B" w14:textId="2DE05007" w:rsidR="00D14377" w:rsidRPr="00AB517B" w:rsidRDefault="00334A8E" w:rsidP="00A00C22">
            <w:pPr>
              <w:spacing w:before="0" w:after="0"/>
              <w:rPr>
                <w:sz w:val="20"/>
                <w:szCs w:val="20"/>
              </w:rPr>
            </w:pPr>
            <w:r w:rsidRPr="00AB517B">
              <w:rPr>
                <w:sz w:val="20"/>
                <w:szCs w:val="20"/>
              </w:rPr>
              <w:t xml:space="preserve">Supported psychosocial counselling for </w:t>
            </w:r>
            <w:r w:rsidR="00D14377" w:rsidRPr="00AB517B">
              <w:rPr>
                <w:sz w:val="20"/>
                <w:szCs w:val="20"/>
              </w:rPr>
              <w:t xml:space="preserve">15,618 Palestine refugees (12,563 </w:t>
            </w:r>
            <w:r w:rsidRPr="00AB517B">
              <w:rPr>
                <w:sz w:val="20"/>
                <w:szCs w:val="20"/>
              </w:rPr>
              <w:t xml:space="preserve">women </w:t>
            </w:r>
            <w:r w:rsidR="00D14377" w:rsidRPr="00AB517B">
              <w:rPr>
                <w:sz w:val="20"/>
                <w:szCs w:val="20"/>
              </w:rPr>
              <w:t xml:space="preserve">and 3,055 </w:t>
            </w:r>
            <w:r w:rsidRPr="00AB517B">
              <w:rPr>
                <w:sz w:val="20"/>
                <w:szCs w:val="20"/>
              </w:rPr>
              <w:t>men</w:t>
            </w:r>
            <w:r w:rsidR="00D65EDE" w:rsidRPr="00AB517B">
              <w:rPr>
                <w:sz w:val="20"/>
                <w:szCs w:val="20"/>
              </w:rPr>
              <w:t>;</w:t>
            </w:r>
            <w:r w:rsidR="00D14377" w:rsidRPr="00AB517B">
              <w:rPr>
                <w:sz w:val="20"/>
                <w:szCs w:val="20"/>
              </w:rPr>
              <w:t xml:space="preserve"> including 97 persons under the age of 18</w:t>
            </w:r>
            <w:r w:rsidR="00D65EDE" w:rsidRPr="00AB517B">
              <w:rPr>
                <w:sz w:val="20"/>
                <w:szCs w:val="20"/>
              </w:rPr>
              <w:t xml:space="preserve">, </w:t>
            </w:r>
            <w:r w:rsidR="00D14377" w:rsidRPr="00AB517B">
              <w:rPr>
                <w:sz w:val="20"/>
                <w:szCs w:val="20"/>
              </w:rPr>
              <w:t>and 75 pe</w:t>
            </w:r>
            <w:r w:rsidRPr="00AB517B">
              <w:rPr>
                <w:sz w:val="20"/>
                <w:szCs w:val="20"/>
              </w:rPr>
              <w:t xml:space="preserve">ople </w:t>
            </w:r>
            <w:r w:rsidR="00D14377" w:rsidRPr="00AB517B">
              <w:rPr>
                <w:sz w:val="20"/>
                <w:szCs w:val="20"/>
              </w:rPr>
              <w:t>with disabilit</w:t>
            </w:r>
            <w:r w:rsidR="001E28BF" w:rsidRPr="00AB517B">
              <w:rPr>
                <w:sz w:val="20"/>
                <w:szCs w:val="20"/>
              </w:rPr>
              <w:t>ies</w:t>
            </w:r>
            <w:r w:rsidRPr="00AB517B">
              <w:rPr>
                <w:sz w:val="20"/>
                <w:szCs w:val="20"/>
              </w:rPr>
              <w:t>)</w:t>
            </w:r>
            <w:r w:rsidR="001E28BF" w:rsidRPr="00AB517B">
              <w:rPr>
                <w:sz w:val="20"/>
                <w:szCs w:val="20"/>
              </w:rPr>
              <w:t>.</w:t>
            </w:r>
          </w:p>
        </w:tc>
      </w:tr>
      <w:tr w:rsidR="00D35C21" w14:paraId="3157A39B" w14:textId="77777777" w:rsidTr="007A4493">
        <w:trPr>
          <w:tblHeader/>
        </w:trPr>
        <w:tc>
          <w:tcPr>
            <w:tcW w:w="4390" w:type="dxa"/>
          </w:tcPr>
          <w:p w14:paraId="0EBD9560" w14:textId="1C539A1B" w:rsidR="00D35C21" w:rsidRPr="00AB517B" w:rsidRDefault="00D35C21" w:rsidP="00CA5021">
            <w:pPr>
              <w:spacing w:before="0" w:after="0"/>
              <w:rPr>
                <w:sz w:val="20"/>
                <w:szCs w:val="20"/>
              </w:rPr>
            </w:pPr>
            <w:bookmarkStart w:id="0" w:name="_Hlk86839778"/>
            <w:r w:rsidRPr="00AB517B">
              <w:rPr>
                <w:sz w:val="20"/>
                <w:szCs w:val="20"/>
              </w:rPr>
              <w:t xml:space="preserve">Vulnerable women, men, </w:t>
            </w:r>
            <w:proofErr w:type="gramStart"/>
            <w:r w:rsidRPr="00AB517B">
              <w:rPr>
                <w:sz w:val="20"/>
                <w:szCs w:val="20"/>
              </w:rPr>
              <w:t>girls</w:t>
            </w:r>
            <w:proofErr w:type="gramEnd"/>
            <w:r w:rsidRPr="00AB517B">
              <w:rPr>
                <w:sz w:val="20"/>
                <w:szCs w:val="20"/>
              </w:rPr>
              <w:t xml:space="preserve"> and boys provided with emergency assistance in conflict and crisis situations</w:t>
            </w:r>
          </w:p>
        </w:tc>
        <w:tc>
          <w:tcPr>
            <w:tcW w:w="6146" w:type="dxa"/>
          </w:tcPr>
          <w:p w14:paraId="6869B651" w14:textId="10DFA847" w:rsidR="00334A8E" w:rsidRPr="00AB517B" w:rsidRDefault="00334A8E" w:rsidP="00334A8E">
            <w:pPr>
              <w:spacing w:before="0" w:after="0"/>
              <w:rPr>
                <w:sz w:val="20"/>
                <w:szCs w:val="20"/>
              </w:rPr>
            </w:pPr>
            <w:r w:rsidRPr="00AB517B">
              <w:rPr>
                <w:sz w:val="20"/>
                <w:szCs w:val="20"/>
              </w:rPr>
              <w:t>Through the ICRC, supported more</w:t>
            </w:r>
            <w:r w:rsidR="00EC25B3" w:rsidRPr="00AB517B">
              <w:rPr>
                <w:sz w:val="20"/>
                <w:szCs w:val="20"/>
              </w:rPr>
              <w:t xml:space="preserve"> than</w:t>
            </w:r>
            <w:r w:rsidRPr="00AB517B">
              <w:rPr>
                <w:sz w:val="20"/>
                <w:szCs w:val="20"/>
              </w:rPr>
              <w:t xml:space="preserve"> </w:t>
            </w:r>
            <w:r w:rsidR="00C32FCB" w:rsidRPr="00AB517B">
              <w:rPr>
                <w:sz w:val="20"/>
                <w:szCs w:val="20"/>
              </w:rPr>
              <w:t>17,000 Palestinians</w:t>
            </w:r>
            <w:r w:rsidR="00C33CBD" w:rsidRPr="00AB517B">
              <w:rPr>
                <w:sz w:val="20"/>
                <w:szCs w:val="20"/>
              </w:rPr>
              <w:t xml:space="preserve"> (which included 5,339 women</w:t>
            </w:r>
            <w:r w:rsidR="00AE1293" w:rsidRPr="00AB517B">
              <w:rPr>
                <w:sz w:val="20"/>
                <w:szCs w:val="20"/>
              </w:rPr>
              <w:t xml:space="preserve">, </w:t>
            </w:r>
            <w:r w:rsidR="00C33CBD" w:rsidRPr="00AB517B">
              <w:rPr>
                <w:sz w:val="20"/>
                <w:szCs w:val="20"/>
              </w:rPr>
              <w:t>7,073 children</w:t>
            </w:r>
            <w:r w:rsidR="00AE1293" w:rsidRPr="00AB517B">
              <w:rPr>
                <w:sz w:val="20"/>
                <w:szCs w:val="20"/>
              </w:rPr>
              <w:t xml:space="preserve"> and 4,588 men</w:t>
            </w:r>
            <w:r w:rsidR="00C33CBD" w:rsidRPr="00AB517B">
              <w:rPr>
                <w:sz w:val="20"/>
                <w:szCs w:val="20"/>
              </w:rPr>
              <w:t>)</w:t>
            </w:r>
            <w:r w:rsidR="00C32FCB" w:rsidRPr="00AB517B">
              <w:rPr>
                <w:sz w:val="20"/>
                <w:szCs w:val="20"/>
              </w:rPr>
              <w:t xml:space="preserve"> with emergency relief </w:t>
            </w:r>
            <w:r w:rsidR="00CC3E06" w:rsidRPr="00AB517B">
              <w:rPr>
                <w:sz w:val="20"/>
                <w:szCs w:val="20"/>
              </w:rPr>
              <w:t>to cover basic needs, including hygiene kits and household essentials</w:t>
            </w:r>
            <w:r w:rsidR="00C32FCB" w:rsidRPr="00AB517B">
              <w:rPr>
                <w:sz w:val="20"/>
                <w:szCs w:val="20"/>
              </w:rPr>
              <w:t xml:space="preserve">. </w:t>
            </w:r>
          </w:p>
          <w:p w14:paraId="3EDA6A9F" w14:textId="77777777" w:rsidR="00B2008F" w:rsidRPr="00AB517B" w:rsidRDefault="00B2008F">
            <w:pPr>
              <w:spacing w:before="0" w:after="0"/>
              <w:rPr>
                <w:sz w:val="20"/>
                <w:szCs w:val="20"/>
              </w:rPr>
            </w:pPr>
          </w:p>
          <w:p w14:paraId="1A184D3C" w14:textId="349D8DBD" w:rsidR="00334A8E" w:rsidRPr="00AB517B" w:rsidRDefault="00EC25B3" w:rsidP="00A00C22">
            <w:pPr>
              <w:spacing w:before="0" w:after="0"/>
              <w:rPr>
                <w:sz w:val="20"/>
                <w:szCs w:val="20"/>
              </w:rPr>
            </w:pPr>
            <w:r w:rsidRPr="00AB517B">
              <w:rPr>
                <w:sz w:val="20"/>
                <w:szCs w:val="20"/>
              </w:rPr>
              <w:t>Through the AMENCA 3 program, s</w:t>
            </w:r>
            <w:r w:rsidR="00334A8E" w:rsidRPr="00AB517B">
              <w:rPr>
                <w:sz w:val="20"/>
                <w:szCs w:val="20"/>
              </w:rPr>
              <w:t>upported emergency food relief for</w:t>
            </w:r>
            <w:r w:rsidR="008C44ED" w:rsidRPr="00AB517B">
              <w:rPr>
                <w:sz w:val="20"/>
                <w:szCs w:val="20"/>
              </w:rPr>
              <w:t xml:space="preserve"> over 6,250 people</w:t>
            </w:r>
            <w:r w:rsidR="00AE1293" w:rsidRPr="00AB517B">
              <w:rPr>
                <w:sz w:val="20"/>
                <w:szCs w:val="20"/>
              </w:rPr>
              <w:t>. Recipients included: 1,267 female youth (aged 15-28), 1,305 male youth (aged 15-28), 1,726 women (aged 29 and over), and 1,954 men (aged 29 and over)</w:t>
            </w:r>
            <w:r w:rsidR="00334A8E" w:rsidRPr="00AB517B">
              <w:rPr>
                <w:sz w:val="20"/>
                <w:szCs w:val="20"/>
              </w:rPr>
              <w:t>.</w:t>
            </w:r>
            <w:r w:rsidR="008C44ED" w:rsidRPr="00AB517B">
              <w:rPr>
                <w:sz w:val="20"/>
                <w:szCs w:val="20"/>
              </w:rPr>
              <w:t xml:space="preserve"> </w:t>
            </w:r>
          </w:p>
        </w:tc>
      </w:tr>
    </w:tbl>
    <w:bookmarkEnd w:id="0"/>
    <w:p w14:paraId="3F2619AB" w14:textId="64D997BA" w:rsidR="00AE2B7B" w:rsidRPr="00AE2B7B" w:rsidRDefault="00AE2B7B" w:rsidP="008A6BB7">
      <w:pPr>
        <w:pStyle w:val="Heading3"/>
      </w:pPr>
      <w:r w:rsidRPr="00AE2B7B">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007A4493">
        <w:trPr>
          <w:tblHeader/>
        </w:trPr>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64E6F58" w14:textId="77777777" w:rsidTr="007A4493">
        <w:trPr>
          <w:tblHeader/>
        </w:trPr>
        <w:tc>
          <w:tcPr>
            <w:tcW w:w="4390" w:type="dxa"/>
          </w:tcPr>
          <w:p w14:paraId="234C1CE4" w14:textId="22331259" w:rsidR="00CA5021" w:rsidRPr="00AB517B" w:rsidRDefault="00A8429E" w:rsidP="00CA5021">
            <w:pPr>
              <w:spacing w:before="0" w:after="0"/>
              <w:rPr>
                <w:sz w:val="20"/>
                <w:szCs w:val="20"/>
              </w:rPr>
            </w:pPr>
            <w:proofErr w:type="gramStart"/>
            <w:r w:rsidRPr="00AB517B">
              <w:rPr>
                <w:sz w:val="20"/>
                <w:szCs w:val="20"/>
              </w:rPr>
              <w:t>Farmers</w:t>
            </w:r>
            <w:proofErr w:type="gramEnd"/>
            <w:r w:rsidRPr="00AB517B">
              <w:rPr>
                <w:sz w:val="20"/>
                <w:szCs w:val="20"/>
              </w:rPr>
              <w:t xml:space="preserve"> report sustained or increased income during the pandemic</w:t>
            </w:r>
          </w:p>
        </w:tc>
        <w:tc>
          <w:tcPr>
            <w:tcW w:w="6146" w:type="dxa"/>
          </w:tcPr>
          <w:p w14:paraId="5A50515E" w14:textId="6ABD0BC7" w:rsidR="008C44ED" w:rsidRPr="00AB517B" w:rsidRDefault="003E5E51" w:rsidP="00CA5021">
            <w:pPr>
              <w:spacing w:before="0" w:after="0"/>
              <w:ind w:left="97"/>
              <w:rPr>
                <w:sz w:val="20"/>
                <w:szCs w:val="20"/>
              </w:rPr>
            </w:pPr>
            <w:r w:rsidRPr="00AB517B">
              <w:rPr>
                <w:sz w:val="20"/>
                <w:szCs w:val="20"/>
              </w:rPr>
              <w:t xml:space="preserve">Supported </w:t>
            </w:r>
            <w:r w:rsidR="008C44ED" w:rsidRPr="00AB517B">
              <w:rPr>
                <w:sz w:val="20"/>
                <w:szCs w:val="20"/>
              </w:rPr>
              <w:t xml:space="preserve">33,041 farmers (9,928 women) </w:t>
            </w:r>
            <w:r w:rsidRPr="00AB517B">
              <w:rPr>
                <w:sz w:val="20"/>
                <w:szCs w:val="20"/>
              </w:rPr>
              <w:t xml:space="preserve">to </w:t>
            </w:r>
            <w:r w:rsidR="008C44ED" w:rsidRPr="00AB517B">
              <w:rPr>
                <w:sz w:val="20"/>
                <w:szCs w:val="20"/>
              </w:rPr>
              <w:t>increase</w:t>
            </w:r>
            <w:r w:rsidRPr="00AB517B">
              <w:rPr>
                <w:sz w:val="20"/>
                <w:szCs w:val="20"/>
              </w:rPr>
              <w:t xml:space="preserve"> their</w:t>
            </w:r>
            <w:r w:rsidR="008C44ED" w:rsidRPr="00AB517B">
              <w:rPr>
                <w:sz w:val="20"/>
                <w:szCs w:val="20"/>
              </w:rPr>
              <w:t xml:space="preserve"> income</w:t>
            </w:r>
            <w:r w:rsidRPr="00AB517B">
              <w:rPr>
                <w:sz w:val="20"/>
                <w:szCs w:val="20"/>
              </w:rPr>
              <w:t>s.</w:t>
            </w:r>
          </w:p>
        </w:tc>
      </w:tr>
      <w:tr w:rsidR="00CA5021" w14:paraId="1EAE2D66" w14:textId="77777777" w:rsidTr="007A4493">
        <w:trPr>
          <w:tblHeader/>
        </w:trPr>
        <w:tc>
          <w:tcPr>
            <w:tcW w:w="4390" w:type="dxa"/>
          </w:tcPr>
          <w:p w14:paraId="65838CB2" w14:textId="5589CABA" w:rsidR="00CA5021" w:rsidRPr="00AB517B" w:rsidRDefault="00A8429E" w:rsidP="00CA5021">
            <w:pPr>
              <w:spacing w:before="0" w:after="0"/>
              <w:rPr>
                <w:sz w:val="20"/>
                <w:szCs w:val="20"/>
              </w:rPr>
            </w:pPr>
            <w:r w:rsidRPr="00AB517B">
              <w:rPr>
                <w:sz w:val="20"/>
                <w:szCs w:val="20"/>
              </w:rPr>
              <w:t>Examples of improved livelihoods for women and men working in agriculture during the pandemic</w:t>
            </w:r>
          </w:p>
        </w:tc>
        <w:tc>
          <w:tcPr>
            <w:tcW w:w="6146" w:type="dxa"/>
          </w:tcPr>
          <w:p w14:paraId="60012DA3" w14:textId="721F8BDE" w:rsidR="00CA5021" w:rsidRPr="00AB517B" w:rsidRDefault="003E5E51" w:rsidP="00C31A16">
            <w:pPr>
              <w:spacing w:before="0" w:after="0"/>
              <w:ind w:left="97"/>
              <w:rPr>
                <w:sz w:val="20"/>
                <w:szCs w:val="20"/>
              </w:rPr>
            </w:pPr>
            <w:r w:rsidRPr="00AB517B">
              <w:rPr>
                <w:sz w:val="20"/>
                <w:szCs w:val="20"/>
              </w:rPr>
              <w:t xml:space="preserve">Supported improved farming and food production practices including on </w:t>
            </w:r>
            <w:r w:rsidR="008C44ED" w:rsidRPr="00AB517B">
              <w:rPr>
                <w:sz w:val="20"/>
                <w:szCs w:val="20"/>
              </w:rPr>
              <w:t xml:space="preserve">food </w:t>
            </w:r>
            <w:r w:rsidR="00DD20B9" w:rsidRPr="00AB517B">
              <w:rPr>
                <w:sz w:val="20"/>
                <w:szCs w:val="20"/>
              </w:rPr>
              <w:t>safety procedures;</w:t>
            </w:r>
            <w:r w:rsidRPr="00AB517B">
              <w:rPr>
                <w:sz w:val="20"/>
                <w:szCs w:val="20"/>
              </w:rPr>
              <w:t xml:space="preserve"> </w:t>
            </w:r>
            <w:r w:rsidR="00DD20B9" w:rsidRPr="00AB517B">
              <w:rPr>
                <w:sz w:val="20"/>
                <w:szCs w:val="20"/>
              </w:rPr>
              <w:t>methods that use less chemical</w:t>
            </w:r>
            <w:r w:rsidR="003C574E" w:rsidRPr="00AB517B">
              <w:rPr>
                <w:sz w:val="20"/>
                <w:szCs w:val="20"/>
              </w:rPr>
              <w:t>s</w:t>
            </w:r>
            <w:r w:rsidR="00DD20B9" w:rsidRPr="00AB517B">
              <w:rPr>
                <w:sz w:val="20"/>
                <w:szCs w:val="20"/>
              </w:rPr>
              <w:t xml:space="preserve">; the provision </w:t>
            </w:r>
            <w:r w:rsidR="003C574E" w:rsidRPr="00AB517B">
              <w:rPr>
                <w:sz w:val="20"/>
                <w:szCs w:val="20"/>
              </w:rPr>
              <w:t xml:space="preserve">of </w:t>
            </w:r>
            <w:r w:rsidR="008C44ED" w:rsidRPr="00AB517B">
              <w:rPr>
                <w:sz w:val="20"/>
                <w:szCs w:val="20"/>
              </w:rPr>
              <w:t xml:space="preserve">tools, </w:t>
            </w:r>
            <w:r w:rsidR="00DD20B9" w:rsidRPr="00AB517B">
              <w:rPr>
                <w:sz w:val="20"/>
                <w:szCs w:val="20"/>
              </w:rPr>
              <w:t>appropriate</w:t>
            </w:r>
            <w:r w:rsidR="008C44ED" w:rsidRPr="00AB517B">
              <w:rPr>
                <w:sz w:val="20"/>
                <w:szCs w:val="20"/>
              </w:rPr>
              <w:t xml:space="preserve"> pesticides, </w:t>
            </w:r>
            <w:r w:rsidR="00DD20B9" w:rsidRPr="00AB517B">
              <w:rPr>
                <w:sz w:val="20"/>
                <w:szCs w:val="20"/>
              </w:rPr>
              <w:br/>
            </w:r>
            <w:r w:rsidR="008C44ED" w:rsidRPr="00AB517B">
              <w:rPr>
                <w:sz w:val="20"/>
                <w:szCs w:val="20"/>
              </w:rPr>
              <w:t xml:space="preserve">mono-fertilisers and drip irrigation </w:t>
            </w:r>
            <w:r w:rsidR="00DD20B9" w:rsidRPr="00AB517B">
              <w:rPr>
                <w:sz w:val="20"/>
                <w:szCs w:val="20"/>
              </w:rPr>
              <w:t xml:space="preserve">systems; and the introduction of </w:t>
            </w:r>
            <w:r w:rsidR="00EC25B3" w:rsidRPr="00AB517B">
              <w:rPr>
                <w:sz w:val="20"/>
                <w:szCs w:val="20"/>
              </w:rPr>
              <w:t xml:space="preserve">a </w:t>
            </w:r>
            <w:r w:rsidR="008C44ED" w:rsidRPr="00AB517B">
              <w:rPr>
                <w:sz w:val="20"/>
                <w:szCs w:val="20"/>
              </w:rPr>
              <w:t xml:space="preserve">certification scheme </w:t>
            </w:r>
            <w:r w:rsidR="00EC25B3" w:rsidRPr="00AB517B">
              <w:rPr>
                <w:sz w:val="20"/>
                <w:szCs w:val="20"/>
              </w:rPr>
              <w:t xml:space="preserve">for </w:t>
            </w:r>
            <w:r w:rsidR="008C44ED" w:rsidRPr="00AB517B">
              <w:rPr>
                <w:sz w:val="20"/>
                <w:szCs w:val="20"/>
              </w:rPr>
              <w:t>safer vegetable</w:t>
            </w:r>
            <w:r w:rsidR="00DD20B9" w:rsidRPr="00AB517B">
              <w:rPr>
                <w:sz w:val="20"/>
                <w:szCs w:val="20"/>
              </w:rPr>
              <w:t xml:space="preserve"> production</w:t>
            </w:r>
            <w:r w:rsidR="008C44ED" w:rsidRPr="00AB517B">
              <w:rPr>
                <w:sz w:val="20"/>
                <w:szCs w:val="20"/>
              </w:rPr>
              <w:t>.</w:t>
            </w:r>
          </w:p>
          <w:p w14:paraId="576C7628" w14:textId="77777777" w:rsidR="00C31A16" w:rsidRPr="00AB517B" w:rsidRDefault="00C31A16" w:rsidP="008C44ED">
            <w:pPr>
              <w:spacing w:before="0" w:after="0"/>
              <w:rPr>
                <w:sz w:val="20"/>
                <w:szCs w:val="20"/>
              </w:rPr>
            </w:pPr>
          </w:p>
          <w:p w14:paraId="02B96D99" w14:textId="4D832860" w:rsidR="008C44ED" w:rsidRPr="00AB517B" w:rsidRDefault="00DD20B9" w:rsidP="00C31A16">
            <w:pPr>
              <w:spacing w:before="0" w:after="0"/>
              <w:ind w:left="97"/>
              <w:rPr>
                <w:sz w:val="20"/>
                <w:szCs w:val="20"/>
              </w:rPr>
            </w:pPr>
            <w:r w:rsidRPr="00AB517B">
              <w:rPr>
                <w:sz w:val="20"/>
                <w:szCs w:val="20"/>
              </w:rPr>
              <w:t>Supported an increase in agriculture produce for d</w:t>
            </w:r>
            <w:r w:rsidR="008C44ED" w:rsidRPr="00AB517B">
              <w:rPr>
                <w:sz w:val="20"/>
                <w:szCs w:val="20"/>
              </w:rPr>
              <w:t>omestic and export sale</w:t>
            </w:r>
            <w:r w:rsidRPr="00AB517B">
              <w:rPr>
                <w:sz w:val="20"/>
                <w:szCs w:val="20"/>
              </w:rPr>
              <w:t xml:space="preserve"> using the market</w:t>
            </w:r>
            <w:r w:rsidR="008C44ED" w:rsidRPr="00AB517B">
              <w:rPr>
                <w:sz w:val="20"/>
                <w:szCs w:val="20"/>
              </w:rPr>
              <w:t xml:space="preserve"> systems development approach</w:t>
            </w:r>
            <w:r w:rsidRPr="00AB517B">
              <w:rPr>
                <w:sz w:val="20"/>
                <w:szCs w:val="20"/>
              </w:rPr>
              <w:t xml:space="preserve">. </w:t>
            </w:r>
          </w:p>
        </w:tc>
      </w:tr>
      <w:tr w:rsidR="00CA5021" w14:paraId="4DF45926" w14:textId="77777777" w:rsidTr="007A4493">
        <w:trPr>
          <w:tblHeader/>
        </w:trPr>
        <w:tc>
          <w:tcPr>
            <w:tcW w:w="4390" w:type="dxa"/>
          </w:tcPr>
          <w:p w14:paraId="0B1E2DC4" w14:textId="270CEBEE" w:rsidR="00CA5021" w:rsidRPr="00AB517B" w:rsidRDefault="00A8429E" w:rsidP="00CA5021">
            <w:pPr>
              <w:spacing w:before="0" w:after="0"/>
              <w:rPr>
                <w:sz w:val="20"/>
                <w:szCs w:val="20"/>
              </w:rPr>
            </w:pPr>
            <w:r w:rsidRPr="00AB517B">
              <w:rPr>
                <w:sz w:val="20"/>
                <w:szCs w:val="20"/>
              </w:rPr>
              <w:t>Farmers maintaining connection to partners in agribusiness and cooperatives, during the outbreak and through the recovery period</w:t>
            </w:r>
          </w:p>
        </w:tc>
        <w:tc>
          <w:tcPr>
            <w:tcW w:w="6146" w:type="dxa"/>
          </w:tcPr>
          <w:p w14:paraId="4365B287" w14:textId="0627214A" w:rsidR="00DD20B9" w:rsidRPr="00AB517B" w:rsidRDefault="00DD20B9" w:rsidP="00CA5021">
            <w:pPr>
              <w:spacing w:before="0" w:after="0"/>
              <w:ind w:left="97"/>
              <w:rPr>
                <w:sz w:val="20"/>
                <w:szCs w:val="20"/>
              </w:rPr>
            </w:pPr>
            <w:r w:rsidRPr="00AB517B">
              <w:rPr>
                <w:sz w:val="20"/>
                <w:szCs w:val="20"/>
              </w:rPr>
              <w:t>The</w:t>
            </w:r>
            <w:r w:rsidR="00A8429E" w:rsidRPr="00AB517B">
              <w:rPr>
                <w:sz w:val="20"/>
                <w:szCs w:val="20"/>
              </w:rPr>
              <w:t xml:space="preserve"> AMENCA 3 </w:t>
            </w:r>
            <w:r w:rsidRPr="00AB517B">
              <w:rPr>
                <w:sz w:val="20"/>
                <w:szCs w:val="20"/>
              </w:rPr>
              <w:t>program supported:</w:t>
            </w:r>
          </w:p>
          <w:p w14:paraId="5BAA20D4" w14:textId="4F446373" w:rsidR="00DD20B9" w:rsidRPr="00AB517B" w:rsidRDefault="00DD20B9" w:rsidP="00DD20B9">
            <w:pPr>
              <w:pStyle w:val="ListParagraph"/>
              <w:numPr>
                <w:ilvl w:val="0"/>
                <w:numId w:val="31"/>
              </w:numPr>
              <w:spacing w:before="0" w:after="0"/>
              <w:rPr>
                <w:sz w:val="20"/>
                <w:szCs w:val="20"/>
              </w:rPr>
            </w:pPr>
            <w:r w:rsidRPr="00AB517B">
              <w:rPr>
                <w:sz w:val="20"/>
                <w:szCs w:val="20"/>
              </w:rPr>
              <w:t>I</w:t>
            </w:r>
            <w:r w:rsidR="00A8429E" w:rsidRPr="00AB517B">
              <w:rPr>
                <w:sz w:val="20"/>
                <w:szCs w:val="20"/>
              </w:rPr>
              <w:t xml:space="preserve">mplementing partners to plan and respond to the COVID-19 </w:t>
            </w:r>
            <w:proofErr w:type="gramStart"/>
            <w:r w:rsidR="00A8429E" w:rsidRPr="00AB517B">
              <w:rPr>
                <w:sz w:val="20"/>
                <w:szCs w:val="20"/>
              </w:rPr>
              <w:t>pandemic</w:t>
            </w:r>
            <w:r w:rsidRPr="00AB517B">
              <w:rPr>
                <w:sz w:val="20"/>
                <w:szCs w:val="20"/>
              </w:rPr>
              <w:t>;</w:t>
            </w:r>
            <w:proofErr w:type="gramEnd"/>
            <w:r w:rsidRPr="00AB517B">
              <w:rPr>
                <w:sz w:val="20"/>
                <w:szCs w:val="20"/>
              </w:rPr>
              <w:t xml:space="preserve"> </w:t>
            </w:r>
          </w:p>
          <w:p w14:paraId="20AC036E" w14:textId="051DE25F" w:rsidR="00DD20B9" w:rsidRPr="00AB517B" w:rsidRDefault="00DD20B9" w:rsidP="00DD20B9">
            <w:pPr>
              <w:pStyle w:val="ListParagraph"/>
              <w:numPr>
                <w:ilvl w:val="0"/>
                <w:numId w:val="31"/>
              </w:numPr>
              <w:spacing w:before="0" w:after="0"/>
              <w:rPr>
                <w:sz w:val="20"/>
                <w:szCs w:val="20"/>
              </w:rPr>
            </w:pPr>
            <w:r w:rsidRPr="00AB517B">
              <w:rPr>
                <w:sz w:val="20"/>
                <w:szCs w:val="20"/>
              </w:rPr>
              <w:t>A</w:t>
            </w:r>
            <w:r w:rsidR="00CC3E06" w:rsidRPr="00AB517B">
              <w:rPr>
                <w:sz w:val="20"/>
                <w:szCs w:val="20"/>
              </w:rPr>
              <w:t>chieved strong results during 2020, despite the threat of COVID-19 to agricultural value chains in the Palestinian Territories</w:t>
            </w:r>
            <w:r w:rsidRPr="00AB517B">
              <w:rPr>
                <w:sz w:val="20"/>
                <w:szCs w:val="20"/>
              </w:rPr>
              <w:t>; and</w:t>
            </w:r>
          </w:p>
          <w:p w14:paraId="0DB7ADE2" w14:textId="287AC16B" w:rsidR="00DD20B9" w:rsidRPr="00AB517B" w:rsidRDefault="00DD20B9" w:rsidP="00DD20B9">
            <w:pPr>
              <w:pStyle w:val="ListParagraph"/>
              <w:numPr>
                <w:ilvl w:val="0"/>
                <w:numId w:val="31"/>
              </w:numPr>
              <w:spacing w:before="0" w:after="0"/>
              <w:rPr>
                <w:sz w:val="20"/>
                <w:szCs w:val="20"/>
              </w:rPr>
            </w:pPr>
            <w:r w:rsidRPr="00AB517B">
              <w:rPr>
                <w:sz w:val="20"/>
                <w:szCs w:val="20"/>
              </w:rPr>
              <w:t>Demonstrated</w:t>
            </w:r>
            <w:r w:rsidR="00CC3E06" w:rsidRPr="00AB517B">
              <w:rPr>
                <w:sz w:val="20"/>
                <w:szCs w:val="20"/>
              </w:rPr>
              <w:t xml:space="preserve"> evidence of systemic changes in the vegetable, dairy, high value fruit, and olive product value chains. </w:t>
            </w:r>
          </w:p>
          <w:p w14:paraId="1FCE71E6" w14:textId="019D772E" w:rsidR="00CA5021" w:rsidRPr="00AB517B" w:rsidRDefault="00CA5021">
            <w:pPr>
              <w:spacing w:before="0" w:after="0"/>
              <w:ind w:left="97"/>
              <w:rPr>
                <w:sz w:val="20"/>
                <w:szCs w:val="20"/>
              </w:rPr>
            </w:pPr>
          </w:p>
        </w:tc>
      </w:tr>
    </w:tbl>
    <w:p w14:paraId="2F13E6BA" w14:textId="77777777" w:rsidR="008A6BB7" w:rsidRDefault="008A6BB7" w:rsidP="008A6BB7">
      <w:pPr>
        <w:pStyle w:val="Heading2"/>
        <w:sectPr w:rsidR="008A6BB7" w:rsidSect="00952815">
          <w:pgSz w:w="11906" w:h="16838" w:code="9"/>
          <w:pgMar w:top="1559" w:right="680" w:bottom="1418" w:left="680" w:header="567" w:footer="340" w:gutter="0"/>
          <w:cols w:space="397"/>
          <w:docGrid w:linePitch="360"/>
        </w:sectPr>
      </w:pPr>
    </w:p>
    <w:p w14:paraId="06ABEE3D" w14:textId="62B75A66" w:rsidR="00D1231A" w:rsidRDefault="00121DDD" w:rsidP="008A6BB7">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7A4493" w:rsidRPr="00AF18F4" w14:paraId="69FD1E5F" w14:textId="77777777" w:rsidTr="00E16B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287BF78E" w14:textId="77777777" w:rsidR="00AC551D" w:rsidRPr="005736BB"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hideMark/>
          </w:tcPr>
          <w:p w14:paraId="36D4C187" w14:textId="324C18DD"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hideMark/>
          </w:tcPr>
          <w:p w14:paraId="1B1121B3"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shd w:val="clear" w:color="auto" w:fill="A2DCD1" w:themeFill="accent1" w:themeFillTint="99"/>
            <w:noWrap/>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hideMark/>
          </w:tcPr>
          <w:p w14:paraId="5E5D38EF" w14:textId="4CC6B5C6"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AC551D" w:rsidRPr="00AF18F4" w14:paraId="1867487D" w14:textId="77777777" w:rsidTr="00E16B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2E831155" w14:textId="63E5FC97" w:rsidR="00AC551D" w:rsidRPr="00CA5021" w:rsidRDefault="008556AA"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8556AA">
              <w:rPr>
                <w:rFonts w:asciiTheme="minorHAnsi" w:eastAsia="Times New Roman" w:hAnsiTheme="minorHAnsi" w:cstheme="minorHAnsi"/>
                <w:b/>
                <w:bCs/>
                <w:color w:val="404040"/>
                <w:sz w:val="20"/>
                <w:szCs w:val="20"/>
                <w:lang w:eastAsia="en-AU"/>
              </w:rPr>
              <w:t>Palestinian Farmers Connecting to Market</w:t>
            </w:r>
            <w:r w:rsidR="002F646A">
              <w:rPr>
                <w:rFonts w:asciiTheme="minorHAnsi" w:eastAsia="Times New Roman" w:hAnsiTheme="minorHAnsi" w:cstheme="minorHAnsi"/>
                <w:b/>
                <w:bCs/>
                <w:color w:val="404040"/>
                <w:sz w:val="20"/>
                <w:szCs w:val="20"/>
                <w:lang w:eastAsia="en-AU"/>
              </w:rPr>
              <w:t>s</w:t>
            </w:r>
            <w:r w:rsidRPr="008556AA">
              <w:rPr>
                <w:rFonts w:asciiTheme="minorHAnsi" w:eastAsia="Times New Roman" w:hAnsiTheme="minorHAnsi" w:cstheme="minorHAnsi"/>
                <w:b/>
                <w:bCs/>
                <w:color w:val="404040"/>
                <w:sz w:val="20"/>
                <w:szCs w:val="20"/>
                <w:lang w:eastAsia="en-AU"/>
              </w:rPr>
              <w:t xml:space="preserve"> (AMENCA3)</w:t>
            </w:r>
          </w:p>
        </w:tc>
        <w:tc>
          <w:tcPr>
            <w:tcW w:w="1134" w:type="dxa"/>
            <w:tcBorders>
              <w:top w:val="none" w:sz="0" w:space="0" w:color="auto"/>
              <w:bottom w:val="none" w:sz="0" w:space="0" w:color="auto"/>
            </w:tcBorders>
            <w:shd w:val="clear" w:color="auto" w:fill="F2F2F2" w:themeFill="background1" w:themeFillShade="F2"/>
            <w:hideMark/>
          </w:tcPr>
          <w:p w14:paraId="753CB627"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2021</w:t>
            </w:r>
          </w:p>
        </w:tc>
        <w:tc>
          <w:tcPr>
            <w:tcW w:w="1276" w:type="dxa"/>
            <w:tcBorders>
              <w:top w:val="none" w:sz="0" w:space="0" w:color="auto"/>
              <w:bottom w:val="none" w:sz="0" w:space="0" w:color="auto"/>
            </w:tcBorders>
            <w:shd w:val="clear" w:color="auto" w:fill="F2F2F2" w:themeFill="background1" w:themeFillShade="F2"/>
            <w:noWrap/>
            <w:hideMark/>
          </w:tcPr>
          <w:p w14:paraId="3524F2ED" w14:textId="71354A35" w:rsidR="00AC551D" w:rsidRPr="00CA5021" w:rsidRDefault="00D7681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134" w:type="dxa"/>
            <w:tcBorders>
              <w:top w:val="none" w:sz="0" w:space="0" w:color="auto"/>
              <w:bottom w:val="none" w:sz="0" w:space="0" w:color="auto"/>
            </w:tcBorders>
            <w:shd w:val="clear" w:color="auto" w:fill="F2F2F2" w:themeFill="background1" w:themeFillShade="F2"/>
            <w:noWrap/>
            <w:hideMark/>
          </w:tcPr>
          <w:p w14:paraId="65883235" w14:textId="246CC90B" w:rsidR="00AC551D" w:rsidRPr="00CA5021" w:rsidRDefault="00D7681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276" w:type="dxa"/>
            <w:tcBorders>
              <w:top w:val="none" w:sz="0" w:space="0" w:color="auto"/>
              <w:bottom w:val="none" w:sz="0" w:space="0" w:color="auto"/>
            </w:tcBorders>
            <w:shd w:val="clear" w:color="auto" w:fill="F2F2F2" w:themeFill="background1" w:themeFillShade="F2"/>
            <w:noWrap/>
            <w:hideMark/>
          </w:tcPr>
          <w:p w14:paraId="34FAF95D"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5</w:t>
            </w:r>
          </w:p>
        </w:tc>
      </w:tr>
      <w:tr w:rsidR="00AC551D" w:rsidRPr="00AF18F4" w14:paraId="3F9940CA" w14:textId="77777777" w:rsidTr="00E16B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D54A0A0" w14:textId="6B4419D7" w:rsidR="00AC551D" w:rsidRPr="00CA5021" w:rsidRDefault="007178C4"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w:t>
            </w:r>
            <w:r w:rsidR="008556AA">
              <w:rPr>
                <w:rFonts w:asciiTheme="minorHAnsi" w:eastAsia="Times New Roman" w:hAnsiTheme="minorHAnsi" w:cstheme="minorHAnsi"/>
                <w:color w:val="404040"/>
                <w:sz w:val="20"/>
                <w:szCs w:val="20"/>
                <w:lang w:val="en-AU" w:eastAsia="en-AU"/>
              </w:rPr>
              <w:t>14</w:t>
            </w:r>
            <w:r w:rsidR="00AC551D" w:rsidRPr="00CA5021">
              <w:rPr>
                <w:rFonts w:asciiTheme="minorHAnsi" w:eastAsia="Times New Roman" w:hAnsiTheme="minorHAnsi" w:cstheme="minorHAnsi"/>
                <w:color w:val="404040"/>
                <w:sz w:val="20"/>
                <w:szCs w:val="20"/>
                <w:lang w:val="en-AU" w:eastAsia="en-AU"/>
              </w:rPr>
              <w:t>-21; Budget: $</w:t>
            </w:r>
            <w:r w:rsidR="00D7681A">
              <w:rPr>
                <w:rFonts w:asciiTheme="minorHAnsi" w:eastAsia="Times New Roman" w:hAnsiTheme="minorHAnsi" w:cstheme="minorHAnsi"/>
                <w:color w:val="404040"/>
                <w:sz w:val="20"/>
                <w:szCs w:val="20"/>
                <w:lang w:val="en-AU" w:eastAsia="en-AU"/>
              </w:rPr>
              <w:t>28.5</w:t>
            </w:r>
            <w:r w:rsidR="00AC551D"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F2F2F2" w:themeFill="background1" w:themeFillShade="F2"/>
            <w:hideMark/>
          </w:tcPr>
          <w:p w14:paraId="42A30353"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2020</w:t>
            </w:r>
          </w:p>
        </w:tc>
        <w:tc>
          <w:tcPr>
            <w:tcW w:w="1276" w:type="dxa"/>
            <w:tcBorders>
              <w:top w:val="none" w:sz="0" w:space="0" w:color="auto"/>
              <w:bottom w:val="none" w:sz="0" w:space="0" w:color="auto"/>
            </w:tcBorders>
            <w:shd w:val="clear" w:color="auto" w:fill="F2F2F2" w:themeFill="background1" w:themeFillShade="F2"/>
            <w:noWrap/>
          </w:tcPr>
          <w:p w14:paraId="02C361E5" w14:textId="2E11D3BF" w:rsidR="00AC551D" w:rsidRPr="00CA5021" w:rsidRDefault="00D7681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one" w:sz="0" w:space="0" w:color="auto"/>
            </w:tcBorders>
            <w:shd w:val="clear" w:color="auto" w:fill="F2F2F2" w:themeFill="background1" w:themeFillShade="F2"/>
            <w:noWrap/>
          </w:tcPr>
          <w:p w14:paraId="1C8F4065" w14:textId="7CF503F9" w:rsidR="00AC551D" w:rsidRPr="00CA5021" w:rsidRDefault="00D7681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276" w:type="dxa"/>
            <w:tcBorders>
              <w:top w:val="none" w:sz="0" w:space="0" w:color="auto"/>
              <w:bottom w:val="none" w:sz="0" w:space="0" w:color="auto"/>
            </w:tcBorders>
            <w:shd w:val="clear" w:color="auto" w:fill="F2F2F2" w:themeFill="background1" w:themeFillShade="F2"/>
            <w:noWrap/>
          </w:tcPr>
          <w:p w14:paraId="3EA630FF" w14:textId="5EA6737F" w:rsidR="00AC551D" w:rsidRPr="00CA5021" w:rsidRDefault="00D7681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bl>
    <w:p w14:paraId="17600418" w14:textId="3192E0F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40D2" w14:textId="77777777" w:rsidR="003573F7" w:rsidRDefault="003573F7" w:rsidP="00D37B04">
      <w:r>
        <w:separator/>
      </w:r>
    </w:p>
  </w:endnote>
  <w:endnote w:type="continuationSeparator" w:id="0">
    <w:p w14:paraId="76339BFF" w14:textId="77777777" w:rsidR="003573F7" w:rsidRDefault="003573F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B636999" w14:textId="540F0069" w:rsidR="0005564F" w:rsidRDefault="0005564F">
        <w:pPr>
          <w:pStyle w:val="Footer"/>
          <w:jc w:val="center"/>
          <w:rPr>
            <w:color w:val="auto"/>
          </w:rPr>
        </w:pPr>
      </w:p>
      <w:p w14:paraId="10BB5A1F" w14:textId="79495BDB" w:rsidR="0005564F" w:rsidRDefault="0005564F">
        <w:pPr>
          <w:pStyle w:val="Footer"/>
          <w:jc w:val="center"/>
          <w:rPr>
            <w:color w:val="auto"/>
          </w:rPr>
        </w:pPr>
        <w:r>
          <w:rPr>
            <w:noProof/>
            <w:color w:val="auto"/>
          </w:rPr>
          <w:drawing>
            <wp:anchor distT="0" distB="0" distL="114300" distR="114300" simplePos="0" relativeHeight="251659264"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rsidP="00C601C6">
        <w:pPr>
          <w:pStyle w:val="Foo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399D30A" w:rsidR="001D3DDD" w:rsidRPr="001D3DDD" w:rsidRDefault="006B31B6"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25C0" w14:textId="77777777" w:rsidR="000E622D" w:rsidRPr="00854F69" w:rsidRDefault="000E622D" w:rsidP="000E622D">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12D9268A" wp14:editId="2FA83BE6">
          <wp:simplePos x="0" y="0"/>
          <wp:positionH relativeFrom="margin">
            <wp:posOffset>-120650</wp:posOffset>
          </wp:positionH>
          <wp:positionV relativeFrom="page">
            <wp:posOffset>9842500</wp:posOffset>
          </wp:positionV>
          <wp:extent cx="6931025" cy="622300"/>
          <wp:effectExtent l="0" t="0" r="3175"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6554" cy="622796"/>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November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 xml:space="preserve">1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7FBD0E43" w14:textId="77777777" w:rsidR="000E622D" w:rsidRDefault="000E622D" w:rsidP="000E622D">
    <w:pPr>
      <w:pStyle w:val="Footer"/>
      <w:jc w:val="center"/>
      <w:rPr>
        <w:color w:val="auto"/>
      </w:rPr>
    </w:pPr>
  </w:p>
  <w:p w14:paraId="69B833CD" w14:textId="77777777" w:rsidR="000E622D" w:rsidRDefault="000E6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4386D" w14:textId="77777777" w:rsidR="003573F7" w:rsidRPr="008C5A0E" w:rsidRDefault="003573F7" w:rsidP="00D37B04">
      <w:pPr>
        <w:pStyle w:val="Footer"/>
      </w:pPr>
    </w:p>
  </w:footnote>
  <w:footnote w:type="continuationSeparator" w:id="0">
    <w:p w14:paraId="38ECE267" w14:textId="77777777" w:rsidR="003573F7" w:rsidRDefault="003573F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9B7FBEF" w:rsidR="009131E9" w:rsidRDefault="009131E9" w:rsidP="007A4493">
    <w:pPr>
      <w:pStyle w:val="Header"/>
      <w:ind w:left="0"/>
    </w:pPr>
    <w:r w:rsidRPr="00A12B40">
      <w:rPr>
        <w:i/>
        <w:caps w:val="0"/>
      </w:rPr>
      <w:t>Partnerships for Recovery</w:t>
    </w:r>
    <w:r w:rsidRPr="00A12B40">
      <w:rPr>
        <w:i/>
        <w:noProof/>
        <w:lang w:val="en-AU" w:eastAsia="en-AU"/>
      </w:rPr>
      <w:drawing>
        <wp:inline distT="0" distB="0" distL="0" distR="0" wp14:anchorId="7248A92F" wp14:editId="7CBD7E78">
          <wp:extent cx="6718853" cy="707390"/>
          <wp:effectExtent l="0" t="0" r="635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7" name="Picture 7"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F3D28"/>
    <w:multiLevelType w:val="hybridMultilevel"/>
    <w:tmpl w:val="DE5AA0D0"/>
    <w:lvl w:ilvl="0" w:tplc="C2B656C8">
      <w:start w:val="2020"/>
      <w:numFmt w:val="bullet"/>
      <w:lvlText w:val="-"/>
      <w:lvlJc w:val="left"/>
      <w:pPr>
        <w:ind w:left="824" w:hanging="360"/>
      </w:pPr>
      <w:rPr>
        <w:rFonts w:ascii="Calibri Light" w:eastAsiaTheme="minorHAnsi" w:hAnsi="Calibri Light" w:cs="Calibri Light" w:hint="default"/>
      </w:rPr>
    </w:lvl>
    <w:lvl w:ilvl="1" w:tplc="0C090003" w:tentative="1">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2" w15:restartNumberingAfterBreak="0">
    <w:nsid w:val="03C0798A"/>
    <w:multiLevelType w:val="hybridMultilevel"/>
    <w:tmpl w:val="706C5ECA"/>
    <w:lvl w:ilvl="0" w:tplc="AF280AD2">
      <w:numFmt w:val="bullet"/>
      <w:lvlText w:val="-"/>
      <w:lvlJc w:val="left"/>
      <w:pPr>
        <w:ind w:left="457" w:hanging="360"/>
      </w:pPr>
      <w:rPr>
        <w:rFonts w:ascii="Calibri Light" w:eastAsiaTheme="minorHAnsi" w:hAnsi="Calibri Light" w:cs="Calibri Light" w:hint="default"/>
      </w:rPr>
    </w:lvl>
    <w:lvl w:ilvl="1" w:tplc="0C090003" w:tentative="1">
      <w:start w:val="1"/>
      <w:numFmt w:val="bullet"/>
      <w:lvlText w:val="o"/>
      <w:lvlJc w:val="left"/>
      <w:pPr>
        <w:ind w:left="1177" w:hanging="360"/>
      </w:pPr>
      <w:rPr>
        <w:rFonts w:ascii="Courier New" w:hAnsi="Courier New" w:cs="Courier New" w:hint="default"/>
      </w:rPr>
    </w:lvl>
    <w:lvl w:ilvl="2" w:tplc="0C090005" w:tentative="1">
      <w:start w:val="1"/>
      <w:numFmt w:val="bullet"/>
      <w:lvlText w:val=""/>
      <w:lvlJc w:val="left"/>
      <w:pPr>
        <w:ind w:left="1897" w:hanging="360"/>
      </w:pPr>
      <w:rPr>
        <w:rFonts w:ascii="Wingdings" w:hAnsi="Wingdings" w:hint="default"/>
      </w:rPr>
    </w:lvl>
    <w:lvl w:ilvl="3" w:tplc="0C090001" w:tentative="1">
      <w:start w:val="1"/>
      <w:numFmt w:val="bullet"/>
      <w:lvlText w:val=""/>
      <w:lvlJc w:val="left"/>
      <w:pPr>
        <w:ind w:left="2617" w:hanging="360"/>
      </w:pPr>
      <w:rPr>
        <w:rFonts w:ascii="Symbol" w:hAnsi="Symbol" w:hint="default"/>
      </w:rPr>
    </w:lvl>
    <w:lvl w:ilvl="4" w:tplc="0C090003" w:tentative="1">
      <w:start w:val="1"/>
      <w:numFmt w:val="bullet"/>
      <w:lvlText w:val="o"/>
      <w:lvlJc w:val="left"/>
      <w:pPr>
        <w:ind w:left="3337" w:hanging="360"/>
      </w:pPr>
      <w:rPr>
        <w:rFonts w:ascii="Courier New" w:hAnsi="Courier New" w:cs="Courier New" w:hint="default"/>
      </w:rPr>
    </w:lvl>
    <w:lvl w:ilvl="5" w:tplc="0C090005" w:tentative="1">
      <w:start w:val="1"/>
      <w:numFmt w:val="bullet"/>
      <w:lvlText w:val=""/>
      <w:lvlJc w:val="left"/>
      <w:pPr>
        <w:ind w:left="4057" w:hanging="360"/>
      </w:pPr>
      <w:rPr>
        <w:rFonts w:ascii="Wingdings" w:hAnsi="Wingdings" w:hint="default"/>
      </w:rPr>
    </w:lvl>
    <w:lvl w:ilvl="6" w:tplc="0C090001" w:tentative="1">
      <w:start w:val="1"/>
      <w:numFmt w:val="bullet"/>
      <w:lvlText w:val=""/>
      <w:lvlJc w:val="left"/>
      <w:pPr>
        <w:ind w:left="4777" w:hanging="360"/>
      </w:pPr>
      <w:rPr>
        <w:rFonts w:ascii="Symbol" w:hAnsi="Symbol" w:hint="default"/>
      </w:rPr>
    </w:lvl>
    <w:lvl w:ilvl="7" w:tplc="0C090003" w:tentative="1">
      <w:start w:val="1"/>
      <w:numFmt w:val="bullet"/>
      <w:lvlText w:val="o"/>
      <w:lvlJc w:val="left"/>
      <w:pPr>
        <w:ind w:left="5497" w:hanging="360"/>
      </w:pPr>
      <w:rPr>
        <w:rFonts w:ascii="Courier New" w:hAnsi="Courier New" w:cs="Courier New" w:hint="default"/>
      </w:rPr>
    </w:lvl>
    <w:lvl w:ilvl="8" w:tplc="0C090005" w:tentative="1">
      <w:start w:val="1"/>
      <w:numFmt w:val="bullet"/>
      <w:lvlText w:val=""/>
      <w:lvlJc w:val="left"/>
      <w:pPr>
        <w:ind w:left="6217"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8F132CE"/>
    <w:multiLevelType w:val="multilevel"/>
    <w:tmpl w:val="3B7A10DE"/>
    <w:numStyleLink w:val="BulletsList"/>
  </w:abstractNum>
  <w:abstractNum w:abstractNumId="9"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3"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4"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8" w15:restartNumberingAfterBreak="0">
    <w:nsid w:val="5D1B19BB"/>
    <w:multiLevelType w:val="hybridMultilevel"/>
    <w:tmpl w:val="45A2AF46"/>
    <w:lvl w:ilvl="0" w:tplc="3942EB0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C036E8"/>
    <w:multiLevelType w:val="multilevel"/>
    <w:tmpl w:val="E416BADA"/>
    <w:lvl w:ilvl="0">
      <w:start w:val="1"/>
      <w:numFmt w:val="bullet"/>
      <w:lvlText w:val=""/>
      <w:lvlJc w:val="left"/>
      <w:pPr>
        <w:tabs>
          <w:tab w:val="num" w:pos="709"/>
        </w:tabs>
        <w:ind w:left="709"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F6CC9"/>
    <w:multiLevelType w:val="hybridMultilevel"/>
    <w:tmpl w:val="48E0247C"/>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3"/>
  </w:num>
  <w:num w:numId="3">
    <w:abstractNumId w:val="7"/>
  </w:num>
  <w:num w:numId="4">
    <w:abstractNumId w:val="15"/>
  </w:num>
  <w:num w:numId="5">
    <w:abstractNumId w:val="19"/>
  </w:num>
  <w:num w:numId="6">
    <w:abstractNumId w:val="7"/>
  </w:num>
  <w:num w:numId="7">
    <w:abstractNumId w:val="3"/>
  </w:num>
  <w:num w:numId="8">
    <w:abstractNumId w:val="5"/>
  </w:num>
  <w:num w:numId="9">
    <w:abstractNumId w:val="28"/>
  </w:num>
  <w:num w:numId="10">
    <w:abstractNumId w:val="8"/>
  </w:num>
  <w:num w:numId="11">
    <w:abstractNumId w:val="13"/>
  </w:num>
  <w:num w:numId="12">
    <w:abstractNumId w:val="14"/>
  </w:num>
  <w:num w:numId="13">
    <w:abstractNumId w:val="0"/>
  </w:num>
  <w:num w:numId="14">
    <w:abstractNumId w:val="12"/>
  </w:num>
  <w:num w:numId="15">
    <w:abstractNumId w:val="16"/>
  </w:num>
  <w:num w:numId="16">
    <w:abstractNumId w:val="22"/>
  </w:num>
  <w:num w:numId="17">
    <w:abstractNumId w:val="6"/>
  </w:num>
  <w:num w:numId="18">
    <w:abstractNumId w:val="17"/>
  </w:num>
  <w:num w:numId="19">
    <w:abstractNumId w:val="27"/>
  </w:num>
  <w:num w:numId="20">
    <w:abstractNumId w:val="10"/>
  </w:num>
  <w:num w:numId="21">
    <w:abstractNumId w:val="26"/>
  </w:num>
  <w:num w:numId="22">
    <w:abstractNumId w:val="9"/>
  </w:num>
  <w:num w:numId="23">
    <w:abstractNumId w:val="4"/>
  </w:num>
  <w:num w:numId="24">
    <w:abstractNumId w:val="23"/>
  </w:num>
  <w:num w:numId="25">
    <w:abstractNumId w:val="29"/>
  </w:num>
  <w:num w:numId="26">
    <w:abstractNumId w:val="11"/>
  </w:num>
  <w:num w:numId="27">
    <w:abstractNumId w:val="20"/>
  </w:num>
  <w:num w:numId="28">
    <w:abstractNumId w:val="21"/>
  </w:num>
  <w:num w:numId="29">
    <w:abstractNumId w:val="1"/>
  </w:num>
  <w:num w:numId="30">
    <w:abstractNumId w:val="24"/>
  </w:num>
  <w:num w:numId="31">
    <w:abstractNumId w:val="2"/>
  </w:num>
  <w:num w:numId="3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3A30"/>
    <w:rsid w:val="00004805"/>
    <w:rsid w:val="00010006"/>
    <w:rsid w:val="00011235"/>
    <w:rsid w:val="00015AB7"/>
    <w:rsid w:val="0002080A"/>
    <w:rsid w:val="00026CE0"/>
    <w:rsid w:val="0002782F"/>
    <w:rsid w:val="00031486"/>
    <w:rsid w:val="000314BA"/>
    <w:rsid w:val="00033ADC"/>
    <w:rsid w:val="00035BBF"/>
    <w:rsid w:val="00035CBC"/>
    <w:rsid w:val="000417C3"/>
    <w:rsid w:val="00041E56"/>
    <w:rsid w:val="000444F3"/>
    <w:rsid w:val="00050806"/>
    <w:rsid w:val="000546D9"/>
    <w:rsid w:val="00054E4D"/>
    <w:rsid w:val="0005564F"/>
    <w:rsid w:val="00055880"/>
    <w:rsid w:val="00056F24"/>
    <w:rsid w:val="00060073"/>
    <w:rsid w:val="000616C6"/>
    <w:rsid w:val="0006599F"/>
    <w:rsid w:val="000822AD"/>
    <w:rsid w:val="000854FD"/>
    <w:rsid w:val="000A407E"/>
    <w:rsid w:val="000B37F5"/>
    <w:rsid w:val="000B5DA7"/>
    <w:rsid w:val="000B78E6"/>
    <w:rsid w:val="000C3A4C"/>
    <w:rsid w:val="000C4411"/>
    <w:rsid w:val="000D2896"/>
    <w:rsid w:val="000D66D6"/>
    <w:rsid w:val="000E22AB"/>
    <w:rsid w:val="000E58BF"/>
    <w:rsid w:val="000E591D"/>
    <w:rsid w:val="000E622D"/>
    <w:rsid w:val="000E6C44"/>
    <w:rsid w:val="000F2600"/>
    <w:rsid w:val="000F78C9"/>
    <w:rsid w:val="00113288"/>
    <w:rsid w:val="001214BE"/>
    <w:rsid w:val="0012165D"/>
    <w:rsid w:val="00121DDD"/>
    <w:rsid w:val="001227F1"/>
    <w:rsid w:val="0013101C"/>
    <w:rsid w:val="00132117"/>
    <w:rsid w:val="0013385F"/>
    <w:rsid w:val="00137F4E"/>
    <w:rsid w:val="001461D6"/>
    <w:rsid w:val="00146E07"/>
    <w:rsid w:val="001541EA"/>
    <w:rsid w:val="0016223D"/>
    <w:rsid w:val="00166032"/>
    <w:rsid w:val="001662F8"/>
    <w:rsid w:val="00167AA2"/>
    <w:rsid w:val="001841C8"/>
    <w:rsid w:val="00186B4B"/>
    <w:rsid w:val="001917E3"/>
    <w:rsid w:val="00193C49"/>
    <w:rsid w:val="001A51EE"/>
    <w:rsid w:val="001A7815"/>
    <w:rsid w:val="001B78DA"/>
    <w:rsid w:val="001C14F4"/>
    <w:rsid w:val="001C1F11"/>
    <w:rsid w:val="001C483F"/>
    <w:rsid w:val="001D1A8F"/>
    <w:rsid w:val="001D3C98"/>
    <w:rsid w:val="001D3DDD"/>
    <w:rsid w:val="001D4091"/>
    <w:rsid w:val="001D663E"/>
    <w:rsid w:val="001E03BE"/>
    <w:rsid w:val="001E1DC0"/>
    <w:rsid w:val="001E28BF"/>
    <w:rsid w:val="001E563B"/>
    <w:rsid w:val="001E6D20"/>
    <w:rsid w:val="001F0A07"/>
    <w:rsid w:val="001F16E7"/>
    <w:rsid w:val="001F7A8B"/>
    <w:rsid w:val="001F7F4D"/>
    <w:rsid w:val="00202142"/>
    <w:rsid w:val="00210040"/>
    <w:rsid w:val="00216C55"/>
    <w:rsid w:val="002231BD"/>
    <w:rsid w:val="00226093"/>
    <w:rsid w:val="002270F7"/>
    <w:rsid w:val="00230696"/>
    <w:rsid w:val="00235A93"/>
    <w:rsid w:val="002404E8"/>
    <w:rsid w:val="00244229"/>
    <w:rsid w:val="00247365"/>
    <w:rsid w:val="00255F45"/>
    <w:rsid w:val="00260C76"/>
    <w:rsid w:val="00261565"/>
    <w:rsid w:val="00270C70"/>
    <w:rsid w:val="002721B5"/>
    <w:rsid w:val="0028602A"/>
    <w:rsid w:val="002945C4"/>
    <w:rsid w:val="0029610F"/>
    <w:rsid w:val="0029663F"/>
    <w:rsid w:val="00297258"/>
    <w:rsid w:val="00297FD1"/>
    <w:rsid w:val="002A57EE"/>
    <w:rsid w:val="002A7B0F"/>
    <w:rsid w:val="002B3381"/>
    <w:rsid w:val="002B5E10"/>
    <w:rsid w:val="002B6AA5"/>
    <w:rsid w:val="002B76DC"/>
    <w:rsid w:val="002C793D"/>
    <w:rsid w:val="002D0379"/>
    <w:rsid w:val="002D35C9"/>
    <w:rsid w:val="002D4108"/>
    <w:rsid w:val="002D430F"/>
    <w:rsid w:val="002D5B25"/>
    <w:rsid w:val="002E2AF4"/>
    <w:rsid w:val="002E3458"/>
    <w:rsid w:val="002E38B2"/>
    <w:rsid w:val="002E500A"/>
    <w:rsid w:val="002F03FB"/>
    <w:rsid w:val="002F4F2B"/>
    <w:rsid w:val="002F646A"/>
    <w:rsid w:val="003002C0"/>
    <w:rsid w:val="00301144"/>
    <w:rsid w:val="003031C6"/>
    <w:rsid w:val="00304984"/>
    <w:rsid w:val="00311946"/>
    <w:rsid w:val="00312BF8"/>
    <w:rsid w:val="00312FEB"/>
    <w:rsid w:val="00313F16"/>
    <w:rsid w:val="003148B7"/>
    <w:rsid w:val="003158C3"/>
    <w:rsid w:val="00323332"/>
    <w:rsid w:val="003274CD"/>
    <w:rsid w:val="00327F1C"/>
    <w:rsid w:val="00333501"/>
    <w:rsid w:val="00334A8E"/>
    <w:rsid w:val="003406AF"/>
    <w:rsid w:val="00344AA6"/>
    <w:rsid w:val="003457C4"/>
    <w:rsid w:val="0035119D"/>
    <w:rsid w:val="003535F8"/>
    <w:rsid w:val="00354641"/>
    <w:rsid w:val="003552F3"/>
    <w:rsid w:val="003573F7"/>
    <w:rsid w:val="00361EBD"/>
    <w:rsid w:val="003622C1"/>
    <w:rsid w:val="00363A9F"/>
    <w:rsid w:val="003664FE"/>
    <w:rsid w:val="00375D23"/>
    <w:rsid w:val="003806FE"/>
    <w:rsid w:val="00381714"/>
    <w:rsid w:val="00382CE7"/>
    <w:rsid w:val="00386031"/>
    <w:rsid w:val="00387EC8"/>
    <w:rsid w:val="0039215F"/>
    <w:rsid w:val="0039344A"/>
    <w:rsid w:val="003A599F"/>
    <w:rsid w:val="003B3091"/>
    <w:rsid w:val="003B3228"/>
    <w:rsid w:val="003B4F12"/>
    <w:rsid w:val="003C574E"/>
    <w:rsid w:val="003C6C4F"/>
    <w:rsid w:val="003C7D0E"/>
    <w:rsid w:val="003D1253"/>
    <w:rsid w:val="003D2AC6"/>
    <w:rsid w:val="003D37F7"/>
    <w:rsid w:val="003E24BA"/>
    <w:rsid w:val="003E5E51"/>
    <w:rsid w:val="003F2041"/>
    <w:rsid w:val="003F7D26"/>
    <w:rsid w:val="004007ED"/>
    <w:rsid w:val="00400D50"/>
    <w:rsid w:val="00402ACC"/>
    <w:rsid w:val="00403FD8"/>
    <w:rsid w:val="00404443"/>
    <w:rsid w:val="00404602"/>
    <w:rsid w:val="004113BF"/>
    <w:rsid w:val="004120EC"/>
    <w:rsid w:val="0041267F"/>
    <w:rsid w:val="0041281F"/>
    <w:rsid w:val="00423DE0"/>
    <w:rsid w:val="00423F31"/>
    <w:rsid w:val="0042526D"/>
    <w:rsid w:val="00426340"/>
    <w:rsid w:val="004303AA"/>
    <w:rsid w:val="00431899"/>
    <w:rsid w:val="00441E8B"/>
    <w:rsid w:val="00450381"/>
    <w:rsid w:val="00452183"/>
    <w:rsid w:val="004529F1"/>
    <w:rsid w:val="00453B1A"/>
    <w:rsid w:val="00462A57"/>
    <w:rsid w:val="0046667D"/>
    <w:rsid w:val="004728DD"/>
    <w:rsid w:val="00473F2D"/>
    <w:rsid w:val="00473F39"/>
    <w:rsid w:val="00474037"/>
    <w:rsid w:val="00475782"/>
    <w:rsid w:val="00482AE8"/>
    <w:rsid w:val="00482E27"/>
    <w:rsid w:val="00482F27"/>
    <w:rsid w:val="0048537B"/>
    <w:rsid w:val="00486444"/>
    <w:rsid w:val="00486804"/>
    <w:rsid w:val="00487549"/>
    <w:rsid w:val="00494242"/>
    <w:rsid w:val="004A41B8"/>
    <w:rsid w:val="004B3775"/>
    <w:rsid w:val="004D0BA0"/>
    <w:rsid w:val="004D7F36"/>
    <w:rsid w:val="004E058F"/>
    <w:rsid w:val="004E3B87"/>
    <w:rsid w:val="004E549D"/>
    <w:rsid w:val="004F5615"/>
    <w:rsid w:val="00502041"/>
    <w:rsid w:val="00503EB4"/>
    <w:rsid w:val="0050592F"/>
    <w:rsid w:val="00510921"/>
    <w:rsid w:val="00510AD3"/>
    <w:rsid w:val="00513348"/>
    <w:rsid w:val="005134EE"/>
    <w:rsid w:val="00513AD8"/>
    <w:rsid w:val="0051536A"/>
    <w:rsid w:val="00517DD0"/>
    <w:rsid w:val="005204D2"/>
    <w:rsid w:val="00522396"/>
    <w:rsid w:val="00527AD8"/>
    <w:rsid w:val="0053159D"/>
    <w:rsid w:val="00531B69"/>
    <w:rsid w:val="00533B5D"/>
    <w:rsid w:val="00534D96"/>
    <w:rsid w:val="00536343"/>
    <w:rsid w:val="00536BAB"/>
    <w:rsid w:val="00540A22"/>
    <w:rsid w:val="00544B89"/>
    <w:rsid w:val="005474FC"/>
    <w:rsid w:val="00551783"/>
    <w:rsid w:val="00553079"/>
    <w:rsid w:val="005547B8"/>
    <w:rsid w:val="00560E83"/>
    <w:rsid w:val="005736BB"/>
    <w:rsid w:val="00577815"/>
    <w:rsid w:val="005822D6"/>
    <w:rsid w:val="00582926"/>
    <w:rsid w:val="0058658D"/>
    <w:rsid w:val="0059439B"/>
    <w:rsid w:val="005A20F6"/>
    <w:rsid w:val="005A26E5"/>
    <w:rsid w:val="005A2DF9"/>
    <w:rsid w:val="005C2EC9"/>
    <w:rsid w:val="005C532B"/>
    <w:rsid w:val="005D3655"/>
    <w:rsid w:val="005D5489"/>
    <w:rsid w:val="005E0058"/>
    <w:rsid w:val="005E4830"/>
    <w:rsid w:val="005E5524"/>
    <w:rsid w:val="005E5E43"/>
    <w:rsid w:val="005E73CC"/>
    <w:rsid w:val="005F2F66"/>
    <w:rsid w:val="005F7086"/>
    <w:rsid w:val="006031AC"/>
    <w:rsid w:val="00603321"/>
    <w:rsid w:val="00613E73"/>
    <w:rsid w:val="00616A58"/>
    <w:rsid w:val="00620A3D"/>
    <w:rsid w:val="00622B86"/>
    <w:rsid w:val="00623BA1"/>
    <w:rsid w:val="0063007F"/>
    <w:rsid w:val="00630092"/>
    <w:rsid w:val="006346BC"/>
    <w:rsid w:val="006362FF"/>
    <w:rsid w:val="006378FE"/>
    <w:rsid w:val="006408FF"/>
    <w:rsid w:val="00644943"/>
    <w:rsid w:val="0065649B"/>
    <w:rsid w:val="0066203A"/>
    <w:rsid w:val="0066652A"/>
    <w:rsid w:val="006719C3"/>
    <w:rsid w:val="006745FC"/>
    <w:rsid w:val="006750D9"/>
    <w:rsid w:val="0067558B"/>
    <w:rsid w:val="00680115"/>
    <w:rsid w:val="00680522"/>
    <w:rsid w:val="00681633"/>
    <w:rsid w:val="00682167"/>
    <w:rsid w:val="00690AE1"/>
    <w:rsid w:val="006A6F52"/>
    <w:rsid w:val="006A791A"/>
    <w:rsid w:val="006A7C5A"/>
    <w:rsid w:val="006B0064"/>
    <w:rsid w:val="006B1FC3"/>
    <w:rsid w:val="006B31B6"/>
    <w:rsid w:val="006B3E95"/>
    <w:rsid w:val="006B51B2"/>
    <w:rsid w:val="006B6F6D"/>
    <w:rsid w:val="006C0B06"/>
    <w:rsid w:val="006C3BBD"/>
    <w:rsid w:val="006C42AF"/>
    <w:rsid w:val="006C565B"/>
    <w:rsid w:val="006C6498"/>
    <w:rsid w:val="006D15F1"/>
    <w:rsid w:val="006D5A56"/>
    <w:rsid w:val="006E0FEF"/>
    <w:rsid w:val="006E4323"/>
    <w:rsid w:val="006F6BA7"/>
    <w:rsid w:val="007075DF"/>
    <w:rsid w:val="00711D8E"/>
    <w:rsid w:val="00712672"/>
    <w:rsid w:val="007178C4"/>
    <w:rsid w:val="00734E3F"/>
    <w:rsid w:val="007360D5"/>
    <w:rsid w:val="00736985"/>
    <w:rsid w:val="00745DF5"/>
    <w:rsid w:val="00751718"/>
    <w:rsid w:val="0076250F"/>
    <w:rsid w:val="00772CF7"/>
    <w:rsid w:val="0077324F"/>
    <w:rsid w:val="007733DC"/>
    <w:rsid w:val="00780FA5"/>
    <w:rsid w:val="007852BC"/>
    <w:rsid w:val="007879B9"/>
    <w:rsid w:val="00794D99"/>
    <w:rsid w:val="00796F1C"/>
    <w:rsid w:val="007A4493"/>
    <w:rsid w:val="007B53F9"/>
    <w:rsid w:val="007B6200"/>
    <w:rsid w:val="007C19B3"/>
    <w:rsid w:val="007C735B"/>
    <w:rsid w:val="007E19FC"/>
    <w:rsid w:val="007E1E6E"/>
    <w:rsid w:val="007E5361"/>
    <w:rsid w:val="007E556D"/>
    <w:rsid w:val="007E7A2C"/>
    <w:rsid w:val="007E7BC7"/>
    <w:rsid w:val="007F3395"/>
    <w:rsid w:val="007F5C0B"/>
    <w:rsid w:val="007F646C"/>
    <w:rsid w:val="00800816"/>
    <w:rsid w:val="00801B9F"/>
    <w:rsid w:val="0080204D"/>
    <w:rsid w:val="00806F33"/>
    <w:rsid w:val="008204C7"/>
    <w:rsid w:val="0082053C"/>
    <w:rsid w:val="00822F43"/>
    <w:rsid w:val="0084191E"/>
    <w:rsid w:val="00841A44"/>
    <w:rsid w:val="00842A2A"/>
    <w:rsid w:val="00843B76"/>
    <w:rsid w:val="00844737"/>
    <w:rsid w:val="008475F0"/>
    <w:rsid w:val="008515AF"/>
    <w:rsid w:val="00852C32"/>
    <w:rsid w:val="00854F69"/>
    <w:rsid w:val="008551F7"/>
    <w:rsid w:val="008556AA"/>
    <w:rsid w:val="008557A7"/>
    <w:rsid w:val="00856BFE"/>
    <w:rsid w:val="00857312"/>
    <w:rsid w:val="00867FC2"/>
    <w:rsid w:val="00870928"/>
    <w:rsid w:val="00877620"/>
    <w:rsid w:val="00881605"/>
    <w:rsid w:val="00887404"/>
    <w:rsid w:val="00890A79"/>
    <w:rsid w:val="0089405C"/>
    <w:rsid w:val="00897648"/>
    <w:rsid w:val="00897FA2"/>
    <w:rsid w:val="008A1503"/>
    <w:rsid w:val="008A5AFE"/>
    <w:rsid w:val="008A6BB7"/>
    <w:rsid w:val="008A7B6F"/>
    <w:rsid w:val="008C1F60"/>
    <w:rsid w:val="008C44ED"/>
    <w:rsid w:val="008C478C"/>
    <w:rsid w:val="008C5A0E"/>
    <w:rsid w:val="008C6149"/>
    <w:rsid w:val="008C708C"/>
    <w:rsid w:val="008E4B49"/>
    <w:rsid w:val="008F0F96"/>
    <w:rsid w:val="008F6625"/>
    <w:rsid w:val="0090129A"/>
    <w:rsid w:val="00904349"/>
    <w:rsid w:val="00912B9B"/>
    <w:rsid w:val="009131E9"/>
    <w:rsid w:val="00916582"/>
    <w:rsid w:val="00917A7A"/>
    <w:rsid w:val="00920854"/>
    <w:rsid w:val="0093173D"/>
    <w:rsid w:val="00937866"/>
    <w:rsid w:val="00943730"/>
    <w:rsid w:val="00950D65"/>
    <w:rsid w:val="00952815"/>
    <w:rsid w:val="0096640C"/>
    <w:rsid w:val="00975CA5"/>
    <w:rsid w:val="009774B4"/>
    <w:rsid w:val="00986590"/>
    <w:rsid w:val="00991579"/>
    <w:rsid w:val="00992C76"/>
    <w:rsid w:val="0099309D"/>
    <w:rsid w:val="00994F60"/>
    <w:rsid w:val="00995C58"/>
    <w:rsid w:val="00995EB6"/>
    <w:rsid w:val="009969D6"/>
    <w:rsid w:val="009A112B"/>
    <w:rsid w:val="009A2619"/>
    <w:rsid w:val="009A58FC"/>
    <w:rsid w:val="009B394F"/>
    <w:rsid w:val="009B4D3B"/>
    <w:rsid w:val="009B7EAE"/>
    <w:rsid w:val="009C18DB"/>
    <w:rsid w:val="009D3438"/>
    <w:rsid w:val="009D7407"/>
    <w:rsid w:val="009E0866"/>
    <w:rsid w:val="009E273C"/>
    <w:rsid w:val="009F1350"/>
    <w:rsid w:val="009F3B52"/>
    <w:rsid w:val="009F6423"/>
    <w:rsid w:val="00A003F5"/>
    <w:rsid w:val="00A00C22"/>
    <w:rsid w:val="00A07A86"/>
    <w:rsid w:val="00A107B9"/>
    <w:rsid w:val="00A11D43"/>
    <w:rsid w:val="00A12B40"/>
    <w:rsid w:val="00A225E6"/>
    <w:rsid w:val="00A24A62"/>
    <w:rsid w:val="00A31C9F"/>
    <w:rsid w:val="00A4144F"/>
    <w:rsid w:val="00A46B28"/>
    <w:rsid w:val="00A47135"/>
    <w:rsid w:val="00A61B4D"/>
    <w:rsid w:val="00A71167"/>
    <w:rsid w:val="00A72201"/>
    <w:rsid w:val="00A74192"/>
    <w:rsid w:val="00A75B84"/>
    <w:rsid w:val="00A770BF"/>
    <w:rsid w:val="00A77278"/>
    <w:rsid w:val="00A80123"/>
    <w:rsid w:val="00A80305"/>
    <w:rsid w:val="00A80F95"/>
    <w:rsid w:val="00A8429E"/>
    <w:rsid w:val="00A868CB"/>
    <w:rsid w:val="00A925F3"/>
    <w:rsid w:val="00A96364"/>
    <w:rsid w:val="00A97244"/>
    <w:rsid w:val="00A97BF1"/>
    <w:rsid w:val="00AA298A"/>
    <w:rsid w:val="00AA3AA8"/>
    <w:rsid w:val="00AB4795"/>
    <w:rsid w:val="00AB517B"/>
    <w:rsid w:val="00AB6748"/>
    <w:rsid w:val="00AB6BD2"/>
    <w:rsid w:val="00AC107C"/>
    <w:rsid w:val="00AC164A"/>
    <w:rsid w:val="00AC3944"/>
    <w:rsid w:val="00AC551D"/>
    <w:rsid w:val="00AD19F7"/>
    <w:rsid w:val="00AD2C2E"/>
    <w:rsid w:val="00AE1293"/>
    <w:rsid w:val="00AE29BD"/>
    <w:rsid w:val="00AE2B7B"/>
    <w:rsid w:val="00AE448A"/>
    <w:rsid w:val="00AE74DA"/>
    <w:rsid w:val="00AF18F4"/>
    <w:rsid w:val="00AF2050"/>
    <w:rsid w:val="00AF2FD3"/>
    <w:rsid w:val="00AF7ECC"/>
    <w:rsid w:val="00B00BF4"/>
    <w:rsid w:val="00B02B2A"/>
    <w:rsid w:val="00B03CA8"/>
    <w:rsid w:val="00B05B87"/>
    <w:rsid w:val="00B06B01"/>
    <w:rsid w:val="00B12FFD"/>
    <w:rsid w:val="00B16EF6"/>
    <w:rsid w:val="00B2008F"/>
    <w:rsid w:val="00B210D3"/>
    <w:rsid w:val="00B22F0E"/>
    <w:rsid w:val="00B249EC"/>
    <w:rsid w:val="00B30546"/>
    <w:rsid w:val="00B3164E"/>
    <w:rsid w:val="00B33C0A"/>
    <w:rsid w:val="00B34763"/>
    <w:rsid w:val="00B36CC7"/>
    <w:rsid w:val="00B401AF"/>
    <w:rsid w:val="00B50ED0"/>
    <w:rsid w:val="00B51C2F"/>
    <w:rsid w:val="00B55E19"/>
    <w:rsid w:val="00B56E71"/>
    <w:rsid w:val="00B579A6"/>
    <w:rsid w:val="00B71AD8"/>
    <w:rsid w:val="00B84B3C"/>
    <w:rsid w:val="00B857E1"/>
    <w:rsid w:val="00B8599B"/>
    <w:rsid w:val="00B86990"/>
    <w:rsid w:val="00B91FE7"/>
    <w:rsid w:val="00B929BE"/>
    <w:rsid w:val="00B94758"/>
    <w:rsid w:val="00B95BF0"/>
    <w:rsid w:val="00BA1B89"/>
    <w:rsid w:val="00BA4B6D"/>
    <w:rsid w:val="00BB26C5"/>
    <w:rsid w:val="00BB2F84"/>
    <w:rsid w:val="00BB3FD0"/>
    <w:rsid w:val="00BC1FED"/>
    <w:rsid w:val="00BC436C"/>
    <w:rsid w:val="00BC5BBF"/>
    <w:rsid w:val="00BD6304"/>
    <w:rsid w:val="00BD710C"/>
    <w:rsid w:val="00BE12B6"/>
    <w:rsid w:val="00BE3293"/>
    <w:rsid w:val="00BE69B2"/>
    <w:rsid w:val="00BE6F5F"/>
    <w:rsid w:val="00BF1579"/>
    <w:rsid w:val="00BF4DE6"/>
    <w:rsid w:val="00BF6703"/>
    <w:rsid w:val="00C06B13"/>
    <w:rsid w:val="00C16A47"/>
    <w:rsid w:val="00C27D25"/>
    <w:rsid w:val="00C31A16"/>
    <w:rsid w:val="00C32FCB"/>
    <w:rsid w:val="00C33CBD"/>
    <w:rsid w:val="00C35791"/>
    <w:rsid w:val="00C37697"/>
    <w:rsid w:val="00C42541"/>
    <w:rsid w:val="00C42CDE"/>
    <w:rsid w:val="00C45941"/>
    <w:rsid w:val="00C46147"/>
    <w:rsid w:val="00C50B58"/>
    <w:rsid w:val="00C5182A"/>
    <w:rsid w:val="00C52463"/>
    <w:rsid w:val="00C52B3D"/>
    <w:rsid w:val="00C55983"/>
    <w:rsid w:val="00C601C6"/>
    <w:rsid w:val="00C61649"/>
    <w:rsid w:val="00C63EE9"/>
    <w:rsid w:val="00C71ED1"/>
    <w:rsid w:val="00C7398E"/>
    <w:rsid w:val="00C80F99"/>
    <w:rsid w:val="00C83F4E"/>
    <w:rsid w:val="00C84C30"/>
    <w:rsid w:val="00C87B9B"/>
    <w:rsid w:val="00C908C7"/>
    <w:rsid w:val="00C92805"/>
    <w:rsid w:val="00C97877"/>
    <w:rsid w:val="00CA008E"/>
    <w:rsid w:val="00CA16F3"/>
    <w:rsid w:val="00CA3403"/>
    <w:rsid w:val="00CA37B1"/>
    <w:rsid w:val="00CA3FD8"/>
    <w:rsid w:val="00CA5021"/>
    <w:rsid w:val="00CB1488"/>
    <w:rsid w:val="00CB1959"/>
    <w:rsid w:val="00CB40BD"/>
    <w:rsid w:val="00CB70B6"/>
    <w:rsid w:val="00CC1D45"/>
    <w:rsid w:val="00CC3E06"/>
    <w:rsid w:val="00CC741B"/>
    <w:rsid w:val="00CD0E4B"/>
    <w:rsid w:val="00CD3F5D"/>
    <w:rsid w:val="00CD4AD4"/>
    <w:rsid w:val="00CE4C89"/>
    <w:rsid w:val="00CE743C"/>
    <w:rsid w:val="00CF07BA"/>
    <w:rsid w:val="00CF21A3"/>
    <w:rsid w:val="00CF270F"/>
    <w:rsid w:val="00D0296C"/>
    <w:rsid w:val="00D03AFB"/>
    <w:rsid w:val="00D05E55"/>
    <w:rsid w:val="00D07413"/>
    <w:rsid w:val="00D1231A"/>
    <w:rsid w:val="00D14377"/>
    <w:rsid w:val="00D17AD5"/>
    <w:rsid w:val="00D20A30"/>
    <w:rsid w:val="00D20BC7"/>
    <w:rsid w:val="00D2641E"/>
    <w:rsid w:val="00D3170B"/>
    <w:rsid w:val="00D32D6F"/>
    <w:rsid w:val="00D34D5D"/>
    <w:rsid w:val="00D35C21"/>
    <w:rsid w:val="00D361F5"/>
    <w:rsid w:val="00D37B04"/>
    <w:rsid w:val="00D41493"/>
    <w:rsid w:val="00D45555"/>
    <w:rsid w:val="00D4628C"/>
    <w:rsid w:val="00D479B5"/>
    <w:rsid w:val="00D51314"/>
    <w:rsid w:val="00D540C6"/>
    <w:rsid w:val="00D64BD1"/>
    <w:rsid w:val="00D65EDE"/>
    <w:rsid w:val="00D71F34"/>
    <w:rsid w:val="00D7310B"/>
    <w:rsid w:val="00D7681A"/>
    <w:rsid w:val="00D81BAF"/>
    <w:rsid w:val="00D836E1"/>
    <w:rsid w:val="00D84B12"/>
    <w:rsid w:val="00D85F0B"/>
    <w:rsid w:val="00D90B37"/>
    <w:rsid w:val="00D92254"/>
    <w:rsid w:val="00D924D3"/>
    <w:rsid w:val="00DA1B52"/>
    <w:rsid w:val="00DB2D17"/>
    <w:rsid w:val="00DB3CFA"/>
    <w:rsid w:val="00DB6468"/>
    <w:rsid w:val="00DC0996"/>
    <w:rsid w:val="00DC238C"/>
    <w:rsid w:val="00DC5535"/>
    <w:rsid w:val="00DC6D78"/>
    <w:rsid w:val="00DD20B9"/>
    <w:rsid w:val="00DD34C8"/>
    <w:rsid w:val="00DD3E88"/>
    <w:rsid w:val="00DE084C"/>
    <w:rsid w:val="00DE4C3E"/>
    <w:rsid w:val="00DF2254"/>
    <w:rsid w:val="00DF3785"/>
    <w:rsid w:val="00DF68CF"/>
    <w:rsid w:val="00E0497E"/>
    <w:rsid w:val="00E055AB"/>
    <w:rsid w:val="00E14F51"/>
    <w:rsid w:val="00E15A6C"/>
    <w:rsid w:val="00E1666D"/>
    <w:rsid w:val="00E16B56"/>
    <w:rsid w:val="00E221FA"/>
    <w:rsid w:val="00E2562A"/>
    <w:rsid w:val="00E3076E"/>
    <w:rsid w:val="00E357B7"/>
    <w:rsid w:val="00E35BB1"/>
    <w:rsid w:val="00E410F8"/>
    <w:rsid w:val="00E42990"/>
    <w:rsid w:val="00E42E50"/>
    <w:rsid w:val="00E4584F"/>
    <w:rsid w:val="00E532A8"/>
    <w:rsid w:val="00E53800"/>
    <w:rsid w:val="00E53EAF"/>
    <w:rsid w:val="00E6081F"/>
    <w:rsid w:val="00E614AA"/>
    <w:rsid w:val="00E624EC"/>
    <w:rsid w:val="00E70C37"/>
    <w:rsid w:val="00E824C7"/>
    <w:rsid w:val="00E8296D"/>
    <w:rsid w:val="00E8457B"/>
    <w:rsid w:val="00E9110A"/>
    <w:rsid w:val="00E944AA"/>
    <w:rsid w:val="00EA04B2"/>
    <w:rsid w:val="00EA20F3"/>
    <w:rsid w:val="00EA36D9"/>
    <w:rsid w:val="00EB2CF6"/>
    <w:rsid w:val="00EB310D"/>
    <w:rsid w:val="00EC25B3"/>
    <w:rsid w:val="00EC608A"/>
    <w:rsid w:val="00EC6D38"/>
    <w:rsid w:val="00ED2831"/>
    <w:rsid w:val="00ED3B2D"/>
    <w:rsid w:val="00ED43D1"/>
    <w:rsid w:val="00EE0466"/>
    <w:rsid w:val="00EE1CFF"/>
    <w:rsid w:val="00EE2182"/>
    <w:rsid w:val="00EE3F6B"/>
    <w:rsid w:val="00EE4EE1"/>
    <w:rsid w:val="00EF4574"/>
    <w:rsid w:val="00F01921"/>
    <w:rsid w:val="00F13373"/>
    <w:rsid w:val="00F22119"/>
    <w:rsid w:val="00F258BF"/>
    <w:rsid w:val="00F25A93"/>
    <w:rsid w:val="00F2684E"/>
    <w:rsid w:val="00F27235"/>
    <w:rsid w:val="00F32F70"/>
    <w:rsid w:val="00F45486"/>
    <w:rsid w:val="00F47942"/>
    <w:rsid w:val="00F53309"/>
    <w:rsid w:val="00F53E91"/>
    <w:rsid w:val="00F5404C"/>
    <w:rsid w:val="00F55791"/>
    <w:rsid w:val="00F650C7"/>
    <w:rsid w:val="00F67C6A"/>
    <w:rsid w:val="00F70504"/>
    <w:rsid w:val="00F729EF"/>
    <w:rsid w:val="00F746B7"/>
    <w:rsid w:val="00F760AE"/>
    <w:rsid w:val="00F77CAE"/>
    <w:rsid w:val="00F81D70"/>
    <w:rsid w:val="00F82271"/>
    <w:rsid w:val="00F83428"/>
    <w:rsid w:val="00F875A8"/>
    <w:rsid w:val="00F90B17"/>
    <w:rsid w:val="00F96BB9"/>
    <w:rsid w:val="00FA0E6F"/>
    <w:rsid w:val="00FA4D1A"/>
    <w:rsid w:val="00FA5EFD"/>
    <w:rsid w:val="00FC1216"/>
    <w:rsid w:val="00FC5365"/>
    <w:rsid w:val="00FD1850"/>
    <w:rsid w:val="00FD710F"/>
    <w:rsid w:val="00FE05BE"/>
    <w:rsid w:val="00FE6D51"/>
    <w:rsid w:val="00FE6F2A"/>
    <w:rsid w:val="00FF3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8A6BB7"/>
    <w:pPr>
      <w:outlineLvl w:val="2"/>
    </w:pPr>
    <w:rPr>
      <w:bCs/>
      <w:i/>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8A6BB7"/>
    <w:rPr>
      <w:rFonts w:asciiTheme="majorHAnsi" w:eastAsiaTheme="majorEastAsia" w:hAnsiTheme="majorHAnsi" w:cstheme="majorBidi"/>
      <w:b/>
      <w:bCs/>
      <w:i/>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customStyle="1" w:styleId="Default">
    <w:name w:val="Default"/>
    <w:rsid w:val="00D35C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31504834">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10203</Characters>
  <Application>Microsoft Office Word</Application>
  <DocSecurity>0</DocSecurity>
  <Lines>199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Palestinian Territories Development Program Progress Report</dc:title>
  <dc:subject/>
  <dc:creator/>
  <cp:keywords/>
  <cp:lastModifiedBy/>
  <cp:revision>1</cp:revision>
  <dcterms:created xsi:type="dcterms:W3CDTF">2021-11-24T05:19:00Z</dcterms:created>
  <dcterms:modified xsi:type="dcterms:W3CDTF">2021-11-24T05:19:00Z</dcterms:modified>
  <cp:category/>
</cp:coreProperties>
</file>