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0DDB3" w14:textId="664783AB" w:rsidR="00FA5EFD" w:rsidRDefault="00E36C28" w:rsidP="00E91864">
      <w:pPr>
        <w:pStyle w:val="Heading1"/>
        <w:rPr>
          <w:caps w:val="0"/>
          <w:sz w:val="36"/>
          <w:szCs w:val="24"/>
        </w:rPr>
      </w:pPr>
      <w:r w:rsidRPr="002E500A">
        <w:rPr>
          <w:caps w:val="0"/>
          <w:sz w:val="36"/>
          <w:szCs w:val="24"/>
        </w:rPr>
        <w:t xml:space="preserve">2020-21 </w:t>
      </w:r>
      <w:r>
        <w:rPr>
          <w:caps w:val="0"/>
          <w:sz w:val="36"/>
          <w:szCs w:val="24"/>
        </w:rPr>
        <w:t>PHILIPPINES</w:t>
      </w:r>
      <w:r w:rsidRPr="002E500A">
        <w:rPr>
          <w:caps w:val="0"/>
          <w:sz w:val="36"/>
          <w:szCs w:val="24"/>
        </w:rPr>
        <w:t xml:space="preserve"> D</w:t>
      </w:r>
      <w:r>
        <w:rPr>
          <w:caps w:val="0"/>
          <w:sz w:val="36"/>
          <w:szCs w:val="24"/>
        </w:rPr>
        <w:t>EVELOPMENT</w:t>
      </w:r>
      <w:r w:rsidRPr="002E500A">
        <w:rPr>
          <w:caps w:val="0"/>
          <w:sz w:val="36"/>
          <w:szCs w:val="24"/>
        </w:rPr>
        <w:t xml:space="preserve"> P</w:t>
      </w:r>
      <w:r>
        <w:rPr>
          <w:caps w:val="0"/>
          <w:sz w:val="36"/>
          <w:szCs w:val="24"/>
        </w:rPr>
        <w:t xml:space="preserve">ROGRAM </w:t>
      </w:r>
      <w:r w:rsidRPr="002E500A">
        <w:rPr>
          <w:caps w:val="0"/>
          <w:sz w:val="36"/>
          <w:szCs w:val="24"/>
        </w:rPr>
        <w:t>P</w:t>
      </w:r>
      <w:r>
        <w:rPr>
          <w:caps w:val="0"/>
          <w:sz w:val="36"/>
          <w:szCs w:val="24"/>
        </w:rPr>
        <w:t>ROGRESS</w:t>
      </w:r>
      <w:r w:rsidRPr="002E500A">
        <w:rPr>
          <w:caps w:val="0"/>
          <w:sz w:val="36"/>
          <w:szCs w:val="24"/>
        </w:rPr>
        <w:t xml:space="preserve"> R</w:t>
      </w:r>
      <w:r>
        <w:rPr>
          <w:caps w:val="0"/>
          <w:sz w:val="36"/>
          <w:szCs w:val="24"/>
        </w:rPr>
        <w:t>EPORT</w:t>
      </w:r>
    </w:p>
    <w:p w14:paraId="172CADCF" w14:textId="620A69B9" w:rsidR="000E0517" w:rsidRDefault="00982834" w:rsidP="00D4760E">
      <w:pPr>
        <w:rPr>
          <w:noProof/>
        </w:rPr>
      </w:pPr>
      <w:r w:rsidRPr="00982834">
        <w:rPr>
          <w:noProof/>
        </w:rPr>
        <w:drawing>
          <wp:inline distT="0" distB="0" distL="0" distR="0" wp14:anchorId="585B3814" wp14:editId="0FAC1AF1">
            <wp:extent cx="6696710" cy="2711450"/>
            <wp:effectExtent l="0" t="0" r="8890" b="0"/>
            <wp:docPr id="1" name="Picture 1" descr="2020-21 Budget estimate. Total ODA $84.1 million. Bilateral program budget $63.4 million. Regional program budget $9.4 million. Global program budget $5.2 million. Other government departments budget $2.1 million. Temporary, targeted and supplementary measures $4.1 million.&#10;Our development program to the Philippines contributes towards achieving the following Sustainable Development Goals: 1,3,4,5,6,8,9,10,13,16 and 1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2020-21 Budget estimate. Total ODA $84.1 million. Bilateral program budget $63.4 million. Regional program budget $9.4 million. Global program budget $5.2 million. Other government departments budget $2.1 million. Temporary, targeted and supplementary measures $4.1 million.&#10;Our development program to the Philippines contributes towards achieving the following Sustainable Development Goals: 1,3,4,5,6,8,9,10,13,16 and 17.&#10;"/>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8011"/>
                    <a:stretch/>
                  </pic:blipFill>
                  <pic:spPr bwMode="auto">
                    <a:xfrm>
                      <a:off x="0" y="0"/>
                      <a:ext cx="6696710" cy="2711450"/>
                    </a:xfrm>
                    <a:prstGeom prst="rect">
                      <a:avLst/>
                    </a:prstGeom>
                    <a:noFill/>
                    <a:ln>
                      <a:noFill/>
                    </a:ln>
                    <a:extLst>
                      <a:ext uri="{53640926-AAD7-44D8-BBD7-CCE9431645EC}">
                        <a14:shadowObscured xmlns:a14="http://schemas.microsoft.com/office/drawing/2010/main"/>
                      </a:ext>
                    </a:extLst>
                  </pic:spPr>
                </pic:pic>
              </a:graphicData>
            </a:graphic>
          </wp:inline>
        </w:drawing>
      </w:r>
    </w:p>
    <w:p w14:paraId="12F182A4" w14:textId="749FB7FF" w:rsidR="00C84C30" w:rsidRPr="00297FD1" w:rsidRDefault="00C84C30" w:rsidP="00710866">
      <w:pPr>
        <w:pStyle w:val="Heading2"/>
      </w:pPr>
      <w:r w:rsidRPr="00246C03">
        <w:t xml:space="preserve">CONTEXT </w:t>
      </w:r>
    </w:p>
    <w:p w14:paraId="5D9B78F6" w14:textId="43CCCD77" w:rsidR="000F6712" w:rsidRDefault="000F6712" w:rsidP="00BC38E4">
      <w:pPr>
        <w:widowControl w:val="0"/>
        <w:spacing w:before="0" w:after="0" w:line="240" w:lineRule="auto"/>
      </w:pPr>
      <w:r>
        <w:t xml:space="preserve">Australia’s COVID-19 response is focused on supporting </w:t>
      </w:r>
      <w:r w:rsidRPr="00431E57">
        <w:t>the Philippine</w:t>
      </w:r>
      <w:r>
        <w:t>s</w:t>
      </w:r>
      <w:r w:rsidRPr="00431E57">
        <w:t xml:space="preserve"> to manage and recover from COVID-19. </w:t>
      </w:r>
      <w:r>
        <w:t>Using l</w:t>
      </w:r>
      <w:r w:rsidRPr="00AF6847">
        <w:t>ongstanding partnerships</w:t>
      </w:r>
      <w:r>
        <w:t>,</w:t>
      </w:r>
      <w:r w:rsidRPr="00AF6847">
        <w:t xml:space="preserve"> </w:t>
      </w:r>
      <w:r>
        <w:t xml:space="preserve">we were able </w:t>
      </w:r>
      <w:r w:rsidRPr="00AF6847">
        <w:t>to rapidly address immediate health needs, mitigate</w:t>
      </w:r>
      <w:r>
        <w:t xml:space="preserve"> some of the</w:t>
      </w:r>
      <w:r w:rsidRPr="00AF6847">
        <w:t xml:space="preserve"> impact of the pandemic on vulnerable groups, and boost economic recovery efforts of the private sector. </w:t>
      </w:r>
      <w:r>
        <w:t>As we celebrate the 75</w:t>
      </w:r>
      <w:r w:rsidR="00995A7C" w:rsidRPr="00995A7C">
        <w:rPr>
          <w:vertAlign w:val="superscript"/>
        </w:rPr>
        <w:t>th</w:t>
      </w:r>
      <w:r w:rsidR="00995A7C">
        <w:t xml:space="preserve"> </w:t>
      </w:r>
      <w:r>
        <w:t>anniversary of the establishment of bilateral diplomatic relations between Australia and the Philippines in 2021, our assistance has served to reinforce our role as a good friend and reliable partner to the Philippines during a time of need.</w:t>
      </w:r>
    </w:p>
    <w:p w14:paraId="307C5008" w14:textId="4CCD43C6" w:rsidR="000F6712" w:rsidRDefault="000F6712" w:rsidP="000F6712">
      <w:pPr>
        <w:widowControl w:val="0"/>
        <w:spacing w:before="60" w:after="120" w:line="260" w:lineRule="exact"/>
      </w:pPr>
      <w:r>
        <w:t xml:space="preserve">The COVID-19 pandemic has had a significant impact on the Philippines. </w:t>
      </w:r>
      <w:r w:rsidRPr="00A32117">
        <w:rPr>
          <w:b/>
          <w:bCs/>
        </w:rPr>
        <w:t>The Philippines experienced the second highest numbers of COVID-19 cases in Southeast Asia, with over 2 million cases by September 2021</w:t>
      </w:r>
      <w:r>
        <w:t xml:space="preserve">. Disadvantage and poverty have increased. Estimated national poverty rates increased from 16.7 per cent in 2018 to 21.0 per cent in 2020, even with special government welfare payments. </w:t>
      </w:r>
      <w:r w:rsidRPr="00FE6515">
        <w:t xml:space="preserve">Women and </w:t>
      </w:r>
      <w:r>
        <w:t>children</w:t>
      </w:r>
      <w:r w:rsidRPr="00FE6515">
        <w:t xml:space="preserve"> have been disproportionately disadvantaged by the impacts of COVID-19</w:t>
      </w:r>
      <w:r>
        <w:t>, including through increased caregiving workloads due to school closures, and negative impacts on women’s participation in the workforce</w:t>
      </w:r>
      <w:r w:rsidRPr="00FE6515">
        <w:t>.</w:t>
      </w:r>
    </w:p>
    <w:p w14:paraId="0DE3B0DB" w14:textId="207ED063" w:rsidR="002B200D" w:rsidRDefault="000F6712" w:rsidP="000F6712">
      <w:pPr>
        <w:widowControl w:val="0"/>
        <w:spacing w:before="60" w:after="120" w:line="260" w:lineRule="exact"/>
      </w:pPr>
      <w:r w:rsidRPr="00A32117">
        <w:rPr>
          <w:b/>
          <w:bCs/>
        </w:rPr>
        <w:t>The pandemic has severely strained Philippines’ health and education systems</w:t>
      </w:r>
      <w:r w:rsidRPr="00FE6515">
        <w:t>.</w:t>
      </w:r>
      <w:r>
        <w:t xml:space="preserve"> With</w:t>
      </w:r>
      <w:r w:rsidRPr="00FE6515">
        <w:t xml:space="preserve"> schools</w:t>
      </w:r>
      <w:r>
        <w:t>,</w:t>
      </w:r>
      <w:r w:rsidRPr="00FE6515">
        <w:t xml:space="preserve"> universities </w:t>
      </w:r>
      <w:r>
        <w:t xml:space="preserve">and training institutions </w:t>
      </w:r>
      <w:r w:rsidRPr="00FE6515">
        <w:t>closed</w:t>
      </w:r>
      <w:r>
        <w:t xml:space="preserve"> for face-to-face classes since March 2020,</w:t>
      </w:r>
      <w:r w:rsidRPr="00FE6515">
        <w:t xml:space="preserve"> </w:t>
      </w:r>
      <w:r>
        <w:t xml:space="preserve">learning shifted to remote modalities. However, a majority do not have access to online learning options and home-schooling has placed great burdens on households, with some women leaving the workforce to supervise their children’s learning. Combined with an increase in unemployment, and job losses in the informal sector, the pandemic has highlighted </w:t>
      </w:r>
      <w:r w:rsidRPr="00FE6515">
        <w:t xml:space="preserve">the need </w:t>
      </w:r>
      <w:r>
        <w:t>to</w:t>
      </w:r>
      <w:r w:rsidRPr="00FE6515">
        <w:t xml:space="preserve"> </w:t>
      </w:r>
      <w:r>
        <w:t xml:space="preserve">improve workforce skills </w:t>
      </w:r>
      <w:r w:rsidRPr="00FE6515">
        <w:t>and</w:t>
      </w:r>
      <w:r>
        <w:t xml:space="preserve"> equip </w:t>
      </w:r>
      <w:r w:rsidRPr="00FE6515">
        <w:t>semi- and low-skilled workers</w:t>
      </w:r>
      <w:r>
        <w:t xml:space="preserve"> for a more digitalised and automated future</w:t>
      </w:r>
      <w:r w:rsidRPr="00FE6515">
        <w:t xml:space="preserve">. </w:t>
      </w:r>
    </w:p>
    <w:p w14:paraId="14AFAE45" w14:textId="0B39171D" w:rsidR="00BC38E4" w:rsidRDefault="000F6712" w:rsidP="000F6712">
      <w:pPr>
        <w:widowControl w:val="0"/>
        <w:spacing w:before="60" w:after="120" w:line="260" w:lineRule="exact"/>
        <w:rPr>
          <w:b/>
          <w:bCs/>
        </w:rPr>
      </w:pPr>
      <w:r>
        <w:t xml:space="preserve">From 2015-19, the Philippines made significant gains in reducing poverty and creating employment. </w:t>
      </w:r>
      <w:r w:rsidRPr="00A47A63">
        <w:rPr>
          <w:b/>
          <w:bCs/>
        </w:rPr>
        <w:t xml:space="preserve">But the pandemic has reversed this trend, reflected in significant negative </w:t>
      </w:r>
      <w:r w:rsidR="008245DC">
        <w:rPr>
          <w:b/>
          <w:bCs/>
        </w:rPr>
        <w:t xml:space="preserve">economic </w:t>
      </w:r>
      <w:r w:rsidRPr="00A47A63">
        <w:rPr>
          <w:b/>
          <w:bCs/>
        </w:rPr>
        <w:t>growth in 2020 (</w:t>
      </w:r>
      <w:r w:rsidR="00995A7C" w:rsidRPr="00995A7C">
        <w:t>-</w:t>
      </w:r>
      <w:r w:rsidRPr="00A47A63">
        <w:rPr>
          <w:b/>
          <w:bCs/>
        </w:rPr>
        <w:t>9.</w:t>
      </w:r>
      <w:r w:rsidR="00A83A24">
        <w:rPr>
          <w:b/>
          <w:bCs/>
        </w:rPr>
        <w:t>6</w:t>
      </w:r>
      <w:r w:rsidRPr="00A47A63">
        <w:rPr>
          <w:b/>
          <w:bCs/>
        </w:rPr>
        <w:t xml:space="preserve"> per cent GDP</w:t>
      </w:r>
      <w:r w:rsidRPr="00A32117">
        <w:rPr>
          <w:b/>
          <w:bCs/>
        </w:rPr>
        <w:t>)</w:t>
      </w:r>
      <w:r>
        <w:t xml:space="preserve">. </w:t>
      </w:r>
      <w:r w:rsidR="00A83A24">
        <w:t xml:space="preserve">The </w:t>
      </w:r>
      <w:r w:rsidR="00253D5F">
        <w:t>Asian Development Bank</w:t>
      </w:r>
      <w:r w:rsidR="00A83A24">
        <w:t xml:space="preserve"> forecasts economic growth of 4.5 per cent in 2021. </w:t>
      </w:r>
      <w:r>
        <w:t>Record surges in COVID-19 cases in September 2021, and reduced household consumption indicate a slower and less inclusive economic recovery ahead. The Philippines expos</w:t>
      </w:r>
      <w:r w:rsidR="007B036E">
        <w:t>ure</w:t>
      </w:r>
      <w:r>
        <w:t xml:space="preserve"> to a wide range of natural hazards </w:t>
      </w:r>
      <w:r w:rsidR="005F5E43">
        <w:t xml:space="preserve">and </w:t>
      </w:r>
      <w:r>
        <w:t>disasters each year adversely affect economic growth, push greater numbers into poverty, and place vulnerable communities in a constant state of recovery. It is estimated that disasters cost the</w:t>
      </w:r>
      <w:r w:rsidRPr="000F3910">
        <w:t xml:space="preserve"> Philippine</w:t>
      </w:r>
      <w:r>
        <w:t xml:space="preserve"> economy</w:t>
      </w:r>
      <w:r w:rsidRPr="000F3910">
        <w:t xml:space="preserve"> almost US20 billion</w:t>
      </w:r>
      <w:r>
        <w:t xml:space="preserve"> (</w:t>
      </w:r>
      <w:r w:rsidRPr="000F3910">
        <w:t>PHP1 trillion) during the last decade (2010–2019).</w:t>
      </w:r>
    </w:p>
    <w:p w14:paraId="7BB88D06" w14:textId="1CDAC7B8" w:rsidR="000F6712" w:rsidRDefault="00314919" w:rsidP="000F6712">
      <w:pPr>
        <w:widowControl w:val="0"/>
        <w:spacing w:before="60" w:after="120" w:line="260" w:lineRule="exact"/>
      </w:pPr>
      <w:r>
        <w:rPr>
          <w:b/>
          <w:bCs/>
        </w:rPr>
        <w:t>T</w:t>
      </w:r>
      <w:r w:rsidR="000F6712" w:rsidRPr="00A32117">
        <w:rPr>
          <w:b/>
          <w:bCs/>
        </w:rPr>
        <w:t>he Bangsamoro Autonomous Region in Muslim Mindanao’s (BARMM) conflict-affected population continue</w:t>
      </w:r>
      <w:r w:rsidR="005F5E43">
        <w:rPr>
          <w:b/>
          <w:bCs/>
        </w:rPr>
        <w:t>d</w:t>
      </w:r>
      <w:r w:rsidR="000F6712" w:rsidRPr="00A32117">
        <w:rPr>
          <w:b/>
          <w:bCs/>
        </w:rPr>
        <w:t xml:space="preserve"> to be especially </w:t>
      </w:r>
      <w:proofErr w:type="gramStart"/>
      <w:r w:rsidR="000F6712" w:rsidRPr="00A32117">
        <w:rPr>
          <w:b/>
          <w:bCs/>
        </w:rPr>
        <w:t>vulnerable</w:t>
      </w:r>
      <w:proofErr w:type="gramEnd"/>
      <w:r w:rsidR="000F6712">
        <w:t xml:space="preserve"> </w:t>
      </w:r>
      <w:r w:rsidR="005F5E43">
        <w:t>and</w:t>
      </w:r>
      <w:r>
        <w:t xml:space="preserve"> </w:t>
      </w:r>
      <w:r w:rsidR="000F6712">
        <w:t xml:space="preserve">the pandemic has worsened the situation. Before COVID-19, over 61 per cent of people in the BARMM lived in poverty (2018). Frequent </w:t>
      </w:r>
      <w:r w:rsidR="000F6712" w:rsidRPr="00685B52">
        <w:t xml:space="preserve">disasters and </w:t>
      </w:r>
      <w:r w:rsidR="000F6712">
        <w:t>flare-ups of violence</w:t>
      </w:r>
      <w:r w:rsidR="000F6712" w:rsidRPr="00685B52">
        <w:t xml:space="preserve"> regularly caus</w:t>
      </w:r>
      <w:r w:rsidR="000F6712">
        <w:t>e disruption, including</w:t>
      </w:r>
      <w:r w:rsidR="000F6712" w:rsidRPr="00685B52">
        <w:t xml:space="preserve"> mass displacement</w:t>
      </w:r>
      <w:r w:rsidR="000F6712">
        <w:t>, and limit the ability to reach isolated communities, including indigenous populations.</w:t>
      </w:r>
    </w:p>
    <w:p w14:paraId="7207150A" w14:textId="1C3B8933" w:rsidR="000F6712" w:rsidRDefault="000F6712" w:rsidP="000F6712">
      <w:pPr>
        <w:pStyle w:val="Heading2"/>
      </w:pPr>
      <w:r w:rsidRPr="006E5AE4">
        <w:lastRenderedPageBreak/>
        <w:t>AUSTRALIA’S RESPONSE and PROGRAM HIGHLIGHTS</w:t>
      </w:r>
    </w:p>
    <w:p w14:paraId="10805B5F" w14:textId="3BF5E35F" w:rsidR="009E1928" w:rsidRDefault="009B0B40" w:rsidP="009E1928">
      <w:pPr>
        <w:spacing w:before="0"/>
      </w:pPr>
      <w:r w:rsidRPr="2C54E8EB">
        <w:rPr>
          <w:rFonts w:ascii="Calibri Light" w:eastAsia="Calibri Light" w:hAnsi="Calibri Light" w:cs="Calibri Light"/>
        </w:rPr>
        <w:t xml:space="preserve">Australia's development program continues to align with government priorities and deliver across the pillars of the </w:t>
      </w:r>
      <w:r w:rsidRPr="2C54E8EB">
        <w:rPr>
          <w:rFonts w:ascii="Calibri Light" w:eastAsia="Calibri Light" w:hAnsi="Calibri Light" w:cs="Calibri Light"/>
          <w:i/>
          <w:iCs/>
        </w:rPr>
        <w:t>Partnerships for Recovery</w:t>
      </w:r>
      <w:r w:rsidRPr="2C54E8EB">
        <w:rPr>
          <w:rFonts w:ascii="Calibri Light" w:eastAsia="Calibri Light" w:hAnsi="Calibri Light" w:cs="Calibri Light"/>
        </w:rPr>
        <w:t xml:space="preserve"> framework</w:t>
      </w:r>
      <w:r w:rsidR="009E1928">
        <w:rPr>
          <w:rFonts w:ascii="Calibri Light" w:eastAsia="Calibri Light" w:hAnsi="Calibri Light" w:cs="Calibri Light"/>
        </w:rPr>
        <w:t xml:space="preserve">. </w:t>
      </w:r>
      <w:r w:rsidR="009E1928">
        <w:t>Despite a difficult operating environment</w:t>
      </w:r>
      <w:r w:rsidR="005F5E43">
        <w:t xml:space="preserve"> </w:t>
      </w:r>
      <w:r w:rsidR="00314919">
        <w:t>in</w:t>
      </w:r>
      <w:r w:rsidR="005F5E43">
        <w:t xml:space="preserve"> the reporting period</w:t>
      </w:r>
      <w:r w:rsidR="009E1928">
        <w:t>, most investments were able to adapt their activities to suit the COVID-19 context, while still making progress towards expected outcomes. In some cases, there is a need for improved performance on gender equality.</w:t>
      </w:r>
    </w:p>
    <w:p w14:paraId="49689368" w14:textId="77777777" w:rsidR="00314919" w:rsidRDefault="00314919" w:rsidP="00B75D84">
      <w:pPr>
        <w:pStyle w:val="Heading3"/>
      </w:pPr>
    </w:p>
    <w:p w14:paraId="2F78FBC0" w14:textId="18EAB553" w:rsidR="00314919" w:rsidRPr="00314919" w:rsidRDefault="000F6712" w:rsidP="00314919">
      <w:pPr>
        <w:pStyle w:val="Heading3"/>
      </w:pPr>
      <w:r w:rsidRPr="00CE532E">
        <w:t>Health Security</w:t>
      </w:r>
    </w:p>
    <w:p w14:paraId="01C355DB" w14:textId="3EF3D133" w:rsidR="000F6712" w:rsidRDefault="000F6712" w:rsidP="000F6712">
      <w:pPr>
        <w:widowControl w:val="0"/>
        <w:spacing w:before="0" w:after="0" w:line="240" w:lineRule="auto"/>
        <w:contextualSpacing/>
      </w:pPr>
      <w:r w:rsidRPr="006E5AE4">
        <w:t>We are bolstering health security by improving capacity to respond to the health needs that have both arisen from and been exacerbated by COVID-19</w:t>
      </w:r>
      <w:r>
        <w:t xml:space="preserve">. For example, </w:t>
      </w:r>
      <w:r w:rsidR="00314919">
        <w:t>in</w:t>
      </w:r>
      <w:r w:rsidR="00775A6F">
        <w:t xml:space="preserve"> the reporting period, </w:t>
      </w:r>
      <w:r w:rsidR="00A47A63">
        <w:t xml:space="preserve">Australia </w:t>
      </w:r>
      <w:r>
        <w:t>b</w:t>
      </w:r>
      <w:r w:rsidRPr="00CD4640">
        <w:t xml:space="preserve">oosted </w:t>
      </w:r>
      <w:r w:rsidRPr="00AF44F0">
        <w:t>the</w:t>
      </w:r>
      <w:r>
        <w:t xml:space="preserve"> </w:t>
      </w:r>
      <w:r w:rsidRPr="00CD4640">
        <w:t xml:space="preserve">Philippine Government’s </w:t>
      </w:r>
      <w:r>
        <w:t xml:space="preserve">pandemic </w:t>
      </w:r>
      <w:r w:rsidRPr="00CD4640">
        <w:t xml:space="preserve">response by </w:t>
      </w:r>
      <w:r w:rsidRPr="00A32117">
        <w:rPr>
          <w:b/>
          <w:bCs/>
        </w:rPr>
        <w:t xml:space="preserve">funding the establishment of the largest COVID-19 testing laboratory in the Philippines </w:t>
      </w:r>
      <w:r w:rsidRPr="00B446DD">
        <w:t>(processed more than 700,000 samples)</w:t>
      </w:r>
      <w:r w:rsidR="00995A7C">
        <w:t>,</w:t>
      </w:r>
      <w:r w:rsidRPr="00A32117">
        <w:rPr>
          <w:b/>
          <w:bCs/>
        </w:rPr>
        <w:t xml:space="preserve"> </w:t>
      </w:r>
      <w:r w:rsidRPr="00A47A63">
        <w:t>and a specialised ambulance used for transporting and referring around 400 COVID</w:t>
      </w:r>
      <w:r w:rsidR="00995A7C">
        <w:t>-19</w:t>
      </w:r>
      <w:r w:rsidRPr="00A47A63">
        <w:t xml:space="preserve"> patients</w:t>
      </w:r>
      <w:r w:rsidRPr="00A32117">
        <w:rPr>
          <w:b/>
          <w:bCs/>
        </w:rPr>
        <w:t xml:space="preserve"> </w:t>
      </w:r>
      <w:r w:rsidRPr="00AF44F0">
        <w:t>in partnership with the Philippine Red Cross</w:t>
      </w:r>
      <w:r>
        <w:t xml:space="preserve">. </w:t>
      </w:r>
      <w:r w:rsidR="007B036E">
        <w:t>D</w:t>
      </w:r>
      <w:r>
        <w:t xml:space="preserve">uring surges in COVID-19 cases, </w:t>
      </w:r>
      <w:r w:rsidR="007B036E">
        <w:t xml:space="preserve">we </w:t>
      </w:r>
      <w:r>
        <w:t>d</w:t>
      </w:r>
      <w:r w:rsidRPr="00CD4640">
        <w:t>eploy</w:t>
      </w:r>
      <w:r>
        <w:t>ed</w:t>
      </w:r>
      <w:r w:rsidRPr="00CD4640">
        <w:t xml:space="preserve"> </w:t>
      </w:r>
      <w:r>
        <w:t>three</w:t>
      </w:r>
      <w:r w:rsidRPr="00CD4640">
        <w:t xml:space="preserve"> emergency maternity tent facilities </w:t>
      </w:r>
      <w:r>
        <w:t>to enable hospitals at full capacity to continue to provide medical</w:t>
      </w:r>
      <w:r w:rsidRPr="00CD4640">
        <w:t xml:space="preserve"> </w:t>
      </w:r>
      <w:r>
        <w:t>and maternal services</w:t>
      </w:r>
      <w:r w:rsidRPr="00CD4640">
        <w:t xml:space="preserve"> </w:t>
      </w:r>
      <w:r>
        <w:t>to</w:t>
      </w:r>
      <w:r w:rsidRPr="00CD4640">
        <w:t xml:space="preserve"> 18,000 </w:t>
      </w:r>
      <w:r>
        <w:t>people</w:t>
      </w:r>
      <w:r w:rsidRPr="00AF44F0">
        <w:t>, in partnership with the United Nations Population Fund</w:t>
      </w:r>
      <w:r>
        <w:t xml:space="preserve">. </w:t>
      </w:r>
    </w:p>
    <w:p w14:paraId="3DC1764B" w14:textId="18BE2AB8" w:rsidR="000F6712" w:rsidRDefault="00314919" w:rsidP="000F6712">
      <w:pPr>
        <w:widowControl w:val="0"/>
        <w:spacing w:before="60" w:after="120" w:line="260" w:lineRule="exact"/>
      </w:pPr>
      <w:r>
        <w:rPr>
          <w:b/>
          <w:bCs/>
        </w:rPr>
        <w:t>In</w:t>
      </w:r>
      <w:r w:rsidR="00775A6F">
        <w:rPr>
          <w:b/>
          <w:bCs/>
        </w:rPr>
        <w:t xml:space="preserve"> the reporting period, w</w:t>
      </w:r>
      <w:r w:rsidR="000F6712" w:rsidRPr="00A32117">
        <w:rPr>
          <w:b/>
          <w:bCs/>
        </w:rPr>
        <w:t xml:space="preserve">e provided $7.52 million in vaccine delivery support through the regional Vaccine Access and Health Security Initiative </w:t>
      </w:r>
      <w:r w:rsidR="007B036E">
        <w:t xml:space="preserve">with our partners, </w:t>
      </w:r>
      <w:r w:rsidR="000F6712" w:rsidRPr="008F50AF">
        <w:t xml:space="preserve">World Health </w:t>
      </w:r>
      <w:proofErr w:type="gramStart"/>
      <w:r w:rsidR="000F6712" w:rsidRPr="008F50AF">
        <w:t>Organisation</w:t>
      </w:r>
      <w:proofErr w:type="gramEnd"/>
      <w:r w:rsidR="000F6712" w:rsidRPr="008F50AF">
        <w:t xml:space="preserve"> and the United Nations International Children’s Emergency Fund, bolstering the Philippines’ vaccine delivery capacity particularly in vulnerable regions</w:t>
      </w:r>
      <w:r w:rsidR="000F6712">
        <w:t xml:space="preserve">. </w:t>
      </w:r>
      <w:r w:rsidR="00A83A24">
        <w:br/>
      </w:r>
      <w:r w:rsidR="000F6712">
        <w:t xml:space="preserve">This </w:t>
      </w:r>
      <w:r w:rsidR="000F6712" w:rsidRPr="008F50AF">
        <w:t>support include</w:t>
      </w:r>
      <w:r w:rsidR="000F6712">
        <w:t>d</w:t>
      </w:r>
      <w:r w:rsidR="000F6712" w:rsidRPr="008F50AF">
        <w:t xml:space="preserve"> </w:t>
      </w:r>
      <w:r w:rsidR="000F6712">
        <w:t xml:space="preserve">the </w:t>
      </w:r>
      <w:r w:rsidR="000F6712" w:rsidRPr="008F50AF">
        <w:t xml:space="preserve">provision of </w:t>
      </w:r>
      <w:r w:rsidR="000F6712">
        <w:t>refrigeration facilities</w:t>
      </w:r>
      <w:r w:rsidR="000F6712" w:rsidRPr="008F50AF">
        <w:t>, enhanc</w:t>
      </w:r>
      <w:r w:rsidR="000F6712">
        <w:t>ed</w:t>
      </w:r>
      <w:r w:rsidR="000F6712" w:rsidRPr="008F50AF">
        <w:t xml:space="preserve"> digital database systems, and public health communications to improve the uptake of vaccines</w:t>
      </w:r>
      <w:r w:rsidR="000F6712">
        <w:t xml:space="preserve">. </w:t>
      </w:r>
      <w:r w:rsidR="000F6712" w:rsidRPr="006B33D9">
        <w:t xml:space="preserve">Australia </w:t>
      </w:r>
      <w:r w:rsidR="000F6712">
        <w:t xml:space="preserve">also </w:t>
      </w:r>
      <w:r w:rsidR="000F6712" w:rsidRPr="006B33D9">
        <w:t xml:space="preserve">invested $130 million in the </w:t>
      </w:r>
      <w:r w:rsidR="00995A7C" w:rsidRPr="00995A7C">
        <w:t xml:space="preserve">COVID-19 Vaccines Global Access </w:t>
      </w:r>
      <w:r w:rsidR="00995A7C">
        <w:t>(</w:t>
      </w:r>
      <w:r w:rsidR="000F6712" w:rsidRPr="006B33D9">
        <w:t>COVAX</w:t>
      </w:r>
      <w:r w:rsidR="00995A7C">
        <w:t>)</w:t>
      </w:r>
      <w:r w:rsidR="000F6712" w:rsidRPr="006B33D9">
        <w:t xml:space="preserve"> Advance Market Commitment to support equitable access to safe and effective COVID-19 vaccines </w:t>
      </w:r>
      <w:r w:rsidR="007B036E">
        <w:t>which</w:t>
      </w:r>
      <w:r w:rsidR="007B036E" w:rsidRPr="006B33D9">
        <w:t xml:space="preserve"> </w:t>
      </w:r>
      <w:r w:rsidR="000F6712" w:rsidRPr="006B33D9">
        <w:t>includes the provision of sufficient vaccines for 30</w:t>
      </w:r>
      <w:r w:rsidR="006A21D2">
        <w:t xml:space="preserve"> per cent</w:t>
      </w:r>
      <w:r w:rsidR="000F6712" w:rsidRPr="006B33D9">
        <w:t xml:space="preserve"> of the Philippine population</w:t>
      </w:r>
      <w:r w:rsidR="000F6712">
        <w:t xml:space="preserve">. </w:t>
      </w:r>
      <w:r w:rsidR="000F6712" w:rsidRPr="009B0B40">
        <w:rPr>
          <w:b/>
          <w:bCs/>
        </w:rPr>
        <w:t>By the end of June 2021, 5,028,210 COVID-19 vaccine doses had been delivered to the Philippines</w:t>
      </w:r>
      <w:r w:rsidR="008245DC">
        <w:rPr>
          <w:b/>
          <w:bCs/>
        </w:rPr>
        <w:t xml:space="preserve"> through COVAX</w:t>
      </w:r>
      <w:r w:rsidR="000F6712">
        <w:t xml:space="preserve">. </w:t>
      </w:r>
    </w:p>
    <w:p w14:paraId="41E3FCE1" w14:textId="7E76BE95" w:rsidR="000F6712" w:rsidRDefault="000F6712" w:rsidP="000F6712">
      <w:pPr>
        <w:widowControl w:val="0"/>
        <w:spacing w:before="60" w:after="120" w:line="260" w:lineRule="exact"/>
      </w:pPr>
      <w:r w:rsidRPr="00B446DD">
        <w:t>We also</w:t>
      </w:r>
      <w:r w:rsidRPr="009B0B40">
        <w:rPr>
          <w:b/>
          <w:bCs/>
        </w:rPr>
        <w:t xml:space="preserve"> boosted the capacity of schools and communities</w:t>
      </w:r>
      <w:r w:rsidRPr="006B33D9">
        <w:t xml:space="preserve"> across the Philippines </w:t>
      </w:r>
      <w:r w:rsidRPr="00B446DD">
        <w:rPr>
          <w:b/>
          <w:bCs/>
        </w:rPr>
        <w:t>to manage infectious disease</w:t>
      </w:r>
      <w:r w:rsidRPr="006B33D9">
        <w:t xml:space="preserve"> outbreaks by promoting proper health and hygiene practices through training, and dissemination of information education and communication materials</w:t>
      </w:r>
      <w:r w:rsidR="00995A7C">
        <w:t xml:space="preserve">. </w:t>
      </w:r>
    </w:p>
    <w:p w14:paraId="2C7A5623" w14:textId="77777777" w:rsidR="00314919" w:rsidRDefault="00314919" w:rsidP="000F6712">
      <w:pPr>
        <w:widowControl w:val="0"/>
        <w:spacing w:before="60" w:after="120" w:line="260" w:lineRule="exact"/>
      </w:pPr>
    </w:p>
    <w:p w14:paraId="747AD1D9" w14:textId="13FCA829" w:rsidR="00314919" w:rsidRPr="00314919" w:rsidRDefault="000F6712" w:rsidP="00314919">
      <w:pPr>
        <w:pStyle w:val="Heading3"/>
      </w:pPr>
      <w:r w:rsidRPr="006E5AE4">
        <w:t>Stability</w:t>
      </w:r>
      <w:bookmarkStart w:id="0" w:name="_Hlk88641018"/>
      <w:r w:rsidR="00314919">
        <w:br/>
      </w:r>
      <w:r w:rsidR="009B0B40" w:rsidRPr="00314919">
        <w:rPr>
          <w:b w:val="0"/>
          <w:bCs w:val="0"/>
          <w:i w:val="0"/>
          <w:iCs/>
        </w:rPr>
        <w:t>Australia is assisting with</w:t>
      </w:r>
      <w:r w:rsidRPr="00314919">
        <w:rPr>
          <w:b w:val="0"/>
          <w:bCs w:val="0"/>
          <w:i w:val="0"/>
          <w:iCs/>
        </w:rPr>
        <w:t xml:space="preserve"> fostering inclusive, cohesive communities and helping mitigate threats to regional security by supporting women and children, including through education programs and th</w:t>
      </w:r>
      <w:r w:rsidR="00775A6F" w:rsidRPr="00314919">
        <w:rPr>
          <w:b w:val="0"/>
          <w:bCs w:val="0"/>
          <w:i w:val="0"/>
          <w:iCs/>
        </w:rPr>
        <w:t>r</w:t>
      </w:r>
      <w:r w:rsidRPr="00314919">
        <w:rPr>
          <w:b w:val="0"/>
          <w:bCs w:val="0"/>
          <w:i w:val="0"/>
          <w:iCs/>
        </w:rPr>
        <w:t xml:space="preserve">ough our peacebuilding efforts in Mindanao. For example, </w:t>
      </w:r>
      <w:r w:rsidR="00314919" w:rsidRPr="00314919">
        <w:rPr>
          <w:b w:val="0"/>
          <w:bCs w:val="0"/>
          <w:i w:val="0"/>
          <w:iCs/>
        </w:rPr>
        <w:t>in</w:t>
      </w:r>
      <w:r w:rsidR="00775A6F" w:rsidRPr="00314919">
        <w:rPr>
          <w:b w:val="0"/>
          <w:bCs w:val="0"/>
          <w:i w:val="0"/>
          <w:iCs/>
        </w:rPr>
        <w:t xml:space="preserve"> the reporting period, </w:t>
      </w:r>
      <w:r w:rsidRPr="00314919">
        <w:rPr>
          <w:b w:val="0"/>
          <w:bCs w:val="0"/>
          <w:i w:val="0"/>
          <w:iCs/>
        </w:rPr>
        <w:t xml:space="preserve">we promoted stability, fostered inclusive, cohesive communities and mitigated threats to regional security through human rights, humanitarian, peacebuilding and counter-terrorism assistance in the BARMM. </w:t>
      </w:r>
    </w:p>
    <w:p w14:paraId="4CC656CB" w14:textId="2913B7B1" w:rsidR="000F6712" w:rsidRPr="00314919" w:rsidRDefault="009B0B40" w:rsidP="00314919">
      <w:pPr>
        <w:widowControl w:val="0"/>
        <w:spacing w:before="60" w:after="120" w:line="260" w:lineRule="exact"/>
      </w:pPr>
      <w:r w:rsidRPr="00314919">
        <w:t>Australia</w:t>
      </w:r>
      <w:r w:rsidR="000F6712" w:rsidRPr="00314919">
        <w:t xml:space="preserve"> </w:t>
      </w:r>
      <w:r w:rsidR="000F6712" w:rsidRPr="00314919">
        <w:rPr>
          <w:b/>
          <w:bCs/>
        </w:rPr>
        <w:t>supported inclusive education in the BARMM</w:t>
      </w:r>
      <w:r w:rsidR="000F6712" w:rsidRPr="00314919">
        <w:t xml:space="preserve"> by ensuring participatory and consultative policymaking processes</w:t>
      </w:r>
      <w:r w:rsidR="007B036E" w:rsidRPr="00314919">
        <w:t xml:space="preserve">; </w:t>
      </w:r>
      <w:r w:rsidR="000F6712" w:rsidRPr="00314919">
        <w:t>piloting inclusive learning materials in villages previously without schools and schools in indigenous communities</w:t>
      </w:r>
      <w:r w:rsidR="007B036E" w:rsidRPr="00314919">
        <w:t>;</w:t>
      </w:r>
      <w:r w:rsidR="000F6712" w:rsidRPr="00314919">
        <w:t xml:space="preserve"> and</w:t>
      </w:r>
      <w:r w:rsidR="007B036E" w:rsidRPr="00314919">
        <w:t>,</w:t>
      </w:r>
      <w:r w:rsidR="000F6712" w:rsidRPr="00314919">
        <w:t xml:space="preserve"> developing alternative learning materials for indigenous learners, since replicated in other BARMM indigenous schools leveraging government funding. We also work</w:t>
      </w:r>
      <w:r w:rsidR="00696EF2" w:rsidRPr="00314919">
        <w:t>ed</w:t>
      </w:r>
      <w:r w:rsidR="000F6712" w:rsidRPr="00314919">
        <w:t xml:space="preserve"> to support governments’ system strengthening. For example, we </w:t>
      </w:r>
      <w:r w:rsidR="000F6712" w:rsidRPr="00314919">
        <w:rPr>
          <w:b/>
          <w:bCs/>
        </w:rPr>
        <w:t>strengthened data management</w:t>
      </w:r>
      <w:r w:rsidR="000F6712" w:rsidRPr="00314919">
        <w:t xml:space="preserve"> in the BARMM Ministry of Social Services and Development by providing technical and material support for information management for the Bangsamoro People Registration Project; and enhanced BARMM Regional Humanitarian and Protection Assistance by updating referral pathways and establishing community help desks addressing violence against women and children. </w:t>
      </w:r>
      <w:r w:rsidR="00314919" w:rsidRPr="00314919">
        <w:t>In</w:t>
      </w:r>
      <w:r w:rsidR="00775A6F" w:rsidRPr="00314919">
        <w:t xml:space="preserve"> the reporting period, w</w:t>
      </w:r>
      <w:r w:rsidR="000F6712" w:rsidRPr="00314919">
        <w:t xml:space="preserve">e also </w:t>
      </w:r>
      <w:r w:rsidR="000F6712" w:rsidRPr="00314919">
        <w:rPr>
          <w:b/>
          <w:bCs/>
        </w:rPr>
        <w:t>supported the delivery of new and improved government social welfare payments to over 2,442,613 people from poor and remote communities.</w:t>
      </w:r>
    </w:p>
    <w:p w14:paraId="6FFC8D9F" w14:textId="2A763B28" w:rsidR="007E2328" w:rsidRDefault="000F6712" w:rsidP="00314919">
      <w:pPr>
        <w:widowControl w:val="0"/>
        <w:spacing w:before="60" w:after="120" w:line="260" w:lineRule="exact"/>
      </w:pPr>
      <w:r w:rsidRPr="00314919">
        <w:t xml:space="preserve">Finally, </w:t>
      </w:r>
      <w:r w:rsidR="009B0B40" w:rsidRPr="00314919">
        <w:t>Australia</w:t>
      </w:r>
      <w:r w:rsidRPr="00314919">
        <w:t xml:space="preserve"> </w:t>
      </w:r>
      <w:r w:rsidRPr="00314919">
        <w:rPr>
          <w:b/>
          <w:bCs/>
        </w:rPr>
        <w:t xml:space="preserve">provided emergency assistance to 289,980 people </w:t>
      </w:r>
      <w:r w:rsidR="00314919" w:rsidRPr="00314919">
        <w:rPr>
          <w:b/>
          <w:bCs/>
        </w:rPr>
        <w:t>in</w:t>
      </w:r>
      <w:r w:rsidR="00775A6F" w:rsidRPr="00314919">
        <w:rPr>
          <w:b/>
          <w:bCs/>
        </w:rPr>
        <w:t xml:space="preserve"> the reporting period, </w:t>
      </w:r>
      <w:r w:rsidRPr="00314919">
        <w:rPr>
          <w:b/>
          <w:bCs/>
        </w:rPr>
        <w:t xml:space="preserve">following typhoons </w:t>
      </w:r>
      <w:proofErr w:type="spellStart"/>
      <w:r w:rsidRPr="00314919">
        <w:rPr>
          <w:b/>
          <w:bCs/>
        </w:rPr>
        <w:t>Vamco</w:t>
      </w:r>
      <w:proofErr w:type="spellEnd"/>
      <w:r w:rsidRPr="00314919">
        <w:rPr>
          <w:b/>
          <w:bCs/>
        </w:rPr>
        <w:t xml:space="preserve">, </w:t>
      </w:r>
      <w:proofErr w:type="spellStart"/>
      <w:r w:rsidRPr="00314919">
        <w:rPr>
          <w:b/>
          <w:bCs/>
        </w:rPr>
        <w:t>Goni</w:t>
      </w:r>
      <w:proofErr w:type="spellEnd"/>
      <w:r w:rsidRPr="00314919">
        <w:rPr>
          <w:b/>
          <w:bCs/>
        </w:rPr>
        <w:t xml:space="preserve"> and those affected by the Marawi conflict.</w:t>
      </w:r>
      <w:r>
        <w:t xml:space="preserve"> </w:t>
      </w:r>
      <w:bookmarkEnd w:id="0"/>
      <w:r w:rsidR="007E2328">
        <w:br w:type="page"/>
      </w:r>
    </w:p>
    <w:p w14:paraId="04030900" w14:textId="77777777" w:rsidR="000F6712" w:rsidRPr="006E5AE4" w:rsidRDefault="000F6712" w:rsidP="00B75D84">
      <w:pPr>
        <w:pStyle w:val="Heading3"/>
      </w:pPr>
      <w:r w:rsidRPr="006E5AE4">
        <w:lastRenderedPageBreak/>
        <w:t>Economic recovery</w:t>
      </w:r>
    </w:p>
    <w:p w14:paraId="037CF8B4" w14:textId="43FF4DDB" w:rsidR="000F6712" w:rsidRDefault="00314919" w:rsidP="000F6712">
      <w:pPr>
        <w:widowControl w:val="0"/>
        <w:spacing w:before="60" w:after="120" w:line="260" w:lineRule="exact"/>
      </w:pPr>
      <w:r>
        <w:t>In</w:t>
      </w:r>
      <w:r w:rsidR="00775A6F">
        <w:t xml:space="preserve"> the reporting period, w</w:t>
      </w:r>
      <w:r w:rsidR="000F6712" w:rsidRPr="006E5AE4">
        <w:t xml:space="preserve">e </w:t>
      </w:r>
      <w:r w:rsidR="009B0B40">
        <w:t>work</w:t>
      </w:r>
      <w:r w:rsidR="00775A6F">
        <w:t>ed</w:t>
      </w:r>
      <w:r w:rsidR="009B0B40">
        <w:t xml:space="preserve"> with the Philippines to </w:t>
      </w:r>
      <w:r w:rsidR="000F6712" w:rsidRPr="006E5AE4">
        <w:t xml:space="preserve">strengthen policies and institutions to advance </w:t>
      </w:r>
      <w:r w:rsidR="000F6712" w:rsidRPr="009B0B40">
        <w:rPr>
          <w:b/>
          <w:bCs/>
        </w:rPr>
        <w:t>inclusive economic growth, including through social protection programs for the poorest and most vulnerable</w:t>
      </w:r>
      <w:r w:rsidR="000F6712">
        <w:t xml:space="preserve">. For example, </w:t>
      </w:r>
      <w:r w:rsidR="009B0B40">
        <w:t xml:space="preserve">Australia </w:t>
      </w:r>
      <w:r w:rsidR="000F6712">
        <w:t>provided economic recovery support to</w:t>
      </w:r>
      <w:r w:rsidR="000F6712" w:rsidRPr="00524FDB">
        <w:t xml:space="preserve"> </w:t>
      </w:r>
      <w:r w:rsidR="000F6712" w:rsidRPr="00332EFA">
        <w:t xml:space="preserve">institutions </w:t>
      </w:r>
      <w:r w:rsidR="000F6712">
        <w:t>to</w:t>
      </w:r>
      <w:r w:rsidR="000F6712" w:rsidRPr="00332EFA">
        <w:t xml:space="preserve"> advance inclusive economic growth</w:t>
      </w:r>
      <w:r w:rsidR="000F6712">
        <w:t xml:space="preserve"> policy</w:t>
      </w:r>
      <w:r w:rsidR="007B036E">
        <w:t>.</w:t>
      </w:r>
      <w:r w:rsidR="000F6712">
        <w:t xml:space="preserve"> </w:t>
      </w:r>
      <w:r w:rsidR="007B036E">
        <w:t xml:space="preserve">We provided </w:t>
      </w:r>
      <w:r w:rsidR="000F6712">
        <w:t>labour market recovery advice to the Philippines National Employment Recovery Strategy through the International Labour Organisation (ILO)</w:t>
      </w:r>
      <w:r w:rsidR="000F6712" w:rsidRPr="00842FC4">
        <w:t>.</w:t>
      </w:r>
      <w:r w:rsidR="000F6712">
        <w:t xml:space="preserve"> </w:t>
      </w:r>
      <w:r w:rsidR="007B036E">
        <w:t>Our support to improve</w:t>
      </w:r>
      <w:r w:rsidR="007B036E" w:rsidRPr="001A528C">
        <w:t xml:space="preserve"> government processes </w:t>
      </w:r>
      <w:r w:rsidR="007B036E">
        <w:t>by</w:t>
      </w:r>
      <w:r w:rsidR="007B036E" w:rsidRPr="001A528C">
        <w:t xml:space="preserve"> digitalising business registration and installing common telecommunications towers</w:t>
      </w:r>
      <w:r w:rsidR="007B036E">
        <w:t xml:space="preserve"> contributed to economic recovery</w:t>
      </w:r>
      <w:r w:rsidR="00F717B1">
        <w:t>.</w:t>
      </w:r>
    </w:p>
    <w:p w14:paraId="6C5DD19A" w14:textId="07108D4E" w:rsidR="000F6712" w:rsidRDefault="000F6712" w:rsidP="000F6712">
      <w:pPr>
        <w:widowControl w:val="0"/>
        <w:spacing w:before="60" w:after="120" w:line="260" w:lineRule="exact"/>
      </w:pPr>
      <w:r>
        <w:t>Australia also provided s</w:t>
      </w:r>
      <w:r w:rsidRPr="00524FDB">
        <w:t>upport</w:t>
      </w:r>
      <w:r>
        <w:t xml:space="preserve"> to</w:t>
      </w:r>
      <w:r w:rsidRPr="00524FDB">
        <w:t xml:space="preserve"> the </w:t>
      </w:r>
      <w:r>
        <w:t xml:space="preserve">Philippine </w:t>
      </w:r>
      <w:r w:rsidRPr="00524FDB">
        <w:t xml:space="preserve">Department of Education </w:t>
      </w:r>
      <w:r>
        <w:t>to undertake</w:t>
      </w:r>
      <w:r w:rsidRPr="00524FDB">
        <w:t xml:space="preserve"> </w:t>
      </w:r>
      <w:r w:rsidRPr="009B0B40">
        <w:rPr>
          <w:b/>
          <w:bCs/>
        </w:rPr>
        <w:t>curriculum development for the delivery of remote learning modules</w:t>
      </w:r>
      <w:r w:rsidRPr="00524FDB">
        <w:t xml:space="preserve"> </w:t>
      </w:r>
      <w:r>
        <w:t xml:space="preserve">during suspension of </w:t>
      </w:r>
      <w:r w:rsidRPr="00524FDB">
        <w:t>face-</w:t>
      </w:r>
      <w:r>
        <w:t>to-</w:t>
      </w:r>
      <w:r w:rsidRPr="00524FDB">
        <w:t>face learning</w:t>
      </w:r>
      <w:r>
        <w:t xml:space="preserve"> (since March 2020).</w:t>
      </w:r>
      <w:r w:rsidR="009B0B40">
        <w:t xml:space="preserve"> We also</w:t>
      </w:r>
      <w:r>
        <w:t xml:space="preserve"> provided 18 online short courses on critical economic reform and security topics, including law of the sea, business management and intelligence, designing e-learning and public policy to 860 Philippine recipients.</w:t>
      </w:r>
    </w:p>
    <w:p w14:paraId="663EF455" w14:textId="155043FF" w:rsidR="000F6712" w:rsidRPr="00A64787" w:rsidRDefault="009B0B40" w:rsidP="000F6712">
      <w:pPr>
        <w:widowControl w:val="0"/>
        <w:spacing w:before="60" w:after="120" w:line="260" w:lineRule="exact"/>
      </w:pPr>
      <w:r>
        <w:t>Australia</w:t>
      </w:r>
      <w:r w:rsidR="000F6712">
        <w:t xml:space="preserve"> directly supported women through the pandemic </w:t>
      </w:r>
      <w:r w:rsidR="00775A6F">
        <w:t xml:space="preserve">and </w:t>
      </w:r>
      <w:r w:rsidR="00314919">
        <w:t>in</w:t>
      </w:r>
      <w:r w:rsidR="00775A6F">
        <w:t xml:space="preserve"> the reporting period </w:t>
      </w:r>
      <w:r w:rsidR="000F6712">
        <w:t>by w</w:t>
      </w:r>
      <w:r w:rsidR="000F6712" w:rsidRPr="00524FDB">
        <w:t>ork</w:t>
      </w:r>
      <w:r w:rsidR="000F6712">
        <w:t>ing</w:t>
      </w:r>
      <w:r w:rsidR="000F6712" w:rsidRPr="00524FDB">
        <w:t xml:space="preserve"> with local governments and women-led small and medium-sized enterprises to increase preparedness for and resilience to economic shocks, including impacts from climate change</w:t>
      </w:r>
      <w:r w:rsidR="000F6712">
        <w:t xml:space="preserve">. </w:t>
      </w:r>
      <w:r w:rsidR="00696EF2">
        <w:t xml:space="preserve">We assisted </w:t>
      </w:r>
      <w:r w:rsidR="000F6712">
        <w:t>vulnerable women and children, who faced heightened risks of gender-based violence and online abuse and exploitation</w:t>
      </w:r>
      <w:r w:rsidR="00696EF2">
        <w:t>,</w:t>
      </w:r>
      <w:r w:rsidR="000F6712">
        <w:t xml:space="preserve"> through policy advocacy, reporting support, remote counselling, and law enforcement collaboration.</w:t>
      </w:r>
    </w:p>
    <w:p w14:paraId="18305698" w14:textId="42EA2864" w:rsidR="000F6712" w:rsidRPr="00246C03" w:rsidRDefault="00995A7C" w:rsidP="000F6712">
      <w:pPr>
        <w:widowControl w:val="0"/>
        <w:spacing w:before="60" w:after="120" w:line="260" w:lineRule="exact"/>
      </w:pPr>
      <w:r w:rsidRPr="00995A7C">
        <w:t xml:space="preserve">The Australian Centre for International Agricultural Research </w:t>
      </w:r>
      <w:r w:rsidR="000F6712">
        <w:t xml:space="preserve">reinforced and expanded Australia-Philippines engagement on agricultural research </w:t>
      </w:r>
      <w:proofErr w:type="gramStart"/>
      <w:r w:rsidR="000F6712">
        <w:t>through:</w:t>
      </w:r>
      <w:proofErr w:type="gramEnd"/>
      <w:r w:rsidR="000F6712">
        <w:t xml:space="preserve"> the appointment of a Philippines expert to the Policy Advisory Council which discusses key agriculture issues and Australia’s response; the design and implementation of new research projects and innovative capability building activities as well as promoting R&amp;D results to advance agricultural competitiveness in response to COVID</w:t>
      </w:r>
      <w:r>
        <w:t>-</w:t>
      </w:r>
      <w:r w:rsidR="000F6712">
        <w:t>19</w:t>
      </w:r>
      <w:r w:rsidR="009B0B40">
        <w:t xml:space="preserve">. In addition, </w:t>
      </w:r>
      <w:r w:rsidR="000F6712">
        <w:t>30 Filipinos completed a year-long Agribusiness Master Class that improved their capacities to, in the COVID</w:t>
      </w:r>
      <w:r>
        <w:t>-19</w:t>
      </w:r>
      <w:r w:rsidR="000F6712">
        <w:t xml:space="preserve"> era, support and create more inclusive market and supply chains, conduct consumer and value chain research.</w:t>
      </w:r>
    </w:p>
    <w:p w14:paraId="56CFAE80" w14:textId="77777777" w:rsidR="00712179" w:rsidRDefault="00712179" w:rsidP="00246C03">
      <w:pPr>
        <w:pStyle w:val="ListParagraph"/>
        <w:spacing w:before="240" w:after="240" w:line="240" w:lineRule="auto"/>
        <w:ind w:left="357"/>
        <w:contextualSpacing w:val="0"/>
        <w:sectPr w:rsidR="00712179" w:rsidSect="00BC38E4">
          <w:headerReference w:type="default" r:id="rId9"/>
          <w:footerReference w:type="default" r:id="rId10"/>
          <w:headerReference w:type="first" r:id="rId11"/>
          <w:footerReference w:type="first" r:id="rId12"/>
          <w:type w:val="continuous"/>
          <w:pgSz w:w="11906" w:h="16838" w:code="9"/>
          <w:pgMar w:top="1559" w:right="680" w:bottom="851" w:left="680" w:header="420" w:footer="567" w:gutter="0"/>
          <w:cols w:space="397"/>
          <w:titlePg/>
          <w:docGrid w:linePitch="360"/>
        </w:sectPr>
      </w:pPr>
    </w:p>
    <w:p w14:paraId="29B9FAD1" w14:textId="47B17393" w:rsidR="00010006" w:rsidRDefault="00121DDD" w:rsidP="005A131B">
      <w:pPr>
        <w:pStyle w:val="Heading2"/>
      </w:pPr>
      <w:r>
        <w:lastRenderedPageBreak/>
        <w:t>Annex 1</w:t>
      </w:r>
      <w:r w:rsidR="001F7F4D" w:rsidRPr="002945C4">
        <w:t xml:space="preserve">: </w:t>
      </w:r>
      <w:r w:rsidR="00540A22">
        <w:t xml:space="preserve">Progress against </w:t>
      </w:r>
      <w:r w:rsidR="008A1503">
        <w:t xml:space="preserve">COVID-19 Response plan </w:t>
      </w:r>
      <w:r w:rsidR="00E1666D">
        <w:t>results indicators</w:t>
      </w:r>
      <w:r w:rsidR="0035511D">
        <w:rPr>
          <w:rStyle w:val="FootnoteReference"/>
        </w:rPr>
        <w:footnoteReference w:id="1"/>
      </w:r>
    </w:p>
    <w:p w14:paraId="4060EDE5" w14:textId="77777777" w:rsidR="002617BA" w:rsidRDefault="002617BA" w:rsidP="002617BA">
      <w:pPr>
        <w:pStyle w:val="Heading3"/>
      </w:pPr>
    </w:p>
    <w:p w14:paraId="7DABB3A1" w14:textId="57465613" w:rsidR="006E5AE4" w:rsidRPr="00710866" w:rsidRDefault="006E5AE4" w:rsidP="00710866">
      <w:pPr>
        <w:pStyle w:val="Heading3"/>
      </w:pPr>
      <w:r w:rsidRPr="00710866">
        <w:t>Health Security</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85" w:type="dxa"/>
          <w:left w:w="57" w:type="dxa"/>
          <w:bottom w:w="57" w:type="dxa"/>
          <w:right w:w="57" w:type="dxa"/>
        </w:tblCellMar>
        <w:tblLook w:val="04A0" w:firstRow="1" w:lastRow="0" w:firstColumn="1" w:lastColumn="0" w:noHBand="0" w:noVBand="1"/>
      </w:tblPr>
      <w:tblGrid>
        <w:gridCol w:w="3823"/>
        <w:gridCol w:w="6713"/>
      </w:tblGrid>
      <w:tr w:rsidR="00CD4640" w14:paraId="2B5239D4" w14:textId="77777777" w:rsidTr="00CE532E">
        <w:trPr>
          <w:tblHeader/>
        </w:trPr>
        <w:tc>
          <w:tcPr>
            <w:tcW w:w="3823" w:type="dxa"/>
            <w:tcBorders>
              <w:bottom w:val="single" w:sz="4" w:space="0" w:color="A6A6A6" w:themeColor="background1" w:themeShade="A6"/>
            </w:tcBorders>
            <w:shd w:val="clear" w:color="auto" w:fill="A2DCD1" w:themeFill="accent1" w:themeFillTint="99"/>
          </w:tcPr>
          <w:p w14:paraId="0802C19D" w14:textId="77777777" w:rsidR="00CD4640" w:rsidRPr="006E5AE4" w:rsidRDefault="00CD4640" w:rsidP="002617BA">
            <w:pPr>
              <w:spacing w:before="0" w:after="0" w:line="240" w:lineRule="auto"/>
              <w:jc w:val="center"/>
              <w:rPr>
                <w:b/>
                <w:sz w:val="20"/>
                <w:szCs w:val="20"/>
              </w:rPr>
            </w:pPr>
            <w:r w:rsidRPr="006E5AE4">
              <w:rPr>
                <w:b/>
                <w:sz w:val="20"/>
                <w:szCs w:val="20"/>
              </w:rPr>
              <w:t>Key Results Indicators</w:t>
            </w:r>
          </w:p>
        </w:tc>
        <w:tc>
          <w:tcPr>
            <w:tcW w:w="6713" w:type="dxa"/>
            <w:tcBorders>
              <w:bottom w:val="single" w:sz="4" w:space="0" w:color="A6A6A6" w:themeColor="background1" w:themeShade="A6"/>
            </w:tcBorders>
            <w:shd w:val="clear" w:color="auto" w:fill="A2DCD1" w:themeFill="accent1" w:themeFillTint="99"/>
          </w:tcPr>
          <w:p w14:paraId="6CCA6359" w14:textId="77777777" w:rsidR="00CD4640" w:rsidRPr="006E5AE4" w:rsidRDefault="00CD4640" w:rsidP="002617BA">
            <w:pPr>
              <w:spacing w:before="0" w:after="0" w:line="240" w:lineRule="auto"/>
              <w:ind w:left="100"/>
              <w:jc w:val="center"/>
              <w:rPr>
                <w:sz w:val="20"/>
                <w:szCs w:val="20"/>
              </w:rPr>
            </w:pPr>
            <w:r w:rsidRPr="006E5AE4">
              <w:rPr>
                <w:b/>
                <w:sz w:val="20"/>
                <w:szCs w:val="20"/>
              </w:rPr>
              <w:t>Progress/Result</w:t>
            </w:r>
          </w:p>
        </w:tc>
      </w:tr>
      <w:tr w:rsidR="00CD4640" w14:paraId="47B78201" w14:textId="77777777" w:rsidTr="006E5AE4">
        <w:tc>
          <w:tcPr>
            <w:tcW w:w="3823" w:type="dxa"/>
            <w:tcBorders>
              <w:bottom w:val="single" w:sz="4" w:space="0" w:color="A6A6A6" w:themeColor="background1" w:themeShade="A6"/>
            </w:tcBorders>
          </w:tcPr>
          <w:p w14:paraId="0C815475" w14:textId="77777777" w:rsidR="00CD4640" w:rsidRPr="005C41E3" w:rsidRDefault="00CD4640" w:rsidP="002617BA">
            <w:pPr>
              <w:spacing w:before="0" w:after="0" w:line="240" w:lineRule="auto"/>
              <w:rPr>
                <w:sz w:val="20"/>
                <w:szCs w:val="20"/>
              </w:rPr>
            </w:pPr>
            <w:r w:rsidRPr="005C41E3">
              <w:rPr>
                <w:sz w:val="20"/>
                <w:szCs w:val="20"/>
              </w:rPr>
              <w:t>Evidence of strengthened health systems for (a) importing, procuring medical equipment and supplies; (b) healthcare waste management in government hospitals</w:t>
            </w:r>
          </w:p>
        </w:tc>
        <w:tc>
          <w:tcPr>
            <w:tcW w:w="6713" w:type="dxa"/>
            <w:tcBorders>
              <w:bottom w:val="single" w:sz="4" w:space="0" w:color="A6A6A6" w:themeColor="background1" w:themeShade="A6"/>
            </w:tcBorders>
          </w:tcPr>
          <w:p w14:paraId="5891C932" w14:textId="7536682B" w:rsidR="00CD4640" w:rsidRPr="005C41E3" w:rsidRDefault="00A97C8F" w:rsidP="002617BA">
            <w:pPr>
              <w:spacing w:before="0" w:after="0" w:line="240" w:lineRule="auto"/>
              <w:rPr>
                <w:sz w:val="20"/>
                <w:szCs w:val="20"/>
              </w:rPr>
            </w:pPr>
            <w:r>
              <w:rPr>
                <w:sz w:val="20"/>
                <w:szCs w:val="20"/>
              </w:rPr>
              <w:t>Supported the</w:t>
            </w:r>
            <w:r w:rsidR="003D298E">
              <w:rPr>
                <w:sz w:val="20"/>
                <w:szCs w:val="20"/>
              </w:rPr>
              <w:t xml:space="preserve"> </w:t>
            </w:r>
            <w:r>
              <w:rPr>
                <w:sz w:val="20"/>
                <w:szCs w:val="20"/>
              </w:rPr>
              <w:t>s</w:t>
            </w:r>
            <w:r w:rsidR="00CD4640" w:rsidRPr="005C41E3">
              <w:rPr>
                <w:sz w:val="20"/>
                <w:szCs w:val="20"/>
              </w:rPr>
              <w:t>treamlin</w:t>
            </w:r>
            <w:r w:rsidR="00B75D84">
              <w:rPr>
                <w:sz w:val="20"/>
                <w:szCs w:val="20"/>
              </w:rPr>
              <w:t>ing of</w:t>
            </w:r>
            <w:r w:rsidR="003D298E">
              <w:rPr>
                <w:sz w:val="20"/>
                <w:szCs w:val="20"/>
              </w:rPr>
              <w:t xml:space="preserve"> the issuing of </w:t>
            </w:r>
            <w:r w:rsidR="00CD4640" w:rsidRPr="005C41E3">
              <w:rPr>
                <w:sz w:val="20"/>
                <w:szCs w:val="20"/>
              </w:rPr>
              <w:t xml:space="preserve">permits for businesses </w:t>
            </w:r>
            <w:r w:rsidR="003D298E">
              <w:rPr>
                <w:sz w:val="20"/>
                <w:szCs w:val="20"/>
              </w:rPr>
              <w:t>to import</w:t>
            </w:r>
            <w:r w:rsidR="003D298E" w:rsidRPr="005C41E3">
              <w:rPr>
                <w:sz w:val="20"/>
                <w:szCs w:val="20"/>
              </w:rPr>
              <w:t xml:space="preserve"> </w:t>
            </w:r>
            <w:r w:rsidR="00CD4640" w:rsidRPr="005C41E3">
              <w:rPr>
                <w:sz w:val="20"/>
                <w:szCs w:val="20"/>
              </w:rPr>
              <w:t>COVID-19 commodities (</w:t>
            </w:r>
            <w:proofErr w:type="gramStart"/>
            <w:r w:rsidR="00CD4640" w:rsidRPr="005C41E3">
              <w:rPr>
                <w:sz w:val="20"/>
                <w:szCs w:val="20"/>
              </w:rPr>
              <w:t>i.e.</w:t>
            </w:r>
            <w:proofErr w:type="gramEnd"/>
            <w:r w:rsidR="00CD4640" w:rsidRPr="005C41E3">
              <w:rPr>
                <w:sz w:val="20"/>
                <w:szCs w:val="20"/>
              </w:rPr>
              <w:t xml:space="preserve"> personal protective equipment </w:t>
            </w:r>
            <w:r w:rsidR="00772CD1">
              <w:rPr>
                <w:sz w:val="20"/>
                <w:szCs w:val="20"/>
              </w:rPr>
              <w:t xml:space="preserve">– PPE- </w:t>
            </w:r>
            <w:r w:rsidR="00CD4640" w:rsidRPr="005C41E3">
              <w:rPr>
                <w:sz w:val="20"/>
                <w:szCs w:val="20"/>
              </w:rPr>
              <w:t>and emergency medical devices)</w:t>
            </w:r>
            <w:r w:rsidR="006E5AE4" w:rsidRPr="005C41E3">
              <w:rPr>
                <w:sz w:val="20"/>
                <w:szCs w:val="20"/>
              </w:rPr>
              <w:t>.</w:t>
            </w:r>
            <w:r w:rsidR="00CD4640" w:rsidRPr="005C41E3">
              <w:rPr>
                <w:sz w:val="20"/>
                <w:szCs w:val="20"/>
              </w:rPr>
              <w:t xml:space="preserve"> </w:t>
            </w:r>
          </w:p>
          <w:p w14:paraId="048D9C72" w14:textId="08523BFA" w:rsidR="00CD4640" w:rsidRPr="005C41E3" w:rsidRDefault="00CD4640" w:rsidP="002617BA">
            <w:pPr>
              <w:spacing w:before="0" w:after="0" w:line="240" w:lineRule="auto"/>
              <w:rPr>
                <w:sz w:val="20"/>
                <w:szCs w:val="20"/>
              </w:rPr>
            </w:pPr>
            <w:r w:rsidRPr="005C41E3">
              <w:rPr>
                <w:sz w:val="20"/>
                <w:szCs w:val="20"/>
              </w:rPr>
              <w:t>Contributed to the development of the Philippine Department of Health’s (DOH) Health Care Waste Management Manual for public health facilities</w:t>
            </w:r>
          </w:p>
        </w:tc>
      </w:tr>
      <w:tr w:rsidR="00CD4640" w14:paraId="6CC5881D" w14:textId="77777777" w:rsidTr="006E5AE4">
        <w:tc>
          <w:tcPr>
            <w:tcW w:w="3823" w:type="dxa"/>
            <w:tcBorders>
              <w:bottom w:val="single" w:sz="4" w:space="0" w:color="A6A6A6" w:themeColor="background1" w:themeShade="A6"/>
            </w:tcBorders>
          </w:tcPr>
          <w:p w14:paraId="660329DE" w14:textId="0227B3F5" w:rsidR="00CD4640" w:rsidRPr="005C41E3" w:rsidRDefault="00CD4640" w:rsidP="002617BA">
            <w:pPr>
              <w:spacing w:before="0" w:after="0" w:line="240" w:lineRule="auto"/>
              <w:rPr>
                <w:sz w:val="20"/>
                <w:szCs w:val="20"/>
              </w:rPr>
            </w:pPr>
            <w:r w:rsidRPr="005C41E3">
              <w:rPr>
                <w:sz w:val="20"/>
                <w:szCs w:val="20"/>
              </w:rPr>
              <w:t xml:space="preserve">Evidence that (and number of): teachers (and schools) improve access to training and materials to promote inclusive, context-specific, COVID-safe hygiene to students and parents; hospitals, community health </w:t>
            </w:r>
            <w:proofErr w:type="gramStart"/>
            <w:r w:rsidRPr="005C41E3">
              <w:rPr>
                <w:sz w:val="20"/>
                <w:szCs w:val="20"/>
              </w:rPr>
              <w:t>centres ,</w:t>
            </w:r>
            <w:proofErr w:type="gramEnd"/>
            <w:r w:rsidRPr="005C41E3">
              <w:rPr>
                <w:sz w:val="20"/>
                <w:szCs w:val="20"/>
              </w:rPr>
              <w:t xml:space="preserve"> and testing laboratories improve access to health and testing equipment, gender sensitive triage and isolation facilities, and supplies</w:t>
            </w:r>
          </w:p>
        </w:tc>
        <w:tc>
          <w:tcPr>
            <w:tcW w:w="6713" w:type="dxa"/>
            <w:tcBorders>
              <w:bottom w:val="single" w:sz="4" w:space="0" w:color="A6A6A6" w:themeColor="background1" w:themeShade="A6"/>
            </w:tcBorders>
          </w:tcPr>
          <w:p w14:paraId="5E2FD9DB" w14:textId="647E9FC0" w:rsidR="00CD4640" w:rsidRPr="00C70F58" w:rsidRDefault="003D298E" w:rsidP="002617BA">
            <w:pPr>
              <w:spacing w:before="0" w:after="0" w:line="240" w:lineRule="auto"/>
              <w:rPr>
                <w:sz w:val="20"/>
                <w:szCs w:val="20"/>
              </w:rPr>
            </w:pPr>
            <w:r>
              <w:rPr>
                <w:sz w:val="20"/>
                <w:szCs w:val="20"/>
              </w:rPr>
              <w:t xml:space="preserve">Supported a wide range of COVID-19 initiatives including: </w:t>
            </w:r>
            <w:r w:rsidR="007C53BA" w:rsidRPr="005C41E3">
              <w:rPr>
                <w:sz w:val="20"/>
                <w:szCs w:val="20"/>
              </w:rPr>
              <w:t>establish</w:t>
            </w:r>
            <w:r w:rsidR="005A7660" w:rsidRPr="005C41E3">
              <w:rPr>
                <w:sz w:val="20"/>
                <w:szCs w:val="20"/>
              </w:rPr>
              <w:t>ment of</w:t>
            </w:r>
            <w:r w:rsidR="007C53BA" w:rsidRPr="005C41E3">
              <w:rPr>
                <w:sz w:val="20"/>
                <w:szCs w:val="20"/>
              </w:rPr>
              <w:t xml:space="preserve"> the largest COVID-19 testing laboratory in the Philippines (processed around 700,000 samples); providing a specialised ambulance </w:t>
            </w:r>
            <w:r w:rsidR="00936776">
              <w:rPr>
                <w:sz w:val="20"/>
                <w:szCs w:val="20"/>
              </w:rPr>
              <w:t xml:space="preserve">for </w:t>
            </w:r>
            <w:r w:rsidR="007C53BA" w:rsidRPr="005C41E3">
              <w:rPr>
                <w:sz w:val="20"/>
                <w:szCs w:val="20"/>
              </w:rPr>
              <w:t xml:space="preserve">around 400 COVID patients; providing 9,000 </w:t>
            </w:r>
            <w:r w:rsidR="00A83A24">
              <w:rPr>
                <w:sz w:val="20"/>
                <w:szCs w:val="20"/>
              </w:rPr>
              <w:t>personal protective equipment (</w:t>
            </w:r>
            <w:r w:rsidR="00772CD1">
              <w:rPr>
                <w:sz w:val="20"/>
                <w:szCs w:val="20"/>
              </w:rPr>
              <w:t>PPE</w:t>
            </w:r>
            <w:r w:rsidR="00A83A24">
              <w:rPr>
                <w:sz w:val="20"/>
                <w:szCs w:val="20"/>
              </w:rPr>
              <w:t>)</w:t>
            </w:r>
            <w:r w:rsidR="00772CD1">
              <w:rPr>
                <w:sz w:val="20"/>
                <w:szCs w:val="20"/>
              </w:rPr>
              <w:t xml:space="preserve"> items </w:t>
            </w:r>
            <w:r w:rsidR="007C53BA" w:rsidRPr="005C41E3">
              <w:rPr>
                <w:sz w:val="20"/>
                <w:szCs w:val="20"/>
              </w:rPr>
              <w:t xml:space="preserve">and 870,000 face masks for hospitals, frontline workers, and families displaced by Typhoons </w:t>
            </w:r>
            <w:proofErr w:type="spellStart"/>
            <w:r w:rsidR="007C53BA" w:rsidRPr="005C41E3">
              <w:rPr>
                <w:i/>
                <w:iCs/>
                <w:sz w:val="20"/>
                <w:szCs w:val="20"/>
              </w:rPr>
              <w:t>Goni</w:t>
            </w:r>
            <w:proofErr w:type="spellEnd"/>
            <w:r w:rsidR="007C53BA" w:rsidRPr="005C41E3">
              <w:rPr>
                <w:sz w:val="20"/>
                <w:szCs w:val="20"/>
              </w:rPr>
              <w:t xml:space="preserve"> and </w:t>
            </w:r>
            <w:proofErr w:type="spellStart"/>
            <w:r w:rsidR="007C53BA" w:rsidRPr="005C41E3">
              <w:rPr>
                <w:i/>
                <w:iCs/>
                <w:sz w:val="20"/>
                <w:szCs w:val="20"/>
              </w:rPr>
              <w:t>Vamco</w:t>
            </w:r>
            <w:proofErr w:type="spellEnd"/>
            <w:r w:rsidR="007C53BA" w:rsidRPr="005C41E3">
              <w:rPr>
                <w:sz w:val="20"/>
                <w:szCs w:val="20"/>
              </w:rPr>
              <w:t xml:space="preserve">; and deploying </w:t>
            </w:r>
            <w:r w:rsidR="005A7660" w:rsidRPr="005C41E3">
              <w:rPr>
                <w:sz w:val="20"/>
                <w:szCs w:val="20"/>
              </w:rPr>
              <w:t xml:space="preserve">three </w:t>
            </w:r>
            <w:r w:rsidR="007C53BA" w:rsidRPr="005C41E3">
              <w:rPr>
                <w:sz w:val="20"/>
                <w:szCs w:val="20"/>
              </w:rPr>
              <w:t xml:space="preserve">emergency maternity tent facilities that served as triage facilities for about 18,000 </w:t>
            </w:r>
            <w:r w:rsidR="002F10D1" w:rsidRPr="005C41E3">
              <w:rPr>
                <w:sz w:val="20"/>
                <w:szCs w:val="20"/>
              </w:rPr>
              <w:t xml:space="preserve">pregnant women and other </w:t>
            </w:r>
            <w:r w:rsidR="007C53BA" w:rsidRPr="005C41E3">
              <w:rPr>
                <w:sz w:val="20"/>
                <w:szCs w:val="20"/>
              </w:rPr>
              <w:t>patients.</w:t>
            </w:r>
          </w:p>
        </w:tc>
      </w:tr>
      <w:tr w:rsidR="00CD4640" w14:paraId="422B2907" w14:textId="77777777" w:rsidTr="006E5AE4">
        <w:tc>
          <w:tcPr>
            <w:tcW w:w="3823" w:type="dxa"/>
            <w:tcBorders>
              <w:bottom w:val="single" w:sz="4" w:space="0" w:color="A6A6A6" w:themeColor="background1" w:themeShade="A6"/>
            </w:tcBorders>
          </w:tcPr>
          <w:p w14:paraId="7103AD67" w14:textId="7EA60BED" w:rsidR="00CD4640" w:rsidRPr="005C41E3" w:rsidRDefault="00CD4640" w:rsidP="002617BA">
            <w:pPr>
              <w:spacing w:before="0" w:after="0" w:line="240" w:lineRule="auto"/>
              <w:rPr>
                <w:sz w:val="20"/>
                <w:szCs w:val="20"/>
              </w:rPr>
            </w:pPr>
            <w:r w:rsidRPr="005C41E3">
              <w:rPr>
                <w:sz w:val="20"/>
                <w:szCs w:val="20"/>
              </w:rPr>
              <w:t>Number of vulnerable women, men, girls, and boys provided with accessible emergency assistance in conflict and crisis situations</w:t>
            </w:r>
            <w:r w:rsidR="004E32FA">
              <w:rPr>
                <w:sz w:val="20"/>
                <w:szCs w:val="20"/>
              </w:rPr>
              <w:t xml:space="preserve"> in Mindanao </w:t>
            </w:r>
            <w:r w:rsidR="00D82275">
              <w:rPr>
                <w:sz w:val="20"/>
                <w:szCs w:val="20"/>
              </w:rPr>
              <w:t>and other affected areas</w:t>
            </w:r>
          </w:p>
        </w:tc>
        <w:tc>
          <w:tcPr>
            <w:tcW w:w="6713" w:type="dxa"/>
            <w:tcBorders>
              <w:bottom w:val="single" w:sz="4" w:space="0" w:color="A6A6A6" w:themeColor="background1" w:themeShade="A6"/>
            </w:tcBorders>
          </w:tcPr>
          <w:p w14:paraId="49404886" w14:textId="58654FFD" w:rsidR="00CD4640" w:rsidRPr="005C41E3" w:rsidRDefault="003D298E" w:rsidP="002617BA">
            <w:pPr>
              <w:spacing w:before="0" w:after="0" w:line="240" w:lineRule="auto"/>
              <w:rPr>
                <w:sz w:val="20"/>
                <w:szCs w:val="20"/>
              </w:rPr>
            </w:pPr>
            <w:r>
              <w:rPr>
                <w:sz w:val="20"/>
                <w:szCs w:val="20"/>
              </w:rPr>
              <w:t>P</w:t>
            </w:r>
            <w:r w:rsidR="00CD4640" w:rsidRPr="005C41E3">
              <w:rPr>
                <w:sz w:val="20"/>
                <w:szCs w:val="20"/>
              </w:rPr>
              <w:t>rovided emergency assistance in conflict and crisis situations</w:t>
            </w:r>
            <w:r>
              <w:rPr>
                <w:sz w:val="20"/>
                <w:szCs w:val="20"/>
              </w:rPr>
              <w:t xml:space="preserve"> to </w:t>
            </w:r>
            <w:r w:rsidRPr="00E275A8">
              <w:rPr>
                <w:sz w:val="20"/>
                <w:szCs w:val="20"/>
              </w:rPr>
              <w:t>289,980</w:t>
            </w:r>
            <w:r>
              <w:rPr>
                <w:sz w:val="20"/>
                <w:szCs w:val="20"/>
              </w:rPr>
              <w:t xml:space="preserve"> people</w:t>
            </w:r>
            <w:r w:rsidR="00CD4640" w:rsidRPr="005C41E3">
              <w:rPr>
                <w:sz w:val="20"/>
                <w:szCs w:val="20"/>
              </w:rPr>
              <w:t>:</w:t>
            </w:r>
            <w:r>
              <w:rPr>
                <w:sz w:val="20"/>
                <w:szCs w:val="20"/>
              </w:rPr>
              <w:t xml:space="preserve"> (</w:t>
            </w:r>
            <w:r w:rsidR="00995A7C">
              <w:rPr>
                <w:sz w:val="20"/>
                <w:szCs w:val="20"/>
              </w:rPr>
              <w:t>women</w:t>
            </w:r>
            <w:r w:rsidR="00CD4640" w:rsidRPr="00A47A63">
              <w:rPr>
                <w:sz w:val="20"/>
                <w:szCs w:val="20"/>
              </w:rPr>
              <w:t>: 207,654</w:t>
            </w:r>
            <w:r>
              <w:rPr>
                <w:sz w:val="20"/>
                <w:szCs w:val="20"/>
              </w:rPr>
              <w:t xml:space="preserve">; </w:t>
            </w:r>
            <w:r w:rsidR="00995A7C">
              <w:rPr>
                <w:sz w:val="20"/>
                <w:szCs w:val="20"/>
              </w:rPr>
              <w:t>men</w:t>
            </w:r>
            <w:r w:rsidR="00CD4640" w:rsidRPr="00842FC4">
              <w:rPr>
                <w:sz w:val="20"/>
                <w:szCs w:val="20"/>
              </w:rPr>
              <w:t>: 24,808</w:t>
            </w:r>
            <w:r>
              <w:rPr>
                <w:sz w:val="20"/>
                <w:szCs w:val="20"/>
              </w:rPr>
              <w:t>; s</w:t>
            </w:r>
            <w:r w:rsidR="00CD4640" w:rsidRPr="00842FC4">
              <w:rPr>
                <w:sz w:val="20"/>
                <w:szCs w:val="20"/>
              </w:rPr>
              <w:t xml:space="preserve">ex </w:t>
            </w:r>
            <w:r>
              <w:rPr>
                <w:sz w:val="20"/>
                <w:szCs w:val="20"/>
              </w:rPr>
              <w:t>u</w:t>
            </w:r>
            <w:r w:rsidR="00CD4640" w:rsidRPr="00842FC4">
              <w:rPr>
                <w:sz w:val="20"/>
                <w:szCs w:val="20"/>
              </w:rPr>
              <w:t>nknown: 57,518</w:t>
            </w:r>
            <w:r>
              <w:rPr>
                <w:sz w:val="20"/>
                <w:szCs w:val="20"/>
              </w:rPr>
              <w:t>; p</w:t>
            </w:r>
            <w:r w:rsidR="00CD4640" w:rsidRPr="00842FC4">
              <w:rPr>
                <w:sz w:val="20"/>
                <w:szCs w:val="20"/>
              </w:rPr>
              <w:t>eople with disabilit</w:t>
            </w:r>
            <w:r w:rsidR="00995A7C">
              <w:rPr>
                <w:sz w:val="20"/>
                <w:szCs w:val="20"/>
              </w:rPr>
              <w:t>ies</w:t>
            </w:r>
            <w:r w:rsidR="00CD4640" w:rsidRPr="00842FC4">
              <w:rPr>
                <w:sz w:val="20"/>
                <w:szCs w:val="20"/>
              </w:rPr>
              <w:t>: 2,205</w:t>
            </w:r>
            <w:r>
              <w:rPr>
                <w:sz w:val="20"/>
                <w:szCs w:val="20"/>
              </w:rPr>
              <w:t>)</w:t>
            </w:r>
            <w:r w:rsidR="005C41E3" w:rsidRPr="00A47A63">
              <w:rPr>
                <w:sz w:val="20"/>
                <w:szCs w:val="20"/>
              </w:rPr>
              <w:t>.</w:t>
            </w:r>
          </w:p>
        </w:tc>
      </w:tr>
      <w:tr w:rsidR="00CD4640" w14:paraId="31DA0807" w14:textId="77777777" w:rsidTr="006E5AE4">
        <w:tc>
          <w:tcPr>
            <w:tcW w:w="3823" w:type="dxa"/>
            <w:tcBorders>
              <w:bottom w:val="single" w:sz="4" w:space="0" w:color="A6A6A6" w:themeColor="background1" w:themeShade="A6"/>
            </w:tcBorders>
          </w:tcPr>
          <w:p w14:paraId="0CD1BE0C" w14:textId="77777777" w:rsidR="00CD4640" w:rsidRPr="005C41E3" w:rsidRDefault="00CD4640" w:rsidP="002617BA">
            <w:pPr>
              <w:spacing w:before="0" w:after="0" w:line="240" w:lineRule="auto"/>
              <w:rPr>
                <w:sz w:val="20"/>
                <w:szCs w:val="20"/>
              </w:rPr>
            </w:pPr>
            <w:r w:rsidRPr="005C41E3">
              <w:rPr>
                <w:sz w:val="20"/>
                <w:szCs w:val="20"/>
              </w:rPr>
              <w:t>Evidence that the Philippine Department of Health (DOH) and other key national Philippine Government agencies allocate resources for implementation of ‘minimum initial service package for sexual and reproductive health (SRH) in emergencies, including appropriate gender-based violence (GBV) protections</w:t>
            </w:r>
          </w:p>
        </w:tc>
        <w:tc>
          <w:tcPr>
            <w:tcW w:w="6713" w:type="dxa"/>
            <w:tcBorders>
              <w:bottom w:val="single" w:sz="4" w:space="0" w:color="A6A6A6" w:themeColor="background1" w:themeShade="A6"/>
            </w:tcBorders>
          </w:tcPr>
          <w:p w14:paraId="6BE1006B" w14:textId="080D96F6" w:rsidR="00CD4640" w:rsidRPr="005C41E3" w:rsidRDefault="00CD4640" w:rsidP="002617BA">
            <w:pPr>
              <w:spacing w:before="0" w:after="0" w:line="240" w:lineRule="auto"/>
              <w:rPr>
                <w:sz w:val="20"/>
                <w:szCs w:val="20"/>
              </w:rPr>
            </w:pPr>
            <w:r w:rsidRPr="005C41E3">
              <w:rPr>
                <w:sz w:val="20"/>
                <w:szCs w:val="20"/>
              </w:rPr>
              <w:t xml:space="preserve">Supported DOH </w:t>
            </w:r>
            <w:r w:rsidR="003D298E">
              <w:rPr>
                <w:sz w:val="20"/>
                <w:szCs w:val="20"/>
              </w:rPr>
              <w:t>to i</w:t>
            </w:r>
            <w:r w:rsidRPr="005C41E3">
              <w:rPr>
                <w:sz w:val="20"/>
                <w:szCs w:val="20"/>
              </w:rPr>
              <w:t>mplement the '</w:t>
            </w:r>
            <w:r w:rsidRPr="005C41E3">
              <w:rPr>
                <w:i/>
                <w:iCs/>
                <w:sz w:val="20"/>
                <w:szCs w:val="20"/>
              </w:rPr>
              <w:t>Minimum Initial Service Package for Sexual and Reproductive Health in Emergencies</w:t>
            </w:r>
            <w:r w:rsidR="003D298E">
              <w:rPr>
                <w:sz w:val="20"/>
                <w:szCs w:val="20"/>
              </w:rPr>
              <w:t>’</w:t>
            </w:r>
            <w:r w:rsidR="00842FC4">
              <w:rPr>
                <w:sz w:val="20"/>
                <w:szCs w:val="20"/>
              </w:rPr>
              <w:t>.</w:t>
            </w:r>
            <w:r w:rsidRPr="005C41E3">
              <w:rPr>
                <w:sz w:val="20"/>
                <w:szCs w:val="20"/>
              </w:rPr>
              <w:t xml:space="preserve"> Expert advice was also provided to DOH through to the draft of a multi-year plan </w:t>
            </w:r>
            <w:r w:rsidR="003D298E">
              <w:rPr>
                <w:sz w:val="20"/>
                <w:szCs w:val="20"/>
              </w:rPr>
              <w:t>to</w:t>
            </w:r>
            <w:r w:rsidR="003D298E" w:rsidRPr="005C41E3">
              <w:rPr>
                <w:sz w:val="20"/>
                <w:szCs w:val="20"/>
              </w:rPr>
              <w:t xml:space="preserve"> </w:t>
            </w:r>
            <w:r w:rsidRPr="005C41E3">
              <w:rPr>
                <w:sz w:val="20"/>
                <w:szCs w:val="20"/>
              </w:rPr>
              <w:t xml:space="preserve">allocates funds for </w:t>
            </w:r>
            <w:r w:rsidR="003D298E">
              <w:rPr>
                <w:sz w:val="20"/>
                <w:szCs w:val="20"/>
              </w:rPr>
              <w:t>priority</w:t>
            </w:r>
            <w:r w:rsidRPr="005C41E3">
              <w:rPr>
                <w:sz w:val="20"/>
                <w:szCs w:val="20"/>
              </w:rPr>
              <w:t xml:space="preserve"> activities</w:t>
            </w:r>
            <w:r w:rsidR="005C41E3">
              <w:rPr>
                <w:sz w:val="20"/>
                <w:szCs w:val="20"/>
              </w:rPr>
              <w:t>.</w:t>
            </w:r>
          </w:p>
        </w:tc>
      </w:tr>
    </w:tbl>
    <w:p w14:paraId="3DA24336" w14:textId="77777777" w:rsidR="002617BA" w:rsidRPr="002617BA" w:rsidRDefault="002617BA" w:rsidP="002617BA">
      <w:pPr>
        <w:pStyle w:val="Heading3"/>
        <w:rPr>
          <w:sz w:val="16"/>
          <w:szCs w:val="16"/>
        </w:rPr>
      </w:pPr>
    </w:p>
    <w:p w14:paraId="114E20B4" w14:textId="4A91276C" w:rsidR="006E5AE4" w:rsidRPr="006E5AE4" w:rsidRDefault="006E5AE4" w:rsidP="002617BA">
      <w:pPr>
        <w:pStyle w:val="Heading3"/>
      </w:pPr>
      <w:r w:rsidRPr="006E5AE4">
        <w:t>Stability</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85" w:type="dxa"/>
          <w:left w:w="57" w:type="dxa"/>
          <w:bottom w:w="57" w:type="dxa"/>
          <w:right w:w="57" w:type="dxa"/>
        </w:tblCellMar>
        <w:tblLook w:val="04A0" w:firstRow="1" w:lastRow="0" w:firstColumn="1" w:lastColumn="0" w:noHBand="0" w:noVBand="1"/>
      </w:tblPr>
      <w:tblGrid>
        <w:gridCol w:w="3823"/>
        <w:gridCol w:w="6713"/>
      </w:tblGrid>
      <w:tr w:rsidR="00CD4640" w14:paraId="19A01BD9" w14:textId="77777777" w:rsidTr="00CE532E">
        <w:trPr>
          <w:tblHeader/>
        </w:trPr>
        <w:tc>
          <w:tcPr>
            <w:tcW w:w="3823" w:type="dxa"/>
            <w:shd w:val="clear" w:color="auto" w:fill="A2DCD1" w:themeFill="accent1" w:themeFillTint="99"/>
            <w:vAlign w:val="bottom"/>
          </w:tcPr>
          <w:p w14:paraId="275CE540" w14:textId="77777777" w:rsidR="00CD4640" w:rsidRPr="006E5AE4" w:rsidRDefault="00CD4640" w:rsidP="002617BA">
            <w:pPr>
              <w:widowControl w:val="0"/>
              <w:spacing w:before="0" w:after="0" w:line="240" w:lineRule="auto"/>
              <w:jc w:val="center"/>
              <w:rPr>
                <w:sz w:val="20"/>
                <w:szCs w:val="20"/>
              </w:rPr>
            </w:pPr>
            <w:r w:rsidRPr="006E5AE4">
              <w:rPr>
                <w:b/>
                <w:sz w:val="20"/>
                <w:szCs w:val="20"/>
              </w:rPr>
              <w:t>Key Results Indicators</w:t>
            </w:r>
          </w:p>
        </w:tc>
        <w:tc>
          <w:tcPr>
            <w:tcW w:w="6713" w:type="dxa"/>
            <w:shd w:val="clear" w:color="auto" w:fill="A2DCD1" w:themeFill="accent1" w:themeFillTint="99"/>
            <w:vAlign w:val="bottom"/>
          </w:tcPr>
          <w:p w14:paraId="31D37E46" w14:textId="77777777" w:rsidR="00CD4640" w:rsidRPr="006E5AE4" w:rsidRDefault="00CD4640" w:rsidP="002617BA">
            <w:pPr>
              <w:widowControl w:val="0"/>
              <w:spacing w:before="0" w:after="0" w:line="240" w:lineRule="auto"/>
              <w:jc w:val="center"/>
              <w:rPr>
                <w:sz w:val="20"/>
                <w:szCs w:val="20"/>
              </w:rPr>
            </w:pPr>
            <w:r w:rsidRPr="006E5AE4">
              <w:rPr>
                <w:b/>
                <w:sz w:val="20"/>
                <w:szCs w:val="20"/>
              </w:rPr>
              <w:t>Progress/Result</w:t>
            </w:r>
          </w:p>
        </w:tc>
      </w:tr>
      <w:tr w:rsidR="00CD4640" w14:paraId="7A710986" w14:textId="77777777" w:rsidTr="006E5AE4">
        <w:tc>
          <w:tcPr>
            <w:tcW w:w="3823" w:type="dxa"/>
            <w:tcBorders>
              <w:bottom w:val="single" w:sz="4" w:space="0" w:color="A6A6A6" w:themeColor="background1" w:themeShade="A6"/>
            </w:tcBorders>
          </w:tcPr>
          <w:p w14:paraId="2E591432" w14:textId="77777777" w:rsidR="00CD4640" w:rsidRPr="005C41E3" w:rsidRDefault="00CD4640" w:rsidP="002617BA">
            <w:pPr>
              <w:spacing w:before="0" w:after="0" w:line="240" w:lineRule="auto"/>
              <w:rPr>
                <w:sz w:val="20"/>
                <w:szCs w:val="20"/>
              </w:rPr>
            </w:pPr>
            <w:r w:rsidRPr="005C41E3">
              <w:rPr>
                <w:sz w:val="20"/>
                <w:szCs w:val="20"/>
              </w:rPr>
              <w:t>Number of Filipino men and women reached with new or improved social protection programs, particularly vulnerable people</w:t>
            </w:r>
          </w:p>
        </w:tc>
        <w:tc>
          <w:tcPr>
            <w:tcW w:w="6713" w:type="dxa"/>
            <w:tcBorders>
              <w:bottom w:val="single" w:sz="4" w:space="0" w:color="A6A6A6" w:themeColor="background1" w:themeShade="A6"/>
            </w:tcBorders>
          </w:tcPr>
          <w:p w14:paraId="079A502A" w14:textId="77777777" w:rsidR="001F397B" w:rsidRDefault="00091B4B" w:rsidP="002617BA">
            <w:pPr>
              <w:spacing w:before="0" w:after="0" w:line="240" w:lineRule="auto"/>
              <w:rPr>
                <w:sz w:val="20"/>
                <w:szCs w:val="20"/>
              </w:rPr>
            </w:pPr>
            <w:r>
              <w:rPr>
                <w:sz w:val="20"/>
                <w:szCs w:val="20"/>
              </w:rPr>
              <w:t>Supported</w:t>
            </w:r>
            <w:r w:rsidR="00CD4640" w:rsidRPr="005C41E3">
              <w:rPr>
                <w:sz w:val="20"/>
                <w:szCs w:val="20"/>
              </w:rPr>
              <w:t xml:space="preserve"> new or improved social protection programs, including remote communities</w:t>
            </w:r>
            <w:r>
              <w:rPr>
                <w:sz w:val="20"/>
                <w:szCs w:val="20"/>
              </w:rPr>
              <w:t xml:space="preserve"> for</w:t>
            </w:r>
            <w:r w:rsidR="00CD4640" w:rsidRPr="00A47A63">
              <w:rPr>
                <w:sz w:val="20"/>
                <w:szCs w:val="20"/>
              </w:rPr>
              <w:t xml:space="preserve"> 2,442,613</w:t>
            </w:r>
            <w:r w:rsidR="001F397B" w:rsidRPr="001F397B">
              <w:rPr>
                <w:sz w:val="16"/>
                <w:szCs w:val="16"/>
              </w:rPr>
              <w:t>*</w:t>
            </w:r>
            <w:r>
              <w:rPr>
                <w:sz w:val="20"/>
                <w:szCs w:val="20"/>
              </w:rPr>
              <w:t xml:space="preserve"> people. </w:t>
            </w:r>
          </w:p>
          <w:p w14:paraId="528CB10C" w14:textId="586F29A8" w:rsidR="00CD4640" w:rsidRPr="001F397B" w:rsidRDefault="001F397B" w:rsidP="00710866">
            <w:pPr>
              <w:spacing w:after="0" w:line="240" w:lineRule="auto"/>
              <w:rPr>
                <w:sz w:val="12"/>
                <w:szCs w:val="12"/>
              </w:rPr>
            </w:pPr>
            <w:r w:rsidRPr="001F397B">
              <w:rPr>
                <w:sz w:val="12"/>
                <w:szCs w:val="12"/>
              </w:rPr>
              <w:t xml:space="preserve">*sex disaggregated data not available. </w:t>
            </w:r>
          </w:p>
        </w:tc>
      </w:tr>
      <w:tr w:rsidR="00CD4640" w14:paraId="650028AC" w14:textId="77777777" w:rsidTr="006E5AE4">
        <w:tc>
          <w:tcPr>
            <w:tcW w:w="3823" w:type="dxa"/>
            <w:tcBorders>
              <w:bottom w:val="single" w:sz="4" w:space="0" w:color="A6A6A6" w:themeColor="background1" w:themeShade="A6"/>
            </w:tcBorders>
          </w:tcPr>
          <w:p w14:paraId="5D8756A9" w14:textId="77777777" w:rsidR="00CD4640" w:rsidRPr="005C41E3" w:rsidRDefault="00CD4640" w:rsidP="002617BA">
            <w:pPr>
              <w:spacing w:before="0" w:after="0" w:line="240" w:lineRule="auto"/>
              <w:rPr>
                <w:sz w:val="20"/>
                <w:szCs w:val="20"/>
              </w:rPr>
            </w:pPr>
            <w:r w:rsidRPr="005C41E3">
              <w:rPr>
                <w:sz w:val="20"/>
                <w:szCs w:val="20"/>
              </w:rPr>
              <w:t>Evidence of strengthened social protection systems, including improved targeting of the most vulnerable, and greater use of digital payment mechanisms</w:t>
            </w:r>
          </w:p>
        </w:tc>
        <w:tc>
          <w:tcPr>
            <w:tcW w:w="6713" w:type="dxa"/>
            <w:tcBorders>
              <w:bottom w:val="single" w:sz="4" w:space="0" w:color="A6A6A6" w:themeColor="background1" w:themeShade="A6"/>
            </w:tcBorders>
          </w:tcPr>
          <w:p w14:paraId="2C146A56" w14:textId="0C4DBB80" w:rsidR="00CD4640" w:rsidRPr="005C41E3" w:rsidRDefault="00CD4640" w:rsidP="002617BA">
            <w:pPr>
              <w:spacing w:before="0" w:after="0" w:line="240" w:lineRule="auto"/>
              <w:rPr>
                <w:sz w:val="20"/>
                <w:szCs w:val="20"/>
              </w:rPr>
            </w:pPr>
            <w:r w:rsidRPr="005C41E3">
              <w:rPr>
                <w:sz w:val="20"/>
                <w:szCs w:val="20"/>
              </w:rPr>
              <w:t xml:space="preserve">Supported the Philippine Government to streamline </w:t>
            </w:r>
            <w:r w:rsidR="00091B4B">
              <w:rPr>
                <w:sz w:val="20"/>
                <w:szCs w:val="20"/>
              </w:rPr>
              <w:t xml:space="preserve">its </w:t>
            </w:r>
            <w:r w:rsidRPr="005C41E3">
              <w:rPr>
                <w:sz w:val="20"/>
                <w:szCs w:val="20"/>
              </w:rPr>
              <w:t xml:space="preserve">social protection operations manual and </w:t>
            </w:r>
            <w:r w:rsidR="00091B4B">
              <w:rPr>
                <w:sz w:val="20"/>
                <w:szCs w:val="20"/>
              </w:rPr>
              <w:t xml:space="preserve">the </w:t>
            </w:r>
            <w:r w:rsidRPr="005C41E3">
              <w:rPr>
                <w:sz w:val="20"/>
                <w:szCs w:val="20"/>
              </w:rPr>
              <w:t>dissemination</w:t>
            </w:r>
            <w:r w:rsidR="00091B4B">
              <w:rPr>
                <w:sz w:val="20"/>
                <w:szCs w:val="20"/>
              </w:rPr>
              <w:t xml:space="preserve"> of the manual</w:t>
            </w:r>
            <w:r w:rsidRPr="005C41E3">
              <w:rPr>
                <w:sz w:val="20"/>
                <w:szCs w:val="20"/>
              </w:rPr>
              <w:t xml:space="preserve"> to local governments</w:t>
            </w:r>
            <w:r w:rsidR="005C41E3">
              <w:rPr>
                <w:sz w:val="20"/>
                <w:szCs w:val="20"/>
              </w:rPr>
              <w:t>.</w:t>
            </w:r>
          </w:p>
          <w:p w14:paraId="26403006" w14:textId="7065C7D8" w:rsidR="00CD4640" w:rsidRPr="005C41E3" w:rsidRDefault="00091B4B" w:rsidP="002617BA">
            <w:pPr>
              <w:spacing w:before="0" w:after="0" w:line="240" w:lineRule="auto"/>
              <w:ind w:left="2"/>
              <w:rPr>
                <w:sz w:val="20"/>
                <w:szCs w:val="20"/>
              </w:rPr>
            </w:pPr>
            <w:r>
              <w:rPr>
                <w:sz w:val="20"/>
                <w:szCs w:val="20"/>
              </w:rPr>
              <w:t>Supported improvements to</w:t>
            </w:r>
            <w:r w:rsidR="00CD4640" w:rsidRPr="005C41E3">
              <w:rPr>
                <w:sz w:val="20"/>
                <w:szCs w:val="20"/>
              </w:rPr>
              <w:t xml:space="preserve"> digital payments for social protection, including through strengthening private sector partnerships</w:t>
            </w:r>
            <w:r w:rsidR="005C41E3">
              <w:rPr>
                <w:sz w:val="20"/>
                <w:szCs w:val="20"/>
              </w:rPr>
              <w:t>.</w:t>
            </w:r>
          </w:p>
          <w:p w14:paraId="2A1AE642" w14:textId="60CA4616" w:rsidR="00CD4640" w:rsidRPr="005C41E3" w:rsidRDefault="00091B4B" w:rsidP="002617BA">
            <w:pPr>
              <w:spacing w:before="0" w:after="0" w:line="240" w:lineRule="auto"/>
              <w:ind w:left="2"/>
              <w:rPr>
                <w:sz w:val="20"/>
                <w:szCs w:val="20"/>
              </w:rPr>
            </w:pPr>
            <w:r>
              <w:rPr>
                <w:sz w:val="20"/>
                <w:szCs w:val="20"/>
              </w:rPr>
              <w:t>Supported deductions in</w:t>
            </w:r>
            <w:r w:rsidRPr="005C41E3">
              <w:rPr>
                <w:sz w:val="20"/>
                <w:szCs w:val="20"/>
              </w:rPr>
              <w:t xml:space="preserve"> </w:t>
            </w:r>
            <w:r w:rsidR="00CD4640" w:rsidRPr="005C41E3">
              <w:rPr>
                <w:sz w:val="20"/>
                <w:szCs w:val="20"/>
              </w:rPr>
              <w:t>error</w:t>
            </w:r>
            <w:r>
              <w:rPr>
                <w:sz w:val="20"/>
                <w:szCs w:val="20"/>
              </w:rPr>
              <w:t>s</w:t>
            </w:r>
            <w:r w:rsidR="00CD4640" w:rsidRPr="005C41E3">
              <w:rPr>
                <w:sz w:val="20"/>
                <w:szCs w:val="20"/>
              </w:rPr>
              <w:t xml:space="preserve"> </w:t>
            </w:r>
            <w:r>
              <w:rPr>
                <w:sz w:val="20"/>
                <w:szCs w:val="20"/>
              </w:rPr>
              <w:t>related to</w:t>
            </w:r>
            <w:r w:rsidR="00CD4640" w:rsidRPr="005C41E3">
              <w:rPr>
                <w:sz w:val="20"/>
                <w:szCs w:val="20"/>
              </w:rPr>
              <w:t xml:space="preserve"> digital enrolments for the Emergency Subsidy Program</w:t>
            </w:r>
            <w:r>
              <w:rPr>
                <w:sz w:val="20"/>
                <w:szCs w:val="20"/>
              </w:rPr>
              <w:t>, giving a</w:t>
            </w:r>
            <w:r w:rsidR="00CD4640" w:rsidRPr="005C41E3">
              <w:rPr>
                <w:sz w:val="20"/>
                <w:szCs w:val="20"/>
              </w:rPr>
              <w:t xml:space="preserve"> five million</w:t>
            </w:r>
            <w:r w:rsidR="001B4EE8">
              <w:rPr>
                <w:sz w:val="20"/>
                <w:szCs w:val="20"/>
              </w:rPr>
              <w:t xml:space="preserve"> additional</w:t>
            </w:r>
            <w:r w:rsidR="00CD4640" w:rsidRPr="005C41E3">
              <w:rPr>
                <w:sz w:val="20"/>
                <w:szCs w:val="20"/>
              </w:rPr>
              <w:t xml:space="preserve"> families </w:t>
            </w:r>
            <w:r>
              <w:rPr>
                <w:sz w:val="20"/>
                <w:szCs w:val="20"/>
              </w:rPr>
              <w:t>access to</w:t>
            </w:r>
            <w:r w:rsidR="002F10D1" w:rsidRPr="005C41E3">
              <w:rPr>
                <w:sz w:val="20"/>
                <w:szCs w:val="20"/>
              </w:rPr>
              <w:t xml:space="preserve"> second</w:t>
            </w:r>
            <w:r w:rsidR="00CD4640" w:rsidRPr="005C41E3">
              <w:rPr>
                <w:sz w:val="20"/>
                <w:szCs w:val="20"/>
              </w:rPr>
              <w:t xml:space="preserve"> </w:t>
            </w:r>
            <w:r>
              <w:rPr>
                <w:sz w:val="20"/>
                <w:szCs w:val="20"/>
              </w:rPr>
              <w:t>payments under the Program.</w:t>
            </w:r>
          </w:p>
        </w:tc>
      </w:tr>
      <w:tr w:rsidR="00CD4640" w14:paraId="6ABB19AA" w14:textId="77777777" w:rsidTr="006E5AE4">
        <w:tc>
          <w:tcPr>
            <w:tcW w:w="3823" w:type="dxa"/>
            <w:tcBorders>
              <w:bottom w:val="single" w:sz="4" w:space="0" w:color="A6A6A6" w:themeColor="background1" w:themeShade="A6"/>
            </w:tcBorders>
          </w:tcPr>
          <w:p w14:paraId="52253F40" w14:textId="61933F9C" w:rsidR="00CD4640" w:rsidRPr="005C41E3" w:rsidRDefault="00CD4640" w:rsidP="002617BA">
            <w:pPr>
              <w:spacing w:before="0" w:after="0" w:line="240" w:lineRule="auto"/>
              <w:rPr>
                <w:sz w:val="20"/>
                <w:szCs w:val="20"/>
              </w:rPr>
            </w:pPr>
            <w:r w:rsidRPr="005C41E3">
              <w:rPr>
                <w:sz w:val="20"/>
                <w:szCs w:val="20"/>
              </w:rPr>
              <w:t xml:space="preserve">Evidence of Australia enabling leaders to identify and act on reform opportunities, resulting in Philippine Government adoption of inclusive and significant reforms that aid </w:t>
            </w:r>
            <w:r w:rsidRPr="005C41E3">
              <w:rPr>
                <w:sz w:val="20"/>
                <w:szCs w:val="20"/>
              </w:rPr>
              <w:lastRenderedPageBreak/>
              <w:t>COVID-19 response and recovery (e.g., transport systems for enhanced worker mobility)</w:t>
            </w:r>
          </w:p>
        </w:tc>
        <w:tc>
          <w:tcPr>
            <w:tcW w:w="6713" w:type="dxa"/>
            <w:tcBorders>
              <w:bottom w:val="single" w:sz="4" w:space="0" w:color="A6A6A6" w:themeColor="background1" w:themeShade="A6"/>
            </w:tcBorders>
          </w:tcPr>
          <w:p w14:paraId="424BA30E" w14:textId="7D2E09D2" w:rsidR="00CD4640" w:rsidRPr="00C70F58" w:rsidRDefault="00091B4B" w:rsidP="002617BA">
            <w:pPr>
              <w:spacing w:before="0" w:after="0" w:line="240" w:lineRule="auto"/>
              <w:rPr>
                <w:sz w:val="20"/>
                <w:szCs w:val="20"/>
              </w:rPr>
            </w:pPr>
            <w:r w:rsidRPr="005C41E3">
              <w:rPr>
                <w:sz w:val="20"/>
                <w:szCs w:val="20"/>
              </w:rPr>
              <w:lastRenderedPageBreak/>
              <w:t>Provided expert advice</w:t>
            </w:r>
            <w:r>
              <w:rPr>
                <w:sz w:val="20"/>
                <w:szCs w:val="20"/>
              </w:rPr>
              <w:t xml:space="preserve"> to the government on </w:t>
            </w:r>
            <w:r w:rsidRPr="005C41E3">
              <w:rPr>
                <w:sz w:val="20"/>
                <w:szCs w:val="20"/>
              </w:rPr>
              <w:t xml:space="preserve">financial </w:t>
            </w:r>
            <w:r>
              <w:rPr>
                <w:sz w:val="20"/>
                <w:szCs w:val="20"/>
              </w:rPr>
              <w:t>decisions</w:t>
            </w:r>
            <w:r w:rsidRPr="005C41E3">
              <w:rPr>
                <w:sz w:val="20"/>
                <w:szCs w:val="20"/>
              </w:rPr>
              <w:t xml:space="preserve"> for COVID-19 response</w:t>
            </w:r>
            <w:r w:rsidRPr="005C41E3" w:rsidDel="00091B4B">
              <w:rPr>
                <w:sz w:val="20"/>
                <w:szCs w:val="20"/>
              </w:rPr>
              <w:t xml:space="preserve"> </w:t>
            </w:r>
            <w:r>
              <w:rPr>
                <w:sz w:val="20"/>
                <w:szCs w:val="20"/>
              </w:rPr>
              <w:t>including:</w:t>
            </w:r>
            <w:r w:rsidR="0056348E">
              <w:rPr>
                <w:sz w:val="20"/>
                <w:szCs w:val="20"/>
              </w:rPr>
              <w:t xml:space="preserve"> </w:t>
            </w:r>
            <w:r w:rsidR="008546A9">
              <w:rPr>
                <w:sz w:val="20"/>
                <w:szCs w:val="20"/>
              </w:rPr>
              <w:t>1) i</w:t>
            </w:r>
            <w:r w:rsidRPr="00A47A63">
              <w:rPr>
                <w:sz w:val="20"/>
                <w:szCs w:val="20"/>
              </w:rPr>
              <w:t>mprovements to the</w:t>
            </w:r>
            <w:r w:rsidR="00CD4640" w:rsidRPr="00A47A63">
              <w:rPr>
                <w:sz w:val="20"/>
                <w:szCs w:val="20"/>
              </w:rPr>
              <w:t xml:space="preserve"> Metro Manila</w:t>
            </w:r>
            <w:r w:rsidRPr="00A47A63">
              <w:rPr>
                <w:sz w:val="20"/>
                <w:szCs w:val="20"/>
              </w:rPr>
              <w:t xml:space="preserve"> transport network</w:t>
            </w:r>
            <w:r w:rsidR="00CD4640" w:rsidRPr="00A47A63">
              <w:rPr>
                <w:sz w:val="20"/>
                <w:szCs w:val="20"/>
              </w:rPr>
              <w:t xml:space="preserve"> </w:t>
            </w:r>
            <w:r w:rsidRPr="00A47A63">
              <w:rPr>
                <w:sz w:val="20"/>
                <w:szCs w:val="20"/>
              </w:rPr>
              <w:t xml:space="preserve">(including </w:t>
            </w:r>
            <w:r w:rsidR="00CD4640" w:rsidRPr="00A47A63">
              <w:rPr>
                <w:sz w:val="20"/>
                <w:szCs w:val="20"/>
              </w:rPr>
              <w:t>secur</w:t>
            </w:r>
            <w:r w:rsidR="0056348E">
              <w:rPr>
                <w:sz w:val="20"/>
                <w:szCs w:val="20"/>
              </w:rPr>
              <w:t>ing</w:t>
            </w:r>
            <w:r w:rsidR="00CD4640" w:rsidRPr="00A47A63">
              <w:rPr>
                <w:sz w:val="20"/>
                <w:szCs w:val="20"/>
              </w:rPr>
              <w:t xml:space="preserve"> </w:t>
            </w:r>
            <w:r w:rsidRPr="00A47A63">
              <w:rPr>
                <w:sz w:val="20"/>
                <w:szCs w:val="20"/>
              </w:rPr>
              <w:t xml:space="preserve">a </w:t>
            </w:r>
            <w:r w:rsidR="0056348E">
              <w:rPr>
                <w:sz w:val="20"/>
                <w:szCs w:val="20"/>
              </w:rPr>
              <w:t xml:space="preserve">$35m </w:t>
            </w:r>
            <w:r w:rsidR="00CD4640" w:rsidRPr="00A47A63">
              <w:rPr>
                <w:sz w:val="20"/>
                <w:szCs w:val="20"/>
              </w:rPr>
              <w:t>budget</w:t>
            </w:r>
            <w:r w:rsidRPr="00A47A63">
              <w:rPr>
                <w:sz w:val="20"/>
                <w:szCs w:val="20"/>
              </w:rPr>
              <w:t xml:space="preserve"> allocation</w:t>
            </w:r>
            <w:r w:rsidR="00CD4640" w:rsidRPr="00A47A63">
              <w:rPr>
                <w:sz w:val="20"/>
                <w:szCs w:val="20"/>
              </w:rPr>
              <w:t xml:space="preserve"> for safe bike and pedestrian lane</w:t>
            </w:r>
            <w:r w:rsidRPr="00A47A63">
              <w:rPr>
                <w:sz w:val="20"/>
                <w:szCs w:val="20"/>
              </w:rPr>
              <w:t>)</w:t>
            </w:r>
            <w:r>
              <w:t xml:space="preserve">; </w:t>
            </w:r>
            <w:r w:rsidR="008546A9">
              <w:t xml:space="preserve">2) </w:t>
            </w:r>
            <w:r w:rsidR="0056348E">
              <w:rPr>
                <w:sz w:val="20"/>
                <w:szCs w:val="20"/>
              </w:rPr>
              <w:t>$475m a</w:t>
            </w:r>
            <w:r w:rsidR="00CD4640" w:rsidRPr="00A47A63">
              <w:rPr>
                <w:sz w:val="20"/>
                <w:szCs w:val="20"/>
              </w:rPr>
              <w:t xml:space="preserve">llocation for </w:t>
            </w:r>
            <w:r w:rsidR="00486FDB" w:rsidRPr="00A47A63">
              <w:rPr>
                <w:sz w:val="20"/>
                <w:szCs w:val="20"/>
              </w:rPr>
              <w:t>community awareness campaigns to promote</w:t>
            </w:r>
            <w:r w:rsidR="002F10D1" w:rsidRPr="00A47A63">
              <w:rPr>
                <w:sz w:val="20"/>
                <w:szCs w:val="20"/>
              </w:rPr>
              <w:t xml:space="preserve"> </w:t>
            </w:r>
            <w:r w:rsidR="00CD4640" w:rsidRPr="00A47A63">
              <w:rPr>
                <w:sz w:val="20"/>
                <w:szCs w:val="20"/>
              </w:rPr>
              <w:t xml:space="preserve">public and </w:t>
            </w:r>
            <w:r w:rsidR="00CD4640" w:rsidRPr="00A47A63">
              <w:rPr>
                <w:sz w:val="20"/>
                <w:szCs w:val="20"/>
              </w:rPr>
              <w:lastRenderedPageBreak/>
              <w:t>active transportation</w:t>
            </w:r>
            <w:r w:rsidR="002F10D1" w:rsidRPr="00A47A63">
              <w:rPr>
                <w:sz w:val="20"/>
                <w:szCs w:val="20"/>
              </w:rPr>
              <w:t xml:space="preserve"> options</w:t>
            </w:r>
            <w:r w:rsidR="0056348E">
              <w:rPr>
                <w:sz w:val="20"/>
                <w:szCs w:val="20"/>
              </w:rPr>
              <w:t>;</w:t>
            </w:r>
            <w:r w:rsidRPr="00A47A63">
              <w:rPr>
                <w:sz w:val="20"/>
                <w:szCs w:val="20"/>
              </w:rPr>
              <w:t xml:space="preserve"> and</w:t>
            </w:r>
            <w:r w:rsidR="00CD4640" w:rsidRPr="00A47A63">
              <w:rPr>
                <w:sz w:val="20"/>
                <w:szCs w:val="20"/>
              </w:rPr>
              <w:t xml:space="preserve"> </w:t>
            </w:r>
            <w:r w:rsidR="008546A9">
              <w:rPr>
                <w:sz w:val="20"/>
                <w:szCs w:val="20"/>
              </w:rPr>
              <w:t xml:space="preserve">3) </w:t>
            </w:r>
            <w:r w:rsidR="00CD4640" w:rsidRPr="00A47A63">
              <w:rPr>
                <w:sz w:val="20"/>
                <w:szCs w:val="20"/>
              </w:rPr>
              <w:t xml:space="preserve">funding provisions </w:t>
            </w:r>
            <w:r w:rsidR="002F10D1" w:rsidRPr="00A47A63">
              <w:rPr>
                <w:sz w:val="20"/>
                <w:szCs w:val="20"/>
              </w:rPr>
              <w:t xml:space="preserve">for </w:t>
            </w:r>
            <w:r w:rsidR="00486FDB" w:rsidRPr="00A47A63">
              <w:rPr>
                <w:sz w:val="20"/>
                <w:szCs w:val="20"/>
              </w:rPr>
              <w:t xml:space="preserve">remote </w:t>
            </w:r>
            <w:r w:rsidR="00CD4640" w:rsidRPr="00A47A63">
              <w:rPr>
                <w:sz w:val="20"/>
                <w:szCs w:val="20"/>
              </w:rPr>
              <w:t xml:space="preserve">learning, learning aids for students with disabilities and </w:t>
            </w:r>
            <w:r w:rsidR="007D1D9F" w:rsidRPr="00A47A63">
              <w:rPr>
                <w:sz w:val="20"/>
                <w:szCs w:val="20"/>
              </w:rPr>
              <w:t xml:space="preserve">providing advice on </w:t>
            </w:r>
            <w:r w:rsidR="00CD4640" w:rsidRPr="00A47A63">
              <w:rPr>
                <w:sz w:val="20"/>
                <w:szCs w:val="20"/>
              </w:rPr>
              <w:t xml:space="preserve">housing subsidy </w:t>
            </w:r>
            <w:r w:rsidR="00486FDB" w:rsidRPr="00A47A63">
              <w:rPr>
                <w:sz w:val="20"/>
                <w:szCs w:val="20"/>
              </w:rPr>
              <w:t>polic</w:t>
            </w:r>
            <w:r w:rsidR="007D1D9F" w:rsidRPr="00A47A63">
              <w:rPr>
                <w:sz w:val="20"/>
                <w:szCs w:val="20"/>
              </w:rPr>
              <w:t>y</w:t>
            </w:r>
            <w:r w:rsidR="00CD4640" w:rsidRPr="00A47A63">
              <w:rPr>
                <w:sz w:val="20"/>
                <w:szCs w:val="20"/>
              </w:rPr>
              <w:t xml:space="preserve"> in the 2021 national budget leveraging $19. </w:t>
            </w:r>
          </w:p>
        </w:tc>
      </w:tr>
      <w:tr w:rsidR="00CD4640" w14:paraId="6CD31AB8" w14:textId="77777777" w:rsidTr="006E5AE4">
        <w:tc>
          <w:tcPr>
            <w:tcW w:w="3823" w:type="dxa"/>
            <w:tcBorders>
              <w:bottom w:val="single" w:sz="4" w:space="0" w:color="A6A6A6" w:themeColor="background1" w:themeShade="A6"/>
            </w:tcBorders>
          </w:tcPr>
          <w:p w14:paraId="26D476D6" w14:textId="77777777" w:rsidR="00CD4640" w:rsidRPr="005C41E3" w:rsidRDefault="00CD4640" w:rsidP="002617BA">
            <w:pPr>
              <w:spacing w:before="0" w:after="0" w:line="240" w:lineRule="auto"/>
              <w:rPr>
                <w:sz w:val="20"/>
                <w:szCs w:val="20"/>
              </w:rPr>
            </w:pPr>
            <w:r w:rsidRPr="005C41E3">
              <w:rPr>
                <w:sz w:val="20"/>
                <w:szCs w:val="20"/>
              </w:rPr>
              <w:lastRenderedPageBreak/>
              <w:t>Number of senior Philippine Government staff implementing projects and actions that apply learning gained in Australia-supported short courses relating to COVID-19 response and recovery</w:t>
            </w:r>
          </w:p>
        </w:tc>
        <w:tc>
          <w:tcPr>
            <w:tcW w:w="6713" w:type="dxa"/>
            <w:tcBorders>
              <w:bottom w:val="single" w:sz="4" w:space="0" w:color="A6A6A6" w:themeColor="background1" w:themeShade="A6"/>
            </w:tcBorders>
          </w:tcPr>
          <w:p w14:paraId="5EC9551D" w14:textId="69EF248A" w:rsidR="00CD4640" w:rsidRPr="005C41E3" w:rsidRDefault="00091B4B" w:rsidP="002617BA">
            <w:pPr>
              <w:spacing w:before="0" w:after="0" w:line="240" w:lineRule="auto"/>
              <w:rPr>
                <w:sz w:val="20"/>
                <w:szCs w:val="20"/>
              </w:rPr>
            </w:pPr>
            <w:r>
              <w:rPr>
                <w:sz w:val="20"/>
                <w:szCs w:val="20"/>
              </w:rPr>
              <w:t>Enhanced the capacity of</w:t>
            </w:r>
            <w:r w:rsidR="00DC7136" w:rsidRPr="005C41E3">
              <w:rPr>
                <w:sz w:val="20"/>
                <w:szCs w:val="20"/>
              </w:rPr>
              <w:t xml:space="preserve"> 860 (55</w:t>
            </w:r>
            <w:r>
              <w:rPr>
                <w:sz w:val="20"/>
                <w:szCs w:val="20"/>
              </w:rPr>
              <w:t xml:space="preserve"> per cent</w:t>
            </w:r>
            <w:r w:rsidR="00DC7136" w:rsidRPr="005C41E3">
              <w:rPr>
                <w:sz w:val="20"/>
                <w:szCs w:val="20"/>
              </w:rPr>
              <w:t xml:space="preserve"> </w:t>
            </w:r>
            <w:r w:rsidR="00995A7C">
              <w:rPr>
                <w:sz w:val="20"/>
                <w:szCs w:val="20"/>
              </w:rPr>
              <w:t>women</w:t>
            </w:r>
            <w:r w:rsidR="00DC7136" w:rsidRPr="005C41E3">
              <w:rPr>
                <w:sz w:val="20"/>
                <w:szCs w:val="20"/>
              </w:rPr>
              <w:t xml:space="preserve"> and 45</w:t>
            </w:r>
            <w:r>
              <w:rPr>
                <w:sz w:val="20"/>
                <w:szCs w:val="20"/>
              </w:rPr>
              <w:t xml:space="preserve"> per cent</w:t>
            </w:r>
            <w:r w:rsidR="00DC7136" w:rsidRPr="005C41E3">
              <w:rPr>
                <w:sz w:val="20"/>
                <w:szCs w:val="20"/>
              </w:rPr>
              <w:t xml:space="preserve"> </w:t>
            </w:r>
            <w:r w:rsidR="00995A7C">
              <w:rPr>
                <w:sz w:val="20"/>
                <w:szCs w:val="20"/>
              </w:rPr>
              <w:t>men</w:t>
            </w:r>
            <w:r w:rsidR="00DC7136" w:rsidRPr="005C41E3">
              <w:rPr>
                <w:sz w:val="20"/>
                <w:szCs w:val="20"/>
              </w:rPr>
              <w:t xml:space="preserve">) </w:t>
            </w:r>
            <w:r>
              <w:rPr>
                <w:sz w:val="20"/>
                <w:szCs w:val="20"/>
              </w:rPr>
              <w:t>government off</w:t>
            </w:r>
            <w:r w:rsidR="00DC7136" w:rsidRPr="005C41E3">
              <w:rPr>
                <w:sz w:val="20"/>
                <w:szCs w:val="20"/>
              </w:rPr>
              <w:t>icials</w:t>
            </w:r>
            <w:r>
              <w:rPr>
                <w:sz w:val="20"/>
                <w:szCs w:val="20"/>
              </w:rPr>
              <w:t xml:space="preserve">, </w:t>
            </w:r>
            <w:r w:rsidR="00DC7136" w:rsidRPr="005C41E3">
              <w:rPr>
                <w:sz w:val="20"/>
                <w:szCs w:val="20"/>
              </w:rPr>
              <w:t>through 18 short courses</w:t>
            </w:r>
            <w:r>
              <w:rPr>
                <w:sz w:val="20"/>
                <w:szCs w:val="20"/>
              </w:rPr>
              <w:t>, for</w:t>
            </w:r>
            <w:r w:rsidR="00DC7136" w:rsidRPr="005C41E3">
              <w:rPr>
                <w:sz w:val="20"/>
                <w:szCs w:val="20"/>
              </w:rPr>
              <w:t xml:space="preserve"> strategic planning for national economic recovery, budget management and digitalisation of service delivery. </w:t>
            </w:r>
          </w:p>
        </w:tc>
      </w:tr>
      <w:tr w:rsidR="00CD4640" w14:paraId="67E60FDA" w14:textId="77777777" w:rsidTr="006E5AE4">
        <w:tc>
          <w:tcPr>
            <w:tcW w:w="3823" w:type="dxa"/>
            <w:tcBorders>
              <w:bottom w:val="single" w:sz="4" w:space="0" w:color="A6A6A6" w:themeColor="background1" w:themeShade="A6"/>
            </w:tcBorders>
          </w:tcPr>
          <w:p w14:paraId="79B4E5DF" w14:textId="34CB8CFF" w:rsidR="00CD4640" w:rsidRPr="005C41E3" w:rsidRDefault="00CD4640" w:rsidP="002617BA">
            <w:pPr>
              <w:spacing w:before="0" w:after="0" w:line="240" w:lineRule="auto"/>
              <w:rPr>
                <w:sz w:val="20"/>
                <w:szCs w:val="20"/>
              </w:rPr>
            </w:pPr>
            <w:r w:rsidRPr="005C41E3">
              <w:rPr>
                <w:sz w:val="20"/>
                <w:szCs w:val="20"/>
              </w:rPr>
              <w:t xml:space="preserve">Evidence that key BARMM planning and service delivery systems are more inclusive, conflict-sensitive, and COVID-safe [e.g., education; water sanitation and </w:t>
            </w:r>
            <w:proofErr w:type="gramStart"/>
            <w:r w:rsidRPr="005C41E3">
              <w:rPr>
                <w:sz w:val="20"/>
                <w:szCs w:val="20"/>
              </w:rPr>
              <w:t>hygiene ;</w:t>
            </w:r>
            <w:proofErr w:type="gramEnd"/>
            <w:r w:rsidRPr="005C41E3">
              <w:rPr>
                <w:sz w:val="20"/>
                <w:szCs w:val="20"/>
              </w:rPr>
              <w:t xml:space="preserve"> roads; </w:t>
            </w:r>
            <w:r w:rsidR="009B3B98" w:rsidRPr="005C41E3">
              <w:rPr>
                <w:sz w:val="20"/>
                <w:szCs w:val="20"/>
              </w:rPr>
              <w:t>GBV counselling</w:t>
            </w:r>
            <w:r w:rsidRPr="005C41E3">
              <w:rPr>
                <w:sz w:val="20"/>
                <w:szCs w:val="20"/>
              </w:rPr>
              <w:t xml:space="preserve"> and referral; conflict monitoring</w:t>
            </w:r>
            <w:r w:rsidR="009B3B98" w:rsidRPr="005C41E3">
              <w:rPr>
                <w:sz w:val="20"/>
                <w:szCs w:val="20"/>
              </w:rPr>
              <w:t>]</w:t>
            </w:r>
          </w:p>
        </w:tc>
        <w:tc>
          <w:tcPr>
            <w:tcW w:w="6713" w:type="dxa"/>
            <w:tcBorders>
              <w:bottom w:val="single" w:sz="4" w:space="0" w:color="A6A6A6" w:themeColor="background1" w:themeShade="A6"/>
            </w:tcBorders>
          </w:tcPr>
          <w:p w14:paraId="2BE3A4E8" w14:textId="70F54275" w:rsidR="00CD4640" w:rsidRPr="005C41E3" w:rsidRDefault="00091B4B" w:rsidP="002617BA">
            <w:pPr>
              <w:spacing w:before="0" w:after="0" w:line="240" w:lineRule="auto"/>
              <w:rPr>
                <w:sz w:val="20"/>
                <w:szCs w:val="20"/>
              </w:rPr>
            </w:pPr>
            <w:r>
              <w:rPr>
                <w:sz w:val="20"/>
                <w:szCs w:val="20"/>
              </w:rPr>
              <w:t>Supported the</w:t>
            </w:r>
            <w:r w:rsidR="00CD4640" w:rsidRPr="005C41E3">
              <w:rPr>
                <w:sz w:val="20"/>
                <w:szCs w:val="20"/>
              </w:rPr>
              <w:t xml:space="preserve"> drafting of the Bangsamoro Education Code </w:t>
            </w:r>
            <w:r>
              <w:rPr>
                <w:sz w:val="20"/>
                <w:szCs w:val="20"/>
              </w:rPr>
              <w:t xml:space="preserve">involving </w:t>
            </w:r>
            <w:r w:rsidR="00CD4640" w:rsidRPr="005C41E3">
              <w:rPr>
                <w:sz w:val="20"/>
                <w:szCs w:val="20"/>
              </w:rPr>
              <w:t xml:space="preserve">consultations </w:t>
            </w:r>
            <w:r>
              <w:rPr>
                <w:sz w:val="20"/>
                <w:szCs w:val="20"/>
              </w:rPr>
              <w:t>with</w:t>
            </w:r>
            <w:r w:rsidRPr="005C41E3">
              <w:rPr>
                <w:sz w:val="20"/>
                <w:szCs w:val="20"/>
              </w:rPr>
              <w:t xml:space="preserve"> </w:t>
            </w:r>
            <w:r w:rsidR="00CD4640" w:rsidRPr="005C41E3">
              <w:rPr>
                <w:sz w:val="20"/>
                <w:szCs w:val="20"/>
              </w:rPr>
              <w:t xml:space="preserve">63 villages, </w:t>
            </w:r>
            <w:r>
              <w:rPr>
                <w:sz w:val="20"/>
                <w:szCs w:val="20"/>
              </w:rPr>
              <w:t xml:space="preserve">and </w:t>
            </w:r>
            <w:r w:rsidR="00CD4640" w:rsidRPr="005C41E3">
              <w:rPr>
                <w:sz w:val="20"/>
                <w:szCs w:val="20"/>
              </w:rPr>
              <w:t>641</w:t>
            </w:r>
            <w:r>
              <w:rPr>
                <w:sz w:val="20"/>
                <w:szCs w:val="20"/>
              </w:rPr>
              <w:t xml:space="preserve"> people</w:t>
            </w:r>
            <w:r w:rsidR="00CD4640" w:rsidRPr="005C41E3">
              <w:rPr>
                <w:sz w:val="20"/>
                <w:szCs w:val="20"/>
              </w:rPr>
              <w:t xml:space="preserve"> (49</w:t>
            </w:r>
            <w:r>
              <w:rPr>
                <w:sz w:val="20"/>
                <w:szCs w:val="20"/>
              </w:rPr>
              <w:t xml:space="preserve"> per cent</w:t>
            </w:r>
            <w:r w:rsidR="00CD4640" w:rsidRPr="005C41E3">
              <w:rPr>
                <w:sz w:val="20"/>
                <w:szCs w:val="20"/>
              </w:rPr>
              <w:t xml:space="preserve"> </w:t>
            </w:r>
            <w:r>
              <w:rPr>
                <w:sz w:val="20"/>
                <w:szCs w:val="20"/>
              </w:rPr>
              <w:t>woman</w:t>
            </w:r>
            <w:r w:rsidR="00CD4640" w:rsidRPr="005C41E3">
              <w:rPr>
                <w:sz w:val="20"/>
                <w:szCs w:val="20"/>
              </w:rPr>
              <w:t xml:space="preserve">, </w:t>
            </w:r>
            <w:r>
              <w:rPr>
                <w:sz w:val="20"/>
                <w:szCs w:val="20"/>
              </w:rPr>
              <w:br/>
            </w:r>
            <w:r w:rsidR="00CD4640" w:rsidRPr="005C41E3">
              <w:rPr>
                <w:sz w:val="20"/>
                <w:szCs w:val="20"/>
              </w:rPr>
              <w:t>5</w:t>
            </w:r>
            <w:r>
              <w:rPr>
                <w:sz w:val="20"/>
                <w:szCs w:val="20"/>
              </w:rPr>
              <w:t xml:space="preserve">1 per </w:t>
            </w:r>
            <w:r w:rsidR="002B200D">
              <w:rPr>
                <w:sz w:val="20"/>
                <w:szCs w:val="20"/>
              </w:rPr>
              <w:t xml:space="preserve">cent </w:t>
            </w:r>
            <w:r w:rsidR="002B200D" w:rsidRPr="005C41E3">
              <w:rPr>
                <w:sz w:val="20"/>
                <w:szCs w:val="20"/>
              </w:rPr>
              <w:t>men</w:t>
            </w:r>
            <w:r>
              <w:rPr>
                <w:sz w:val="20"/>
                <w:szCs w:val="20"/>
              </w:rPr>
              <w:t xml:space="preserve">) </w:t>
            </w:r>
            <w:r w:rsidR="00CD4640" w:rsidRPr="005C41E3">
              <w:rPr>
                <w:sz w:val="20"/>
                <w:szCs w:val="20"/>
              </w:rPr>
              <w:t xml:space="preserve">from various religious and indigenous groups and institutions. </w:t>
            </w:r>
          </w:p>
          <w:p w14:paraId="466A8576" w14:textId="77D0308C" w:rsidR="00CD4640" w:rsidRDefault="00091B4B" w:rsidP="002617BA">
            <w:pPr>
              <w:spacing w:before="0" w:after="0" w:line="240" w:lineRule="auto"/>
              <w:ind w:left="2"/>
              <w:rPr>
                <w:sz w:val="20"/>
                <w:szCs w:val="20"/>
              </w:rPr>
            </w:pPr>
            <w:r>
              <w:rPr>
                <w:sz w:val="20"/>
                <w:szCs w:val="20"/>
              </w:rPr>
              <w:t>Supported the d</w:t>
            </w:r>
            <w:r w:rsidR="00CD4640" w:rsidRPr="005C41E3">
              <w:rPr>
                <w:sz w:val="20"/>
                <w:szCs w:val="20"/>
              </w:rPr>
              <w:t xml:space="preserve">evelopment of the Camps Transformation Plan to guide the transformation of six Moro Islamic Liberation Front camps into peaceful and productive communities as part of the ‘normalisation’ process. </w:t>
            </w:r>
          </w:p>
          <w:p w14:paraId="1CCC625B" w14:textId="6C6F2514" w:rsidR="0056348E" w:rsidRPr="005C41E3" w:rsidRDefault="0056348E" w:rsidP="002617BA">
            <w:pPr>
              <w:spacing w:before="0" w:after="0" w:line="240" w:lineRule="auto"/>
              <w:ind w:left="2"/>
              <w:rPr>
                <w:sz w:val="20"/>
                <w:szCs w:val="20"/>
              </w:rPr>
            </w:pPr>
            <w:r>
              <w:rPr>
                <w:sz w:val="20"/>
                <w:szCs w:val="20"/>
              </w:rPr>
              <w:t>Expansion of the Critical Events Monitoring System and Early Response Networks to monitor COVID-related social unrest.</w:t>
            </w:r>
          </w:p>
        </w:tc>
      </w:tr>
      <w:tr w:rsidR="00CD4640" w14:paraId="391E0EA6" w14:textId="77777777" w:rsidTr="006E5AE4">
        <w:tc>
          <w:tcPr>
            <w:tcW w:w="3823" w:type="dxa"/>
            <w:tcBorders>
              <w:bottom w:val="single" w:sz="4" w:space="0" w:color="A6A6A6" w:themeColor="background1" w:themeShade="A6"/>
            </w:tcBorders>
          </w:tcPr>
          <w:p w14:paraId="7FFB1361" w14:textId="04D2F17A" w:rsidR="00CD4640" w:rsidRPr="005C41E3" w:rsidRDefault="00CD4640" w:rsidP="002617BA">
            <w:pPr>
              <w:spacing w:before="0" w:after="0" w:line="240" w:lineRule="auto"/>
              <w:rPr>
                <w:sz w:val="20"/>
                <w:szCs w:val="20"/>
              </w:rPr>
            </w:pPr>
            <w:r w:rsidRPr="005C41E3">
              <w:rPr>
                <w:sz w:val="20"/>
                <w:szCs w:val="20"/>
              </w:rPr>
              <w:t>Number of additional girls and boys enrolled in school within the BARMM region</w:t>
            </w:r>
          </w:p>
        </w:tc>
        <w:tc>
          <w:tcPr>
            <w:tcW w:w="6713" w:type="dxa"/>
            <w:tcBorders>
              <w:bottom w:val="single" w:sz="4" w:space="0" w:color="A6A6A6" w:themeColor="background1" w:themeShade="A6"/>
            </w:tcBorders>
          </w:tcPr>
          <w:p w14:paraId="7D9786DF" w14:textId="3FAEC686" w:rsidR="00CD4640" w:rsidRPr="00FB43CA" w:rsidRDefault="00134684" w:rsidP="002617BA">
            <w:pPr>
              <w:spacing w:before="0" w:after="0" w:line="240" w:lineRule="auto"/>
            </w:pPr>
            <w:r>
              <w:rPr>
                <w:sz w:val="20"/>
                <w:szCs w:val="20"/>
              </w:rPr>
              <w:t xml:space="preserve">A total of </w:t>
            </w:r>
            <w:r w:rsidRPr="005C41E3">
              <w:rPr>
                <w:sz w:val="20"/>
                <w:szCs w:val="20"/>
              </w:rPr>
              <w:t>2,784</w:t>
            </w:r>
            <w:r>
              <w:rPr>
                <w:sz w:val="20"/>
                <w:szCs w:val="20"/>
              </w:rPr>
              <w:t xml:space="preserve"> additional children were</w:t>
            </w:r>
            <w:r w:rsidR="00CD4640" w:rsidRPr="005C41E3">
              <w:rPr>
                <w:sz w:val="20"/>
                <w:szCs w:val="20"/>
              </w:rPr>
              <w:t xml:space="preserve"> enrolled in school</w:t>
            </w:r>
            <w:r>
              <w:rPr>
                <w:sz w:val="20"/>
                <w:szCs w:val="20"/>
              </w:rPr>
              <w:t xml:space="preserve"> </w:t>
            </w:r>
            <w:r w:rsidRPr="005C41E3">
              <w:rPr>
                <w:sz w:val="20"/>
                <w:szCs w:val="20"/>
              </w:rPr>
              <w:t>within the BARMM region</w:t>
            </w:r>
            <w:r>
              <w:rPr>
                <w:sz w:val="20"/>
                <w:szCs w:val="20"/>
              </w:rPr>
              <w:t xml:space="preserve"> (g</w:t>
            </w:r>
            <w:r w:rsidR="00CD4640" w:rsidRPr="00A47A63">
              <w:rPr>
                <w:sz w:val="20"/>
                <w:szCs w:val="20"/>
              </w:rPr>
              <w:t>irls: 1,429</w:t>
            </w:r>
            <w:r>
              <w:rPr>
                <w:sz w:val="20"/>
                <w:szCs w:val="20"/>
              </w:rPr>
              <w:t>, b</w:t>
            </w:r>
            <w:r w:rsidR="00CD4640" w:rsidRPr="00A47A63">
              <w:rPr>
                <w:sz w:val="20"/>
                <w:szCs w:val="20"/>
              </w:rPr>
              <w:t>oys: 1</w:t>
            </w:r>
            <w:r>
              <w:rPr>
                <w:sz w:val="20"/>
                <w:szCs w:val="20"/>
              </w:rPr>
              <w:t>,</w:t>
            </w:r>
            <w:r w:rsidR="00CD4640" w:rsidRPr="00A47A63">
              <w:rPr>
                <w:sz w:val="20"/>
                <w:szCs w:val="20"/>
              </w:rPr>
              <w:t>355</w:t>
            </w:r>
            <w:r>
              <w:rPr>
                <w:sz w:val="20"/>
                <w:szCs w:val="20"/>
              </w:rPr>
              <w:t xml:space="preserve">, </w:t>
            </w:r>
            <w:r w:rsidRPr="00FB43CA">
              <w:rPr>
                <w:sz w:val="20"/>
                <w:szCs w:val="20"/>
              </w:rPr>
              <w:t>children</w:t>
            </w:r>
            <w:r w:rsidR="00CD4640" w:rsidRPr="00FB43CA">
              <w:rPr>
                <w:sz w:val="20"/>
                <w:szCs w:val="20"/>
              </w:rPr>
              <w:t xml:space="preserve"> with disabilit</w:t>
            </w:r>
            <w:r w:rsidR="00995A7C">
              <w:rPr>
                <w:sz w:val="20"/>
                <w:szCs w:val="20"/>
              </w:rPr>
              <w:t>ies</w:t>
            </w:r>
            <w:r w:rsidR="00CD4640" w:rsidRPr="00FB43CA">
              <w:rPr>
                <w:sz w:val="20"/>
                <w:szCs w:val="20"/>
              </w:rPr>
              <w:t>: 11</w:t>
            </w:r>
            <w:r w:rsidRPr="00FB43CA">
              <w:rPr>
                <w:sz w:val="20"/>
                <w:szCs w:val="20"/>
              </w:rPr>
              <w:t>)</w:t>
            </w:r>
            <w:r w:rsidR="005C41E3" w:rsidRPr="00FB43CA">
              <w:rPr>
                <w:sz w:val="20"/>
                <w:szCs w:val="20"/>
              </w:rPr>
              <w:t>.</w:t>
            </w:r>
          </w:p>
        </w:tc>
      </w:tr>
      <w:tr w:rsidR="00CD4640" w14:paraId="6831DEA6" w14:textId="77777777" w:rsidTr="006E5AE4">
        <w:tc>
          <w:tcPr>
            <w:tcW w:w="3823" w:type="dxa"/>
            <w:tcBorders>
              <w:bottom w:val="single" w:sz="4" w:space="0" w:color="A6A6A6" w:themeColor="background1" w:themeShade="A6"/>
            </w:tcBorders>
          </w:tcPr>
          <w:p w14:paraId="5124D709" w14:textId="77777777" w:rsidR="00CD4640" w:rsidRPr="005C41E3" w:rsidRDefault="00CD4640" w:rsidP="002617BA">
            <w:pPr>
              <w:spacing w:before="0" w:after="0" w:line="240" w:lineRule="auto"/>
              <w:rPr>
                <w:sz w:val="20"/>
                <w:szCs w:val="20"/>
              </w:rPr>
            </w:pPr>
            <w:r w:rsidRPr="005C41E3">
              <w:rPr>
                <w:sz w:val="20"/>
                <w:szCs w:val="20"/>
              </w:rPr>
              <w:t>Number of strengthened gender-inclusive community-level conflict resolution mechanisms</w:t>
            </w:r>
          </w:p>
        </w:tc>
        <w:tc>
          <w:tcPr>
            <w:tcW w:w="6713" w:type="dxa"/>
            <w:tcBorders>
              <w:bottom w:val="single" w:sz="4" w:space="0" w:color="A6A6A6" w:themeColor="background1" w:themeShade="A6"/>
            </w:tcBorders>
          </w:tcPr>
          <w:p w14:paraId="200E85DB" w14:textId="7F558EC2" w:rsidR="00CD4640" w:rsidRPr="005C41E3" w:rsidRDefault="00134684" w:rsidP="002617BA">
            <w:pPr>
              <w:spacing w:before="0" w:after="0" w:line="240" w:lineRule="auto"/>
              <w:rPr>
                <w:sz w:val="20"/>
                <w:szCs w:val="20"/>
              </w:rPr>
            </w:pPr>
            <w:r>
              <w:rPr>
                <w:sz w:val="20"/>
                <w:szCs w:val="20"/>
              </w:rPr>
              <w:t xml:space="preserve">Supported </w:t>
            </w:r>
            <w:r w:rsidR="00CD4640" w:rsidRPr="005C41E3">
              <w:rPr>
                <w:sz w:val="20"/>
                <w:szCs w:val="20"/>
              </w:rPr>
              <w:t xml:space="preserve">27 cases of violent clan conflict </w:t>
            </w:r>
            <w:r>
              <w:rPr>
                <w:sz w:val="20"/>
                <w:szCs w:val="20"/>
              </w:rPr>
              <w:t>mediation (</w:t>
            </w:r>
            <w:r w:rsidR="00CD4640" w:rsidRPr="005C41E3">
              <w:rPr>
                <w:sz w:val="20"/>
                <w:szCs w:val="20"/>
              </w:rPr>
              <w:t>with nine formally settled</w:t>
            </w:r>
            <w:r>
              <w:rPr>
                <w:sz w:val="20"/>
                <w:szCs w:val="20"/>
              </w:rPr>
              <w:t>)</w:t>
            </w:r>
            <w:r w:rsidR="000F6712">
              <w:rPr>
                <w:sz w:val="20"/>
                <w:szCs w:val="20"/>
              </w:rPr>
              <w:t xml:space="preserve">. </w:t>
            </w:r>
            <w:r w:rsidR="00CD4640" w:rsidRPr="005C41E3">
              <w:rPr>
                <w:sz w:val="20"/>
                <w:szCs w:val="20"/>
              </w:rPr>
              <w:t>13 cases of local conflicts</w:t>
            </w:r>
            <w:r>
              <w:rPr>
                <w:sz w:val="20"/>
                <w:szCs w:val="20"/>
              </w:rPr>
              <w:t xml:space="preserve"> </w:t>
            </w:r>
            <w:r w:rsidRPr="005C41E3">
              <w:rPr>
                <w:sz w:val="20"/>
                <w:szCs w:val="20"/>
              </w:rPr>
              <w:t>resolved</w:t>
            </w:r>
            <w:r w:rsidR="00CD4640" w:rsidRPr="005C41E3">
              <w:rPr>
                <w:sz w:val="20"/>
                <w:szCs w:val="20"/>
              </w:rPr>
              <w:t xml:space="preserve"> were between 2017 to 2020</w:t>
            </w:r>
            <w:r>
              <w:rPr>
                <w:sz w:val="20"/>
                <w:szCs w:val="20"/>
              </w:rPr>
              <w:t xml:space="preserve">, with an </w:t>
            </w:r>
            <w:r w:rsidR="00CD4640" w:rsidRPr="005C41E3">
              <w:rPr>
                <w:sz w:val="20"/>
                <w:szCs w:val="20"/>
              </w:rPr>
              <w:t>additional five cases settled in the first six months of 2021</w:t>
            </w:r>
            <w:r w:rsidR="005C41E3">
              <w:rPr>
                <w:sz w:val="20"/>
                <w:szCs w:val="20"/>
              </w:rPr>
              <w:t>.</w:t>
            </w:r>
          </w:p>
        </w:tc>
      </w:tr>
      <w:tr w:rsidR="00CD4640" w14:paraId="4745A848" w14:textId="77777777" w:rsidTr="006E5AE4">
        <w:tc>
          <w:tcPr>
            <w:tcW w:w="3823" w:type="dxa"/>
            <w:tcBorders>
              <w:bottom w:val="single" w:sz="4" w:space="0" w:color="A6A6A6" w:themeColor="background1" w:themeShade="A6"/>
            </w:tcBorders>
          </w:tcPr>
          <w:p w14:paraId="5C377A11" w14:textId="77777777" w:rsidR="00CD4640" w:rsidRPr="005C41E3" w:rsidRDefault="00CD4640" w:rsidP="002617BA">
            <w:pPr>
              <w:spacing w:before="0" w:after="0" w:line="240" w:lineRule="auto"/>
              <w:rPr>
                <w:sz w:val="20"/>
                <w:szCs w:val="20"/>
              </w:rPr>
            </w:pPr>
            <w:r w:rsidRPr="005C41E3">
              <w:rPr>
                <w:sz w:val="20"/>
                <w:szCs w:val="20"/>
              </w:rPr>
              <w:t>Number of men, women, boys, and girls in conflict situations provided with basic services and economic opportunities</w:t>
            </w:r>
          </w:p>
        </w:tc>
        <w:tc>
          <w:tcPr>
            <w:tcW w:w="6713" w:type="dxa"/>
            <w:tcBorders>
              <w:bottom w:val="single" w:sz="4" w:space="0" w:color="A6A6A6" w:themeColor="background1" w:themeShade="A6"/>
            </w:tcBorders>
          </w:tcPr>
          <w:p w14:paraId="35BBC594" w14:textId="4D4F7BBE" w:rsidR="00CD4640" w:rsidRPr="00A47A63" w:rsidRDefault="00134684" w:rsidP="002617BA">
            <w:pPr>
              <w:spacing w:before="0" w:after="0" w:line="240" w:lineRule="auto"/>
              <w:rPr>
                <w:sz w:val="20"/>
                <w:szCs w:val="20"/>
              </w:rPr>
            </w:pPr>
            <w:r>
              <w:rPr>
                <w:sz w:val="20"/>
                <w:szCs w:val="20"/>
              </w:rPr>
              <w:t>Through the</w:t>
            </w:r>
            <w:r w:rsidR="00CD4640" w:rsidRPr="005C41E3">
              <w:rPr>
                <w:sz w:val="20"/>
                <w:szCs w:val="20"/>
              </w:rPr>
              <w:t xml:space="preserve"> Abu Sayyaf Group</w:t>
            </w:r>
            <w:r>
              <w:rPr>
                <w:sz w:val="20"/>
                <w:szCs w:val="20"/>
              </w:rPr>
              <w:t xml:space="preserve"> </w:t>
            </w:r>
            <w:r w:rsidR="00CD4640" w:rsidRPr="005C41E3">
              <w:rPr>
                <w:sz w:val="20"/>
                <w:szCs w:val="20"/>
              </w:rPr>
              <w:t xml:space="preserve">Reintegration Program in Basilan </w:t>
            </w:r>
            <w:proofErr w:type="gramStart"/>
            <w:r w:rsidR="002B200D">
              <w:rPr>
                <w:sz w:val="20"/>
                <w:szCs w:val="20"/>
              </w:rPr>
              <w:t>P</w:t>
            </w:r>
            <w:r w:rsidR="00CD4640" w:rsidRPr="005C41E3">
              <w:rPr>
                <w:sz w:val="20"/>
                <w:szCs w:val="20"/>
              </w:rPr>
              <w:t>rovince</w:t>
            </w:r>
            <w:proofErr w:type="gramEnd"/>
            <w:r>
              <w:rPr>
                <w:sz w:val="20"/>
                <w:szCs w:val="20"/>
              </w:rPr>
              <w:t xml:space="preserve"> </w:t>
            </w:r>
            <w:r w:rsidR="009D3B22">
              <w:rPr>
                <w:sz w:val="20"/>
                <w:szCs w:val="20"/>
              </w:rPr>
              <w:t xml:space="preserve">we supported the reintegration of </w:t>
            </w:r>
            <w:r w:rsidR="00CD4640" w:rsidRPr="009D3B22">
              <w:rPr>
                <w:sz w:val="20"/>
                <w:szCs w:val="20"/>
              </w:rPr>
              <w:t>296</w:t>
            </w:r>
            <w:r w:rsidR="009D3B22">
              <w:rPr>
                <w:sz w:val="20"/>
                <w:szCs w:val="20"/>
              </w:rPr>
              <w:t xml:space="preserve"> returnees</w:t>
            </w:r>
            <w:r w:rsidR="00995A7C">
              <w:rPr>
                <w:sz w:val="20"/>
                <w:szCs w:val="20"/>
              </w:rPr>
              <w:t xml:space="preserve">. </w:t>
            </w:r>
            <w:r w:rsidR="009D3B22">
              <w:rPr>
                <w:sz w:val="20"/>
                <w:szCs w:val="20"/>
              </w:rPr>
              <w:t xml:space="preserve">A further </w:t>
            </w:r>
            <w:r>
              <w:rPr>
                <w:sz w:val="20"/>
                <w:szCs w:val="20"/>
              </w:rPr>
              <w:t xml:space="preserve">180 women, with </w:t>
            </w:r>
            <w:r w:rsidR="00CD4640" w:rsidRPr="009D3B22">
              <w:rPr>
                <w:sz w:val="20"/>
                <w:szCs w:val="20"/>
              </w:rPr>
              <w:t xml:space="preserve">48 </w:t>
            </w:r>
            <w:r>
              <w:rPr>
                <w:sz w:val="20"/>
                <w:szCs w:val="20"/>
              </w:rPr>
              <w:t>being</w:t>
            </w:r>
            <w:r w:rsidRPr="00A47A63">
              <w:rPr>
                <w:sz w:val="20"/>
                <w:szCs w:val="20"/>
              </w:rPr>
              <w:t xml:space="preserve"> </w:t>
            </w:r>
            <w:r w:rsidR="00CD4640" w:rsidRPr="00A47A63">
              <w:rPr>
                <w:sz w:val="20"/>
                <w:szCs w:val="20"/>
              </w:rPr>
              <w:t>wives of returnees</w:t>
            </w:r>
            <w:r>
              <w:rPr>
                <w:sz w:val="20"/>
                <w:szCs w:val="20"/>
              </w:rPr>
              <w:t xml:space="preserve">, and </w:t>
            </w:r>
            <w:r w:rsidR="00CD4640" w:rsidRPr="009D3B22">
              <w:rPr>
                <w:sz w:val="20"/>
                <w:szCs w:val="20"/>
              </w:rPr>
              <w:t>406</w:t>
            </w:r>
            <w:r>
              <w:rPr>
                <w:sz w:val="20"/>
                <w:szCs w:val="20"/>
              </w:rPr>
              <w:t xml:space="preserve"> children were supported. </w:t>
            </w:r>
            <w:r w:rsidR="007E04F9">
              <w:rPr>
                <w:sz w:val="20"/>
                <w:szCs w:val="20"/>
              </w:rPr>
              <w:t xml:space="preserve">Sex disaggregated data not available for children supported. </w:t>
            </w:r>
          </w:p>
          <w:p w14:paraId="3D129BAD" w14:textId="1E6C5ED0" w:rsidR="009D3B22" w:rsidRPr="009D3B22" w:rsidRDefault="00134684" w:rsidP="002617BA">
            <w:pPr>
              <w:spacing w:before="0" w:after="0" w:line="240" w:lineRule="auto"/>
              <w:rPr>
                <w:sz w:val="20"/>
                <w:szCs w:val="20"/>
              </w:rPr>
            </w:pPr>
            <w:r w:rsidRPr="00A47A63">
              <w:rPr>
                <w:sz w:val="20"/>
                <w:szCs w:val="20"/>
              </w:rPr>
              <w:t xml:space="preserve">Through the </w:t>
            </w:r>
            <w:r w:rsidR="00CD4640" w:rsidRPr="00A47A63">
              <w:rPr>
                <w:sz w:val="20"/>
                <w:szCs w:val="20"/>
              </w:rPr>
              <w:t>Preventing Violent Extremism in Asia</w:t>
            </w:r>
            <w:r w:rsidRPr="00A47A63">
              <w:rPr>
                <w:sz w:val="20"/>
                <w:szCs w:val="20"/>
              </w:rPr>
              <w:t>/</w:t>
            </w:r>
            <w:r w:rsidR="00CD4640" w:rsidRPr="00A47A63">
              <w:rPr>
                <w:sz w:val="20"/>
                <w:szCs w:val="20"/>
              </w:rPr>
              <w:t>Global Community Engagement Resilience Fund</w:t>
            </w:r>
            <w:r w:rsidRPr="00A47A63">
              <w:rPr>
                <w:sz w:val="20"/>
                <w:szCs w:val="20"/>
              </w:rPr>
              <w:t xml:space="preserve"> 2,520 people </w:t>
            </w:r>
            <w:r w:rsidRPr="009D3B22">
              <w:rPr>
                <w:sz w:val="20"/>
                <w:szCs w:val="20"/>
              </w:rPr>
              <w:t>(1,375 men, 1,145 women) were supported.</w:t>
            </w:r>
          </w:p>
          <w:p w14:paraId="0D0300E2" w14:textId="3BB13B38" w:rsidR="001F397B" w:rsidRPr="009D3B22" w:rsidRDefault="001F397B" w:rsidP="001F397B">
            <w:pPr>
              <w:spacing w:after="0" w:line="240" w:lineRule="auto"/>
              <w:jc w:val="right"/>
            </w:pPr>
          </w:p>
        </w:tc>
      </w:tr>
      <w:tr w:rsidR="00CD4640" w14:paraId="274D9BAC" w14:textId="77777777" w:rsidTr="006E5AE4">
        <w:tc>
          <w:tcPr>
            <w:tcW w:w="3823" w:type="dxa"/>
            <w:tcBorders>
              <w:bottom w:val="single" w:sz="4" w:space="0" w:color="A6A6A6" w:themeColor="background1" w:themeShade="A6"/>
            </w:tcBorders>
          </w:tcPr>
          <w:p w14:paraId="5655A540" w14:textId="77777777" w:rsidR="00CD4640" w:rsidRPr="005C41E3" w:rsidRDefault="00CD4640" w:rsidP="002617BA">
            <w:pPr>
              <w:spacing w:before="0" w:after="0" w:line="240" w:lineRule="auto"/>
              <w:rPr>
                <w:sz w:val="20"/>
                <w:szCs w:val="20"/>
              </w:rPr>
            </w:pPr>
            <w:r w:rsidRPr="005C41E3">
              <w:rPr>
                <w:sz w:val="20"/>
                <w:szCs w:val="20"/>
              </w:rPr>
              <w:t>Philippines Internet Crimes Against Children (PICACC) agency is strengthened as a law enforcement hub combating online sexual exploitation of children</w:t>
            </w:r>
          </w:p>
        </w:tc>
        <w:tc>
          <w:tcPr>
            <w:tcW w:w="6713" w:type="dxa"/>
            <w:tcBorders>
              <w:bottom w:val="single" w:sz="4" w:space="0" w:color="A6A6A6" w:themeColor="background1" w:themeShade="A6"/>
            </w:tcBorders>
          </w:tcPr>
          <w:p w14:paraId="02919D56" w14:textId="0ACD0FF3" w:rsidR="00CD4640" w:rsidRPr="005C41E3" w:rsidRDefault="00887B1F" w:rsidP="002617BA">
            <w:pPr>
              <w:pStyle w:val="Bullet1"/>
              <w:numPr>
                <w:ilvl w:val="0"/>
                <w:numId w:val="0"/>
              </w:numPr>
              <w:spacing w:after="0" w:line="240" w:lineRule="auto"/>
              <w:rPr>
                <w:sz w:val="20"/>
                <w:szCs w:val="20"/>
              </w:rPr>
            </w:pPr>
            <w:r>
              <w:rPr>
                <w:sz w:val="20"/>
                <w:szCs w:val="20"/>
              </w:rPr>
              <w:t>Supported</w:t>
            </w:r>
            <w:r w:rsidR="00377026" w:rsidRPr="005C41E3">
              <w:rPr>
                <w:sz w:val="20"/>
                <w:szCs w:val="20"/>
              </w:rPr>
              <w:t xml:space="preserve"> the PICACC </w:t>
            </w:r>
            <w:r>
              <w:rPr>
                <w:sz w:val="20"/>
                <w:szCs w:val="20"/>
              </w:rPr>
              <w:t>to</w:t>
            </w:r>
            <w:r w:rsidRPr="005C41E3">
              <w:rPr>
                <w:sz w:val="20"/>
                <w:szCs w:val="20"/>
              </w:rPr>
              <w:t xml:space="preserve"> </w:t>
            </w:r>
            <w:r w:rsidR="00377026" w:rsidRPr="005C41E3">
              <w:rPr>
                <w:sz w:val="20"/>
                <w:szCs w:val="20"/>
              </w:rPr>
              <w:t>recei</w:t>
            </w:r>
            <w:r>
              <w:rPr>
                <w:sz w:val="20"/>
                <w:szCs w:val="20"/>
              </w:rPr>
              <w:t>ve</w:t>
            </w:r>
            <w:r w:rsidR="00377026" w:rsidRPr="005C41E3">
              <w:rPr>
                <w:sz w:val="20"/>
                <w:szCs w:val="20"/>
              </w:rPr>
              <w:t xml:space="preserve"> 225 referrals</w:t>
            </w:r>
            <w:r w:rsidR="00EA6406" w:rsidRPr="005C41E3">
              <w:rPr>
                <w:sz w:val="20"/>
                <w:szCs w:val="20"/>
              </w:rPr>
              <w:t xml:space="preserve"> and</w:t>
            </w:r>
            <w:r w:rsidR="00377026" w:rsidRPr="005C41E3">
              <w:rPr>
                <w:sz w:val="20"/>
                <w:szCs w:val="20"/>
              </w:rPr>
              <w:t xml:space="preserve"> undertaken 117 operations, resulting in 82 offenders arrested and charged</w:t>
            </w:r>
            <w:r>
              <w:rPr>
                <w:sz w:val="20"/>
                <w:szCs w:val="20"/>
              </w:rPr>
              <w:t xml:space="preserve">, A total of </w:t>
            </w:r>
            <w:r w:rsidR="00377026" w:rsidRPr="005C41E3">
              <w:rPr>
                <w:sz w:val="20"/>
                <w:szCs w:val="20"/>
              </w:rPr>
              <w:t xml:space="preserve">355 victims </w:t>
            </w:r>
            <w:r>
              <w:rPr>
                <w:sz w:val="20"/>
                <w:szCs w:val="20"/>
              </w:rPr>
              <w:t xml:space="preserve">have been </w:t>
            </w:r>
            <w:r w:rsidR="00377026" w:rsidRPr="005C41E3">
              <w:rPr>
                <w:sz w:val="20"/>
                <w:szCs w:val="20"/>
              </w:rPr>
              <w:t xml:space="preserve">rescued since </w:t>
            </w:r>
            <w:r>
              <w:rPr>
                <w:sz w:val="20"/>
                <w:szCs w:val="20"/>
              </w:rPr>
              <w:t>the PICACC’s</w:t>
            </w:r>
            <w:r w:rsidRPr="005C41E3">
              <w:rPr>
                <w:sz w:val="20"/>
                <w:szCs w:val="20"/>
              </w:rPr>
              <w:t xml:space="preserve"> </w:t>
            </w:r>
            <w:r w:rsidR="00377026" w:rsidRPr="005C41E3">
              <w:rPr>
                <w:sz w:val="20"/>
                <w:szCs w:val="20"/>
              </w:rPr>
              <w:t>inception in 2019.</w:t>
            </w:r>
          </w:p>
        </w:tc>
      </w:tr>
      <w:tr w:rsidR="00CD4640" w14:paraId="2D6EC654" w14:textId="77777777" w:rsidTr="006E5AE4">
        <w:tc>
          <w:tcPr>
            <w:tcW w:w="3823" w:type="dxa"/>
            <w:tcBorders>
              <w:bottom w:val="single" w:sz="4" w:space="0" w:color="A6A6A6" w:themeColor="background1" w:themeShade="A6"/>
            </w:tcBorders>
          </w:tcPr>
          <w:p w14:paraId="6759EE80" w14:textId="77777777" w:rsidR="00CD4640" w:rsidRPr="005C41E3" w:rsidRDefault="00CD4640" w:rsidP="002617BA">
            <w:pPr>
              <w:spacing w:before="0" w:after="0" w:line="240" w:lineRule="auto"/>
              <w:rPr>
                <w:sz w:val="20"/>
                <w:szCs w:val="20"/>
              </w:rPr>
            </w:pPr>
            <w:r w:rsidRPr="005C41E3">
              <w:rPr>
                <w:sz w:val="20"/>
                <w:szCs w:val="20"/>
              </w:rPr>
              <w:t>Evidence of stronger, gender sensitive, and socially inclusive child protection policies and systems for prevention, response and reporting of online sexual exploitation of children</w:t>
            </w:r>
          </w:p>
        </w:tc>
        <w:tc>
          <w:tcPr>
            <w:tcW w:w="6713" w:type="dxa"/>
            <w:tcBorders>
              <w:bottom w:val="single" w:sz="4" w:space="0" w:color="A6A6A6" w:themeColor="background1" w:themeShade="A6"/>
            </w:tcBorders>
          </w:tcPr>
          <w:p w14:paraId="71CBA06E" w14:textId="0B35AC33" w:rsidR="0056348E" w:rsidRDefault="00CD4640" w:rsidP="002617BA">
            <w:pPr>
              <w:spacing w:before="0" w:after="0" w:line="240" w:lineRule="auto"/>
              <w:rPr>
                <w:sz w:val="20"/>
                <w:szCs w:val="20"/>
              </w:rPr>
            </w:pPr>
            <w:r w:rsidRPr="005C41E3">
              <w:rPr>
                <w:sz w:val="20"/>
                <w:szCs w:val="20"/>
              </w:rPr>
              <w:t>Supported the drafting and approval by the Philippine Senate of the anti-online sexual abuse and exploitation of children bill</w:t>
            </w:r>
            <w:r w:rsidR="00887B1F">
              <w:rPr>
                <w:sz w:val="20"/>
                <w:szCs w:val="20"/>
              </w:rPr>
              <w:t xml:space="preserve">. </w:t>
            </w:r>
          </w:p>
          <w:p w14:paraId="37861209" w14:textId="2BD67FFE" w:rsidR="00CD4640" w:rsidRPr="005C41E3" w:rsidRDefault="00CD4640" w:rsidP="002617BA">
            <w:pPr>
              <w:spacing w:before="0" w:after="0" w:line="240" w:lineRule="auto"/>
              <w:rPr>
                <w:sz w:val="20"/>
                <w:szCs w:val="20"/>
              </w:rPr>
            </w:pPr>
            <w:r w:rsidRPr="005C41E3">
              <w:rPr>
                <w:sz w:val="20"/>
                <w:szCs w:val="20"/>
              </w:rPr>
              <w:t xml:space="preserve">Supported the Philippine Department of Information and Communications Technology </w:t>
            </w:r>
            <w:r w:rsidR="00887B1F">
              <w:rPr>
                <w:sz w:val="20"/>
                <w:szCs w:val="20"/>
              </w:rPr>
              <w:t xml:space="preserve">to </w:t>
            </w:r>
            <w:r w:rsidRPr="005C41E3">
              <w:rPr>
                <w:sz w:val="20"/>
                <w:szCs w:val="20"/>
              </w:rPr>
              <w:t>draft and adopt the Child Online Safeguarding Policy</w:t>
            </w:r>
            <w:r w:rsidR="00887B1F">
              <w:rPr>
                <w:sz w:val="20"/>
                <w:szCs w:val="20"/>
              </w:rPr>
              <w:t xml:space="preserve">. </w:t>
            </w:r>
          </w:p>
        </w:tc>
      </w:tr>
      <w:tr w:rsidR="00CD4640" w14:paraId="2FB30570" w14:textId="77777777" w:rsidTr="006E5AE4">
        <w:tc>
          <w:tcPr>
            <w:tcW w:w="3823" w:type="dxa"/>
            <w:tcBorders>
              <w:bottom w:val="single" w:sz="4" w:space="0" w:color="A6A6A6" w:themeColor="background1" w:themeShade="A6"/>
            </w:tcBorders>
          </w:tcPr>
          <w:p w14:paraId="0DBB3CF1" w14:textId="594EF744" w:rsidR="00CD4640" w:rsidRPr="005C41E3" w:rsidRDefault="00CD4640" w:rsidP="002617BA">
            <w:pPr>
              <w:spacing w:before="0" w:after="0" w:line="240" w:lineRule="auto"/>
              <w:rPr>
                <w:sz w:val="20"/>
                <w:szCs w:val="20"/>
              </w:rPr>
            </w:pPr>
            <w:r w:rsidRPr="005C41E3">
              <w:rPr>
                <w:sz w:val="20"/>
                <w:szCs w:val="20"/>
              </w:rPr>
              <w:t>Number of women and girl survivors of violence receiving services such as counselling (e.g., access to safe spaces)</w:t>
            </w:r>
          </w:p>
        </w:tc>
        <w:tc>
          <w:tcPr>
            <w:tcW w:w="6713" w:type="dxa"/>
            <w:tcBorders>
              <w:bottom w:val="single" w:sz="4" w:space="0" w:color="A6A6A6" w:themeColor="background1" w:themeShade="A6"/>
            </w:tcBorders>
          </w:tcPr>
          <w:p w14:paraId="631D9468" w14:textId="14EEB2D5" w:rsidR="00CD4640" w:rsidRPr="005C41E3" w:rsidRDefault="00887B1F" w:rsidP="002617BA">
            <w:pPr>
              <w:spacing w:before="0" w:after="0" w:line="240" w:lineRule="auto"/>
              <w:rPr>
                <w:sz w:val="20"/>
                <w:szCs w:val="20"/>
              </w:rPr>
            </w:pPr>
            <w:r>
              <w:rPr>
                <w:sz w:val="20"/>
                <w:szCs w:val="20"/>
              </w:rPr>
              <w:t xml:space="preserve">Supported </w:t>
            </w:r>
            <w:r w:rsidR="00CD4640" w:rsidRPr="005C41E3">
              <w:rPr>
                <w:sz w:val="20"/>
                <w:szCs w:val="20"/>
              </w:rPr>
              <w:t xml:space="preserve">trained </w:t>
            </w:r>
            <w:r w:rsidRPr="005C41E3">
              <w:rPr>
                <w:sz w:val="20"/>
                <w:szCs w:val="20"/>
              </w:rPr>
              <w:t xml:space="preserve">120 facilitators </w:t>
            </w:r>
            <w:r>
              <w:rPr>
                <w:sz w:val="20"/>
                <w:szCs w:val="20"/>
              </w:rPr>
              <w:t xml:space="preserve">on how to establish </w:t>
            </w:r>
            <w:r w:rsidR="00CD4640" w:rsidRPr="005C41E3">
              <w:rPr>
                <w:sz w:val="20"/>
                <w:szCs w:val="20"/>
              </w:rPr>
              <w:t>women-friendly space</w:t>
            </w:r>
            <w:r>
              <w:rPr>
                <w:sz w:val="20"/>
                <w:szCs w:val="20"/>
              </w:rPr>
              <w:t>s, including a</w:t>
            </w:r>
            <w:r w:rsidR="00CD4640" w:rsidRPr="005C41E3">
              <w:rPr>
                <w:sz w:val="20"/>
                <w:szCs w:val="20"/>
              </w:rPr>
              <w:t>lternative communication platforms</w:t>
            </w:r>
            <w:r>
              <w:rPr>
                <w:sz w:val="20"/>
                <w:szCs w:val="20"/>
              </w:rPr>
              <w:t xml:space="preserve">, to </w:t>
            </w:r>
            <w:r w:rsidR="00CD4640" w:rsidRPr="005C41E3">
              <w:rPr>
                <w:sz w:val="20"/>
                <w:szCs w:val="20"/>
              </w:rPr>
              <w:t>provid</w:t>
            </w:r>
            <w:r>
              <w:rPr>
                <w:sz w:val="20"/>
                <w:szCs w:val="20"/>
              </w:rPr>
              <w:t>e</w:t>
            </w:r>
            <w:r w:rsidR="00CD4640" w:rsidRPr="005C41E3">
              <w:rPr>
                <w:sz w:val="20"/>
                <w:szCs w:val="20"/>
              </w:rPr>
              <w:t xml:space="preserve"> lifesaving GBV protection messaging and referral services</w:t>
            </w:r>
            <w:r>
              <w:rPr>
                <w:sz w:val="20"/>
                <w:szCs w:val="20"/>
              </w:rPr>
              <w:t>. This reached</w:t>
            </w:r>
            <w:r w:rsidR="00CD4640" w:rsidRPr="005C41E3">
              <w:rPr>
                <w:sz w:val="20"/>
                <w:szCs w:val="20"/>
              </w:rPr>
              <w:t xml:space="preserve"> 172,751 internally displaced women and girls</w:t>
            </w:r>
            <w:r w:rsidR="006E5AE4" w:rsidRPr="005C41E3">
              <w:rPr>
                <w:sz w:val="20"/>
                <w:szCs w:val="20"/>
              </w:rPr>
              <w:t>.</w:t>
            </w:r>
            <w:r w:rsidR="00CD4640" w:rsidRPr="005C41E3">
              <w:rPr>
                <w:sz w:val="20"/>
                <w:szCs w:val="20"/>
              </w:rPr>
              <w:t xml:space="preserve"> </w:t>
            </w:r>
          </w:p>
          <w:p w14:paraId="5CA13675" w14:textId="236A4A3D" w:rsidR="00CD4640" w:rsidRPr="005C41E3" w:rsidRDefault="00887B1F" w:rsidP="002617BA">
            <w:pPr>
              <w:spacing w:before="0" w:after="0" w:line="240" w:lineRule="auto"/>
              <w:ind w:left="6"/>
              <w:rPr>
                <w:sz w:val="20"/>
                <w:szCs w:val="20"/>
              </w:rPr>
            </w:pPr>
            <w:r>
              <w:rPr>
                <w:sz w:val="20"/>
                <w:szCs w:val="20"/>
              </w:rPr>
              <w:t>Supported 26 women and girl (</w:t>
            </w:r>
            <w:r w:rsidR="00995A7C">
              <w:rPr>
                <w:sz w:val="20"/>
                <w:szCs w:val="20"/>
              </w:rPr>
              <w:t>one</w:t>
            </w:r>
            <w:r>
              <w:rPr>
                <w:sz w:val="20"/>
                <w:szCs w:val="20"/>
              </w:rPr>
              <w:t xml:space="preserve"> person with disabilit</w:t>
            </w:r>
            <w:r w:rsidR="00995A7C">
              <w:rPr>
                <w:sz w:val="20"/>
                <w:szCs w:val="20"/>
              </w:rPr>
              <w:t>ies</w:t>
            </w:r>
            <w:r>
              <w:rPr>
                <w:sz w:val="20"/>
                <w:szCs w:val="20"/>
              </w:rPr>
              <w:t xml:space="preserve">) </w:t>
            </w:r>
            <w:r w:rsidR="00CD4640" w:rsidRPr="005C41E3">
              <w:rPr>
                <w:sz w:val="20"/>
                <w:szCs w:val="20"/>
              </w:rPr>
              <w:t xml:space="preserve">survivors of violence </w:t>
            </w:r>
            <w:r>
              <w:rPr>
                <w:sz w:val="20"/>
                <w:szCs w:val="20"/>
              </w:rPr>
              <w:t>to receive</w:t>
            </w:r>
            <w:r w:rsidRPr="005C41E3">
              <w:rPr>
                <w:sz w:val="20"/>
                <w:szCs w:val="20"/>
              </w:rPr>
              <w:t xml:space="preserve"> </w:t>
            </w:r>
            <w:r w:rsidR="00CD4640" w:rsidRPr="005C41E3">
              <w:rPr>
                <w:sz w:val="20"/>
                <w:szCs w:val="20"/>
              </w:rPr>
              <w:t>services such as counselling</w:t>
            </w:r>
            <w:r w:rsidR="00FB43CA">
              <w:rPr>
                <w:sz w:val="20"/>
                <w:szCs w:val="20"/>
              </w:rPr>
              <w:t>.</w:t>
            </w:r>
          </w:p>
        </w:tc>
      </w:tr>
      <w:tr w:rsidR="00710866" w14:paraId="03AA7F85" w14:textId="77777777" w:rsidTr="006E5AE4">
        <w:tc>
          <w:tcPr>
            <w:tcW w:w="3823" w:type="dxa"/>
            <w:tcBorders>
              <w:bottom w:val="single" w:sz="4" w:space="0" w:color="A6A6A6" w:themeColor="background1" w:themeShade="A6"/>
            </w:tcBorders>
          </w:tcPr>
          <w:p w14:paraId="45AEE99B" w14:textId="2AF83DF6" w:rsidR="00710866" w:rsidRPr="005C41E3" w:rsidRDefault="00710866" w:rsidP="00710866">
            <w:pPr>
              <w:spacing w:before="0" w:after="0" w:line="240" w:lineRule="auto"/>
              <w:rPr>
                <w:sz w:val="20"/>
                <w:szCs w:val="20"/>
              </w:rPr>
            </w:pPr>
            <w:r w:rsidRPr="005C41E3">
              <w:rPr>
                <w:sz w:val="20"/>
                <w:szCs w:val="20"/>
              </w:rPr>
              <w:t>Number of leaders and service providers promoting, responding to, and managing GBV issues in their community</w:t>
            </w:r>
          </w:p>
        </w:tc>
        <w:tc>
          <w:tcPr>
            <w:tcW w:w="6713" w:type="dxa"/>
            <w:tcBorders>
              <w:bottom w:val="single" w:sz="4" w:space="0" w:color="A6A6A6" w:themeColor="background1" w:themeShade="A6"/>
            </w:tcBorders>
          </w:tcPr>
          <w:p w14:paraId="6244C79B" w14:textId="106DCF20" w:rsidR="00710866" w:rsidRDefault="00710866" w:rsidP="00710866">
            <w:pPr>
              <w:spacing w:before="0" w:after="0" w:line="240" w:lineRule="auto"/>
              <w:rPr>
                <w:sz w:val="20"/>
                <w:szCs w:val="20"/>
              </w:rPr>
            </w:pPr>
            <w:r>
              <w:rPr>
                <w:sz w:val="20"/>
                <w:szCs w:val="20"/>
              </w:rPr>
              <w:t>I</w:t>
            </w:r>
            <w:r w:rsidRPr="005C41E3">
              <w:rPr>
                <w:sz w:val="20"/>
                <w:szCs w:val="20"/>
              </w:rPr>
              <w:t>n BARMM</w:t>
            </w:r>
            <w:r>
              <w:rPr>
                <w:sz w:val="20"/>
                <w:szCs w:val="20"/>
              </w:rPr>
              <w:t xml:space="preserve">, supported </w:t>
            </w:r>
            <w:r w:rsidRPr="005C41E3">
              <w:rPr>
                <w:sz w:val="20"/>
                <w:szCs w:val="20"/>
              </w:rPr>
              <w:t xml:space="preserve">120 facilitators and 71 regional and local staff </w:t>
            </w:r>
            <w:r>
              <w:rPr>
                <w:sz w:val="20"/>
                <w:szCs w:val="20"/>
              </w:rPr>
              <w:t xml:space="preserve">to </w:t>
            </w:r>
            <w:r w:rsidRPr="005C41E3">
              <w:rPr>
                <w:sz w:val="20"/>
                <w:szCs w:val="20"/>
              </w:rPr>
              <w:t>provide safe referrals and other types of assistance to survivors of gender-based violence.</w:t>
            </w:r>
          </w:p>
        </w:tc>
      </w:tr>
      <w:tr w:rsidR="00710866" w14:paraId="5E5ADAC4" w14:textId="77777777" w:rsidTr="006E5AE4">
        <w:tc>
          <w:tcPr>
            <w:tcW w:w="3823" w:type="dxa"/>
            <w:tcBorders>
              <w:bottom w:val="single" w:sz="4" w:space="0" w:color="A6A6A6" w:themeColor="background1" w:themeShade="A6"/>
            </w:tcBorders>
          </w:tcPr>
          <w:p w14:paraId="47F01EF0" w14:textId="5FAFC069" w:rsidR="00710866" w:rsidRPr="005C41E3" w:rsidRDefault="00710866" w:rsidP="00710866">
            <w:pPr>
              <w:spacing w:before="0" w:after="0" w:line="240" w:lineRule="auto"/>
              <w:rPr>
                <w:sz w:val="20"/>
                <w:szCs w:val="20"/>
              </w:rPr>
            </w:pPr>
            <w:r w:rsidRPr="005C41E3">
              <w:rPr>
                <w:sz w:val="20"/>
                <w:szCs w:val="20"/>
              </w:rPr>
              <w:lastRenderedPageBreak/>
              <w:t>Evidence of research, technical advice provided by Australia improving food security and food systems’ resilience to impacts of COVID-19 and other shocks</w:t>
            </w:r>
          </w:p>
        </w:tc>
        <w:tc>
          <w:tcPr>
            <w:tcW w:w="6713" w:type="dxa"/>
            <w:tcBorders>
              <w:bottom w:val="single" w:sz="4" w:space="0" w:color="A6A6A6" w:themeColor="background1" w:themeShade="A6"/>
            </w:tcBorders>
          </w:tcPr>
          <w:p w14:paraId="7475686A" w14:textId="77777777" w:rsidR="00710866" w:rsidRDefault="00710866" w:rsidP="00710866">
            <w:pPr>
              <w:spacing w:before="0" w:after="0" w:line="240" w:lineRule="auto"/>
              <w:rPr>
                <w:sz w:val="20"/>
                <w:szCs w:val="20"/>
              </w:rPr>
            </w:pPr>
            <w:r>
              <w:rPr>
                <w:sz w:val="20"/>
                <w:szCs w:val="20"/>
              </w:rPr>
              <w:t xml:space="preserve">Supported 30 research and agribusiness to complete an Agribusiness Master Class. </w:t>
            </w:r>
          </w:p>
          <w:p w14:paraId="57339667" w14:textId="77777777" w:rsidR="00710866" w:rsidRDefault="00710866" w:rsidP="00710866">
            <w:pPr>
              <w:spacing w:before="0" w:after="0" w:line="240" w:lineRule="auto"/>
              <w:ind w:left="7"/>
              <w:rPr>
                <w:sz w:val="20"/>
                <w:szCs w:val="20"/>
              </w:rPr>
            </w:pPr>
            <w:r>
              <w:rPr>
                <w:sz w:val="20"/>
                <w:szCs w:val="20"/>
              </w:rPr>
              <w:t xml:space="preserve">Supported the establishment of safe food-model farms in Leyte province in the Philippines to demonstrate safer and healthier vegetable production practices. </w:t>
            </w:r>
          </w:p>
          <w:p w14:paraId="711DDCD5" w14:textId="77777777" w:rsidR="00710866" w:rsidRDefault="00710866" w:rsidP="00710866">
            <w:pPr>
              <w:spacing w:before="0" w:after="0" w:line="240" w:lineRule="auto"/>
              <w:ind w:left="7"/>
              <w:rPr>
                <w:sz w:val="20"/>
                <w:szCs w:val="20"/>
              </w:rPr>
            </w:pPr>
            <w:r>
              <w:rPr>
                <w:sz w:val="20"/>
                <w:szCs w:val="20"/>
              </w:rPr>
              <w:t xml:space="preserve">Development and upscaling of the Livelihood Improvement through Facilitated Extension model to conflict vulnerable communities in Central Mindanao. </w:t>
            </w:r>
          </w:p>
          <w:p w14:paraId="21ADDB68" w14:textId="77777777" w:rsidR="00710866" w:rsidRPr="00A83A24" w:rsidRDefault="00710866" w:rsidP="00710866">
            <w:pPr>
              <w:spacing w:before="0" w:after="0" w:line="240" w:lineRule="auto"/>
              <w:ind w:left="7"/>
              <w:rPr>
                <w:sz w:val="20"/>
                <w:szCs w:val="20"/>
              </w:rPr>
            </w:pPr>
            <w:r>
              <w:rPr>
                <w:sz w:val="20"/>
                <w:szCs w:val="20"/>
              </w:rPr>
              <w:t xml:space="preserve">Supported the </w:t>
            </w:r>
            <w:r w:rsidRPr="00A83A24">
              <w:rPr>
                <w:sz w:val="20"/>
                <w:szCs w:val="20"/>
              </w:rPr>
              <w:t xml:space="preserve">Assessment of the Impacts of COVID-19 on the Philippines’ Food Security. </w:t>
            </w:r>
          </w:p>
          <w:p w14:paraId="61DFB620" w14:textId="25C6DA5B" w:rsidR="00710866" w:rsidRDefault="00710866" w:rsidP="00710866">
            <w:pPr>
              <w:spacing w:before="0" w:after="0" w:line="240" w:lineRule="auto"/>
              <w:rPr>
                <w:sz w:val="20"/>
                <w:szCs w:val="20"/>
              </w:rPr>
            </w:pPr>
            <w:r>
              <w:rPr>
                <w:sz w:val="20"/>
                <w:szCs w:val="20"/>
              </w:rPr>
              <w:t>Provision of support to 250 vulnerable households and access to nutritious and sustainable food source and alternative livelihood during the COVID-19 pandemic through NGOs.</w:t>
            </w:r>
          </w:p>
        </w:tc>
      </w:tr>
    </w:tbl>
    <w:p w14:paraId="179F1B8E" w14:textId="77777777" w:rsidR="002617BA" w:rsidRPr="002617BA" w:rsidRDefault="002617BA" w:rsidP="002617BA">
      <w:pPr>
        <w:pStyle w:val="Heading3"/>
        <w:rPr>
          <w:sz w:val="16"/>
          <w:szCs w:val="16"/>
        </w:rPr>
      </w:pPr>
    </w:p>
    <w:p w14:paraId="526B9A4E" w14:textId="5C933D2F" w:rsidR="006E5AE4" w:rsidRPr="00077901" w:rsidRDefault="006E5AE4" w:rsidP="002617BA">
      <w:pPr>
        <w:pStyle w:val="Heading3"/>
      </w:pPr>
      <w:r w:rsidRPr="00077901">
        <w:t xml:space="preserve">Economic </w:t>
      </w:r>
      <w:r w:rsidR="00077901" w:rsidRPr="00077901">
        <w:t>Recovery</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85" w:type="dxa"/>
          <w:left w:w="57" w:type="dxa"/>
          <w:bottom w:w="57" w:type="dxa"/>
          <w:right w:w="57" w:type="dxa"/>
        </w:tblCellMar>
        <w:tblLook w:val="04A0" w:firstRow="1" w:lastRow="0" w:firstColumn="1" w:lastColumn="0" w:noHBand="0" w:noVBand="1"/>
      </w:tblPr>
      <w:tblGrid>
        <w:gridCol w:w="3823"/>
        <w:gridCol w:w="6713"/>
      </w:tblGrid>
      <w:tr w:rsidR="00CD4640" w14:paraId="5AE5B4AD" w14:textId="77777777" w:rsidTr="00CE532E">
        <w:trPr>
          <w:tblHeader/>
        </w:trPr>
        <w:tc>
          <w:tcPr>
            <w:tcW w:w="3823" w:type="dxa"/>
            <w:shd w:val="clear" w:color="auto" w:fill="A2DCD1" w:themeFill="accent1" w:themeFillTint="99"/>
            <w:vAlign w:val="bottom"/>
          </w:tcPr>
          <w:p w14:paraId="2EF3BCDC" w14:textId="77777777" w:rsidR="00CD4640" w:rsidRDefault="00CD4640" w:rsidP="002617BA">
            <w:pPr>
              <w:widowControl w:val="0"/>
              <w:spacing w:before="0" w:after="0" w:line="240" w:lineRule="auto"/>
              <w:jc w:val="center"/>
            </w:pPr>
            <w:r>
              <w:rPr>
                <w:b/>
              </w:rPr>
              <w:t xml:space="preserve">Key Results </w:t>
            </w:r>
            <w:r w:rsidRPr="008C478C">
              <w:rPr>
                <w:b/>
              </w:rPr>
              <w:t>Indicator</w:t>
            </w:r>
            <w:r>
              <w:rPr>
                <w:b/>
              </w:rPr>
              <w:t>s</w:t>
            </w:r>
          </w:p>
        </w:tc>
        <w:tc>
          <w:tcPr>
            <w:tcW w:w="6713" w:type="dxa"/>
            <w:shd w:val="clear" w:color="auto" w:fill="A2DCD1" w:themeFill="accent1" w:themeFillTint="99"/>
            <w:vAlign w:val="bottom"/>
          </w:tcPr>
          <w:p w14:paraId="57A11D16" w14:textId="77777777" w:rsidR="00CD4640" w:rsidRDefault="00CD4640" w:rsidP="002617BA">
            <w:pPr>
              <w:widowControl w:val="0"/>
              <w:spacing w:before="0" w:after="0" w:line="240" w:lineRule="auto"/>
              <w:jc w:val="center"/>
            </w:pPr>
            <w:r>
              <w:rPr>
                <w:b/>
              </w:rPr>
              <w:t>Progress/Result</w:t>
            </w:r>
          </w:p>
        </w:tc>
      </w:tr>
      <w:tr w:rsidR="00CD4640" w14:paraId="1C9A9BCA" w14:textId="77777777" w:rsidTr="006E5AE4">
        <w:tc>
          <w:tcPr>
            <w:tcW w:w="3823" w:type="dxa"/>
          </w:tcPr>
          <w:p w14:paraId="395128F7" w14:textId="77777777" w:rsidR="00CD4640" w:rsidRPr="005C41E3" w:rsidRDefault="00CD4640" w:rsidP="002617BA">
            <w:pPr>
              <w:spacing w:before="0" w:after="0" w:line="240" w:lineRule="auto"/>
              <w:rPr>
                <w:sz w:val="20"/>
                <w:szCs w:val="20"/>
              </w:rPr>
            </w:pPr>
            <w:r w:rsidRPr="005C41E3">
              <w:rPr>
                <w:sz w:val="20"/>
                <w:szCs w:val="20"/>
              </w:rPr>
              <w:t>Evidence of Australia-funded advisory support contributing to inclusive, evidence-informed Philippine Government stimulus and economic recovery measures (e.g., credit guarantee facility; small business wage subsidy; digitisation of Philippine Government business processes; creation of one-stop shops; use of impact evaluations to inform COVID-19 response and recovery measures)</w:t>
            </w:r>
          </w:p>
        </w:tc>
        <w:tc>
          <w:tcPr>
            <w:tcW w:w="6713" w:type="dxa"/>
          </w:tcPr>
          <w:p w14:paraId="799D5695" w14:textId="74C9A5C1" w:rsidR="00CD4640" w:rsidRPr="005C41E3" w:rsidRDefault="00887B1F" w:rsidP="002617BA">
            <w:pPr>
              <w:spacing w:before="0" w:after="0" w:line="240" w:lineRule="auto"/>
              <w:rPr>
                <w:sz w:val="20"/>
                <w:szCs w:val="20"/>
              </w:rPr>
            </w:pPr>
            <w:r>
              <w:rPr>
                <w:sz w:val="20"/>
                <w:szCs w:val="20"/>
              </w:rPr>
              <w:t>Supported</w:t>
            </w:r>
            <w:r w:rsidR="008546A9">
              <w:rPr>
                <w:sz w:val="20"/>
                <w:szCs w:val="20"/>
              </w:rPr>
              <w:t xml:space="preserve"> </w:t>
            </w:r>
            <w:r w:rsidR="00322264">
              <w:rPr>
                <w:sz w:val="20"/>
                <w:szCs w:val="20"/>
              </w:rPr>
              <w:t xml:space="preserve">the </w:t>
            </w:r>
            <w:r w:rsidR="00CD4640" w:rsidRPr="005C41E3">
              <w:rPr>
                <w:sz w:val="20"/>
                <w:szCs w:val="20"/>
              </w:rPr>
              <w:t>distribution of emergency subsidies for small enterprise workers affected by COVID-19 lockdowns</w:t>
            </w:r>
            <w:r w:rsidR="009D3B22">
              <w:rPr>
                <w:sz w:val="20"/>
                <w:szCs w:val="20"/>
              </w:rPr>
              <w:t>.</w:t>
            </w:r>
          </w:p>
          <w:p w14:paraId="240F7D94" w14:textId="58B7F620" w:rsidR="00CD4640" w:rsidRPr="005C41E3" w:rsidRDefault="00887B1F" w:rsidP="002617BA">
            <w:pPr>
              <w:spacing w:before="0" w:after="0" w:line="240" w:lineRule="auto"/>
              <w:ind w:left="7"/>
              <w:rPr>
                <w:sz w:val="20"/>
                <w:szCs w:val="20"/>
              </w:rPr>
            </w:pPr>
            <w:r>
              <w:rPr>
                <w:sz w:val="20"/>
                <w:szCs w:val="20"/>
              </w:rPr>
              <w:t>Supported the m</w:t>
            </w:r>
            <w:r w:rsidR="00CD4640" w:rsidRPr="005C41E3">
              <w:rPr>
                <w:sz w:val="20"/>
                <w:szCs w:val="20"/>
              </w:rPr>
              <w:t>easure</w:t>
            </w:r>
            <w:r>
              <w:rPr>
                <w:sz w:val="20"/>
                <w:szCs w:val="20"/>
              </w:rPr>
              <w:t>ment</w:t>
            </w:r>
            <w:r w:rsidR="00CD4640" w:rsidRPr="005C41E3">
              <w:rPr>
                <w:sz w:val="20"/>
                <w:szCs w:val="20"/>
              </w:rPr>
              <w:t xml:space="preserve"> </w:t>
            </w:r>
            <w:r>
              <w:rPr>
                <w:sz w:val="20"/>
                <w:szCs w:val="20"/>
              </w:rPr>
              <w:t>of</w:t>
            </w:r>
            <w:r w:rsidRPr="005C41E3">
              <w:rPr>
                <w:sz w:val="20"/>
                <w:szCs w:val="20"/>
              </w:rPr>
              <w:t xml:space="preserve"> </w:t>
            </w:r>
            <w:r w:rsidR="00CD4640" w:rsidRPr="005C41E3">
              <w:rPr>
                <w:sz w:val="20"/>
                <w:szCs w:val="20"/>
              </w:rPr>
              <w:t xml:space="preserve">COVID-19 impacts on firms, </w:t>
            </w:r>
            <w:proofErr w:type="gramStart"/>
            <w:r w:rsidR="00CD4640" w:rsidRPr="005C41E3">
              <w:rPr>
                <w:sz w:val="20"/>
                <w:szCs w:val="20"/>
              </w:rPr>
              <w:t>households</w:t>
            </w:r>
            <w:proofErr w:type="gramEnd"/>
            <w:r w:rsidR="00CD4640" w:rsidRPr="005C41E3">
              <w:rPr>
                <w:sz w:val="20"/>
                <w:szCs w:val="20"/>
              </w:rPr>
              <w:t xml:space="preserve"> and communities through surveys </w:t>
            </w:r>
            <w:r>
              <w:rPr>
                <w:sz w:val="20"/>
                <w:szCs w:val="20"/>
              </w:rPr>
              <w:t>to help</w:t>
            </w:r>
            <w:r w:rsidRPr="005C41E3">
              <w:rPr>
                <w:sz w:val="20"/>
                <w:szCs w:val="20"/>
              </w:rPr>
              <w:t xml:space="preserve"> </w:t>
            </w:r>
            <w:r w:rsidR="00CD4640" w:rsidRPr="005C41E3">
              <w:rPr>
                <w:sz w:val="20"/>
                <w:szCs w:val="20"/>
              </w:rPr>
              <w:t xml:space="preserve">inform the Philippine </w:t>
            </w:r>
            <w:r>
              <w:rPr>
                <w:sz w:val="20"/>
                <w:szCs w:val="20"/>
              </w:rPr>
              <w:t>G</w:t>
            </w:r>
            <w:r w:rsidR="00CD4640" w:rsidRPr="005C41E3">
              <w:rPr>
                <w:sz w:val="20"/>
                <w:szCs w:val="20"/>
              </w:rPr>
              <w:t xml:space="preserve">overnment </w:t>
            </w:r>
            <w:r>
              <w:rPr>
                <w:sz w:val="20"/>
                <w:szCs w:val="20"/>
              </w:rPr>
              <w:br/>
            </w:r>
            <w:r w:rsidR="00CD4640" w:rsidRPr="005C41E3">
              <w:rPr>
                <w:sz w:val="20"/>
                <w:szCs w:val="20"/>
              </w:rPr>
              <w:t>COVID-19 polic</w:t>
            </w:r>
            <w:r>
              <w:rPr>
                <w:sz w:val="20"/>
                <w:szCs w:val="20"/>
              </w:rPr>
              <w:t>ies</w:t>
            </w:r>
            <w:r w:rsidR="00CD4640" w:rsidRPr="005C41E3">
              <w:rPr>
                <w:sz w:val="20"/>
                <w:szCs w:val="20"/>
              </w:rPr>
              <w:t xml:space="preserve"> and support programs</w:t>
            </w:r>
            <w:r w:rsidR="006E5AE4" w:rsidRPr="005C41E3">
              <w:rPr>
                <w:sz w:val="20"/>
                <w:szCs w:val="20"/>
              </w:rPr>
              <w:t>.</w:t>
            </w:r>
          </w:p>
          <w:p w14:paraId="17D68AE1" w14:textId="44A20654" w:rsidR="00CD4640" w:rsidRPr="005C41E3" w:rsidRDefault="00EA6406" w:rsidP="002617BA">
            <w:pPr>
              <w:spacing w:before="0" w:after="0" w:line="240" w:lineRule="auto"/>
              <w:ind w:left="7"/>
              <w:rPr>
                <w:sz w:val="20"/>
                <w:szCs w:val="20"/>
              </w:rPr>
            </w:pPr>
            <w:r w:rsidRPr="005C41E3">
              <w:rPr>
                <w:sz w:val="20"/>
                <w:szCs w:val="20"/>
              </w:rPr>
              <w:t xml:space="preserve">Supported </w:t>
            </w:r>
            <w:r w:rsidR="00CD4640" w:rsidRPr="005C41E3">
              <w:rPr>
                <w:sz w:val="20"/>
                <w:szCs w:val="20"/>
              </w:rPr>
              <w:t>labour market studies that informed the drafting of the Philippines’ National Employment Recovery Strategy, which adopted some of the studies’ key recommendations</w:t>
            </w:r>
            <w:r w:rsidR="00AF5FB6" w:rsidRPr="005C41E3">
              <w:rPr>
                <w:sz w:val="20"/>
                <w:szCs w:val="20"/>
              </w:rPr>
              <w:t>, through the ILO.</w:t>
            </w:r>
          </w:p>
        </w:tc>
      </w:tr>
      <w:tr w:rsidR="00CD4640" w14:paraId="0024A8C4" w14:textId="77777777" w:rsidTr="006E5AE4">
        <w:tc>
          <w:tcPr>
            <w:tcW w:w="3823" w:type="dxa"/>
          </w:tcPr>
          <w:p w14:paraId="72575F7F" w14:textId="6DDA2653" w:rsidR="00CD4640" w:rsidRPr="005C41E3" w:rsidRDefault="00CD4640" w:rsidP="002617BA">
            <w:pPr>
              <w:spacing w:before="0" w:after="0" w:line="240" w:lineRule="auto"/>
              <w:rPr>
                <w:sz w:val="20"/>
                <w:szCs w:val="20"/>
              </w:rPr>
            </w:pPr>
            <w:r w:rsidRPr="005C41E3">
              <w:rPr>
                <w:sz w:val="20"/>
                <w:szCs w:val="20"/>
              </w:rPr>
              <w:t>Evidence of Australia supporting the Philippine Government to better understand COVID-19 socio-economic impacts, including on vulnerable groups (e.g., real-time monitoring of COVID-19 socio-economic impacts; industry-driven identification of workforce skill needs for economic recovery)</w:t>
            </w:r>
          </w:p>
        </w:tc>
        <w:tc>
          <w:tcPr>
            <w:tcW w:w="6713" w:type="dxa"/>
          </w:tcPr>
          <w:p w14:paraId="4484A277" w14:textId="78EF5BE7" w:rsidR="008771F0" w:rsidRPr="005C41E3" w:rsidRDefault="00887B1F" w:rsidP="002617BA">
            <w:pPr>
              <w:pStyle w:val="Bullet1"/>
              <w:numPr>
                <w:ilvl w:val="0"/>
                <w:numId w:val="0"/>
              </w:numPr>
              <w:spacing w:after="0" w:line="240" w:lineRule="auto"/>
              <w:rPr>
                <w:sz w:val="20"/>
                <w:szCs w:val="20"/>
              </w:rPr>
            </w:pPr>
            <w:r>
              <w:rPr>
                <w:sz w:val="20"/>
                <w:szCs w:val="20"/>
              </w:rPr>
              <w:t>Supported policy dialogue</w:t>
            </w:r>
            <w:r w:rsidR="008771F0" w:rsidRPr="005C41E3">
              <w:rPr>
                <w:sz w:val="20"/>
                <w:szCs w:val="20"/>
              </w:rPr>
              <w:t xml:space="preserve">, </w:t>
            </w:r>
            <w:r>
              <w:rPr>
                <w:sz w:val="20"/>
                <w:szCs w:val="20"/>
              </w:rPr>
              <w:t>using</w:t>
            </w:r>
            <w:r w:rsidRPr="005C41E3">
              <w:rPr>
                <w:sz w:val="20"/>
                <w:szCs w:val="20"/>
              </w:rPr>
              <w:t xml:space="preserve"> </w:t>
            </w:r>
            <w:r w:rsidR="008771F0" w:rsidRPr="005C41E3">
              <w:rPr>
                <w:sz w:val="20"/>
                <w:szCs w:val="20"/>
              </w:rPr>
              <w:t>labour market studies</w:t>
            </w:r>
            <w:r>
              <w:rPr>
                <w:sz w:val="20"/>
                <w:szCs w:val="20"/>
              </w:rPr>
              <w:t xml:space="preserve"> and other research</w:t>
            </w:r>
            <w:r w:rsidR="008771F0" w:rsidRPr="005C41E3">
              <w:rPr>
                <w:sz w:val="20"/>
                <w:szCs w:val="20"/>
              </w:rPr>
              <w:t xml:space="preserve">, to </w:t>
            </w:r>
            <w:r>
              <w:rPr>
                <w:sz w:val="20"/>
                <w:szCs w:val="20"/>
              </w:rPr>
              <w:t xml:space="preserve">help inform </w:t>
            </w:r>
            <w:r w:rsidR="008771F0" w:rsidRPr="005C41E3">
              <w:rPr>
                <w:sz w:val="20"/>
                <w:szCs w:val="20"/>
              </w:rPr>
              <w:t>the National Employment Recovery Strategy</w:t>
            </w:r>
            <w:r w:rsidR="00166067" w:rsidRPr="005C41E3">
              <w:rPr>
                <w:sz w:val="20"/>
                <w:szCs w:val="20"/>
              </w:rPr>
              <w:t>.</w:t>
            </w:r>
          </w:p>
          <w:p w14:paraId="4D3096B1" w14:textId="2B4934D6" w:rsidR="00F20A98" w:rsidRPr="005C41E3" w:rsidRDefault="00887B1F" w:rsidP="002617BA">
            <w:pPr>
              <w:pStyle w:val="Bullet1"/>
              <w:numPr>
                <w:ilvl w:val="0"/>
                <w:numId w:val="0"/>
              </w:numPr>
              <w:spacing w:after="0" w:line="240" w:lineRule="auto"/>
              <w:rPr>
                <w:sz w:val="20"/>
                <w:szCs w:val="20"/>
              </w:rPr>
            </w:pPr>
            <w:r>
              <w:rPr>
                <w:sz w:val="20"/>
                <w:szCs w:val="20"/>
              </w:rPr>
              <w:t xml:space="preserve">Supported </w:t>
            </w:r>
            <w:r w:rsidR="008771F0" w:rsidRPr="005C41E3">
              <w:rPr>
                <w:sz w:val="20"/>
                <w:szCs w:val="20"/>
              </w:rPr>
              <w:t>Sector Skills Councils and skills mapping activities in subsectors vulnerable to the workforce impacts of the Fourth Industrial Revolution and COVID-19</w:t>
            </w:r>
            <w:r w:rsidR="00E70C1E">
              <w:rPr>
                <w:sz w:val="20"/>
                <w:szCs w:val="20"/>
              </w:rPr>
              <w:t xml:space="preserve">. </w:t>
            </w:r>
          </w:p>
          <w:p w14:paraId="035C1F2D" w14:textId="691120F4" w:rsidR="00CD4640" w:rsidRPr="005C41E3" w:rsidRDefault="00E70C1E" w:rsidP="002617BA">
            <w:pPr>
              <w:pStyle w:val="Bullet1"/>
              <w:numPr>
                <w:ilvl w:val="0"/>
                <w:numId w:val="0"/>
              </w:numPr>
              <w:spacing w:after="0" w:line="240" w:lineRule="auto"/>
              <w:rPr>
                <w:sz w:val="20"/>
                <w:szCs w:val="20"/>
              </w:rPr>
            </w:pPr>
            <w:r>
              <w:rPr>
                <w:sz w:val="20"/>
                <w:szCs w:val="20"/>
              </w:rPr>
              <w:t>Supported</w:t>
            </w:r>
            <w:r w:rsidRPr="005C41E3">
              <w:rPr>
                <w:sz w:val="20"/>
                <w:szCs w:val="20"/>
              </w:rPr>
              <w:t xml:space="preserve"> </w:t>
            </w:r>
            <w:r w:rsidR="00F20A98" w:rsidRPr="005C41E3">
              <w:rPr>
                <w:sz w:val="20"/>
                <w:szCs w:val="20"/>
              </w:rPr>
              <w:t xml:space="preserve">expert advice </w:t>
            </w:r>
            <w:r>
              <w:rPr>
                <w:sz w:val="20"/>
                <w:szCs w:val="20"/>
              </w:rPr>
              <w:t>to revise the guidelines for the</w:t>
            </w:r>
            <w:r w:rsidR="00F20A98" w:rsidRPr="005C41E3">
              <w:rPr>
                <w:sz w:val="20"/>
                <w:szCs w:val="20"/>
              </w:rPr>
              <w:t xml:space="preserve"> National Disaster Risk Reduction Fund</w:t>
            </w:r>
            <w:r>
              <w:rPr>
                <w:sz w:val="20"/>
                <w:szCs w:val="20"/>
              </w:rPr>
              <w:t>.</w:t>
            </w:r>
          </w:p>
        </w:tc>
      </w:tr>
      <w:tr w:rsidR="00CD4640" w14:paraId="7F7AC4E8" w14:textId="77777777" w:rsidTr="006E5AE4">
        <w:tc>
          <w:tcPr>
            <w:tcW w:w="3823" w:type="dxa"/>
          </w:tcPr>
          <w:p w14:paraId="196B0926" w14:textId="77777777" w:rsidR="00CD4640" w:rsidRPr="005C41E3" w:rsidRDefault="00CD4640" w:rsidP="002617BA">
            <w:pPr>
              <w:spacing w:before="0" w:after="0" w:line="240" w:lineRule="auto"/>
              <w:rPr>
                <w:sz w:val="20"/>
                <w:szCs w:val="20"/>
              </w:rPr>
            </w:pPr>
            <w:r w:rsidRPr="005C41E3">
              <w:rPr>
                <w:sz w:val="20"/>
                <w:szCs w:val="20"/>
              </w:rPr>
              <w:t>Evidence of Australia supporting local government units to strengthen their preparedness for and resilience to economic shocks</w:t>
            </w:r>
          </w:p>
        </w:tc>
        <w:tc>
          <w:tcPr>
            <w:tcW w:w="6713" w:type="dxa"/>
          </w:tcPr>
          <w:p w14:paraId="25EC90C6" w14:textId="7F816499" w:rsidR="00CD4640" w:rsidRPr="00A83A24" w:rsidRDefault="00CD4640" w:rsidP="002617BA">
            <w:pPr>
              <w:spacing w:before="0" w:after="0" w:line="240" w:lineRule="auto"/>
              <w:rPr>
                <w:sz w:val="20"/>
                <w:szCs w:val="20"/>
              </w:rPr>
            </w:pPr>
            <w:r w:rsidRPr="00A83A24">
              <w:rPr>
                <w:sz w:val="20"/>
                <w:szCs w:val="20"/>
              </w:rPr>
              <w:t xml:space="preserve">Results </w:t>
            </w:r>
            <w:r w:rsidR="00EA6406" w:rsidRPr="00A83A24">
              <w:rPr>
                <w:sz w:val="20"/>
                <w:szCs w:val="20"/>
              </w:rPr>
              <w:t xml:space="preserve">unavailable </w:t>
            </w:r>
            <w:r w:rsidR="0035511D" w:rsidRPr="00A83A24">
              <w:rPr>
                <w:sz w:val="20"/>
                <w:szCs w:val="20"/>
              </w:rPr>
              <w:t>due to pandemic-induced implementation delays.</w:t>
            </w:r>
            <w:r w:rsidR="00EA6406" w:rsidRPr="00A83A24">
              <w:rPr>
                <w:sz w:val="20"/>
                <w:szCs w:val="20"/>
              </w:rPr>
              <w:t xml:space="preserve"> Will be reported in 2021-22.</w:t>
            </w:r>
          </w:p>
        </w:tc>
      </w:tr>
      <w:tr w:rsidR="00CD4640" w14:paraId="513EED19" w14:textId="77777777" w:rsidTr="006E5AE4">
        <w:tc>
          <w:tcPr>
            <w:tcW w:w="3823" w:type="dxa"/>
          </w:tcPr>
          <w:p w14:paraId="23E0F557" w14:textId="45D0F39D" w:rsidR="00CD4640" w:rsidRPr="005C41E3" w:rsidRDefault="00CD4640" w:rsidP="002617BA">
            <w:pPr>
              <w:spacing w:before="0" w:after="0" w:line="240" w:lineRule="auto"/>
              <w:rPr>
                <w:sz w:val="20"/>
                <w:szCs w:val="20"/>
              </w:rPr>
            </w:pPr>
            <w:r w:rsidRPr="005C41E3">
              <w:rPr>
                <w:sz w:val="20"/>
                <w:szCs w:val="20"/>
              </w:rPr>
              <w:t xml:space="preserve">Number of </w:t>
            </w:r>
            <w:r w:rsidR="00995A7C">
              <w:rPr>
                <w:sz w:val="20"/>
                <w:szCs w:val="20"/>
              </w:rPr>
              <w:t>women</w:t>
            </w:r>
            <w:r w:rsidRPr="005C41E3">
              <w:rPr>
                <w:sz w:val="20"/>
                <w:szCs w:val="20"/>
              </w:rPr>
              <w:t xml:space="preserve"> entrepreneurs provided with financial and/or business development services</w:t>
            </w:r>
          </w:p>
        </w:tc>
        <w:tc>
          <w:tcPr>
            <w:tcW w:w="6713" w:type="dxa"/>
          </w:tcPr>
          <w:p w14:paraId="49620AA3" w14:textId="70BF077C" w:rsidR="00CD4640" w:rsidRPr="005C41E3" w:rsidRDefault="00E70C1E" w:rsidP="002617BA">
            <w:pPr>
              <w:spacing w:before="0" w:after="0" w:line="240" w:lineRule="auto"/>
              <w:rPr>
                <w:sz w:val="20"/>
                <w:szCs w:val="20"/>
              </w:rPr>
            </w:pPr>
            <w:r>
              <w:rPr>
                <w:sz w:val="20"/>
                <w:szCs w:val="20"/>
              </w:rPr>
              <w:t>Supported 43</w:t>
            </w:r>
            <w:r w:rsidR="00CD4640" w:rsidRPr="005C41E3">
              <w:rPr>
                <w:sz w:val="20"/>
                <w:szCs w:val="20"/>
              </w:rPr>
              <w:t xml:space="preserve"> </w:t>
            </w:r>
            <w:r w:rsidR="00995A7C">
              <w:rPr>
                <w:sz w:val="20"/>
                <w:szCs w:val="20"/>
              </w:rPr>
              <w:t>women</w:t>
            </w:r>
            <w:r w:rsidR="00CD4640" w:rsidRPr="005C41E3">
              <w:rPr>
                <w:sz w:val="20"/>
                <w:szCs w:val="20"/>
              </w:rPr>
              <w:t xml:space="preserve"> entrepreneurs provided with financial and/or business development services</w:t>
            </w:r>
            <w:r>
              <w:rPr>
                <w:sz w:val="20"/>
                <w:szCs w:val="20"/>
              </w:rPr>
              <w:t>.</w:t>
            </w:r>
          </w:p>
        </w:tc>
      </w:tr>
      <w:tr w:rsidR="00D82275" w14:paraId="37D62F6B" w14:textId="77777777" w:rsidTr="006E5AE4">
        <w:tc>
          <w:tcPr>
            <w:tcW w:w="3823" w:type="dxa"/>
          </w:tcPr>
          <w:p w14:paraId="471ED33C" w14:textId="4367A35F" w:rsidR="00D82275" w:rsidRPr="005C41E3" w:rsidRDefault="00D82275" w:rsidP="002617BA">
            <w:pPr>
              <w:spacing w:before="0" w:after="0" w:line="240" w:lineRule="auto"/>
              <w:rPr>
                <w:sz w:val="20"/>
                <w:szCs w:val="20"/>
              </w:rPr>
            </w:pPr>
            <w:r>
              <w:rPr>
                <w:sz w:val="20"/>
                <w:szCs w:val="20"/>
              </w:rPr>
              <w:t>Number of women and men with increased incomes</w:t>
            </w:r>
          </w:p>
        </w:tc>
        <w:tc>
          <w:tcPr>
            <w:tcW w:w="6713" w:type="dxa"/>
          </w:tcPr>
          <w:p w14:paraId="049A8B14" w14:textId="0C863CEE" w:rsidR="00D82275" w:rsidRPr="00A83A24" w:rsidRDefault="00943EE1" w:rsidP="002617BA">
            <w:pPr>
              <w:spacing w:before="0" w:after="0" w:line="240" w:lineRule="auto"/>
              <w:rPr>
                <w:sz w:val="20"/>
                <w:szCs w:val="20"/>
              </w:rPr>
            </w:pPr>
            <w:r w:rsidRPr="00A83A24">
              <w:rPr>
                <w:sz w:val="20"/>
                <w:szCs w:val="20"/>
              </w:rPr>
              <w:t>Results unavailable due to pandemic-induced implementation delays. Will be reported in 2021-22.</w:t>
            </w:r>
          </w:p>
        </w:tc>
      </w:tr>
    </w:tbl>
    <w:p w14:paraId="61B899A6" w14:textId="01EB6254" w:rsidR="00A107B9" w:rsidRDefault="00A107B9" w:rsidP="001F7F4D"/>
    <w:p w14:paraId="718B4B9C" w14:textId="77777777" w:rsidR="00AF18F4" w:rsidRDefault="00AF18F4" w:rsidP="001F7F4D">
      <w:pPr>
        <w:sectPr w:rsidR="00AF18F4" w:rsidSect="00594588">
          <w:pgSz w:w="11906" w:h="16838" w:code="9"/>
          <w:pgMar w:top="1559" w:right="680" w:bottom="1418" w:left="680" w:header="425" w:footer="567" w:gutter="0"/>
          <w:cols w:space="397"/>
          <w:docGrid w:linePitch="360"/>
        </w:sectPr>
      </w:pPr>
    </w:p>
    <w:p w14:paraId="18E2CEE0" w14:textId="77777777" w:rsidR="00CD4640" w:rsidRDefault="00121DDD" w:rsidP="00CD4640">
      <w:pPr>
        <w:pStyle w:val="Heading2"/>
      </w:pPr>
      <w:r>
        <w:lastRenderedPageBreak/>
        <w:t>Annex 2</w:t>
      </w:r>
      <w:r w:rsidR="00D1231A" w:rsidRPr="00D1231A">
        <w:t xml:space="preserve">: </w:t>
      </w:r>
      <w:r w:rsidR="00D1231A">
        <w:t>I</w:t>
      </w:r>
      <w:r w:rsidR="00D1231A" w:rsidRPr="00D1231A">
        <w:t>nvestment Performance</w:t>
      </w:r>
      <w:r w:rsidR="000F78C9">
        <w:t xml:space="preserve"> ratings</w:t>
      </w:r>
    </w:p>
    <w:tbl>
      <w:tblPr>
        <w:tblStyle w:val="GridTable4-Accent1"/>
        <w:tblW w:w="10371" w:type="dxa"/>
        <w:tblLayout w:type="fixed"/>
        <w:tblLook w:val="04A0" w:firstRow="1" w:lastRow="0" w:firstColumn="1" w:lastColumn="0" w:noHBand="0" w:noVBand="1"/>
        <w:tblCaption w:val="Supporting Investment Performance"/>
        <w:tblDescription w:val="Development Program Investment details, name, duration, budget and performance ratings for 2020 and 2021 for Effectiveness, Efficiency, Gender Equality; Risk and Safeguards "/>
      </w:tblPr>
      <w:tblGrid>
        <w:gridCol w:w="4957"/>
        <w:gridCol w:w="908"/>
        <w:gridCol w:w="226"/>
        <w:gridCol w:w="1417"/>
        <w:gridCol w:w="1418"/>
        <w:gridCol w:w="1445"/>
      </w:tblGrid>
      <w:tr w:rsidR="00077901" w:rsidRPr="00AF18F4" w14:paraId="49E32EE3" w14:textId="77777777" w:rsidTr="002403D3">
        <w:trPr>
          <w:cnfStyle w:val="100000000000" w:firstRow="1" w:lastRow="0" w:firstColumn="0" w:lastColumn="0" w:oddVBand="0" w:evenVBand="0" w:oddHBand="0" w:evenHBand="0" w:firstRowFirstColumn="0" w:firstRowLastColumn="0" w:lastRowFirstColumn="0" w:lastRowLastColumn="0"/>
          <w:trHeight w:val="425"/>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A2DCD1" w:themeFill="accent1" w:themeFillTint="99"/>
            <w:noWrap/>
            <w:vAlign w:val="center"/>
            <w:hideMark/>
          </w:tcPr>
          <w:p w14:paraId="5027160E" w14:textId="77777777" w:rsidR="00CD4640" w:rsidRPr="00077901" w:rsidRDefault="00CD4640" w:rsidP="00077901">
            <w:pPr>
              <w:suppressAutoHyphens w:val="0"/>
              <w:spacing w:before="0" w:after="0" w:line="240" w:lineRule="auto"/>
              <w:jc w:val="center"/>
              <w:rPr>
                <w:rFonts w:eastAsia="Times New Roman" w:cstheme="minorHAnsi"/>
                <w:b w:val="0"/>
                <w:bCs w:val="0"/>
                <w:color w:val="595959" w:themeColor="text1" w:themeTint="A6"/>
                <w:sz w:val="20"/>
                <w:szCs w:val="20"/>
                <w:lang w:val="en-AU" w:eastAsia="en-AU"/>
              </w:rPr>
            </w:pPr>
            <w:r w:rsidRPr="00077901">
              <w:rPr>
                <w:rFonts w:eastAsia="Times New Roman" w:cstheme="minorHAnsi"/>
                <w:color w:val="595959" w:themeColor="text1" w:themeTint="A6"/>
                <w:sz w:val="20"/>
                <w:szCs w:val="20"/>
                <w:lang w:val="en-AU" w:eastAsia="en-AU"/>
              </w:rPr>
              <w:t>Investment Details</w:t>
            </w:r>
          </w:p>
        </w:tc>
        <w:tc>
          <w:tcPr>
            <w:tcW w:w="908" w:type="dxa"/>
            <w:shd w:val="clear" w:color="auto" w:fill="A2DCD1" w:themeFill="accent1" w:themeFillTint="99"/>
            <w:noWrap/>
            <w:vAlign w:val="center"/>
            <w:hideMark/>
          </w:tcPr>
          <w:p w14:paraId="0685F726" w14:textId="53A40334" w:rsidR="00CD4640" w:rsidRPr="00077901" w:rsidRDefault="00CD4640" w:rsidP="0007790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595959" w:themeColor="text1" w:themeTint="A6"/>
                <w:sz w:val="20"/>
                <w:szCs w:val="20"/>
                <w:lang w:val="en-AU" w:eastAsia="en-AU"/>
              </w:rPr>
            </w:pPr>
            <w:r w:rsidRPr="00077901">
              <w:rPr>
                <w:rFonts w:eastAsia="Times New Roman" w:cstheme="minorHAnsi"/>
                <w:color w:val="595959" w:themeColor="text1" w:themeTint="A6"/>
                <w:sz w:val="20"/>
                <w:szCs w:val="20"/>
                <w:lang w:val="en-AU" w:eastAsia="en-AU"/>
              </w:rPr>
              <w:t>Year</w:t>
            </w:r>
          </w:p>
        </w:tc>
        <w:tc>
          <w:tcPr>
            <w:tcW w:w="1643" w:type="dxa"/>
            <w:gridSpan w:val="2"/>
            <w:shd w:val="clear" w:color="auto" w:fill="A2DCD1" w:themeFill="accent1" w:themeFillTint="99"/>
            <w:noWrap/>
            <w:vAlign w:val="center"/>
            <w:hideMark/>
          </w:tcPr>
          <w:p w14:paraId="5C671B09" w14:textId="77777777" w:rsidR="00CD4640" w:rsidRPr="00077901" w:rsidRDefault="00CD4640" w:rsidP="0007790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595959" w:themeColor="text1" w:themeTint="A6"/>
                <w:sz w:val="20"/>
                <w:szCs w:val="20"/>
                <w:lang w:val="en-AU" w:eastAsia="en-AU"/>
              </w:rPr>
            </w:pPr>
            <w:r w:rsidRPr="00077901">
              <w:rPr>
                <w:rFonts w:eastAsia="Times New Roman" w:cstheme="minorHAnsi"/>
                <w:color w:val="595959" w:themeColor="text1" w:themeTint="A6"/>
                <w:sz w:val="20"/>
                <w:szCs w:val="20"/>
                <w:lang w:val="en-AU" w:eastAsia="en-AU"/>
              </w:rPr>
              <w:t>Effectiveness</w:t>
            </w:r>
          </w:p>
        </w:tc>
        <w:tc>
          <w:tcPr>
            <w:tcW w:w="1418" w:type="dxa"/>
            <w:shd w:val="clear" w:color="auto" w:fill="A2DCD1" w:themeFill="accent1" w:themeFillTint="99"/>
            <w:noWrap/>
            <w:vAlign w:val="center"/>
            <w:hideMark/>
          </w:tcPr>
          <w:p w14:paraId="7A8504E1" w14:textId="77777777" w:rsidR="00CD4640" w:rsidRPr="00077901" w:rsidRDefault="00CD4640" w:rsidP="0007790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595959" w:themeColor="text1" w:themeTint="A6"/>
                <w:sz w:val="20"/>
                <w:szCs w:val="20"/>
                <w:lang w:val="en-AU" w:eastAsia="en-AU"/>
              </w:rPr>
            </w:pPr>
            <w:r w:rsidRPr="00077901">
              <w:rPr>
                <w:rFonts w:eastAsia="Times New Roman" w:cstheme="minorHAnsi"/>
                <w:color w:val="595959" w:themeColor="text1" w:themeTint="A6"/>
                <w:sz w:val="20"/>
                <w:szCs w:val="20"/>
                <w:lang w:val="en-AU" w:eastAsia="en-AU"/>
              </w:rPr>
              <w:t>Efficiency</w:t>
            </w:r>
          </w:p>
        </w:tc>
        <w:tc>
          <w:tcPr>
            <w:tcW w:w="1445" w:type="dxa"/>
            <w:shd w:val="clear" w:color="auto" w:fill="A2DCD1" w:themeFill="accent1" w:themeFillTint="99"/>
            <w:noWrap/>
            <w:vAlign w:val="center"/>
            <w:hideMark/>
          </w:tcPr>
          <w:p w14:paraId="5C19190F" w14:textId="343A967E" w:rsidR="00CD4640" w:rsidRPr="00077901" w:rsidRDefault="00CD4640" w:rsidP="0007790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595959" w:themeColor="text1" w:themeTint="A6"/>
                <w:sz w:val="20"/>
                <w:szCs w:val="20"/>
                <w:lang w:val="en-AU" w:eastAsia="en-AU"/>
              </w:rPr>
            </w:pPr>
            <w:r w:rsidRPr="00077901">
              <w:rPr>
                <w:rFonts w:eastAsia="Times New Roman" w:cstheme="minorHAnsi"/>
                <w:color w:val="595959" w:themeColor="text1" w:themeTint="A6"/>
                <w:sz w:val="20"/>
                <w:szCs w:val="20"/>
                <w:lang w:val="en-AU" w:eastAsia="en-AU"/>
              </w:rPr>
              <w:t xml:space="preserve">Gender </w:t>
            </w:r>
          </w:p>
        </w:tc>
      </w:tr>
      <w:tr w:rsidR="00077901" w:rsidRPr="00AF18F4" w14:paraId="55B98EA7" w14:textId="77777777" w:rsidTr="002403D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65C5B4" w:themeColor="accent1"/>
              <w:left w:val="single" w:sz="4" w:space="0" w:color="65C5B4" w:themeColor="accent1"/>
              <w:bottom w:val="nil"/>
              <w:right w:val="single" w:sz="4" w:space="0" w:color="65C5B4" w:themeColor="accent1"/>
            </w:tcBorders>
            <w:vAlign w:val="center"/>
            <w:hideMark/>
          </w:tcPr>
          <w:p w14:paraId="2B8A9D86" w14:textId="77777777" w:rsidR="00CD4640" w:rsidRPr="00077901" w:rsidRDefault="00CD4640" w:rsidP="00077901">
            <w:pPr>
              <w:suppressAutoHyphens w:val="0"/>
              <w:spacing w:before="0" w:after="0" w:line="240" w:lineRule="auto"/>
              <w:rPr>
                <w:rFonts w:eastAsia="Times New Roman" w:cstheme="minorHAnsi"/>
                <w:b w:val="0"/>
                <w:bCs w:val="0"/>
                <w:color w:val="595959" w:themeColor="text1" w:themeTint="A6"/>
                <w:sz w:val="20"/>
                <w:szCs w:val="20"/>
                <w:lang w:val="en-AU" w:eastAsia="en-AU"/>
              </w:rPr>
            </w:pPr>
            <w:r w:rsidRPr="00077901">
              <w:rPr>
                <w:rFonts w:eastAsia="Times New Roman" w:cstheme="minorHAnsi"/>
                <w:color w:val="595959" w:themeColor="text1" w:themeTint="A6"/>
                <w:sz w:val="20"/>
                <w:szCs w:val="20"/>
                <w:lang w:eastAsia="en-AU"/>
              </w:rPr>
              <w:t>Peacebuilding in Conflict-Affected Mindanao</w:t>
            </w:r>
          </w:p>
        </w:tc>
        <w:tc>
          <w:tcPr>
            <w:tcW w:w="1134" w:type="dxa"/>
            <w:gridSpan w:val="2"/>
            <w:tcBorders>
              <w:top w:val="single" w:sz="4" w:space="0" w:color="65C5B4" w:themeColor="accent1"/>
              <w:left w:val="single" w:sz="4" w:space="0" w:color="65C5B4" w:themeColor="accent1"/>
              <w:bottom w:val="single" w:sz="4" w:space="0" w:color="65C5B4" w:themeColor="accent1"/>
              <w:right w:val="single" w:sz="4" w:space="0" w:color="65C5B4" w:themeColor="accent1"/>
            </w:tcBorders>
            <w:vAlign w:val="center"/>
            <w:hideMark/>
          </w:tcPr>
          <w:p w14:paraId="7FC9D619" w14:textId="77777777" w:rsidR="00CD4640" w:rsidRPr="00077901" w:rsidRDefault="00CD4640" w:rsidP="00077901">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595959" w:themeColor="text1" w:themeTint="A6"/>
                <w:sz w:val="20"/>
                <w:szCs w:val="20"/>
                <w:lang w:val="en-AU" w:eastAsia="en-AU"/>
              </w:rPr>
            </w:pPr>
            <w:r w:rsidRPr="00077901">
              <w:rPr>
                <w:rFonts w:eastAsia="Times New Roman" w:cstheme="minorHAnsi"/>
                <w:color w:val="595959" w:themeColor="text1" w:themeTint="A6"/>
                <w:sz w:val="20"/>
                <w:szCs w:val="20"/>
                <w:lang w:eastAsia="en-AU"/>
              </w:rPr>
              <w:t>2021</w:t>
            </w:r>
          </w:p>
        </w:tc>
        <w:tc>
          <w:tcPr>
            <w:tcW w:w="1417"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noWrap/>
            <w:vAlign w:val="center"/>
            <w:hideMark/>
          </w:tcPr>
          <w:p w14:paraId="7D2774AA" w14:textId="77777777" w:rsidR="00CD4640" w:rsidRPr="00077901" w:rsidRDefault="00CD4640" w:rsidP="00077901">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595959" w:themeColor="text1" w:themeTint="A6"/>
                <w:sz w:val="20"/>
                <w:szCs w:val="20"/>
                <w:lang w:val="en-AU" w:eastAsia="en-AU"/>
              </w:rPr>
            </w:pPr>
            <w:r w:rsidRPr="00077901">
              <w:rPr>
                <w:rFonts w:eastAsia="Times New Roman" w:cstheme="minorHAnsi"/>
                <w:color w:val="595959" w:themeColor="text1" w:themeTint="A6"/>
                <w:sz w:val="20"/>
                <w:szCs w:val="20"/>
                <w:lang w:eastAsia="en-AU"/>
              </w:rPr>
              <w:t>4</w:t>
            </w:r>
          </w:p>
        </w:tc>
        <w:tc>
          <w:tcPr>
            <w:tcW w:w="1418"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noWrap/>
            <w:vAlign w:val="center"/>
            <w:hideMark/>
          </w:tcPr>
          <w:p w14:paraId="6DB39A10" w14:textId="77777777" w:rsidR="00CD4640" w:rsidRPr="00077901" w:rsidRDefault="00CD4640" w:rsidP="00077901">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595959" w:themeColor="text1" w:themeTint="A6"/>
                <w:sz w:val="20"/>
                <w:szCs w:val="20"/>
                <w:lang w:val="en-AU" w:eastAsia="en-AU"/>
              </w:rPr>
            </w:pPr>
            <w:r w:rsidRPr="00077901">
              <w:rPr>
                <w:rFonts w:eastAsia="Times New Roman" w:cstheme="minorHAnsi"/>
                <w:color w:val="595959" w:themeColor="text1" w:themeTint="A6"/>
                <w:sz w:val="20"/>
                <w:szCs w:val="20"/>
                <w:lang w:eastAsia="en-AU"/>
              </w:rPr>
              <w:t>5</w:t>
            </w:r>
          </w:p>
        </w:tc>
        <w:tc>
          <w:tcPr>
            <w:tcW w:w="1445"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noWrap/>
            <w:vAlign w:val="center"/>
            <w:hideMark/>
          </w:tcPr>
          <w:p w14:paraId="1E2A3ED7" w14:textId="77777777" w:rsidR="00CD4640" w:rsidRPr="00077901" w:rsidRDefault="00CD4640" w:rsidP="00077901">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595959" w:themeColor="text1" w:themeTint="A6"/>
                <w:sz w:val="20"/>
                <w:szCs w:val="20"/>
                <w:lang w:val="en-AU" w:eastAsia="en-AU"/>
              </w:rPr>
            </w:pPr>
            <w:r w:rsidRPr="00077901">
              <w:rPr>
                <w:rFonts w:eastAsia="Times New Roman" w:cstheme="minorHAnsi"/>
                <w:color w:val="595959" w:themeColor="text1" w:themeTint="A6"/>
                <w:sz w:val="20"/>
                <w:szCs w:val="20"/>
                <w:lang w:eastAsia="en-AU"/>
              </w:rPr>
              <w:t>5</w:t>
            </w:r>
          </w:p>
        </w:tc>
      </w:tr>
      <w:tr w:rsidR="00077901" w:rsidRPr="00AF18F4" w14:paraId="01174B9A" w14:textId="77777777" w:rsidTr="002403D3">
        <w:trPr>
          <w:trHeight w:val="317"/>
        </w:trPr>
        <w:tc>
          <w:tcPr>
            <w:cnfStyle w:val="001000000000" w:firstRow="0" w:lastRow="0" w:firstColumn="1" w:lastColumn="0" w:oddVBand="0" w:evenVBand="0" w:oddHBand="0" w:evenHBand="0" w:firstRowFirstColumn="0" w:firstRowLastColumn="0" w:lastRowFirstColumn="0" w:lastRowLastColumn="0"/>
            <w:tcW w:w="4957" w:type="dxa"/>
            <w:tcBorders>
              <w:top w:val="nil"/>
              <w:left w:val="single" w:sz="4" w:space="0" w:color="65C5B4" w:themeColor="accent1"/>
              <w:bottom w:val="single" w:sz="4" w:space="0" w:color="65C5B4" w:themeColor="accent1"/>
              <w:right w:val="single" w:sz="4" w:space="0" w:color="65C5B4" w:themeColor="accent1"/>
            </w:tcBorders>
            <w:shd w:val="clear" w:color="auto" w:fill="E0F3EF" w:themeFill="accent1" w:themeFillTint="33"/>
            <w:vAlign w:val="center"/>
            <w:hideMark/>
          </w:tcPr>
          <w:p w14:paraId="4AA2809F" w14:textId="16F1ECE5" w:rsidR="00CD4640" w:rsidRPr="00077901" w:rsidRDefault="00635B53" w:rsidP="00077901">
            <w:pPr>
              <w:suppressAutoHyphens w:val="0"/>
              <w:spacing w:before="0" w:after="0" w:line="240" w:lineRule="auto"/>
              <w:ind w:firstLineChars="100" w:firstLine="200"/>
              <w:rPr>
                <w:rFonts w:eastAsia="Times New Roman" w:cstheme="minorHAnsi"/>
                <w:b w:val="0"/>
                <w:bCs w:val="0"/>
                <w:color w:val="595959" w:themeColor="text1" w:themeTint="A6"/>
                <w:sz w:val="20"/>
                <w:szCs w:val="20"/>
                <w:lang w:val="en-AU" w:eastAsia="en-AU"/>
              </w:rPr>
            </w:pPr>
            <w:r>
              <w:rPr>
                <w:rFonts w:eastAsia="Times New Roman" w:cstheme="minorHAnsi"/>
                <w:b w:val="0"/>
                <w:bCs w:val="0"/>
                <w:color w:val="595959" w:themeColor="text1" w:themeTint="A6"/>
                <w:sz w:val="20"/>
                <w:szCs w:val="20"/>
                <w:lang w:val="en-AU" w:eastAsia="en-AU"/>
              </w:rPr>
              <w:t xml:space="preserve">Investment </w:t>
            </w:r>
            <w:r w:rsidR="00CD4640" w:rsidRPr="00077901">
              <w:rPr>
                <w:rFonts w:eastAsia="Times New Roman" w:cstheme="minorHAnsi"/>
                <w:b w:val="0"/>
                <w:bCs w:val="0"/>
                <w:color w:val="595959" w:themeColor="text1" w:themeTint="A6"/>
                <w:sz w:val="20"/>
                <w:szCs w:val="20"/>
                <w:lang w:val="en-AU" w:eastAsia="en-AU"/>
              </w:rPr>
              <w:t>Duration: 2014-23; Budget: $91.2m</w:t>
            </w:r>
          </w:p>
        </w:tc>
        <w:tc>
          <w:tcPr>
            <w:tcW w:w="1134" w:type="dxa"/>
            <w:gridSpan w:val="2"/>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E0F3EF" w:themeFill="accent1" w:themeFillTint="33"/>
            <w:vAlign w:val="center"/>
            <w:hideMark/>
          </w:tcPr>
          <w:p w14:paraId="572D3970" w14:textId="77777777" w:rsidR="00CD4640" w:rsidRPr="00077901" w:rsidRDefault="00CD4640" w:rsidP="00077901">
            <w:pPr>
              <w:suppressAutoHyphens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val="en-AU" w:eastAsia="en-AU"/>
              </w:rPr>
            </w:pPr>
            <w:r w:rsidRPr="00077901">
              <w:rPr>
                <w:rFonts w:eastAsia="Times New Roman" w:cstheme="minorHAnsi"/>
                <w:color w:val="595959" w:themeColor="text1" w:themeTint="A6"/>
                <w:sz w:val="20"/>
                <w:szCs w:val="20"/>
                <w:lang w:eastAsia="en-AU"/>
              </w:rPr>
              <w:t>2020</w:t>
            </w:r>
          </w:p>
        </w:tc>
        <w:tc>
          <w:tcPr>
            <w:tcW w:w="1417"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E0F3EF" w:themeFill="accent1" w:themeFillTint="33"/>
            <w:noWrap/>
            <w:vAlign w:val="center"/>
            <w:hideMark/>
          </w:tcPr>
          <w:p w14:paraId="7D016A2E" w14:textId="77777777" w:rsidR="00CD4640" w:rsidRPr="00077901" w:rsidRDefault="00CD4640" w:rsidP="00077901">
            <w:pPr>
              <w:suppressAutoHyphens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val="en-AU" w:eastAsia="en-AU"/>
              </w:rPr>
            </w:pPr>
            <w:r w:rsidRPr="00077901">
              <w:rPr>
                <w:rFonts w:eastAsia="Times New Roman" w:cstheme="minorHAnsi"/>
                <w:color w:val="595959" w:themeColor="text1" w:themeTint="A6"/>
                <w:sz w:val="20"/>
                <w:szCs w:val="20"/>
                <w:lang w:eastAsia="en-AU"/>
              </w:rPr>
              <w:t>4</w:t>
            </w:r>
          </w:p>
        </w:tc>
        <w:tc>
          <w:tcPr>
            <w:tcW w:w="1418"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E0F3EF" w:themeFill="accent1" w:themeFillTint="33"/>
            <w:noWrap/>
            <w:vAlign w:val="center"/>
            <w:hideMark/>
          </w:tcPr>
          <w:p w14:paraId="3A536783" w14:textId="77777777" w:rsidR="00CD4640" w:rsidRPr="00077901" w:rsidRDefault="00CD4640" w:rsidP="00077901">
            <w:pPr>
              <w:suppressAutoHyphens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val="en-AU" w:eastAsia="en-AU"/>
              </w:rPr>
            </w:pPr>
            <w:r w:rsidRPr="00077901">
              <w:rPr>
                <w:rFonts w:eastAsia="Times New Roman" w:cstheme="minorHAnsi"/>
                <w:color w:val="595959" w:themeColor="text1" w:themeTint="A6"/>
                <w:sz w:val="20"/>
                <w:szCs w:val="20"/>
                <w:lang w:eastAsia="en-AU"/>
              </w:rPr>
              <w:t>5</w:t>
            </w:r>
          </w:p>
        </w:tc>
        <w:tc>
          <w:tcPr>
            <w:tcW w:w="1445"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E0F3EF" w:themeFill="accent1" w:themeFillTint="33"/>
            <w:noWrap/>
            <w:vAlign w:val="center"/>
            <w:hideMark/>
          </w:tcPr>
          <w:p w14:paraId="2CB6EFB9" w14:textId="77777777" w:rsidR="00CD4640" w:rsidRPr="00077901" w:rsidRDefault="00CD4640" w:rsidP="00077901">
            <w:pPr>
              <w:suppressAutoHyphens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val="en-AU" w:eastAsia="en-AU"/>
              </w:rPr>
            </w:pPr>
            <w:r w:rsidRPr="00077901">
              <w:rPr>
                <w:rFonts w:eastAsia="Times New Roman" w:cstheme="minorHAnsi"/>
                <w:color w:val="595959" w:themeColor="text1" w:themeTint="A6"/>
                <w:sz w:val="20"/>
                <w:szCs w:val="20"/>
                <w:lang w:eastAsia="en-AU"/>
              </w:rPr>
              <w:t>5</w:t>
            </w:r>
          </w:p>
        </w:tc>
      </w:tr>
      <w:tr w:rsidR="00077901" w:rsidRPr="00AF18F4" w14:paraId="228D081F" w14:textId="77777777" w:rsidTr="002403D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65C5B4" w:themeColor="accent1"/>
              <w:left w:val="single" w:sz="4" w:space="0" w:color="65C5B4" w:themeColor="accent1"/>
              <w:bottom w:val="nil"/>
              <w:right w:val="single" w:sz="4" w:space="0" w:color="65C5B4" w:themeColor="accent1"/>
            </w:tcBorders>
            <w:shd w:val="clear" w:color="auto" w:fill="F2F2F2" w:themeFill="background1" w:themeFillShade="F2"/>
            <w:noWrap/>
            <w:vAlign w:val="center"/>
            <w:hideMark/>
          </w:tcPr>
          <w:p w14:paraId="75BBF9AE" w14:textId="77777777" w:rsidR="00CD4640" w:rsidRPr="00077901" w:rsidRDefault="00CD4640" w:rsidP="00077901">
            <w:pPr>
              <w:suppressAutoHyphens w:val="0"/>
              <w:spacing w:before="0" w:after="0" w:line="240" w:lineRule="auto"/>
              <w:rPr>
                <w:rFonts w:eastAsia="Times New Roman" w:cstheme="minorHAnsi"/>
                <w:b w:val="0"/>
                <w:bCs w:val="0"/>
                <w:color w:val="595959" w:themeColor="text1" w:themeTint="A6"/>
                <w:sz w:val="20"/>
                <w:szCs w:val="20"/>
                <w:lang w:val="en-AU" w:eastAsia="en-AU"/>
              </w:rPr>
            </w:pPr>
            <w:r w:rsidRPr="00077901">
              <w:rPr>
                <w:rFonts w:eastAsia="Times New Roman" w:cstheme="minorHAnsi"/>
                <w:color w:val="595959" w:themeColor="text1" w:themeTint="A6"/>
                <w:sz w:val="20"/>
                <w:szCs w:val="20"/>
                <w:lang w:eastAsia="en-AU"/>
              </w:rPr>
              <w:t>Philippines-Australia Citizens Empowerment Program</w:t>
            </w:r>
          </w:p>
        </w:tc>
        <w:tc>
          <w:tcPr>
            <w:tcW w:w="1134" w:type="dxa"/>
            <w:gridSpan w:val="2"/>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F2F2F2" w:themeFill="background1" w:themeFillShade="F2"/>
            <w:vAlign w:val="center"/>
            <w:hideMark/>
          </w:tcPr>
          <w:p w14:paraId="476684E5" w14:textId="77777777" w:rsidR="00CD4640" w:rsidRPr="00077901" w:rsidRDefault="00CD4640" w:rsidP="00077901">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595959" w:themeColor="text1" w:themeTint="A6"/>
                <w:sz w:val="20"/>
                <w:szCs w:val="20"/>
                <w:lang w:val="en-AU" w:eastAsia="en-AU"/>
              </w:rPr>
            </w:pPr>
            <w:r w:rsidRPr="00077901">
              <w:rPr>
                <w:rFonts w:eastAsia="Times New Roman" w:cstheme="minorHAnsi"/>
                <w:color w:val="595959" w:themeColor="text1" w:themeTint="A6"/>
                <w:sz w:val="20"/>
                <w:szCs w:val="20"/>
                <w:lang w:eastAsia="en-AU"/>
              </w:rPr>
              <w:t>2021</w:t>
            </w:r>
          </w:p>
        </w:tc>
        <w:tc>
          <w:tcPr>
            <w:tcW w:w="1417"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F2F2F2" w:themeFill="background1" w:themeFillShade="F2"/>
            <w:noWrap/>
            <w:vAlign w:val="center"/>
            <w:hideMark/>
          </w:tcPr>
          <w:p w14:paraId="43050DCC" w14:textId="77777777" w:rsidR="00CD4640" w:rsidRPr="00077901" w:rsidRDefault="00CD4640" w:rsidP="00077901">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595959" w:themeColor="text1" w:themeTint="A6"/>
                <w:sz w:val="20"/>
                <w:szCs w:val="20"/>
                <w:lang w:val="en-AU" w:eastAsia="en-AU"/>
              </w:rPr>
            </w:pPr>
            <w:r w:rsidRPr="00077901">
              <w:rPr>
                <w:rFonts w:eastAsia="Times New Roman" w:cstheme="minorHAnsi"/>
                <w:color w:val="595959" w:themeColor="text1" w:themeTint="A6"/>
                <w:sz w:val="20"/>
                <w:szCs w:val="20"/>
                <w:lang w:eastAsia="en-AU"/>
              </w:rPr>
              <w:t>4</w:t>
            </w:r>
          </w:p>
        </w:tc>
        <w:tc>
          <w:tcPr>
            <w:tcW w:w="1418"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F2F2F2" w:themeFill="background1" w:themeFillShade="F2"/>
            <w:noWrap/>
            <w:vAlign w:val="center"/>
            <w:hideMark/>
          </w:tcPr>
          <w:p w14:paraId="33EF2553" w14:textId="77777777" w:rsidR="00CD4640" w:rsidRPr="00077901" w:rsidRDefault="00CD4640" w:rsidP="00077901">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595959" w:themeColor="text1" w:themeTint="A6"/>
                <w:sz w:val="20"/>
                <w:szCs w:val="20"/>
                <w:lang w:val="en-AU" w:eastAsia="en-AU"/>
              </w:rPr>
            </w:pPr>
            <w:r w:rsidRPr="00077901">
              <w:rPr>
                <w:rFonts w:eastAsia="Times New Roman" w:cstheme="minorHAnsi"/>
                <w:color w:val="595959" w:themeColor="text1" w:themeTint="A6"/>
                <w:sz w:val="20"/>
                <w:szCs w:val="20"/>
                <w:lang w:eastAsia="en-AU"/>
              </w:rPr>
              <w:t>4</w:t>
            </w:r>
          </w:p>
        </w:tc>
        <w:tc>
          <w:tcPr>
            <w:tcW w:w="1445"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F2F2F2" w:themeFill="background1" w:themeFillShade="F2"/>
            <w:noWrap/>
            <w:vAlign w:val="center"/>
            <w:hideMark/>
          </w:tcPr>
          <w:p w14:paraId="7877AF4D" w14:textId="77777777" w:rsidR="00CD4640" w:rsidRPr="00077901" w:rsidRDefault="00CD4640" w:rsidP="00077901">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595959" w:themeColor="text1" w:themeTint="A6"/>
                <w:sz w:val="20"/>
                <w:szCs w:val="20"/>
                <w:lang w:val="en-AU" w:eastAsia="en-AU"/>
              </w:rPr>
            </w:pPr>
            <w:r w:rsidRPr="00077901">
              <w:rPr>
                <w:rFonts w:eastAsia="Times New Roman" w:cstheme="minorHAnsi"/>
                <w:color w:val="595959" w:themeColor="text1" w:themeTint="A6"/>
                <w:sz w:val="20"/>
                <w:szCs w:val="20"/>
                <w:lang w:eastAsia="en-AU"/>
              </w:rPr>
              <w:t>5</w:t>
            </w:r>
          </w:p>
        </w:tc>
      </w:tr>
      <w:tr w:rsidR="00077901" w:rsidRPr="00AF18F4" w14:paraId="2EB60C0D" w14:textId="77777777" w:rsidTr="002403D3">
        <w:trPr>
          <w:trHeight w:val="317"/>
        </w:trPr>
        <w:tc>
          <w:tcPr>
            <w:cnfStyle w:val="001000000000" w:firstRow="0" w:lastRow="0" w:firstColumn="1" w:lastColumn="0" w:oddVBand="0" w:evenVBand="0" w:oddHBand="0" w:evenHBand="0" w:firstRowFirstColumn="0" w:firstRowLastColumn="0" w:lastRowFirstColumn="0" w:lastRowLastColumn="0"/>
            <w:tcW w:w="4957" w:type="dxa"/>
            <w:tcBorders>
              <w:top w:val="nil"/>
              <w:left w:val="single" w:sz="4" w:space="0" w:color="65C5B4" w:themeColor="accent1"/>
              <w:bottom w:val="single" w:sz="4" w:space="0" w:color="65C5B4" w:themeColor="accent1"/>
              <w:right w:val="single" w:sz="4" w:space="0" w:color="65C5B4" w:themeColor="accent1"/>
            </w:tcBorders>
            <w:shd w:val="clear" w:color="auto" w:fill="F2F2F2" w:themeFill="background1" w:themeFillShade="F2"/>
            <w:vAlign w:val="center"/>
            <w:hideMark/>
          </w:tcPr>
          <w:p w14:paraId="177D5D83" w14:textId="68A2638C" w:rsidR="00CD4640" w:rsidRPr="00077901" w:rsidRDefault="00635B53" w:rsidP="00077901">
            <w:pPr>
              <w:suppressAutoHyphens w:val="0"/>
              <w:spacing w:before="0" w:after="0" w:line="240" w:lineRule="auto"/>
              <w:ind w:firstLineChars="100" w:firstLine="200"/>
              <w:rPr>
                <w:rFonts w:eastAsia="Times New Roman" w:cstheme="minorHAnsi"/>
                <w:b w:val="0"/>
                <w:bCs w:val="0"/>
                <w:color w:val="595959" w:themeColor="text1" w:themeTint="A6"/>
                <w:sz w:val="20"/>
                <w:szCs w:val="20"/>
                <w:lang w:val="en-AU" w:eastAsia="en-AU"/>
              </w:rPr>
            </w:pPr>
            <w:r>
              <w:rPr>
                <w:rFonts w:eastAsia="Times New Roman" w:cstheme="minorHAnsi"/>
                <w:b w:val="0"/>
                <w:bCs w:val="0"/>
                <w:color w:val="595959" w:themeColor="text1" w:themeTint="A6"/>
                <w:sz w:val="20"/>
                <w:szCs w:val="20"/>
                <w:lang w:val="en-AU" w:eastAsia="en-AU"/>
              </w:rPr>
              <w:t xml:space="preserve">Investment </w:t>
            </w:r>
            <w:r w:rsidR="00CD4640" w:rsidRPr="00077901">
              <w:rPr>
                <w:rFonts w:eastAsia="Times New Roman" w:cstheme="minorHAnsi"/>
                <w:b w:val="0"/>
                <w:bCs w:val="0"/>
                <w:color w:val="595959" w:themeColor="text1" w:themeTint="A6"/>
                <w:sz w:val="20"/>
                <w:szCs w:val="20"/>
                <w:lang w:val="en-AU" w:eastAsia="en-AU"/>
              </w:rPr>
              <w:t>Duration: 2018-23; Budget: $8.6m</w:t>
            </w:r>
          </w:p>
        </w:tc>
        <w:tc>
          <w:tcPr>
            <w:tcW w:w="1134" w:type="dxa"/>
            <w:gridSpan w:val="2"/>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F2F2F2" w:themeFill="background1" w:themeFillShade="F2"/>
            <w:vAlign w:val="center"/>
            <w:hideMark/>
          </w:tcPr>
          <w:p w14:paraId="3F7932AC" w14:textId="77777777" w:rsidR="00CD4640" w:rsidRPr="00077901" w:rsidRDefault="00CD4640" w:rsidP="00077901">
            <w:pPr>
              <w:suppressAutoHyphens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val="en-AU" w:eastAsia="en-AU"/>
              </w:rPr>
            </w:pPr>
            <w:r w:rsidRPr="00077901">
              <w:rPr>
                <w:rFonts w:eastAsia="Times New Roman" w:cstheme="minorHAnsi"/>
                <w:color w:val="595959" w:themeColor="text1" w:themeTint="A6"/>
                <w:sz w:val="20"/>
                <w:szCs w:val="20"/>
                <w:lang w:eastAsia="en-AU"/>
              </w:rPr>
              <w:t>2020</w:t>
            </w:r>
          </w:p>
        </w:tc>
        <w:tc>
          <w:tcPr>
            <w:tcW w:w="1417"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F2F2F2" w:themeFill="background1" w:themeFillShade="F2"/>
            <w:noWrap/>
            <w:vAlign w:val="center"/>
            <w:hideMark/>
          </w:tcPr>
          <w:p w14:paraId="2799C049" w14:textId="77777777" w:rsidR="00CD4640" w:rsidRPr="00077901" w:rsidRDefault="00CD4640" w:rsidP="00077901">
            <w:pPr>
              <w:suppressAutoHyphens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val="en-AU" w:eastAsia="en-AU"/>
              </w:rPr>
            </w:pPr>
            <w:r w:rsidRPr="00077901">
              <w:rPr>
                <w:rFonts w:eastAsia="Times New Roman" w:cstheme="minorHAnsi"/>
                <w:color w:val="595959" w:themeColor="text1" w:themeTint="A6"/>
                <w:sz w:val="20"/>
                <w:szCs w:val="20"/>
                <w:lang w:eastAsia="en-AU"/>
              </w:rPr>
              <w:t>4</w:t>
            </w:r>
          </w:p>
        </w:tc>
        <w:tc>
          <w:tcPr>
            <w:tcW w:w="1418"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F2F2F2" w:themeFill="background1" w:themeFillShade="F2"/>
            <w:noWrap/>
            <w:vAlign w:val="center"/>
            <w:hideMark/>
          </w:tcPr>
          <w:p w14:paraId="50727527" w14:textId="77777777" w:rsidR="00CD4640" w:rsidRPr="00077901" w:rsidRDefault="00CD4640" w:rsidP="00077901">
            <w:pPr>
              <w:suppressAutoHyphens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val="en-AU" w:eastAsia="en-AU"/>
              </w:rPr>
            </w:pPr>
            <w:r w:rsidRPr="00077901">
              <w:rPr>
                <w:rFonts w:eastAsia="Times New Roman" w:cstheme="minorHAnsi"/>
                <w:color w:val="595959" w:themeColor="text1" w:themeTint="A6"/>
                <w:sz w:val="20"/>
                <w:szCs w:val="20"/>
                <w:lang w:eastAsia="en-AU"/>
              </w:rPr>
              <w:t>4</w:t>
            </w:r>
          </w:p>
        </w:tc>
        <w:tc>
          <w:tcPr>
            <w:tcW w:w="1445"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F2F2F2" w:themeFill="background1" w:themeFillShade="F2"/>
            <w:noWrap/>
            <w:vAlign w:val="center"/>
            <w:hideMark/>
          </w:tcPr>
          <w:p w14:paraId="520541B1" w14:textId="77777777" w:rsidR="00CD4640" w:rsidRPr="00077901" w:rsidRDefault="00CD4640" w:rsidP="00077901">
            <w:pPr>
              <w:suppressAutoHyphens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val="en-AU" w:eastAsia="en-AU"/>
              </w:rPr>
            </w:pPr>
            <w:r w:rsidRPr="00077901">
              <w:rPr>
                <w:rFonts w:eastAsia="Times New Roman" w:cstheme="minorHAnsi"/>
                <w:color w:val="595959" w:themeColor="text1" w:themeTint="A6"/>
                <w:sz w:val="20"/>
                <w:szCs w:val="20"/>
                <w:lang w:eastAsia="en-AU"/>
              </w:rPr>
              <w:t>5</w:t>
            </w:r>
          </w:p>
        </w:tc>
      </w:tr>
      <w:tr w:rsidR="00077901" w:rsidRPr="00AF18F4" w14:paraId="7A1B5F7F" w14:textId="77777777" w:rsidTr="002403D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65C5B4" w:themeColor="accent1"/>
              <w:left w:val="single" w:sz="4" w:space="0" w:color="65C5B4" w:themeColor="accent1"/>
              <w:bottom w:val="nil"/>
              <w:right w:val="single" w:sz="4" w:space="0" w:color="65C5B4" w:themeColor="accent1"/>
            </w:tcBorders>
            <w:noWrap/>
            <w:vAlign w:val="center"/>
            <w:hideMark/>
          </w:tcPr>
          <w:p w14:paraId="18F92604" w14:textId="77777777" w:rsidR="00CD4640" w:rsidRPr="00077901" w:rsidRDefault="00CD4640" w:rsidP="00077901">
            <w:pPr>
              <w:suppressAutoHyphens w:val="0"/>
              <w:spacing w:before="0" w:after="0" w:line="240" w:lineRule="auto"/>
              <w:rPr>
                <w:rFonts w:eastAsia="Times New Roman" w:cstheme="minorHAnsi"/>
                <w:b w:val="0"/>
                <w:bCs w:val="0"/>
                <w:color w:val="595959" w:themeColor="text1" w:themeTint="A6"/>
                <w:sz w:val="20"/>
                <w:szCs w:val="20"/>
                <w:lang w:val="en-AU" w:eastAsia="en-AU"/>
              </w:rPr>
            </w:pPr>
            <w:r w:rsidRPr="00077901">
              <w:rPr>
                <w:rFonts w:eastAsia="Times New Roman" w:cstheme="minorHAnsi"/>
                <w:color w:val="595959" w:themeColor="text1" w:themeTint="A6"/>
                <w:sz w:val="20"/>
                <w:szCs w:val="20"/>
                <w:lang w:eastAsia="en-AU"/>
              </w:rPr>
              <w:t>Philippines-Australia Scholarships &amp; Alumni Program</w:t>
            </w:r>
          </w:p>
        </w:tc>
        <w:tc>
          <w:tcPr>
            <w:tcW w:w="1134" w:type="dxa"/>
            <w:gridSpan w:val="2"/>
            <w:tcBorders>
              <w:top w:val="single" w:sz="4" w:space="0" w:color="65C5B4" w:themeColor="accent1"/>
              <w:left w:val="single" w:sz="4" w:space="0" w:color="65C5B4" w:themeColor="accent1"/>
              <w:bottom w:val="single" w:sz="4" w:space="0" w:color="65C5B4" w:themeColor="accent1"/>
              <w:right w:val="single" w:sz="4" w:space="0" w:color="65C5B4" w:themeColor="accent1"/>
            </w:tcBorders>
            <w:vAlign w:val="center"/>
            <w:hideMark/>
          </w:tcPr>
          <w:p w14:paraId="29343262" w14:textId="77777777" w:rsidR="00CD4640" w:rsidRPr="00077901" w:rsidRDefault="00CD4640" w:rsidP="00077901">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595959" w:themeColor="text1" w:themeTint="A6"/>
                <w:sz w:val="20"/>
                <w:szCs w:val="20"/>
                <w:lang w:val="en-AU" w:eastAsia="en-AU"/>
              </w:rPr>
            </w:pPr>
            <w:r w:rsidRPr="00077901">
              <w:rPr>
                <w:rFonts w:eastAsia="Times New Roman" w:cstheme="minorHAnsi"/>
                <w:color w:val="595959" w:themeColor="text1" w:themeTint="A6"/>
                <w:sz w:val="20"/>
                <w:szCs w:val="20"/>
                <w:lang w:val="en-AU" w:eastAsia="en-AU"/>
              </w:rPr>
              <w:t>2021</w:t>
            </w:r>
          </w:p>
        </w:tc>
        <w:tc>
          <w:tcPr>
            <w:tcW w:w="1417"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noWrap/>
            <w:vAlign w:val="center"/>
            <w:hideMark/>
          </w:tcPr>
          <w:p w14:paraId="527DA5A7" w14:textId="77777777" w:rsidR="00CD4640" w:rsidRPr="00077901" w:rsidRDefault="00CD4640" w:rsidP="00077901">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595959" w:themeColor="text1" w:themeTint="A6"/>
                <w:sz w:val="20"/>
                <w:szCs w:val="20"/>
                <w:lang w:val="en-AU" w:eastAsia="en-AU"/>
              </w:rPr>
            </w:pPr>
            <w:r w:rsidRPr="00077901">
              <w:rPr>
                <w:rFonts w:eastAsia="Times New Roman" w:cstheme="minorHAnsi"/>
                <w:color w:val="595959" w:themeColor="text1" w:themeTint="A6"/>
                <w:sz w:val="20"/>
                <w:szCs w:val="20"/>
                <w:lang w:eastAsia="en-AU"/>
              </w:rPr>
              <w:t>5</w:t>
            </w:r>
          </w:p>
        </w:tc>
        <w:tc>
          <w:tcPr>
            <w:tcW w:w="1418"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noWrap/>
            <w:vAlign w:val="center"/>
            <w:hideMark/>
          </w:tcPr>
          <w:p w14:paraId="3948DF85" w14:textId="77777777" w:rsidR="00CD4640" w:rsidRPr="00077901" w:rsidRDefault="00CD4640" w:rsidP="00077901">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595959" w:themeColor="text1" w:themeTint="A6"/>
                <w:sz w:val="20"/>
                <w:szCs w:val="20"/>
                <w:lang w:val="en-AU" w:eastAsia="en-AU"/>
              </w:rPr>
            </w:pPr>
            <w:r w:rsidRPr="00077901">
              <w:rPr>
                <w:rFonts w:eastAsia="Times New Roman" w:cstheme="minorHAnsi"/>
                <w:color w:val="595959" w:themeColor="text1" w:themeTint="A6"/>
                <w:sz w:val="20"/>
                <w:szCs w:val="20"/>
                <w:lang w:eastAsia="en-AU"/>
              </w:rPr>
              <w:t>5</w:t>
            </w:r>
          </w:p>
        </w:tc>
        <w:tc>
          <w:tcPr>
            <w:tcW w:w="1445"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noWrap/>
            <w:vAlign w:val="center"/>
            <w:hideMark/>
          </w:tcPr>
          <w:p w14:paraId="3BB3C1B7" w14:textId="77777777" w:rsidR="00CD4640" w:rsidRPr="00077901" w:rsidRDefault="00CD4640" w:rsidP="00077901">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595959" w:themeColor="text1" w:themeTint="A6"/>
                <w:sz w:val="20"/>
                <w:szCs w:val="20"/>
                <w:lang w:val="en-AU" w:eastAsia="en-AU"/>
              </w:rPr>
            </w:pPr>
            <w:r w:rsidRPr="00077901">
              <w:rPr>
                <w:rFonts w:eastAsia="Times New Roman" w:cstheme="minorHAnsi"/>
                <w:color w:val="595959" w:themeColor="text1" w:themeTint="A6"/>
                <w:sz w:val="20"/>
                <w:szCs w:val="20"/>
                <w:lang w:eastAsia="en-AU"/>
              </w:rPr>
              <w:t>5</w:t>
            </w:r>
          </w:p>
        </w:tc>
      </w:tr>
      <w:tr w:rsidR="00077901" w:rsidRPr="00AF18F4" w14:paraId="4C4AEABF" w14:textId="77777777" w:rsidTr="002403D3">
        <w:trPr>
          <w:trHeight w:val="317"/>
        </w:trPr>
        <w:tc>
          <w:tcPr>
            <w:cnfStyle w:val="001000000000" w:firstRow="0" w:lastRow="0" w:firstColumn="1" w:lastColumn="0" w:oddVBand="0" w:evenVBand="0" w:oddHBand="0" w:evenHBand="0" w:firstRowFirstColumn="0" w:firstRowLastColumn="0" w:lastRowFirstColumn="0" w:lastRowLastColumn="0"/>
            <w:tcW w:w="4957" w:type="dxa"/>
            <w:tcBorders>
              <w:top w:val="nil"/>
              <w:left w:val="single" w:sz="4" w:space="0" w:color="65C5B4" w:themeColor="accent1"/>
              <w:bottom w:val="single" w:sz="4" w:space="0" w:color="65C5B4" w:themeColor="accent1"/>
              <w:right w:val="single" w:sz="4" w:space="0" w:color="65C5B4" w:themeColor="accent1"/>
            </w:tcBorders>
            <w:shd w:val="clear" w:color="auto" w:fill="E0F3EF" w:themeFill="accent1" w:themeFillTint="33"/>
            <w:vAlign w:val="center"/>
            <w:hideMark/>
          </w:tcPr>
          <w:p w14:paraId="072B790F" w14:textId="38D1D969" w:rsidR="00CD4640" w:rsidRPr="00077901" w:rsidRDefault="00635B53" w:rsidP="00077901">
            <w:pPr>
              <w:suppressAutoHyphens w:val="0"/>
              <w:spacing w:before="0" w:after="0" w:line="240" w:lineRule="auto"/>
              <w:ind w:firstLineChars="100" w:firstLine="200"/>
              <w:rPr>
                <w:rFonts w:eastAsia="Times New Roman" w:cstheme="minorHAnsi"/>
                <w:b w:val="0"/>
                <w:bCs w:val="0"/>
                <w:color w:val="595959" w:themeColor="text1" w:themeTint="A6"/>
                <w:sz w:val="20"/>
                <w:szCs w:val="20"/>
                <w:lang w:val="en-AU" w:eastAsia="en-AU"/>
              </w:rPr>
            </w:pPr>
            <w:r>
              <w:rPr>
                <w:rFonts w:eastAsia="Times New Roman" w:cstheme="minorHAnsi"/>
                <w:b w:val="0"/>
                <w:bCs w:val="0"/>
                <w:color w:val="595959" w:themeColor="text1" w:themeTint="A6"/>
                <w:sz w:val="20"/>
                <w:szCs w:val="20"/>
                <w:lang w:val="en-AU" w:eastAsia="en-AU"/>
              </w:rPr>
              <w:t xml:space="preserve">Investment </w:t>
            </w:r>
            <w:r w:rsidR="00CD4640" w:rsidRPr="00077901">
              <w:rPr>
                <w:rFonts w:eastAsia="Times New Roman" w:cstheme="minorHAnsi"/>
                <w:b w:val="0"/>
                <w:bCs w:val="0"/>
                <w:color w:val="595959" w:themeColor="text1" w:themeTint="A6"/>
                <w:sz w:val="20"/>
                <w:szCs w:val="20"/>
                <w:lang w:val="en-AU" w:eastAsia="en-AU"/>
              </w:rPr>
              <w:t>Duration: 2017-21; Budget: $15.5m</w:t>
            </w:r>
          </w:p>
        </w:tc>
        <w:tc>
          <w:tcPr>
            <w:tcW w:w="1134" w:type="dxa"/>
            <w:gridSpan w:val="2"/>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E0F3EF" w:themeFill="accent1" w:themeFillTint="33"/>
            <w:vAlign w:val="center"/>
            <w:hideMark/>
          </w:tcPr>
          <w:p w14:paraId="29CFF9E9" w14:textId="77777777" w:rsidR="00CD4640" w:rsidRPr="00077901" w:rsidRDefault="00CD4640" w:rsidP="00077901">
            <w:pPr>
              <w:suppressAutoHyphens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val="en-AU" w:eastAsia="en-AU"/>
              </w:rPr>
            </w:pPr>
            <w:r w:rsidRPr="00077901">
              <w:rPr>
                <w:rFonts w:eastAsia="Times New Roman" w:cstheme="minorHAnsi"/>
                <w:color w:val="595959" w:themeColor="text1" w:themeTint="A6"/>
                <w:sz w:val="20"/>
                <w:szCs w:val="20"/>
                <w:lang w:val="en-AU" w:eastAsia="en-AU"/>
              </w:rPr>
              <w:t>2020</w:t>
            </w:r>
          </w:p>
        </w:tc>
        <w:tc>
          <w:tcPr>
            <w:tcW w:w="1417"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E0F3EF" w:themeFill="accent1" w:themeFillTint="33"/>
            <w:noWrap/>
            <w:vAlign w:val="center"/>
            <w:hideMark/>
          </w:tcPr>
          <w:p w14:paraId="2AB321BC" w14:textId="77777777" w:rsidR="00CD4640" w:rsidRPr="00077901" w:rsidRDefault="00CD4640" w:rsidP="00077901">
            <w:pPr>
              <w:suppressAutoHyphens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val="en-AU" w:eastAsia="en-AU"/>
              </w:rPr>
            </w:pPr>
            <w:r w:rsidRPr="00077901">
              <w:rPr>
                <w:rFonts w:eastAsia="Times New Roman" w:cstheme="minorHAnsi"/>
                <w:color w:val="595959" w:themeColor="text1" w:themeTint="A6"/>
                <w:sz w:val="20"/>
                <w:szCs w:val="20"/>
                <w:lang w:eastAsia="en-AU"/>
              </w:rPr>
              <w:t>5</w:t>
            </w:r>
          </w:p>
        </w:tc>
        <w:tc>
          <w:tcPr>
            <w:tcW w:w="1418"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E0F3EF" w:themeFill="accent1" w:themeFillTint="33"/>
            <w:noWrap/>
            <w:vAlign w:val="center"/>
            <w:hideMark/>
          </w:tcPr>
          <w:p w14:paraId="3521E4B7" w14:textId="77777777" w:rsidR="00CD4640" w:rsidRPr="00077901" w:rsidRDefault="00CD4640" w:rsidP="00077901">
            <w:pPr>
              <w:suppressAutoHyphens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val="en-AU" w:eastAsia="en-AU"/>
              </w:rPr>
            </w:pPr>
            <w:r w:rsidRPr="00077901">
              <w:rPr>
                <w:rFonts w:eastAsia="Times New Roman" w:cstheme="minorHAnsi"/>
                <w:color w:val="595959" w:themeColor="text1" w:themeTint="A6"/>
                <w:sz w:val="20"/>
                <w:szCs w:val="20"/>
                <w:lang w:eastAsia="en-AU"/>
              </w:rPr>
              <w:t>5</w:t>
            </w:r>
          </w:p>
        </w:tc>
        <w:tc>
          <w:tcPr>
            <w:tcW w:w="1445"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E0F3EF" w:themeFill="accent1" w:themeFillTint="33"/>
            <w:noWrap/>
            <w:vAlign w:val="center"/>
            <w:hideMark/>
          </w:tcPr>
          <w:p w14:paraId="70501BE4" w14:textId="77777777" w:rsidR="00CD4640" w:rsidRPr="00077901" w:rsidRDefault="00CD4640" w:rsidP="00077901">
            <w:pPr>
              <w:suppressAutoHyphens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val="en-AU" w:eastAsia="en-AU"/>
              </w:rPr>
            </w:pPr>
            <w:r w:rsidRPr="00077901">
              <w:rPr>
                <w:rFonts w:eastAsia="Times New Roman" w:cstheme="minorHAnsi"/>
                <w:color w:val="595959" w:themeColor="text1" w:themeTint="A6"/>
                <w:sz w:val="20"/>
                <w:szCs w:val="20"/>
                <w:lang w:eastAsia="en-AU"/>
              </w:rPr>
              <w:t>5</w:t>
            </w:r>
          </w:p>
        </w:tc>
      </w:tr>
      <w:tr w:rsidR="00077901" w:rsidRPr="00AF18F4" w14:paraId="793020B8" w14:textId="77777777" w:rsidTr="002403D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65C5B4" w:themeColor="accent1"/>
              <w:left w:val="single" w:sz="4" w:space="0" w:color="65C5B4" w:themeColor="accent1"/>
              <w:bottom w:val="nil"/>
              <w:right w:val="single" w:sz="4" w:space="0" w:color="65C5B4" w:themeColor="accent1"/>
            </w:tcBorders>
            <w:shd w:val="clear" w:color="auto" w:fill="F2F2F2" w:themeFill="background1" w:themeFillShade="F2"/>
            <w:noWrap/>
            <w:vAlign w:val="center"/>
            <w:hideMark/>
          </w:tcPr>
          <w:p w14:paraId="711C7108" w14:textId="77777777" w:rsidR="00CD4640" w:rsidRPr="00077901" w:rsidRDefault="00CD4640" w:rsidP="00077901">
            <w:pPr>
              <w:suppressAutoHyphens w:val="0"/>
              <w:spacing w:before="0" w:after="0" w:line="240" w:lineRule="auto"/>
              <w:rPr>
                <w:rFonts w:eastAsia="Times New Roman" w:cstheme="minorHAnsi"/>
                <w:b w:val="0"/>
                <w:bCs w:val="0"/>
                <w:color w:val="595959" w:themeColor="text1" w:themeTint="A6"/>
                <w:sz w:val="20"/>
                <w:szCs w:val="20"/>
                <w:lang w:val="en-AU" w:eastAsia="en-AU"/>
              </w:rPr>
            </w:pPr>
            <w:proofErr w:type="spellStart"/>
            <w:r w:rsidRPr="00077901">
              <w:rPr>
                <w:rFonts w:eastAsia="Times New Roman" w:cstheme="minorHAnsi"/>
                <w:color w:val="595959" w:themeColor="text1" w:themeTint="A6"/>
                <w:sz w:val="20"/>
                <w:szCs w:val="20"/>
                <w:lang w:eastAsia="en-AU"/>
              </w:rPr>
              <w:t>SaferKidsPH</w:t>
            </w:r>
            <w:proofErr w:type="spellEnd"/>
          </w:p>
        </w:tc>
        <w:tc>
          <w:tcPr>
            <w:tcW w:w="1134" w:type="dxa"/>
            <w:gridSpan w:val="2"/>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F2F2F2" w:themeFill="background1" w:themeFillShade="F2"/>
            <w:vAlign w:val="center"/>
            <w:hideMark/>
          </w:tcPr>
          <w:p w14:paraId="6B294354" w14:textId="77777777" w:rsidR="00CD4640" w:rsidRPr="00077901" w:rsidRDefault="00CD4640" w:rsidP="00077901">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595959" w:themeColor="text1" w:themeTint="A6"/>
                <w:sz w:val="20"/>
                <w:szCs w:val="20"/>
                <w:lang w:val="en-AU" w:eastAsia="en-AU"/>
              </w:rPr>
            </w:pPr>
            <w:r w:rsidRPr="00077901">
              <w:rPr>
                <w:rFonts w:eastAsia="Times New Roman" w:cstheme="minorHAnsi"/>
                <w:color w:val="595959" w:themeColor="text1" w:themeTint="A6"/>
                <w:sz w:val="20"/>
                <w:szCs w:val="20"/>
                <w:lang w:val="en-AU" w:eastAsia="en-AU"/>
              </w:rPr>
              <w:t>2021</w:t>
            </w:r>
          </w:p>
        </w:tc>
        <w:tc>
          <w:tcPr>
            <w:tcW w:w="1417"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F2F2F2" w:themeFill="background1" w:themeFillShade="F2"/>
            <w:noWrap/>
            <w:vAlign w:val="center"/>
            <w:hideMark/>
          </w:tcPr>
          <w:p w14:paraId="2908DE6F" w14:textId="77777777" w:rsidR="00CD4640" w:rsidRPr="00077901" w:rsidRDefault="00CD4640" w:rsidP="00077901">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595959" w:themeColor="text1" w:themeTint="A6"/>
                <w:sz w:val="20"/>
                <w:szCs w:val="20"/>
                <w:lang w:val="en-AU" w:eastAsia="en-AU"/>
              </w:rPr>
            </w:pPr>
            <w:r w:rsidRPr="00077901">
              <w:rPr>
                <w:rFonts w:eastAsia="Times New Roman" w:cstheme="minorHAnsi"/>
                <w:color w:val="595959" w:themeColor="text1" w:themeTint="A6"/>
                <w:sz w:val="20"/>
                <w:szCs w:val="20"/>
                <w:lang w:eastAsia="en-AU"/>
              </w:rPr>
              <w:t>4</w:t>
            </w:r>
          </w:p>
        </w:tc>
        <w:tc>
          <w:tcPr>
            <w:tcW w:w="1418"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F2F2F2" w:themeFill="background1" w:themeFillShade="F2"/>
            <w:noWrap/>
            <w:vAlign w:val="center"/>
            <w:hideMark/>
          </w:tcPr>
          <w:p w14:paraId="544A17F9" w14:textId="77777777" w:rsidR="00CD4640" w:rsidRPr="00077901" w:rsidRDefault="00CD4640" w:rsidP="00077901">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595959" w:themeColor="text1" w:themeTint="A6"/>
                <w:sz w:val="20"/>
                <w:szCs w:val="20"/>
                <w:lang w:val="en-AU" w:eastAsia="en-AU"/>
              </w:rPr>
            </w:pPr>
            <w:r w:rsidRPr="00077901">
              <w:rPr>
                <w:rFonts w:eastAsia="Times New Roman" w:cstheme="minorHAnsi"/>
                <w:color w:val="595959" w:themeColor="text1" w:themeTint="A6"/>
                <w:sz w:val="20"/>
                <w:szCs w:val="20"/>
                <w:lang w:eastAsia="en-AU"/>
              </w:rPr>
              <w:t>4</w:t>
            </w:r>
          </w:p>
        </w:tc>
        <w:tc>
          <w:tcPr>
            <w:tcW w:w="1445"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F2F2F2" w:themeFill="background1" w:themeFillShade="F2"/>
            <w:noWrap/>
            <w:vAlign w:val="center"/>
            <w:hideMark/>
          </w:tcPr>
          <w:p w14:paraId="39868885" w14:textId="77777777" w:rsidR="00CD4640" w:rsidRPr="00077901" w:rsidRDefault="00CD4640" w:rsidP="00077901">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595959" w:themeColor="text1" w:themeTint="A6"/>
                <w:sz w:val="20"/>
                <w:szCs w:val="20"/>
                <w:lang w:val="en-AU" w:eastAsia="en-AU"/>
              </w:rPr>
            </w:pPr>
            <w:r w:rsidRPr="00077901">
              <w:rPr>
                <w:rFonts w:eastAsia="Times New Roman" w:cstheme="minorHAnsi"/>
                <w:color w:val="595959" w:themeColor="text1" w:themeTint="A6"/>
                <w:sz w:val="20"/>
                <w:szCs w:val="20"/>
                <w:lang w:eastAsia="en-AU"/>
              </w:rPr>
              <w:t>3</w:t>
            </w:r>
          </w:p>
        </w:tc>
      </w:tr>
      <w:tr w:rsidR="00077901" w:rsidRPr="00AF18F4" w14:paraId="02BD9C56" w14:textId="77777777" w:rsidTr="002403D3">
        <w:trPr>
          <w:trHeight w:val="317"/>
        </w:trPr>
        <w:tc>
          <w:tcPr>
            <w:cnfStyle w:val="001000000000" w:firstRow="0" w:lastRow="0" w:firstColumn="1" w:lastColumn="0" w:oddVBand="0" w:evenVBand="0" w:oddHBand="0" w:evenHBand="0" w:firstRowFirstColumn="0" w:firstRowLastColumn="0" w:lastRowFirstColumn="0" w:lastRowLastColumn="0"/>
            <w:tcW w:w="4957" w:type="dxa"/>
            <w:tcBorders>
              <w:top w:val="nil"/>
              <w:left w:val="single" w:sz="4" w:space="0" w:color="65C5B4" w:themeColor="accent1"/>
              <w:bottom w:val="single" w:sz="4" w:space="0" w:color="65C5B4" w:themeColor="accent1"/>
              <w:right w:val="single" w:sz="4" w:space="0" w:color="65C5B4" w:themeColor="accent1"/>
            </w:tcBorders>
            <w:shd w:val="clear" w:color="auto" w:fill="F2F2F2" w:themeFill="background1" w:themeFillShade="F2"/>
            <w:vAlign w:val="center"/>
            <w:hideMark/>
          </w:tcPr>
          <w:p w14:paraId="46641AD8" w14:textId="658E6C08" w:rsidR="00CD4640" w:rsidRPr="00077901" w:rsidRDefault="00635B53" w:rsidP="00077901">
            <w:pPr>
              <w:suppressAutoHyphens w:val="0"/>
              <w:spacing w:before="0" w:after="0" w:line="240" w:lineRule="auto"/>
              <w:ind w:firstLineChars="100" w:firstLine="200"/>
              <w:rPr>
                <w:rFonts w:eastAsia="Times New Roman" w:cstheme="minorHAnsi"/>
                <w:b w:val="0"/>
                <w:bCs w:val="0"/>
                <w:color w:val="595959" w:themeColor="text1" w:themeTint="A6"/>
                <w:sz w:val="20"/>
                <w:szCs w:val="20"/>
                <w:lang w:val="en-AU" w:eastAsia="en-AU"/>
              </w:rPr>
            </w:pPr>
            <w:r>
              <w:rPr>
                <w:rFonts w:eastAsia="Times New Roman" w:cstheme="minorHAnsi"/>
                <w:b w:val="0"/>
                <w:bCs w:val="0"/>
                <w:color w:val="595959" w:themeColor="text1" w:themeTint="A6"/>
                <w:sz w:val="20"/>
                <w:szCs w:val="20"/>
                <w:lang w:val="en-AU" w:eastAsia="en-AU"/>
              </w:rPr>
              <w:t xml:space="preserve">Investment </w:t>
            </w:r>
            <w:r w:rsidR="00CD4640" w:rsidRPr="00077901">
              <w:rPr>
                <w:rFonts w:eastAsia="Times New Roman" w:cstheme="minorHAnsi"/>
                <w:b w:val="0"/>
                <w:bCs w:val="0"/>
                <w:color w:val="595959" w:themeColor="text1" w:themeTint="A6"/>
                <w:sz w:val="20"/>
                <w:szCs w:val="20"/>
                <w:lang w:val="en-AU" w:eastAsia="en-AU"/>
              </w:rPr>
              <w:t>Duration: 2018-26; Budget: $8m</w:t>
            </w:r>
          </w:p>
        </w:tc>
        <w:tc>
          <w:tcPr>
            <w:tcW w:w="1134" w:type="dxa"/>
            <w:gridSpan w:val="2"/>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F2F2F2" w:themeFill="background1" w:themeFillShade="F2"/>
            <w:vAlign w:val="center"/>
            <w:hideMark/>
          </w:tcPr>
          <w:p w14:paraId="0966AECF" w14:textId="77777777" w:rsidR="00CD4640" w:rsidRPr="00077901" w:rsidRDefault="00CD4640" w:rsidP="00077901">
            <w:pPr>
              <w:suppressAutoHyphens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val="en-AU" w:eastAsia="en-AU"/>
              </w:rPr>
            </w:pPr>
            <w:r w:rsidRPr="00077901">
              <w:rPr>
                <w:rFonts w:eastAsia="Times New Roman" w:cstheme="minorHAnsi"/>
                <w:color w:val="595959" w:themeColor="text1" w:themeTint="A6"/>
                <w:sz w:val="20"/>
                <w:szCs w:val="20"/>
                <w:lang w:val="en-AU" w:eastAsia="en-AU"/>
              </w:rPr>
              <w:t>2020</w:t>
            </w:r>
          </w:p>
        </w:tc>
        <w:tc>
          <w:tcPr>
            <w:tcW w:w="1417"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F2F2F2" w:themeFill="background1" w:themeFillShade="F2"/>
            <w:noWrap/>
            <w:vAlign w:val="center"/>
            <w:hideMark/>
          </w:tcPr>
          <w:p w14:paraId="434CE29D" w14:textId="77777777" w:rsidR="00CD4640" w:rsidRPr="00077901" w:rsidRDefault="00CD4640" w:rsidP="00077901">
            <w:pPr>
              <w:suppressAutoHyphens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val="en-AU" w:eastAsia="en-AU"/>
              </w:rPr>
            </w:pPr>
            <w:r w:rsidRPr="00077901">
              <w:rPr>
                <w:rFonts w:eastAsia="Times New Roman" w:cstheme="minorHAnsi"/>
                <w:color w:val="595959" w:themeColor="text1" w:themeTint="A6"/>
                <w:sz w:val="20"/>
                <w:szCs w:val="20"/>
                <w:lang w:eastAsia="en-AU"/>
              </w:rPr>
              <w:t>4</w:t>
            </w:r>
          </w:p>
        </w:tc>
        <w:tc>
          <w:tcPr>
            <w:tcW w:w="1418"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F2F2F2" w:themeFill="background1" w:themeFillShade="F2"/>
            <w:noWrap/>
            <w:vAlign w:val="center"/>
            <w:hideMark/>
          </w:tcPr>
          <w:p w14:paraId="779E6957" w14:textId="77777777" w:rsidR="00CD4640" w:rsidRPr="00077901" w:rsidRDefault="00CD4640" w:rsidP="00077901">
            <w:pPr>
              <w:suppressAutoHyphens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val="en-AU" w:eastAsia="en-AU"/>
              </w:rPr>
            </w:pPr>
            <w:r w:rsidRPr="00077901">
              <w:rPr>
                <w:rFonts w:eastAsia="Times New Roman" w:cstheme="minorHAnsi"/>
                <w:color w:val="595959" w:themeColor="text1" w:themeTint="A6"/>
                <w:sz w:val="20"/>
                <w:szCs w:val="20"/>
                <w:lang w:eastAsia="en-AU"/>
              </w:rPr>
              <w:t>4</w:t>
            </w:r>
          </w:p>
        </w:tc>
        <w:tc>
          <w:tcPr>
            <w:tcW w:w="1445"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F2F2F2" w:themeFill="background1" w:themeFillShade="F2"/>
            <w:noWrap/>
            <w:vAlign w:val="center"/>
            <w:hideMark/>
          </w:tcPr>
          <w:p w14:paraId="133C1350" w14:textId="77777777" w:rsidR="00CD4640" w:rsidRPr="00077901" w:rsidRDefault="00CD4640" w:rsidP="00077901">
            <w:pPr>
              <w:suppressAutoHyphens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val="en-AU" w:eastAsia="en-AU"/>
              </w:rPr>
            </w:pPr>
            <w:r w:rsidRPr="00077901">
              <w:rPr>
                <w:rFonts w:eastAsia="Times New Roman" w:cstheme="minorHAnsi"/>
                <w:color w:val="595959" w:themeColor="text1" w:themeTint="A6"/>
                <w:sz w:val="20"/>
                <w:szCs w:val="20"/>
                <w:lang w:eastAsia="en-AU"/>
              </w:rPr>
              <w:t>4</w:t>
            </w:r>
          </w:p>
        </w:tc>
      </w:tr>
      <w:tr w:rsidR="00077901" w:rsidRPr="00AF18F4" w14:paraId="67DD2CEE" w14:textId="77777777" w:rsidTr="002403D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65C5B4" w:themeColor="accent1"/>
              <w:left w:val="single" w:sz="4" w:space="0" w:color="65C5B4" w:themeColor="accent1"/>
              <w:bottom w:val="nil"/>
              <w:right w:val="single" w:sz="4" w:space="0" w:color="65C5B4" w:themeColor="accent1"/>
            </w:tcBorders>
            <w:noWrap/>
            <w:vAlign w:val="center"/>
            <w:hideMark/>
          </w:tcPr>
          <w:p w14:paraId="3F235287" w14:textId="77777777" w:rsidR="00CD4640" w:rsidRPr="00077901" w:rsidRDefault="00CD4640" w:rsidP="00077901">
            <w:pPr>
              <w:suppressAutoHyphens w:val="0"/>
              <w:spacing w:before="0" w:after="0" w:line="240" w:lineRule="auto"/>
              <w:rPr>
                <w:rFonts w:eastAsia="Times New Roman" w:cstheme="minorHAnsi"/>
                <w:b w:val="0"/>
                <w:bCs w:val="0"/>
                <w:color w:val="595959" w:themeColor="text1" w:themeTint="A6"/>
                <w:sz w:val="20"/>
                <w:szCs w:val="20"/>
                <w:lang w:val="en-AU" w:eastAsia="en-AU"/>
              </w:rPr>
            </w:pPr>
            <w:r w:rsidRPr="00077901">
              <w:rPr>
                <w:rFonts w:eastAsia="Times New Roman" w:cstheme="minorHAnsi"/>
                <w:color w:val="595959" w:themeColor="text1" w:themeTint="A6"/>
                <w:sz w:val="20"/>
                <w:szCs w:val="20"/>
                <w:lang w:eastAsia="en-AU"/>
              </w:rPr>
              <w:t>Coalitions for Change Phase 2</w:t>
            </w:r>
          </w:p>
        </w:tc>
        <w:tc>
          <w:tcPr>
            <w:tcW w:w="1134" w:type="dxa"/>
            <w:gridSpan w:val="2"/>
            <w:tcBorders>
              <w:top w:val="single" w:sz="4" w:space="0" w:color="65C5B4" w:themeColor="accent1"/>
              <w:left w:val="single" w:sz="4" w:space="0" w:color="65C5B4" w:themeColor="accent1"/>
              <w:bottom w:val="single" w:sz="4" w:space="0" w:color="65C5B4" w:themeColor="accent1"/>
              <w:right w:val="single" w:sz="4" w:space="0" w:color="65C5B4" w:themeColor="accent1"/>
            </w:tcBorders>
            <w:vAlign w:val="center"/>
            <w:hideMark/>
          </w:tcPr>
          <w:p w14:paraId="4921E33B" w14:textId="77777777" w:rsidR="00CD4640" w:rsidRPr="00077901" w:rsidRDefault="00CD4640" w:rsidP="00077901">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595959" w:themeColor="text1" w:themeTint="A6"/>
                <w:sz w:val="20"/>
                <w:szCs w:val="20"/>
                <w:lang w:val="en-AU" w:eastAsia="en-AU"/>
              </w:rPr>
            </w:pPr>
            <w:r w:rsidRPr="00077901">
              <w:rPr>
                <w:rFonts w:eastAsia="Times New Roman" w:cstheme="minorHAnsi"/>
                <w:color w:val="595959" w:themeColor="text1" w:themeTint="A6"/>
                <w:sz w:val="20"/>
                <w:szCs w:val="20"/>
                <w:lang w:val="en-AU" w:eastAsia="en-AU"/>
              </w:rPr>
              <w:t>2021</w:t>
            </w:r>
          </w:p>
        </w:tc>
        <w:tc>
          <w:tcPr>
            <w:tcW w:w="1417"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noWrap/>
            <w:vAlign w:val="center"/>
            <w:hideMark/>
          </w:tcPr>
          <w:p w14:paraId="34172547" w14:textId="77777777" w:rsidR="00CD4640" w:rsidRPr="00077901" w:rsidRDefault="00CD4640" w:rsidP="00077901">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595959" w:themeColor="text1" w:themeTint="A6"/>
                <w:sz w:val="20"/>
                <w:szCs w:val="20"/>
                <w:lang w:val="en-AU" w:eastAsia="en-AU"/>
              </w:rPr>
            </w:pPr>
            <w:r w:rsidRPr="00077901">
              <w:rPr>
                <w:rFonts w:eastAsia="Times New Roman" w:cstheme="minorHAnsi"/>
                <w:color w:val="595959" w:themeColor="text1" w:themeTint="A6"/>
                <w:sz w:val="20"/>
                <w:szCs w:val="20"/>
                <w:lang w:eastAsia="en-AU"/>
              </w:rPr>
              <w:t>4</w:t>
            </w:r>
          </w:p>
        </w:tc>
        <w:tc>
          <w:tcPr>
            <w:tcW w:w="1418"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noWrap/>
            <w:vAlign w:val="center"/>
            <w:hideMark/>
          </w:tcPr>
          <w:p w14:paraId="76FDDC46" w14:textId="77777777" w:rsidR="00CD4640" w:rsidRPr="00077901" w:rsidRDefault="00CD4640" w:rsidP="00077901">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595959" w:themeColor="text1" w:themeTint="A6"/>
                <w:sz w:val="20"/>
                <w:szCs w:val="20"/>
                <w:lang w:val="en-AU" w:eastAsia="en-AU"/>
              </w:rPr>
            </w:pPr>
            <w:r w:rsidRPr="00077901">
              <w:rPr>
                <w:rFonts w:eastAsia="Times New Roman" w:cstheme="minorHAnsi"/>
                <w:color w:val="595959" w:themeColor="text1" w:themeTint="A6"/>
                <w:sz w:val="20"/>
                <w:szCs w:val="20"/>
                <w:lang w:eastAsia="en-AU"/>
              </w:rPr>
              <w:t>5</w:t>
            </w:r>
          </w:p>
        </w:tc>
        <w:tc>
          <w:tcPr>
            <w:tcW w:w="1445"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noWrap/>
            <w:vAlign w:val="center"/>
            <w:hideMark/>
          </w:tcPr>
          <w:p w14:paraId="03F84E36" w14:textId="77777777" w:rsidR="00CD4640" w:rsidRPr="00077901" w:rsidRDefault="00CD4640" w:rsidP="00077901">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595959" w:themeColor="text1" w:themeTint="A6"/>
                <w:sz w:val="20"/>
                <w:szCs w:val="20"/>
                <w:lang w:val="en-AU" w:eastAsia="en-AU"/>
              </w:rPr>
            </w:pPr>
            <w:r w:rsidRPr="00077901">
              <w:rPr>
                <w:rFonts w:eastAsia="Times New Roman" w:cstheme="minorHAnsi"/>
                <w:color w:val="595959" w:themeColor="text1" w:themeTint="A6"/>
                <w:sz w:val="20"/>
                <w:szCs w:val="20"/>
                <w:lang w:eastAsia="en-AU"/>
              </w:rPr>
              <w:t>4</w:t>
            </w:r>
          </w:p>
        </w:tc>
      </w:tr>
      <w:tr w:rsidR="00077901" w:rsidRPr="00AF18F4" w14:paraId="43955BFE" w14:textId="77777777" w:rsidTr="002403D3">
        <w:trPr>
          <w:trHeight w:val="317"/>
        </w:trPr>
        <w:tc>
          <w:tcPr>
            <w:cnfStyle w:val="001000000000" w:firstRow="0" w:lastRow="0" w:firstColumn="1" w:lastColumn="0" w:oddVBand="0" w:evenVBand="0" w:oddHBand="0" w:evenHBand="0" w:firstRowFirstColumn="0" w:firstRowLastColumn="0" w:lastRowFirstColumn="0" w:lastRowLastColumn="0"/>
            <w:tcW w:w="4957" w:type="dxa"/>
            <w:tcBorders>
              <w:top w:val="nil"/>
              <w:left w:val="single" w:sz="4" w:space="0" w:color="65C5B4" w:themeColor="accent1"/>
              <w:bottom w:val="single" w:sz="4" w:space="0" w:color="65C5B4" w:themeColor="accent1"/>
              <w:right w:val="single" w:sz="4" w:space="0" w:color="65C5B4" w:themeColor="accent1"/>
            </w:tcBorders>
            <w:shd w:val="clear" w:color="auto" w:fill="E0F3EF" w:themeFill="accent1" w:themeFillTint="33"/>
            <w:vAlign w:val="center"/>
            <w:hideMark/>
          </w:tcPr>
          <w:p w14:paraId="2B1192F5" w14:textId="23D35569" w:rsidR="00CD4640" w:rsidRPr="00077901" w:rsidRDefault="00635B53" w:rsidP="00077901">
            <w:pPr>
              <w:suppressAutoHyphens w:val="0"/>
              <w:spacing w:before="0" w:after="0" w:line="240" w:lineRule="auto"/>
              <w:ind w:firstLineChars="100" w:firstLine="200"/>
              <w:rPr>
                <w:rFonts w:eastAsia="Times New Roman" w:cstheme="minorHAnsi"/>
                <w:b w:val="0"/>
                <w:bCs w:val="0"/>
                <w:color w:val="595959" w:themeColor="text1" w:themeTint="A6"/>
                <w:sz w:val="20"/>
                <w:szCs w:val="20"/>
                <w:lang w:val="en-AU" w:eastAsia="en-AU"/>
              </w:rPr>
            </w:pPr>
            <w:r>
              <w:rPr>
                <w:rFonts w:eastAsia="Times New Roman" w:cstheme="minorHAnsi"/>
                <w:b w:val="0"/>
                <w:bCs w:val="0"/>
                <w:color w:val="595959" w:themeColor="text1" w:themeTint="A6"/>
                <w:sz w:val="20"/>
                <w:szCs w:val="20"/>
                <w:lang w:val="en-AU" w:eastAsia="en-AU"/>
              </w:rPr>
              <w:t xml:space="preserve">Investment </w:t>
            </w:r>
            <w:r w:rsidR="00CD4640" w:rsidRPr="00077901">
              <w:rPr>
                <w:rFonts w:eastAsia="Times New Roman" w:cstheme="minorHAnsi"/>
                <w:b w:val="0"/>
                <w:bCs w:val="0"/>
                <w:color w:val="595959" w:themeColor="text1" w:themeTint="A6"/>
                <w:sz w:val="20"/>
                <w:szCs w:val="20"/>
                <w:lang w:val="en-AU" w:eastAsia="en-AU"/>
              </w:rPr>
              <w:t>Duration: 2017-24; Budget: $27.8m</w:t>
            </w:r>
          </w:p>
        </w:tc>
        <w:tc>
          <w:tcPr>
            <w:tcW w:w="1134" w:type="dxa"/>
            <w:gridSpan w:val="2"/>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E0F3EF" w:themeFill="accent1" w:themeFillTint="33"/>
            <w:vAlign w:val="center"/>
            <w:hideMark/>
          </w:tcPr>
          <w:p w14:paraId="5C3F9B71" w14:textId="77777777" w:rsidR="00CD4640" w:rsidRPr="00077901" w:rsidRDefault="00CD4640" w:rsidP="00077901">
            <w:pPr>
              <w:suppressAutoHyphens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val="en-AU" w:eastAsia="en-AU"/>
              </w:rPr>
            </w:pPr>
            <w:r w:rsidRPr="00077901">
              <w:rPr>
                <w:rFonts w:eastAsia="Times New Roman" w:cstheme="minorHAnsi"/>
                <w:color w:val="595959" w:themeColor="text1" w:themeTint="A6"/>
                <w:sz w:val="20"/>
                <w:szCs w:val="20"/>
                <w:lang w:val="en-AU" w:eastAsia="en-AU"/>
              </w:rPr>
              <w:t>2020</w:t>
            </w:r>
          </w:p>
        </w:tc>
        <w:tc>
          <w:tcPr>
            <w:tcW w:w="1417"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E0F3EF" w:themeFill="accent1" w:themeFillTint="33"/>
            <w:noWrap/>
            <w:vAlign w:val="center"/>
            <w:hideMark/>
          </w:tcPr>
          <w:p w14:paraId="0F3B211C" w14:textId="77777777" w:rsidR="00CD4640" w:rsidRPr="00077901" w:rsidRDefault="00CD4640" w:rsidP="00077901">
            <w:pPr>
              <w:suppressAutoHyphens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val="en-AU" w:eastAsia="en-AU"/>
              </w:rPr>
            </w:pPr>
            <w:r w:rsidRPr="00077901">
              <w:rPr>
                <w:rFonts w:eastAsia="Times New Roman" w:cstheme="minorHAnsi"/>
                <w:color w:val="595959" w:themeColor="text1" w:themeTint="A6"/>
                <w:sz w:val="20"/>
                <w:szCs w:val="20"/>
                <w:lang w:eastAsia="en-AU"/>
              </w:rPr>
              <w:t>4</w:t>
            </w:r>
          </w:p>
        </w:tc>
        <w:tc>
          <w:tcPr>
            <w:tcW w:w="1418"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E0F3EF" w:themeFill="accent1" w:themeFillTint="33"/>
            <w:noWrap/>
            <w:vAlign w:val="center"/>
            <w:hideMark/>
          </w:tcPr>
          <w:p w14:paraId="6A71E797" w14:textId="77777777" w:rsidR="00CD4640" w:rsidRPr="00077901" w:rsidRDefault="00CD4640" w:rsidP="00077901">
            <w:pPr>
              <w:suppressAutoHyphens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val="en-AU" w:eastAsia="en-AU"/>
              </w:rPr>
            </w:pPr>
            <w:r w:rsidRPr="00077901">
              <w:rPr>
                <w:rFonts w:eastAsia="Times New Roman" w:cstheme="minorHAnsi"/>
                <w:color w:val="595959" w:themeColor="text1" w:themeTint="A6"/>
                <w:sz w:val="20"/>
                <w:szCs w:val="20"/>
                <w:lang w:eastAsia="en-AU"/>
              </w:rPr>
              <w:t>4</w:t>
            </w:r>
          </w:p>
        </w:tc>
        <w:tc>
          <w:tcPr>
            <w:tcW w:w="1445"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E0F3EF" w:themeFill="accent1" w:themeFillTint="33"/>
            <w:noWrap/>
            <w:vAlign w:val="center"/>
            <w:hideMark/>
          </w:tcPr>
          <w:p w14:paraId="2ECE8371" w14:textId="77777777" w:rsidR="00CD4640" w:rsidRPr="00077901" w:rsidRDefault="00CD4640" w:rsidP="00077901">
            <w:pPr>
              <w:suppressAutoHyphens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val="en-AU" w:eastAsia="en-AU"/>
              </w:rPr>
            </w:pPr>
            <w:r w:rsidRPr="00077901">
              <w:rPr>
                <w:rFonts w:eastAsia="Times New Roman" w:cstheme="minorHAnsi"/>
                <w:color w:val="595959" w:themeColor="text1" w:themeTint="A6"/>
                <w:sz w:val="20"/>
                <w:szCs w:val="20"/>
                <w:lang w:eastAsia="en-AU"/>
              </w:rPr>
              <w:t>4</w:t>
            </w:r>
          </w:p>
        </w:tc>
      </w:tr>
      <w:tr w:rsidR="00077901" w:rsidRPr="00AF18F4" w14:paraId="248F9D7B" w14:textId="77777777" w:rsidTr="002403D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65C5B4" w:themeColor="accent1"/>
              <w:left w:val="single" w:sz="4" w:space="0" w:color="65C5B4" w:themeColor="accent1"/>
              <w:bottom w:val="nil"/>
              <w:right w:val="single" w:sz="4" w:space="0" w:color="65C5B4" w:themeColor="accent1"/>
            </w:tcBorders>
            <w:shd w:val="clear" w:color="auto" w:fill="F2F2F2" w:themeFill="background1" w:themeFillShade="F2"/>
            <w:vAlign w:val="center"/>
          </w:tcPr>
          <w:p w14:paraId="53F70639" w14:textId="77777777" w:rsidR="00CD4640" w:rsidRPr="00077901" w:rsidRDefault="00CD4640" w:rsidP="00077901">
            <w:pPr>
              <w:suppressAutoHyphens w:val="0"/>
              <w:spacing w:before="0" w:after="0" w:line="240" w:lineRule="auto"/>
              <w:rPr>
                <w:rFonts w:eastAsia="Times New Roman" w:cstheme="minorHAnsi"/>
                <w:color w:val="595959" w:themeColor="text1" w:themeTint="A6"/>
                <w:sz w:val="20"/>
                <w:szCs w:val="20"/>
                <w:lang w:val="en-AU" w:eastAsia="en-AU"/>
              </w:rPr>
            </w:pPr>
            <w:r w:rsidRPr="00077901">
              <w:rPr>
                <w:rFonts w:eastAsia="Times New Roman" w:cstheme="minorHAnsi"/>
                <w:color w:val="595959" w:themeColor="text1" w:themeTint="A6"/>
                <w:sz w:val="20"/>
                <w:szCs w:val="20"/>
                <w:lang w:eastAsia="en-AU"/>
              </w:rPr>
              <w:t>Education Pathways to Peace in Mindanao (Pathways)</w:t>
            </w:r>
          </w:p>
        </w:tc>
        <w:tc>
          <w:tcPr>
            <w:tcW w:w="1134" w:type="dxa"/>
            <w:gridSpan w:val="2"/>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F2F2F2" w:themeFill="background1" w:themeFillShade="F2"/>
            <w:vAlign w:val="center"/>
          </w:tcPr>
          <w:p w14:paraId="46B6A893" w14:textId="77777777" w:rsidR="00CD4640" w:rsidRPr="00077901" w:rsidRDefault="00CD4640" w:rsidP="00077901">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595959" w:themeColor="text1" w:themeTint="A6"/>
                <w:sz w:val="20"/>
                <w:szCs w:val="20"/>
                <w:lang w:val="en-AU" w:eastAsia="en-AU"/>
              </w:rPr>
            </w:pPr>
            <w:r w:rsidRPr="00077901">
              <w:rPr>
                <w:rFonts w:eastAsia="Times New Roman" w:cstheme="minorHAnsi"/>
                <w:color w:val="595959" w:themeColor="text1" w:themeTint="A6"/>
                <w:sz w:val="20"/>
                <w:szCs w:val="20"/>
                <w:lang w:eastAsia="en-AU"/>
              </w:rPr>
              <w:t>2021</w:t>
            </w:r>
          </w:p>
        </w:tc>
        <w:tc>
          <w:tcPr>
            <w:tcW w:w="1417"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F2F2F2" w:themeFill="background1" w:themeFillShade="F2"/>
            <w:noWrap/>
            <w:vAlign w:val="center"/>
          </w:tcPr>
          <w:p w14:paraId="686DF082" w14:textId="77777777" w:rsidR="00CD4640" w:rsidRPr="00077901" w:rsidRDefault="00CD4640" w:rsidP="00077901">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595959" w:themeColor="text1" w:themeTint="A6"/>
                <w:sz w:val="20"/>
                <w:szCs w:val="20"/>
                <w:lang w:eastAsia="en-AU"/>
              </w:rPr>
            </w:pPr>
            <w:r w:rsidRPr="00077901">
              <w:rPr>
                <w:rFonts w:eastAsia="Times New Roman" w:cstheme="minorHAnsi"/>
                <w:color w:val="595959" w:themeColor="text1" w:themeTint="A6"/>
                <w:sz w:val="20"/>
                <w:szCs w:val="20"/>
                <w:lang w:eastAsia="en-AU"/>
              </w:rPr>
              <w:t>4</w:t>
            </w:r>
          </w:p>
        </w:tc>
        <w:tc>
          <w:tcPr>
            <w:tcW w:w="1418"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F2F2F2" w:themeFill="background1" w:themeFillShade="F2"/>
            <w:noWrap/>
            <w:vAlign w:val="center"/>
          </w:tcPr>
          <w:p w14:paraId="5CB094A6" w14:textId="77777777" w:rsidR="00CD4640" w:rsidRPr="00077901" w:rsidRDefault="00CD4640" w:rsidP="00077901">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595959" w:themeColor="text1" w:themeTint="A6"/>
                <w:sz w:val="20"/>
                <w:szCs w:val="20"/>
                <w:lang w:eastAsia="en-AU"/>
              </w:rPr>
            </w:pPr>
            <w:r w:rsidRPr="00077901">
              <w:rPr>
                <w:rFonts w:eastAsia="Times New Roman" w:cstheme="minorHAnsi"/>
                <w:color w:val="595959" w:themeColor="text1" w:themeTint="A6"/>
                <w:sz w:val="20"/>
                <w:szCs w:val="20"/>
                <w:lang w:eastAsia="en-AU"/>
              </w:rPr>
              <w:t>4</w:t>
            </w:r>
          </w:p>
        </w:tc>
        <w:tc>
          <w:tcPr>
            <w:tcW w:w="1445"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F2F2F2" w:themeFill="background1" w:themeFillShade="F2"/>
            <w:noWrap/>
            <w:vAlign w:val="center"/>
          </w:tcPr>
          <w:p w14:paraId="7D4393F2" w14:textId="77777777" w:rsidR="00CD4640" w:rsidRPr="00077901" w:rsidRDefault="00CD4640" w:rsidP="00077901">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595959" w:themeColor="text1" w:themeTint="A6"/>
                <w:sz w:val="20"/>
                <w:szCs w:val="20"/>
                <w:lang w:eastAsia="en-AU"/>
              </w:rPr>
            </w:pPr>
            <w:r w:rsidRPr="00077901">
              <w:rPr>
                <w:rFonts w:eastAsia="Times New Roman" w:cstheme="minorHAnsi"/>
                <w:color w:val="595959" w:themeColor="text1" w:themeTint="A6"/>
                <w:sz w:val="20"/>
                <w:szCs w:val="20"/>
                <w:lang w:eastAsia="en-AU"/>
              </w:rPr>
              <w:t>4</w:t>
            </w:r>
          </w:p>
        </w:tc>
      </w:tr>
      <w:tr w:rsidR="00077901" w:rsidRPr="00AF18F4" w14:paraId="7D652EDC" w14:textId="77777777" w:rsidTr="002403D3">
        <w:trPr>
          <w:trHeight w:val="317"/>
        </w:trPr>
        <w:tc>
          <w:tcPr>
            <w:cnfStyle w:val="001000000000" w:firstRow="0" w:lastRow="0" w:firstColumn="1" w:lastColumn="0" w:oddVBand="0" w:evenVBand="0" w:oddHBand="0" w:evenHBand="0" w:firstRowFirstColumn="0" w:firstRowLastColumn="0" w:lastRowFirstColumn="0" w:lastRowLastColumn="0"/>
            <w:tcW w:w="4957" w:type="dxa"/>
            <w:tcBorders>
              <w:top w:val="nil"/>
              <w:left w:val="single" w:sz="4" w:space="0" w:color="65C5B4" w:themeColor="accent1"/>
              <w:bottom w:val="single" w:sz="4" w:space="0" w:color="65C5B4" w:themeColor="accent1"/>
              <w:right w:val="single" w:sz="4" w:space="0" w:color="65C5B4" w:themeColor="accent1"/>
            </w:tcBorders>
            <w:shd w:val="clear" w:color="auto" w:fill="F2F2F2" w:themeFill="background1" w:themeFillShade="F2"/>
            <w:vAlign w:val="center"/>
          </w:tcPr>
          <w:p w14:paraId="3499472F" w14:textId="7D806333" w:rsidR="00CD4640" w:rsidRPr="00077901" w:rsidRDefault="00635B53" w:rsidP="00077901">
            <w:pPr>
              <w:suppressAutoHyphens w:val="0"/>
              <w:spacing w:before="0" w:after="0" w:line="240" w:lineRule="auto"/>
              <w:ind w:firstLineChars="100" w:firstLine="200"/>
              <w:rPr>
                <w:rFonts w:eastAsia="Times New Roman" w:cstheme="minorHAnsi"/>
                <w:b w:val="0"/>
                <w:bCs w:val="0"/>
                <w:color w:val="595959" w:themeColor="text1" w:themeTint="A6"/>
                <w:sz w:val="20"/>
                <w:szCs w:val="20"/>
                <w:lang w:val="en-AU" w:eastAsia="en-AU"/>
              </w:rPr>
            </w:pPr>
            <w:r>
              <w:rPr>
                <w:rFonts w:eastAsia="Times New Roman" w:cstheme="minorHAnsi"/>
                <w:b w:val="0"/>
                <w:bCs w:val="0"/>
                <w:color w:val="595959" w:themeColor="text1" w:themeTint="A6"/>
                <w:sz w:val="20"/>
                <w:szCs w:val="20"/>
                <w:lang w:val="en-AU" w:eastAsia="en-AU"/>
              </w:rPr>
              <w:t xml:space="preserve">Investment </w:t>
            </w:r>
            <w:r w:rsidR="00CD4640" w:rsidRPr="00077901">
              <w:rPr>
                <w:rFonts w:eastAsia="Times New Roman" w:cstheme="minorHAnsi"/>
                <w:b w:val="0"/>
                <w:bCs w:val="0"/>
                <w:color w:val="595959" w:themeColor="text1" w:themeTint="A6"/>
                <w:sz w:val="20"/>
                <w:szCs w:val="20"/>
                <w:lang w:val="en-AU" w:eastAsia="en-AU"/>
              </w:rPr>
              <w:t>Duration: 2015-26; Budget: $90.4m</w:t>
            </w:r>
          </w:p>
        </w:tc>
        <w:tc>
          <w:tcPr>
            <w:tcW w:w="1134" w:type="dxa"/>
            <w:gridSpan w:val="2"/>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F2F2F2" w:themeFill="background1" w:themeFillShade="F2"/>
            <w:vAlign w:val="center"/>
          </w:tcPr>
          <w:p w14:paraId="774CA532" w14:textId="77777777" w:rsidR="00CD4640" w:rsidRPr="00077901" w:rsidRDefault="00CD4640" w:rsidP="00077901">
            <w:pPr>
              <w:suppressAutoHyphens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val="en-AU" w:eastAsia="en-AU"/>
              </w:rPr>
            </w:pPr>
            <w:r w:rsidRPr="00077901">
              <w:rPr>
                <w:rFonts w:eastAsia="Times New Roman" w:cstheme="minorHAnsi"/>
                <w:color w:val="595959" w:themeColor="text1" w:themeTint="A6"/>
                <w:sz w:val="20"/>
                <w:szCs w:val="20"/>
                <w:lang w:eastAsia="en-AU"/>
              </w:rPr>
              <w:t>2020</w:t>
            </w:r>
          </w:p>
        </w:tc>
        <w:tc>
          <w:tcPr>
            <w:tcW w:w="1417"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F2F2F2" w:themeFill="background1" w:themeFillShade="F2"/>
            <w:noWrap/>
            <w:vAlign w:val="center"/>
          </w:tcPr>
          <w:p w14:paraId="526A682C" w14:textId="77777777" w:rsidR="00CD4640" w:rsidRPr="00077901" w:rsidRDefault="00CD4640" w:rsidP="00077901">
            <w:pPr>
              <w:suppressAutoHyphens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077901">
              <w:rPr>
                <w:rFonts w:eastAsia="Times New Roman" w:cstheme="minorHAnsi"/>
                <w:color w:val="595959" w:themeColor="text1" w:themeTint="A6"/>
                <w:sz w:val="20"/>
                <w:szCs w:val="20"/>
                <w:lang w:eastAsia="en-AU"/>
              </w:rPr>
              <w:t>4</w:t>
            </w:r>
          </w:p>
        </w:tc>
        <w:tc>
          <w:tcPr>
            <w:tcW w:w="1418"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F2F2F2" w:themeFill="background1" w:themeFillShade="F2"/>
            <w:noWrap/>
            <w:vAlign w:val="center"/>
          </w:tcPr>
          <w:p w14:paraId="572B474F" w14:textId="77777777" w:rsidR="00CD4640" w:rsidRPr="00077901" w:rsidRDefault="00CD4640" w:rsidP="00077901">
            <w:pPr>
              <w:suppressAutoHyphens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077901">
              <w:rPr>
                <w:rFonts w:eastAsia="Times New Roman" w:cstheme="minorHAnsi"/>
                <w:color w:val="595959" w:themeColor="text1" w:themeTint="A6"/>
                <w:sz w:val="20"/>
                <w:szCs w:val="20"/>
                <w:lang w:eastAsia="en-AU"/>
              </w:rPr>
              <w:t>4</w:t>
            </w:r>
          </w:p>
        </w:tc>
        <w:tc>
          <w:tcPr>
            <w:tcW w:w="1445"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F2F2F2" w:themeFill="background1" w:themeFillShade="F2"/>
            <w:noWrap/>
            <w:vAlign w:val="center"/>
          </w:tcPr>
          <w:p w14:paraId="325B8E0C" w14:textId="77777777" w:rsidR="00CD4640" w:rsidRPr="00077901" w:rsidRDefault="00CD4640" w:rsidP="00077901">
            <w:pPr>
              <w:suppressAutoHyphens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077901">
              <w:rPr>
                <w:rFonts w:eastAsia="Times New Roman" w:cstheme="minorHAnsi"/>
                <w:color w:val="595959" w:themeColor="text1" w:themeTint="A6"/>
                <w:sz w:val="20"/>
                <w:szCs w:val="20"/>
                <w:lang w:eastAsia="en-AU"/>
              </w:rPr>
              <w:t>4</w:t>
            </w:r>
          </w:p>
        </w:tc>
      </w:tr>
      <w:tr w:rsidR="00077901" w:rsidRPr="00AF18F4" w14:paraId="01B0BDBD" w14:textId="77777777" w:rsidTr="002403D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65C5B4" w:themeColor="accent1"/>
              <w:left w:val="single" w:sz="4" w:space="0" w:color="65C5B4" w:themeColor="accent1"/>
              <w:bottom w:val="nil"/>
              <w:right w:val="single" w:sz="4" w:space="0" w:color="65C5B4" w:themeColor="accent1"/>
            </w:tcBorders>
            <w:vAlign w:val="center"/>
          </w:tcPr>
          <w:p w14:paraId="2DC39938" w14:textId="77777777" w:rsidR="00CD4640" w:rsidRPr="00077901" w:rsidRDefault="00CD4640" w:rsidP="00077901">
            <w:pPr>
              <w:suppressAutoHyphens w:val="0"/>
              <w:spacing w:before="0" w:after="0" w:line="240" w:lineRule="auto"/>
              <w:rPr>
                <w:rFonts w:eastAsia="Times New Roman" w:cstheme="minorHAnsi"/>
                <w:color w:val="595959" w:themeColor="text1" w:themeTint="A6"/>
                <w:sz w:val="20"/>
                <w:szCs w:val="20"/>
                <w:lang w:val="en-AU" w:eastAsia="en-AU"/>
              </w:rPr>
            </w:pPr>
            <w:r w:rsidRPr="00077901">
              <w:rPr>
                <w:rFonts w:eastAsia="Times New Roman" w:cstheme="minorHAnsi"/>
                <w:color w:val="595959" w:themeColor="text1" w:themeTint="A6"/>
                <w:sz w:val="20"/>
                <w:szCs w:val="20"/>
                <w:lang w:eastAsia="en-AU"/>
              </w:rPr>
              <w:t>Sustaining Education Reform Gains (SERG)</w:t>
            </w:r>
          </w:p>
        </w:tc>
        <w:tc>
          <w:tcPr>
            <w:tcW w:w="1134" w:type="dxa"/>
            <w:gridSpan w:val="2"/>
            <w:tcBorders>
              <w:top w:val="single" w:sz="4" w:space="0" w:color="65C5B4" w:themeColor="accent1"/>
              <w:left w:val="single" w:sz="4" w:space="0" w:color="65C5B4" w:themeColor="accent1"/>
              <w:bottom w:val="single" w:sz="4" w:space="0" w:color="65C5B4" w:themeColor="accent1"/>
              <w:right w:val="single" w:sz="4" w:space="0" w:color="65C5B4" w:themeColor="accent1"/>
            </w:tcBorders>
            <w:vAlign w:val="center"/>
          </w:tcPr>
          <w:p w14:paraId="43D9D761" w14:textId="77777777" w:rsidR="00CD4640" w:rsidRPr="00077901" w:rsidRDefault="00CD4640" w:rsidP="00077901">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595959" w:themeColor="text1" w:themeTint="A6"/>
                <w:sz w:val="20"/>
                <w:szCs w:val="20"/>
                <w:lang w:val="en-AU" w:eastAsia="en-AU"/>
              </w:rPr>
            </w:pPr>
            <w:r w:rsidRPr="00077901">
              <w:rPr>
                <w:rFonts w:eastAsia="Times New Roman" w:cstheme="minorHAnsi"/>
                <w:color w:val="595959" w:themeColor="text1" w:themeTint="A6"/>
                <w:sz w:val="20"/>
                <w:szCs w:val="20"/>
                <w:lang w:eastAsia="en-AU"/>
              </w:rPr>
              <w:t>2021</w:t>
            </w:r>
          </w:p>
        </w:tc>
        <w:tc>
          <w:tcPr>
            <w:tcW w:w="1417"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noWrap/>
            <w:vAlign w:val="center"/>
          </w:tcPr>
          <w:p w14:paraId="17287C82" w14:textId="77777777" w:rsidR="00CD4640" w:rsidRPr="00077901" w:rsidRDefault="00CD4640" w:rsidP="00077901">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595959" w:themeColor="text1" w:themeTint="A6"/>
                <w:sz w:val="20"/>
                <w:szCs w:val="20"/>
                <w:lang w:eastAsia="en-AU"/>
              </w:rPr>
            </w:pPr>
            <w:r w:rsidRPr="00077901">
              <w:rPr>
                <w:rFonts w:eastAsia="Times New Roman" w:cstheme="minorHAnsi"/>
                <w:color w:val="595959" w:themeColor="text1" w:themeTint="A6"/>
                <w:sz w:val="20"/>
                <w:szCs w:val="20"/>
                <w:lang w:eastAsia="en-AU"/>
              </w:rPr>
              <w:t>5</w:t>
            </w:r>
          </w:p>
        </w:tc>
        <w:tc>
          <w:tcPr>
            <w:tcW w:w="1418"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noWrap/>
            <w:vAlign w:val="center"/>
          </w:tcPr>
          <w:p w14:paraId="073D39A8" w14:textId="77777777" w:rsidR="00CD4640" w:rsidRPr="00077901" w:rsidRDefault="00CD4640" w:rsidP="00077901">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595959" w:themeColor="text1" w:themeTint="A6"/>
                <w:sz w:val="20"/>
                <w:szCs w:val="20"/>
                <w:lang w:eastAsia="en-AU"/>
              </w:rPr>
            </w:pPr>
            <w:r w:rsidRPr="00077901">
              <w:rPr>
                <w:rFonts w:eastAsia="Times New Roman" w:cstheme="minorHAnsi"/>
                <w:color w:val="595959" w:themeColor="text1" w:themeTint="A6"/>
                <w:sz w:val="20"/>
                <w:szCs w:val="20"/>
                <w:lang w:eastAsia="en-AU"/>
              </w:rPr>
              <w:t>5</w:t>
            </w:r>
          </w:p>
        </w:tc>
        <w:tc>
          <w:tcPr>
            <w:tcW w:w="1445"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noWrap/>
            <w:vAlign w:val="center"/>
          </w:tcPr>
          <w:p w14:paraId="52D99EDF" w14:textId="77777777" w:rsidR="00CD4640" w:rsidRPr="00077901" w:rsidRDefault="00CD4640" w:rsidP="00077901">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595959" w:themeColor="text1" w:themeTint="A6"/>
                <w:sz w:val="20"/>
                <w:szCs w:val="20"/>
                <w:lang w:eastAsia="en-AU"/>
              </w:rPr>
            </w:pPr>
            <w:r w:rsidRPr="00077901">
              <w:rPr>
                <w:rFonts w:eastAsia="Times New Roman" w:cstheme="minorHAnsi"/>
                <w:color w:val="595959" w:themeColor="text1" w:themeTint="A6"/>
                <w:sz w:val="20"/>
                <w:szCs w:val="20"/>
                <w:lang w:eastAsia="en-AU"/>
              </w:rPr>
              <w:t>4</w:t>
            </w:r>
          </w:p>
        </w:tc>
      </w:tr>
      <w:tr w:rsidR="00077901" w:rsidRPr="00AF18F4" w14:paraId="79182CB4" w14:textId="77777777" w:rsidTr="002403D3">
        <w:trPr>
          <w:trHeight w:val="317"/>
        </w:trPr>
        <w:tc>
          <w:tcPr>
            <w:cnfStyle w:val="001000000000" w:firstRow="0" w:lastRow="0" w:firstColumn="1" w:lastColumn="0" w:oddVBand="0" w:evenVBand="0" w:oddHBand="0" w:evenHBand="0" w:firstRowFirstColumn="0" w:firstRowLastColumn="0" w:lastRowFirstColumn="0" w:lastRowLastColumn="0"/>
            <w:tcW w:w="4957" w:type="dxa"/>
            <w:tcBorders>
              <w:top w:val="nil"/>
              <w:left w:val="single" w:sz="4" w:space="0" w:color="65C5B4" w:themeColor="accent1"/>
              <w:bottom w:val="single" w:sz="4" w:space="0" w:color="65C5B4" w:themeColor="accent1"/>
              <w:right w:val="single" w:sz="4" w:space="0" w:color="65C5B4" w:themeColor="accent1"/>
            </w:tcBorders>
            <w:shd w:val="clear" w:color="auto" w:fill="E0F3EF" w:themeFill="accent1" w:themeFillTint="33"/>
            <w:vAlign w:val="center"/>
          </w:tcPr>
          <w:p w14:paraId="746B9E46" w14:textId="416A955C" w:rsidR="00CD4640" w:rsidRPr="00077901" w:rsidRDefault="00635B53" w:rsidP="00077901">
            <w:pPr>
              <w:suppressAutoHyphens w:val="0"/>
              <w:spacing w:before="0" w:after="0" w:line="240" w:lineRule="auto"/>
              <w:ind w:firstLineChars="100" w:firstLine="200"/>
              <w:rPr>
                <w:rFonts w:eastAsia="Times New Roman" w:cstheme="minorHAnsi"/>
                <w:b w:val="0"/>
                <w:bCs w:val="0"/>
                <w:color w:val="595959" w:themeColor="text1" w:themeTint="A6"/>
                <w:sz w:val="20"/>
                <w:szCs w:val="20"/>
                <w:lang w:val="en-AU" w:eastAsia="en-AU"/>
              </w:rPr>
            </w:pPr>
            <w:r>
              <w:rPr>
                <w:rFonts w:eastAsia="Times New Roman" w:cstheme="minorHAnsi"/>
                <w:b w:val="0"/>
                <w:bCs w:val="0"/>
                <w:color w:val="595959" w:themeColor="text1" w:themeTint="A6"/>
                <w:sz w:val="20"/>
                <w:szCs w:val="20"/>
                <w:lang w:val="en-AU" w:eastAsia="en-AU"/>
              </w:rPr>
              <w:t xml:space="preserve">Investment </w:t>
            </w:r>
            <w:r w:rsidR="00CD4640" w:rsidRPr="00077901">
              <w:rPr>
                <w:rFonts w:eastAsia="Times New Roman" w:cstheme="minorHAnsi"/>
                <w:b w:val="0"/>
                <w:bCs w:val="0"/>
                <w:color w:val="595959" w:themeColor="text1" w:themeTint="A6"/>
                <w:sz w:val="20"/>
                <w:szCs w:val="20"/>
                <w:lang w:val="en-AU" w:eastAsia="en-AU"/>
              </w:rPr>
              <w:t>Duration: 2019-23; Budget: $5.1m</w:t>
            </w:r>
          </w:p>
        </w:tc>
        <w:tc>
          <w:tcPr>
            <w:tcW w:w="1134" w:type="dxa"/>
            <w:gridSpan w:val="2"/>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E0F3EF" w:themeFill="accent1" w:themeFillTint="33"/>
            <w:vAlign w:val="center"/>
          </w:tcPr>
          <w:p w14:paraId="5FA3E07C" w14:textId="77777777" w:rsidR="00CD4640" w:rsidRPr="00077901" w:rsidRDefault="00CD4640" w:rsidP="00077901">
            <w:pPr>
              <w:suppressAutoHyphens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val="en-AU" w:eastAsia="en-AU"/>
              </w:rPr>
            </w:pPr>
            <w:r w:rsidRPr="00077901">
              <w:rPr>
                <w:rFonts w:eastAsia="Times New Roman" w:cstheme="minorHAnsi"/>
                <w:color w:val="595959" w:themeColor="text1" w:themeTint="A6"/>
                <w:sz w:val="20"/>
                <w:szCs w:val="20"/>
                <w:lang w:eastAsia="en-AU"/>
              </w:rPr>
              <w:t>2020</w:t>
            </w:r>
          </w:p>
        </w:tc>
        <w:tc>
          <w:tcPr>
            <w:tcW w:w="1417"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E0F3EF" w:themeFill="accent1" w:themeFillTint="33"/>
            <w:noWrap/>
            <w:vAlign w:val="center"/>
          </w:tcPr>
          <w:p w14:paraId="2CE7EBF6" w14:textId="77777777" w:rsidR="00CD4640" w:rsidRPr="00077901" w:rsidRDefault="00CD4640" w:rsidP="00077901">
            <w:pPr>
              <w:suppressAutoHyphens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077901">
              <w:rPr>
                <w:rFonts w:eastAsia="Times New Roman" w:cstheme="minorHAnsi"/>
                <w:color w:val="595959" w:themeColor="text1" w:themeTint="A6"/>
                <w:sz w:val="20"/>
                <w:szCs w:val="20"/>
                <w:lang w:eastAsia="en-AU"/>
              </w:rPr>
              <w:t>n/a</w:t>
            </w:r>
          </w:p>
        </w:tc>
        <w:tc>
          <w:tcPr>
            <w:tcW w:w="1418"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E0F3EF" w:themeFill="accent1" w:themeFillTint="33"/>
            <w:noWrap/>
            <w:vAlign w:val="center"/>
          </w:tcPr>
          <w:p w14:paraId="5853F9F5" w14:textId="77777777" w:rsidR="00CD4640" w:rsidRPr="00077901" w:rsidRDefault="00CD4640" w:rsidP="00077901">
            <w:pPr>
              <w:suppressAutoHyphens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077901">
              <w:rPr>
                <w:rFonts w:eastAsia="Times New Roman" w:cstheme="minorHAnsi"/>
                <w:color w:val="595959" w:themeColor="text1" w:themeTint="A6"/>
                <w:sz w:val="20"/>
                <w:szCs w:val="20"/>
                <w:lang w:eastAsia="en-AU"/>
              </w:rPr>
              <w:t>n/a</w:t>
            </w:r>
          </w:p>
        </w:tc>
        <w:tc>
          <w:tcPr>
            <w:tcW w:w="1445"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E0F3EF" w:themeFill="accent1" w:themeFillTint="33"/>
            <w:noWrap/>
            <w:vAlign w:val="center"/>
          </w:tcPr>
          <w:p w14:paraId="28A911AF" w14:textId="77777777" w:rsidR="00CD4640" w:rsidRPr="00077901" w:rsidRDefault="00CD4640" w:rsidP="00077901">
            <w:pPr>
              <w:suppressAutoHyphens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077901">
              <w:rPr>
                <w:rFonts w:eastAsia="Times New Roman" w:cstheme="minorHAnsi"/>
                <w:color w:val="595959" w:themeColor="text1" w:themeTint="A6"/>
                <w:sz w:val="20"/>
                <w:szCs w:val="20"/>
                <w:lang w:eastAsia="en-AU"/>
              </w:rPr>
              <w:t>n/a</w:t>
            </w:r>
          </w:p>
        </w:tc>
      </w:tr>
      <w:tr w:rsidR="00077901" w:rsidRPr="00AF18F4" w14:paraId="36E8E158" w14:textId="77777777" w:rsidTr="002403D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65C5B4" w:themeColor="accent1"/>
              <w:left w:val="single" w:sz="4" w:space="0" w:color="65C5B4" w:themeColor="accent1"/>
              <w:bottom w:val="nil"/>
              <w:right w:val="single" w:sz="4" w:space="0" w:color="65C5B4" w:themeColor="accent1"/>
            </w:tcBorders>
            <w:shd w:val="clear" w:color="auto" w:fill="F2F2F2" w:themeFill="background1" w:themeFillShade="F2"/>
            <w:vAlign w:val="center"/>
          </w:tcPr>
          <w:p w14:paraId="2F77F632" w14:textId="77777777" w:rsidR="00CD4640" w:rsidRPr="00077901" w:rsidRDefault="00CD4640" w:rsidP="00077901">
            <w:pPr>
              <w:suppressAutoHyphens w:val="0"/>
              <w:spacing w:before="0" w:after="0" w:line="240" w:lineRule="auto"/>
              <w:rPr>
                <w:rFonts w:eastAsia="Times New Roman" w:cstheme="minorHAnsi"/>
                <w:color w:val="595959" w:themeColor="text1" w:themeTint="A6"/>
                <w:sz w:val="20"/>
                <w:szCs w:val="20"/>
                <w:lang w:val="en-AU" w:eastAsia="en-AU"/>
              </w:rPr>
            </w:pPr>
            <w:r w:rsidRPr="00077901">
              <w:rPr>
                <w:rFonts w:eastAsia="Times New Roman" w:cstheme="minorHAnsi"/>
                <w:color w:val="595959" w:themeColor="text1" w:themeTint="A6"/>
                <w:sz w:val="20"/>
                <w:szCs w:val="20"/>
                <w:lang w:eastAsia="en-AU"/>
              </w:rPr>
              <w:t>Research for Inclusive Development Initiative (RIDI)</w:t>
            </w:r>
          </w:p>
        </w:tc>
        <w:tc>
          <w:tcPr>
            <w:tcW w:w="1134" w:type="dxa"/>
            <w:gridSpan w:val="2"/>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F2F2F2" w:themeFill="background1" w:themeFillShade="F2"/>
            <w:vAlign w:val="center"/>
          </w:tcPr>
          <w:p w14:paraId="282C98EF" w14:textId="77777777" w:rsidR="00CD4640" w:rsidRPr="00077901" w:rsidRDefault="00CD4640" w:rsidP="00077901">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595959" w:themeColor="text1" w:themeTint="A6"/>
                <w:sz w:val="20"/>
                <w:szCs w:val="20"/>
                <w:lang w:val="en-AU" w:eastAsia="en-AU"/>
              </w:rPr>
            </w:pPr>
            <w:r w:rsidRPr="00077901">
              <w:rPr>
                <w:rFonts w:eastAsia="Times New Roman" w:cstheme="minorHAnsi"/>
                <w:color w:val="595959" w:themeColor="text1" w:themeTint="A6"/>
                <w:sz w:val="20"/>
                <w:szCs w:val="20"/>
                <w:lang w:eastAsia="en-AU"/>
              </w:rPr>
              <w:t>2021</w:t>
            </w:r>
          </w:p>
        </w:tc>
        <w:tc>
          <w:tcPr>
            <w:tcW w:w="1417"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F2F2F2" w:themeFill="background1" w:themeFillShade="F2"/>
            <w:noWrap/>
            <w:vAlign w:val="center"/>
          </w:tcPr>
          <w:p w14:paraId="51F3C836" w14:textId="77777777" w:rsidR="00CD4640" w:rsidRPr="00077901" w:rsidRDefault="00CD4640" w:rsidP="00077901">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595959" w:themeColor="text1" w:themeTint="A6"/>
                <w:sz w:val="20"/>
                <w:szCs w:val="20"/>
                <w:lang w:eastAsia="en-AU"/>
              </w:rPr>
            </w:pPr>
            <w:r w:rsidRPr="00077901">
              <w:rPr>
                <w:rFonts w:eastAsia="Times New Roman" w:cstheme="minorHAnsi"/>
                <w:color w:val="595959" w:themeColor="text1" w:themeTint="A6"/>
                <w:sz w:val="20"/>
                <w:szCs w:val="20"/>
                <w:lang w:eastAsia="en-AU"/>
              </w:rPr>
              <w:t>5</w:t>
            </w:r>
          </w:p>
        </w:tc>
        <w:tc>
          <w:tcPr>
            <w:tcW w:w="1418"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F2F2F2" w:themeFill="background1" w:themeFillShade="F2"/>
            <w:noWrap/>
            <w:vAlign w:val="center"/>
          </w:tcPr>
          <w:p w14:paraId="1054B316" w14:textId="77777777" w:rsidR="00CD4640" w:rsidRPr="00077901" w:rsidRDefault="00CD4640" w:rsidP="00077901">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595959" w:themeColor="text1" w:themeTint="A6"/>
                <w:sz w:val="20"/>
                <w:szCs w:val="20"/>
                <w:lang w:eastAsia="en-AU"/>
              </w:rPr>
            </w:pPr>
            <w:r w:rsidRPr="00077901">
              <w:rPr>
                <w:rFonts w:eastAsia="Times New Roman" w:cstheme="minorHAnsi"/>
                <w:color w:val="595959" w:themeColor="text1" w:themeTint="A6"/>
                <w:sz w:val="20"/>
                <w:szCs w:val="20"/>
                <w:lang w:eastAsia="en-AU"/>
              </w:rPr>
              <w:t>4</w:t>
            </w:r>
          </w:p>
        </w:tc>
        <w:tc>
          <w:tcPr>
            <w:tcW w:w="1445"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F2F2F2" w:themeFill="background1" w:themeFillShade="F2"/>
            <w:noWrap/>
            <w:vAlign w:val="center"/>
          </w:tcPr>
          <w:p w14:paraId="1C6702F3" w14:textId="77777777" w:rsidR="00CD4640" w:rsidRPr="00077901" w:rsidRDefault="00CD4640" w:rsidP="00077901">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595959" w:themeColor="text1" w:themeTint="A6"/>
                <w:sz w:val="20"/>
                <w:szCs w:val="20"/>
                <w:lang w:eastAsia="en-AU"/>
              </w:rPr>
            </w:pPr>
            <w:r w:rsidRPr="00077901">
              <w:rPr>
                <w:rFonts w:eastAsia="Times New Roman" w:cstheme="minorHAnsi"/>
                <w:color w:val="595959" w:themeColor="text1" w:themeTint="A6"/>
                <w:sz w:val="20"/>
                <w:szCs w:val="20"/>
                <w:lang w:eastAsia="en-AU"/>
              </w:rPr>
              <w:t>5</w:t>
            </w:r>
          </w:p>
        </w:tc>
      </w:tr>
      <w:tr w:rsidR="00077901" w:rsidRPr="00AF18F4" w14:paraId="2581FDDE" w14:textId="77777777" w:rsidTr="002403D3">
        <w:trPr>
          <w:trHeight w:val="317"/>
        </w:trPr>
        <w:tc>
          <w:tcPr>
            <w:cnfStyle w:val="001000000000" w:firstRow="0" w:lastRow="0" w:firstColumn="1" w:lastColumn="0" w:oddVBand="0" w:evenVBand="0" w:oddHBand="0" w:evenHBand="0" w:firstRowFirstColumn="0" w:firstRowLastColumn="0" w:lastRowFirstColumn="0" w:lastRowLastColumn="0"/>
            <w:tcW w:w="4957" w:type="dxa"/>
            <w:tcBorders>
              <w:top w:val="nil"/>
              <w:left w:val="single" w:sz="4" w:space="0" w:color="65C5B4" w:themeColor="accent1"/>
              <w:bottom w:val="single" w:sz="4" w:space="0" w:color="65C5B4" w:themeColor="accent1"/>
              <w:right w:val="single" w:sz="4" w:space="0" w:color="65C5B4" w:themeColor="accent1"/>
            </w:tcBorders>
            <w:shd w:val="clear" w:color="auto" w:fill="F2F2F2" w:themeFill="background1" w:themeFillShade="F2"/>
            <w:vAlign w:val="center"/>
          </w:tcPr>
          <w:p w14:paraId="1F19C83C" w14:textId="30F0D1C0" w:rsidR="00CD4640" w:rsidRPr="00077901" w:rsidRDefault="00635B53" w:rsidP="00077901">
            <w:pPr>
              <w:suppressAutoHyphens w:val="0"/>
              <w:spacing w:before="0" w:after="0" w:line="240" w:lineRule="auto"/>
              <w:ind w:firstLineChars="100" w:firstLine="200"/>
              <w:rPr>
                <w:rFonts w:eastAsia="Times New Roman" w:cstheme="minorHAnsi"/>
                <w:b w:val="0"/>
                <w:bCs w:val="0"/>
                <w:color w:val="595959" w:themeColor="text1" w:themeTint="A6"/>
                <w:sz w:val="20"/>
                <w:szCs w:val="20"/>
                <w:lang w:val="en-AU" w:eastAsia="en-AU"/>
              </w:rPr>
            </w:pPr>
            <w:r>
              <w:rPr>
                <w:rFonts w:eastAsia="Times New Roman" w:cstheme="minorHAnsi"/>
                <w:b w:val="0"/>
                <w:bCs w:val="0"/>
                <w:color w:val="595959" w:themeColor="text1" w:themeTint="A6"/>
                <w:sz w:val="20"/>
                <w:szCs w:val="20"/>
                <w:lang w:val="en-AU" w:eastAsia="en-AU"/>
              </w:rPr>
              <w:t xml:space="preserve">Investment </w:t>
            </w:r>
            <w:r w:rsidR="00CD4640" w:rsidRPr="00077901">
              <w:rPr>
                <w:rFonts w:eastAsia="Times New Roman" w:cstheme="minorHAnsi"/>
                <w:b w:val="0"/>
                <w:bCs w:val="0"/>
                <w:color w:val="595959" w:themeColor="text1" w:themeTint="A6"/>
                <w:sz w:val="20"/>
                <w:szCs w:val="20"/>
                <w:lang w:val="en-AU" w:eastAsia="en-AU"/>
              </w:rPr>
              <w:t>Duration: 2019-23; Budget: $5.5m</w:t>
            </w:r>
          </w:p>
        </w:tc>
        <w:tc>
          <w:tcPr>
            <w:tcW w:w="1134" w:type="dxa"/>
            <w:gridSpan w:val="2"/>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F2F2F2" w:themeFill="background1" w:themeFillShade="F2"/>
            <w:vAlign w:val="center"/>
          </w:tcPr>
          <w:p w14:paraId="3B23626A" w14:textId="77777777" w:rsidR="00CD4640" w:rsidRPr="00077901" w:rsidRDefault="00CD4640" w:rsidP="00077901">
            <w:pPr>
              <w:suppressAutoHyphens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val="en-AU" w:eastAsia="en-AU"/>
              </w:rPr>
            </w:pPr>
            <w:r w:rsidRPr="00077901">
              <w:rPr>
                <w:rFonts w:eastAsia="Times New Roman" w:cstheme="minorHAnsi"/>
                <w:color w:val="595959" w:themeColor="text1" w:themeTint="A6"/>
                <w:sz w:val="20"/>
                <w:szCs w:val="20"/>
                <w:lang w:eastAsia="en-AU"/>
              </w:rPr>
              <w:t>2020</w:t>
            </w:r>
          </w:p>
        </w:tc>
        <w:tc>
          <w:tcPr>
            <w:tcW w:w="1417"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F2F2F2" w:themeFill="background1" w:themeFillShade="F2"/>
            <w:noWrap/>
            <w:vAlign w:val="center"/>
          </w:tcPr>
          <w:p w14:paraId="57835453" w14:textId="77777777" w:rsidR="00CD4640" w:rsidRPr="00077901" w:rsidRDefault="00CD4640" w:rsidP="00077901">
            <w:pPr>
              <w:suppressAutoHyphens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077901">
              <w:rPr>
                <w:rFonts w:eastAsia="Times New Roman" w:cstheme="minorHAnsi"/>
                <w:color w:val="595959" w:themeColor="text1" w:themeTint="A6"/>
                <w:sz w:val="20"/>
                <w:szCs w:val="20"/>
                <w:lang w:eastAsia="en-AU"/>
              </w:rPr>
              <w:t>n/a</w:t>
            </w:r>
          </w:p>
        </w:tc>
        <w:tc>
          <w:tcPr>
            <w:tcW w:w="1418"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F2F2F2" w:themeFill="background1" w:themeFillShade="F2"/>
            <w:noWrap/>
            <w:vAlign w:val="center"/>
          </w:tcPr>
          <w:p w14:paraId="6446C97E" w14:textId="77777777" w:rsidR="00CD4640" w:rsidRPr="00077901" w:rsidRDefault="00CD4640" w:rsidP="00077901">
            <w:pPr>
              <w:suppressAutoHyphens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077901">
              <w:rPr>
                <w:rFonts w:eastAsia="Times New Roman" w:cstheme="minorHAnsi"/>
                <w:color w:val="595959" w:themeColor="text1" w:themeTint="A6"/>
                <w:sz w:val="20"/>
                <w:szCs w:val="20"/>
                <w:lang w:eastAsia="en-AU"/>
              </w:rPr>
              <w:t>n/a</w:t>
            </w:r>
          </w:p>
        </w:tc>
        <w:tc>
          <w:tcPr>
            <w:tcW w:w="1445"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F2F2F2" w:themeFill="background1" w:themeFillShade="F2"/>
            <w:noWrap/>
            <w:vAlign w:val="center"/>
          </w:tcPr>
          <w:p w14:paraId="0AACE2B5" w14:textId="77777777" w:rsidR="00CD4640" w:rsidRPr="00077901" w:rsidRDefault="00CD4640" w:rsidP="00077901">
            <w:pPr>
              <w:suppressAutoHyphens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077901">
              <w:rPr>
                <w:rFonts w:eastAsia="Times New Roman" w:cstheme="minorHAnsi"/>
                <w:color w:val="595959" w:themeColor="text1" w:themeTint="A6"/>
                <w:sz w:val="20"/>
                <w:szCs w:val="20"/>
                <w:lang w:eastAsia="en-AU"/>
              </w:rPr>
              <w:t>n/a</w:t>
            </w:r>
          </w:p>
        </w:tc>
      </w:tr>
      <w:tr w:rsidR="00077901" w:rsidRPr="00AF18F4" w14:paraId="42759914" w14:textId="77777777" w:rsidTr="002403D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65C5B4" w:themeColor="accent1"/>
              <w:left w:val="single" w:sz="4" w:space="0" w:color="65C5B4" w:themeColor="accent1"/>
              <w:bottom w:val="nil"/>
              <w:right w:val="single" w:sz="4" w:space="0" w:color="65C5B4" w:themeColor="accent1"/>
            </w:tcBorders>
            <w:vAlign w:val="center"/>
          </w:tcPr>
          <w:p w14:paraId="06F4E566" w14:textId="5669DAB2" w:rsidR="00CD4640" w:rsidRPr="00077901" w:rsidRDefault="00CD4640" w:rsidP="00077901">
            <w:pPr>
              <w:suppressAutoHyphens w:val="0"/>
              <w:spacing w:before="0" w:after="0" w:line="240" w:lineRule="auto"/>
              <w:rPr>
                <w:rFonts w:eastAsia="Times New Roman" w:cstheme="minorHAnsi"/>
                <w:color w:val="595959" w:themeColor="text1" w:themeTint="A6"/>
                <w:sz w:val="20"/>
                <w:szCs w:val="20"/>
                <w:lang w:val="en-AU" w:eastAsia="en-AU"/>
              </w:rPr>
            </w:pPr>
            <w:r w:rsidRPr="00077901">
              <w:rPr>
                <w:rFonts w:eastAsia="Times New Roman" w:cstheme="minorHAnsi"/>
                <w:color w:val="595959" w:themeColor="text1" w:themeTint="A6"/>
                <w:sz w:val="20"/>
                <w:szCs w:val="20"/>
                <w:lang w:eastAsia="en-AU"/>
              </w:rPr>
              <w:t>Advancing Multilateral Partnerships for Econ Dev</w:t>
            </w:r>
            <w:r w:rsidR="00995A7C">
              <w:rPr>
                <w:rFonts w:eastAsia="Times New Roman" w:cstheme="minorHAnsi"/>
                <w:color w:val="595959" w:themeColor="text1" w:themeTint="A6"/>
                <w:sz w:val="20"/>
                <w:szCs w:val="20"/>
                <w:lang w:eastAsia="en-AU"/>
              </w:rPr>
              <w:t>elopment</w:t>
            </w:r>
          </w:p>
        </w:tc>
        <w:tc>
          <w:tcPr>
            <w:tcW w:w="1134" w:type="dxa"/>
            <w:gridSpan w:val="2"/>
            <w:tcBorders>
              <w:top w:val="single" w:sz="4" w:space="0" w:color="65C5B4" w:themeColor="accent1"/>
              <w:left w:val="single" w:sz="4" w:space="0" w:color="65C5B4" w:themeColor="accent1"/>
              <w:bottom w:val="single" w:sz="4" w:space="0" w:color="65C5B4" w:themeColor="accent1"/>
              <w:right w:val="single" w:sz="4" w:space="0" w:color="65C5B4" w:themeColor="accent1"/>
            </w:tcBorders>
            <w:vAlign w:val="center"/>
          </w:tcPr>
          <w:p w14:paraId="7C1132EC" w14:textId="77777777" w:rsidR="00CD4640" w:rsidRPr="00077901" w:rsidRDefault="00CD4640" w:rsidP="00077901">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595959" w:themeColor="text1" w:themeTint="A6"/>
                <w:sz w:val="20"/>
                <w:szCs w:val="20"/>
                <w:lang w:val="en-AU" w:eastAsia="en-AU"/>
              </w:rPr>
            </w:pPr>
            <w:r w:rsidRPr="00077901">
              <w:rPr>
                <w:rFonts w:eastAsia="Times New Roman" w:cstheme="minorHAnsi"/>
                <w:color w:val="595959" w:themeColor="text1" w:themeTint="A6"/>
                <w:sz w:val="20"/>
                <w:szCs w:val="20"/>
                <w:lang w:eastAsia="en-AU"/>
              </w:rPr>
              <w:t>2021</w:t>
            </w:r>
          </w:p>
        </w:tc>
        <w:tc>
          <w:tcPr>
            <w:tcW w:w="1417"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noWrap/>
            <w:vAlign w:val="center"/>
          </w:tcPr>
          <w:p w14:paraId="3ADB82C4" w14:textId="77777777" w:rsidR="00CD4640" w:rsidRPr="00077901" w:rsidRDefault="00CD4640" w:rsidP="00077901">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595959" w:themeColor="text1" w:themeTint="A6"/>
                <w:sz w:val="20"/>
                <w:szCs w:val="20"/>
                <w:lang w:eastAsia="en-AU"/>
              </w:rPr>
            </w:pPr>
            <w:r w:rsidRPr="00077901">
              <w:rPr>
                <w:rFonts w:eastAsia="Times New Roman" w:cstheme="minorHAnsi"/>
                <w:color w:val="595959" w:themeColor="text1" w:themeTint="A6"/>
                <w:sz w:val="20"/>
                <w:szCs w:val="20"/>
                <w:lang w:eastAsia="en-AU"/>
              </w:rPr>
              <w:t>4</w:t>
            </w:r>
          </w:p>
        </w:tc>
        <w:tc>
          <w:tcPr>
            <w:tcW w:w="1418"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noWrap/>
            <w:vAlign w:val="center"/>
          </w:tcPr>
          <w:p w14:paraId="12347CF0" w14:textId="77777777" w:rsidR="00CD4640" w:rsidRPr="00077901" w:rsidRDefault="00CD4640" w:rsidP="00077901">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595959" w:themeColor="text1" w:themeTint="A6"/>
                <w:sz w:val="20"/>
                <w:szCs w:val="20"/>
                <w:lang w:eastAsia="en-AU"/>
              </w:rPr>
            </w:pPr>
            <w:r w:rsidRPr="00077901">
              <w:rPr>
                <w:rFonts w:eastAsia="Times New Roman" w:cstheme="minorHAnsi"/>
                <w:color w:val="595959" w:themeColor="text1" w:themeTint="A6"/>
                <w:sz w:val="20"/>
                <w:szCs w:val="20"/>
                <w:lang w:eastAsia="en-AU"/>
              </w:rPr>
              <w:t>4</w:t>
            </w:r>
          </w:p>
        </w:tc>
        <w:tc>
          <w:tcPr>
            <w:tcW w:w="1445"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noWrap/>
            <w:vAlign w:val="center"/>
          </w:tcPr>
          <w:p w14:paraId="02A9AD9A" w14:textId="77777777" w:rsidR="00CD4640" w:rsidRPr="00077901" w:rsidRDefault="00CD4640" w:rsidP="00077901">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595959" w:themeColor="text1" w:themeTint="A6"/>
                <w:sz w:val="20"/>
                <w:szCs w:val="20"/>
                <w:lang w:eastAsia="en-AU"/>
              </w:rPr>
            </w:pPr>
            <w:r w:rsidRPr="00077901">
              <w:rPr>
                <w:rFonts w:eastAsia="Times New Roman" w:cstheme="minorHAnsi"/>
                <w:color w:val="595959" w:themeColor="text1" w:themeTint="A6"/>
                <w:sz w:val="20"/>
                <w:szCs w:val="20"/>
                <w:lang w:eastAsia="en-AU"/>
              </w:rPr>
              <w:t>3</w:t>
            </w:r>
          </w:p>
        </w:tc>
      </w:tr>
      <w:tr w:rsidR="00077901" w:rsidRPr="00AF18F4" w14:paraId="66FA93D3" w14:textId="77777777" w:rsidTr="002403D3">
        <w:trPr>
          <w:trHeight w:val="317"/>
        </w:trPr>
        <w:tc>
          <w:tcPr>
            <w:cnfStyle w:val="001000000000" w:firstRow="0" w:lastRow="0" w:firstColumn="1" w:lastColumn="0" w:oddVBand="0" w:evenVBand="0" w:oddHBand="0" w:evenHBand="0" w:firstRowFirstColumn="0" w:firstRowLastColumn="0" w:lastRowFirstColumn="0" w:lastRowLastColumn="0"/>
            <w:tcW w:w="4957" w:type="dxa"/>
            <w:tcBorders>
              <w:top w:val="nil"/>
              <w:left w:val="single" w:sz="4" w:space="0" w:color="65C5B4" w:themeColor="accent1"/>
              <w:bottom w:val="single" w:sz="4" w:space="0" w:color="65C5B4" w:themeColor="accent1"/>
              <w:right w:val="single" w:sz="4" w:space="0" w:color="65C5B4" w:themeColor="accent1"/>
            </w:tcBorders>
            <w:shd w:val="clear" w:color="auto" w:fill="E0F3EF" w:themeFill="accent1" w:themeFillTint="33"/>
            <w:vAlign w:val="center"/>
          </w:tcPr>
          <w:p w14:paraId="347E6D95" w14:textId="21AB78BC" w:rsidR="00CD4640" w:rsidRPr="00077901" w:rsidRDefault="00635B53" w:rsidP="00077901">
            <w:pPr>
              <w:suppressAutoHyphens w:val="0"/>
              <w:spacing w:before="0" w:after="0" w:line="240" w:lineRule="auto"/>
              <w:ind w:firstLineChars="100" w:firstLine="200"/>
              <w:rPr>
                <w:rFonts w:eastAsia="Times New Roman" w:cstheme="minorHAnsi"/>
                <w:b w:val="0"/>
                <w:bCs w:val="0"/>
                <w:color w:val="595959" w:themeColor="text1" w:themeTint="A6"/>
                <w:sz w:val="20"/>
                <w:szCs w:val="20"/>
                <w:lang w:val="en-AU" w:eastAsia="en-AU"/>
              </w:rPr>
            </w:pPr>
            <w:r>
              <w:rPr>
                <w:rFonts w:eastAsia="Times New Roman" w:cstheme="minorHAnsi"/>
                <w:b w:val="0"/>
                <w:bCs w:val="0"/>
                <w:color w:val="595959" w:themeColor="text1" w:themeTint="A6"/>
                <w:sz w:val="20"/>
                <w:szCs w:val="20"/>
                <w:lang w:val="en-AU" w:eastAsia="en-AU"/>
              </w:rPr>
              <w:t xml:space="preserve">Investment </w:t>
            </w:r>
            <w:r w:rsidR="00CD4640" w:rsidRPr="00077901">
              <w:rPr>
                <w:rFonts w:eastAsia="Times New Roman" w:cstheme="minorHAnsi"/>
                <w:b w:val="0"/>
                <w:bCs w:val="0"/>
                <w:color w:val="595959" w:themeColor="text1" w:themeTint="A6"/>
                <w:sz w:val="20"/>
                <w:szCs w:val="20"/>
                <w:lang w:val="en-AU" w:eastAsia="en-AU"/>
              </w:rPr>
              <w:t>Duration: 2018-24; Budget: $25m</w:t>
            </w:r>
          </w:p>
        </w:tc>
        <w:tc>
          <w:tcPr>
            <w:tcW w:w="1134" w:type="dxa"/>
            <w:gridSpan w:val="2"/>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E0F3EF" w:themeFill="accent1" w:themeFillTint="33"/>
            <w:vAlign w:val="center"/>
          </w:tcPr>
          <w:p w14:paraId="713ECB63" w14:textId="77777777" w:rsidR="00CD4640" w:rsidRPr="00077901" w:rsidRDefault="00CD4640" w:rsidP="00077901">
            <w:pPr>
              <w:suppressAutoHyphens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val="en-AU" w:eastAsia="en-AU"/>
              </w:rPr>
            </w:pPr>
            <w:r w:rsidRPr="00077901">
              <w:rPr>
                <w:rFonts w:eastAsia="Times New Roman" w:cstheme="minorHAnsi"/>
                <w:color w:val="595959" w:themeColor="text1" w:themeTint="A6"/>
                <w:sz w:val="20"/>
                <w:szCs w:val="20"/>
                <w:lang w:eastAsia="en-AU"/>
              </w:rPr>
              <w:t>2020</w:t>
            </w:r>
          </w:p>
        </w:tc>
        <w:tc>
          <w:tcPr>
            <w:tcW w:w="1417"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E0F3EF" w:themeFill="accent1" w:themeFillTint="33"/>
            <w:noWrap/>
            <w:vAlign w:val="center"/>
          </w:tcPr>
          <w:p w14:paraId="110D8223" w14:textId="77777777" w:rsidR="00CD4640" w:rsidRPr="00077901" w:rsidRDefault="00CD4640" w:rsidP="00077901">
            <w:pPr>
              <w:suppressAutoHyphens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077901">
              <w:rPr>
                <w:rFonts w:eastAsia="Times New Roman" w:cstheme="minorHAnsi"/>
                <w:color w:val="595959" w:themeColor="text1" w:themeTint="A6"/>
                <w:sz w:val="20"/>
                <w:szCs w:val="20"/>
                <w:lang w:eastAsia="en-AU"/>
              </w:rPr>
              <w:t>4</w:t>
            </w:r>
          </w:p>
        </w:tc>
        <w:tc>
          <w:tcPr>
            <w:tcW w:w="1418"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E0F3EF" w:themeFill="accent1" w:themeFillTint="33"/>
            <w:noWrap/>
            <w:vAlign w:val="center"/>
          </w:tcPr>
          <w:p w14:paraId="4E464537" w14:textId="77777777" w:rsidR="00CD4640" w:rsidRPr="00077901" w:rsidRDefault="00CD4640" w:rsidP="00077901">
            <w:pPr>
              <w:suppressAutoHyphens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077901">
              <w:rPr>
                <w:rFonts w:eastAsia="Times New Roman" w:cstheme="minorHAnsi"/>
                <w:color w:val="595959" w:themeColor="text1" w:themeTint="A6"/>
                <w:sz w:val="20"/>
                <w:szCs w:val="20"/>
                <w:lang w:eastAsia="en-AU"/>
              </w:rPr>
              <w:t>4</w:t>
            </w:r>
          </w:p>
        </w:tc>
        <w:tc>
          <w:tcPr>
            <w:tcW w:w="1445"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E0F3EF" w:themeFill="accent1" w:themeFillTint="33"/>
            <w:noWrap/>
            <w:vAlign w:val="center"/>
          </w:tcPr>
          <w:p w14:paraId="78DA3A46" w14:textId="77777777" w:rsidR="00CD4640" w:rsidRPr="00077901" w:rsidRDefault="00CD4640" w:rsidP="00077901">
            <w:pPr>
              <w:suppressAutoHyphens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sidRPr="00077901">
              <w:rPr>
                <w:rFonts w:eastAsia="Times New Roman" w:cstheme="minorHAnsi"/>
                <w:color w:val="595959" w:themeColor="text1" w:themeTint="A6"/>
                <w:sz w:val="20"/>
                <w:szCs w:val="20"/>
                <w:lang w:eastAsia="en-AU"/>
              </w:rPr>
              <w:t>3</w:t>
            </w:r>
          </w:p>
        </w:tc>
      </w:tr>
      <w:tr w:rsidR="00077901" w:rsidRPr="00AF18F4" w14:paraId="080B9B77" w14:textId="77777777" w:rsidTr="002403D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65C5B4" w:themeColor="accent1"/>
              <w:left w:val="single" w:sz="4" w:space="0" w:color="65C5B4" w:themeColor="accent1"/>
              <w:bottom w:val="nil"/>
              <w:right w:val="single" w:sz="4" w:space="0" w:color="65C5B4" w:themeColor="accent1"/>
            </w:tcBorders>
            <w:shd w:val="clear" w:color="auto" w:fill="F2F2F2" w:themeFill="background1" w:themeFillShade="F2"/>
            <w:vAlign w:val="bottom"/>
          </w:tcPr>
          <w:p w14:paraId="6A485AB9" w14:textId="0F63E062" w:rsidR="00077901" w:rsidRPr="00077901" w:rsidRDefault="00077901" w:rsidP="00077901">
            <w:pPr>
              <w:suppressAutoHyphens w:val="0"/>
              <w:spacing w:before="0" w:after="0" w:line="240" w:lineRule="auto"/>
              <w:rPr>
                <w:rFonts w:eastAsia="Times New Roman" w:cstheme="minorHAnsi"/>
                <w:color w:val="595959" w:themeColor="text1" w:themeTint="A6"/>
                <w:sz w:val="20"/>
                <w:szCs w:val="20"/>
                <w:lang w:eastAsia="en-AU"/>
              </w:rPr>
            </w:pPr>
            <w:r w:rsidRPr="00077901">
              <w:rPr>
                <w:rFonts w:eastAsia="Times New Roman" w:cstheme="minorHAnsi"/>
                <w:color w:val="595959" w:themeColor="text1" w:themeTint="A6"/>
                <w:sz w:val="20"/>
                <w:szCs w:val="20"/>
                <w:lang w:eastAsia="en-AU"/>
              </w:rPr>
              <w:t>Response and Recovery Assistance to the Philippines</w:t>
            </w:r>
          </w:p>
        </w:tc>
        <w:tc>
          <w:tcPr>
            <w:tcW w:w="1134" w:type="dxa"/>
            <w:gridSpan w:val="2"/>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F2F2F2" w:themeFill="background1" w:themeFillShade="F2"/>
            <w:vAlign w:val="center"/>
          </w:tcPr>
          <w:p w14:paraId="74CD5753" w14:textId="7E8A2292" w:rsidR="00077901" w:rsidRPr="00077901" w:rsidRDefault="00077901" w:rsidP="00077901">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595959" w:themeColor="text1" w:themeTint="A6"/>
                <w:sz w:val="20"/>
                <w:szCs w:val="20"/>
                <w:lang w:eastAsia="en-AU"/>
              </w:rPr>
            </w:pPr>
            <w:r>
              <w:rPr>
                <w:rFonts w:eastAsia="Times New Roman" w:cstheme="minorHAnsi"/>
                <w:color w:val="595959" w:themeColor="text1" w:themeTint="A6"/>
                <w:sz w:val="20"/>
                <w:szCs w:val="20"/>
                <w:lang w:eastAsia="en-AU"/>
              </w:rPr>
              <w:t>2021</w:t>
            </w:r>
          </w:p>
        </w:tc>
        <w:tc>
          <w:tcPr>
            <w:tcW w:w="1417"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F2F2F2" w:themeFill="background1" w:themeFillShade="F2"/>
            <w:noWrap/>
            <w:vAlign w:val="center"/>
          </w:tcPr>
          <w:p w14:paraId="049C0F7B" w14:textId="68A7E8F9" w:rsidR="00077901" w:rsidRPr="00077901" w:rsidRDefault="00077901" w:rsidP="00077901">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595959" w:themeColor="text1" w:themeTint="A6"/>
                <w:sz w:val="20"/>
                <w:szCs w:val="20"/>
                <w:lang w:eastAsia="en-AU"/>
              </w:rPr>
            </w:pPr>
            <w:r>
              <w:rPr>
                <w:rFonts w:eastAsia="Times New Roman" w:cstheme="minorHAnsi"/>
                <w:color w:val="595959" w:themeColor="text1" w:themeTint="A6"/>
                <w:sz w:val="20"/>
                <w:szCs w:val="20"/>
                <w:lang w:eastAsia="en-AU"/>
              </w:rPr>
              <w:t>5</w:t>
            </w:r>
          </w:p>
        </w:tc>
        <w:tc>
          <w:tcPr>
            <w:tcW w:w="1418"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F2F2F2" w:themeFill="background1" w:themeFillShade="F2"/>
            <w:noWrap/>
            <w:vAlign w:val="center"/>
          </w:tcPr>
          <w:p w14:paraId="720A8CC4" w14:textId="0CA192F8" w:rsidR="00077901" w:rsidRPr="00077901" w:rsidRDefault="00077901" w:rsidP="00077901">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595959" w:themeColor="text1" w:themeTint="A6"/>
                <w:sz w:val="20"/>
                <w:szCs w:val="20"/>
                <w:lang w:eastAsia="en-AU"/>
              </w:rPr>
            </w:pPr>
            <w:r>
              <w:rPr>
                <w:rFonts w:eastAsia="Times New Roman" w:cstheme="minorHAnsi"/>
                <w:color w:val="595959" w:themeColor="text1" w:themeTint="A6"/>
                <w:sz w:val="20"/>
                <w:szCs w:val="20"/>
                <w:lang w:eastAsia="en-AU"/>
              </w:rPr>
              <w:t>5</w:t>
            </w:r>
          </w:p>
        </w:tc>
        <w:tc>
          <w:tcPr>
            <w:tcW w:w="1445"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F2F2F2" w:themeFill="background1" w:themeFillShade="F2"/>
            <w:noWrap/>
            <w:vAlign w:val="center"/>
          </w:tcPr>
          <w:p w14:paraId="19C7260E" w14:textId="2D8FE6E6" w:rsidR="00077901" w:rsidRPr="00077901" w:rsidRDefault="00077901" w:rsidP="00077901">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595959" w:themeColor="text1" w:themeTint="A6"/>
                <w:sz w:val="20"/>
                <w:szCs w:val="20"/>
                <w:lang w:eastAsia="en-AU"/>
              </w:rPr>
            </w:pPr>
            <w:r>
              <w:rPr>
                <w:rFonts w:eastAsia="Times New Roman" w:cstheme="minorHAnsi"/>
                <w:color w:val="595959" w:themeColor="text1" w:themeTint="A6"/>
                <w:sz w:val="20"/>
                <w:szCs w:val="20"/>
                <w:lang w:eastAsia="en-AU"/>
              </w:rPr>
              <w:t>5</w:t>
            </w:r>
          </w:p>
        </w:tc>
      </w:tr>
      <w:tr w:rsidR="00077901" w:rsidRPr="00AF18F4" w14:paraId="6CC113DC" w14:textId="77777777" w:rsidTr="002403D3">
        <w:trPr>
          <w:trHeight w:val="317"/>
        </w:trPr>
        <w:tc>
          <w:tcPr>
            <w:cnfStyle w:val="001000000000" w:firstRow="0" w:lastRow="0" w:firstColumn="1" w:lastColumn="0" w:oddVBand="0" w:evenVBand="0" w:oddHBand="0" w:evenHBand="0" w:firstRowFirstColumn="0" w:firstRowLastColumn="0" w:lastRowFirstColumn="0" w:lastRowLastColumn="0"/>
            <w:tcW w:w="4957" w:type="dxa"/>
            <w:tcBorders>
              <w:top w:val="nil"/>
              <w:left w:val="single" w:sz="4" w:space="0" w:color="65C5B4" w:themeColor="accent1"/>
              <w:bottom w:val="single" w:sz="4" w:space="0" w:color="65C5B4" w:themeColor="accent1"/>
              <w:right w:val="single" w:sz="4" w:space="0" w:color="65C5B4" w:themeColor="accent1"/>
            </w:tcBorders>
            <w:shd w:val="clear" w:color="auto" w:fill="F2F2F2" w:themeFill="background1" w:themeFillShade="F2"/>
            <w:vAlign w:val="center"/>
          </w:tcPr>
          <w:p w14:paraId="3453222A" w14:textId="4A4390CC" w:rsidR="00077901" w:rsidRPr="00077901" w:rsidRDefault="00635B53" w:rsidP="00077901">
            <w:pPr>
              <w:suppressAutoHyphens w:val="0"/>
              <w:spacing w:before="0" w:after="0" w:line="240" w:lineRule="auto"/>
              <w:ind w:firstLineChars="100" w:firstLine="200"/>
              <w:rPr>
                <w:rFonts w:eastAsia="Times New Roman" w:cstheme="minorHAnsi"/>
                <w:b w:val="0"/>
                <w:bCs w:val="0"/>
                <w:color w:val="595959" w:themeColor="text1" w:themeTint="A6"/>
                <w:sz w:val="20"/>
                <w:szCs w:val="20"/>
                <w:lang w:val="en-AU" w:eastAsia="en-AU"/>
              </w:rPr>
            </w:pPr>
            <w:r>
              <w:rPr>
                <w:rFonts w:eastAsia="Times New Roman" w:cstheme="minorHAnsi"/>
                <w:b w:val="0"/>
                <w:bCs w:val="0"/>
                <w:color w:val="595959" w:themeColor="text1" w:themeTint="A6"/>
                <w:sz w:val="20"/>
                <w:szCs w:val="20"/>
                <w:lang w:val="en-AU" w:eastAsia="en-AU"/>
              </w:rPr>
              <w:t xml:space="preserve">Investment </w:t>
            </w:r>
            <w:r w:rsidR="00077901" w:rsidRPr="00077901">
              <w:rPr>
                <w:rFonts w:eastAsia="Times New Roman" w:cstheme="minorHAnsi"/>
                <w:b w:val="0"/>
                <w:bCs w:val="0"/>
                <w:color w:val="595959" w:themeColor="text1" w:themeTint="A6"/>
                <w:sz w:val="20"/>
                <w:szCs w:val="20"/>
                <w:lang w:val="en-AU" w:eastAsia="en-AU"/>
              </w:rPr>
              <w:t>Duration: 2017-24; Budget: $457.7m</w:t>
            </w:r>
          </w:p>
        </w:tc>
        <w:tc>
          <w:tcPr>
            <w:tcW w:w="1134" w:type="dxa"/>
            <w:gridSpan w:val="2"/>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F2F2F2" w:themeFill="background1" w:themeFillShade="F2"/>
            <w:vAlign w:val="center"/>
          </w:tcPr>
          <w:p w14:paraId="7452664B" w14:textId="50A1C24D" w:rsidR="00077901" w:rsidRPr="00077901" w:rsidRDefault="00077901" w:rsidP="00077901">
            <w:pPr>
              <w:suppressAutoHyphens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Pr>
                <w:rFonts w:eastAsia="Times New Roman" w:cstheme="minorHAnsi"/>
                <w:color w:val="595959" w:themeColor="text1" w:themeTint="A6"/>
                <w:sz w:val="20"/>
                <w:szCs w:val="20"/>
                <w:lang w:eastAsia="en-AU"/>
              </w:rPr>
              <w:t>2020</w:t>
            </w:r>
          </w:p>
        </w:tc>
        <w:tc>
          <w:tcPr>
            <w:tcW w:w="1417"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F2F2F2" w:themeFill="background1" w:themeFillShade="F2"/>
            <w:noWrap/>
            <w:vAlign w:val="center"/>
          </w:tcPr>
          <w:p w14:paraId="182B3E90" w14:textId="3E8DFFA1" w:rsidR="00077901" w:rsidRPr="00077901" w:rsidRDefault="00077901" w:rsidP="00077901">
            <w:pPr>
              <w:suppressAutoHyphens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Pr>
                <w:rFonts w:eastAsia="Times New Roman" w:cstheme="minorHAnsi"/>
                <w:color w:val="595959" w:themeColor="text1" w:themeTint="A6"/>
                <w:sz w:val="20"/>
                <w:szCs w:val="20"/>
                <w:lang w:eastAsia="en-AU"/>
              </w:rPr>
              <w:t>5</w:t>
            </w:r>
          </w:p>
        </w:tc>
        <w:tc>
          <w:tcPr>
            <w:tcW w:w="1418"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F2F2F2" w:themeFill="background1" w:themeFillShade="F2"/>
            <w:noWrap/>
            <w:vAlign w:val="center"/>
          </w:tcPr>
          <w:p w14:paraId="4E0BE2C5" w14:textId="193C6F7E" w:rsidR="00077901" w:rsidRPr="00077901" w:rsidRDefault="00077901" w:rsidP="00077901">
            <w:pPr>
              <w:suppressAutoHyphens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Pr>
                <w:rFonts w:eastAsia="Times New Roman" w:cstheme="minorHAnsi"/>
                <w:color w:val="595959" w:themeColor="text1" w:themeTint="A6"/>
                <w:sz w:val="20"/>
                <w:szCs w:val="20"/>
                <w:lang w:eastAsia="en-AU"/>
              </w:rPr>
              <w:t>5</w:t>
            </w:r>
          </w:p>
        </w:tc>
        <w:tc>
          <w:tcPr>
            <w:tcW w:w="1445"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F2F2F2" w:themeFill="background1" w:themeFillShade="F2"/>
            <w:noWrap/>
            <w:vAlign w:val="center"/>
          </w:tcPr>
          <w:p w14:paraId="39076BD8" w14:textId="0499BEE1" w:rsidR="00077901" w:rsidRPr="00077901" w:rsidRDefault="00077901" w:rsidP="00077901">
            <w:pPr>
              <w:suppressAutoHyphens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eastAsia="en-AU"/>
              </w:rPr>
            </w:pPr>
            <w:r>
              <w:rPr>
                <w:rFonts w:eastAsia="Times New Roman" w:cstheme="minorHAnsi"/>
                <w:color w:val="595959" w:themeColor="text1" w:themeTint="A6"/>
                <w:sz w:val="20"/>
                <w:szCs w:val="20"/>
                <w:lang w:eastAsia="en-AU"/>
              </w:rPr>
              <w:t>5</w:t>
            </w:r>
          </w:p>
        </w:tc>
      </w:tr>
    </w:tbl>
    <w:p w14:paraId="02ADAB41" w14:textId="77777777" w:rsidR="00077901" w:rsidRDefault="00077901" w:rsidP="00CD4640">
      <w:pPr>
        <w:pStyle w:val="Heading2"/>
      </w:pPr>
    </w:p>
    <w:p w14:paraId="68B897A3" w14:textId="458B0E3A" w:rsidR="00CD4640" w:rsidRDefault="00CD4640" w:rsidP="00CD4640">
      <w:pPr>
        <w:pStyle w:val="Heading2"/>
      </w:pPr>
      <w:r>
        <w:t>Final I</w:t>
      </w:r>
      <w:r w:rsidRPr="00D1231A">
        <w:t>nvestment Performance</w:t>
      </w:r>
      <w:r>
        <w:t xml:space="preserve"> ratings</w:t>
      </w:r>
    </w:p>
    <w:tbl>
      <w:tblPr>
        <w:tblStyle w:val="GridTable4-Accent1"/>
        <w:tblW w:w="10343" w:type="dxa"/>
        <w:tblLayout w:type="fixed"/>
        <w:tblLook w:val="04A0" w:firstRow="1" w:lastRow="0" w:firstColumn="1" w:lastColumn="0" w:noHBand="0" w:noVBand="1"/>
        <w:tblCaption w:val="Supporting Investment Performance"/>
        <w:tblDescription w:val="Development Program Investment details, name, duration, budget and performance ratings for 2020 and 2021 for Effectiveness, Efficiency, Gender Equality; Risk and Safeguards "/>
      </w:tblPr>
      <w:tblGrid>
        <w:gridCol w:w="4815"/>
        <w:gridCol w:w="1276"/>
        <w:gridCol w:w="1417"/>
        <w:gridCol w:w="1418"/>
        <w:gridCol w:w="1417"/>
      </w:tblGrid>
      <w:tr w:rsidR="00077901" w:rsidRPr="00AF18F4" w14:paraId="6E87E624" w14:textId="77777777" w:rsidTr="002403D3">
        <w:trPr>
          <w:cnfStyle w:val="100000000000" w:firstRow="1" w:lastRow="0" w:firstColumn="0" w:lastColumn="0" w:oddVBand="0" w:evenVBand="0" w:oddHBand="0" w:evenHBand="0" w:firstRowFirstColumn="0" w:firstRowLastColumn="0" w:lastRowFirstColumn="0" w:lastRowLastColumn="0"/>
          <w:trHeight w:val="461"/>
          <w:tblHeader/>
        </w:trPr>
        <w:tc>
          <w:tcPr>
            <w:cnfStyle w:val="001000000000" w:firstRow="0" w:lastRow="0" w:firstColumn="1" w:lastColumn="0" w:oddVBand="0" w:evenVBand="0" w:oddHBand="0" w:evenHBand="0" w:firstRowFirstColumn="0" w:firstRowLastColumn="0" w:lastRowFirstColumn="0" w:lastRowLastColumn="0"/>
            <w:tcW w:w="4815" w:type="dxa"/>
            <w:shd w:val="clear" w:color="auto" w:fill="A2DCD1" w:themeFill="accent1" w:themeFillTint="99"/>
            <w:noWrap/>
            <w:vAlign w:val="center"/>
            <w:hideMark/>
          </w:tcPr>
          <w:p w14:paraId="0C9E36BD" w14:textId="77777777" w:rsidR="00CD4640" w:rsidRPr="00077901" w:rsidRDefault="00CD4640" w:rsidP="00077901">
            <w:pPr>
              <w:suppressAutoHyphens w:val="0"/>
              <w:spacing w:before="0" w:after="0" w:line="240" w:lineRule="auto"/>
              <w:jc w:val="center"/>
              <w:rPr>
                <w:rFonts w:eastAsia="Times New Roman" w:cstheme="minorHAnsi"/>
                <w:b w:val="0"/>
                <w:bCs w:val="0"/>
                <w:color w:val="595959" w:themeColor="text1" w:themeTint="A6"/>
                <w:sz w:val="20"/>
                <w:szCs w:val="20"/>
                <w:lang w:val="en-AU" w:eastAsia="en-AU"/>
              </w:rPr>
            </w:pPr>
            <w:r w:rsidRPr="00077901">
              <w:rPr>
                <w:rFonts w:eastAsia="Times New Roman" w:cstheme="minorHAnsi"/>
                <w:color w:val="595959" w:themeColor="text1" w:themeTint="A6"/>
                <w:sz w:val="20"/>
                <w:szCs w:val="20"/>
                <w:lang w:val="en-AU" w:eastAsia="en-AU"/>
              </w:rPr>
              <w:t>Investment Details</w:t>
            </w:r>
          </w:p>
        </w:tc>
        <w:tc>
          <w:tcPr>
            <w:tcW w:w="1276" w:type="dxa"/>
            <w:shd w:val="clear" w:color="auto" w:fill="A2DCD1" w:themeFill="accent1" w:themeFillTint="99"/>
            <w:noWrap/>
            <w:vAlign w:val="center"/>
            <w:hideMark/>
          </w:tcPr>
          <w:p w14:paraId="2CA6A111" w14:textId="561BD714" w:rsidR="00CD4640" w:rsidRPr="00077901" w:rsidRDefault="00CD4640" w:rsidP="0007790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595959" w:themeColor="text1" w:themeTint="A6"/>
                <w:sz w:val="20"/>
                <w:szCs w:val="20"/>
                <w:lang w:val="en-AU" w:eastAsia="en-AU"/>
              </w:rPr>
            </w:pPr>
            <w:r w:rsidRPr="00077901">
              <w:rPr>
                <w:rFonts w:eastAsia="Times New Roman" w:cstheme="minorHAnsi"/>
                <w:color w:val="595959" w:themeColor="text1" w:themeTint="A6"/>
                <w:sz w:val="20"/>
                <w:szCs w:val="20"/>
                <w:lang w:val="en-AU" w:eastAsia="en-AU"/>
              </w:rPr>
              <w:t>Year</w:t>
            </w:r>
          </w:p>
        </w:tc>
        <w:tc>
          <w:tcPr>
            <w:tcW w:w="1417" w:type="dxa"/>
            <w:shd w:val="clear" w:color="auto" w:fill="A2DCD1" w:themeFill="accent1" w:themeFillTint="99"/>
            <w:noWrap/>
            <w:vAlign w:val="center"/>
            <w:hideMark/>
          </w:tcPr>
          <w:p w14:paraId="0F7DC9B1" w14:textId="77777777" w:rsidR="00CD4640" w:rsidRPr="00077901" w:rsidRDefault="00CD4640" w:rsidP="0007790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595959" w:themeColor="text1" w:themeTint="A6"/>
                <w:sz w:val="20"/>
                <w:szCs w:val="20"/>
                <w:lang w:val="en-AU" w:eastAsia="en-AU"/>
              </w:rPr>
            </w:pPr>
            <w:r w:rsidRPr="00077901">
              <w:rPr>
                <w:rFonts w:eastAsia="Times New Roman" w:cstheme="minorHAnsi"/>
                <w:color w:val="595959" w:themeColor="text1" w:themeTint="A6"/>
                <w:sz w:val="20"/>
                <w:szCs w:val="20"/>
                <w:lang w:val="en-AU" w:eastAsia="en-AU"/>
              </w:rPr>
              <w:t>Effectiveness</w:t>
            </w:r>
          </w:p>
        </w:tc>
        <w:tc>
          <w:tcPr>
            <w:tcW w:w="1418" w:type="dxa"/>
            <w:shd w:val="clear" w:color="auto" w:fill="A2DCD1" w:themeFill="accent1" w:themeFillTint="99"/>
            <w:noWrap/>
            <w:vAlign w:val="center"/>
            <w:hideMark/>
          </w:tcPr>
          <w:p w14:paraId="67AF4DD6" w14:textId="77777777" w:rsidR="00CD4640" w:rsidRPr="00077901" w:rsidRDefault="00CD4640" w:rsidP="0007790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595959" w:themeColor="text1" w:themeTint="A6"/>
                <w:sz w:val="20"/>
                <w:szCs w:val="20"/>
                <w:lang w:val="en-AU" w:eastAsia="en-AU"/>
              </w:rPr>
            </w:pPr>
            <w:r w:rsidRPr="00077901">
              <w:rPr>
                <w:rFonts w:eastAsia="Times New Roman" w:cstheme="minorHAnsi"/>
                <w:color w:val="595959" w:themeColor="text1" w:themeTint="A6"/>
                <w:sz w:val="20"/>
                <w:szCs w:val="20"/>
                <w:lang w:val="en-AU" w:eastAsia="en-AU"/>
              </w:rPr>
              <w:t>Efficiency</w:t>
            </w:r>
          </w:p>
        </w:tc>
        <w:tc>
          <w:tcPr>
            <w:tcW w:w="1417" w:type="dxa"/>
            <w:shd w:val="clear" w:color="auto" w:fill="A2DCD1" w:themeFill="accent1" w:themeFillTint="99"/>
            <w:noWrap/>
            <w:vAlign w:val="center"/>
            <w:hideMark/>
          </w:tcPr>
          <w:p w14:paraId="4B49EFF8" w14:textId="0732F600" w:rsidR="00CD4640" w:rsidRPr="00077901" w:rsidRDefault="00CD4640" w:rsidP="0007790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595959" w:themeColor="text1" w:themeTint="A6"/>
                <w:sz w:val="20"/>
                <w:szCs w:val="20"/>
                <w:lang w:val="en-AU" w:eastAsia="en-AU"/>
              </w:rPr>
            </w:pPr>
            <w:r w:rsidRPr="00077901">
              <w:rPr>
                <w:rFonts w:eastAsia="Times New Roman" w:cstheme="minorHAnsi"/>
                <w:color w:val="595959" w:themeColor="text1" w:themeTint="A6"/>
                <w:sz w:val="20"/>
                <w:szCs w:val="20"/>
                <w:lang w:val="en-AU" w:eastAsia="en-AU"/>
              </w:rPr>
              <w:t>Gender</w:t>
            </w:r>
          </w:p>
        </w:tc>
      </w:tr>
      <w:tr w:rsidR="00077901" w:rsidRPr="00AF18F4" w14:paraId="1745BC97" w14:textId="77777777" w:rsidTr="002403D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65C5B4" w:themeColor="accent1"/>
              <w:left w:val="single" w:sz="4" w:space="0" w:color="65C5B4" w:themeColor="accent1"/>
              <w:bottom w:val="nil"/>
              <w:right w:val="single" w:sz="4" w:space="0" w:color="65C5B4" w:themeColor="accent1"/>
            </w:tcBorders>
            <w:shd w:val="clear" w:color="auto" w:fill="F2F2F2" w:themeFill="background1" w:themeFillShade="F2"/>
            <w:hideMark/>
          </w:tcPr>
          <w:p w14:paraId="6E94E63E" w14:textId="35F7D3B4" w:rsidR="00CD4640" w:rsidRPr="00077901" w:rsidRDefault="00CD4640" w:rsidP="00EF0116">
            <w:pPr>
              <w:suppressAutoHyphens w:val="0"/>
              <w:spacing w:before="0" w:after="0" w:line="240" w:lineRule="auto"/>
              <w:rPr>
                <w:rFonts w:eastAsia="Times New Roman" w:cstheme="minorHAnsi"/>
                <w:b w:val="0"/>
                <w:bCs w:val="0"/>
                <w:color w:val="595959" w:themeColor="text1" w:themeTint="A6"/>
                <w:sz w:val="20"/>
                <w:szCs w:val="20"/>
                <w:lang w:val="en-AU" w:eastAsia="en-AU"/>
              </w:rPr>
            </w:pPr>
            <w:r w:rsidRPr="00077901">
              <w:rPr>
                <w:rFonts w:eastAsia="Times New Roman" w:cstheme="minorHAnsi"/>
                <w:color w:val="595959" w:themeColor="text1" w:themeTint="A6"/>
                <w:sz w:val="20"/>
                <w:szCs w:val="20"/>
                <w:lang w:eastAsia="en-AU"/>
              </w:rPr>
              <w:t>Strengthening Public Private Partnership Program</w:t>
            </w:r>
          </w:p>
        </w:tc>
        <w:tc>
          <w:tcPr>
            <w:tcW w:w="1276"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F2F2F2" w:themeFill="background1" w:themeFillShade="F2"/>
            <w:hideMark/>
          </w:tcPr>
          <w:p w14:paraId="6151B967" w14:textId="77777777" w:rsidR="00CD4640" w:rsidRPr="00077901" w:rsidRDefault="00CD4640" w:rsidP="00EF0116">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595959" w:themeColor="text1" w:themeTint="A6"/>
                <w:sz w:val="20"/>
                <w:szCs w:val="20"/>
                <w:lang w:val="en-AU" w:eastAsia="en-AU"/>
              </w:rPr>
            </w:pPr>
            <w:r w:rsidRPr="00077901">
              <w:rPr>
                <w:rFonts w:eastAsia="Times New Roman" w:cstheme="minorHAnsi"/>
                <w:color w:val="595959" w:themeColor="text1" w:themeTint="A6"/>
                <w:sz w:val="20"/>
                <w:szCs w:val="20"/>
                <w:lang w:eastAsia="en-AU"/>
              </w:rPr>
              <w:t>2021 FIMR</w:t>
            </w:r>
          </w:p>
        </w:tc>
        <w:tc>
          <w:tcPr>
            <w:tcW w:w="1417"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F2F2F2" w:themeFill="background1" w:themeFillShade="F2"/>
            <w:noWrap/>
            <w:hideMark/>
          </w:tcPr>
          <w:p w14:paraId="17429F61" w14:textId="77777777" w:rsidR="00CD4640" w:rsidRPr="00077901" w:rsidRDefault="00CD4640" w:rsidP="00EF0116">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595959" w:themeColor="text1" w:themeTint="A6"/>
                <w:sz w:val="20"/>
                <w:szCs w:val="20"/>
                <w:lang w:val="en-AU" w:eastAsia="en-AU"/>
              </w:rPr>
            </w:pPr>
            <w:r w:rsidRPr="00077901">
              <w:rPr>
                <w:rFonts w:eastAsia="Times New Roman" w:cstheme="minorHAnsi"/>
                <w:color w:val="595959" w:themeColor="text1" w:themeTint="A6"/>
                <w:sz w:val="20"/>
                <w:szCs w:val="20"/>
                <w:lang w:val="en-AU" w:eastAsia="en-AU"/>
              </w:rPr>
              <w:t>4</w:t>
            </w:r>
          </w:p>
        </w:tc>
        <w:tc>
          <w:tcPr>
            <w:tcW w:w="1418"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F2F2F2" w:themeFill="background1" w:themeFillShade="F2"/>
            <w:noWrap/>
            <w:hideMark/>
          </w:tcPr>
          <w:p w14:paraId="71E9027C" w14:textId="77777777" w:rsidR="00CD4640" w:rsidRPr="00077901" w:rsidRDefault="00CD4640" w:rsidP="00EF0116">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595959" w:themeColor="text1" w:themeTint="A6"/>
                <w:sz w:val="20"/>
                <w:szCs w:val="20"/>
                <w:lang w:val="en-AU" w:eastAsia="en-AU"/>
              </w:rPr>
            </w:pPr>
            <w:r w:rsidRPr="00077901">
              <w:rPr>
                <w:rFonts w:eastAsia="Times New Roman" w:cstheme="minorHAnsi"/>
                <w:color w:val="595959" w:themeColor="text1" w:themeTint="A6"/>
                <w:sz w:val="20"/>
                <w:szCs w:val="20"/>
                <w:lang w:eastAsia="en-AU"/>
              </w:rPr>
              <w:t>4</w:t>
            </w:r>
          </w:p>
        </w:tc>
        <w:tc>
          <w:tcPr>
            <w:tcW w:w="1417"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F2F2F2" w:themeFill="background1" w:themeFillShade="F2"/>
            <w:noWrap/>
            <w:hideMark/>
          </w:tcPr>
          <w:p w14:paraId="13113C5F" w14:textId="77777777" w:rsidR="00CD4640" w:rsidRPr="00077901" w:rsidRDefault="00CD4640" w:rsidP="00EF0116">
            <w:pPr>
              <w:suppressAutoHyphens w:val="0"/>
              <w:spacing w:before="0"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595959" w:themeColor="text1" w:themeTint="A6"/>
                <w:sz w:val="20"/>
                <w:szCs w:val="20"/>
                <w:lang w:val="en-AU" w:eastAsia="en-AU"/>
              </w:rPr>
            </w:pPr>
            <w:r w:rsidRPr="00077901">
              <w:rPr>
                <w:rFonts w:eastAsia="Times New Roman" w:cstheme="minorHAnsi"/>
                <w:color w:val="595959" w:themeColor="text1" w:themeTint="A6"/>
                <w:sz w:val="20"/>
                <w:szCs w:val="20"/>
                <w:lang w:eastAsia="en-AU"/>
              </w:rPr>
              <w:t>2</w:t>
            </w:r>
          </w:p>
        </w:tc>
      </w:tr>
      <w:tr w:rsidR="00077901" w:rsidRPr="00AF18F4" w14:paraId="23A9138C" w14:textId="77777777" w:rsidTr="002403D3">
        <w:trPr>
          <w:trHeight w:val="308"/>
        </w:trPr>
        <w:tc>
          <w:tcPr>
            <w:cnfStyle w:val="001000000000" w:firstRow="0" w:lastRow="0" w:firstColumn="1" w:lastColumn="0" w:oddVBand="0" w:evenVBand="0" w:oddHBand="0" w:evenHBand="0" w:firstRowFirstColumn="0" w:firstRowLastColumn="0" w:lastRowFirstColumn="0" w:lastRowLastColumn="0"/>
            <w:tcW w:w="4815" w:type="dxa"/>
            <w:tcBorders>
              <w:top w:val="nil"/>
              <w:left w:val="single" w:sz="4" w:space="0" w:color="65C5B4" w:themeColor="accent1"/>
              <w:bottom w:val="single" w:sz="4" w:space="0" w:color="65C5B4" w:themeColor="accent1"/>
              <w:right w:val="single" w:sz="4" w:space="0" w:color="65C5B4" w:themeColor="accent1"/>
            </w:tcBorders>
            <w:shd w:val="clear" w:color="auto" w:fill="F2F2F2" w:themeFill="background1" w:themeFillShade="F2"/>
            <w:hideMark/>
          </w:tcPr>
          <w:p w14:paraId="6960A98C" w14:textId="7AEE7EE2" w:rsidR="00CD4640" w:rsidRPr="00077901" w:rsidRDefault="002403D3" w:rsidP="00077901">
            <w:pPr>
              <w:suppressAutoHyphens w:val="0"/>
              <w:spacing w:before="0" w:after="0" w:line="240" w:lineRule="auto"/>
              <w:ind w:firstLineChars="100" w:firstLine="200"/>
              <w:rPr>
                <w:rFonts w:eastAsia="Times New Roman" w:cstheme="minorHAnsi"/>
                <w:b w:val="0"/>
                <w:bCs w:val="0"/>
                <w:color w:val="595959" w:themeColor="text1" w:themeTint="A6"/>
                <w:sz w:val="20"/>
                <w:szCs w:val="20"/>
                <w:lang w:val="en-AU" w:eastAsia="en-AU"/>
              </w:rPr>
            </w:pPr>
            <w:r>
              <w:rPr>
                <w:rFonts w:eastAsia="Times New Roman" w:cstheme="minorHAnsi"/>
                <w:b w:val="0"/>
                <w:bCs w:val="0"/>
                <w:color w:val="595959" w:themeColor="text1" w:themeTint="A6"/>
                <w:sz w:val="20"/>
                <w:szCs w:val="20"/>
                <w:lang w:val="en-AU" w:eastAsia="en-AU"/>
              </w:rPr>
              <w:t xml:space="preserve">Investment </w:t>
            </w:r>
            <w:r w:rsidR="00CD4640" w:rsidRPr="00077901">
              <w:rPr>
                <w:rFonts w:eastAsia="Times New Roman" w:cstheme="minorHAnsi"/>
                <w:b w:val="0"/>
                <w:bCs w:val="0"/>
                <w:color w:val="595959" w:themeColor="text1" w:themeTint="A6"/>
                <w:sz w:val="20"/>
                <w:szCs w:val="20"/>
                <w:lang w:val="en-AU" w:eastAsia="en-AU"/>
              </w:rPr>
              <w:t xml:space="preserve">Duration: 2011-21; Budget: $26m </w:t>
            </w:r>
          </w:p>
        </w:tc>
        <w:tc>
          <w:tcPr>
            <w:tcW w:w="1276"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F2F2F2" w:themeFill="background1" w:themeFillShade="F2"/>
            <w:hideMark/>
          </w:tcPr>
          <w:p w14:paraId="2D51112A" w14:textId="78C50A36" w:rsidR="00CD4640" w:rsidRPr="00077901" w:rsidRDefault="00CD4640" w:rsidP="00077901">
            <w:pPr>
              <w:suppressAutoHyphens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val="en-AU" w:eastAsia="en-AU"/>
              </w:rPr>
            </w:pPr>
            <w:r w:rsidRPr="00077901">
              <w:rPr>
                <w:rFonts w:eastAsia="Times New Roman" w:cstheme="minorHAnsi"/>
                <w:color w:val="595959" w:themeColor="text1" w:themeTint="A6"/>
                <w:sz w:val="20"/>
                <w:szCs w:val="20"/>
                <w:lang w:eastAsia="en-AU"/>
              </w:rPr>
              <w:t>2020</w:t>
            </w:r>
            <w:r w:rsidR="00077901">
              <w:rPr>
                <w:rFonts w:eastAsia="Times New Roman" w:cstheme="minorHAnsi"/>
                <w:color w:val="595959" w:themeColor="text1" w:themeTint="A6"/>
                <w:sz w:val="20"/>
                <w:szCs w:val="20"/>
                <w:lang w:eastAsia="en-AU"/>
              </w:rPr>
              <w:t xml:space="preserve"> </w:t>
            </w:r>
            <w:r w:rsidRPr="00077901">
              <w:rPr>
                <w:rFonts w:eastAsia="Times New Roman" w:cstheme="minorHAnsi"/>
                <w:color w:val="595959" w:themeColor="text1" w:themeTint="A6"/>
                <w:sz w:val="20"/>
                <w:szCs w:val="20"/>
                <w:lang w:eastAsia="en-AU"/>
              </w:rPr>
              <w:t>IMR</w:t>
            </w:r>
          </w:p>
        </w:tc>
        <w:tc>
          <w:tcPr>
            <w:tcW w:w="1417"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F2F2F2" w:themeFill="background1" w:themeFillShade="F2"/>
            <w:noWrap/>
            <w:hideMark/>
          </w:tcPr>
          <w:p w14:paraId="1A0C4E34" w14:textId="77777777" w:rsidR="00CD4640" w:rsidRPr="00077901" w:rsidRDefault="00CD4640" w:rsidP="00EF0116">
            <w:pPr>
              <w:suppressAutoHyphens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val="en-AU" w:eastAsia="en-AU"/>
              </w:rPr>
            </w:pPr>
            <w:r w:rsidRPr="00077901">
              <w:rPr>
                <w:rFonts w:eastAsia="Times New Roman" w:cstheme="minorHAnsi"/>
                <w:color w:val="595959" w:themeColor="text1" w:themeTint="A6"/>
                <w:sz w:val="20"/>
                <w:szCs w:val="20"/>
                <w:lang w:val="en-AU" w:eastAsia="en-AU"/>
              </w:rPr>
              <w:t>4</w:t>
            </w:r>
          </w:p>
        </w:tc>
        <w:tc>
          <w:tcPr>
            <w:tcW w:w="1418"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F2F2F2" w:themeFill="background1" w:themeFillShade="F2"/>
            <w:noWrap/>
            <w:hideMark/>
          </w:tcPr>
          <w:p w14:paraId="6520E17A" w14:textId="77777777" w:rsidR="00CD4640" w:rsidRPr="00077901" w:rsidRDefault="00CD4640" w:rsidP="00EF0116">
            <w:pPr>
              <w:suppressAutoHyphens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val="en-AU" w:eastAsia="en-AU"/>
              </w:rPr>
            </w:pPr>
            <w:r w:rsidRPr="00077901">
              <w:rPr>
                <w:rFonts w:eastAsia="Times New Roman" w:cstheme="minorHAnsi"/>
                <w:color w:val="595959" w:themeColor="text1" w:themeTint="A6"/>
                <w:sz w:val="20"/>
                <w:szCs w:val="20"/>
                <w:lang w:val="en-AU" w:eastAsia="en-AU"/>
              </w:rPr>
              <w:t>4</w:t>
            </w:r>
          </w:p>
        </w:tc>
        <w:tc>
          <w:tcPr>
            <w:tcW w:w="1417" w:type="dxa"/>
            <w:tcBorders>
              <w:top w:val="single" w:sz="4" w:space="0" w:color="65C5B4" w:themeColor="accent1"/>
              <w:left w:val="single" w:sz="4" w:space="0" w:color="65C5B4" w:themeColor="accent1"/>
              <w:bottom w:val="single" w:sz="4" w:space="0" w:color="65C5B4" w:themeColor="accent1"/>
              <w:right w:val="single" w:sz="4" w:space="0" w:color="65C5B4" w:themeColor="accent1"/>
            </w:tcBorders>
            <w:shd w:val="clear" w:color="auto" w:fill="F2F2F2" w:themeFill="background1" w:themeFillShade="F2"/>
            <w:noWrap/>
            <w:hideMark/>
          </w:tcPr>
          <w:p w14:paraId="3976F530" w14:textId="77777777" w:rsidR="00CD4640" w:rsidRPr="00077901" w:rsidRDefault="00CD4640" w:rsidP="00EF0116">
            <w:pPr>
              <w:suppressAutoHyphens w:val="0"/>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595959" w:themeColor="text1" w:themeTint="A6"/>
                <w:sz w:val="20"/>
                <w:szCs w:val="20"/>
                <w:lang w:val="en-AU" w:eastAsia="en-AU"/>
              </w:rPr>
            </w:pPr>
            <w:r w:rsidRPr="00077901">
              <w:rPr>
                <w:rFonts w:eastAsia="Times New Roman" w:cstheme="minorHAnsi"/>
                <w:color w:val="595959" w:themeColor="text1" w:themeTint="A6"/>
                <w:sz w:val="20"/>
                <w:szCs w:val="20"/>
                <w:lang w:val="en-AU" w:eastAsia="en-AU"/>
              </w:rPr>
              <w:t>4</w:t>
            </w:r>
          </w:p>
        </w:tc>
      </w:tr>
    </w:tbl>
    <w:p w14:paraId="78801331" w14:textId="77777777" w:rsidR="002403D3" w:rsidRDefault="002403D3" w:rsidP="00CD4640">
      <w:pPr>
        <w:spacing w:before="20" w:after="20" w:line="180" w:lineRule="atLeast"/>
        <w:jc w:val="both"/>
        <w:rPr>
          <w:rFonts w:eastAsia="Times New Roman"/>
          <w:b/>
          <w:sz w:val="17"/>
          <w:szCs w:val="17"/>
        </w:rPr>
      </w:pPr>
    </w:p>
    <w:p w14:paraId="7846BB03" w14:textId="7EC8CD7C" w:rsidR="00CD4640" w:rsidRDefault="00CD4640" w:rsidP="00CD4640">
      <w:pPr>
        <w:spacing w:before="20" w:after="20" w:line="180" w:lineRule="atLeast"/>
        <w:jc w:val="both"/>
        <w:rPr>
          <w:rFonts w:eastAsia="Times New Roman"/>
          <w:sz w:val="17"/>
          <w:szCs w:val="17"/>
        </w:rPr>
      </w:pPr>
      <w:r w:rsidRPr="00A05FF5">
        <w:rPr>
          <w:rFonts w:eastAsia="Times New Roman"/>
          <w:b/>
          <w:sz w:val="17"/>
          <w:szCs w:val="17"/>
        </w:rPr>
        <w:t>Definitions of rating scale</w:t>
      </w:r>
      <w:r w:rsidRPr="00A05FF5">
        <w:rPr>
          <w:rFonts w:eastAsia="Times New Roman"/>
          <w:sz w:val="17"/>
          <w:szCs w:val="17"/>
        </w:rPr>
        <w:t>:</w:t>
      </w:r>
      <w:r w:rsidRPr="00A05FF5">
        <w:rPr>
          <w:rFonts w:eastAsia="Times New Roman"/>
          <w:sz w:val="17"/>
          <w:szCs w:val="17"/>
        </w:rPr>
        <w:tab/>
      </w:r>
    </w:p>
    <w:p w14:paraId="4C8154A8" w14:textId="77777777" w:rsidR="00CD4640" w:rsidRPr="00787267" w:rsidRDefault="00CD4640" w:rsidP="00CD4640">
      <w:pPr>
        <w:spacing w:before="20" w:after="20" w:line="180" w:lineRule="atLeast"/>
        <w:jc w:val="both"/>
        <w:rPr>
          <w:rFonts w:eastAsia="Times New Roman"/>
          <w:sz w:val="17"/>
          <w:szCs w:val="17"/>
        </w:rPr>
      </w:pPr>
      <w:r w:rsidRPr="00787267">
        <w:rPr>
          <w:rFonts w:eastAsia="Times New Roman"/>
          <w:sz w:val="17"/>
          <w:szCs w:val="17"/>
          <w:u w:val="single"/>
        </w:rPr>
        <w:t>Satisfactory (4, 5 and 6)</w:t>
      </w:r>
    </w:p>
    <w:p w14:paraId="18998088" w14:textId="77777777" w:rsidR="00CD4640" w:rsidRPr="00787267" w:rsidRDefault="00CD4640" w:rsidP="00CD4640">
      <w:pPr>
        <w:spacing w:line="240" w:lineRule="auto"/>
        <w:rPr>
          <w:sz w:val="16"/>
          <w:szCs w:val="16"/>
        </w:rPr>
      </w:pPr>
      <w:r w:rsidRPr="00787267">
        <w:rPr>
          <w:sz w:val="16"/>
          <w:szCs w:val="16"/>
        </w:rPr>
        <w:t xml:space="preserve">6 = Very good; satisfies criteria in all areas. </w:t>
      </w:r>
      <w:r>
        <w:rPr>
          <w:sz w:val="16"/>
          <w:szCs w:val="16"/>
        </w:rPr>
        <w:br/>
      </w:r>
      <w:r w:rsidRPr="00787267">
        <w:rPr>
          <w:sz w:val="16"/>
          <w:szCs w:val="16"/>
        </w:rPr>
        <w:t>5 = Good; satisfies criteria in almost all areas.</w:t>
      </w:r>
      <w:r>
        <w:rPr>
          <w:sz w:val="16"/>
          <w:szCs w:val="16"/>
        </w:rPr>
        <w:br/>
      </w:r>
      <w:r w:rsidRPr="00787267">
        <w:rPr>
          <w:sz w:val="16"/>
          <w:szCs w:val="16"/>
        </w:rPr>
        <w:t>4 = Adequate; on balance, satisfies criteria; does not fail in any major area.</w:t>
      </w:r>
    </w:p>
    <w:p w14:paraId="4DC45723" w14:textId="4CD3E631" w:rsidR="00681633" w:rsidRDefault="00CD4640" w:rsidP="00CD4640">
      <w:pPr>
        <w:spacing w:line="240" w:lineRule="auto"/>
        <w:rPr>
          <w:sz w:val="16"/>
          <w:szCs w:val="16"/>
          <w:u w:val="single"/>
        </w:rPr>
      </w:pPr>
      <w:r w:rsidRPr="00787267">
        <w:rPr>
          <w:sz w:val="16"/>
          <w:szCs w:val="16"/>
          <w:u w:val="single"/>
        </w:rPr>
        <w:t>Less than satisfactory (1, 2 and 3)</w:t>
      </w:r>
    </w:p>
    <w:p w14:paraId="7832BE96" w14:textId="2C1DD9B1" w:rsidR="00635B53" w:rsidRPr="00CD4640" w:rsidRDefault="00635B53" w:rsidP="00CD4640">
      <w:pPr>
        <w:spacing w:line="240" w:lineRule="auto"/>
        <w:rPr>
          <w:sz w:val="16"/>
          <w:szCs w:val="16"/>
          <w:u w:val="single"/>
        </w:rPr>
      </w:pPr>
      <w:r w:rsidRPr="00787267">
        <w:rPr>
          <w:sz w:val="16"/>
          <w:szCs w:val="16"/>
        </w:rPr>
        <w:t>3 = Less than adequate; on balance does not satisfy criteria and/or fails in at least one major area.</w:t>
      </w:r>
      <w:r>
        <w:rPr>
          <w:sz w:val="16"/>
          <w:szCs w:val="16"/>
        </w:rPr>
        <w:br/>
      </w:r>
      <w:r w:rsidRPr="00787267">
        <w:rPr>
          <w:sz w:val="16"/>
          <w:szCs w:val="16"/>
        </w:rPr>
        <w:t>2 = Poor; does not sa</w:t>
      </w:r>
      <w:r>
        <w:rPr>
          <w:sz w:val="16"/>
          <w:szCs w:val="16"/>
        </w:rPr>
        <w:t>tisfy criteria in major areas.</w:t>
      </w:r>
      <w:r>
        <w:rPr>
          <w:sz w:val="16"/>
          <w:szCs w:val="16"/>
        </w:rPr>
        <w:br/>
      </w:r>
      <w:r w:rsidRPr="00787267">
        <w:rPr>
          <w:sz w:val="16"/>
          <w:szCs w:val="16"/>
        </w:rPr>
        <w:t xml:space="preserve">1 = Very poor; does not satisfy criteria in many major </w:t>
      </w:r>
      <w:r w:rsidR="002B200D" w:rsidRPr="00787267">
        <w:rPr>
          <w:sz w:val="16"/>
          <w:szCs w:val="16"/>
        </w:rPr>
        <w:t>areas</w:t>
      </w:r>
      <w:r w:rsidRPr="00A05FF5">
        <w:t>.</w:t>
      </w:r>
    </w:p>
    <w:sectPr w:rsidR="00635B53" w:rsidRPr="00CD4640" w:rsidSect="00594588">
      <w:pgSz w:w="11906" w:h="16838" w:code="9"/>
      <w:pgMar w:top="1559" w:right="680" w:bottom="1418" w:left="680" w:header="425" w:footer="56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578C8" w14:textId="77777777" w:rsidR="00B94659" w:rsidRDefault="00B94659" w:rsidP="00D37B04">
      <w:r>
        <w:separator/>
      </w:r>
    </w:p>
  </w:endnote>
  <w:endnote w:type="continuationSeparator" w:id="0">
    <w:p w14:paraId="1B1F6408" w14:textId="77777777" w:rsidR="00B94659" w:rsidRDefault="00B94659"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9DBF6" w14:textId="0EAEC4EC" w:rsidR="00B94659" w:rsidRPr="00854F69" w:rsidRDefault="00B94659" w:rsidP="00523EFA">
    <w:pPr>
      <w:pStyle w:val="Footer"/>
      <w:ind w:right="198"/>
      <w:rPr>
        <w:b/>
        <w:noProof/>
        <w:color w:val="495965" w:themeColor="text2"/>
        <w:lang w:val="en-AU" w:eastAsia="en-AU"/>
      </w:rPr>
    </w:pPr>
    <w:r w:rsidRPr="00C92805">
      <w:rPr>
        <w:b/>
        <w:noProof/>
        <w:color w:val="495965" w:themeColor="text2"/>
        <w:lang w:val="en-AU" w:eastAsia="en-AU"/>
      </w:rPr>
      <w:drawing>
        <wp:anchor distT="0" distB="0" distL="114300" distR="114300" simplePos="0" relativeHeight="251659264" behindDoc="1" locked="0" layoutInCell="1" allowOverlap="1" wp14:anchorId="3F27619C" wp14:editId="212AE60D">
          <wp:simplePos x="0" y="0"/>
          <wp:positionH relativeFrom="margin">
            <wp:posOffset>-120650</wp:posOffset>
          </wp:positionH>
          <wp:positionV relativeFrom="page">
            <wp:posOffset>9842500</wp:posOffset>
          </wp:positionV>
          <wp:extent cx="6931181" cy="584200"/>
          <wp:effectExtent l="0" t="0" r="3175" b="635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936551" cy="584653"/>
                  </a:xfrm>
                  <a:prstGeom prst="rect">
                    <a:avLst/>
                  </a:prstGeom>
                </pic:spPr>
              </pic:pic>
            </a:graphicData>
          </a:graphic>
          <wp14:sizeRelH relativeFrom="margin">
            <wp14:pctWidth>0</wp14:pctWidth>
          </wp14:sizeRelH>
          <wp14:sizeRelV relativeFrom="margin">
            <wp14:pctHeight>0</wp14:pctHeight>
          </wp14:sizeRelV>
        </wp:anchor>
      </w:drawing>
    </w:r>
    <w:r>
      <w:rPr>
        <w:b/>
        <w:noProof/>
        <w:color w:val="495965" w:themeColor="text2"/>
        <w:lang w:val="en-AU" w:eastAsia="en-AU"/>
      </w:rPr>
      <w:tab/>
    </w:r>
    <w:r w:rsidRPr="007002E3">
      <w:rPr>
        <w:bCs/>
        <w:noProof/>
        <w:color w:val="auto"/>
        <w:lang w:val="en-AU" w:eastAsia="en-AU"/>
      </w:rPr>
      <w:fldChar w:fldCharType="begin"/>
    </w:r>
    <w:r w:rsidRPr="007002E3">
      <w:rPr>
        <w:bCs/>
        <w:noProof/>
        <w:color w:val="auto"/>
        <w:lang w:val="en-AU" w:eastAsia="en-AU"/>
      </w:rPr>
      <w:instrText xml:space="preserve"> PAGE   \* MERGEFORMAT </w:instrText>
    </w:r>
    <w:r w:rsidRPr="007002E3">
      <w:rPr>
        <w:bCs/>
        <w:noProof/>
        <w:color w:val="auto"/>
        <w:lang w:val="en-AU" w:eastAsia="en-AU"/>
      </w:rPr>
      <w:fldChar w:fldCharType="separate"/>
    </w:r>
    <w:r>
      <w:rPr>
        <w:bCs/>
        <w:noProof/>
        <w:color w:val="auto"/>
        <w:lang w:val="en-AU" w:eastAsia="en-AU"/>
      </w:rPr>
      <w:t>1</w:t>
    </w:r>
    <w:r w:rsidRPr="007002E3">
      <w:rPr>
        <w:bCs/>
        <w:noProof/>
        <w:color w:val="auto"/>
        <w:lang w:val="en-AU" w:eastAsia="en-AU"/>
      </w:rPr>
      <w:fldChar w:fldCharType="end"/>
    </w:r>
  </w:p>
  <w:p w14:paraId="08C0451B" w14:textId="46A83C8A" w:rsidR="00B94659" w:rsidRDefault="00B9465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FD578" w14:textId="27184280" w:rsidR="00B94659" w:rsidRPr="00854F69" w:rsidRDefault="00B94659" w:rsidP="00E53A91">
    <w:pPr>
      <w:pStyle w:val="Footer"/>
      <w:ind w:right="198"/>
      <w:rPr>
        <w:b/>
        <w:noProof/>
        <w:color w:val="495965" w:themeColor="text2"/>
        <w:lang w:val="en-AU" w:eastAsia="en-AU"/>
      </w:rPr>
    </w:pPr>
    <w:r w:rsidRPr="00C92805">
      <w:rPr>
        <w:b/>
        <w:noProof/>
        <w:color w:val="495965" w:themeColor="text2"/>
        <w:lang w:val="en-AU" w:eastAsia="en-AU"/>
      </w:rPr>
      <w:drawing>
        <wp:anchor distT="0" distB="0" distL="114300" distR="114300" simplePos="0" relativeHeight="251661312" behindDoc="1" locked="0" layoutInCell="1" allowOverlap="1" wp14:anchorId="6A6D4FD5" wp14:editId="54C3BDA5">
          <wp:simplePos x="0" y="0"/>
          <wp:positionH relativeFrom="margin">
            <wp:posOffset>-120650</wp:posOffset>
          </wp:positionH>
          <wp:positionV relativeFrom="page">
            <wp:posOffset>9874250</wp:posOffset>
          </wp:positionV>
          <wp:extent cx="6931025" cy="584200"/>
          <wp:effectExtent l="0" t="0" r="3175" b="635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935640" cy="584589"/>
                  </a:xfrm>
                  <a:prstGeom prst="rect">
                    <a:avLst/>
                  </a:prstGeom>
                </pic:spPr>
              </pic:pic>
            </a:graphicData>
          </a:graphic>
          <wp14:sizeRelH relativeFrom="margin">
            <wp14:pctWidth>0</wp14:pctWidth>
          </wp14:sizeRelH>
          <wp14:sizeRelV relativeFrom="margin">
            <wp14:pctHeight>0</wp14:pctHeight>
          </wp14:sizeRelV>
        </wp:anchor>
      </w:drawing>
    </w:r>
    <w:r w:rsidR="00525291">
      <w:rPr>
        <w:b/>
        <w:noProof/>
        <w:color w:val="495965" w:themeColor="text2"/>
        <w:lang w:val="en-AU" w:eastAsia="en-AU"/>
      </w:rPr>
      <w:t>November</w:t>
    </w:r>
    <w:r w:rsidRPr="00C92805">
      <w:rPr>
        <w:b/>
        <w:noProof/>
        <w:color w:val="495965" w:themeColor="text2"/>
        <w:lang w:val="en-AU" w:eastAsia="en-AU"/>
      </w:rPr>
      <w:t xml:space="preserve"> </w:t>
    </w:r>
    <w:r>
      <w:rPr>
        <w:b/>
        <w:noProof/>
        <w:color w:val="495965" w:themeColor="text2"/>
        <w:lang w:val="en-AU" w:eastAsia="en-AU"/>
      </w:rPr>
      <w:t>20</w:t>
    </w:r>
    <w:r w:rsidRPr="00C92805">
      <w:rPr>
        <w:b/>
        <w:noProof/>
        <w:color w:val="495965" w:themeColor="text2"/>
        <w:lang w:val="en-AU" w:eastAsia="en-AU"/>
      </w:rPr>
      <w:t>2</w:t>
    </w:r>
    <w:r>
      <w:rPr>
        <w:b/>
        <w:noProof/>
        <w:color w:val="495965" w:themeColor="text2"/>
        <w:lang w:val="en-AU" w:eastAsia="en-AU"/>
      </w:rPr>
      <w:t>1</w:t>
    </w:r>
    <w:r w:rsidR="00525291">
      <w:rPr>
        <w:b/>
        <w:noProof/>
        <w:color w:val="495965" w:themeColor="text2"/>
        <w:lang w:val="en-AU" w:eastAsia="en-AU"/>
      </w:rPr>
      <w:t xml:space="preserve"> </w:t>
    </w:r>
    <w:r>
      <w:rPr>
        <w:b/>
        <w:noProof/>
        <w:color w:val="495965" w:themeColor="text2"/>
        <w:lang w:val="en-AU" w:eastAsia="en-AU"/>
      </w:rPr>
      <w:tab/>
    </w:r>
    <w:r w:rsidRPr="007002E3">
      <w:rPr>
        <w:bCs/>
        <w:noProof/>
        <w:color w:val="auto"/>
        <w:lang w:val="en-AU" w:eastAsia="en-AU"/>
      </w:rPr>
      <w:fldChar w:fldCharType="begin"/>
    </w:r>
    <w:r w:rsidRPr="007002E3">
      <w:rPr>
        <w:bCs/>
        <w:noProof/>
        <w:color w:val="auto"/>
        <w:lang w:val="en-AU" w:eastAsia="en-AU"/>
      </w:rPr>
      <w:instrText xml:space="preserve"> PAGE   \* MERGEFORMAT </w:instrText>
    </w:r>
    <w:r w:rsidRPr="007002E3">
      <w:rPr>
        <w:bCs/>
        <w:noProof/>
        <w:color w:val="auto"/>
        <w:lang w:val="en-AU" w:eastAsia="en-AU"/>
      </w:rPr>
      <w:fldChar w:fldCharType="separate"/>
    </w:r>
    <w:r>
      <w:rPr>
        <w:bCs/>
        <w:noProof/>
        <w:color w:val="auto"/>
        <w:lang w:val="en-AU" w:eastAsia="en-AU"/>
      </w:rPr>
      <w:t>1</w:t>
    </w:r>
    <w:r w:rsidRPr="007002E3">
      <w:rPr>
        <w:bCs/>
        <w:noProof/>
        <w:color w:val="auto"/>
        <w:lang w:val="en-AU" w:eastAsia="en-AU"/>
      </w:rPr>
      <w:fldChar w:fldCharType="end"/>
    </w:r>
  </w:p>
  <w:p w14:paraId="275A8EDD" w14:textId="1099DCA1" w:rsidR="00B94659" w:rsidRPr="009F696C" w:rsidRDefault="00B94659" w:rsidP="009F696C">
    <w:pPr>
      <w:pStyle w:val="Footer"/>
      <w:jc w:val="center"/>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18E209" w14:textId="77777777" w:rsidR="00B94659" w:rsidRPr="008C5A0E" w:rsidRDefault="00B94659" w:rsidP="00D37B04">
      <w:pPr>
        <w:pStyle w:val="Footer"/>
      </w:pPr>
    </w:p>
  </w:footnote>
  <w:footnote w:type="continuationSeparator" w:id="0">
    <w:p w14:paraId="495F2C9B" w14:textId="77777777" w:rsidR="00B94659" w:rsidRDefault="00B94659" w:rsidP="00D37B04">
      <w:r>
        <w:continuationSeparator/>
      </w:r>
    </w:p>
  </w:footnote>
  <w:footnote w:id="1">
    <w:p w14:paraId="4EC9A597" w14:textId="1BCC2DF1" w:rsidR="00B94659" w:rsidRPr="0035511D" w:rsidRDefault="00B94659">
      <w:pPr>
        <w:pStyle w:val="FootnoteText"/>
        <w:rPr>
          <w:lang w:val="en-AU"/>
        </w:rPr>
      </w:pPr>
      <w:r>
        <w:rPr>
          <w:rStyle w:val="FootnoteReference"/>
        </w:rPr>
        <w:footnoteRef/>
      </w:r>
      <w:r>
        <w:t xml:space="preserve"> </w:t>
      </w:r>
      <w:r>
        <w:rPr>
          <w:lang w:val="en-AU"/>
        </w:rPr>
        <w:t>Results reported by RRAP, Pathways, SERG and AFW are all on a calendar year reporting basis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210BA" w14:textId="5C8EA049" w:rsidR="00B94659" w:rsidRPr="00E055AB" w:rsidRDefault="00B94659" w:rsidP="001C1F11">
    <w:pPr>
      <w:pStyle w:val="Header"/>
      <w:ind w:left="142"/>
      <w:rPr>
        <w:caps w:val="0"/>
      </w:rPr>
    </w:pPr>
    <w:r w:rsidRPr="00A12B40">
      <w:rPr>
        <w:i/>
        <w:caps w:val="0"/>
      </w:rPr>
      <w:t>Partnerships for Recovery</w:t>
    </w:r>
    <w:r w:rsidRPr="00A12B40">
      <w:rPr>
        <w:i/>
        <w:noProof/>
        <w:lang w:val="en-AU" w:eastAsia="en-AU"/>
      </w:rPr>
      <w:drawing>
        <wp:inline distT="0" distB="0" distL="0" distR="0" wp14:anchorId="66A7FA77" wp14:editId="5540A14A">
          <wp:extent cx="6718853" cy="707390"/>
          <wp:effectExtent l="0" t="0" r="6350" b="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803267" cy="716277"/>
                  </a:xfrm>
                  <a:prstGeom prst="rect">
                    <a:avLst/>
                  </a:prstGeom>
                </pic:spPr>
              </pic:pic>
            </a:graphicData>
          </a:graphic>
        </wp:inline>
      </w:drawing>
    </w:r>
    <w:r w:rsidRPr="00A12B40">
      <w:rPr>
        <w:i/>
        <w:noProof/>
        <w:lang w:val="en-AU" w:eastAsia="en-A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B0ACC" w14:textId="726432C2" w:rsidR="00B94659" w:rsidRDefault="00B94659">
    <w:pPr>
      <w:pStyle w:val="Header"/>
    </w:pPr>
    <w:r>
      <w:rPr>
        <w:noProof/>
      </w:rPr>
      <w:drawing>
        <wp:inline distT="0" distB="0" distL="0" distR="0" wp14:anchorId="08FC21B5" wp14:editId="4BA5DF84">
          <wp:extent cx="6696075" cy="1247775"/>
          <wp:effectExtent l="0" t="0" r="9525" b="9525"/>
          <wp:docPr id="17" name="Picture 17" descr="Australian Government DFAT logo and Australian 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descr="Australian Government DFAT logo and Australian Ai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1247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D25AD"/>
    <w:multiLevelType w:val="hybridMultilevel"/>
    <w:tmpl w:val="46A202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67E16D4"/>
    <w:multiLevelType w:val="hybridMultilevel"/>
    <w:tmpl w:val="5D0639A4"/>
    <w:lvl w:ilvl="0" w:tplc="0C090001">
      <w:start w:val="1"/>
      <w:numFmt w:val="bullet"/>
      <w:lvlText w:val=""/>
      <w:lvlJc w:val="left"/>
      <w:pPr>
        <w:ind w:left="644" w:hanging="360"/>
      </w:pPr>
      <w:rPr>
        <w:rFonts w:ascii="Symbol" w:hAnsi="Symbol" w:hint="default"/>
        <w:color w:val="auto"/>
      </w:rPr>
    </w:lvl>
    <w:lvl w:ilvl="1" w:tplc="B71420CA">
      <w:start w:val="1"/>
      <w:numFmt w:val="bullet"/>
      <w:pStyle w:val="DFAT2bulletpoint"/>
      <w:lvlText w:val="­"/>
      <w:lvlJc w:val="left"/>
      <w:pPr>
        <w:ind w:left="1440" w:hanging="360"/>
      </w:pPr>
      <w:rPr>
        <w:rFonts w:ascii="Courier New" w:hAnsi="Courier New" w:hint="default"/>
      </w:rPr>
    </w:lvl>
    <w:lvl w:ilvl="2" w:tplc="CAC6A9AC">
      <w:start w:val="1"/>
      <w:numFmt w:val="bullet"/>
      <w:pStyle w:val="DFAT3bulletpoint"/>
      <w:lvlText w:val=""/>
      <w:lvlJc w:val="left"/>
      <w:pPr>
        <w:ind w:left="2160" w:hanging="360"/>
      </w:pPr>
      <w:rPr>
        <w:rFonts w:ascii="Symbol" w:hAnsi="Symbol"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4" w15:restartNumberingAfterBreak="0">
    <w:nsid w:val="1D451FDB"/>
    <w:multiLevelType w:val="multilevel"/>
    <w:tmpl w:val="82965A4E"/>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29EC729A"/>
    <w:multiLevelType w:val="hybridMultilevel"/>
    <w:tmpl w:val="AF0E3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2D221A96"/>
    <w:multiLevelType w:val="hybridMultilevel"/>
    <w:tmpl w:val="FD60EB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7C519B"/>
    <w:multiLevelType w:val="hybridMultilevel"/>
    <w:tmpl w:val="DAF6D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9D4B65"/>
    <w:multiLevelType w:val="hybridMultilevel"/>
    <w:tmpl w:val="4A8AF5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8F132CE"/>
    <w:multiLevelType w:val="multilevel"/>
    <w:tmpl w:val="3B7A10DE"/>
    <w:numStyleLink w:val="BulletsList"/>
  </w:abstractNum>
  <w:abstractNum w:abstractNumId="11" w15:restartNumberingAfterBreak="0">
    <w:nsid w:val="39B06301"/>
    <w:multiLevelType w:val="hybridMultilevel"/>
    <w:tmpl w:val="0484984C"/>
    <w:lvl w:ilvl="0" w:tplc="D9A2954C">
      <w:start w:val="100"/>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1F664E"/>
    <w:multiLevelType w:val="hybridMultilevel"/>
    <w:tmpl w:val="2F681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8E6864"/>
    <w:multiLevelType w:val="hybridMultilevel"/>
    <w:tmpl w:val="0A52539C"/>
    <w:lvl w:ilvl="0" w:tplc="59463C12">
      <w:start w:val="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5" w15:restartNumberingAfterBreak="0">
    <w:nsid w:val="5C752DCC"/>
    <w:multiLevelType w:val="hybridMultilevel"/>
    <w:tmpl w:val="2DFA1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7" w15:restartNumberingAfterBreak="0">
    <w:nsid w:val="5E3A0F87"/>
    <w:multiLevelType w:val="singleLevel"/>
    <w:tmpl w:val="CFD227FE"/>
    <w:lvl w:ilvl="0">
      <w:start w:val="2"/>
      <w:numFmt w:val="decimal"/>
      <w:pStyle w:val="AfterFirstPara"/>
      <w:lvlText w:val="%1."/>
      <w:lvlJc w:val="left"/>
      <w:pPr>
        <w:tabs>
          <w:tab w:val="num" w:pos="567"/>
        </w:tabs>
        <w:ind w:left="0" w:firstLine="0"/>
      </w:pPr>
      <w:rPr>
        <w:rFonts w:hint="default"/>
      </w:rPr>
    </w:lvl>
  </w:abstractNum>
  <w:abstractNum w:abstractNumId="18" w15:restartNumberingAfterBreak="0">
    <w:nsid w:val="63D066CB"/>
    <w:multiLevelType w:val="hybridMultilevel"/>
    <w:tmpl w:val="DAF20ECE"/>
    <w:lvl w:ilvl="0" w:tplc="D892DD56">
      <w:start w:val="54"/>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02E6FE4"/>
    <w:multiLevelType w:val="hybridMultilevel"/>
    <w:tmpl w:val="963E3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2713369"/>
    <w:multiLevelType w:val="hybridMultilevel"/>
    <w:tmpl w:val="2F2888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3107305"/>
    <w:multiLevelType w:val="multilevel"/>
    <w:tmpl w:val="3B7A10D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748F53F0"/>
    <w:multiLevelType w:val="hybridMultilevel"/>
    <w:tmpl w:val="9F68C8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6A31CD0"/>
    <w:multiLevelType w:val="hybridMultilevel"/>
    <w:tmpl w:val="AEB270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21"/>
  </w:num>
  <w:num w:numId="2">
    <w:abstractNumId w:val="1"/>
  </w:num>
  <w:num w:numId="3">
    <w:abstractNumId w:val="6"/>
  </w:num>
  <w:num w:numId="4">
    <w:abstractNumId w:val="14"/>
  </w:num>
  <w:num w:numId="5">
    <w:abstractNumId w:val="16"/>
  </w:num>
  <w:num w:numId="6">
    <w:abstractNumId w:val="6"/>
  </w:num>
  <w:num w:numId="7">
    <w:abstractNumId w:val="1"/>
  </w:num>
  <w:num w:numId="8">
    <w:abstractNumId w:val="3"/>
  </w:num>
  <w:num w:numId="9">
    <w:abstractNumId w:val="24"/>
  </w:num>
  <w:num w:numId="10">
    <w:abstractNumId w:val="10"/>
  </w:num>
  <w:num w:numId="11">
    <w:abstractNumId w:val="0"/>
  </w:num>
  <w:num w:numId="12">
    <w:abstractNumId w:val="23"/>
  </w:num>
  <w:num w:numId="13">
    <w:abstractNumId w:val="7"/>
  </w:num>
  <w:num w:numId="14">
    <w:abstractNumId w:val="5"/>
  </w:num>
  <w:num w:numId="15">
    <w:abstractNumId w:val="15"/>
  </w:num>
  <w:num w:numId="16">
    <w:abstractNumId w:val="8"/>
  </w:num>
  <w:num w:numId="17">
    <w:abstractNumId w:val="12"/>
  </w:num>
  <w:num w:numId="18">
    <w:abstractNumId w:val="20"/>
  </w:num>
  <w:num w:numId="19">
    <w:abstractNumId w:val="22"/>
  </w:num>
  <w:num w:numId="20">
    <w:abstractNumId w:val="19"/>
  </w:num>
  <w:num w:numId="21">
    <w:abstractNumId w:val="9"/>
  </w:num>
  <w:num w:numId="22">
    <w:abstractNumId w:val="2"/>
  </w:num>
  <w:num w:numId="23">
    <w:abstractNumId w:val="17"/>
  </w:num>
  <w:num w:numId="24">
    <w:abstractNumId w:val="4"/>
  </w:num>
  <w:num w:numId="25">
    <w:abstractNumId w:val="13"/>
  </w:num>
  <w:num w:numId="26">
    <w:abstractNumId w:val="11"/>
  </w:num>
  <w:num w:numId="27">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58"/>
    <w:rsid w:val="000005F0"/>
    <w:rsid w:val="00001DA8"/>
    <w:rsid w:val="000020C1"/>
    <w:rsid w:val="00010006"/>
    <w:rsid w:val="00011235"/>
    <w:rsid w:val="0001182A"/>
    <w:rsid w:val="00013D23"/>
    <w:rsid w:val="00015AB7"/>
    <w:rsid w:val="00017F99"/>
    <w:rsid w:val="0002080A"/>
    <w:rsid w:val="0002782F"/>
    <w:rsid w:val="00031486"/>
    <w:rsid w:val="000314BA"/>
    <w:rsid w:val="00035BBF"/>
    <w:rsid w:val="00035CBC"/>
    <w:rsid w:val="000417C3"/>
    <w:rsid w:val="000444F3"/>
    <w:rsid w:val="00050806"/>
    <w:rsid w:val="000546D9"/>
    <w:rsid w:val="00054E4D"/>
    <w:rsid w:val="00055880"/>
    <w:rsid w:val="00056F24"/>
    <w:rsid w:val="00060073"/>
    <w:rsid w:val="000616C6"/>
    <w:rsid w:val="000735FB"/>
    <w:rsid w:val="00077901"/>
    <w:rsid w:val="000822AD"/>
    <w:rsid w:val="00082383"/>
    <w:rsid w:val="000854FD"/>
    <w:rsid w:val="00091446"/>
    <w:rsid w:val="00091B4B"/>
    <w:rsid w:val="00094275"/>
    <w:rsid w:val="00094DDB"/>
    <w:rsid w:val="000A407E"/>
    <w:rsid w:val="000B37F5"/>
    <w:rsid w:val="000B5DA7"/>
    <w:rsid w:val="000B5F3A"/>
    <w:rsid w:val="000B63F5"/>
    <w:rsid w:val="000B7754"/>
    <w:rsid w:val="000B78E6"/>
    <w:rsid w:val="000C3A4C"/>
    <w:rsid w:val="000C4411"/>
    <w:rsid w:val="000D2896"/>
    <w:rsid w:val="000D66D6"/>
    <w:rsid w:val="000E0517"/>
    <w:rsid w:val="000E58BF"/>
    <w:rsid w:val="000E6C44"/>
    <w:rsid w:val="000F13B2"/>
    <w:rsid w:val="000F2600"/>
    <w:rsid w:val="000F3910"/>
    <w:rsid w:val="000F40C0"/>
    <w:rsid w:val="000F6712"/>
    <w:rsid w:val="000F78C9"/>
    <w:rsid w:val="00113288"/>
    <w:rsid w:val="001214BE"/>
    <w:rsid w:val="0012165D"/>
    <w:rsid w:val="00121DDD"/>
    <w:rsid w:val="001227F1"/>
    <w:rsid w:val="00122892"/>
    <w:rsid w:val="0013101C"/>
    <w:rsid w:val="00134684"/>
    <w:rsid w:val="00137F4E"/>
    <w:rsid w:val="001461D6"/>
    <w:rsid w:val="00146E07"/>
    <w:rsid w:val="001541EA"/>
    <w:rsid w:val="0016223D"/>
    <w:rsid w:val="00163953"/>
    <w:rsid w:val="00166032"/>
    <w:rsid w:val="00166067"/>
    <w:rsid w:val="001662F8"/>
    <w:rsid w:val="001841C8"/>
    <w:rsid w:val="00186B4B"/>
    <w:rsid w:val="00192190"/>
    <w:rsid w:val="00193C49"/>
    <w:rsid w:val="001A51EE"/>
    <w:rsid w:val="001A528C"/>
    <w:rsid w:val="001A7815"/>
    <w:rsid w:val="001A7C51"/>
    <w:rsid w:val="001B0F1B"/>
    <w:rsid w:val="001B4EE8"/>
    <w:rsid w:val="001B4F9F"/>
    <w:rsid w:val="001B78DA"/>
    <w:rsid w:val="001C14F4"/>
    <w:rsid w:val="001C1F11"/>
    <w:rsid w:val="001D1415"/>
    <w:rsid w:val="001D1A8F"/>
    <w:rsid w:val="001D3C98"/>
    <w:rsid w:val="001D4091"/>
    <w:rsid w:val="001D663E"/>
    <w:rsid w:val="001E03BE"/>
    <w:rsid w:val="001E1DC0"/>
    <w:rsid w:val="001E344D"/>
    <w:rsid w:val="001E563B"/>
    <w:rsid w:val="001E5BCA"/>
    <w:rsid w:val="001E5DD0"/>
    <w:rsid w:val="001E6D20"/>
    <w:rsid w:val="001E72BF"/>
    <w:rsid w:val="001F16E7"/>
    <w:rsid w:val="001F397B"/>
    <w:rsid w:val="001F44A0"/>
    <w:rsid w:val="001F771B"/>
    <w:rsid w:val="001F7A8B"/>
    <w:rsid w:val="001F7F4D"/>
    <w:rsid w:val="0020763D"/>
    <w:rsid w:val="00221B07"/>
    <w:rsid w:val="002231BD"/>
    <w:rsid w:val="002270F7"/>
    <w:rsid w:val="002403D3"/>
    <w:rsid w:val="002404E8"/>
    <w:rsid w:val="0024142F"/>
    <w:rsid w:val="00244229"/>
    <w:rsid w:val="002462EB"/>
    <w:rsid w:val="00246C03"/>
    <w:rsid w:val="00247365"/>
    <w:rsid w:val="0024769D"/>
    <w:rsid w:val="002514CB"/>
    <w:rsid w:val="00253D5F"/>
    <w:rsid w:val="0025497D"/>
    <w:rsid w:val="00255F45"/>
    <w:rsid w:val="002571C7"/>
    <w:rsid w:val="00260960"/>
    <w:rsid w:val="00261565"/>
    <w:rsid w:val="002617BA"/>
    <w:rsid w:val="002644CB"/>
    <w:rsid w:val="00270C70"/>
    <w:rsid w:val="00272018"/>
    <w:rsid w:val="002721B5"/>
    <w:rsid w:val="00282FA1"/>
    <w:rsid w:val="0028602A"/>
    <w:rsid w:val="002945C4"/>
    <w:rsid w:val="0029663F"/>
    <w:rsid w:val="00297258"/>
    <w:rsid w:val="00297FD1"/>
    <w:rsid w:val="002A3FDB"/>
    <w:rsid w:val="002A519E"/>
    <w:rsid w:val="002B200D"/>
    <w:rsid w:val="002B3381"/>
    <w:rsid w:val="002B5E10"/>
    <w:rsid w:val="002C17C9"/>
    <w:rsid w:val="002C793D"/>
    <w:rsid w:val="002D0AB5"/>
    <w:rsid w:val="002D35C9"/>
    <w:rsid w:val="002D4108"/>
    <w:rsid w:val="002D430F"/>
    <w:rsid w:val="002D5B25"/>
    <w:rsid w:val="002D71D5"/>
    <w:rsid w:val="002E2AF4"/>
    <w:rsid w:val="002E38B2"/>
    <w:rsid w:val="002E500A"/>
    <w:rsid w:val="002E6600"/>
    <w:rsid w:val="002E713B"/>
    <w:rsid w:val="002E7F46"/>
    <w:rsid w:val="002F03FB"/>
    <w:rsid w:val="002F10D1"/>
    <w:rsid w:val="002F4F2B"/>
    <w:rsid w:val="003002C0"/>
    <w:rsid w:val="00301144"/>
    <w:rsid w:val="003031C6"/>
    <w:rsid w:val="00304984"/>
    <w:rsid w:val="00311946"/>
    <w:rsid w:val="00312BF8"/>
    <w:rsid w:val="003148B7"/>
    <w:rsid w:val="00314919"/>
    <w:rsid w:val="003158C3"/>
    <w:rsid w:val="00322264"/>
    <w:rsid w:val="003274CD"/>
    <w:rsid w:val="00332EFA"/>
    <w:rsid w:val="00333501"/>
    <w:rsid w:val="003406AF"/>
    <w:rsid w:val="003457C4"/>
    <w:rsid w:val="0035119D"/>
    <w:rsid w:val="00354641"/>
    <w:rsid w:val="0035511D"/>
    <w:rsid w:val="00361D7E"/>
    <w:rsid w:val="003664FE"/>
    <w:rsid w:val="00375D23"/>
    <w:rsid w:val="00377026"/>
    <w:rsid w:val="003806FE"/>
    <w:rsid w:val="003821B7"/>
    <w:rsid w:val="00382CE7"/>
    <w:rsid w:val="00387402"/>
    <w:rsid w:val="00387EC8"/>
    <w:rsid w:val="0039215F"/>
    <w:rsid w:val="0039344A"/>
    <w:rsid w:val="0039460F"/>
    <w:rsid w:val="003A4B2B"/>
    <w:rsid w:val="003B0286"/>
    <w:rsid w:val="003B3091"/>
    <w:rsid w:val="003B4F12"/>
    <w:rsid w:val="003B7643"/>
    <w:rsid w:val="003C00C5"/>
    <w:rsid w:val="003C6C4F"/>
    <w:rsid w:val="003C7D0E"/>
    <w:rsid w:val="003D1253"/>
    <w:rsid w:val="003D298E"/>
    <w:rsid w:val="003E24BA"/>
    <w:rsid w:val="003F2041"/>
    <w:rsid w:val="003F2212"/>
    <w:rsid w:val="003F3396"/>
    <w:rsid w:val="003F5DAC"/>
    <w:rsid w:val="003F7D26"/>
    <w:rsid w:val="004007ED"/>
    <w:rsid w:val="00400D50"/>
    <w:rsid w:val="00401E23"/>
    <w:rsid w:val="0040247B"/>
    <w:rsid w:val="00402ACC"/>
    <w:rsid w:val="00403FD8"/>
    <w:rsid w:val="00404339"/>
    <w:rsid w:val="00404443"/>
    <w:rsid w:val="00404602"/>
    <w:rsid w:val="004120EC"/>
    <w:rsid w:val="0041267F"/>
    <w:rsid w:val="00423DE0"/>
    <w:rsid w:val="00423F31"/>
    <w:rsid w:val="00426340"/>
    <w:rsid w:val="004303AA"/>
    <w:rsid w:val="00431899"/>
    <w:rsid w:val="00443DE3"/>
    <w:rsid w:val="00450381"/>
    <w:rsid w:val="004529F1"/>
    <w:rsid w:val="00453B1A"/>
    <w:rsid w:val="00454764"/>
    <w:rsid w:val="00462A57"/>
    <w:rsid w:val="004728DD"/>
    <w:rsid w:val="00473F2D"/>
    <w:rsid w:val="00473F39"/>
    <w:rsid w:val="00474037"/>
    <w:rsid w:val="00475782"/>
    <w:rsid w:val="00482AE8"/>
    <w:rsid w:val="00483153"/>
    <w:rsid w:val="00484DAD"/>
    <w:rsid w:val="00486804"/>
    <w:rsid w:val="00486FDB"/>
    <w:rsid w:val="00487549"/>
    <w:rsid w:val="0049155D"/>
    <w:rsid w:val="0049167F"/>
    <w:rsid w:val="00493A0C"/>
    <w:rsid w:val="00494242"/>
    <w:rsid w:val="004957D0"/>
    <w:rsid w:val="0049639F"/>
    <w:rsid w:val="00497EC9"/>
    <w:rsid w:val="004B295F"/>
    <w:rsid w:val="004B3775"/>
    <w:rsid w:val="004B587F"/>
    <w:rsid w:val="004D0BA0"/>
    <w:rsid w:val="004D30FD"/>
    <w:rsid w:val="004D4850"/>
    <w:rsid w:val="004D530F"/>
    <w:rsid w:val="004D7F36"/>
    <w:rsid w:val="004E058F"/>
    <w:rsid w:val="004E32FA"/>
    <w:rsid w:val="004E3B87"/>
    <w:rsid w:val="004E549D"/>
    <w:rsid w:val="004F137F"/>
    <w:rsid w:val="004F5615"/>
    <w:rsid w:val="00502041"/>
    <w:rsid w:val="00503EB4"/>
    <w:rsid w:val="0050774D"/>
    <w:rsid w:val="00510921"/>
    <w:rsid w:val="00510AD3"/>
    <w:rsid w:val="00513348"/>
    <w:rsid w:val="00513AD8"/>
    <w:rsid w:val="00514946"/>
    <w:rsid w:val="005165BE"/>
    <w:rsid w:val="00517DD0"/>
    <w:rsid w:val="005204D2"/>
    <w:rsid w:val="00520B5A"/>
    <w:rsid w:val="00521946"/>
    <w:rsid w:val="00522396"/>
    <w:rsid w:val="00523477"/>
    <w:rsid w:val="00523EFA"/>
    <w:rsid w:val="00524FDB"/>
    <w:rsid w:val="00525291"/>
    <w:rsid w:val="00527AD8"/>
    <w:rsid w:val="0053159D"/>
    <w:rsid w:val="00531B69"/>
    <w:rsid w:val="00533B5D"/>
    <w:rsid w:val="00534D96"/>
    <w:rsid w:val="00536343"/>
    <w:rsid w:val="00536BAB"/>
    <w:rsid w:val="00540A22"/>
    <w:rsid w:val="00542718"/>
    <w:rsid w:val="005474FC"/>
    <w:rsid w:val="00553079"/>
    <w:rsid w:val="00560529"/>
    <w:rsid w:val="005606FC"/>
    <w:rsid w:val="0056348E"/>
    <w:rsid w:val="00577815"/>
    <w:rsid w:val="005822D6"/>
    <w:rsid w:val="005848F3"/>
    <w:rsid w:val="00594588"/>
    <w:rsid w:val="005A131B"/>
    <w:rsid w:val="005A20F6"/>
    <w:rsid w:val="005A569B"/>
    <w:rsid w:val="005A5C32"/>
    <w:rsid w:val="005A5DA0"/>
    <w:rsid w:val="005A6CD5"/>
    <w:rsid w:val="005A7364"/>
    <w:rsid w:val="005A7660"/>
    <w:rsid w:val="005C2EC9"/>
    <w:rsid w:val="005C41E3"/>
    <w:rsid w:val="005C532B"/>
    <w:rsid w:val="005C773C"/>
    <w:rsid w:val="005D15E1"/>
    <w:rsid w:val="005D2071"/>
    <w:rsid w:val="005D2128"/>
    <w:rsid w:val="005D3655"/>
    <w:rsid w:val="005D5489"/>
    <w:rsid w:val="005E0058"/>
    <w:rsid w:val="005E4830"/>
    <w:rsid w:val="005E5524"/>
    <w:rsid w:val="005E73CC"/>
    <w:rsid w:val="005F0B8A"/>
    <w:rsid w:val="005F1FBB"/>
    <w:rsid w:val="005F2F66"/>
    <w:rsid w:val="005F3982"/>
    <w:rsid w:val="005F5E43"/>
    <w:rsid w:val="005F73E2"/>
    <w:rsid w:val="006031AC"/>
    <w:rsid w:val="00603321"/>
    <w:rsid w:val="00616A58"/>
    <w:rsid w:val="006171C6"/>
    <w:rsid w:val="00620A3D"/>
    <w:rsid w:val="00621DD9"/>
    <w:rsid w:val="00622B86"/>
    <w:rsid w:val="00623BA1"/>
    <w:rsid w:val="00630092"/>
    <w:rsid w:val="006346BC"/>
    <w:rsid w:val="00635B53"/>
    <w:rsid w:val="006362FF"/>
    <w:rsid w:val="00636803"/>
    <w:rsid w:val="006378FE"/>
    <w:rsid w:val="006408FF"/>
    <w:rsid w:val="00640DAF"/>
    <w:rsid w:val="0064221C"/>
    <w:rsid w:val="00642447"/>
    <w:rsid w:val="0065649B"/>
    <w:rsid w:val="006611D3"/>
    <w:rsid w:val="0066203A"/>
    <w:rsid w:val="0066652A"/>
    <w:rsid w:val="006719C3"/>
    <w:rsid w:val="00671B22"/>
    <w:rsid w:val="006745FC"/>
    <w:rsid w:val="006750D9"/>
    <w:rsid w:val="00680115"/>
    <w:rsid w:val="00680522"/>
    <w:rsid w:val="00681633"/>
    <w:rsid w:val="00682167"/>
    <w:rsid w:val="006836DC"/>
    <w:rsid w:val="00685B52"/>
    <w:rsid w:val="00693F90"/>
    <w:rsid w:val="00694E9E"/>
    <w:rsid w:val="00696059"/>
    <w:rsid w:val="00696EF2"/>
    <w:rsid w:val="006A0558"/>
    <w:rsid w:val="006A128B"/>
    <w:rsid w:val="006A21D2"/>
    <w:rsid w:val="006A5814"/>
    <w:rsid w:val="006A6F52"/>
    <w:rsid w:val="006A791A"/>
    <w:rsid w:val="006B0064"/>
    <w:rsid w:val="006B33D9"/>
    <w:rsid w:val="006B3E95"/>
    <w:rsid w:val="006B3F1F"/>
    <w:rsid w:val="006B6F6D"/>
    <w:rsid w:val="006C0B06"/>
    <w:rsid w:val="006C1D29"/>
    <w:rsid w:val="006C3BBD"/>
    <w:rsid w:val="006C42AF"/>
    <w:rsid w:val="006C565B"/>
    <w:rsid w:val="006C6498"/>
    <w:rsid w:val="006D15F1"/>
    <w:rsid w:val="006D301D"/>
    <w:rsid w:val="006D5A56"/>
    <w:rsid w:val="006D7A95"/>
    <w:rsid w:val="006E4323"/>
    <w:rsid w:val="006E5AE4"/>
    <w:rsid w:val="006F2DE7"/>
    <w:rsid w:val="006F6BA7"/>
    <w:rsid w:val="00701649"/>
    <w:rsid w:val="00705217"/>
    <w:rsid w:val="00705C78"/>
    <w:rsid w:val="007075DF"/>
    <w:rsid w:val="00710317"/>
    <w:rsid w:val="00710866"/>
    <w:rsid w:val="00711D8E"/>
    <w:rsid w:val="00712179"/>
    <w:rsid w:val="00712672"/>
    <w:rsid w:val="00717075"/>
    <w:rsid w:val="00730C04"/>
    <w:rsid w:val="007348A5"/>
    <w:rsid w:val="00734E3F"/>
    <w:rsid w:val="00736985"/>
    <w:rsid w:val="00742F2E"/>
    <w:rsid w:val="00745DF5"/>
    <w:rsid w:val="00755000"/>
    <w:rsid w:val="0076250F"/>
    <w:rsid w:val="00766334"/>
    <w:rsid w:val="007712CA"/>
    <w:rsid w:val="00772CD1"/>
    <w:rsid w:val="0077324F"/>
    <w:rsid w:val="007733DC"/>
    <w:rsid w:val="00773FB8"/>
    <w:rsid w:val="00775A6F"/>
    <w:rsid w:val="00780FA5"/>
    <w:rsid w:val="00796F1C"/>
    <w:rsid w:val="007A3035"/>
    <w:rsid w:val="007B036E"/>
    <w:rsid w:val="007B53F9"/>
    <w:rsid w:val="007B6200"/>
    <w:rsid w:val="007C19B3"/>
    <w:rsid w:val="007C1DDE"/>
    <w:rsid w:val="007C35A7"/>
    <w:rsid w:val="007C404A"/>
    <w:rsid w:val="007C53BA"/>
    <w:rsid w:val="007C735B"/>
    <w:rsid w:val="007D1D9F"/>
    <w:rsid w:val="007E04F9"/>
    <w:rsid w:val="007E2328"/>
    <w:rsid w:val="007E369F"/>
    <w:rsid w:val="007E38D4"/>
    <w:rsid w:val="007E5361"/>
    <w:rsid w:val="007E556D"/>
    <w:rsid w:val="007E7BC7"/>
    <w:rsid w:val="007F3395"/>
    <w:rsid w:val="007F5C0B"/>
    <w:rsid w:val="007F646C"/>
    <w:rsid w:val="00801B9F"/>
    <w:rsid w:val="0080204D"/>
    <w:rsid w:val="00803022"/>
    <w:rsid w:val="0080683D"/>
    <w:rsid w:val="00814D71"/>
    <w:rsid w:val="0082053C"/>
    <w:rsid w:val="00822F43"/>
    <w:rsid w:val="0082331C"/>
    <w:rsid w:val="0082402D"/>
    <w:rsid w:val="008245DC"/>
    <w:rsid w:val="0084191E"/>
    <w:rsid w:val="00842FC4"/>
    <w:rsid w:val="00843B76"/>
    <w:rsid w:val="008475F0"/>
    <w:rsid w:val="008515AF"/>
    <w:rsid w:val="00852C32"/>
    <w:rsid w:val="008546A9"/>
    <w:rsid w:val="00854F69"/>
    <w:rsid w:val="008557A7"/>
    <w:rsid w:val="00856BFE"/>
    <w:rsid w:val="00857312"/>
    <w:rsid w:val="008650E3"/>
    <w:rsid w:val="00865C3B"/>
    <w:rsid w:val="00870928"/>
    <w:rsid w:val="00874215"/>
    <w:rsid w:val="008771F0"/>
    <w:rsid w:val="00877620"/>
    <w:rsid w:val="00887404"/>
    <w:rsid w:val="00887B1F"/>
    <w:rsid w:val="00892178"/>
    <w:rsid w:val="0089405C"/>
    <w:rsid w:val="00897FA2"/>
    <w:rsid w:val="008A1503"/>
    <w:rsid w:val="008A5AFE"/>
    <w:rsid w:val="008A7B6F"/>
    <w:rsid w:val="008B53D3"/>
    <w:rsid w:val="008C1F60"/>
    <w:rsid w:val="008C3E04"/>
    <w:rsid w:val="008C478C"/>
    <w:rsid w:val="008C5A0E"/>
    <w:rsid w:val="008C6149"/>
    <w:rsid w:val="008C708C"/>
    <w:rsid w:val="008E0F21"/>
    <w:rsid w:val="008E1604"/>
    <w:rsid w:val="008E4B49"/>
    <w:rsid w:val="008F19BE"/>
    <w:rsid w:val="008F50AF"/>
    <w:rsid w:val="008F6625"/>
    <w:rsid w:val="008F726B"/>
    <w:rsid w:val="00912D0F"/>
    <w:rsid w:val="00916582"/>
    <w:rsid w:val="00916BF6"/>
    <w:rsid w:val="00917A7A"/>
    <w:rsid w:val="009257C1"/>
    <w:rsid w:val="00930951"/>
    <w:rsid w:val="0093173D"/>
    <w:rsid w:val="00932E24"/>
    <w:rsid w:val="00936776"/>
    <w:rsid w:val="00943730"/>
    <w:rsid w:val="00943EE1"/>
    <w:rsid w:val="009461D1"/>
    <w:rsid w:val="00950D65"/>
    <w:rsid w:val="009718E2"/>
    <w:rsid w:val="00975CA5"/>
    <w:rsid w:val="00976D8F"/>
    <w:rsid w:val="009774B4"/>
    <w:rsid w:val="00982834"/>
    <w:rsid w:val="00982F28"/>
    <w:rsid w:val="0098518D"/>
    <w:rsid w:val="00986590"/>
    <w:rsid w:val="00991579"/>
    <w:rsid w:val="00992C76"/>
    <w:rsid w:val="00995A7C"/>
    <w:rsid w:val="009969D6"/>
    <w:rsid w:val="009A02E1"/>
    <w:rsid w:val="009A112B"/>
    <w:rsid w:val="009A2619"/>
    <w:rsid w:val="009A58FC"/>
    <w:rsid w:val="009B0B40"/>
    <w:rsid w:val="009B394F"/>
    <w:rsid w:val="009B3B98"/>
    <w:rsid w:val="009B4D3B"/>
    <w:rsid w:val="009C18DB"/>
    <w:rsid w:val="009C7645"/>
    <w:rsid w:val="009D024E"/>
    <w:rsid w:val="009D3438"/>
    <w:rsid w:val="009D3B22"/>
    <w:rsid w:val="009D619D"/>
    <w:rsid w:val="009D7407"/>
    <w:rsid w:val="009E0866"/>
    <w:rsid w:val="009E1928"/>
    <w:rsid w:val="009E273C"/>
    <w:rsid w:val="009F1350"/>
    <w:rsid w:val="009F6423"/>
    <w:rsid w:val="009F696C"/>
    <w:rsid w:val="00A07A86"/>
    <w:rsid w:val="00A107B9"/>
    <w:rsid w:val="00A12B40"/>
    <w:rsid w:val="00A24A62"/>
    <w:rsid w:val="00A25EC5"/>
    <w:rsid w:val="00A31C9F"/>
    <w:rsid w:val="00A32117"/>
    <w:rsid w:val="00A333E2"/>
    <w:rsid w:val="00A4144F"/>
    <w:rsid w:val="00A46B28"/>
    <w:rsid w:val="00A47135"/>
    <w:rsid w:val="00A47A63"/>
    <w:rsid w:val="00A61B4D"/>
    <w:rsid w:val="00A63A21"/>
    <w:rsid w:val="00A71167"/>
    <w:rsid w:val="00A72201"/>
    <w:rsid w:val="00A73C34"/>
    <w:rsid w:val="00A74192"/>
    <w:rsid w:val="00A75B84"/>
    <w:rsid w:val="00A80123"/>
    <w:rsid w:val="00A80305"/>
    <w:rsid w:val="00A80F95"/>
    <w:rsid w:val="00A83A24"/>
    <w:rsid w:val="00A868CB"/>
    <w:rsid w:val="00A93C05"/>
    <w:rsid w:val="00A96364"/>
    <w:rsid w:val="00A97244"/>
    <w:rsid w:val="00A97BF1"/>
    <w:rsid w:val="00A97C8F"/>
    <w:rsid w:val="00AA298A"/>
    <w:rsid w:val="00AA3AA8"/>
    <w:rsid w:val="00AB4795"/>
    <w:rsid w:val="00AB65C3"/>
    <w:rsid w:val="00AB6748"/>
    <w:rsid w:val="00AB6BD2"/>
    <w:rsid w:val="00AC107C"/>
    <w:rsid w:val="00AC164A"/>
    <w:rsid w:val="00AC3944"/>
    <w:rsid w:val="00AC551D"/>
    <w:rsid w:val="00AC7610"/>
    <w:rsid w:val="00AD19F7"/>
    <w:rsid w:val="00AD2C2E"/>
    <w:rsid w:val="00AE2BAC"/>
    <w:rsid w:val="00AE448A"/>
    <w:rsid w:val="00AE74DA"/>
    <w:rsid w:val="00AF18F4"/>
    <w:rsid w:val="00AF2050"/>
    <w:rsid w:val="00AF44F0"/>
    <w:rsid w:val="00AF5A92"/>
    <w:rsid w:val="00AF5FB6"/>
    <w:rsid w:val="00AF6847"/>
    <w:rsid w:val="00AF7ECC"/>
    <w:rsid w:val="00B00BF4"/>
    <w:rsid w:val="00B01A44"/>
    <w:rsid w:val="00B02B2A"/>
    <w:rsid w:val="00B03CA8"/>
    <w:rsid w:val="00B05B87"/>
    <w:rsid w:val="00B1054E"/>
    <w:rsid w:val="00B16EF6"/>
    <w:rsid w:val="00B22F0E"/>
    <w:rsid w:val="00B249EC"/>
    <w:rsid w:val="00B252F4"/>
    <w:rsid w:val="00B33C0A"/>
    <w:rsid w:val="00B346E4"/>
    <w:rsid w:val="00B34763"/>
    <w:rsid w:val="00B401AF"/>
    <w:rsid w:val="00B44335"/>
    <w:rsid w:val="00B446DD"/>
    <w:rsid w:val="00B50ED0"/>
    <w:rsid w:val="00B51946"/>
    <w:rsid w:val="00B51C2F"/>
    <w:rsid w:val="00B55E19"/>
    <w:rsid w:val="00B56E71"/>
    <w:rsid w:val="00B579A6"/>
    <w:rsid w:val="00B579C7"/>
    <w:rsid w:val="00B63793"/>
    <w:rsid w:val="00B6477E"/>
    <w:rsid w:val="00B71AD8"/>
    <w:rsid w:val="00B73365"/>
    <w:rsid w:val="00B75D84"/>
    <w:rsid w:val="00B84B3C"/>
    <w:rsid w:val="00B857E1"/>
    <w:rsid w:val="00B8599B"/>
    <w:rsid w:val="00B86990"/>
    <w:rsid w:val="00B91FE7"/>
    <w:rsid w:val="00B938DB"/>
    <w:rsid w:val="00B94659"/>
    <w:rsid w:val="00B94758"/>
    <w:rsid w:val="00BA1B89"/>
    <w:rsid w:val="00BA1F40"/>
    <w:rsid w:val="00BA433C"/>
    <w:rsid w:val="00BA4B6D"/>
    <w:rsid w:val="00BA53A9"/>
    <w:rsid w:val="00BA7C40"/>
    <w:rsid w:val="00BB26C5"/>
    <w:rsid w:val="00BB2F84"/>
    <w:rsid w:val="00BB3FD0"/>
    <w:rsid w:val="00BC1FED"/>
    <w:rsid w:val="00BC38E4"/>
    <w:rsid w:val="00BC794D"/>
    <w:rsid w:val="00BD6304"/>
    <w:rsid w:val="00BD710C"/>
    <w:rsid w:val="00BD774B"/>
    <w:rsid w:val="00BE12B6"/>
    <w:rsid w:val="00BF3BD7"/>
    <w:rsid w:val="00BF4DE6"/>
    <w:rsid w:val="00BF50A0"/>
    <w:rsid w:val="00BF6703"/>
    <w:rsid w:val="00C04C4E"/>
    <w:rsid w:val="00C057E3"/>
    <w:rsid w:val="00C06B13"/>
    <w:rsid w:val="00C16A47"/>
    <w:rsid w:val="00C27D25"/>
    <w:rsid w:val="00C35791"/>
    <w:rsid w:val="00C36790"/>
    <w:rsid w:val="00C42541"/>
    <w:rsid w:val="00C42CDE"/>
    <w:rsid w:val="00C45941"/>
    <w:rsid w:val="00C50B58"/>
    <w:rsid w:val="00C5182A"/>
    <w:rsid w:val="00C52463"/>
    <w:rsid w:val="00C52B3D"/>
    <w:rsid w:val="00C54EA7"/>
    <w:rsid w:val="00C55983"/>
    <w:rsid w:val="00C61649"/>
    <w:rsid w:val="00C61D67"/>
    <w:rsid w:val="00C63EE9"/>
    <w:rsid w:val="00C70F58"/>
    <w:rsid w:val="00C7694C"/>
    <w:rsid w:val="00C80F99"/>
    <w:rsid w:val="00C83F4E"/>
    <w:rsid w:val="00C84C30"/>
    <w:rsid w:val="00C87B9B"/>
    <w:rsid w:val="00C908C7"/>
    <w:rsid w:val="00C92805"/>
    <w:rsid w:val="00CA0B57"/>
    <w:rsid w:val="00CA16F3"/>
    <w:rsid w:val="00CA3403"/>
    <w:rsid w:val="00CA37B1"/>
    <w:rsid w:val="00CA3FD8"/>
    <w:rsid w:val="00CA5021"/>
    <w:rsid w:val="00CA6048"/>
    <w:rsid w:val="00CB1488"/>
    <w:rsid w:val="00CB1959"/>
    <w:rsid w:val="00CB40BD"/>
    <w:rsid w:val="00CB7ADC"/>
    <w:rsid w:val="00CC07D7"/>
    <w:rsid w:val="00CC1D45"/>
    <w:rsid w:val="00CC741B"/>
    <w:rsid w:val="00CD0E4B"/>
    <w:rsid w:val="00CD3F5D"/>
    <w:rsid w:val="00CD4640"/>
    <w:rsid w:val="00CD4AD4"/>
    <w:rsid w:val="00CD55B2"/>
    <w:rsid w:val="00CE4C89"/>
    <w:rsid w:val="00CE532E"/>
    <w:rsid w:val="00CF07BA"/>
    <w:rsid w:val="00CF21A3"/>
    <w:rsid w:val="00D0296C"/>
    <w:rsid w:val="00D05E55"/>
    <w:rsid w:val="00D1231A"/>
    <w:rsid w:val="00D20A30"/>
    <w:rsid w:val="00D20BC7"/>
    <w:rsid w:val="00D2641E"/>
    <w:rsid w:val="00D3170B"/>
    <w:rsid w:val="00D32D6F"/>
    <w:rsid w:val="00D34D5D"/>
    <w:rsid w:val="00D37B04"/>
    <w:rsid w:val="00D45555"/>
    <w:rsid w:val="00D4628C"/>
    <w:rsid w:val="00D47236"/>
    <w:rsid w:val="00D4760E"/>
    <w:rsid w:val="00D479B5"/>
    <w:rsid w:val="00D540C6"/>
    <w:rsid w:val="00D64BD1"/>
    <w:rsid w:val="00D71F34"/>
    <w:rsid w:val="00D728D5"/>
    <w:rsid w:val="00D7310B"/>
    <w:rsid w:val="00D73E04"/>
    <w:rsid w:val="00D82275"/>
    <w:rsid w:val="00D85F0B"/>
    <w:rsid w:val="00D90B37"/>
    <w:rsid w:val="00D92254"/>
    <w:rsid w:val="00D924D3"/>
    <w:rsid w:val="00DA1B52"/>
    <w:rsid w:val="00DA20F9"/>
    <w:rsid w:val="00DB15E5"/>
    <w:rsid w:val="00DC0996"/>
    <w:rsid w:val="00DC238C"/>
    <w:rsid w:val="00DC6D78"/>
    <w:rsid w:val="00DC7136"/>
    <w:rsid w:val="00DD3E88"/>
    <w:rsid w:val="00DE084C"/>
    <w:rsid w:val="00DE2D05"/>
    <w:rsid w:val="00DE30FA"/>
    <w:rsid w:val="00DE6BF7"/>
    <w:rsid w:val="00DF018F"/>
    <w:rsid w:val="00DF2254"/>
    <w:rsid w:val="00DF68CF"/>
    <w:rsid w:val="00E04DEC"/>
    <w:rsid w:val="00E055AB"/>
    <w:rsid w:val="00E05C87"/>
    <w:rsid w:val="00E13509"/>
    <w:rsid w:val="00E14F51"/>
    <w:rsid w:val="00E15A6C"/>
    <w:rsid w:val="00E16663"/>
    <w:rsid w:val="00E1666D"/>
    <w:rsid w:val="00E221FA"/>
    <w:rsid w:val="00E230DA"/>
    <w:rsid w:val="00E23CDD"/>
    <w:rsid w:val="00E3076E"/>
    <w:rsid w:val="00E33E22"/>
    <w:rsid w:val="00E357B7"/>
    <w:rsid w:val="00E36C28"/>
    <w:rsid w:val="00E410F8"/>
    <w:rsid w:val="00E42990"/>
    <w:rsid w:val="00E42E50"/>
    <w:rsid w:val="00E4584F"/>
    <w:rsid w:val="00E461AE"/>
    <w:rsid w:val="00E50937"/>
    <w:rsid w:val="00E532A8"/>
    <w:rsid w:val="00E533FC"/>
    <w:rsid w:val="00E53800"/>
    <w:rsid w:val="00E53A91"/>
    <w:rsid w:val="00E6081F"/>
    <w:rsid w:val="00E614AA"/>
    <w:rsid w:val="00E624EC"/>
    <w:rsid w:val="00E70C1E"/>
    <w:rsid w:val="00E70C37"/>
    <w:rsid w:val="00E8296D"/>
    <w:rsid w:val="00E8457B"/>
    <w:rsid w:val="00E91864"/>
    <w:rsid w:val="00E944AA"/>
    <w:rsid w:val="00EA04B2"/>
    <w:rsid w:val="00EA20F3"/>
    <w:rsid w:val="00EA36D9"/>
    <w:rsid w:val="00EA6406"/>
    <w:rsid w:val="00EB77FD"/>
    <w:rsid w:val="00EC5F4C"/>
    <w:rsid w:val="00EC608A"/>
    <w:rsid w:val="00EC6D38"/>
    <w:rsid w:val="00ED2831"/>
    <w:rsid w:val="00ED3B2D"/>
    <w:rsid w:val="00ED43D1"/>
    <w:rsid w:val="00EE0466"/>
    <w:rsid w:val="00EE1CFF"/>
    <w:rsid w:val="00EE4EE1"/>
    <w:rsid w:val="00EF0116"/>
    <w:rsid w:val="00EF4574"/>
    <w:rsid w:val="00F01921"/>
    <w:rsid w:val="00F0495D"/>
    <w:rsid w:val="00F05F71"/>
    <w:rsid w:val="00F13373"/>
    <w:rsid w:val="00F2042C"/>
    <w:rsid w:val="00F20A98"/>
    <w:rsid w:val="00F258BF"/>
    <w:rsid w:val="00F25A93"/>
    <w:rsid w:val="00F2684E"/>
    <w:rsid w:val="00F27235"/>
    <w:rsid w:val="00F32AA1"/>
    <w:rsid w:val="00F357B2"/>
    <w:rsid w:val="00F36E36"/>
    <w:rsid w:val="00F450A0"/>
    <w:rsid w:val="00F45486"/>
    <w:rsid w:val="00F47942"/>
    <w:rsid w:val="00F53309"/>
    <w:rsid w:val="00F53E91"/>
    <w:rsid w:val="00F5404C"/>
    <w:rsid w:val="00F55791"/>
    <w:rsid w:val="00F55DA6"/>
    <w:rsid w:val="00F57954"/>
    <w:rsid w:val="00F650C7"/>
    <w:rsid w:val="00F67C6A"/>
    <w:rsid w:val="00F70504"/>
    <w:rsid w:val="00F717B1"/>
    <w:rsid w:val="00F729EF"/>
    <w:rsid w:val="00F746B7"/>
    <w:rsid w:val="00F760AE"/>
    <w:rsid w:val="00F77CAE"/>
    <w:rsid w:val="00F82271"/>
    <w:rsid w:val="00F83428"/>
    <w:rsid w:val="00F85A49"/>
    <w:rsid w:val="00F867D5"/>
    <w:rsid w:val="00F875A8"/>
    <w:rsid w:val="00F90B17"/>
    <w:rsid w:val="00F96BB9"/>
    <w:rsid w:val="00FA5EFD"/>
    <w:rsid w:val="00FB1948"/>
    <w:rsid w:val="00FB43CA"/>
    <w:rsid w:val="00FB5DC6"/>
    <w:rsid w:val="00FC1216"/>
    <w:rsid w:val="00FD16C7"/>
    <w:rsid w:val="00FD1850"/>
    <w:rsid w:val="00FD7A63"/>
    <w:rsid w:val="00FE4A5C"/>
    <w:rsid w:val="00FE6515"/>
    <w:rsid w:val="00FE6D51"/>
    <w:rsid w:val="00FE6F2A"/>
    <w:rsid w:val="00FF72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6429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0"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166032"/>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B71AD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autoRedefine/>
    <w:uiPriority w:val="9"/>
    <w:unhideWhenUsed/>
    <w:qFormat/>
    <w:rsid w:val="00710866"/>
    <w:pPr>
      <w:spacing w:after="0" w:line="240" w:lineRule="auto"/>
      <w:contextualSpacing w:val="0"/>
      <w:outlineLvl w:val="1"/>
    </w:pPr>
    <w:rPr>
      <w:bCs w:val="0"/>
      <w:sz w:val="22"/>
      <w:szCs w:val="26"/>
    </w:rPr>
  </w:style>
  <w:style w:type="paragraph" w:styleId="Heading3">
    <w:name w:val="heading 3"/>
    <w:basedOn w:val="Heading2"/>
    <w:next w:val="Normal"/>
    <w:link w:val="Heading3Char"/>
    <w:autoRedefine/>
    <w:uiPriority w:val="9"/>
    <w:unhideWhenUsed/>
    <w:qFormat/>
    <w:rsid w:val="00710866"/>
    <w:pPr>
      <w:outlineLvl w:val="2"/>
    </w:pPr>
    <w:rPr>
      <w:rFonts w:asciiTheme="minorHAnsi" w:hAnsiTheme="minorHAnsi" w:cstheme="minorHAnsi"/>
      <w:bCs/>
      <w:i/>
      <w:caps w:val="0"/>
      <w:szCs w:val="22"/>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rPr>
  </w:style>
  <w:style w:type="paragraph" w:styleId="Heading5">
    <w:name w:val="heading 5"/>
    <w:basedOn w:val="Heading4"/>
    <w:next w:val="Normal"/>
    <w:link w:val="Heading5Char"/>
    <w:uiPriority w:val="9"/>
    <w:unhideWhenUsed/>
    <w:qFormat/>
    <w:rsid w:val="00B71AD8"/>
    <w:pPr>
      <w:spacing w:line="200" w:lineRule="atLeast"/>
      <w:outlineLvl w:val="4"/>
    </w:pPr>
    <w:rPr>
      <w:b w:val="0"/>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val="0"/>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AD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710866"/>
    <w:rPr>
      <w:rFonts w:asciiTheme="majorHAnsi" w:eastAsiaTheme="majorEastAsia" w:hAnsiTheme="majorHAnsi" w:cstheme="majorBidi"/>
      <w:b/>
      <w:caps/>
      <w:color w:val="495965" w:themeColor="text2"/>
      <w:szCs w:val="26"/>
      <w:lang w:val="en-GB"/>
    </w:rPr>
  </w:style>
  <w:style w:type="character" w:customStyle="1" w:styleId="Heading3Char">
    <w:name w:val="Heading 3 Char"/>
    <w:basedOn w:val="DefaultParagraphFont"/>
    <w:link w:val="Heading3"/>
    <w:uiPriority w:val="9"/>
    <w:rsid w:val="00710866"/>
    <w:rPr>
      <w:rFonts w:eastAsiaTheme="majorEastAsia" w:cstheme="minorHAnsi"/>
      <w:b/>
      <w:bCs/>
      <w:i/>
      <w:color w:val="495965" w:themeColor="text2"/>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B71AD8"/>
    <w:pPr>
      <w:numPr>
        <w:numId w:val="10"/>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after="60"/>
    </w:pPr>
    <w:rPr>
      <w:bCs/>
    </w:rPr>
  </w:style>
  <w:style w:type="paragraph" w:customStyle="1" w:styleId="Heading3Numbered">
    <w:name w:val="Heading 3 Numbered"/>
    <w:basedOn w:val="Heading3"/>
    <w:next w:val="Normal"/>
    <w:qFormat/>
    <w:rsid w:val="00ED2831"/>
    <w:pPr>
      <w:numPr>
        <w:ilvl w:val="2"/>
        <w:numId w:val="6"/>
      </w:numPr>
      <w:spacing w:before="300" w:after="60"/>
    </w:pPr>
  </w:style>
  <w:style w:type="numbering" w:customStyle="1" w:styleId="BulletsList">
    <w:name w:val="Bullets List"/>
    <w:uiPriority w:val="99"/>
    <w:rsid w:val="00B71AD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B71AD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B71AD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qFormat/>
    <w:locked/>
    <w:rsid w:val="00A97244"/>
    <w:pPr>
      <w:ind w:left="720"/>
      <w:contextualSpacing/>
    </w:p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qFormat/>
    <w:locked/>
    <w:rsid w:val="00A97244"/>
    <w:rPr>
      <w:color w:val="495965" w:themeColor="text2"/>
      <w:lang w:val="en-GB"/>
    </w:rPr>
  </w:style>
  <w:style w:type="table" w:customStyle="1" w:styleId="DFATTable11">
    <w:name w:val="DFAT Table 11"/>
    <w:basedOn w:val="TableNormal"/>
    <w:uiPriority w:val="99"/>
    <w:rsid w:val="00E4584F"/>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table" w:styleId="GridTable4-Accent1">
    <w:name w:val="Grid Table 4 Accent 1"/>
    <w:basedOn w:val="TableNormal"/>
    <w:uiPriority w:val="49"/>
    <w:locked/>
    <w:rsid w:val="00DC238C"/>
    <w:pPr>
      <w:spacing w:after="0" w:line="240" w:lineRule="auto"/>
    </w:pPr>
    <w:tblPr>
      <w:tblStyleRowBandSize w:val="1"/>
      <w:tblStyleColBandSize w:val="1"/>
      <w:tblBorders>
        <w:top w:val="single" w:sz="4" w:space="0" w:color="A2DCD1" w:themeColor="accent1" w:themeTint="99"/>
        <w:left w:val="single" w:sz="4" w:space="0" w:color="A2DCD1" w:themeColor="accent1" w:themeTint="99"/>
        <w:bottom w:val="single" w:sz="4" w:space="0" w:color="A2DCD1" w:themeColor="accent1" w:themeTint="99"/>
        <w:right w:val="single" w:sz="4" w:space="0" w:color="A2DCD1" w:themeColor="accent1" w:themeTint="99"/>
        <w:insideH w:val="single" w:sz="4" w:space="0" w:color="A2DCD1" w:themeColor="accent1" w:themeTint="99"/>
        <w:insideV w:val="single" w:sz="4" w:space="0" w:color="A2DCD1" w:themeColor="accent1" w:themeTint="99"/>
      </w:tblBorders>
    </w:tblPr>
    <w:tblStylePr w:type="firstRow">
      <w:rPr>
        <w:b/>
        <w:bCs/>
        <w:color w:val="FFFFFF" w:themeColor="background1"/>
      </w:rPr>
      <w:tblPr/>
      <w:tcPr>
        <w:tcBorders>
          <w:top w:val="single" w:sz="4" w:space="0" w:color="65C5B4" w:themeColor="accent1"/>
          <w:left w:val="single" w:sz="4" w:space="0" w:color="65C5B4" w:themeColor="accent1"/>
          <w:bottom w:val="single" w:sz="4" w:space="0" w:color="65C5B4" w:themeColor="accent1"/>
          <w:right w:val="single" w:sz="4" w:space="0" w:color="65C5B4" w:themeColor="accent1"/>
          <w:insideH w:val="nil"/>
          <w:insideV w:val="nil"/>
        </w:tcBorders>
        <w:shd w:val="clear" w:color="auto" w:fill="65C5B4" w:themeFill="accent1"/>
      </w:tcPr>
    </w:tblStylePr>
    <w:tblStylePr w:type="lastRow">
      <w:rPr>
        <w:b/>
        <w:bCs/>
      </w:rPr>
      <w:tblPr/>
      <w:tcPr>
        <w:tcBorders>
          <w:top w:val="double" w:sz="4" w:space="0" w:color="65C5B4" w:themeColor="accent1"/>
        </w:tcBorders>
      </w:tcPr>
    </w:tblStylePr>
    <w:tblStylePr w:type="firstCol">
      <w:rPr>
        <w:b/>
        <w:bCs/>
      </w:rPr>
    </w:tblStylePr>
    <w:tblStylePr w:type="lastCol">
      <w:rPr>
        <w:b/>
        <w:bCs/>
      </w:rPr>
    </w:tblStylePr>
    <w:tblStylePr w:type="band1Vert">
      <w:tblPr/>
      <w:tcPr>
        <w:shd w:val="clear" w:color="auto" w:fill="E0F3EF" w:themeFill="accent1" w:themeFillTint="33"/>
      </w:tcPr>
    </w:tblStylePr>
    <w:tblStylePr w:type="band1Horz">
      <w:tblPr/>
      <w:tcPr>
        <w:shd w:val="clear" w:color="auto" w:fill="E0F3EF" w:themeFill="accent1" w:themeFillTint="33"/>
      </w:tcPr>
    </w:tblStylePr>
  </w:style>
  <w:style w:type="table" w:customStyle="1" w:styleId="APPR">
    <w:name w:val="APPR"/>
    <w:basedOn w:val="TableNormal"/>
    <w:uiPriority w:val="99"/>
    <w:rsid w:val="00681633"/>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HTMLPreformatted">
    <w:name w:val="HTML Preformatted"/>
    <w:basedOn w:val="Normal"/>
    <w:link w:val="HTMLPreformattedChar"/>
    <w:uiPriority w:val="99"/>
    <w:semiHidden/>
    <w:unhideWhenUsed/>
    <w:locked/>
    <w:rsid w:val="008C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40" w:lineRule="auto"/>
    </w:pPr>
    <w:rPr>
      <w:rFonts w:ascii="Courier New" w:eastAsia="Times New Roman" w:hAnsi="Courier New" w:cs="Courier New"/>
      <w:color w:val="auto"/>
      <w:sz w:val="20"/>
      <w:szCs w:val="20"/>
      <w:lang w:val="en-AU" w:eastAsia="en-AU"/>
    </w:rPr>
  </w:style>
  <w:style w:type="character" w:customStyle="1" w:styleId="HTMLPreformattedChar">
    <w:name w:val="HTML Preformatted Char"/>
    <w:basedOn w:val="DefaultParagraphFont"/>
    <w:link w:val="HTMLPreformatted"/>
    <w:uiPriority w:val="99"/>
    <w:semiHidden/>
    <w:rsid w:val="008C1F60"/>
    <w:rPr>
      <w:rFonts w:ascii="Courier New" w:eastAsia="Times New Roman" w:hAnsi="Courier New" w:cs="Courier New"/>
      <w:sz w:val="20"/>
      <w:szCs w:val="20"/>
      <w:lang w:eastAsia="en-AU"/>
    </w:rPr>
  </w:style>
  <w:style w:type="character" w:customStyle="1" w:styleId="y2iqfc">
    <w:name w:val="y2iqfc"/>
    <w:basedOn w:val="DefaultParagraphFont"/>
    <w:rsid w:val="008C1F60"/>
  </w:style>
  <w:style w:type="character" w:styleId="UnresolvedMention">
    <w:name w:val="Unresolved Mention"/>
    <w:basedOn w:val="DefaultParagraphFont"/>
    <w:uiPriority w:val="99"/>
    <w:semiHidden/>
    <w:unhideWhenUsed/>
    <w:rsid w:val="00094275"/>
    <w:rPr>
      <w:color w:val="605E5C"/>
      <w:shd w:val="clear" w:color="auto" w:fill="E1DFDD"/>
    </w:rPr>
  </w:style>
  <w:style w:type="paragraph" w:customStyle="1" w:styleId="DFAT2bulletpoint">
    <w:name w:val="DFAT 2 bullet point"/>
    <w:basedOn w:val="ListParagraph"/>
    <w:link w:val="DFAT2bulletpointChar"/>
    <w:qFormat/>
    <w:rsid w:val="005A7364"/>
    <w:pPr>
      <w:numPr>
        <w:ilvl w:val="1"/>
        <w:numId w:val="22"/>
      </w:numPr>
      <w:spacing w:before="0" w:after="0" w:line="240" w:lineRule="auto"/>
    </w:pPr>
    <w:rPr>
      <w:color w:val="auto"/>
      <w:sz w:val="24"/>
      <w:szCs w:val="25"/>
      <w:lang w:val="en-AU"/>
    </w:rPr>
  </w:style>
  <w:style w:type="character" w:customStyle="1" w:styleId="DFAT2bulletpointChar">
    <w:name w:val="DFAT 2 bullet point Char"/>
    <w:basedOn w:val="DefaultParagraphFont"/>
    <w:link w:val="DFAT2bulletpoint"/>
    <w:rsid w:val="005A7364"/>
    <w:rPr>
      <w:sz w:val="24"/>
      <w:szCs w:val="25"/>
    </w:rPr>
  </w:style>
  <w:style w:type="paragraph" w:customStyle="1" w:styleId="DFAT3bulletpoint">
    <w:name w:val="DFAT 3 bullet point"/>
    <w:basedOn w:val="Normal"/>
    <w:qFormat/>
    <w:rsid w:val="005A7364"/>
    <w:pPr>
      <w:numPr>
        <w:ilvl w:val="2"/>
        <w:numId w:val="22"/>
      </w:numPr>
      <w:spacing w:before="0" w:after="0" w:line="240" w:lineRule="auto"/>
      <w:contextualSpacing/>
    </w:pPr>
    <w:rPr>
      <w:rFonts w:ascii="Calibri Light" w:hAnsi="Calibri Light" w:cstheme="minorHAnsi"/>
      <w:color w:val="auto"/>
      <w:sz w:val="24"/>
      <w:szCs w:val="24"/>
    </w:rPr>
  </w:style>
  <w:style w:type="paragraph" w:customStyle="1" w:styleId="AfterFirstPara">
    <w:name w:val="AfterFirstPara"/>
    <w:basedOn w:val="Normal"/>
    <w:rsid w:val="00524FDB"/>
    <w:pPr>
      <w:numPr>
        <w:numId w:val="23"/>
      </w:numPr>
      <w:suppressAutoHyphens w:val="0"/>
      <w:spacing w:after="120" w:line="240" w:lineRule="auto"/>
    </w:pPr>
    <w:rPr>
      <w:rFonts w:ascii="Times New Roman" w:eastAsia="Times New Roman" w:hAnsi="Times New Roman" w:cs="Times New Roman"/>
      <w:color w:val="auto"/>
      <w:sz w:val="24"/>
      <w:szCs w:val="24"/>
      <w:lang w:val="en-AU" w:eastAsia="zh-CN"/>
    </w:rPr>
  </w:style>
  <w:style w:type="paragraph" w:customStyle="1" w:styleId="SubHeading">
    <w:name w:val="Sub Heading"/>
    <w:basedOn w:val="Heading1smallspaceafter"/>
    <w:link w:val="SubHeadingChar"/>
    <w:qFormat/>
    <w:rsid w:val="00524FDB"/>
    <w:pPr>
      <w:suppressAutoHyphens w:val="0"/>
      <w:spacing w:before="120" w:after="120" w:line="440" w:lineRule="atLeast"/>
      <w:contextualSpacing/>
      <w:jc w:val="both"/>
    </w:pPr>
    <w:rPr>
      <w:rFonts w:ascii="Calibri" w:hAnsi="Calibri"/>
      <w:b w:val="0"/>
      <w:i/>
      <w:color w:val="auto"/>
      <w:sz w:val="25"/>
      <w:lang w:val="en-AU"/>
    </w:rPr>
  </w:style>
  <w:style w:type="character" w:customStyle="1" w:styleId="SubHeadingChar">
    <w:name w:val="Sub Heading Char"/>
    <w:basedOn w:val="DefaultParagraphFont"/>
    <w:link w:val="SubHeading"/>
    <w:rsid w:val="00524FDB"/>
    <w:rPr>
      <w:rFonts w:ascii="Calibri" w:eastAsiaTheme="majorEastAsia" w:hAnsi="Calibri" w:cstheme="majorBidi"/>
      <w:bCs/>
      <w:i/>
      <w:caps/>
      <w:sz w:val="25"/>
      <w:szCs w:val="28"/>
    </w:rPr>
  </w:style>
  <w:style w:type="paragraph" w:styleId="EndnoteText">
    <w:name w:val="endnote text"/>
    <w:basedOn w:val="Normal"/>
    <w:link w:val="EndnoteTextChar"/>
    <w:uiPriority w:val="99"/>
    <w:semiHidden/>
    <w:unhideWhenUsed/>
    <w:rsid w:val="00E461AE"/>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E461AE"/>
    <w:rPr>
      <w:color w:val="495965" w:themeColor="text2"/>
      <w:sz w:val="20"/>
      <w:szCs w:val="20"/>
      <w:lang w:val="en-GB"/>
    </w:rPr>
  </w:style>
  <w:style w:type="character" w:styleId="EndnoteReference">
    <w:name w:val="endnote reference"/>
    <w:basedOn w:val="DefaultParagraphFont"/>
    <w:uiPriority w:val="99"/>
    <w:semiHidden/>
    <w:unhideWhenUsed/>
    <w:rsid w:val="00E461AE"/>
    <w:rPr>
      <w:vertAlign w:val="superscript"/>
    </w:rPr>
  </w:style>
  <w:style w:type="paragraph" w:styleId="Revision">
    <w:name w:val="Revision"/>
    <w:hidden/>
    <w:uiPriority w:val="99"/>
    <w:semiHidden/>
    <w:rsid w:val="003D298E"/>
    <w:pPr>
      <w:spacing w:after="0" w:line="240" w:lineRule="auto"/>
    </w:pPr>
    <w:rPr>
      <w:color w:val="495965"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5653">
      <w:bodyDiv w:val="1"/>
      <w:marLeft w:val="0"/>
      <w:marRight w:val="0"/>
      <w:marTop w:val="0"/>
      <w:marBottom w:val="0"/>
      <w:divBdr>
        <w:top w:val="none" w:sz="0" w:space="0" w:color="auto"/>
        <w:left w:val="none" w:sz="0" w:space="0" w:color="auto"/>
        <w:bottom w:val="none" w:sz="0" w:space="0" w:color="auto"/>
        <w:right w:val="none" w:sz="0" w:space="0" w:color="auto"/>
      </w:divBdr>
    </w:div>
    <w:div w:id="19164271">
      <w:bodyDiv w:val="1"/>
      <w:marLeft w:val="0"/>
      <w:marRight w:val="0"/>
      <w:marTop w:val="0"/>
      <w:marBottom w:val="0"/>
      <w:divBdr>
        <w:top w:val="none" w:sz="0" w:space="0" w:color="auto"/>
        <w:left w:val="none" w:sz="0" w:space="0" w:color="auto"/>
        <w:bottom w:val="none" w:sz="0" w:space="0" w:color="auto"/>
        <w:right w:val="none" w:sz="0" w:space="0" w:color="auto"/>
      </w:divBdr>
    </w:div>
    <w:div w:id="86273484">
      <w:bodyDiv w:val="1"/>
      <w:marLeft w:val="0"/>
      <w:marRight w:val="0"/>
      <w:marTop w:val="0"/>
      <w:marBottom w:val="0"/>
      <w:divBdr>
        <w:top w:val="none" w:sz="0" w:space="0" w:color="auto"/>
        <w:left w:val="none" w:sz="0" w:space="0" w:color="auto"/>
        <w:bottom w:val="none" w:sz="0" w:space="0" w:color="auto"/>
        <w:right w:val="none" w:sz="0" w:space="0" w:color="auto"/>
      </w:divBdr>
    </w:div>
    <w:div w:id="144317823">
      <w:bodyDiv w:val="1"/>
      <w:marLeft w:val="0"/>
      <w:marRight w:val="0"/>
      <w:marTop w:val="0"/>
      <w:marBottom w:val="0"/>
      <w:divBdr>
        <w:top w:val="none" w:sz="0" w:space="0" w:color="auto"/>
        <w:left w:val="none" w:sz="0" w:space="0" w:color="auto"/>
        <w:bottom w:val="none" w:sz="0" w:space="0" w:color="auto"/>
        <w:right w:val="none" w:sz="0" w:space="0" w:color="auto"/>
      </w:divBdr>
    </w:div>
    <w:div w:id="165631863">
      <w:bodyDiv w:val="1"/>
      <w:marLeft w:val="0"/>
      <w:marRight w:val="0"/>
      <w:marTop w:val="0"/>
      <w:marBottom w:val="0"/>
      <w:divBdr>
        <w:top w:val="none" w:sz="0" w:space="0" w:color="auto"/>
        <w:left w:val="none" w:sz="0" w:space="0" w:color="auto"/>
        <w:bottom w:val="none" w:sz="0" w:space="0" w:color="auto"/>
        <w:right w:val="none" w:sz="0" w:space="0" w:color="auto"/>
      </w:divBdr>
    </w:div>
    <w:div w:id="389547165">
      <w:bodyDiv w:val="1"/>
      <w:marLeft w:val="0"/>
      <w:marRight w:val="0"/>
      <w:marTop w:val="0"/>
      <w:marBottom w:val="0"/>
      <w:divBdr>
        <w:top w:val="none" w:sz="0" w:space="0" w:color="auto"/>
        <w:left w:val="none" w:sz="0" w:space="0" w:color="auto"/>
        <w:bottom w:val="none" w:sz="0" w:space="0" w:color="auto"/>
        <w:right w:val="none" w:sz="0" w:space="0" w:color="auto"/>
      </w:divBdr>
    </w:div>
    <w:div w:id="411199858">
      <w:bodyDiv w:val="1"/>
      <w:marLeft w:val="0"/>
      <w:marRight w:val="0"/>
      <w:marTop w:val="0"/>
      <w:marBottom w:val="0"/>
      <w:divBdr>
        <w:top w:val="none" w:sz="0" w:space="0" w:color="auto"/>
        <w:left w:val="none" w:sz="0" w:space="0" w:color="auto"/>
        <w:bottom w:val="none" w:sz="0" w:space="0" w:color="auto"/>
        <w:right w:val="none" w:sz="0" w:space="0" w:color="auto"/>
      </w:divBdr>
    </w:div>
    <w:div w:id="487794111">
      <w:bodyDiv w:val="1"/>
      <w:marLeft w:val="0"/>
      <w:marRight w:val="0"/>
      <w:marTop w:val="0"/>
      <w:marBottom w:val="0"/>
      <w:divBdr>
        <w:top w:val="none" w:sz="0" w:space="0" w:color="auto"/>
        <w:left w:val="none" w:sz="0" w:space="0" w:color="auto"/>
        <w:bottom w:val="none" w:sz="0" w:space="0" w:color="auto"/>
        <w:right w:val="none" w:sz="0" w:space="0" w:color="auto"/>
      </w:divBdr>
    </w:div>
    <w:div w:id="539825327">
      <w:bodyDiv w:val="1"/>
      <w:marLeft w:val="0"/>
      <w:marRight w:val="0"/>
      <w:marTop w:val="0"/>
      <w:marBottom w:val="0"/>
      <w:divBdr>
        <w:top w:val="none" w:sz="0" w:space="0" w:color="auto"/>
        <w:left w:val="none" w:sz="0" w:space="0" w:color="auto"/>
        <w:bottom w:val="none" w:sz="0" w:space="0" w:color="auto"/>
        <w:right w:val="none" w:sz="0" w:space="0" w:color="auto"/>
      </w:divBdr>
    </w:div>
    <w:div w:id="590893339">
      <w:bodyDiv w:val="1"/>
      <w:marLeft w:val="0"/>
      <w:marRight w:val="0"/>
      <w:marTop w:val="0"/>
      <w:marBottom w:val="0"/>
      <w:divBdr>
        <w:top w:val="none" w:sz="0" w:space="0" w:color="auto"/>
        <w:left w:val="none" w:sz="0" w:space="0" w:color="auto"/>
        <w:bottom w:val="none" w:sz="0" w:space="0" w:color="auto"/>
        <w:right w:val="none" w:sz="0" w:space="0" w:color="auto"/>
      </w:divBdr>
    </w:div>
    <w:div w:id="634213456">
      <w:bodyDiv w:val="1"/>
      <w:marLeft w:val="0"/>
      <w:marRight w:val="0"/>
      <w:marTop w:val="0"/>
      <w:marBottom w:val="0"/>
      <w:divBdr>
        <w:top w:val="none" w:sz="0" w:space="0" w:color="auto"/>
        <w:left w:val="none" w:sz="0" w:space="0" w:color="auto"/>
        <w:bottom w:val="none" w:sz="0" w:space="0" w:color="auto"/>
        <w:right w:val="none" w:sz="0" w:space="0" w:color="auto"/>
      </w:divBdr>
    </w:div>
    <w:div w:id="721951533">
      <w:bodyDiv w:val="1"/>
      <w:marLeft w:val="0"/>
      <w:marRight w:val="0"/>
      <w:marTop w:val="0"/>
      <w:marBottom w:val="0"/>
      <w:divBdr>
        <w:top w:val="none" w:sz="0" w:space="0" w:color="auto"/>
        <w:left w:val="none" w:sz="0" w:space="0" w:color="auto"/>
        <w:bottom w:val="none" w:sz="0" w:space="0" w:color="auto"/>
        <w:right w:val="none" w:sz="0" w:space="0" w:color="auto"/>
      </w:divBdr>
    </w:div>
    <w:div w:id="1394888277">
      <w:bodyDiv w:val="1"/>
      <w:marLeft w:val="0"/>
      <w:marRight w:val="0"/>
      <w:marTop w:val="0"/>
      <w:marBottom w:val="0"/>
      <w:divBdr>
        <w:top w:val="none" w:sz="0" w:space="0" w:color="auto"/>
        <w:left w:val="none" w:sz="0" w:space="0" w:color="auto"/>
        <w:bottom w:val="none" w:sz="0" w:space="0" w:color="auto"/>
        <w:right w:val="none" w:sz="0" w:space="0" w:color="auto"/>
      </w:divBdr>
    </w:div>
    <w:div w:id="1436361071">
      <w:bodyDiv w:val="1"/>
      <w:marLeft w:val="0"/>
      <w:marRight w:val="0"/>
      <w:marTop w:val="0"/>
      <w:marBottom w:val="0"/>
      <w:divBdr>
        <w:top w:val="none" w:sz="0" w:space="0" w:color="auto"/>
        <w:left w:val="none" w:sz="0" w:space="0" w:color="auto"/>
        <w:bottom w:val="none" w:sz="0" w:space="0" w:color="auto"/>
        <w:right w:val="none" w:sz="0" w:space="0" w:color="auto"/>
      </w:divBdr>
    </w:div>
    <w:div w:id="1522166411">
      <w:bodyDiv w:val="1"/>
      <w:marLeft w:val="0"/>
      <w:marRight w:val="0"/>
      <w:marTop w:val="0"/>
      <w:marBottom w:val="0"/>
      <w:divBdr>
        <w:top w:val="none" w:sz="0" w:space="0" w:color="auto"/>
        <w:left w:val="none" w:sz="0" w:space="0" w:color="auto"/>
        <w:bottom w:val="none" w:sz="0" w:space="0" w:color="auto"/>
        <w:right w:val="none" w:sz="0" w:space="0" w:color="auto"/>
      </w:divBdr>
    </w:div>
    <w:div w:id="1597668219">
      <w:bodyDiv w:val="1"/>
      <w:marLeft w:val="0"/>
      <w:marRight w:val="0"/>
      <w:marTop w:val="0"/>
      <w:marBottom w:val="0"/>
      <w:divBdr>
        <w:top w:val="none" w:sz="0" w:space="0" w:color="auto"/>
        <w:left w:val="none" w:sz="0" w:space="0" w:color="auto"/>
        <w:bottom w:val="none" w:sz="0" w:space="0" w:color="auto"/>
        <w:right w:val="none" w:sz="0" w:space="0" w:color="auto"/>
      </w:divBdr>
    </w:div>
    <w:div w:id="1729306243">
      <w:bodyDiv w:val="1"/>
      <w:marLeft w:val="0"/>
      <w:marRight w:val="0"/>
      <w:marTop w:val="0"/>
      <w:marBottom w:val="0"/>
      <w:divBdr>
        <w:top w:val="none" w:sz="0" w:space="0" w:color="auto"/>
        <w:left w:val="none" w:sz="0" w:space="0" w:color="auto"/>
        <w:bottom w:val="none" w:sz="0" w:space="0" w:color="auto"/>
        <w:right w:val="none" w:sz="0" w:space="0" w:color="auto"/>
      </w:divBdr>
    </w:div>
    <w:div w:id="1864854890">
      <w:bodyDiv w:val="1"/>
      <w:marLeft w:val="0"/>
      <w:marRight w:val="0"/>
      <w:marTop w:val="0"/>
      <w:marBottom w:val="0"/>
      <w:divBdr>
        <w:top w:val="none" w:sz="0" w:space="0" w:color="auto"/>
        <w:left w:val="none" w:sz="0" w:space="0" w:color="auto"/>
        <w:bottom w:val="none" w:sz="0" w:space="0" w:color="auto"/>
        <w:right w:val="none" w:sz="0" w:space="0" w:color="auto"/>
      </w:divBdr>
    </w:div>
    <w:div w:id="189577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9D400-8AF7-4434-87B4-1127DA622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3108</Words>
  <Characters>19249</Characters>
  <Application>Microsoft Office Word</Application>
  <DocSecurity>0</DocSecurity>
  <Lines>456</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Philippines Development Program Progress Report</dc:title>
  <dc:subject/>
  <dc:creator/>
  <cp:keywords/>
  <cp:lastModifiedBy/>
  <cp:revision>1</cp:revision>
  <dcterms:created xsi:type="dcterms:W3CDTF">2021-11-24T05:20:00Z</dcterms:created>
  <dcterms:modified xsi:type="dcterms:W3CDTF">2021-11-24T05:20:00Z</dcterms:modified>
  <cp:category/>
</cp:coreProperties>
</file>