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7D07B449" w:rsidR="00FA5EFD" w:rsidRDefault="002E500A" w:rsidP="00292B8F">
      <w:pPr>
        <w:pStyle w:val="Heading1"/>
        <w:spacing w:before="120"/>
      </w:pPr>
      <w:r w:rsidRPr="002E500A">
        <w:t xml:space="preserve">2020-21 </w:t>
      </w:r>
      <w:r w:rsidR="00991F8C">
        <w:t>SAMOA</w:t>
      </w:r>
      <w:r w:rsidR="001F7F4D" w:rsidRPr="002E500A">
        <w:t xml:space="preserve"> D</w:t>
      </w:r>
      <w:r w:rsidR="00382CE7">
        <w:t>evelopment</w:t>
      </w:r>
      <w:r w:rsidR="001F7F4D" w:rsidRPr="002E500A">
        <w:t xml:space="preserve"> </w:t>
      </w:r>
      <w:r w:rsidRPr="002E500A">
        <w:t>P</w:t>
      </w:r>
      <w:r w:rsidR="00382CE7">
        <w:t xml:space="preserve">rogram </w:t>
      </w:r>
      <w:r w:rsidRPr="002E500A">
        <w:t>P</w:t>
      </w:r>
      <w:r w:rsidR="00382CE7">
        <w:t>rogress</w:t>
      </w:r>
      <w:r w:rsidRPr="002E500A">
        <w:t xml:space="preserve"> R</w:t>
      </w:r>
      <w:r w:rsidR="00382CE7">
        <w:t>eport</w:t>
      </w:r>
    </w:p>
    <w:p w14:paraId="0452E199" w14:textId="058FA7CC" w:rsidR="00E20A7C" w:rsidRPr="00E20A7C" w:rsidRDefault="000F756C" w:rsidP="00E20A7C">
      <w:r w:rsidRPr="000F756C">
        <w:rPr>
          <w:noProof/>
        </w:rPr>
        <w:drawing>
          <wp:inline distT="0" distB="0" distL="0" distR="0" wp14:anchorId="561B3FBD" wp14:editId="78033F3B">
            <wp:extent cx="6696710" cy="2667000"/>
            <wp:effectExtent l="0" t="0" r="8890" b="0"/>
            <wp:docPr id="1" name="Picture 1" descr="2020-21 Budget estimate. Total ODA $38.8 million. Bilateral program budget $27.0 million. Regional program budget $5.7 million. Global program budget $2.5 million. Other government departments budget $1.9 million. Temporary, targeted and supplementary measures $1.7 million.&#10;Our development program to Samoa contributes towards achieving the following Sustainable Development Goals: 1,3,4,5,8,9,10,13,16 and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1 Budget estimate. Total ODA $38.8 million. Bilateral program budget $27.0 million. Regional program budget $5.7 million. Global program budget $2.5 million. Other government departments budget $1.9 million. Temporary, targeted and supplementary measures $1.7 million.&#10;Our development program to Samoa contributes towards achieving the following Sustainable Development Goals: 1,3,4,5,8,9,10,13,16 and 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794"/>
                    <a:stretch/>
                  </pic:blipFill>
                  <pic:spPr bwMode="auto">
                    <a:xfrm>
                      <a:off x="0" y="0"/>
                      <a:ext cx="6696710" cy="2667000"/>
                    </a:xfrm>
                    <a:prstGeom prst="rect">
                      <a:avLst/>
                    </a:prstGeom>
                    <a:noFill/>
                    <a:ln>
                      <a:noFill/>
                    </a:ln>
                    <a:extLst>
                      <a:ext uri="{53640926-AAD7-44D8-BBD7-CCE9431645EC}">
                        <a14:shadowObscured xmlns:a14="http://schemas.microsoft.com/office/drawing/2010/main"/>
                      </a:ext>
                    </a:extLst>
                  </pic:spPr>
                </pic:pic>
              </a:graphicData>
            </a:graphic>
          </wp:inline>
        </w:drawing>
      </w:r>
    </w:p>
    <w:p w14:paraId="12F182A4" w14:textId="0555F5B1" w:rsidR="00C84C30" w:rsidRDefault="00C84C30">
      <w:pPr>
        <w:pStyle w:val="Heading2"/>
      </w:pPr>
      <w:r w:rsidRPr="00297FD1">
        <w:t xml:space="preserve">CONTEXT </w:t>
      </w:r>
    </w:p>
    <w:p w14:paraId="361955E9" w14:textId="0F4C16CD" w:rsidR="003B04A2" w:rsidRDefault="00B55CA5" w:rsidP="00D51553">
      <w:pPr>
        <w:spacing w:before="0"/>
      </w:pPr>
      <w:r w:rsidRPr="008F69BD">
        <w:rPr>
          <w:rFonts w:cstheme="minorHAnsi"/>
        </w:rPr>
        <w:t xml:space="preserve">Australia and </w:t>
      </w:r>
      <w:r>
        <w:rPr>
          <w:rFonts w:cstheme="minorHAnsi"/>
        </w:rPr>
        <w:t>Samoa</w:t>
      </w:r>
      <w:r w:rsidRPr="008F69BD">
        <w:rPr>
          <w:rFonts w:cstheme="minorHAnsi"/>
        </w:rPr>
        <w:t xml:space="preserve"> </w:t>
      </w:r>
      <w:r>
        <w:rPr>
          <w:rFonts w:cstheme="minorHAnsi"/>
        </w:rPr>
        <w:t xml:space="preserve">have an enduring cooperative political, security, </w:t>
      </w:r>
      <w:proofErr w:type="gramStart"/>
      <w:r>
        <w:rPr>
          <w:rFonts w:cstheme="minorHAnsi"/>
        </w:rPr>
        <w:t>business</w:t>
      </w:r>
      <w:proofErr w:type="gramEnd"/>
      <w:r>
        <w:rPr>
          <w:rFonts w:cstheme="minorHAnsi"/>
        </w:rPr>
        <w:t xml:space="preserve"> and people-to-people </w:t>
      </w:r>
      <w:r w:rsidR="00F55169">
        <w:rPr>
          <w:rFonts w:cstheme="minorHAnsi"/>
        </w:rPr>
        <w:t>relationship</w:t>
      </w:r>
      <w:r w:rsidR="00F63EBC">
        <w:rPr>
          <w:rFonts w:cstheme="minorHAnsi"/>
        </w:rPr>
        <w:t>.</w:t>
      </w:r>
      <w:r>
        <w:t xml:space="preserve"> </w:t>
      </w:r>
      <w:r w:rsidR="00F55169">
        <w:t>We</w:t>
      </w:r>
      <w:r w:rsidR="00920F63">
        <w:t xml:space="preserve"> </w:t>
      </w:r>
      <w:r w:rsidR="00F246EC">
        <w:t xml:space="preserve">successfully reoriented </w:t>
      </w:r>
      <w:r w:rsidR="00F55169">
        <w:t>our</w:t>
      </w:r>
      <w:r w:rsidR="00F246EC">
        <w:t xml:space="preserve"> development program to respond to COVID-19 </w:t>
      </w:r>
      <w:r w:rsidR="00F55169">
        <w:t>challenges ensuring a fo</w:t>
      </w:r>
      <w:r w:rsidR="00FF4474">
        <w:t>cus</w:t>
      </w:r>
      <w:r w:rsidR="00C54058">
        <w:t xml:space="preserve"> on the three key pillars of the </w:t>
      </w:r>
      <w:r w:rsidR="00C54058" w:rsidRPr="00FF53DB">
        <w:rPr>
          <w:i/>
          <w:iCs/>
        </w:rPr>
        <w:t>Partnerships for Recovery</w:t>
      </w:r>
      <w:r w:rsidR="00C54058">
        <w:t xml:space="preserve"> strategy. Our work in health security support</w:t>
      </w:r>
      <w:r w:rsidR="000D00D8">
        <w:t>ed</w:t>
      </w:r>
      <w:r w:rsidR="00C54058">
        <w:t xml:space="preserve"> </w:t>
      </w:r>
      <w:r w:rsidR="00FF4474">
        <w:t xml:space="preserve">improvements </w:t>
      </w:r>
      <w:r w:rsidR="00C54058">
        <w:t xml:space="preserve">to </w:t>
      </w:r>
      <w:r w:rsidR="00FF4474">
        <w:t xml:space="preserve">service delivery and </w:t>
      </w:r>
      <w:r w:rsidR="00C54058">
        <w:t>detect</w:t>
      </w:r>
      <w:r w:rsidR="00FF4474">
        <w:t>ion</w:t>
      </w:r>
      <w:r w:rsidR="00C54058">
        <w:t xml:space="preserve"> and </w:t>
      </w:r>
      <w:r w:rsidR="00FF4474">
        <w:t xml:space="preserve">disease </w:t>
      </w:r>
      <w:r w:rsidR="00C54058">
        <w:t xml:space="preserve">control </w:t>
      </w:r>
      <w:r w:rsidR="00FF4474">
        <w:t>preparation</w:t>
      </w:r>
      <w:r w:rsidR="00C54058">
        <w:t xml:space="preserve">. Our work in the stability pillar ensured Samoans still had access to key services. </w:t>
      </w:r>
      <w:r w:rsidR="009B69F7">
        <w:t>O</w:t>
      </w:r>
      <w:r w:rsidR="00C54058">
        <w:t xml:space="preserve">ur focus on economic recovery </w:t>
      </w:r>
      <w:r w:rsidR="00EC0AB8">
        <w:t>supported</w:t>
      </w:r>
      <w:r w:rsidR="00C54058">
        <w:t xml:space="preserve"> fiscal and economic policy </w:t>
      </w:r>
      <w:r w:rsidR="00AB5CEB">
        <w:t xml:space="preserve">development </w:t>
      </w:r>
      <w:r w:rsidR="00C54058">
        <w:t>to address COVID-19</w:t>
      </w:r>
      <w:r w:rsidR="00AB5CEB">
        <w:t xml:space="preserve"> and</w:t>
      </w:r>
      <w:r w:rsidR="00C54058">
        <w:t xml:space="preserve"> includ</w:t>
      </w:r>
      <w:r w:rsidR="00AB5CEB">
        <w:t>ed</w:t>
      </w:r>
      <w:r w:rsidR="00C54058">
        <w:t xml:space="preserve"> fiscal support</w:t>
      </w:r>
      <w:r w:rsidR="00AB5CEB">
        <w:t xml:space="preserve"> and provision of </w:t>
      </w:r>
      <w:r w:rsidR="00C54058">
        <w:t xml:space="preserve">livelihood and training opportunities. Through all three pillars our support in Samoa had a focus on the most vulnerable, particularly women, </w:t>
      </w:r>
      <w:proofErr w:type="gramStart"/>
      <w:r w:rsidR="00C54058">
        <w:t>girls</w:t>
      </w:r>
      <w:proofErr w:type="gramEnd"/>
      <w:r w:rsidR="00C54058">
        <w:t xml:space="preserve"> and people with disabilities</w:t>
      </w:r>
      <w:r w:rsidR="00034DFF">
        <w:t xml:space="preserve"> (PWD)</w:t>
      </w:r>
      <w:r w:rsidR="00C54058">
        <w:t xml:space="preserve">. </w:t>
      </w:r>
    </w:p>
    <w:p w14:paraId="4738B212" w14:textId="7A24E5DB" w:rsidR="003B04A2" w:rsidRDefault="006F09BC" w:rsidP="00D51553">
      <w:pPr>
        <w:spacing w:before="0"/>
      </w:pPr>
      <w:r>
        <w:t>We</w:t>
      </w:r>
      <w:r w:rsidR="00ED6FCF">
        <w:t xml:space="preserve"> delivered </w:t>
      </w:r>
      <w:r w:rsidR="00900451">
        <w:t>w</w:t>
      </w:r>
      <w:r w:rsidR="00ED6FCF">
        <w:t>hole</w:t>
      </w:r>
      <w:r w:rsidR="00900451">
        <w:t>-</w:t>
      </w:r>
      <w:r w:rsidR="00ED6FCF">
        <w:t>of</w:t>
      </w:r>
      <w:r w:rsidR="00900451">
        <w:t>-g</w:t>
      </w:r>
      <w:r w:rsidR="00ED6FCF">
        <w:t xml:space="preserve">overnment support </w:t>
      </w:r>
      <w:r w:rsidR="005E45CD">
        <w:t>in</w:t>
      </w:r>
      <w:r w:rsidR="00ED6FCF">
        <w:t xml:space="preserve"> </w:t>
      </w:r>
      <w:r w:rsidR="00AB5CEB">
        <w:t>several</w:t>
      </w:r>
      <w:r w:rsidR="00ED6FCF">
        <w:t xml:space="preserve"> </w:t>
      </w:r>
      <w:r w:rsidR="005E45CD">
        <w:t>ways,</w:t>
      </w:r>
      <w:r w:rsidR="00ED6FCF">
        <w:t xml:space="preserve"> includ</w:t>
      </w:r>
      <w:r>
        <w:t>ing</w:t>
      </w:r>
      <w:r w:rsidR="00ED6FCF">
        <w:t xml:space="preserve"> </w:t>
      </w:r>
      <w:r w:rsidR="005E45CD">
        <w:t xml:space="preserve">through </w:t>
      </w:r>
      <w:r w:rsidR="00ED6FCF">
        <w:t xml:space="preserve">government systems, </w:t>
      </w:r>
      <w:r w:rsidR="005E45CD">
        <w:t xml:space="preserve">multilateral and </w:t>
      </w:r>
      <w:r w:rsidR="00ED6FCF">
        <w:t xml:space="preserve">non-government </w:t>
      </w:r>
      <w:proofErr w:type="gramStart"/>
      <w:r w:rsidR="00ED6FCF">
        <w:t>organisations</w:t>
      </w:r>
      <w:proofErr w:type="gramEnd"/>
      <w:r w:rsidR="00ED6FCF">
        <w:t xml:space="preserve"> and managing contractors. </w:t>
      </w:r>
      <w:r w:rsidRPr="007514BF">
        <w:t>We</w:t>
      </w:r>
      <w:r w:rsidR="00ED6FCF" w:rsidRPr="000E27F8">
        <w:t xml:space="preserve"> coordinated closely with partners</w:t>
      </w:r>
      <w:r w:rsidRPr="000E27F8">
        <w:t xml:space="preserve"> like</w:t>
      </w:r>
      <w:r w:rsidR="00ED6FCF" w:rsidRPr="000E27F8">
        <w:t xml:space="preserve"> New Zealand, </w:t>
      </w:r>
      <w:r w:rsidR="00900451">
        <w:t xml:space="preserve">the </w:t>
      </w:r>
      <w:r w:rsidR="00ED6FCF" w:rsidRPr="000E27F8">
        <w:t>Asian Development Bank</w:t>
      </w:r>
      <w:r w:rsidR="009B69F7" w:rsidRPr="001D658A">
        <w:t xml:space="preserve"> (ADB)</w:t>
      </w:r>
      <w:r w:rsidR="00ED6FCF" w:rsidRPr="001D658A">
        <w:t xml:space="preserve"> and </w:t>
      </w:r>
      <w:r w:rsidR="00900451">
        <w:t xml:space="preserve">the </w:t>
      </w:r>
      <w:r w:rsidR="00ED6FCF" w:rsidRPr="001D658A">
        <w:t>World Bank</w:t>
      </w:r>
      <w:r w:rsidR="00ED6FCF" w:rsidRPr="00F757CC">
        <w:t>,</w:t>
      </w:r>
      <w:r w:rsidR="00ED6FCF">
        <w:t xml:space="preserve"> </w:t>
      </w:r>
      <w:r w:rsidR="00737463">
        <w:t>aligning</w:t>
      </w:r>
      <w:r w:rsidR="00ED6FCF">
        <w:t xml:space="preserve"> our support </w:t>
      </w:r>
      <w:r>
        <w:t>with</w:t>
      </w:r>
      <w:r w:rsidR="00ED6FCF">
        <w:t xml:space="preserve"> Government </w:t>
      </w:r>
      <w:r w:rsidR="00737463">
        <w:t xml:space="preserve">of Samoa </w:t>
      </w:r>
      <w:r w:rsidR="00ED6FCF">
        <w:t xml:space="preserve">policy. </w:t>
      </w:r>
    </w:p>
    <w:p w14:paraId="2246A542" w14:textId="25A9B917" w:rsidR="007B2203" w:rsidRDefault="00675ECA" w:rsidP="00D51553">
      <w:pPr>
        <w:pStyle w:val="Bullet1"/>
        <w:numPr>
          <w:ilvl w:val="0"/>
          <w:numId w:val="0"/>
        </w:numPr>
      </w:pPr>
      <w:r>
        <w:t xml:space="preserve">During the reporting period, </w:t>
      </w:r>
      <w:r w:rsidRPr="00B55CA5">
        <w:rPr>
          <w:b/>
          <w:bCs/>
        </w:rPr>
        <w:t xml:space="preserve">Samoa did not record any </w:t>
      </w:r>
      <w:r w:rsidR="00737463">
        <w:rPr>
          <w:b/>
          <w:bCs/>
        </w:rPr>
        <w:t xml:space="preserve">COVID-19 </w:t>
      </w:r>
      <w:r w:rsidRPr="00B55CA5">
        <w:rPr>
          <w:b/>
          <w:bCs/>
        </w:rPr>
        <w:t>community transmission</w:t>
      </w:r>
      <w:r w:rsidR="00737463">
        <w:rPr>
          <w:b/>
          <w:bCs/>
        </w:rPr>
        <w:t>,</w:t>
      </w:r>
      <w:r>
        <w:t xml:space="preserve"> mainly due to early border</w:t>
      </w:r>
      <w:r w:rsidR="00737463">
        <w:t xml:space="preserve"> closure</w:t>
      </w:r>
      <w:r>
        <w:t>,</w:t>
      </w:r>
      <w:r w:rsidR="00737463">
        <w:t xml:space="preserve"> </w:t>
      </w:r>
      <w:r w:rsidRPr="007514BF">
        <w:t>effective border and q</w:t>
      </w:r>
      <w:r w:rsidRPr="000E27F8">
        <w:t xml:space="preserve">uarantine </w:t>
      </w:r>
      <w:r w:rsidR="00EC0AB8" w:rsidRPr="000E27F8">
        <w:t>measures</w:t>
      </w:r>
      <w:r w:rsidR="00EC0AB8">
        <w:t>,</w:t>
      </w:r>
      <w:r>
        <w:t xml:space="preserve"> and </w:t>
      </w:r>
      <w:r w:rsidRPr="00572781">
        <w:t>domestic COVID-19 restrictions</w:t>
      </w:r>
      <w:r>
        <w:t xml:space="preserve">. </w:t>
      </w:r>
      <w:r w:rsidR="007B2203">
        <w:t xml:space="preserve">In July 2021, Australia shared 50,000 doses of AstraZeneca </w:t>
      </w:r>
      <w:r w:rsidR="00081EF8">
        <w:t xml:space="preserve">(and associated consumables) </w:t>
      </w:r>
      <w:r w:rsidR="007B2203">
        <w:t xml:space="preserve">from its domestic supplies. As </w:t>
      </w:r>
      <w:proofErr w:type="gramStart"/>
      <w:r w:rsidR="007B2203">
        <w:t>at</w:t>
      </w:r>
      <w:proofErr w:type="gramEnd"/>
      <w:r w:rsidR="007B2203">
        <w:t xml:space="preserve"> </w:t>
      </w:r>
      <w:r w:rsidR="00BA4A39">
        <w:t>29</w:t>
      </w:r>
      <w:r w:rsidR="007B2203">
        <w:t xml:space="preserve"> September 2021, over </w:t>
      </w:r>
      <w:r w:rsidR="00BA4A39">
        <w:t>94.</w:t>
      </w:r>
      <w:r w:rsidR="00786926">
        <w:t>5</w:t>
      </w:r>
      <w:r w:rsidR="007B2203">
        <w:t xml:space="preserve"> per cent of the eligible population had received a first dose and almost </w:t>
      </w:r>
      <w:r w:rsidR="00BA4A39">
        <w:t>5</w:t>
      </w:r>
      <w:r w:rsidR="00786926">
        <w:t>3</w:t>
      </w:r>
      <w:r w:rsidR="007B2203">
        <w:t xml:space="preserve"> per cent were fully vaccinated. </w:t>
      </w:r>
    </w:p>
    <w:p w14:paraId="3E4E70B1" w14:textId="2A9CE171" w:rsidR="00080573" w:rsidRDefault="007B2203" w:rsidP="00D51553">
      <w:pPr>
        <w:pStyle w:val="Bullet1"/>
        <w:numPr>
          <w:ilvl w:val="0"/>
          <w:numId w:val="0"/>
        </w:numPr>
        <w:rPr>
          <w:lang w:val="en-AU"/>
        </w:rPr>
      </w:pPr>
      <w:r>
        <w:t>T</w:t>
      </w:r>
      <w:r w:rsidR="00675ECA">
        <w:t xml:space="preserve">he global pandemic has significantly impacted Samoa’s economy, </w:t>
      </w:r>
      <w:r w:rsidR="00920F63">
        <w:t xml:space="preserve">primarily </w:t>
      </w:r>
      <w:r w:rsidR="00675ECA">
        <w:t xml:space="preserve">due </w:t>
      </w:r>
      <w:r w:rsidR="00ED6FCF">
        <w:t xml:space="preserve">to </w:t>
      </w:r>
      <w:r w:rsidR="00920F63">
        <w:t xml:space="preserve">a </w:t>
      </w:r>
      <w:r w:rsidR="00675ECA">
        <w:t xml:space="preserve">fall in tourism and trade. </w:t>
      </w:r>
      <w:r w:rsidR="00675ECA" w:rsidRPr="00B55CA5">
        <w:rPr>
          <w:b/>
          <w:bCs/>
        </w:rPr>
        <w:t xml:space="preserve">In 2021, Samoa’s economic </w:t>
      </w:r>
      <w:r w:rsidR="00D57F3D" w:rsidRPr="00B55CA5">
        <w:rPr>
          <w:b/>
          <w:bCs/>
        </w:rPr>
        <w:t>contraction</w:t>
      </w:r>
      <w:r w:rsidR="00675ECA" w:rsidRPr="00B55CA5">
        <w:rPr>
          <w:b/>
          <w:bCs/>
        </w:rPr>
        <w:t xml:space="preserve"> and fiscal </w:t>
      </w:r>
      <w:r w:rsidR="00D57F3D" w:rsidRPr="00B55CA5">
        <w:rPr>
          <w:b/>
          <w:bCs/>
        </w:rPr>
        <w:t>deficit</w:t>
      </w:r>
      <w:r w:rsidR="00675ECA" w:rsidRPr="00B55CA5">
        <w:rPr>
          <w:b/>
          <w:bCs/>
        </w:rPr>
        <w:t xml:space="preserve"> </w:t>
      </w:r>
      <w:r w:rsidR="00D57F3D" w:rsidRPr="00B55CA5">
        <w:rPr>
          <w:b/>
          <w:bCs/>
        </w:rPr>
        <w:t>are</w:t>
      </w:r>
      <w:r w:rsidR="00675ECA" w:rsidRPr="00B55CA5">
        <w:rPr>
          <w:b/>
          <w:bCs/>
        </w:rPr>
        <w:t xml:space="preserve"> expected to be -9.2</w:t>
      </w:r>
      <w:r w:rsidR="003C31BB" w:rsidRPr="00B55CA5">
        <w:rPr>
          <w:b/>
          <w:bCs/>
        </w:rPr>
        <w:t xml:space="preserve"> per</w:t>
      </w:r>
      <w:r w:rsidR="00C81007" w:rsidRPr="00B55CA5">
        <w:rPr>
          <w:b/>
          <w:bCs/>
        </w:rPr>
        <w:t> </w:t>
      </w:r>
      <w:r w:rsidR="003C31BB" w:rsidRPr="00B55CA5">
        <w:rPr>
          <w:b/>
          <w:bCs/>
        </w:rPr>
        <w:t xml:space="preserve">cent </w:t>
      </w:r>
      <w:r w:rsidR="00675ECA" w:rsidRPr="00B55CA5">
        <w:rPr>
          <w:b/>
          <w:bCs/>
        </w:rPr>
        <w:t>of GDP</w:t>
      </w:r>
      <w:r w:rsidR="0038643C" w:rsidRPr="00B55CA5">
        <w:rPr>
          <w:b/>
          <w:bCs/>
        </w:rPr>
        <w:t xml:space="preserve"> (A</w:t>
      </w:r>
      <w:r w:rsidR="00D27B2C">
        <w:rPr>
          <w:b/>
          <w:bCs/>
        </w:rPr>
        <w:t xml:space="preserve">DB, </w:t>
      </w:r>
      <w:proofErr w:type="spellStart"/>
      <w:r w:rsidR="00D27B2C">
        <w:rPr>
          <w:b/>
          <w:bCs/>
        </w:rPr>
        <w:t>Sep’t</w:t>
      </w:r>
      <w:proofErr w:type="spellEnd"/>
      <w:r w:rsidR="00D27B2C">
        <w:rPr>
          <w:b/>
          <w:bCs/>
        </w:rPr>
        <w:t xml:space="preserve"> </w:t>
      </w:r>
      <w:r w:rsidR="0038643C" w:rsidRPr="00B55CA5">
        <w:rPr>
          <w:b/>
          <w:bCs/>
        </w:rPr>
        <w:t xml:space="preserve">2021) </w:t>
      </w:r>
      <w:r w:rsidR="00675ECA" w:rsidRPr="00B55CA5">
        <w:rPr>
          <w:b/>
          <w:bCs/>
        </w:rPr>
        <w:t>and -3.4</w:t>
      </w:r>
      <w:r w:rsidR="003C31BB" w:rsidRPr="00B55CA5">
        <w:rPr>
          <w:b/>
          <w:bCs/>
        </w:rPr>
        <w:t xml:space="preserve"> per cent </w:t>
      </w:r>
      <w:r w:rsidR="00675ECA" w:rsidRPr="00B55CA5">
        <w:rPr>
          <w:b/>
          <w:bCs/>
        </w:rPr>
        <w:t xml:space="preserve">of GDP </w:t>
      </w:r>
      <w:r w:rsidR="0038643C" w:rsidRPr="00B55CA5">
        <w:rPr>
          <w:b/>
          <w:bCs/>
        </w:rPr>
        <w:t>(I</w:t>
      </w:r>
      <w:r w:rsidR="00275DCA" w:rsidRPr="00B55CA5">
        <w:rPr>
          <w:b/>
          <w:bCs/>
        </w:rPr>
        <w:t xml:space="preserve">nternational </w:t>
      </w:r>
      <w:r w:rsidR="0038643C" w:rsidRPr="00B55CA5">
        <w:rPr>
          <w:b/>
          <w:bCs/>
        </w:rPr>
        <w:t>M</w:t>
      </w:r>
      <w:r w:rsidR="00275DCA" w:rsidRPr="00B55CA5">
        <w:rPr>
          <w:b/>
          <w:bCs/>
        </w:rPr>
        <w:t xml:space="preserve">onetary </w:t>
      </w:r>
      <w:r w:rsidR="0038643C" w:rsidRPr="00B55CA5">
        <w:rPr>
          <w:b/>
          <w:bCs/>
        </w:rPr>
        <w:t>F</w:t>
      </w:r>
      <w:r w:rsidR="00275DCA" w:rsidRPr="00B55CA5">
        <w:rPr>
          <w:b/>
          <w:bCs/>
        </w:rPr>
        <w:t>und</w:t>
      </w:r>
      <w:r w:rsidR="00034DFF">
        <w:rPr>
          <w:b/>
          <w:bCs/>
        </w:rPr>
        <w:t xml:space="preserve"> (IMF)</w:t>
      </w:r>
      <w:r w:rsidR="00D27B2C">
        <w:rPr>
          <w:b/>
          <w:bCs/>
        </w:rPr>
        <w:t>,</w:t>
      </w:r>
      <w:r w:rsidR="005D7A99">
        <w:rPr>
          <w:b/>
          <w:bCs/>
        </w:rPr>
        <w:t xml:space="preserve"> </w:t>
      </w:r>
      <w:r w:rsidR="0038643C" w:rsidRPr="00B55CA5">
        <w:rPr>
          <w:b/>
          <w:bCs/>
        </w:rPr>
        <w:t xml:space="preserve">April 2021) </w:t>
      </w:r>
      <w:r w:rsidR="00675ECA" w:rsidRPr="00B55CA5">
        <w:rPr>
          <w:b/>
          <w:bCs/>
        </w:rPr>
        <w:t>respectively</w:t>
      </w:r>
      <w:r w:rsidR="00675ECA">
        <w:t>. P</w:t>
      </w:r>
      <w:proofErr w:type="spellStart"/>
      <w:r w:rsidR="00675ECA">
        <w:rPr>
          <w:lang w:val="en-AU"/>
        </w:rPr>
        <w:t>rior</w:t>
      </w:r>
      <w:proofErr w:type="spellEnd"/>
      <w:r w:rsidR="00675ECA">
        <w:rPr>
          <w:lang w:val="en-AU"/>
        </w:rPr>
        <w:t xml:space="preserve"> to COVID-19, Samoa’s debt levels were progressively declining, with no planned new loans. </w:t>
      </w:r>
      <w:r w:rsidR="003B04A2" w:rsidRPr="000E27F8">
        <w:rPr>
          <w:lang w:val="en-AU"/>
        </w:rPr>
        <w:t>The September 2021 national budget noted that debt levels were currently at 50</w:t>
      </w:r>
      <w:r w:rsidR="00D51553" w:rsidRPr="001D658A">
        <w:rPr>
          <w:lang w:val="en-AU"/>
        </w:rPr>
        <w:t> </w:t>
      </w:r>
      <w:r w:rsidR="00D476E3" w:rsidRPr="001D658A">
        <w:rPr>
          <w:lang w:val="en-AU"/>
        </w:rPr>
        <w:t>per</w:t>
      </w:r>
      <w:r w:rsidR="00D51553" w:rsidRPr="00F757CC">
        <w:rPr>
          <w:lang w:val="en-AU"/>
        </w:rPr>
        <w:t> </w:t>
      </w:r>
      <w:r w:rsidR="00D476E3" w:rsidRPr="00F757CC">
        <w:rPr>
          <w:lang w:val="en-AU"/>
        </w:rPr>
        <w:t>cent</w:t>
      </w:r>
      <w:r w:rsidR="003B04A2" w:rsidRPr="00F757CC">
        <w:rPr>
          <w:lang w:val="en-AU"/>
        </w:rPr>
        <w:t>.</w:t>
      </w:r>
      <w:r w:rsidR="003B04A2">
        <w:rPr>
          <w:lang w:val="en-AU"/>
        </w:rPr>
        <w:t xml:space="preserve"> </w:t>
      </w:r>
      <w:r w:rsidR="00675ECA">
        <w:rPr>
          <w:lang w:val="en-AU"/>
        </w:rPr>
        <w:t>Even so, Samoa remains at high risk of debt distress</w:t>
      </w:r>
      <w:r w:rsidR="00ED6FCF">
        <w:rPr>
          <w:lang w:val="en-AU"/>
        </w:rPr>
        <w:t xml:space="preserve"> and has taken advantage of the </w:t>
      </w:r>
      <w:r w:rsidR="00C65DFB">
        <w:rPr>
          <w:lang w:val="en-AU"/>
        </w:rPr>
        <w:t>Group of Twenty (</w:t>
      </w:r>
      <w:r w:rsidR="00ED6FCF">
        <w:rPr>
          <w:lang w:val="en-AU"/>
        </w:rPr>
        <w:t>G20</w:t>
      </w:r>
      <w:r w:rsidR="00C65DFB">
        <w:rPr>
          <w:lang w:val="en-AU"/>
        </w:rPr>
        <w:t>)</w:t>
      </w:r>
      <w:r w:rsidR="00C81007">
        <w:rPr>
          <w:lang w:val="en-AU"/>
        </w:rPr>
        <w:t> </w:t>
      </w:r>
      <w:r w:rsidR="00ED6FCF">
        <w:rPr>
          <w:lang w:val="en-AU"/>
        </w:rPr>
        <w:t xml:space="preserve">Debt Service Suspension Initiative. On the upside, </w:t>
      </w:r>
      <w:r w:rsidR="00ED6FCF" w:rsidRPr="00B55CA5">
        <w:rPr>
          <w:b/>
          <w:bCs/>
          <w:lang w:val="en-AU"/>
        </w:rPr>
        <w:t>r</w:t>
      </w:r>
      <w:r w:rsidR="00920F63" w:rsidRPr="00B55CA5">
        <w:rPr>
          <w:b/>
          <w:bCs/>
          <w:lang w:val="en-AU"/>
        </w:rPr>
        <w:t xml:space="preserve">emittances </w:t>
      </w:r>
      <w:r w:rsidR="003B04A2" w:rsidRPr="00B55CA5">
        <w:rPr>
          <w:b/>
          <w:bCs/>
          <w:lang w:val="en-AU"/>
        </w:rPr>
        <w:t>increased</w:t>
      </w:r>
      <w:r w:rsidR="003B04A2">
        <w:rPr>
          <w:lang w:val="en-AU"/>
        </w:rPr>
        <w:t xml:space="preserve"> over the </w:t>
      </w:r>
      <w:r w:rsidR="00920F63">
        <w:rPr>
          <w:lang w:val="en-AU"/>
        </w:rPr>
        <w:t>reporting period, comprising 16.8</w:t>
      </w:r>
      <w:r w:rsidR="003C31BB">
        <w:rPr>
          <w:lang w:val="en-AU"/>
        </w:rPr>
        <w:t xml:space="preserve"> per cent </w:t>
      </w:r>
      <w:r w:rsidR="00920F63">
        <w:rPr>
          <w:lang w:val="en-AU"/>
        </w:rPr>
        <w:t>of GDP</w:t>
      </w:r>
      <w:r w:rsidR="003B04A2">
        <w:rPr>
          <w:lang w:val="en-AU"/>
        </w:rPr>
        <w:t>,</w:t>
      </w:r>
      <w:r w:rsidR="00ED6FCF">
        <w:rPr>
          <w:lang w:val="en-AU"/>
        </w:rPr>
        <w:t xml:space="preserve"> and were an important </w:t>
      </w:r>
      <w:r w:rsidR="003B04A2">
        <w:rPr>
          <w:lang w:val="en-AU"/>
        </w:rPr>
        <w:t>cash injection into the economy.</w:t>
      </w:r>
    </w:p>
    <w:p w14:paraId="783B7677" w14:textId="592F0FD5" w:rsidR="00920F63" w:rsidRDefault="00080573" w:rsidP="00D51553">
      <w:pPr>
        <w:pStyle w:val="Bullet1"/>
        <w:numPr>
          <w:ilvl w:val="0"/>
          <w:numId w:val="0"/>
        </w:numPr>
        <w:rPr>
          <w:lang w:val="en-AU"/>
        </w:rPr>
      </w:pPr>
      <w:r>
        <w:rPr>
          <w:lang w:val="en-AU"/>
        </w:rPr>
        <w:t xml:space="preserve">National elections in April 2021 were followed by a four-month political impasse, due to a dispute over a constitutional requirement for at least 10 per cent of seats to be held by women. Samoa remained peaceful, while the judiciary and the police remained strong and impartial. On 23 July, the court recognised the government of </w:t>
      </w:r>
      <w:proofErr w:type="spellStart"/>
      <w:r>
        <w:rPr>
          <w:lang w:val="en-AU"/>
        </w:rPr>
        <w:t>Fiame</w:t>
      </w:r>
      <w:proofErr w:type="spellEnd"/>
      <w:r>
        <w:rPr>
          <w:lang w:val="en-AU"/>
        </w:rPr>
        <w:t xml:space="preserve"> Naomi </w:t>
      </w:r>
      <w:proofErr w:type="spellStart"/>
      <w:r>
        <w:rPr>
          <w:lang w:val="en-AU"/>
        </w:rPr>
        <w:t>Mata’afa</w:t>
      </w:r>
      <w:proofErr w:type="spellEnd"/>
      <w:r>
        <w:rPr>
          <w:lang w:val="en-AU"/>
        </w:rPr>
        <w:t>.</w:t>
      </w:r>
      <w:r w:rsidR="003B04A2">
        <w:rPr>
          <w:lang w:val="en-AU"/>
        </w:rPr>
        <w:t xml:space="preserve"> </w:t>
      </w:r>
    </w:p>
    <w:p w14:paraId="22900C6A" w14:textId="6641221E" w:rsidR="00EC608A" w:rsidRDefault="00FC1216" w:rsidP="006A2461">
      <w:pPr>
        <w:pStyle w:val="Heading2"/>
      </w:pPr>
      <w:r w:rsidRPr="00FC1216">
        <w:lastRenderedPageBreak/>
        <w:t>AUSTRALIA’S RESPONS</w:t>
      </w:r>
      <w:r w:rsidR="00193C49">
        <w:t xml:space="preserve">E </w:t>
      </w:r>
      <w:r w:rsidR="00A46B28">
        <w:t>and</w:t>
      </w:r>
      <w:r w:rsidR="00193C49">
        <w:t xml:space="preserve"> PROGRAM HIGHLIGHTS</w:t>
      </w:r>
    </w:p>
    <w:p w14:paraId="6BC6BEE0" w14:textId="3B133F9E" w:rsidR="00B55CA5" w:rsidRPr="00B55CA5" w:rsidRDefault="00080573" w:rsidP="00B55CA5">
      <w:pPr>
        <w:spacing w:before="0"/>
      </w:pPr>
      <w:r>
        <w:t xml:space="preserve">The post </w:t>
      </w:r>
      <w:r w:rsidR="00B55CA5" w:rsidRPr="00B55CA5">
        <w:t xml:space="preserve">elections political impasse, resulted in slower-than-expected progress on some program implementation in the last quarter of the reporting period, including in budget support disbursements and policy reforms. Increased pressure on government systems and capacity also resulted in delays in monitoring and evaluation reporting, limiting the evidence base on which to form assessments of progress. While technical assistance focussed programs were for the most </w:t>
      </w:r>
      <w:r w:rsidR="00B55CA5" w:rsidRPr="00E009E6">
        <w:t xml:space="preserve">part </w:t>
      </w:r>
      <w:r w:rsidR="00B55CA5" w:rsidRPr="000E647B">
        <w:t xml:space="preserve">able to successfully pivot to remote delivery where appropriate, there were still minor delays in meeting some targets. </w:t>
      </w:r>
      <w:r w:rsidR="00B55CA5" w:rsidRPr="00B55CA5">
        <w:t xml:space="preserve">A </w:t>
      </w:r>
      <w:r w:rsidR="00B55CA5" w:rsidRPr="00B55CA5">
        <w:rPr>
          <w:lang w:val="en-AU"/>
        </w:rPr>
        <w:t xml:space="preserve">redesign of the development program commenced during the reporting period, including consultation with government to ensure we have a fit for purpose program to reflect challenges of a </w:t>
      </w:r>
      <w:r w:rsidR="00616CF8">
        <w:rPr>
          <w:lang w:val="en-AU"/>
        </w:rPr>
        <w:t xml:space="preserve">world impacted by </w:t>
      </w:r>
      <w:r w:rsidR="00B55CA5" w:rsidRPr="00B55CA5">
        <w:rPr>
          <w:lang w:val="en-AU"/>
        </w:rPr>
        <w:t>COVID-19.</w:t>
      </w:r>
      <w:r w:rsidR="00B55CA5" w:rsidRPr="00E009E6">
        <w:rPr>
          <w:lang w:val="en-AU"/>
        </w:rPr>
        <w:t xml:space="preserve"> </w:t>
      </w:r>
      <w:r w:rsidR="00CE4BAF" w:rsidRPr="000E647B">
        <w:rPr>
          <w:lang w:val="en-AU"/>
        </w:rPr>
        <w:t>Several</w:t>
      </w:r>
      <w:r w:rsidR="00B55CA5" w:rsidRPr="000E647B">
        <w:rPr>
          <w:lang w:val="en-AU"/>
        </w:rPr>
        <w:t xml:space="preserve"> underperforming programs will conclude during the next reporting period.</w:t>
      </w:r>
    </w:p>
    <w:p w14:paraId="79BE876C" w14:textId="53DDC239" w:rsidR="00297FD1" w:rsidRDefault="00297FD1" w:rsidP="00D55810">
      <w:pPr>
        <w:pStyle w:val="Heading3"/>
        <w:rPr>
          <w:lang w:val="en-AU"/>
        </w:rPr>
      </w:pPr>
      <w:r w:rsidRPr="00675ECA">
        <w:rPr>
          <w:lang w:val="en-AU"/>
        </w:rPr>
        <w:t>Health Security</w:t>
      </w:r>
    </w:p>
    <w:p w14:paraId="1E1BED53" w14:textId="57087BC6" w:rsidR="00675ECA" w:rsidRDefault="00675ECA" w:rsidP="00610191">
      <w:r>
        <w:t>Australia support</w:t>
      </w:r>
      <w:r w:rsidR="001378D5">
        <w:t>ed</w:t>
      </w:r>
      <w:r>
        <w:t xml:space="preserve"> Samoa’s health sector to respond to COVID-19.</w:t>
      </w:r>
      <w:r w:rsidR="00942CCD">
        <w:t xml:space="preserve"> </w:t>
      </w:r>
      <w:bookmarkStart w:id="0" w:name="_Hlk84183856"/>
      <w:r w:rsidR="00081EF8">
        <w:t>We</w:t>
      </w:r>
      <w:r w:rsidR="000B0E87" w:rsidRPr="00B55CA5">
        <w:t xml:space="preserve"> ha</w:t>
      </w:r>
      <w:r w:rsidR="00081EF8">
        <w:t xml:space="preserve">ve </w:t>
      </w:r>
      <w:r w:rsidR="000B0E87" w:rsidRPr="00B55CA5">
        <w:t>committed $</w:t>
      </w:r>
      <w:r w:rsidR="000B0E87">
        <w:t xml:space="preserve">4.7 </w:t>
      </w:r>
      <w:r w:rsidR="000B0E87" w:rsidRPr="00B55CA5">
        <w:t>million over three years (2020-23) for COVID-19 vaccine access</w:t>
      </w:r>
      <w:r w:rsidR="000B0E87" w:rsidRPr="009F6548">
        <w:t xml:space="preserve">, including delivery support and vaccine procurement, drawing on Australia’s Regional COVID-19 Vaccine Access and Health Security Initiative (VAHSI). </w:t>
      </w:r>
      <w:r w:rsidR="000B0E87">
        <w:rPr>
          <w:rFonts w:ascii="Calibri Light" w:eastAsia="Calibri Light" w:hAnsi="Calibri Light" w:cs="Times New Roman"/>
          <w:b/>
          <w:bCs/>
          <w:color w:val="495965"/>
        </w:rPr>
        <w:t>Through VAHSI, Australia has committed to supporting Samoa and other Pacific island countries achieve comprehensive vaccine coverage</w:t>
      </w:r>
      <w:r w:rsidR="000B0E87" w:rsidRPr="00FF53DB">
        <w:rPr>
          <w:rFonts w:ascii="Calibri Light" w:eastAsia="Calibri Light" w:hAnsi="Calibri Light" w:cs="Times New Roman"/>
          <w:color w:val="495965"/>
        </w:rPr>
        <w:t>.</w:t>
      </w:r>
      <w:r w:rsidR="000B0E87">
        <w:rPr>
          <w:rFonts w:ascii="Calibri Light" w:eastAsia="Calibri Light" w:hAnsi="Calibri Light" w:cs="Times New Roman"/>
          <w:b/>
          <w:bCs/>
          <w:color w:val="495965"/>
        </w:rPr>
        <w:t xml:space="preserve"> </w:t>
      </w:r>
      <w:r w:rsidR="000B0E87" w:rsidRPr="00B55CA5">
        <w:t xml:space="preserve">This is in addition to Australia’s support </w:t>
      </w:r>
      <w:r w:rsidR="000B0E87">
        <w:t>for</w:t>
      </w:r>
      <w:r w:rsidR="000B0E87" w:rsidRPr="00B55CA5">
        <w:t xml:space="preserve"> the COVAX Advance Market Commitment totalling $130 million. A</w:t>
      </w:r>
      <w:r w:rsidR="00973775">
        <w:t xml:space="preserve">s </w:t>
      </w:r>
      <w:proofErr w:type="gramStart"/>
      <w:r w:rsidR="00973775">
        <w:t>a</w:t>
      </w:r>
      <w:r w:rsidR="000B0E87">
        <w:t>t</w:t>
      </w:r>
      <w:proofErr w:type="gramEnd"/>
      <w:r w:rsidR="000B0E87">
        <w:t xml:space="preserve"> </w:t>
      </w:r>
      <w:r w:rsidR="000B0E87" w:rsidRPr="00B55CA5">
        <w:t>30 June</w:t>
      </w:r>
      <w:r w:rsidR="005634A9">
        <w:t xml:space="preserve"> 2021</w:t>
      </w:r>
      <w:r w:rsidR="000B0E87" w:rsidRPr="00B55CA5">
        <w:t>, this global mechanism had delivered 52,800</w:t>
      </w:r>
      <w:r w:rsidR="000B0E87" w:rsidRPr="009F6548">
        <w:t xml:space="preserve"> COVID-19 vaccine doses to Samoa.</w:t>
      </w:r>
      <w:r w:rsidR="003001AE">
        <w:t xml:space="preserve"> </w:t>
      </w:r>
      <w:bookmarkEnd w:id="0"/>
      <w:r>
        <w:t xml:space="preserve">Achieving high vaccination coverage is critical to protect </w:t>
      </w:r>
      <w:r w:rsidR="00081EF8">
        <w:t xml:space="preserve">Samoa’s </w:t>
      </w:r>
      <w:r w:rsidR="005178DD">
        <w:t>citizens i</w:t>
      </w:r>
      <w:r>
        <w:t xml:space="preserve">n an outbreak and </w:t>
      </w:r>
      <w:r w:rsidR="00081EF8">
        <w:t xml:space="preserve">for </w:t>
      </w:r>
      <w:r>
        <w:t>re-opening borders</w:t>
      </w:r>
      <w:r w:rsidR="00081EF8">
        <w:t>,</w:t>
      </w:r>
      <w:r>
        <w:t xml:space="preserve"> which is important for economic recovery.</w:t>
      </w:r>
    </w:p>
    <w:p w14:paraId="43A0DB30" w14:textId="2AF85836" w:rsidR="00675ECA" w:rsidRDefault="00675ECA" w:rsidP="0020778F">
      <w:pPr>
        <w:spacing w:before="0"/>
      </w:pPr>
      <w:r w:rsidRPr="00B55CA5">
        <w:rPr>
          <w:b/>
          <w:bCs/>
        </w:rPr>
        <w:t xml:space="preserve">Through </w:t>
      </w:r>
      <w:r w:rsidR="00B55CA5">
        <w:rPr>
          <w:b/>
          <w:bCs/>
        </w:rPr>
        <w:t>VAHSI</w:t>
      </w:r>
      <w:r>
        <w:t xml:space="preserve"> and the bilateral program, </w:t>
      </w:r>
      <w:r w:rsidR="000D00D8" w:rsidRPr="007514BF">
        <w:t xml:space="preserve">Australia </w:t>
      </w:r>
      <w:r w:rsidRPr="007514BF">
        <w:t xml:space="preserve">supported significant </w:t>
      </w:r>
      <w:r w:rsidRPr="00572781">
        <w:t>improvements in Samoa’s health information system</w:t>
      </w:r>
      <w:r w:rsidRPr="00942CCD">
        <w:t>.</w:t>
      </w:r>
      <w:r>
        <w:t xml:space="preserve"> </w:t>
      </w:r>
      <w:r w:rsidR="007B465C">
        <w:t xml:space="preserve">This </w:t>
      </w:r>
      <w:r w:rsidR="007B465C" w:rsidRPr="00B55CA5">
        <w:rPr>
          <w:b/>
          <w:bCs/>
        </w:rPr>
        <w:t>included</w:t>
      </w:r>
      <w:r w:rsidRPr="00B55CA5">
        <w:rPr>
          <w:b/>
          <w:bCs/>
        </w:rPr>
        <w:t xml:space="preserve"> rollout</w:t>
      </w:r>
      <w:r w:rsidR="007B465C" w:rsidRPr="00B55CA5">
        <w:rPr>
          <w:b/>
          <w:bCs/>
        </w:rPr>
        <w:t xml:space="preserve"> of</w:t>
      </w:r>
      <w:r w:rsidRPr="00B55CA5">
        <w:rPr>
          <w:b/>
          <w:bCs/>
        </w:rPr>
        <w:t xml:space="preserve"> Tupaia (a data aggregation and visualisation tool) and Tamanu (a patient-level electronic medical record)</w:t>
      </w:r>
      <w:r>
        <w:t>. Tupaia is being used to track COVID-19 vaccine coverage across the country</w:t>
      </w:r>
      <w:r w:rsidR="00D976A0">
        <w:t xml:space="preserve"> and d</w:t>
      </w:r>
      <w:r>
        <w:t>igitis</w:t>
      </w:r>
      <w:r w:rsidR="00D976A0">
        <w:t xml:space="preserve">e </w:t>
      </w:r>
      <w:r>
        <w:t xml:space="preserve">the national quarantine system and has the capacity to identify disease hotspots. Registration of COVID-19 vaccines is </w:t>
      </w:r>
      <w:r w:rsidR="00D976A0">
        <w:t>more efficient and accurate with</w:t>
      </w:r>
      <w:r>
        <w:t xml:space="preserve"> Tamanu. </w:t>
      </w:r>
      <w:r w:rsidRPr="00B55CA5">
        <w:t>Both systems have broader applicability</w:t>
      </w:r>
      <w:r w:rsidR="00DE593D">
        <w:t xml:space="preserve">: </w:t>
      </w:r>
      <w:r>
        <w:t>Tamanu will be used for registering other immunisations and noncommunicable disease screening and Tupaia can track other public health issues.</w:t>
      </w:r>
    </w:p>
    <w:p w14:paraId="361E5E4C" w14:textId="47E86813" w:rsidR="003A01C0" w:rsidRDefault="00675ECA" w:rsidP="0020778F">
      <w:pPr>
        <w:spacing w:before="0"/>
        <w:rPr>
          <w:lang w:val="en-AU"/>
        </w:rPr>
      </w:pPr>
      <w:r>
        <w:t>Our programs have als</w:t>
      </w:r>
      <w:r w:rsidRPr="007514BF">
        <w:t xml:space="preserve">o focused on other critical health needs. </w:t>
      </w:r>
      <w:r w:rsidR="00FE7C89">
        <w:t>T</w:t>
      </w:r>
      <w:r w:rsidRPr="007514BF">
        <w:t xml:space="preserve">he </w:t>
      </w:r>
      <w:r w:rsidRPr="00FF53DB">
        <w:t>Impact Project: Catalysing Sexual and Reproductive Health and Rights</w:t>
      </w:r>
      <w:r w:rsidRPr="000E27F8">
        <w:t xml:space="preserve"> has </w:t>
      </w:r>
      <w:r w:rsidRPr="00B55CA5">
        <w:rPr>
          <w:b/>
          <w:bCs/>
        </w:rPr>
        <w:t xml:space="preserve">supported access to sexual and reproductive health and rights </w:t>
      </w:r>
      <w:r w:rsidR="00915424" w:rsidRPr="00B55CA5">
        <w:rPr>
          <w:b/>
          <w:bCs/>
        </w:rPr>
        <w:t xml:space="preserve">(SRHR) </w:t>
      </w:r>
      <w:r w:rsidRPr="00B55CA5">
        <w:rPr>
          <w:b/>
          <w:bCs/>
        </w:rPr>
        <w:t>services for over 10,000</w:t>
      </w:r>
      <w:r w:rsidR="00C81007" w:rsidRPr="00B55CA5">
        <w:rPr>
          <w:b/>
          <w:bCs/>
        </w:rPr>
        <w:t> </w:t>
      </w:r>
      <w:r w:rsidRPr="00B55CA5">
        <w:rPr>
          <w:b/>
          <w:bCs/>
        </w:rPr>
        <w:t>clients</w:t>
      </w:r>
      <w:r>
        <w:t>. This include</w:t>
      </w:r>
      <w:r w:rsidR="000D00D8">
        <w:t>d</w:t>
      </w:r>
      <w:r>
        <w:t xml:space="preserve"> 7,355 women and 2,736 young people under 24.</w:t>
      </w:r>
      <w:r w:rsidR="008B3FC5">
        <w:t xml:space="preserve"> </w:t>
      </w:r>
      <w:r w:rsidR="003A01C0" w:rsidRPr="003A01C0">
        <w:rPr>
          <w:lang w:val="en-AU"/>
        </w:rPr>
        <w:t>Through a budget support c</w:t>
      </w:r>
      <w:r w:rsidR="003A01C0">
        <w:rPr>
          <w:lang w:val="en-AU"/>
        </w:rPr>
        <w:t>ontribution, Australia provided wage support to nurses and midwives, to support increased p</w:t>
      </w:r>
      <w:r w:rsidR="003A01C0" w:rsidRPr="003A01C0">
        <w:rPr>
          <w:lang w:val="en-AU"/>
        </w:rPr>
        <w:t xml:space="preserve">rimary </w:t>
      </w:r>
      <w:r w:rsidR="003A01C0">
        <w:rPr>
          <w:lang w:val="en-AU"/>
        </w:rPr>
        <w:t>h</w:t>
      </w:r>
      <w:r w:rsidR="003A01C0" w:rsidRPr="003A01C0">
        <w:rPr>
          <w:lang w:val="en-AU"/>
        </w:rPr>
        <w:t xml:space="preserve">ealth </w:t>
      </w:r>
      <w:r w:rsidR="003A01C0">
        <w:rPr>
          <w:lang w:val="en-AU"/>
        </w:rPr>
        <w:t>c</w:t>
      </w:r>
      <w:r w:rsidR="003A01C0" w:rsidRPr="003A01C0">
        <w:rPr>
          <w:lang w:val="en-AU"/>
        </w:rPr>
        <w:t xml:space="preserve">are </w:t>
      </w:r>
      <w:r w:rsidR="003A01C0">
        <w:rPr>
          <w:lang w:val="en-AU"/>
        </w:rPr>
        <w:t>and</w:t>
      </w:r>
      <w:r w:rsidR="003A01C0" w:rsidRPr="003A01C0">
        <w:rPr>
          <w:lang w:val="en-AU"/>
        </w:rPr>
        <w:t xml:space="preserve"> </w:t>
      </w:r>
      <w:r w:rsidR="003A01C0">
        <w:rPr>
          <w:lang w:val="en-AU"/>
        </w:rPr>
        <w:t>o</w:t>
      </w:r>
      <w:r w:rsidR="003A01C0" w:rsidRPr="003A01C0">
        <w:rPr>
          <w:lang w:val="en-AU"/>
        </w:rPr>
        <w:t xml:space="preserve">utreach </w:t>
      </w:r>
      <w:r w:rsidR="003A01C0">
        <w:rPr>
          <w:lang w:val="en-AU"/>
        </w:rPr>
        <w:t>s</w:t>
      </w:r>
      <w:r w:rsidR="003A01C0" w:rsidRPr="003A01C0">
        <w:rPr>
          <w:lang w:val="en-AU"/>
        </w:rPr>
        <w:t>ervices</w:t>
      </w:r>
      <w:r w:rsidR="003A01C0">
        <w:rPr>
          <w:lang w:val="en-AU"/>
        </w:rPr>
        <w:t xml:space="preserve">. This was at both the main </w:t>
      </w:r>
      <w:proofErr w:type="spellStart"/>
      <w:r w:rsidR="003A01C0" w:rsidRPr="003A01C0">
        <w:rPr>
          <w:lang w:val="en-AU"/>
        </w:rPr>
        <w:t>Tupua</w:t>
      </w:r>
      <w:proofErr w:type="spellEnd"/>
      <w:r w:rsidR="003A01C0" w:rsidRPr="003A01C0">
        <w:rPr>
          <w:lang w:val="en-AU"/>
        </w:rPr>
        <w:t xml:space="preserve"> </w:t>
      </w:r>
      <w:proofErr w:type="spellStart"/>
      <w:r w:rsidR="003A01C0" w:rsidRPr="003A01C0">
        <w:rPr>
          <w:lang w:val="en-AU"/>
        </w:rPr>
        <w:t>Tamasese</w:t>
      </w:r>
      <w:proofErr w:type="spellEnd"/>
      <w:r w:rsidR="003A01C0" w:rsidRPr="003A01C0">
        <w:rPr>
          <w:lang w:val="en-AU"/>
        </w:rPr>
        <w:t xml:space="preserve"> </w:t>
      </w:r>
      <w:proofErr w:type="spellStart"/>
      <w:r w:rsidR="003A01C0" w:rsidRPr="003A01C0">
        <w:rPr>
          <w:lang w:val="en-AU"/>
        </w:rPr>
        <w:t>Meaole</w:t>
      </w:r>
      <w:proofErr w:type="spellEnd"/>
      <w:r w:rsidR="003A01C0">
        <w:rPr>
          <w:lang w:val="en-AU"/>
        </w:rPr>
        <w:t xml:space="preserve"> Hospital in Apia, as well as in district hospitals and clinics. </w:t>
      </w:r>
    </w:p>
    <w:p w14:paraId="64EDFAD8" w14:textId="4F6533DA" w:rsidR="003A01C0" w:rsidRDefault="003A01C0" w:rsidP="0020778F">
      <w:pPr>
        <w:spacing w:before="0"/>
        <w:rPr>
          <w:lang w:val="en-AU"/>
        </w:rPr>
      </w:pPr>
      <w:r w:rsidRPr="007514BF">
        <w:rPr>
          <w:lang w:val="en-AU"/>
        </w:rPr>
        <w:t xml:space="preserve">Through the </w:t>
      </w:r>
      <w:r w:rsidRPr="00FF53DB">
        <w:rPr>
          <w:lang w:val="en-AU"/>
        </w:rPr>
        <w:t>Australia Assists</w:t>
      </w:r>
      <w:r w:rsidRPr="007514BF">
        <w:rPr>
          <w:lang w:val="en-AU"/>
        </w:rPr>
        <w:t xml:space="preserve"> program,</w:t>
      </w:r>
      <w:r w:rsidRPr="00B55CA5">
        <w:rPr>
          <w:b/>
          <w:bCs/>
          <w:lang w:val="en-AU"/>
        </w:rPr>
        <w:t xml:space="preserve"> </w:t>
      </w:r>
      <w:r w:rsidR="00C47F76" w:rsidRPr="00B55CA5">
        <w:rPr>
          <w:b/>
          <w:bCs/>
          <w:lang w:val="en-AU"/>
        </w:rPr>
        <w:t>Australia</w:t>
      </w:r>
      <w:r w:rsidRPr="00B55CA5">
        <w:rPr>
          <w:b/>
          <w:bCs/>
          <w:lang w:val="en-AU"/>
        </w:rPr>
        <w:t xml:space="preserve"> deployed personnel</w:t>
      </w:r>
      <w:r w:rsidR="00690E07">
        <w:rPr>
          <w:b/>
          <w:bCs/>
          <w:lang w:val="en-AU"/>
        </w:rPr>
        <w:t xml:space="preserve"> in the reporting period</w:t>
      </w:r>
      <w:r w:rsidRPr="00B55CA5">
        <w:rPr>
          <w:b/>
          <w:bCs/>
          <w:lang w:val="en-AU"/>
        </w:rPr>
        <w:t xml:space="preserve"> to </w:t>
      </w:r>
      <w:r w:rsidR="00C47F76" w:rsidRPr="00B55CA5">
        <w:rPr>
          <w:b/>
          <w:bCs/>
          <w:lang w:val="en-AU"/>
        </w:rPr>
        <w:t>support the development of the Government of Samoa’s integrated National Disaster Management Plan</w:t>
      </w:r>
      <w:r w:rsidR="00C47F76">
        <w:rPr>
          <w:lang w:val="en-AU"/>
        </w:rPr>
        <w:t xml:space="preserve">, a key preparedness activity for both a COVID-19 outbreak as well as a natural disaster. This also included assistance in developing a system to provide updates on key COVID-19 statistics and trends, including </w:t>
      </w:r>
      <w:r w:rsidR="00315184">
        <w:rPr>
          <w:lang w:val="en-AU"/>
        </w:rPr>
        <w:t>active</w:t>
      </w:r>
      <w:r w:rsidR="00C47F76">
        <w:rPr>
          <w:lang w:val="en-AU"/>
        </w:rPr>
        <w:t xml:space="preserve"> cases, test</w:t>
      </w:r>
      <w:r w:rsidR="000D00D8">
        <w:rPr>
          <w:lang w:val="en-AU"/>
        </w:rPr>
        <w:t>s</w:t>
      </w:r>
      <w:r w:rsidR="00C47F76">
        <w:rPr>
          <w:lang w:val="en-AU"/>
        </w:rPr>
        <w:t xml:space="preserve"> </w:t>
      </w:r>
      <w:r w:rsidR="00714D7F">
        <w:rPr>
          <w:lang w:val="en-AU"/>
        </w:rPr>
        <w:t>conducted,</w:t>
      </w:r>
      <w:r w:rsidR="00C47F76">
        <w:rPr>
          <w:lang w:val="en-AU"/>
        </w:rPr>
        <w:t xml:space="preserve"> and vaccinations administered. </w:t>
      </w:r>
      <w:r w:rsidR="00D5347A">
        <w:rPr>
          <w:lang w:val="en-AU"/>
        </w:rPr>
        <w:t xml:space="preserve">Through an Australian funded </w:t>
      </w:r>
      <w:r w:rsidR="005634A9">
        <w:rPr>
          <w:lang w:val="en-AU"/>
        </w:rPr>
        <w:t>p</w:t>
      </w:r>
      <w:r w:rsidR="00D5347A">
        <w:rPr>
          <w:lang w:val="en-AU"/>
        </w:rPr>
        <w:t xml:space="preserve">ublic </w:t>
      </w:r>
      <w:r w:rsidR="005634A9">
        <w:rPr>
          <w:lang w:val="en-AU"/>
        </w:rPr>
        <w:t>h</w:t>
      </w:r>
      <w:r w:rsidR="00D5347A">
        <w:rPr>
          <w:lang w:val="en-AU"/>
        </w:rPr>
        <w:t>ealth physician, quarantine management protocols were developed. Training was also conducted in quarantine management</w:t>
      </w:r>
      <w:r w:rsidR="004D2C46">
        <w:rPr>
          <w:lang w:val="en-AU"/>
        </w:rPr>
        <w:t xml:space="preserve"> and </w:t>
      </w:r>
      <w:r w:rsidR="00D5347A">
        <w:rPr>
          <w:lang w:val="en-AU"/>
        </w:rPr>
        <w:t xml:space="preserve">use of </w:t>
      </w:r>
      <w:r w:rsidR="005634A9">
        <w:rPr>
          <w:lang w:val="en-AU"/>
        </w:rPr>
        <w:t>p</w:t>
      </w:r>
      <w:r w:rsidR="00D5347A">
        <w:rPr>
          <w:lang w:val="en-AU"/>
        </w:rPr>
        <w:t xml:space="preserve">ersonal </w:t>
      </w:r>
      <w:r w:rsidR="005634A9">
        <w:rPr>
          <w:lang w:val="en-AU"/>
        </w:rPr>
        <w:t>p</w:t>
      </w:r>
      <w:r w:rsidR="00D5347A">
        <w:rPr>
          <w:lang w:val="en-AU"/>
        </w:rPr>
        <w:t xml:space="preserve">rotective </w:t>
      </w:r>
      <w:r w:rsidR="005634A9">
        <w:rPr>
          <w:lang w:val="en-AU"/>
        </w:rPr>
        <w:t>e</w:t>
      </w:r>
      <w:r w:rsidR="00D5347A">
        <w:rPr>
          <w:lang w:val="en-AU"/>
        </w:rPr>
        <w:t>quipment (PPE).</w:t>
      </w:r>
    </w:p>
    <w:p w14:paraId="1D48D073" w14:textId="70161B82" w:rsidR="00297FD1" w:rsidRPr="003A01C0" w:rsidRDefault="00297FD1" w:rsidP="00D55810">
      <w:pPr>
        <w:pStyle w:val="Heading3"/>
        <w:rPr>
          <w:lang w:val="en-AU"/>
        </w:rPr>
      </w:pPr>
      <w:r w:rsidRPr="003A01C0">
        <w:rPr>
          <w:lang w:val="en-AU"/>
        </w:rPr>
        <w:t>Stability</w:t>
      </w:r>
    </w:p>
    <w:p w14:paraId="6AB078BE" w14:textId="3227A202" w:rsidR="004A113E" w:rsidRDefault="004A113E" w:rsidP="0020778F">
      <w:pPr>
        <w:spacing w:before="0"/>
      </w:pPr>
      <w:r w:rsidRPr="007514BF">
        <w:t>Australia increased support to women and girls, with a particular focus on</w:t>
      </w:r>
      <w:r w:rsidRPr="00B55CA5">
        <w:rPr>
          <w:b/>
          <w:bCs/>
        </w:rPr>
        <w:t xml:space="preserve"> </w:t>
      </w:r>
      <w:r w:rsidRPr="00B55CA5">
        <w:t>gender-based violence (GBV).</w:t>
      </w:r>
      <w:r>
        <w:t xml:space="preserve"> </w:t>
      </w:r>
      <w:r w:rsidR="00FE7C89">
        <w:rPr>
          <w:b/>
          <w:bCs/>
        </w:rPr>
        <w:t>A</w:t>
      </w:r>
      <w:r w:rsidRPr="00B55CA5">
        <w:rPr>
          <w:b/>
          <w:bCs/>
        </w:rPr>
        <w:t>wareness initiatives and workshops were rolled out in 243 villages across Samoa, reaching 13,038 participants</w:t>
      </w:r>
      <w:r>
        <w:t xml:space="preserve"> and reinforced the role of women’s councils in village governance. This activity was further assisted through the production of an interagency services guide</w:t>
      </w:r>
      <w:r w:rsidR="005634A9">
        <w:t>,</w:t>
      </w:r>
      <w:r>
        <w:t xml:space="preserve"> which supported greater awareness and coordination of available counselling and support services for vulnerable people, both within </w:t>
      </w:r>
      <w:r w:rsidR="005634A9">
        <w:t>g</w:t>
      </w:r>
      <w:r>
        <w:t xml:space="preserve">overnment and non-government organisations. </w:t>
      </w:r>
    </w:p>
    <w:p w14:paraId="7C3CFFF7" w14:textId="71A9B85F" w:rsidR="004A113E" w:rsidRPr="000B3973" w:rsidRDefault="00610191" w:rsidP="0020778F">
      <w:pPr>
        <w:spacing w:before="0"/>
        <w:rPr>
          <w:lang w:val="en-AU"/>
        </w:rPr>
      </w:pPr>
      <w:r w:rsidRPr="00610191">
        <w:rPr>
          <w:lang w:val="en-AU"/>
        </w:rPr>
        <w:t>Impacts of the measles outbreak in 2019</w:t>
      </w:r>
      <w:r w:rsidR="008B5688">
        <w:rPr>
          <w:lang w:val="en-AU"/>
        </w:rPr>
        <w:t xml:space="preserve"> and </w:t>
      </w:r>
      <w:r w:rsidRPr="00610191">
        <w:rPr>
          <w:lang w:val="en-AU"/>
        </w:rPr>
        <w:t>COVID-19 in 2020</w:t>
      </w:r>
      <w:r w:rsidR="006B7F80">
        <w:rPr>
          <w:lang w:val="en-AU"/>
        </w:rPr>
        <w:t xml:space="preserve">, and capacity constraints within the </w:t>
      </w:r>
      <w:r w:rsidR="008B5688">
        <w:rPr>
          <w:lang w:val="en-AU"/>
        </w:rPr>
        <w:t xml:space="preserve">counterpart </w:t>
      </w:r>
      <w:r w:rsidR="006B7F80">
        <w:rPr>
          <w:lang w:val="en-AU"/>
        </w:rPr>
        <w:t>Ministry</w:t>
      </w:r>
      <w:r w:rsidR="008B5688">
        <w:rPr>
          <w:lang w:val="en-AU"/>
        </w:rPr>
        <w:t xml:space="preserve">, </w:t>
      </w:r>
      <w:r w:rsidRPr="00610191">
        <w:rPr>
          <w:lang w:val="en-AU"/>
        </w:rPr>
        <w:t xml:space="preserve">resulted in the delayed implementation of </w:t>
      </w:r>
      <w:r>
        <w:rPr>
          <w:lang w:val="en-AU"/>
        </w:rPr>
        <w:t xml:space="preserve">the </w:t>
      </w:r>
      <w:r>
        <w:rPr>
          <w:lang w:eastAsia="en-AU"/>
        </w:rPr>
        <w:t xml:space="preserve">Samoa Disability Partnership Program by the Government of Samoa. Despite </w:t>
      </w:r>
      <w:r w:rsidR="002D24D8">
        <w:rPr>
          <w:lang w:eastAsia="en-AU"/>
        </w:rPr>
        <w:t>this</w:t>
      </w:r>
      <w:r>
        <w:rPr>
          <w:lang w:eastAsia="en-AU"/>
        </w:rPr>
        <w:t xml:space="preserve">, </w:t>
      </w:r>
      <w:r>
        <w:t>w</w:t>
      </w:r>
      <w:r w:rsidR="007B465C">
        <w:t xml:space="preserve">ith </w:t>
      </w:r>
      <w:r w:rsidR="004A113E">
        <w:t>Australian support</w:t>
      </w:r>
      <w:r w:rsidR="005634A9">
        <w:t>,</w:t>
      </w:r>
      <w:r w:rsidR="004A113E">
        <w:t xml:space="preserve"> </w:t>
      </w:r>
      <w:r w:rsidR="004540EE">
        <w:t xml:space="preserve">Samoa </w:t>
      </w:r>
      <w:r w:rsidR="007B465C">
        <w:t>made</w:t>
      </w:r>
      <w:r w:rsidR="004540EE">
        <w:t xml:space="preserve"> good </w:t>
      </w:r>
      <w:r w:rsidR="004A113E">
        <w:t>gains for th</w:t>
      </w:r>
      <w:r w:rsidR="004540EE">
        <w:t>e</w:t>
      </w:r>
      <w:r w:rsidR="004A113E">
        <w:t xml:space="preserve"> most vulnerable. Through the Minist</w:t>
      </w:r>
      <w:r w:rsidR="000D00D8">
        <w:t>ry</w:t>
      </w:r>
      <w:r w:rsidR="004A113E">
        <w:t xml:space="preserve"> of Women, Social and Community Development, </w:t>
      </w:r>
      <w:r w:rsidR="00F16445">
        <w:t>we</w:t>
      </w:r>
      <w:r w:rsidR="004A113E">
        <w:t xml:space="preserve"> supported </w:t>
      </w:r>
      <w:proofErr w:type="spellStart"/>
      <w:r w:rsidR="000D00D8">
        <w:t>Nuanua</w:t>
      </w:r>
      <w:proofErr w:type="spellEnd"/>
      <w:r w:rsidR="000D00D8">
        <w:t xml:space="preserve"> O Le </w:t>
      </w:r>
      <w:proofErr w:type="spellStart"/>
      <w:r w:rsidR="000D00D8">
        <w:t>Alofa</w:t>
      </w:r>
      <w:proofErr w:type="spellEnd"/>
      <w:r w:rsidR="004A113E">
        <w:t>, Samoa</w:t>
      </w:r>
      <w:r w:rsidR="00714D7F">
        <w:t>’s</w:t>
      </w:r>
      <w:r w:rsidR="004A113E">
        <w:t xml:space="preserve"> national disability advocacy organisation, to ensure COVID-19 response plans were inclusive</w:t>
      </w:r>
      <w:r w:rsidR="000B3973">
        <w:t xml:space="preserve">. </w:t>
      </w:r>
      <w:r w:rsidR="00714D7F">
        <w:t>This initiative also support</w:t>
      </w:r>
      <w:r w:rsidR="00AD238E">
        <w:t>ed</w:t>
      </w:r>
      <w:r w:rsidR="00714D7F">
        <w:t xml:space="preserve"> the </w:t>
      </w:r>
      <w:r w:rsidR="004A113E">
        <w:t xml:space="preserve">Ministry of Health to </w:t>
      </w:r>
      <w:r w:rsidR="004A113E">
        <w:lastRenderedPageBreak/>
        <w:t xml:space="preserve">include sign language </w:t>
      </w:r>
      <w:r w:rsidR="004A113E" w:rsidRPr="00315184">
        <w:t xml:space="preserve">interpreters in </w:t>
      </w:r>
      <w:r w:rsidR="004A113E">
        <w:t xml:space="preserve">media and television campaigns. </w:t>
      </w:r>
      <w:r w:rsidR="00690E07">
        <w:t>In the reporting period, f</w:t>
      </w:r>
      <w:r w:rsidR="004A113E" w:rsidRPr="007514BF">
        <w:t xml:space="preserve">unding through </w:t>
      </w:r>
      <w:r w:rsidR="004A113E" w:rsidRPr="000E647B">
        <w:rPr>
          <w:b/>
          <w:bCs/>
        </w:rPr>
        <w:t xml:space="preserve">the </w:t>
      </w:r>
      <w:r w:rsidR="004A113E" w:rsidRPr="00FF53DB">
        <w:rPr>
          <w:b/>
          <w:bCs/>
        </w:rPr>
        <w:t>Australian Humanitarian Partnership</w:t>
      </w:r>
      <w:r w:rsidR="004A113E" w:rsidRPr="000E647B">
        <w:rPr>
          <w:b/>
          <w:bCs/>
        </w:rPr>
        <w:t xml:space="preserve"> program ensured that around 750 </w:t>
      </w:r>
      <w:r w:rsidR="005D2935">
        <w:rPr>
          <w:b/>
          <w:bCs/>
        </w:rPr>
        <w:t>people</w:t>
      </w:r>
      <w:r w:rsidR="005D2935" w:rsidRPr="000E647B">
        <w:rPr>
          <w:b/>
          <w:bCs/>
        </w:rPr>
        <w:t xml:space="preserve"> </w:t>
      </w:r>
      <w:r w:rsidR="004A113E" w:rsidRPr="000E647B">
        <w:rPr>
          <w:b/>
          <w:bCs/>
        </w:rPr>
        <w:t>with disabilities received food supplies and hygiene products</w:t>
      </w:r>
      <w:r w:rsidR="005634A9">
        <w:t>.</w:t>
      </w:r>
      <w:r w:rsidR="00714D7F">
        <w:t xml:space="preserve"> </w:t>
      </w:r>
      <w:r w:rsidR="005634A9">
        <w:t>F</w:t>
      </w:r>
      <w:r w:rsidR="00714D7F">
        <w:t xml:space="preserve">ood </w:t>
      </w:r>
      <w:r w:rsidR="004A113E">
        <w:t xml:space="preserve">security was further supported through the </w:t>
      </w:r>
      <w:r w:rsidR="004A113E" w:rsidRPr="00FF53DB">
        <w:t xml:space="preserve">PHAMA </w:t>
      </w:r>
      <w:r w:rsidR="009A3E9A" w:rsidRPr="00FF53DB">
        <w:t>P</w:t>
      </w:r>
      <w:r w:rsidR="004A113E" w:rsidRPr="00FF53DB">
        <w:t>lus</w:t>
      </w:r>
      <w:r w:rsidR="004A113E">
        <w:t xml:space="preserve"> program, which provided 327 farmer households with </w:t>
      </w:r>
      <w:r w:rsidR="005634A9">
        <w:t>t</w:t>
      </w:r>
      <w:r w:rsidR="004A113E">
        <w:t>aro plants.</w:t>
      </w:r>
    </w:p>
    <w:p w14:paraId="478C1E28" w14:textId="1712FC97" w:rsidR="00675ECA" w:rsidRDefault="00675ECA" w:rsidP="0020778F">
      <w:pPr>
        <w:spacing w:before="0"/>
      </w:pPr>
      <w:r w:rsidRPr="00572781">
        <w:t>Australia work</w:t>
      </w:r>
      <w:r w:rsidR="00714D7F" w:rsidRPr="00572781">
        <w:t>ed</w:t>
      </w:r>
      <w:r w:rsidRPr="00942CCD">
        <w:t xml:space="preserve"> in partnership with New Zealand to improve participation in</w:t>
      </w:r>
      <w:r w:rsidR="00AD79CB" w:rsidRPr="00942CCD">
        <w:t>,</w:t>
      </w:r>
      <w:r w:rsidRPr="00942CCD">
        <w:t xml:space="preserve"> and the quality of</w:t>
      </w:r>
      <w:r w:rsidR="00AD79CB" w:rsidRPr="00942CCD">
        <w:t>,</w:t>
      </w:r>
      <w:r w:rsidRPr="00942CCD">
        <w:t xml:space="preserve"> education</w:t>
      </w:r>
      <w:r w:rsidR="004862A2">
        <w:t xml:space="preserve"> in Samoa</w:t>
      </w:r>
      <w:r>
        <w:t xml:space="preserve">. Despite disruptions to the school year in </w:t>
      </w:r>
      <w:r w:rsidR="005634A9">
        <w:t xml:space="preserve">early </w:t>
      </w:r>
      <w:r>
        <w:t xml:space="preserve">2020, </w:t>
      </w:r>
      <w:r w:rsidR="006F1815">
        <w:t xml:space="preserve">academic activity progressed uninterrupted in the reporting period. </w:t>
      </w:r>
      <w:r w:rsidR="00EE0D17">
        <w:t xml:space="preserve">Through well-regarded initiatives like </w:t>
      </w:r>
      <w:r w:rsidR="00EE0D17" w:rsidRPr="000E647B">
        <w:t xml:space="preserve">the </w:t>
      </w:r>
      <w:r w:rsidR="00EE0D17" w:rsidRPr="009663B1">
        <w:t>Sa</w:t>
      </w:r>
      <w:r w:rsidR="00EE0D17" w:rsidRPr="009663B1">
        <w:rPr>
          <w:shd w:val="clear" w:color="auto" w:fill="FFFFFF"/>
        </w:rPr>
        <w:t xml:space="preserve">moa School Innovations for Literacy, Numeracy and Science programme, efforts to </w:t>
      </w:r>
      <w:r w:rsidR="00EE0D17" w:rsidRPr="009663B1">
        <w:rPr>
          <w:b/>
          <w:bCs/>
          <w:shd w:val="clear" w:color="auto" w:fill="FFFFFF"/>
        </w:rPr>
        <w:t>improve the quality of education remain</w:t>
      </w:r>
      <w:r w:rsidR="005634A9">
        <w:rPr>
          <w:b/>
          <w:bCs/>
          <w:shd w:val="clear" w:color="auto" w:fill="FFFFFF"/>
        </w:rPr>
        <w:t>ed</w:t>
      </w:r>
      <w:r w:rsidR="00EE0D17" w:rsidRPr="009663B1">
        <w:rPr>
          <w:b/>
          <w:bCs/>
          <w:shd w:val="clear" w:color="auto" w:fill="FFFFFF"/>
        </w:rPr>
        <w:t xml:space="preserve"> a key priority</w:t>
      </w:r>
      <w:r w:rsidRPr="00C93E13">
        <w:t>.</w:t>
      </w:r>
      <w:r w:rsidR="00340317">
        <w:t xml:space="preserve"> Gains </w:t>
      </w:r>
      <w:r w:rsidR="005634A9">
        <w:t>were</w:t>
      </w:r>
      <w:r w:rsidR="00340317">
        <w:t xml:space="preserve"> made in strengthening </w:t>
      </w:r>
      <w:r w:rsidR="00C65DFB">
        <w:t xml:space="preserve">information and computer technology </w:t>
      </w:r>
      <w:r w:rsidR="00340317">
        <w:t xml:space="preserve">systems across the sector in preparation for the introduction of a centralised Education Management Information System. </w:t>
      </w:r>
      <w:r w:rsidR="00340317" w:rsidRPr="000E27F8">
        <w:t xml:space="preserve">Other priority strategic achievements include </w:t>
      </w:r>
      <w:r w:rsidR="00340317" w:rsidRPr="000E647B">
        <w:rPr>
          <w:b/>
          <w:bCs/>
        </w:rPr>
        <w:t>commencement of the sector Climate Change and Disaster Risk Resilience strategy</w:t>
      </w:r>
      <w:r w:rsidR="00340317">
        <w:t xml:space="preserve">, revision of the sector Research Strategy, and </w:t>
      </w:r>
      <w:r w:rsidR="00340317" w:rsidRPr="000E647B">
        <w:t>implementation of the National Teacher Competency Framework</w:t>
      </w:r>
      <w:r w:rsidR="00340317" w:rsidRPr="00E009E6">
        <w:t>.</w:t>
      </w:r>
      <w:r w:rsidR="00340317">
        <w:t xml:space="preserve"> </w:t>
      </w:r>
      <w:r w:rsidR="00690E07">
        <w:t>In the reporting period, t</w:t>
      </w:r>
      <w:r w:rsidRPr="000E27F8">
        <w:t>he number of students with disabilities enrolled at all levels increased a</w:t>
      </w:r>
      <w:r>
        <w:t xml:space="preserve">nd the Ministry of Education, Sport and Culture </w:t>
      </w:r>
      <w:r w:rsidR="007E0E0B">
        <w:t xml:space="preserve">(MESC) </w:t>
      </w:r>
      <w:r>
        <w:t>beg</w:t>
      </w:r>
      <w:r w:rsidR="005634A9">
        <w:t>a</w:t>
      </w:r>
      <w:r>
        <w:t>n scaling up</w:t>
      </w:r>
      <w:r w:rsidR="001E604D">
        <w:t xml:space="preserve"> the </w:t>
      </w:r>
      <w:r>
        <w:t>Disability Champion School Initiative</w:t>
      </w:r>
      <w:r w:rsidR="001E604D">
        <w:t>,</w:t>
      </w:r>
      <w:r>
        <w:t xml:space="preserve"> piloted with Australian and N</w:t>
      </w:r>
      <w:r w:rsidR="009A3E9A">
        <w:t xml:space="preserve">ew </w:t>
      </w:r>
      <w:r>
        <w:t>Z</w:t>
      </w:r>
      <w:r w:rsidR="009A3E9A">
        <w:t>ealand</w:t>
      </w:r>
      <w:r>
        <w:t xml:space="preserve"> support.</w:t>
      </w:r>
      <w:r w:rsidR="00E20067">
        <w:t xml:space="preserve"> </w:t>
      </w:r>
      <w:r w:rsidRPr="000E647B">
        <w:rPr>
          <w:b/>
          <w:bCs/>
        </w:rPr>
        <w:t xml:space="preserve">Through the </w:t>
      </w:r>
      <w:r w:rsidRPr="00FF53DB">
        <w:rPr>
          <w:b/>
          <w:bCs/>
        </w:rPr>
        <w:t>Australian Strategic Partnership in Remote Education</w:t>
      </w:r>
      <w:r>
        <w:t xml:space="preserve">, </w:t>
      </w:r>
      <w:r w:rsidR="005634A9">
        <w:t xml:space="preserve">the </w:t>
      </w:r>
      <w:r>
        <w:t xml:space="preserve">Queensland Department of Education worked closely with the </w:t>
      </w:r>
      <w:r w:rsidR="00FB4FF9">
        <w:t xml:space="preserve">MESC </w:t>
      </w:r>
      <w:r>
        <w:t xml:space="preserve">to </w:t>
      </w:r>
      <w:r w:rsidRPr="000E647B">
        <w:t>review the remote learning practices Samoa</w:t>
      </w:r>
      <w:r>
        <w:t xml:space="preserve"> put in place when COVID-19 forced school closures across the country in early 202</w:t>
      </w:r>
      <w:r w:rsidR="007E0E0B">
        <w:t>0</w:t>
      </w:r>
      <w:r w:rsidR="00DE593D">
        <w:t xml:space="preserve"> and provided recommendations</w:t>
      </w:r>
      <w:r w:rsidR="005634A9">
        <w:t>,</w:t>
      </w:r>
      <w:r w:rsidR="00DE593D">
        <w:t xml:space="preserve"> which </w:t>
      </w:r>
      <w:r>
        <w:t xml:space="preserve">MESC </w:t>
      </w:r>
      <w:r w:rsidR="005634A9">
        <w:t xml:space="preserve">is </w:t>
      </w:r>
      <w:r>
        <w:t>implementing.</w:t>
      </w:r>
    </w:p>
    <w:p w14:paraId="11D3C532" w14:textId="6EDCB539" w:rsidR="003A01C0" w:rsidRDefault="00315184" w:rsidP="0020778F">
      <w:pPr>
        <w:spacing w:before="0"/>
      </w:pPr>
      <w:r w:rsidRPr="001132F4">
        <w:t xml:space="preserve">Security continued to be a key focus. </w:t>
      </w:r>
      <w:r w:rsidR="00B93932" w:rsidRPr="00572781">
        <w:t xml:space="preserve">Through the </w:t>
      </w:r>
      <w:r w:rsidR="00B93932" w:rsidRPr="00942CCD">
        <w:t xml:space="preserve">Samoa-Australia Police Partnership, </w:t>
      </w:r>
      <w:r w:rsidR="00B93932" w:rsidRPr="000E647B">
        <w:t xml:space="preserve">the Australian Federal Police worked with the Samoa Police, Prisons and Correction Services </w:t>
      </w:r>
      <w:r w:rsidR="001132F4" w:rsidRPr="00E009E6">
        <w:t xml:space="preserve">(SPPCS) </w:t>
      </w:r>
      <w:r w:rsidR="00B93932" w:rsidRPr="000E647B">
        <w:t xml:space="preserve">to further </w:t>
      </w:r>
      <w:r w:rsidR="009C4943" w:rsidRPr="000E647B">
        <w:t xml:space="preserve">strengthen </w:t>
      </w:r>
      <w:r w:rsidR="00777468" w:rsidRPr="000E647B">
        <w:t>SPPCS</w:t>
      </w:r>
      <w:r w:rsidR="00B93932" w:rsidRPr="000E647B">
        <w:t>’</w:t>
      </w:r>
      <w:r w:rsidR="00777468" w:rsidRPr="000E647B">
        <w:t xml:space="preserve"> </w:t>
      </w:r>
      <w:r w:rsidR="009C4943" w:rsidRPr="000E647B">
        <w:t>leadership</w:t>
      </w:r>
      <w:r w:rsidR="009C4943" w:rsidRPr="007D7C9D">
        <w:t>, management</w:t>
      </w:r>
      <w:r w:rsidR="00777468">
        <w:t xml:space="preserve">, </w:t>
      </w:r>
      <w:r w:rsidR="009C4943" w:rsidRPr="007D7C9D">
        <w:t xml:space="preserve">corporate </w:t>
      </w:r>
      <w:r w:rsidR="00777468">
        <w:t xml:space="preserve">and technical </w:t>
      </w:r>
      <w:r w:rsidR="009C4943" w:rsidRPr="007D7C9D">
        <w:t>capabilities</w:t>
      </w:r>
      <w:r w:rsidR="00777468">
        <w:t>,</w:t>
      </w:r>
      <w:r w:rsidR="009C4943" w:rsidRPr="007D7C9D">
        <w:t xml:space="preserve"> </w:t>
      </w:r>
      <w:r w:rsidR="00B93932" w:rsidRPr="007D7C9D">
        <w:t>to maintain a safe and stable Samoa</w:t>
      </w:r>
      <w:r w:rsidR="00777468">
        <w:t xml:space="preserve">, including </w:t>
      </w:r>
      <w:r w:rsidR="00777468" w:rsidRPr="007D7C9D">
        <w:rPr>
          <w:lang w:val="en-US"/>
        </w:rPr>
        <w:t xml:space="preserve">throughout </w:t>
      </w:r>
      <w:r w:rsidR="00C81007">
        <w:rPr>
          <w:lang w:val="en-US"/>
        </w:rPr>
        <w:br/>
      </w:r>
      <w:r w:rsidR="00777468" w:rsidRPr="007D7C9D">
        <w:rPr>
          <w:lang w:val="en-US"/>
        </w:rPr>
        <w:t xml:space="preserve">COVID-19 and </w:t>
      </w:r>
      <w:r w:rsidR="00777468">
        <w:rPr>
          <w:lang w:val="en-US"/>
        </w:rPr>
        <w:t xml:space="preserve">the national election. </w:t>
      </w:r>
      <w:r w:rsidR="003D145B" w:rsidRPr="000E647B">
        <w:t>The Australian Defence Force continued to build Samoa’s capability to police its borders and secure its exclusi</w:t>
      </w:r>
      <w:r w:rsidR="003D145B" w:rsidRPr="00E009E6">
        <w:t>ve economic zone</w:t>
      </w:r>
      <w:r w:rsidR="003D145B" w:rsidRPr="000E647B">
        <w:t>, including fisheries.</w:t>
      </w:r>
      <w:r w:rsidRPr="000E647B">
        <w:t xml:space="preserve"> Through Australian funding, the first Samoa Computer Emergency Response Team was established</w:t>
      </w:r>
      <w:r>
        <w:t xml:space="preserve"> to better support information security and management in government, particularly vital in COVID</w:t>
      </w:r>
      <w:r w:rsidR="005D2935">
        <w:t>-</w:t>
      </w:r>
      <w:r>
        <w:t>19 preparedness and response</w:t>
      </w:r>
      <w:r w:rsidR="00AD79CB">
        <w:t xml:space="preserve"> as systems come under greater strain.</w:t>
      </w:r>
      <w:r w:rsidR="001E604D">
        <w:t xml:space="preserve"> </w:t>
      </w:r>
    </w:p>
    <w:p w14:paraId="0B17EEFD" w14:textId="325A67B4" w:rsidR="008C1F60" w:rsidRDefault="00297FD1" w:rsidP="00D55810">
      <w:pPr>
        <w:pStyle w:val="Heading3"/>
        <w:rPr>
          <w:lang w:val="en-AU"/>
        </w:rPr>
      </w:pPr>
      <w:r w:rsidRPr="00675ECA">
        <w:rPr>
          <w:lang w:val="en-AU"/>
        </w:rPr>
        <w:t>Economic recovery</w:t>
      </w:r>
    </w:p>
    <w:p w14:paraId="51493A1C" w14:textId="2964BE42" w:rsidR="004A113E" w:rsidRDefault="00AD79CB" w:rsidP="0020778F">
      <w:pPr>
        <w:spacing w:before="0"/>
        <w:rPr>
          <w:lang w:val="en-AU"/>
        </w:rPr>
      </w:pPr>
      <w:r>
        <w:rPr>
          <w:lang w:val="en-AU"/>
        </w:rPr>
        <w:t>Mitigating the economic impacts of COVID-19, chart</w:t>
      </w:r>
      <w:r w:rsidR="008B3FC5">
        <w:rPr>
          <w:lang w:val="en-AU"/>
        </w:rPr>
        <w:t>ing</w:t>
      </w:r>
      <w:r>
        <w:rPr>
          <w:lang w:val="en-AU"/>
        </w:rPr>
        <w:t xml:space="preserve"> a path</w:t>
      </w:r>
      <w:r w:rsidR="008B3FC5">
        <w:rPr>
          <w:lang w:val="en-AU"/>
        </w:rPr>
        <w:t>way</w:t>
      </w:r>
      <w:r>
        <w:rPr>
          <w:lang w:val="en-AU"/>
        </w:rPr>
        <w:t xml:space="preserve"> to </w:t>
      </w:r>
      <w:r w:rsidR="00EC0AB8">
        <w:rPr>
          <w:lang w:val="en-AU"/>
        </w:rPr>
        <w:t>recovery,</w:t>
      </w:r>
      <w:r>
        <w:rPr>
          <w:lang w:val="en-AU"/>
        </w:rPr>
        <w:t xml:space="preserve"> and ensuring Samoans ha</w:t>
      </w:r>
      <w:r w:rsidR="008B3FC5">
        <w:rPr>
          <w:lang w:val="en-AU"/>
        </w:rPr>
        <w:t>ve</w:t>
      </w:r>
      <w:r>
        <w:rPr>
          <w:lang w:val="en-AU"/>
        </w:rPr>
        <w:t xml:space="preserve"> access to </w:t>
      </w:r>
      <w:r w:rsidR="008B3FC5">
        <w:rPr>
          <w:lang w:val="en-AU"/>
        </w:rPr>
        <w:t>economic opportunities</w:t>
      </w:r>
      <w:r>
        <w:rPr>
          <w:lang w:val="en-AU"/>
        </w:rPr>
        <w:t xml:space="preserve"> </w:t>
      </w:r>
      <w:r w:rsidR="00261AF3">
        <w:rPr>
          <w:lang w:val="en-AU"/>
        </w:rPr>
        <w:t xml:space="preserve">have been </w:t>
      </w:r>
      <w:r>
        <w:rPr>
          <w:lang w:val="en-AU"/>
        </w:rPr>
        <w:t>an important focus</w:t>
      </w:r>
      <w:r w:rsidR="00FD7085">
        <w:rPr>
          <w:lang w:val="en-AU"/>
        </w:rPr>
        <w:t xml:space="preserve"> of Australia’s support in 202</w:t>
      </w:r>
      <w:r w:rsidR="009739ED">
        <w:rPr>
          <w:lang w:val="en-AU"/>
        </w:rPr>
        <w:t>0</w:t>
      </w:r>
      <w:r w:rsidR="00FD7085">
        <w:rPr>
          <w:lang w:val="en-AU"/>
        </w:rPr>
        <w:t>-2</w:t>
      </w:r>
      <w:r w:rsidR="009739ED">
        <w:rPr>
          <w:lang w:val="en-AU"/>
        </w:rPr>
        <w:t>1</w:t>
      </w:r>
      <w:r>
        <w:rPr>
          <w:lang w:val="en-AU"/>
        </w:rPr>
        <w:t xml:space="preserve">. </w:t>
      </w:r>
      <w:r w:rsidR="004A113E" w:rsidRPr="00572781">
        <w:rPr>
          <w:lang w:val="en-AU"/>
        </w:rPr>
        <w:t>I</w:t>
      </w:r>
      <w:r w:rsidR="004A113E" w:rsidRPr="00942CCD">
        <w:rPr>
          <w:lang w:val="en-AU"/>
        </w:rPr>
        <w:t xml:space="preserve">n partnership with the World Bank, ADB and New Zealand, Australia provided budget support </w:t>
      </w:r>
      <w:r w:rsidR="00EE032D" w:rsidRPr="00942CCD">
        <w:rPr>
          <w:lang w:val="en-AU"/>
        </w:rPr>
        <w:t xml:space="preserve">(totalling $4 million) </w:t>
      </w:r>
      <w:r w:rsidR="004A113E" w:rsidRPr="00942CCD">
        <w:rPr>
          <w:lang w:val="en-AU"/>
        </w:rPr>
        <w:t xml:space="preserve">through the Joint Policy Action Matrix. </w:t>
      </w:r>
      <w:r w:rsidR="00EE032D" w:rsidRPr="00942CCD">
        <w:rPr>
          <w:lang w:val="en-AU"/>
        </w:rPr>
        <w:t>Our</w:t>
      </w:r>
      <w:r w:rsidR="004A113E" w:rsidRPr="00942CCD">
        <w:rPr>
          <w:lang w:val="en-AU"/>
        </w:rPr>
        <w:t xml:space="preserve"> support </w:t>
      </w:r>
      <w:r w:rsidR="00474DDF" w:rsidRPr="00942CCD">
        <w:rPr>
          <w:lang w:val="en-AU"/>
        </w:rPr>
        <w:t xml:space="preserve">incentivised </w:t>
      </w:r>
      <w:r w:rsidR="001E604D" w:rsidRPr="00942CCD">
        <w:rPr>
          <w:lang w:val="en-AU"/>
        </w:rPr>
        <w:t xml:space="preserve">key </w:t>
      </w:r>
      <w:r w:rsidR="00474DDF" w:rsidRPr="00942CCD">
        <w:rPr>
          <w:lang w:val="en-AU"/>
        </w:rPr>
        <w:t>socio-economic and fiscal policy reforms. These incl</w:t>
      </w:r>
      <w:r w:rsidR="00474DDF" w:rsidRPr="00EA2ABC">
        <w:rPr>
          <w:lang w:val="en-AU"/>
        </w:rPr>
        <w:t>uded the development of a tax invoice monitoring system</w:t>
      </w:r>
      <w:r w:rsidR="00474DDF">
        <w:rPr>
          <w:lang w:val="en-AU"/>
        </w:rPr>
        <w:t xml:space="preserve">, which resulted in increased revenue. Samoa also continued a commitment to responsible debt management, including a policy of no new external non-concessional </w:t>
      </w:r>
      <w:r w:rsidR="00D53C70">
        <w:rPr>
          <w:lang w:val="en-AU"/>
        </w:rPr>
        <w:t>borrowing</w:t>
      </w:r>
      <w:r w:rsidR="00474DDF">
        <w:rPr>
          <w:lang w:val="en-AU"/>
        </w:rPr>
        <w:t>.</w:t>
      </w:r>
      <w:r w:rsidR="00D53C70" w:rsidRPr="00D53C70">
        <w:t xml:space="preserve"> </w:t>
      </w:r>
      <w:r w:rsidR="00D53C70" w:rsidRPr="00D53C70">
        <w:rPr>
          <w:lang w:val="en-AU"/>
        </w:rPr>
        <w:t xml:space="preserve">Notably, </w:t>
      </w:r>
      <w:r w:rsidR="00D53C70" w:rsidRPr="000E647B">
        <w:rPr>
          <w:b/>
          <w:bCs/>
          <w:lang w:val="en-AU"/>
        </w:rPr>
        <w:t xml:space="preserve">through the </w:t>
      </w:r>
      <w:r w:rsidR="00D53C70" w:rsidRPr="00705D14">
        <w:rPr>
          <w:b/>
          <w:bCs/>
          <w:lang w:val="en-AU"/>
        </w:rPr>
        <w:t>Samoa Fiscal Resilience Program</w:t>
      </w:r>
      <w:r w:rsidR="00D53C70" w:rsidRPr="000E647B">
        <w:rPr>
          <w:b/>
          <w:bCs/>
          <w:lang w:val="en-AU"/>
        </w:rPr>
        <w:t xml:space="preserve"> </w:t>
      </w:r>
      <w:r w:rsidR="00D53C70" w:rsidRPr="00572781">
        <w:rPr>
          <w:lang w:val="en-AU"/>
        </w:rPr>
        <w:t xml:space="preserve">and in partnership with other donors, the Government of </w:t>
      </w:r>
      <w:r w:rsidR="00D53C70" w:rsidRPr="000E647B">
        <w:rPr>
          <w:b/>
          <w:bCs/>
          <w:lang w:val="en-AU"/>
        </w:rPr>
        <w:t>Samoa commenced development of a Social Protection Policy</w:t>
      </w:r>
      <w:r w:rsidR="00D53C70">
        <w:rPr>
          <w:lang w:val="en-AU"/>
        </w:rPr>
        <w:t>, which will pave the way for measures to further support needs of the vulnerable</w:t>
      </w:r>
      <w:r>
        <w:rPr>
          <w:lang w:val="en-AU"/>
        </w:rPr>
        <w:t xml:space="preserve">. </w:t>
      </w:r>
    </w:p>
    <w:p w14:paraId="2F84ABF3" w14:textId="20DA23C7" w:rsidR="00D53C70" w:rsidRDefault="00FE7C89" w:rsidP="0020778F">
      <w:pPr>
        <w:spacing w:before="0"/>
      </w:pPr>
      <w:r>
        <w:rPr>
          <w:lang w:val="en-AU"/>
        </w:rPr>
        <w:t>T</w:t>
      </w:r>
      <w:r w:rsidR="00D53C70">
        <w:rPr>
          <w:lang w:val="en-AU"/>
        </w:rPr>
        <w:t xml:space="preserve">he </w:t>
      </w:r>
      <w:r w:rsidR="00D53C70" w:rsidRPr="00705D14">
        <w:rPr>
          <w:b/>
          <w:bCs/>
          <w:lang w:val="en-AU"/>
        </w:rPr>
        <w:t>Samoa Govern</w:t>
      </w:r>
      <w:r w:rsidR="00AD79CB" w:rsidRPr="00705D14">
        <w:rPr>
          <w:b/>
          <w:bCs/>
          <w:lang w:val="en-AU"/>
        </w:rPr>
        <w:t>ance</w:t>
      </w:r>
      <w:r w:rsidR="00D53C70" w:rsidRPr="00705D14">
        <w:rPr>
          <w:b/>
          <w:bCs/>
          <w:lang w:val="en-AU"/>
        </w:rPr>
        <w:t xml:space="preserve"> Support Program</w:t>
      </w:r>
      <w:r w:rsidR="00D53C70" w:rsidRPr="000E647B">
        <w:rPr>
          <w:b/>
          <w:bCs/>
          <w:lang w:val="en-AU"/>
        </w:rPr>
        <w:t xml:space="preserve"> </w:t>
      </w:r>
      <w:r w:rsidR="009E1F29" w:rsidRPr="000E647B">
        <w:rPr>
          <w:b/>
          <w:bCs/>
          <w:lang w:val="en-AU"/>
        </w:rPr>
        <w:t xml:space="preserve">provided </w:t>
      </w:r>
      <w:r w:rsidR="009E1F29" w:rsidRPr="00572781">
        <w:rPr>
          <w:lang w:val="en-AU"/>
        </w:rPr>
        <w:t xml:space="preserve">critical advice to </w:t>
      </w:r>
      <w:r w:rsidR="00AD79CB" w:rsidRPr="00572781">
        <w:rPr>
          <w:lang w:val="en-AU"/>
        </w:rPr>
        <w:t>Government ministries</w:t>
      </w:r>
      <w:r w:rsidR="009E1F29" w:rsidRPr="00942CCD">
        <w:rPr>
          <w:lang w:val="en-AU"/>
        </w:rPr>
        <w:t xml:space="preserve"> </w:t>
      </w:r>
      <w:r w:rsidR="00E60E65" w:rsidRPr="00942CCD">
        <w:rPr>
          <w:lang w:val="en-AU"/>
        </w:rPr>
        <w:t xml:space="preserve">to </w:t>
      </w:r>
      <w:r w:rsidR="009E1F29" w:rsidRPr="00942CCD">
        <w:rPr>
          <w:lang w:val="en-AU"/>
        </w:rPr>
        <w:t xml:space="preserve">mitigate and address the impacts of COVID-19. </w:t>
      </w:r>
      <w:r w:rsidR="00FE50C7" w:rsidRPr="00942CCD">
        <w:rPr>
          <w:lang w:val="en-AU"/>
        </w:rPr>
        <w:t>An economic technical adviso</w:t>
      </w:r>
      <w:r w:rsidR="00FE50C7">
        <w:rPr>
          <w:lang w:val="en-AU"/>
        </w:rPr>
        <w:t xml:space="preserve">ry support panel was able to provide senior levels of government with on-demand </w:t>
      </w:r>
      <w:r w:rsidR="00AD79CB">
        <w:rPr>
          <w:lang w:val="en-AU"/>
        </w:rPr>
        <w:t xml:space="preserve">economic </w:t>
      </w:r>
      <w:r w:rsidR="00BF19F2">
        <w:rPr>
          <w:lang w:val="en-AU"/>
        </w:rPr>
        <w:t xml:space="preserve">advice </w:t>
      </w:r>
      <w:r w:rsidR="00FE50C7">
        <w:rPr>
          <w:lang w:val="en-AU"/>
        </w:rPr>
        <w:t xml:space="preserve">and expertise. This included </w:t>
      </w:r>
      <w:r w:rsidR="00FE50C7" w:rsidRPr="000E647B">
        <w:rPr>
          <w:b/>
          <w:bCs/>
          <w:lang w:val="en-AU"/>
        </w:rPr>
        <w:t>advice on stimulus measures, and budget prioritisation to support the most vulnerable</w:t>
      </w:r>
      <w:r w:rsidR="00FE50C7">
        <w:rPr>
          <w:lang w:val="en-AU"/>
        </w:rPr>
        <w:t xml:space="preserve">. </w:t>
      </w:r>
      <w:r w:rsidR="00AD79CB">
        <w:rPr>
          <w:lang w:val="en-AU"/>
        </w:rPr>
        <w:t>Other t</w:t>
      </w:r>
      <w:r w:rsidR="00CB107B">
        <w:rPr>
          <w:lang w:val="en-AU"/>
        </w:rPr>
        <w:t xml:space="preserve">echnical assistance supported a review of the minimum wage and associated amendments to legislation to ensure it </w:t>
      </w:r>
      <w:r w:rsidR="00AD79CB">
        <w:rPr>
          <w:lang w:val="en-AU"/>
        </w:rPr>
        <w:t>is well focused to support</w:t>
      </w:r>
      <w:r w:rsidR="00CB107B">
        <w:rPr>
          <w:lang w:val="en-AU"/>
        </w:rPr>
        <w:t xml:space="preserve"> those in need. </w:t>
      </w:r>
      <w:r w:rsidR="00AD79CB">
        <w:rPr>
          <w:lang w:val="en-AU"/>
        </w:rPr>
        <w:t>T</w:t>
      </w:r>
      <w:r w:rsidR="00CB107B">
        <w:rPr>
          <w:lang w:val="en-AU"/>
        </w:rPr>
        <w:t>he University of New South Wales</w:t>
      </w:r>
      <w:r w:rsidR="009A3E9A">
        <w:rPr>
          <w:lang w:val="en-AU"/>
        </w:rPr>
        <w:t xml:space="preserve"> delivered</w:t>
      </w:r>
      <w:r w:rsidR="00CB107B">
        <w:rPr>
          <w:lang w:val="en-AU"/>
        </w:rPr>
        <w:t xml:space="preserve"> leadership and management training to the senior levels of the Samoa public service. This training focussed on equipping public service leaders with the skills and knowledge to respond to challenges, including service delivery obstacles, in the context of the demands presented by the COVID-19 environment.</w:t>
      </w:r>
    </w:p>
    <w:p w14:paraId="2DDA9163" w14:textId="6B9B447C" w:rsidR="008B3FC5" w:rsidRDefault="008B3FC5" w:rsidP="0020778F">
      <w:pPr>
        <w:spacing w:before="0"/>
      </w:pPr>
      <w:r>
        <w:t xml:space="preserve">Since the resumption of labour mobility </w:t>
      </w:r>
      <w:r w:rsidR="009208E9">
        <w:t xml:space="preserve">with Samoa </w:t>
      </w:r>
      <w:r>
        <w:t xml:space="preserve">in April 2021, </w:t>
      </w:r>
      <w:r w:rsidRPr="000E647B">
        <w:rPr>
          <w:b/>
          <w:bCs/>
        </w:rPr>
        <w:t xml:space="preserve">over 1,000 Samoans have </w:t>
      </w:r>
      <w:r w:rsidR="005478D9" w:rsidRPr="000E647B">
        <w:rPr>
          <w:b/>
          <w:bCs/>
        </w:rPr>
        <w:t xml:space="preserve">come </w:t>
      </w:r>
      <w:r w:rsidRPr="000E647B">
        <w:rPr>
          <w:b/>
          <w:bCs/>
        </w:rPr>
        <w:t xml:space="preserve">to work in Australia </w:t>
      </w:r>
      <w:r w:rsidRPr="001441B0">
        <w:t>und</w:t>
      </w:r>
      <w:r w:rsidRPr="00572781">
        <w:t xml:space="preserve">er the Seasonal Worker Programme and the Pacific Labour Scheme (as </w:t>
      </w:r>
      <w:proofErr w:type="gramStart"/>
      <w:r w:rsidR="00E60E65" w:rsidRPr="00572781">
        <w:t>at</w:t>
      </w:r>
      <w:proofErr w:type="gramEnd"/>
      <w:r w:rsidR="00E60E65" w:rsidRPr="00572781">
        <w:t xml:space="preserve"> </w:t>
      </w:r>
      <w:r w:rsidRPr="00942CCD">
        <w:t>30 June 2021)</w:t>
      </w:r>
      <w:r w:rsidRPr="006B00A1">
        <w:rPr>
          <w:b/>
          <w:bCs/>
        </w:rPr>
        <w:t>.</w:t>
      </w:r>
      <w:r>
        <w:t xml:space="preserve"> Samoans are filling critical workforce shortages in Australia</w:t>
      </w:r>
      <w:r w:rsidR="00EA205B">
        <w:t xml:space="preserve">, </w:t>
      </w:r>
      <w:r>
        <w:t>earn</w:t>
      </w:r>
      <w:r w:rsidR="00EA205B">
        <w:t>ing</w:t>
      </w:r>
      <w:r>
        <w:t xml:space="preserve"> Australian </w:t>
      </w:r>
      <w:proofErr w:type="gramStart"/>
      <w:r>
        <w:t>wages</w:t>
      </w:r>
      <w:proofErr w:type="gramEnd"/>
      <w:r>
        <w:t xml:space="preserve"> and gain</w:t>
      </w:r>
      <w:r w:rsidR="00EA205B">
        <w:t>ing</w:t>
      </w:r>
      <w:r>
        <w:t xml:space="preserve"> valuable on-the-job learning to </w:t>
      </w:r>
      <w:r w:rsidR="009739ED">
        <w:t xml:space="preserve">take </w:t>
      </w:r>
      <w:r>
        <w:t>back home.</w:t>
      </w:r>
      <w:r w:rsidRPr="008B3FC5">
        <w:t xml:space="preserve"> </w:t>
      </w:r>
      <w:r w:rsidR="008D1987">
        <w:t>In the reporting period, t</w:t>
      </w:r>
      <w:r w:rsidRPr="00F757CC">
        <w:t xml:space="preserve">he </w:t>
      </w:r>
      <w:r w:rsidRPr="00CD54D0">
        <w:t xml:space="preserve">Australia Pacific Training Coalition </w:t>
      </w:r>
      <w:r w:rsidR="00AB1112" w:rsidRPr="00CD54D0">
        <w:t>(APTC)</w:t>
      </w:r>
      <w:r w:rsidR="00AB1112" w:rsidRPr="000E647B">
        <w:t xml:space="preserve"> </w:t>
      </w:r>
      <w:r w:rsidRPr="000E647B">
        <w:t>deliver</w:t>
      </w:r>
      <w:r w:rsidR="00E60E65" w:rsidRPr="00E009E6">
        <w:t>ed</w:t>
      </w:r>
      <w:r w:rsidRPr="000E647B">
        <w:t xml:space="preserve"> training to 330 students in a range of fields</w:t>
      </w:r>
      <w:r>
        <w:t xml:space="preserve">, including leadership and management, training, </w:t>
      </w:r>
      <w:proofErr w:type="gramStart"/>
      <w:r w:rsidR="00EC0AB8">
        <w:t>engineering</w:t>
      </w:r>
      <w:proofErr w:type="gramEnd"/>
      <w:r>
        <w:t xml:space="preserve"> and hospitality. This training provided opportunities to those out of work to retrain and for students to improve their employment and livelihood opportunities. </w:t>
      </w:r>
    </w:p>
    <w:p w14:paraId="12E24BAE" w14:textId="09C861AA" w:rsidR="00BC1FED" w:rsidRDefault="00121DDD" w:rsidP="008A6BB7">
      <w:pPr>
        <w:pStyle w:val="Heading2"/>
      </w:pPr>
      <w:r>
        <w:lastRenderedPageBreak/>
        <w:t>Annex 1</w:t>
      </w:r>
      <w:r w:rsidR="001F7F4D" w:rsidRPr="002945C4">
        <w:t xml:space="preserve">: </w:t>
      </w:r>
      <w:r w:rsidR="00540A22">
        <w:t xml:space="preserve">Progress against </w:t>
      </w:r>
      <w:r w:rsidR="008A1503">
        <w:t xml:space="preserve">COVID-19 Response plan </w:t>
      </w:r>
      <w:r w:rsidR="00E1666D">
        <w:t>results indicators</w:t>
      </w:r>
    </w:p>
    <w:p w14:paraId="53E0B1CB" w14:textId="4861D448" w:rsidR="00AE2B7B" w:rsidRPr="00AE2B7B" w:rsidRDefault="00AE2B7B" w:rsidP="00D55810">
      <w:pPr>
        <w:pStyle w:val="Heading3"/>
      </w:pPr>
      <w:r w:rsidRPr="00AE2B7B">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14:paraId="228F7F02" w14:textId="77777777" w:rsidTr="007A4493">
        <w:trPr>
          <w:tblHeader/>
        </w:trPr>
        <w:tc>
          <w:tcPr>
            <w:tcW w:w="4390" w:type="dxa"/>
            <w:shd w:val="clear" w:color="auto" w:fill="A2DCD1" w:themeFill="accent1" w:themeFillTint="99"/>
          </w:tcPr>
          <w:p w14:paraId="7116F4F5" w14:textId="2BCC79D7" w:rsidR="004F5615" w:rsidRPr="005736BB" w:rsidRDefault="00A96364" w:rsidP="0020778F">
            <w:pPr>
              <w:spacing w:before="0"/>
              <w:jc w:val="center"/>
              <w:rPr>
                <w:b/>
                <w:sz w:val="20"/>
                <w:szCs w:val="20"/>
              </w:rPr>
            </w:pPr>
            <w:r w:rsidRPr="005736BB">
              <w:rPr>
                <w:b/>
                <w:sz w:val="20"/>
                <w:szCs w:val="20"/>
              </w:rPr>
              <w:t xml:space="preserve">Key Results </w:t>
            </w:r>
            <w:r w:rsidR="00E1666D" w:rsidRPr="005736BB">
              <w:rPr>
                <w:b/>
                <w:sz w:val="20"/>
                <w:szCs w:val="20"/>
              </w:rPr>
              <w:t>Indicators</w:t>
            </w:r>
          </w:p>
        </w:tc>
        <w:tc>
          <w:tcPr>
            <w:tcW w:w="6146" w:type="dxa"/>
            <w:shd w:val="clear" w:color="auto" w:fill="A2DCD1" w:themeFill="accent1" w:themeFillTint="99"/>
          </w:tcPr>
          <w:p w14:paraId="18C04122" w14:textId="30B10914" w:rsidR="004F5615" w:rsidRPr="005736BB" w:rsidRDefault="00AD19F7" w:rsidP="0020778F">
            <w:pPr>
              <w:spacing w:before="0"/>
              <w:ind w:left="100"/>
              <w:jc w:val="center"/>
              <w:rPr>
                <w:sz w:val="20"/>
                <w:szCs w:val="20"/>
              </w:rPr>
            </w:pPr>
            <w:r w:rsidRPr="005736BB">
              <w:rPr>
                <w:b/>
                <w:sz w:val="20"/>
                <w:szCs w:val="20"/>
              </w:rPr>
              <w:t>Progress/Result</w:t>
            </w:r>
          </w:p>
        </w:tc>
      </w:tr>
      <w:tr w:rsidR="00CA5021" w:rsidRPr="00C65DFB" w14:paraId="5D4066B5" w14:textId="77777777" w:rsidTr="007A4493">
        <w:trPr>
          <w:tblHeader/>
        </w:trPr>
        <w:tc>
          <w:tcPr>
            <w:tcW w:w="4390" w:type="dxa"/>
          </w:tcPr>
          <w:p w14:paraId="354112BD" w14:textId="2D4A3A41" w:rsidR="00877620" w:rsidRPr="00FF53DB" w:rsidRDefault="005A7B2C" w:rsidP="0020778F">
            <w:pPr>
              <w:spacing w:before="0"/>
              <w:rPr>
                <w:sz w:val="20"/>
                <w:szCs w:val="20"/>
              </w:rPr>
            </w:pPr>
            <w:r w:rsidRPr="00FF53DB">
              <w:rPr>
                <w:sz w:val="20"/>
                <w:szCs w:val="20"/>
              </w:rPr>
              <w:t xml:space="preserve">Number (and nature) of instances of strengthened health systems, including preparedness for emergencies and public health crises </w:t>
            </w:r>
          </w:p>
        </w:tc>
        <w:tc>
          <w:tcPr>
            <w:tcW w:w="6146" w:type="dxa"/>
          </w:tcPr>
          <w:p w14:paraId="436370AC" w14:textId="77777777" w:rsidR="00595AC6" w:rsidRPr="00FF53DB" w:rsidRDefault="00595AC6" w:rsidP="0020778F">
            <w:pPr>
              <w:spacing w:before="0"/>
              <w:rPr>
                <w:sz w:val="20"/>
                <w:szCs w:val="20"/>
              </w:rPr>
            </w:pPr>
            <w:r w:rsidRPr="00FF53DB">
              <w:rPr>
                <w:sz w:val="20"/>
                <w:szCs w:val="20"/>
              </w:rPr>
              <w:t>Supported the implementation of:</w:t>
            </w:r>
          </w:p>
          <w:p w14:paraId="4910BEAC" w14:textId="70894C63" w:rsidR="00595AC6" w:rsidRPr="00FF53DB" w:rsidRDefault="00BE3E21" w:rsidP="006B00A1">
            <w:pPr>
              <w:pStyle w:val="ListParagraph"/>
              <w:numPr>
                <w:ilvl w:val="0"/>
                <w:numId w:val="33"/>
              </w:numPr>
              <w:spacing w:before="0"/>
              <w:ind w:left="373" w:hanging="284"/>
              <w:rPr>
                <w:sz w:val="20"/>
                <w:szCs w:val="20"/>
              </w:rPr>
            </w:pPr>
            <w:r w:rsidRPr="00FF53DB">
              <w:rPr>
                <w:i/>
                <w:iCs/>
                <w:sz w:val="20"/>
                <w:szCs w:val="20"/>
              </w:rPr>
              <w:t>Tupaia</w:t>
            </w:r>
            <w:r w:rsidRPr="00FF53DB">
              <w:rPr>
                <w:sz w:val="20"/>
                <w:szCs w:val="20"/>
              </w:rPr>
              <w:t xml:space="preserve">, a </w:t>
            </w:r>
            <w:r w:rsidR="005A7B2C" w:rsidRPr="00FF53DB">
              <w:rPr>
                <w:sz w:val="20"/>
                <w:szCs w:val="20"/>
              </w:rPr>
              <w:t>data aggregation-visualisation too</w:t>
            </w:r>
            <w:r w:rsidR="00595AC6" w:rsidRPr="00FF53DB">
              <w:rPr>
                <w:sz w:val="20"/>
                <w:szCs w:val="20"/>
              </w:rPr>
              <w:t xml:space="preserve">l, </w:t>
            </w:r>
            <w:r w:rsidR="005A7B2C" w:rsidRPr="00FF53DB">
              <w:rPr>
                <w:sz w:val="20"/>
                <w:szCs w:val="20"/>
              </w:rPr>
              <w:t xml:space="preserve">to track COVID-19 vaccine coverage, digitise the national quarantine scheme and identify disease hotspots </w:t>
            </w:r>
          </w:p>
          <w:p w14:paraId="33160F04" w14:textId="73491AA9" w:rsidR="00BE3E21" w:rsidRPr="00FF53DB" w:rsidRDefault="005A7B2C" w:rsidP="006B00A1">
            <w:pPr>
              <w:pStyle w:val="ListParagraph"/>
              <w:numPr>
                <w:ilvl w:val="0"/>
                <w:numId w:val="33"/>
              </w:numPr>
              <w:spacing w:before="0"/>
              <w:ind w:left="373" w:hanging="284"/>
              <w:rPr>
                <w:sz w:val="20"/>
                <w:szCs w:val="20"/>
              </w:rPr>
            </w:pPr>
            <w:r w:rsidRPr="00FF53DB">
              <w:rPr>
                <w:i/>
                <w:iCs/>
                <w:sz w:val="20"/>
                <w:szCs w:val="20"/>
              </w:rPr>
              <w:t>Tamanu</w:t>
            </w:r>
            <w:r w:rsidR="00BE3E21" w:rsidRPr="00FF53DB">
              <w:rPr>
                <w:sz w:val="20"/>
                <w:szCs w:val="20"/>
              </w:rPr>
              <w:t>, a</w:t>
            </w:r>
            <w:r w:rsidRPr="00FF53DB">
              <w:rPr>
                <w:sz w:val="20"/>
                <w:szCs w:val="20"/>
              </w:rPr>
              <w:t xml:space="preserve"> patient level electronic medical record system</w:t>
            </w:r>
            <w:r w:rsidR="0087637D">
              <w:rPr>
                <w:sz w:val="20"/>
                <w:szCs w:val="20"/>
              </w:rPr>
              <w:t xml:space="preserve"> </w:t>
            </w:r>
            <w:r w:rsidRPr="00FF53DB">
              <w:rPr>
                <w:sz w:val="20"/>
                <w:szCs w:val="20"/>
              </w:rPr>
              <w:t>for easier immuni</w:t>
            </w:r>
            <w:r w:rsidR="00A8197D" w:rsidRPr="00FF53DB">
              <w:rPr>
                <w:sz w:val="20"/>
                <w:szCs w:val="20"/>
              </w:rPr>
              <w:t>s</w:t>
            </w:r>
            <w:r w:rsidRPr="00FF53DB">
              <w:rPr>
                <w:sz w:val="20"/>
                <w:szCs w:val="20"/>
              </w:rPr>
              <w:t>ation registration</w:t>
            </w:r>
          </w:p>
          <w:p w14:paraId="612A1C8E" w14:textId="75E7B5EA" w:rsidR="00BE3E21" w:rsidRPr="00FF53DB" w:rsidRDefault="00595AC6" w:rsidP="006B00A1">
            <w:pPr>
              <w:pStyle w:val="ListParagraph"/>
              <w:numPr>
                <w:ilvl w:val="0"/>
                <w:numId w:val="33"/>
              </w:numPr>
              <w:spacing w:before="0"/>
              <w:ind w:left="373" w:hanging="284"/>
              <w:rPr>
                <w:sz w:val="20"/>
                <w:szCs w:val="20"/>
              </w:rPr>
            </w:pPr>
            <w:r w:rsidRPr="00FF53DB">
              <w:rPr>
                <w:sz w:val="20"/>
                <w:szCs w:val="20"/>
              </w:rPr>
              <w:t>t</w:t>
            </w:r>
            <w:r w:rsidR="00A8197D" w:rsidRPr="00FF53DB">
              <w:rPr>
                <w:sz w:val="20"/>
                <w:szCs w:val="20"/>
              </w:rPr>
              <w:t xml:space="preserve">he </w:t>
            </w:r>
            <w:r w:rsidR="005A7B2C" w:rsidRPr="00FF53DB">
              <w:rPr>
                <w:i/>
                <w:iCs/>
                <w:sz w:val="20"/>
                <w:szCs w:val="20"/>
              </w:rPr>
              <w:t>M-supply system</w:t>
            </w:r>
            <w:r w:rsidR="005A7B2C" w:rsidRPr="00FF53DB">
              <w:rPr>
                <w:sz w:val="20"/>
                <w:szCs w:val="20"/>
              </w:rPr>
              <w:t xml:space="preserve"> to monitor pharmaceutical stock and prevent stockouts.</w:t>
            </w:r>
          </w:p>
          <w:p w14:paraId="1C78B18E" w14:textId="16A9B27F" w:rsidR="00877620" w:rsidRPr="00FF53DB" w:rsidRDefault="00595AC6" w:rsidP="0020778F">
            <w:pPr>
              <w:spacing w:before="0"/>
              <w:rPr>
                <w:sz w:val="20"/>
                <w:szCs w:val="20"/>
              </w:rPr>
            </w:pPr>
            <w:r w:rsidRPr="00FF53DB">
              <w:rPr>
                <w:sz w:val="20"/>
                <w:szCs w:val="20"/>
              </w:rPr>
              <w:t>Supported the development of a</w:t>
            </w:r>
            <w:r w:rsidR="005A7B2C" w:rsidRPr="00FF53DB">
              <w:rPr>
                <w:sz w:val="20"/>
                <w:szCs w:val="20"/>
              </w:rPr>
              <w:t xml:space="preserve">n updated National Epidemic and Pandemic Influenza Preparedness and Response Plan </w:t>
            </w:r>
            <w:r w:rsidRPr="00FF53DB">
              <w:rPr>
                <w:sz w:val="20"/>
                <w:szCs w:val="20"/>
              </w:rPr>
              <w:t>and</w:t>
            </w:r>
            <w:r w:rsidR="00B93932" w:rsidRPr="00FF53DB">
              <w:rPr>
                <w:sz w:val="20"/>
                <w:szCs w:val="20"/>
              </w:rPr>
              <w:t xml:space="preserve"> </w:t>
            </w:r>
            <w:r w:rsidRPr="00FF53DB">
              <w:rPr>
                <w:sz w:val="20"/>
                <w:szCs w:val="20"/>
              </w:rPr>
              <w:t xml:space="preserve">a </w:t>
            </w:r>
            <w:r w:rsidR="005A7B2C" w:rsidRPr="00FF53DB">
              <w:rPr>
                <w:sz w:val="20"/>
                <w:szCs w:val="20"/>
              </w:rPr>
              <w:t>review of effective public health interventions.</w:t>
            </w:r>
          </w:p>
        </w:tc>
      </w:tr>
      <w:tr w:rsidR="005A7B2C" w:rsidRPr="00C65DFB" w14:paraId="4AD746D8" w14:textId="77777777" w:rsidTr="007A4493">
        <w:trPr>
          <w:tblHeader/>
        </w:trPr>
        <w:tc>
          <w:tcPr>
            <w:tcW w:w="4390" w:type="dxa"/>
          </w:tcPr>
          <w:p w14:paraId="0AB10A98" w14:textId="347D9029" w:rsidR="005A7B2C" w:rsidRPr="00FF53DB" w:rsidRDefault="005A7B2C" w:rsidP="0020778F">
            <w:pPr>
              <w:spacing w:before="0"/>
              <w:rPr>
                <w:sz w:val="20"/>
                <w:szCs w:val="20"/>
              </w:rPr>
            </w:pPr>
            <w:r w:rsidRPr="00FF53DB">
              <w:rPr>
                <w:sz w:val="20"/>
                <w:szCs w:val="20"/>
              </w:rPr>
              <w:t xml:space="preserve">Evidence of improved response to health security threats </w:t>
            </w:r>
          </w:p>
        </w:tc>
        <w:tc>
          <w:tcPr>
            <w:tcW w:w="6146" w:type="dxa"/>
          </w:tcPr>
          <w:p w14:paraId="563FA892" w14:textId="7643EB40" w:rsidR="00BE3E21" w:rsidRPr="00FF53DB" w:rsidRDefault="00595AC6" w:rsidP="0020778F">
            <w:pPr>
              <w:spacing w:before="0"/>
              <w:rPr>
                <w:sz w:val="20"/>
                <w:szCs w:val="20"/>
              </w:rPr>
            </w:pPr>
            <w:r w:rsidRPr="00FF53DB">
              <w:rPr>
                <w:sz w:val="20"/>
                <w:szCs w:val="20"/>
              </w:rPr>
              <w:t>Supported the implementation of a</w:t>
            </w:r>
            <w:r w:rsidR="005A7B2C" w:rsidRPr="00FF53DB">
              <w:rPr>
                <w:sz w:val="20"/>
                <w:szCs w:val="20"/>
              </w:rPr>
              <w:t xml:space="preserve"> tailored online information management system</w:t>
            </w:r>
            <w:r w:rsidRPr="00FF53DB">
              <w:rPr>
                <w:sz w:val="20"/>
                <w:szCs w:val="20"/>
              </w:rPr>
              <w:t xml:space="preserve"> to</w:t>
            </w:r>
            <w:r w:rsidR="009208E9" w:rsidRPr="00FF53DB">
              <w:rPr>
                <w:sz w:val="20"/>
                <w:szCs w:val="20"/>
              </w:rPr>
              <w:t xml:space="preserve"> enabl</w:t>
            </w:r>
            <w:r w:rsidRPr="00FF53DB">
              <w:rPr>
                <w:sz w:val="20"/>
                <w:szCs w:val="20"/>
              </w:rPr>
              <w:t>e</w:t>
            </w:r>
            <w:r w:rsidR="005A7B2C" w:rsidRPr="00FF53DB">
              <w:rPr>
                <w:sz w:val="20"/>
                <w:szCs w:val="20"/>
              </w:rPr>
              <w:t xml:space="preserve"> the collection, collation, </w:t>
            </w:r>
            <w:proofErr w:type="gramStart"/>
            <w:r w:rsidR="005A7B2C" w:rsidRPr="00FF53DB">
              <w:rPr>
                <w:sz w:val="20"/>
                <w:szCs w:val="20"/>
              </w:rPr>
              <w:t>analysis</w:t>
            </w:r>
            <w:proofErr w:type="gramEnd"/>
            <w:r w:rsidR="005A7B2C" w:rsidRPr="00FF53DB">
              <w:rPr>
                <w:sz w:val="20"/>
                <w:szCs w:val="20"/>
              </w:rPr>
              <w:t xml:space="preserve"> and dissemination of information </w:t>
            </w:r>
            <w:r w:rsidRPr="00FF53DB">
              <w:rPr>
                <w:sz w:val="20"/>
                <w:szCs w:val="20"/>
              </w:rPr>
              <w:t xml:space="preserve">in </w:t>
            </w:r>
            <w:r w:rsidR="002151D9" w:rsidRPr="00FF53DB">
              <w:rPr>
                <w:sz w:val="20"/>
                <w:szCs w:val="20"/>
              </w:rPr>
              <w:t>support</w:t>
            </w:r>
            <w:r w:rsidR="005A7B2C" w:rsidRPr="00FF53DB">
              <w:rPr>
                <w:sz w:val="20"/>
                <w:szCs w:val="20"/>
              </w:rPr>
              <w:t xml:space="preserve"> </w:t>
            </w:r>
            <w:r w:rsidRPr="00FF53DB">
              <w:rPr>
                <w:sz w:val="20"/>
                <w:szCs w:val="20"/>
              </w:rPr>
              <w:t>of g</w:t>
            </w:r>
            <w:r w:rsidR="005A7B2C" w:rsidRPr="00FF53DB">
              <w:rPr>
                <w:sz w:val="20"/>
                <w:szCs w:val="20"/>
              </w:rPr>
              <w:t>overnment planning and decision making</w:t>
            </w:r>
            <w:r w:rsidR="00BE3E21" w:rsidRPr="00FF53DB">
              <w:rPr>
                <w:sz w:val="20"/>
                <w:szCs w:val="20"/>
              </w:rPr>
              <w:t>.</w:t>
            </w:r>
          </w:p>
          <w:p w14:paraId="371BB807" w14:textId="1E81D22E" w:rsidR="005A7B2C" w:rsidRPr="00FF53DB" w:rsidRDefault="00595AC6" w:rsidP="0020778F">
            <w:pPr>
              <w:spacing w:before="0"/>
              <w:rPr>
                <w:sz w:val="20"/>
                <w:szCs w:val="20"/>
              </w:rPr>
            </w:pPr>
            <w:r w:rsidRPr="00FF53DB">
              <w:rPr>
                <w:sz w:val="20"/>
                <w:szCs w:val="20"/>
              </w:rPr>
              <w:t>Supported the u</w:t>
            </w:r>
            <w:r w:rsidR="005A7B2C" w:rsidRPr="00FF53DB">
              <w:rPr>
                <w:sz w:val="20"/>
                <w:szCs w:val="20"/>
              </w:rPr>
              <w:t>pdat</w:t>
            </w:r>
            <w:r w:rsidRPr="00FF53DB">
              <w:rPr>
                <w:sz w:val="20"/>
                <w:szCs w:val="20"/>
              </w:rPr>
              <w:t>ing</w:t>
            </w:r>
            <w:r w:rsidR="005A7B2C" w:rsidRPr="00FF53DB">
              <w:rPr>
                <w:sz w:val="20"/>
                <w:szCs w:val="20"/>
              </w:rPr>
              <w:t xml:space="preserve"> contact tracing protocol</w:t>
            </w:r>
            <w:r w:rsidR="00BE3E21" w:rsidRPr="00FF53DB">
              <w:rPr>
                <w:sz w:val="20"/>
                <w:szCs w:val="20"/>
              </w:rPr>
              <w:t xml:space="preserve">s </w:t>
            </w:r>
            <w:r w:rsidRPr="00FF53DB">
              <w:rPr>
                <w:sz w:val="20"/>
                <w:szCs w:val="20"/>
              </w:rPr>
              <w:t xml:space="preserve">to </w:t>
            </w:r>
            <w:r w:rsidR="005A7B2C" w:rsidRPr="00FF53DB">
              <w:rPr>
                <w:sz w:val="20"/>
                <w:szCs w:val="20"/>
              </w:rPr>
              <w:t>ensure sufficient surge support in the event of an outbreak</w:t>
            </w:r>
            <w:r w:rsidR="008C15FA" w:rsidRPr="00FF53DB">
              <w:rPr>
                <w:sz w:val="20"/>
                <w:szCs w:val="20"/>
              </w:rPr>
              <w:t>.</w:t>
            </w:r>
          </w:p>
          <w:p w14:paraId="44F01EB8" w14:textId="20AF4281" w:rsidR="005A7B2C" w:rsidRPr="00FF53DB" w:rsidRDefault="00595AC6" w:rsidP="0020778F">
            <w:pPr>
              <w:spacing w:before="0"/>
              <w:rPr>
                <w:sz w:val="20"/>
                <w:szCs w:val="20"/>
              </w:rPr>
            </w:pPr>
            <w:r w:rsidRPr="00FF53DB">
              <w:rPr>
                <w:sz w:val="20"/>
                <w:szCs w:val="20"/>
              </w:rPr>
              <w:t>Supported implementation of c</w:t>
            </w:r>
            <w:r w:rsidR="005A7B2C" w:rsidRPr="00FF53DB">
              <w:rPr>
                <w:sz w:val="20"/>
                <w:szCs w:val="20"/>
              </w:rPr>
              <w:t>ritical quarantine management</w:t>
            </w:r>
            <w:r w:rsidRPr="00FF53DB">
              <w:rPr>
                <w:sz w:val="20"/>
                <w:szCs w:val="20"/>
              </w:rPr>
              <w:t xml:space="preserve"> protocols </w:t>
            </w:r>
            <w:r w:rsidR="005A7B2C" w:rsidRPr="00FF53DB">
              <w:rPr>
                <w:sz w:val="20"/>
                <w:szCs w:val="20"/>
              </w:rPr>
              <w:t>and PPE</w:t>
            </w:r>
            <w:r w:rsidRPr="00FF53DB">
              <w:rPr>
                <w:sz w:val="20"/>
                <w:szCs w:val="20"/>
              </w:rPr>
              <w:t xml:space="preserve">. These were </w:t>
            </w:r>
            <w:r w:rsidR="005A7B2C" w:rsidRPr="00FF53DB">
              <w:rPr>
                <w:sz w:val="20"/>
                <w:szCs w:val="20"/>
              </w:rPr>
              <w:t>integrated into Samoa</w:t>
            </w:r>
            <w:r w:rsidR="00E60E65" w:rsidRPr="00FF53DB">
              <w:rPr>
                <w:sz w:val="20"/>
                <w:szCs w:val="20"/>
              </w:rPr>
              <w:t>’s</w:t>
            </w:r>
            <w:r w:rsidR="005A7B2C" w:rsidRPr="00FF53DB">
              <w:rPr>
                <w:sz w:val="20"/>
                <w:szCs w:val="20"/>
              </w:rPr>
              <w:t xml:space="preserve"> COVID-19 response</w:t>
            </w:r>
            <w:r w:rsidR="008C15FA" w:rsidRPr="00FF53DB">
              <w:rPr>
                <w:sz w:val="20"/>
                <w:szCs w:val="20"/>
              </w:rPr>
              <w:t>.</w:t>
            </w:r>
          </w:p>
        </w:tc>
      </w:tr>
      <w:tr w:rsidR="005A7B2C" w:rsidRPr="00C65DFB" w14:paraId="561E10FB" w14:textId="77777777" w:rsidTr="007A4493">
        <w:trPr>
          <w:tblHeader/>
        </w:trPr>
        <w:tc>
          <w:tcPr>
            <w:tcW w:w="4390" w:type="dxa"/>
          </w:tcPr>
          <w:p w14:paraId="3FC5A9AE" w14:textId="00E17629" w:rsidR="005A7B2C" w:rsidRPr="00FF53DB" w:rsidRDefault="005A7B2C" w:rsidP="0020778F">
            <w:pPr>
              <w:spacing w:before="0"/>
              <w:rPr>
                <w:sz w:val="20"/>
                <w:szCs w:val="20"/>
              </w:rPr>
            </w:pPr>
            <w:r w:rsidRPr="00FF53DB">
              <w:rPr>
                <w:sz w:val="20"/>
                <w:szCs w:val="20"/>
              </w:rPr>
              <w:t>Number of people immunised with Australian support</w:t>
            </w:r>
          </w:p>
        </w:tc>
        <w:tc>
          <w:tcPr>
            <w:tcW w:w="6146" w:type="dxa"/>
          </w:tcPr>
          <w:p w14:paraId="1D0B508E" w14:textId="6C444370" w:rsidR="005A7B2C" w:rsidRPr="00FF53DB" w:rsidRDefault="00595AC6" w:rsidP="0020778F">
            <w:pPr>
              <w:spacing w:before="0"/>
              <w:rPr>
                <w:sz w:val="20"/>
                <w:szCs w:val="20"/>
              </w:rPr>
            </w:pPr>
            <w:r w:rsidRPr="00FF53DB">
              <w:rPr>
                <w:sz w:val="20"/>
                <w:szCs w:val="20"/>
              </w:rPr>
              <w:t>Supported</w:t>
            </w:r>
            <w:r w:rsidR="006775D9" w:rsidRPr="00FF53DB">
              <w:rPr>
                <w:sz w:val="20"/>
                <w:szCs w:val="20"/>
              </w:rPr>
              <w:t xml:space="preserve"> </w:t>
            </w:r>
            <w:r w:rsidR="00D476E3" w:rsidRPr="00FF53DB">
              <w:rPr>
                <w:sz w:val="20"/>
                <w:szCs w:val="20"/>
              </w:rPr>
              <w:t>51,</w:t>
            </w:r>
            <w:r w:rsidR="009208E9" w:rsidRPr="00FF53DB">
              <w:rPr>
                <w:sz w:val="20"/>
                <w:szCs w:val="20"/>
              </w:rPr>
              <w:t xml:space="preserve">756 </w:t>
            </w:r>
            <w:r w:rsidR="005A7B2C" w:rsidRPr="00FF53DB">
              <w:rPr>
                <w:sz w:val="20"/>
                <w:szCs w:val="20"/>
              </w:rPr>
              <w:t>people (</w:t>
            </w:r>
            <w:r w:rsidRPr="00FF53DB">
              <w:rPr>
                <w:sz w:val="20"/>
                <w:szCs w:val="20"/>
              </w:rPr>
              <w:t xml:space="preserve">or </w:t>
            </w:r>
            <w:r w:rsidR="009208E9" w:rsidRPr="00FF53DB">
              <w:rPr>
                <w:sz w:val="20"/>
                <w:szCs w:val="20"/>
              </w:rPr>
              <w:t>42.5</w:t>
            </w:r>
            <w:r w:rsidR="00A8197D" w:rsidRPr="00FF53DB">
              <w:rPr>
                <w:sz w:val="20"/>
                <w:szCs w:val="20"/>
              </w:rPr>
              <w:t xml:space="preserve"> per cent</w:t>
            </w:r>
            <w:r w:rsidR="005A7B2C" w:rsidRPr="00FF53DB">
              <w:rPr>
                <w:sz w:val="20"/>
                <w:szCs w:val="20"/>
              </w:rPr>
              <w:t xml:space="preserve"> of </w:t>
            </w:r>
            <w:r w:rsidR="009208E9" w:rsidRPr="00FF53DB">
              <w:rPr>
                <w:sz w:val="20"/>
                <w:szCs w:val="20"/>
              </w:rPr>
              <w:t xml:space="preserve">eligible </w:t>
            </w:r>
            <w:r w:rsidR="005A7B2C" w:rsidRPr="00FF53DB">
              <w:rPr>
                <w:sz w:val="20"/>
                <w:szCs w:val="20"/>
              </w:rPr>
              <w:t xml:space="preserve">population) </w:t>
            </w:r>
            <w:r w:rsidRPr="00FF53DB">
              <w:rPr>
                <w:sz w:val="20"/>
                <w:szCs w:val="20"/>
              </w:rPr>
              <w:t>to be partially</w:t>
            </w:r>
            <w:r w:rsidR="005A7B2C" w:rsidRPr="00FF53DB">
              <w:rPr>
                <w:sz w:val="20"/>
                <w:szCs w:val="20"/>
              </w:rPr>
              <w:t xml:space="preserve"> vaccinated and </w:t>
            </w:r>
            <w:r w:rsidR="009208E9" w:rsidRPr="00FF53DB">
              <w:rPr>
                <w:sz w:val="20"/>
                <w:szCs w:val="20"/>
              </w:rPr>
              <w:t>7,891</w:t>
            </w:r>
            <w:r w:rsidR="005A7B2C" w:rsidRPr="00FF53DB">
              <w:rPr>
                <w:sz w:val="20"/>
                <w:szCs w:val="20"/>
              </w:rPr>
              <w:t xml:space="preserve"> (</w:t>
            </w:r>
            <w:r w:rsidRPr="00FF53DB">
              <w:rPr>
                <w:sz w:val="20"/>
                <w:szCs w:val="20"/>
              </w:rPr>
              <w:t xml:space="preserve">or </w:t>
            </w:r>
            <w:r w:rsidR="009208E9" w:rsidRPr="00FF53DB">
              <w:rPr>
                <w:sz w:val="20"/>
                <w:szCs w:val="20"/>
              </w:rPr>
              <w:t>6</w:t>
            </w:r>
            <w:r w:rsidR="005A7B2C" w:rsidRPr="00FF53DB">
              <w:rPr>
                <w:sz w:val="20"/>
                <w:szCs w:val="20"/>
              </w:rPr>
              <w:t>.5</w:t>
            </w:r>
            <w:r w:rsidR="00A8197D" w:rsidRPr="00FF53DB">
              <w:rPr>
                <w:sz w:val="20"/>
                <w:szCs w:val="20"/>
              </w:rPr>
              <w:t xml:space="preserve"> per cent</w:t>
            </w:r>
            <w:r w:rsidR="005A7B2C" w:rsidRPr="00FF53DB">
              <w:rPr>
                <w:sz w:val="20"/>
                <w:szCs w:val="20"/>
              </w:rPr>
              <w:t xml:space="preserve"> of </w:t>
            </w:r>
            <w:r w:rsidR="009208E9" w:rsidRPr="00FF53DB">
              <w:rPr>
                <w:sz w:val="20"/>
                <w:szCs w:val="20"/>
              </w:rPr>
              <w:t xml:space="preserve">eligible </w:t>
            </w:r>
            <w:r w:rsidR="005A7B2C" w:rsidRPr="00FF53DB">
              <w:rPr>
                <w:sz w:val="20"/>
                <w:szCs w:val="20"/>
              </w:rPr>
              <w:t xml:space="preserve">population) </w:t>
            </w:r>
            <w:r w:rsidRPr="00FF53DB">
              <w:rPr>
                <w:sz w:val="20"/>
                <w:szCs w:val="20"/>
              </w:rPr>
              <w:t>to be</w:t>
            </w:r>
            <w:r w:rsidR="005A7B2C" w:rsidRPr="00FF53DB">
              <w:rPr>
                <w:sz w:val="20"/>
                <w:szCs w:val="20"/>
              </w:rPr>
              <w:t xml:space="preserve"> vaccinated with AstraZeneca vaccine doses</w:t>
            </w:r>
            <w:r w:rsidR="00915424" w:rsidRPr="00FF53DB">
              <w:rPr>
                <w:sz w:val="20"/>
                <w:szCs w:val="20"/>
              </w:rPr>
              <w:t xml:space="preserve"> </w:t>
            </w:r>
            <w:r w:rsidR="006775D9" w:rsidRPr="00FF53DB">
              <w:rPr>
                <w:sz w:val="20"/>
                <w:szCs w:val="20"/>
              </w:rPr>
              <w:t xml:space="preserve">received </w:t>
            </w:r>
            <w:r w:rsidR="00261AF3" w:rsidRPr="00FF53DB">
              <w:rPr>
                <w:sz w:val="20"/>
                <w:szCs w:val="20"/>
              </w:rPr>
              <w:t>through the COVAX A</w:t>
            </w:r>
            <w:r w:rsidR="006775D9" w:rsidRPr="00FF53DB">
              <w:rPr>
                <w:sz w:val="20"/>
                <w:szCs w:val="20"/>
              </w:rPr>
              <w:t>MC</w:t>
            </w:r>
            <w:r w:rsidR="005A7B2C" w:rsidRPr="00FF53DB">
              <w:rPr>
                <w:sz w:val="20"/>
                <w:szCs w:val="20"/>
              </w:rPr>
              <w:t>.</w:t>
            </w:r>
          </w:p>
        </w:tc>
      </w:tr>
      <w:tr w:rsidR="005A7B2C" w:rsidRPr="00C65DFB" w14:paraId="6024B2EE" w14:textId="77777777" w:rsidTr="007A4493">
        <w:trPr>
          <w:tblHeader/>
        </w:trPr>
        <w:tc>
          <w:tcPr>
            <w:tcW w:w="4390" w:type="dxa"/>
          </w:tcPr>
          <w:p w14:paraId="5A7E4C44" w14:textId="584D3B47" w:rsidR="005A7B2C" w:rsidRPr="00FF53DB" w:rsidRDefault="005A7B2C" w:rsidP="0020778F">
            <w:pPr>
              <w:spacing w:before="0"/>
              <w:rPr>
                <w:sz w:val="20"/>
                <w:szCs w:val="20"/>
              </w:rPr>
            </w:pPr>
            <w:r w:rsidRPr="00FF53DB">
              <w:rPr>
                <w:sz w:val="20"/>
                <w:szCs w:val="20"/>
              </w:rPr>
              <w:t xml:space="preserve">Number of women and men accessing SRHR services provided with Australian support </w:t>
            </w:r>
          </w:p>
        </w:tc>
        <w:tc>
          <w:tcPr>
            <w:tcW w:w="6146" w:type="dxa"/>
          </w:tcPr>
          <w:p w14:paraId="3A40B9CD" w14:textId="5690BBEE" w:rsidR="005A7B2C" w:rsidRPr="00FF53DB" w:rsidRDefault="00595AC6" w:rsidP="0020778F">
            <w:pPr>
              <w:spacing w:before="0"/>
              <w:rPr>
                <w:sz w:val="20"/>
                <w:szCs w:val="20"/>
              </w:rPr>
            </w:pPr>
            <w:r w:rsidRPr="00FF53DB">
              <w:rPr>
                <w:sz w:val="20"/>
                <w:szCs w:val="20"/>
              </w:rPr>
              <w:t>Supported 10,091 people (</w:t>
            </w:r>
            <w:r w:rsidR="005A7B2C" w:rsidRPr="00FF53DB">
              <w:rPr>
                <w:sz w:val="20"/>
                <w:szCs w:val="20"/>
              </w:rPr>
              <w:t>7,355</w:t>
            </w:r>
            <w:r w:rsidRPr="00FF53DB">
              <w:rPr>
                <w:sz w:val="20"/>
                <w:szCs w:val="20"/>
              </w:rPr>
              <w:t xml:space="preserve"> women and 2,736 youth) to</w:t>
            </w:r>
            <w:r w:rsidR="005A7B2C" w:rsidRPr="00FF53DB">
              <w:rPr>
                <w:sz w:val="20"/>
                <w:szCs w:val="20"/>
              </w:rPr>
              <w:t xml:space="preserve"> receiv</w:t>
            </w:r>
            <w:r w:rsidRPr="00FF53DB">
              <w:rPr>
                <w:sz w:val="20"/>
                <w:szCs w:val="20"/>
              </w:rPr>
              <w:t>e</w:t>
            </w:r>
            <w:r w:rsidR="005A7B2C" w:rsidRPr="00FF53DB">
              <w:rPr>
                <w:sz w:val="20"/>
                <w:szCs w:val="20"/>
              </w:rPr>
              <w:t xml:space="preserve"> SRHR services</w:t>
            </w:r>
            <w:r w:rsidR="006775D9" w:rsidRPr="00FF53DB">
              <w:rPr>
                <w:sz w:val="20"/>
                <w:szCs w:val="20"/>
              </w:rPr>
              <w:t xml:space="preserve">, an </w:t>
            </w:r>
            <w:r w:rsidR="005A7B2C" w:rsidRPr="00FF53DB">
              <w:rPr>
                <w:sz w:val="20"/>
                <w:szCs w:val="20"/>
              </w:rPr>
              <w:t>18</w:t>
            </w:r>
            <w:r w:rsidR="0020778F" w:rsidRPr="00FF53DB">
              <w:rPr>
                <w:sz w:val="20"/>
                <w:szCs w:val="20"/>
              </w:rPr>
              <w:t> </w:t>
            </w:r>
            <w:r w:rsidR="005F3077" w:rsidRPr="00FF53DB">
              <w:rPr>
                <w:sz w:val="20"/>
                <w:szCs w:val="20"/>
              </w:rPr>
              <w:t>per cent</w:t>
            </w:r>
            <w:r w:rsidR="005A7B2C" w:rsidRPr="00FF53DB">
              <w:rPr>
                <w:sz w:val="20"/>
                <w:szCs w:val="20"/>
              </w:rPr>
              <w:t xml:space="preserve"> increase over pre-COVID-19 baseline of 8,215</w:t>
            </w:r>
            <w:r w:rsidR="00D67122" w:rsidRPr="00FF53DB">
              <w:rPr>
                <w:sz w:val="20"/>
                <w:szCs w:val="20"/>
              </w:rPr>
              <w:t xml:space="preserve"> for Australian-supported activities. </w:t>
            </w:r>
          </w:p>
        </w:tc>
      </w:tr>
      <w:tr w:rsidR="005A7B2C" w:rsidRPr="00C65DFB" w14:paraId="755549C2" w14:textId="77777777" w:rsidTr="007A4493">
        <w:trPr>
          <w:tblHeader/>
        </w:trPr>
        <w:tc>
          <w:tcPr>
            <w:tcW w:w="4390" w:type="dxa"/>
          </w:tcPr>
          <w:p w14:paraId="7AFADCFE" w14:textId="4D1FCECC" w:rsidR="005A7B2C" w:rsidRPr="00FF53DB" w:rsidRDefault="005A7B2C" w:rsidP="0020778F">
            <w:pPr>
              <w:spacing w:before="0"/>
              <w:rPr>
                <w:sz w:val="20"/>
                <w:szCs w:val="20"/>
              </w:rPr>
            </w:pPr>
            <w:r w:rsidRPr="00FF53DB">
              <w:rPr>
                <w:sz w:val="20"/>
                <w:szCs w:val="20"/>
              </w:rPr>
              <w:t xml:space="preserve">Total number of SRHR-related appointments held at frontline service units, provided with Australian support </w:t>
            </w:r>
          </w:p>
        </w:tc>
        <w:tc>
          <w:tcPr>
            <w:tcW w:w="6146" w:type="dxa"/>
          </w:tcPr>
          <w:p w14:paraId="5BB4C432" w14:textId="08130ADA" w:rsidR="005A7B2C" w:rsidRPr="00FF53DB" w:rsidRDefault="00D67122" w:rsidP="0020778F">
            <w:pPr>
              <w:spacing w:before="0"/>
              <w:rPr>
                <w:sz w:val="20"/>
                <w:szCs w:val="20"/>
              </w:rPr>
            </w:pPr>
            <w:r w:rsidRPr="00FF53DB">
              <w:rPr>
                <w:sz w:val="20"/>
                <w:szCs w:val="20"/>
              </w:rPr>
              <w:t xml:space="preserve">Supported the delivery of </w:t>
            </w:r>
            <w:r w:rsidR="005A7B2C" w:rsidRPr="00FF53DB">
              <w:rPr>
                <w:sz w:val="20"/>
                <w:szCs w:val="20"/>
              </w:rPr>
              <w:t>34,275 SRHR-related services at both static and mobile clinics</w:t>
            </w:r>
            <w:r w:rsidR="005D2935" w:rsidRPr="00FF53DB">
              <w:rPr>
                <w:sz w:val="20"/>
                <w:szCs w:val="20"/>
              </w:rPr>
              <w:t xml:space="preserve">. </w:t>
            </w:r>
          </w:p>
          <w:p w14:paraId="04FCE7CD" w14:textId="78348C9B" w:rsidR="005A7B2C" w:rsidRPr="00FF53DB" w:rsidRDefault="005A7B2C" w:rsidP="0020778F">
            <w:pPr>
              <w:spacing w:before="0"/>
              <w:ind w:left="6"/>
              <w:rPr>
                <w:sz w:val="20"/>
                <w:szCs w:val="20"/>
              </w:rPr>
            </w:pPr>
          </w:p>
        </w:tc>
      </w:tr>
      <w:tr w:rsidR="005A7B2C" w:rsidRPr="00C65DFB" w14:paraId="35AC88D8" w14:textId="77777777" w:rsidTr="007A4493">
        <w:trPr>
          <w:tblHeader/>
        </w:trPr>
        <w:tc>
          <w:tcPr>
            <w:tcW w:w="4390" w:type="dxa"/>
          </w:tcPr>
          <w:p w14:paraId="169D6267" w14:textId="50FFEB66" w:rsidR="005A7B2C" w:rsidRPr="00FF53DB" w:rsidRDefault="005A7B2C" w:rsidP="0020778F">
            <w:pPr>
              <w:spacing w:before="0"/>
              <w:rPr>
                <w:sz w:val="20"/>
                <w:szCs w:val="20"/>
              </w:rPr>
            </w:pPr>
            <w:r w:rsidRPr="00FF53DB">
              <w:rPr>
                <w:sz w:val="20"/>
                <w:szCs w:val="20"/>
              </w:rPr>
              <w:t xml:space="preserve">Contraceptive protection from unplanned pregnancy made available through Australian support </w:t>
            </w:r>
          </w:p>
        </w:tc>
        <w:tc>
          <w:tcPr>
            <w:tcW w:w="6146" w:type="dxa"/>
          </w:tcPr>
          <w:p w14:paraId="2ED4D2ED" w14:textId="3D119323" w:rsidR="005A7B2C" w:rsidRPr="00FF53DB" w:rsidRDefault="00D67122" w:rsidP="0020778F">
            <w:pPr>
              <w:spacing w:before="0"/>
              <w:rPr>
                <w:sz w:val="20"/>
                <w:szCs w:val="20"/>
              </w:rPr>
            </w:pPr>
            <w:r w:rsidRPr="00FF53DB">
              <w:rPr>
                <w:sz w:val="20"/>
                <w:szCs w:val="20"/>
              </w:rPr>
              <w:t>Supported</w:t>
            </w:r>
            <w:r w:rsidR="00786926" w:rsidRPr="00FF53DB">
              <w:rPr>
                <w:sz w:val="20"/>
                <w:szCs w:val="20"/>
              </w:rPr>
              <w:t xml:space="preserve"> 348</w:t>
            </w:r>
            <w:r w:rsidRPr="00FF53DB">
              <w:rPr>
                <w:sz w:val="20"/>
                <w:szCs w:val="20"/>
              </w:rPr>
              <w:t xml:space="preserve"> </w:t>
            </w:r>
            <w:r w:rsidR="005A7B2C" w:rsidRPr="00FF53DB">
              <w:rPr>
                <w:sz w:val="20"/>
                <w:szCs w:val="20"/>
              </w:rPr>
              <w:t>Couple Protection Years</w:t>
            </w:r>
            <w:r w:rsidRPr="00FF53DB">
              <w:rPr>
                <w:rStyle w:val="FootnoteReference"/>
                <w:sz w:val="20"/>
                <w:szCs w:val="20"/>
              </w:rPr>
              <w:footnoteReference w:id="1"/>
            </w:r>
            <w:r w:rsidR="005A7B2C" w:rsidRPr="00FF53DB">
              <w:rPr>
                <w:sz w:val="20"/>
                <w:szCs w:val="20"/>
              </w:rPr>
              <w:t xml:space="preserve"> </w:t>
            </w:r>
            <w:r w:rsidR="008C277E" w:rsidRPr="00FF53DB">
              <w:rPr>
                <w:sz w:val="20"/>
                <w:szCs w:val="20"/>
              </w:rPr>
              <w:t>.</w:t>
            </w:r>
          </w:p>
        </w:tc>
      </w:tr>
    </w:tbl>
    <w:p w14:paraId="243A53B1" w14:textId="77777777" w:rsidR="0020778F" w:rsidRPr="00D55810" w:rsidRDefault="0020778F" w:rsidP="00D55810">
      <w:pPr>
        <w:pStyle w:val="Heading3"/>
      </w:pPr>
    </w:p>
    <w:p w14:paraId="08BBE344" w14:textId="6CA97B99" w:rsidR="00AE2B7B" w:rsidRPr="00C65DFB" w:rsidRDefault="00AE2B7B" w:rsidP="00D55810">
      <w:pPr>
        <w:pStyle w:val="Heading3"/>
      </w:pPr>
      <w:r w:rsidRPr="00C65DFB">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rsidRPr="00C65DFB" w14:paraId="14EF210E" w14:textId="77777777" w:rsidTr="001147B0">
        <w:trPr>
          <w:tblHeader/>
        </w:trPr>
        <w:tc>
          <w:tcPr>
            <w:tcW w:w="4390" w:type="dxa"/>
            <w:shd w:val="clear" w:color="auto" w:fill="A2DCD1" w:themeFill="accent1" w:themeFillTint="99"/>
            <w:vAlign w:val="bottom"/>
          </w:tcPr>
          <w:p w14:paraId="47014330" w14:textId="7A7E2C4C" w:rsidR="00CA5021" w:rsidRPr="00901792" w:rsidRDefault="00A96364" w:rsidP="0020778F">
            <w:pPr>
              <w:widowControl w:val="0"/>
              <w:spacing w:before="0"/>
              <w:jc w:val="center"/>
              <w:rPr>
                <w:sz w:val="20"/>
                <w:szCs w:val="20"/>
              </w:rPr>
            </w:pPr>
            <w:r w:rsidRPr="00901792">
              <w:rPr>
                <w:b/>
                <w:sz w:val="20"/>
                <w:szCs w:val="20"/>
              </w:rPr>
              <w:t>Key Results</w:t>
            </w:r>
            <w:r w:rsidR="00CA5021" w:rsidRPr="00901792">
              <w:rPr>
                <w:b/>
                <w:sz w:val="20"/>
                <w:szCs w:val="20"/>
              </w:rPr>
              <w:t xml:space="preserve"> Indicator</w:t>
            </w:r>
            <w:r w:rsidRPr="00901792">
              <w:rPr>
                <w:b/>
                <w:sz w:val="20"/>
                <w:szCs w:val="20"/>
              </w:rPr>
              <w:t>s</w:t>
            </w:r>
          </w:p>
        </w:tc>
        <w:tc>
          <w:tcPr>
            <w:tcW w:w="6146" w:type="dxa"/>
            <w:shd w:val="clear" w:color="auto" w:fill="A2DCD1" w:themeFill="accent1" w:themeFillTint="99"/>
            <w:vAlign w:val="bottom"/>
          </w:tcPr>
          <w:p w14:paraId="167B5817" w14:textId="6DB7E03D" w:rsidR="00CA5021" w:rsidRPr="00901792" w:rsidRDefault="00AD19F7" w:rsidP="0020778F">
            <w:pPr>
              <w:widowControl w:val="0"/>
              <w:spacing w:before="0"/>
              <w:jc w:val="center"/>
              <w:rPr>
                <w:sz w:val="20"/>
                <w:szCs w:val="20"/>
              </w:rPr>
            </w:pPr>
            <w:r w:rsidRPr="00901792">
              <w:rPr>
                <w:b/>
                <w:sz w:val="20"/>
                <w:szCs w:val="20"/>
              </w:rPr>
              <w:t>Progress/Result</w:t>
            </w:r>
          </w:p>
        </w:tc>
      </w:tr>
      <w:tr w:rsidR="00CA5021" w14:paraId="593A8551" w14:textId="77777777" w:rsidTr="0020778F">
        <w:trPr>
          <w:cantSplit/>
        </w:trPr>
        <w:tc>
          <w:tcPr>
            <w:tcW w:w="4390" w:type="dxa"/>
          </w:tcPr>
          <w:p w14:paraId="2AA59D1C" w14:textId="53B966CE" w:rsidR="00CA5021" w:rsidRPr="00FF53DB" w:rsidRDefault="005A7B2C" w:rsidP="0020778F">
            <w:pPr>
              <w:spacing w:before="0"/>
              <w:rPr>
                <w:sz w:val="20"/>
                <w:szCs w:val="20"/>
              </w:rPr>
            </w:pPr>
            <w:r w:rsidRPr="00FF53DB">
              <w:rPr>
                <w:sz w:val="20"/>
                <w:szCs w:val="20"/>
              </w:rPr>
              <w:t xml:space="preserve">Number (and nature) of instances of improved social protection-related policies and/or measures </w:t>
            </w:r>
          </w:p>
        </w:tc>
        <w:tc>
          <w:tcPr>
            <w:tcW w:w="6146" w:type="dxa"/>
          </w:tcPr>
          <w:p w14:paraId="4DF69419" w14:textId="7BEEC9C3" w:rsidR="00996AEA" w:rsidRPr="00FF53DB" w:rsidRDefault="008C277E" w:rsidP="0020778F">
            <w:pPr>
              <w:spacing w:before="0"/>
              <w:rPr>
                <w:sz w:val="20"/>
                <w:szCs w:val="20"/>
              </w:rPr>
            </w:pPr>
            <w:r w:rsidRPr="00FF53DB">
              <w:rPr>
                <w:sz w:val="20"/>
                <w:szCs w:val="20"/>
              </w:rPr>
              <w:t xml:space="preserve">Supported the amendment of the </w:t>
            </w:r>
            <w:r w:rsidR="005A7B2C" w:rsidRPr="00FF53DB">
              <w:rPr>
                <w:sz w:val="20"/>
                <w:szCs w:val="20"/>
              </w:rPr>
              <w:t xml:space="preserve">Labour and Employment Relations Act </w:t>
            </w:r>
            <w:r w:rsidR="003F5D22" w:rsidRPr="00FF53DB">
              <w:rPr>
                <w:sz w:val="20"/>
                <w:szCs w:val="20"/>
              </w:rPr>
              <w:t>to</w:t>
            </w:r>
            <w:r w:rsidR="005A7B2C" w:rsidRPr="00FF53DB">
              <w:rPr>
                <w:sz w:val="20"/>
                <w:szCs w:val="20"/>
              </w:rPr>
              <w:t xml:space="preserve"> strengthen provisions against discrimination and child labour, and criteria for adjusting minimum wages. </w:t>
            </w:r>
          </w:p>
          <w:p w14:paraId="3EFF3B79" w14:textId="2448125C" w:rsidR="005A7B2C" w:rsidRPr="00FF53DB" w:rsidRDefault="008C277E" w:rsidP="0020778F">
            <w:pPr>
              <w:spacing w:before="0"/>
              <w:rPr>
                <w:sz w:val="20"/>
                <w:szCs w:val="20"/>
              </w:rPr>
            </w:pPr>
            <w:r w:rsidRPr="00FF53DB">
              <w:rPr>
                <w:sz w:val="20"/>
                <w:szCs w:val="20"/>
              </w:rPr>
              <w:t>Supported v</w:t>
            </w:r>
            <w:r w:rsidR="005A7B2C" w:rsidRPr="00FF53DB">
              <w:rPr>
                <w:sz w:val="20"/>
                <w:szCs w:val="20"/>
              </w:rPr>
              <w:t>ulnerable sectors and livelihoods through the COVID</w:t>
            </w:r>
            <w:r w:rsidR="00915424" w:rsidRPr="00FF53DB">
              <w:rPr>
                <w:sz w:val="20"/>
                <w:szCs w:val="20"/>
              </w:rPr>
              <w:t>-19</w:t>
            </w:r>
            <w:r w:rsidR="005A7B2C" w:rsidRPr="00FF53DB">
              <w:rPr>
                <w:sz w:val="20"/>
                <w:szCs w:val="20"/>
              </w:rPr>
              <w:t xml:space="preserve"> stimulus package</w:t>
            </w:r>
            <w:r w:rsidR="00B93932" w:rsidRPr="00FF53DB">
              <w:rPr>
                <w:sz w:val="20"/>
                <w:szCs w:val="20"/>
              </w:rPr>
              <w:t>,</w:t>
            </w:r>
            <w:r w:rsidR="005A7B2C" w:rsidRPr="00FF53DB">
              <w:rPr>
                <w:sz w:val="20"/>
                <w:szCs w:val="20"/>
              </w:rPr>
              <w:t xml:space="preserve"> including an unemployment benefit and a one-off senior</w:t>
            </w:r>
            <w:r w:rsidR="00D207BE">
              <w:rPr>
                <w:sz w:val="20"/>
                <w:szCs w:val="20"/>
              </w:rPr>
              <w:t xml:space="preserve"> </w:t>
            </w:r>
            <w:r w:rsidR="005A7B2C" w:rsidRPr="00FF53DB">
              <w:rPr>
                <w:sz w:val="20"/>
                <w:szCs w:val="20"/>
              </w:rPr>
              <w:t>citizens</w:t>
            </w:r>
            <w:r w:rsidR="00D207BE">
              <w:rPr>
                <w:sz w:val="20"/>
                <w:szCs w:val="20"/>
              </w:rPr>
              <w:t>’</w:t>
            </w:r>
            <w:r w:rsidR="005A7B2C" w:rsidRPr="00FF53DB">
              <w:rPr>
                <w:sz w:val="20"/>
                <w:szCs w:val="20"/>
              </w:rPr>
              <w:t xml:space="preserve"> benefit.</w:t>
            </w:r>
          </w:p>
          <w:p w14:paraId="2E8902BB" w14:textId="050F0C0F" w:rsidR="00CA5021" w:rsidRPr="00FF53DB" w:rsidRDefault="008C277E" w:rsidP="0020778F">
            <w:pPr>
              <w:spacing w:before="0"/>
              <w:rPr>
                <w:rFonts w:eastAsia="Times New Roman"/>
                <w:i/>
                <w:sz w:val="20"/>
                <w:szCs w:val="20"/>
              </w:rPr>
            </w:pPr>
            <w:r w:rsidRPr="00FF53DB">
              <w:rPr>
                <w:sz w:val="20"/>
                <w:szCs w:val="20"/>
              </w:rPr>
              <w:t xml:space="preserve">Under the new </w:t>
            </w:r>
            <w:r w:rsidR="005A7B2C" w:rsidRPr="00FF53DB">
              <w:rPr>
                <w:sz w:val="20"/>
                <w:szCs w:val="20"/>
              </w:rPr>
              <w:t>Shelter Financing Project</w:t>
            </w:r>
            <w:r w:rsidRPr="00FF53DB">
              <w:rPr>
                <w:sz w:val="20"/>
                <w:szCs w:val="20"/>
              </w:rPr>
              <w:t xml:space="preserve">, commenced work </w:t>
            </w:r>
            <w:r w:rsidR="006F5B56" w:rsidRPr="00FF53DB">
              <w:rPr>
                <w:sz w:val="20"/>
                <w:szCs w:val="20"/>
              </w:rPr>
              <w:t>to provide</w:t>
            </w:r>
            <w:r w:rsidR="005A7B2C" w:rsidRPr="00FF53DB">
              <w:rPr>
                <w:sz w:val="20"/>
                <w:szCs w:val="20"/>
              </w:rPr>
              <w:t xml:space="preserve"> 115 new builds and 53 home refurbishments for 171</w:t>
            </w:r>
            <w:r w:rsidR="0020778F" w:rsidRPr="00FF53DB">
              <w:rPr>
                <w:sz w:val="20"/>
                <w:szCs w:val="20"/>
              </w:rPr>
              <w:t> </w:t>
            </w:r>
            <w:r w:rsidR="005A7B2C" w:rsidRPr="00FF53DB">
              <w:rPr>
                <w:sz w:val="20"/>
                <w:szCs w:val="20"/>
              </w:rPr>
              <w:t>families</w:t>
            </w:r>
            <w:r w:rsidRPr="00FF53DB">
              <w:rPr>
                <w:sz w:val="20"/>
                <w:szCs w:val="20"/>
              </w:rPr>
              <w:t xml:space="preserve">. </w:t>
            </w:r>
          </w:p>
        </w:tc>
      </w:tr>
      <w:tr w:rsidR="00CA5021" w14:paraId="0556A95D" w14:textId="77777777" w:rsidTr="0020778F">
        <w:trPr>
          <w:cantSplit/>
        </w:trPr>
        <w:tc>
          <w:tcPr>
            <w:tcW w:w="4390" w:type="dxa"/>
          </w:tcPr>
          <w:p w14:paraId="62F5276A" w14:textId="1332496B" w:rsidR="00CA5021" w:rsidRPr="00CD54D0" w:rsidRDefault="005A7B2C" w:rsidP="0020778F">
            <w:pPr>
              <w:spacing w:before="0"/>
              <w:rPr>
                <w:sz w:val="20"/>
                <w:szCs w:val="20"/>
              </w:rPr>
            </w:pPr>
            <w:r w:rsidRPr="00CD54D0">
              <w:rPr>
                <w:sz w:val="20"/>
                <w:szCs w:val="20"/>
              </w:rPr>
              <w:t xml:space="preserve">Number of </w:t>
            </w:r>
            <w:r w:rsidR="001E4152" w:rsidRPr="00CD54D0">
              <w:rPr>
                <w:sz w:val="20"/>
                <w:szCs w:val="20"/>
              </w:rPr>
              <w:t>w</w:t>
            </w:r>
            <w:r w:rsidRPr="00CD54D0">
              <w:rPr>
                <w:sz w:val="20"/>
                <w:szCs w:val="20"/>
              </w:rPr>
              <w:t>omen and girl survivors receiving support services</w:t>
            </w:r>
          </w:p>
        </w:tc>
        <w:tc>
          <w:tcPr>
            <w:tcW w:w="6146" w:type="dxa"/>
          </w:tcPr>
          <w:p w14:paraId="71F5FF79" w14:textId="60575613" w:rsidR="00CA5021" w:rsidRPr="00CD54D0" w:rsidRDefault="008C277E" w:rsidP="0020778F">
            <w:pPr>
              <w:suppressAutoHyphens w:val="0"/>
              <w:spacing w:before="0"/>
              <w:rPr>
                <w:sz w:val="20"/>
                <w:szCs w:val="20"/>
              </w:rPr>
            </w:pPr>
            <w:r w:rsidRPr="00CD54D0">
              <w:rPr>
                <w:rFonts w:eastAsia="Times New Roman"/>
                <w:sz w:val="20"/>
                <w:szCs w:val="20"/>
              </w:rPr>
              <w:t xml:space="preserve">Supported </w:t>
            </w:r>
            <w:r w:rsidR="005A7B2C" w:rsidRPr="00CD54D0">
              <w:rPr>
                <w:rFonts w:eastAsia="Times New Roman"/>
                <w:sz w:val="20"/>
                <w:szCs w:val="20"/>
              </w:rPr>
              <w:t>13,038 participants</w:t>
            </w:r>
            <w:r w:rsidR="00996AEA" w:rsidRPr="00CD54D0">
              <w:rPr>
                <w:rFonts w:eastAsia="Times New Roman"/>
                <w:sz w:val="20"/>
                <w:szCs w:val="20"/>
              </w:rPr>
              <w:t xml:space="preserve"> </w:t>
            </w:r>
            <w:r w:rsidR="005A7B2C" w:rsidRPr="00CD54D0">
              <w:rPr>
                <w:rFonts w:eastAsia="Times New Roman"/>
                <w:sz w:val="20"/>
                <w:szCs w:val="20"/>
              </w:rPr>
              <w:t>through active women’s councils</w:t>
            </w:r>
            <w:r w:rsidR="005D2935" w:rsidRPr="00CD54D0">
              <w:rPr>
                <w:rFonts w:eastAsia="Times New Roman"/>
                <w:sz w:val="20"/>
                <w:szCs w:val="20"/>
              </w:rPr>
              <w:t xml:space="preserve">. </w:t>
            </w:r>
          </w:p>
        </w:tc>
      </w:tr>
      <w:tr w:rsidR="00CA5021" w14:paraId="5DF0BAD4" w14:textId="77777777" w:rsidTr="0020778F">
        <w:trPr>
          <w:cantSplit/>
        </w:trPr>
        <w:tc>
          <w:tcPr>
            <w:tcW w:w="4390" w:type="dxa"/>
          </w:tcPr>
          <w:p w14:paraId="476782F7" w14:textId="2649AC1A" w:rsidR="00CA5021" w:rsidRPr="00CD54D0" w:rsidRDefault="005A7B2C" w:rsidP="0020778F">
            <w:pPr>
              <w:spacing w:before="0"/>
              <w:rPr>
                <w:sz w:val="20"/>
                <w:szCs w:val="20"/>
              </w:rPr>
            </w:pPr>
            <w:r w:rsidRPr="00CD54D0">
              <w:rPr>
                <w:sz w:val="20"/>
                <w:szCs w:val="20"/>
              </w:rPr>
              <w:t>Number (and nature) of instances of improved policies and/or measures that seek to combat gender-based violence</w:t>
            </w:r>
            <w:r w:rsidR="00080573">
              <w:rPr>
                <w:sz w:val="20"/>
                <w:szCs w:val="20"/>
              </w:rPr>
              <w:t xml:space="preserve"> (GBV)</w:t>
            </w:r>
            <w:r w:rsidRPr="00CD54D0">
              <w:rPr>
                <w:sz w:val="20"/>
                <w:szCs w:val="20"/>
              </w:rPr>
              <w:t xml:space="preserve"> </w:t>
            </w:r>
          </w:p>
        </w:tc>
        <w:tc>
          <w:tcPr>
            <w:tcW w:w="6146" w:type="dxa"/>
          </w:tcPr>
          <w:p w14:paraId="69182282" w14:textId="2AB877FB" w:rsidR="00CA5021" w:rsidRPr="00CD54D0" w:rsidRDefault="008C277E" w:rsidP="0020778F">
            <w:pPr>
              <w:suppressAutoHyphens w:val="0"/>
              <w:spacing w:before="0"/>
              <w:rPr>
                <w:sz w:val="20"/>
                <w:szCs w:val="20"/>
              </w:rPr>
            </w:pPr>
            <w:r w:rsidRPr="00CD54D0">
              <w:rPr>
                <w:sz w:val="20"/>
                <w:szCs w:val="20"/>
              </w:rPr>
              <w:t xml:space="preserve">Supported the development and approval of the new </w:t>
            </w:r>
            <w:r w:rsidR="005A7B2C" w:rsidRPr="00CD54D0">
              <w:rPr>
                <w:sz w:val="20"/>
                <w:szCs w:val="20"/>
              </w:rPr>
              <w:t xml:space="preserve">Inter-agency Services Guide </w:t>
            </w:r>
            <w:r w:rsidRPr="00CD54D0">
              <w:rPr>
                <w:sz w:val="20"/>
                <w:szCs w:val="20"/>
              </w:rPr>
              <w:t>to provide</w:t>
            </w:r>
            <w:r w:rsidR="005A7B2C" w:rsidRPr="00CD54D0">
              <w:rPr>
                <w:sz w:val="20"/>
                <w:szCs w:val="20"/>
              </w:rPr>
              <w:t xml:space="preserve"> a one-stop-shop for the coordination of </w:t>
            </w:r>
            <w:r w:rsidRPr="00CD54D0">
              <w:rPr>
                <w:sz w:val="20"/>
                <w:szCs w:val="20"/>
              </w:rPr>
              <w:t>services to</w:t>
            </w:r>
            <w:r w:rsidR="005A7B2C" w:rsidRPr="00CD54D0">
              <w:rPr>
                <w:sz w:val="20"/>
                <w:szCs w:val="20"/>
              </w:rPr>
              <w:t xml:space="preserve"> victims of GB</w:t>
            </w:r>
            <w:r w:rsidRPr="00CD54D0">
              <w:rPr>
                <w:sz w:val="20"/>
                <w:szCs w:val="20"/>
              </w:rPr>
              <w:t>V.</w:t>
            </w:r>
          </w:p>
        </w:tc>
      </w:tr>
      <w:tr w:rsidR="00CA5021" w14:paraId="7E704FEB" w14:textId="77777777" w:rsidTr="0020778F">
        <w:trPr>
          <w:cantSplit/>
        </w:trPr>
        <w:tc>
          <w:tcPr>
            <w:tcW w:w="4390" w:type="dxa"/>
          </w:tcPr>
          <w:p w14:paraId="1CC2F0CD" w14:textId="486C6AA6" w:rsidR="00CA5021" w:rsidRPr="00CD54D0" w:rsidRDefault="005D2935" w:rsidP="0020778F">
            <w:pPr>
              <w:spacing w:before="0"/>
              <w:rPr>
                <w:sz w:val="20"/>
                <w:szCs w:val="20"/>
              </w:rPr>
            </w:pPr>
            <w:r w:rsidRPr="00CD54D0">
              <w:rPr>
                <w:sz w:val="20"/>
                <w:szCs w:val="20"/>
              </w:rPr>
              <w:t>Per cent</w:t>
            </w:r>
            <w:r w:rsidR="005A7B2C" w:rsidRPr="00CD54D0">
              <w:rPr>
                <w:sz w:val="20"/>
                <w:szCs w:val="20"/>
              </w:rPr>
              <w:t xml:space="preserve">age of Year 4 and Year 6 students meeting a minimum Level 3 for </w:t>
            </w:r>
            <w:r w:rsidR="001E4152" w:rsidRPr="00CD54D0">
              <w:rPr>
                <w:sz w:val="20"/>
                <w:szCs w:val="20"/>
              </w:rPr>
              <w:t>l</w:t>
            </w:r>
            <w:r w:rsidR="005A7B2C" w:rsidRPr="00CD54D0">
              <w:rPr>
                <w:sz w:val="20"/>
                <w:szCs w:val="20"/>
              </w:rPr>
              <w:t xml:space="preserve">iteracy and </w:t>
            </w:r>
            <w:r w:rsidR="001E4152" w:rsidRPr="00CD54D0">
              <w:rPr>
                <w:sz w:val="20"/>
                <w:szCs w:val="20"/>
              </w:rPr>
              <w:t>n</w:t>
            </w:r>
            <w:r w:rsidR="005A7B2C" w:rsidRPr="00CD54D0">
              <w:rPr>
                <w:sz w:val="20"/>
                <w:szCs w:val="20"/>
              </w:rPr>
              <w:t xml:space="preserve">umeracy </w:t>
            </w:r>
          </w:p>
        </w:tc>
        <w:tc>
          <w:tcPr>
            <w:tcW w:w="6146" w:type="dxa"/>
          </w:tcPr>
          <w:p w14:paraId="7D9CAB9B" w14:textId="78B087E1" w:rsidR="00CA5021" w:rsidRPr="00CD54D0" w:rsidRDefault="00A770E3" w:rsidP="0020778F">
            <w:pPr>
              <w:spacing w:before="0"/>
              <w:rPr>
                <w:sz w:val="20"/>
                <w:szCs w:val="20"/>
              </w:rPr>
            </w:pPr>
            <w:r w:rsidRPr="00CD54D0">
              <w:rPr>
                <w:sz w:val="20"/>
                <w:szCs w:val="20"/>
              </w:rPr>
              <w:t>Government of Samoa is currently collating and refining data. This is expected to be released toward the end of 2021.</w:t>
            </w:r>
          </w:p>
        </w:tc>
      </w:tr>
      <w:tr w:rsidR="005A7B2C" w14:paraId="64686581" w14:textId="77777777" w:rsidTr="0020778F">
        <w:trPr>
          <w:cantSplit/>
        </w:trPr>
        <w:tc>
          <w:tcPr>
            <w:tcW w:w="4390" w:type="dxa"/>
          </w:tcPr>
          <w:p w14:paraId="06D16A01" w14:textId="2759A9C4" w:rsidR="005A7B2C" w:rsidRPr="00CD54D0" w:rsidRDefault="005A7B2C" w:rsidP="0020778F">
            <w:pPr>
              <w:spacing w:before="0"/>
              <w:rPr>
                <w:sz w:val="20"/>
                <w:szCs w:val="20"/>
              </w:rPr>
            </w:pPr>
            <w:r w:rsidRPr="00CD54D0">
              <w:rPr>
                <w:sz w:val="20"/>
                <w:szCs w:val="20"/>
              </w:rPr>
              <w:t xml:space="preserve">Number of students with disabilities enrolled at all levels </w:t>
            </w:r>
          </w:p>
        </w:tc>
        <w:tc>
          <w:tcPr>
            <w:tcW w:w="6146" w:type="dxa"/>
          </w:tcPr>
          <w:p w14:paraId="13758491" w14:textId="281712AA" w:rsidR="008C277E" w:rsidRPr="00CD54D0" w:rsidRDefault="008C277E" w:rsidP="0020778F">
            <w:pPr>
              <w:suppressAutoHyphens w:val="0"/>
              <w:spacing w:before="0"/>
              <w:rPr>
                <w:rFonts w:eastAsia="Times New Roman"/>
                <w:sz w:val="20"/>
                <w:szCs w:val="20"/>
              </w:rPr>
            </w:pPr>
            <w:r w:rsidRPr="00CD54D0">
              <w:rPr>
                <w:rFonts w:eastAsia="Times New Roman"/>
                <w:sz w:val="20"/>
                <w:szCs w:val="20"/>
              </w:rPr>
              <w:t xml:space="preserve">Supported the enrolment of </w:t>
            </w:r>
            <w:r w:rsidR="005A7B2C" w:rsidRPr="00CD54D0">
              <w:rPr>
                <w:rFonts w:eastAsia="Times New Roman"/>
                <w:sz w:val="20"/>
                <w:szCs w:val="20"/>
              </w:rPr>
              <w:t xml:space="preserve">373 students with disabilities </w:t>
            </w:r>
            <w:r w:rsidRPr="00CD54D0">
              <w:rPr>
                <w:rFonts w:eastAsia="Times New Roman"/>
                <w:sz w:val="20"/>
                <w:szCs w:val="20"/>
              </w:rPr>
              <w:t>at all levels (with data for</w:t>
            </w:r>
            <w:r w:rsidR="00080573">
              <w:rPr>
                <w:rFonts w:eastAsia="Times New Roman"/>
                <w:sz w:val="20"/>
                <w:szCs w:val="20"/>
              </w:rPr>
              <w:t xml:space="preserve"> National University of Samoa</w:t>
            </w:r>
            <w:r w:rsidRPr="00CD54D0">
              <w:rPr>
                <w:rFonts w:eastAsia="Times New Roman"/>
                <w:sz w:val="20"/>
                <w:szCs w:val="20"/>
              </w:rPr>
              <w:t xml:space="preserve"> currently not available):</w:t>
            </w:r>
          </w:p>
          <w:p w14:paraId="427D5A93" w14:textId="11DAA58D" w:rsidR="008C277E" w:rsidRPr="00CD54D0" w:rsidRDefault="00C65DFB" w:rsidP="006B00A1">
            <w:pPr>
              <w:pStyle w:val="ListParagraph"/>
              <w:numPr>
                <w:ilvl w:val="0"/>
                <w:numId w:val="34"/>
              </w:numPr>
              <w:suppressAutoHyphens w:val="0"/>
              <w:spacing w:before="0"/>
              <w:ind w:left="515" w:hanging="284"/>
              <w:rPr>
                <w:sz w:val="20"/>
                <w:szCs w:val="20"/>
              </w:rPr>
            </w:pPr>
            <w:r>
              <w:rPr>
                <w:rFonts w:eastAsia="Times New Roman"/>
                <w:sz w:val="20"/>
                <w:szCs w:val="20"/>
              </w:rPr>
              <w:t>Early Childhood Education</w:t>
            </w:r>
            <w:r w:rsidR="008C277E" w:rsidRPr="00CD54D0">
              <w:rPr>
                <w:rFonts w:eastAsia="Times New Roman"/>
                <w:sz w:val="20"/>
                <w:szCs w:val="20"/>
              </w:rPr>
              <w:t xml:space="preserve">: </w:t>
            </w:r>
            <w:r w:rsidR="005A7B2C" w:rsidRPr="00CD54D0">
              <w:rPr>
                <w:rFonts w:eastAsia="Times New Roman"/>
                <w:sz w:val="20"/>
                <w:szCs w:val="20"/>
              </w:rPr>
              <w:t>57</w:t>
            </w:r>
          </w:p>
          <w:p w14:paraId="0B785284" w14:textId="4EAE2D55" w:rsidR="008C277E" w:rsidRPr="00CD54D0" w:rsidRDefault="005A7B2C" w:rsidP="006B00A1">
            <w:pPr>
              <w:pStyle w:val="ListParagraph"/>
              <w:numPr>
                <w:ilvl w:val="0"/>
                <w:numId w:val="34"/>
              </w:numPr>
              <w:suppressAutoHyphens w:val="0"/>
              <w:spacing w:before="0"/>
              <w:ind w:left="515" w:hanging="284"/>
              <w:rPr>
                <w:sz w:val="20"/>
                <w:szCs w:val="20"/>
              </w:rPr>
            </w:pPr>
            <w:r w:rsidRPr="00CD54D0">
              <w:rPr>
                <w:rFonts w:eastAsia="Times New Roman"/>
                <w:sz w:val="20"/>
                <w:szCs w:val="20"/>
              </w:rPr>
              <w:t>Primary</w:t>
            </w:r>
            <w:r w:rsidR="008C277E" w:rsidRPr="00CD54D0">
              <w:rPr>
                <w:rFonts w:eastAsia="Times New Roman"/>
                <w:sz w:val="20"/>
                <w:szCs w:val="20"/>
              </w:rPr>
              <w:t xml:space="preserve">: </w:t>
            </w:r>
            <w:r w:rsidRPr="00CD54D0">
              <w:rPr>
                <w:rFonts w:eastAsia="Times New Roman"/>
                <w:sz w:val="20"/>
                <w:szCs w:val="20"/>
              </w:rPr>
              <w:t>210</w:t>
            </w:r>
          </w:p>
          <w:p w14:paraId="4CEEF5F8" w14:textId="02667E04" w:rsidR="008C277E" w:rsidRPr="00CD54D0" w:rsidRDefault="005A7B2C" w:rsidP="006B00A1">
            <w:pPr>
              <w:pStyle w:val="ListParagraph"/>
              <w:numPr>
                <w:ilvl w:val="0"/>
                <w:numId w:val="34"/>
              </w:numPr>
              <w:suppressAutoHyphens w:val="0"/>
              <w:spacing w:before="0"/>
              <w:ind w:left="515" w:hanging="284"/>
              <w:rPr>
                <w:sz w:val="20"/>
                <w:szCs w:val="20"/>
              </w:rPr>
            </w:pPr>
            <w:r w:rsidRPr="00CD54D0">
              <w:rPr>
                <w:rFonts w:eastAsia="Times New Roman"/>
                <w:sz w:val="20"/>
                <w:szCs w:val="20"/>
              </w:rPr>
              <w:t>Secondary</w:t>
            </w:r>
            <w:r w:rsidR="008C277E" w:rsidRPr="00CD54D0">
              <w:rPr>
                <w:rFonts w:eastAsia="Times New Roman"/>
                <w:sz w:val="20"/>
                <w:szCs w:val="20"/>
              </w:rPr>
              <w:t xml:space="preserve">: </w:t>
            </w:r>
            <w:r w:rsidRPr="00CD54D0">
              <w:rPr>
                <w:rFonts w:eastAsia="Times New Roman"/>
                <w:sz w:val="20"/>
                <w:szCs w:val="20"/>
              </w:rPr>
              <w:t>57</w:t>
            </w:r>
          </w:p>
          <w:p w14:paraId="47097A56" w14:textId="32BC95A9" w:rsidR="008C277E" w:rsidRPr="00CD54D0" w:rsidRDefault="005A7B2C" w:rsidP="006B00A1">
            <w:pPr>
              <w:pStyle w:val="ListParagraph"/>
              <w:numPr>
                <w:ilvl w:val="0"/>
                <w:numId w:val="34"/>
              </w:numPr>
              <w:suppressAutoHyphens w:val="0"/>
              <w:spacing w:before="0"/>
              <w:ind w:left="515" w:hanging="284"/>
              <w:rPr>
                <w:sz w:val="20"/>
                <w:szCs w:val="20"/>
              </w:rPr>
            </w:pPr>
            <w:r w:rsidRPr="00CD54D0">
              <w:rPr>
                <w:rFonts w:eastAsia="Times New Roman"/>
                <w:sz w:val="20"/>
                <w:szCs w:val="20"/>
              </w:rPr>
              <w:t>APTC</w:t>
            </w:r>
            <w:r w:rsidR="008C277E" w:rsidRPr="00CD54D0">
              <w:rPr>
                <w:rFonts w:eastAsia="Times New Roman"/>
                <w:sz w:val="20"/>
                <w:szCs w:val="20"/>
              </w:rPr>
              <w:t xml:space="preserve">: </w:t>
            </w:r>
            <w:r w:rsidRPr="00CD54D0">
              <w:rPr>
                <w:rFonts w:eastAsia="Times New Roman"/>
                <w:sz w:val="20"/>
                <w:szCs w:val="20"/>
              </w:rPr>
              <w:t xml:space="preserve">38, </w:t>
            </w:r>
            <w:r w:rsidR="008C277E" w:rsidRPr="00CD54D0">
              <w:rPr>
                <w:rFonts w:eastAsia="Times New Roman"/>
                <w:sz w:val="20"/>
                <w:szCs w:val="20"/>
              </w:rPr>
              <w:t xml:space="preserve">and </w:t>
            </w:r>
          </w:p>
          <w:p w14:paraId="2ADC6701" w14:textId="5AF10548" w:rsidR="005A7B2C" w:rsidRPr="00CD54D0" w:rsidRDefault="005A7B2C" w:rsidP="006B00A1">
            <w:pPr>
              <w:pStyle w:val="ListParagraph"/>
              <w:numPr>
                <w:ilvl w:val="0"/>
                <w:numId w:val="34"/>
              </w:numPr>
              <w:suppressAutoHyphens w:val="0"/>
              <w:spacing w:before="0"/>
              <w:ind w:left="515" w:hanging="284"/>
              <w:rPr>
                <w:sz w:val="20"/>
                <w:szCs w:val="20"/>
              </w:rPr>
            </w:pPr>
            <w:r w:rsidRPr="00CD54D0">
              <w:rPr>
                <w:rFonts w:eastAsia="Times New Roman"/>
                <w:sz w:val="20"/>
                <w:szCs w:val="20"/>
              </w:rPr>
              <w:t>Vocational</w:t>
            </w:r>
            <w:r w:rsidR="008C277E" w:rsidRPr="00CD54D0">
              <w:rPr>
                <w:rFonts w:eastAsia="Times New Roman"/>
                <w:sz w:val="20"/>
                <w:szCs w:val="20"/>
              </w:rPr>
              <w:t xml:space="preserve">: </w:t>
            </w:r>
            <w:r w:rsidRPr="00CD54D0">
              <w:rPr>
                <w:rFonts w:eastAsia="Times New Roman"/>
                <w:sz w:val="20"/>
                <w:szCs w:val="20"/>
              </w:rPr>
              <w:t>11</w:t>
            </w:r>
            <w:r w:rsidR="00996AEA" w:rsidRPr="00CD54D0">
              <w:rPr>
                <w:rFonts w:eastAsia="Times New Roman"/>
                <w:sz w:val="20"/>
                <w:szCs w:val="20"/>
              </w:rPr>
              <w:t>.</w:t>
            </w:r>
          </w:p>
        </w:tc>
      </w:tr>
      <w:tr w:rsidR="005A7B2C" w14:paraId="13BD8742" w14:textId="77777777" w:rsidTr="0020778F">
        <w:trPr>
          <w:cantSplit/>
        </w:trPr>
        <w:tc>
          <w:tcPr>
            <w:tcW w:w="4390" w:type="dxa"/>
          </w:tcPr>
          <w:p w14:paraId="312C2435" w14:textId="3B20CA7E" w:rsidR="005A7B2C" w:rsidRPr="00CD54D0" w:rsidRDefault="005D2935" w:rsidP="0020778F">
            <w:pPr>
              <w:spacing w:before="0"/>
              <w:rPr>
                <w:sz w:val="20"/>
                <w:szCs w:val="20"/>
              </w:rPr>
            </w:pPr>
            <w:r w:rsidRPr="00CD54D0">
              <w:rPr>
                <w:sz w:val="20"/>
                <w:szCs w:val="20"/>
              </w:rPr>
              <w:t>Per cent</w:t>
            </w:r>
            <w:r w:rsidR="005A7B2C" w:rsidRPr="00CD54D0">
              <w:rPr>
                <w:sz w:val="20"/>
                <w:szCs w:val="20"/>
              </w:rPr>
              <w:t xml:space="preserve">age of schools implementing online learning plans </w:t>
            </w:r>
          </w:p>
        </w:tc>
        <w:tc>
          <w:tcPr>
            <w:tcW w:w="6146" w:type="dxa"/>
          </w:tcPr>
          <w:p w14:paraId="0575D01C" w14:textId="740511FF" w:rsidR="005A7B2C" w:rsidRPr="0087637D" w:rsidRDefault="008C277E" w:rsidP="0020778F">
            <w:pPr>
              <w:spacing w:before="0"/>
              <w:rPr>
                <w:sz w:val="20"/>
                <w:szCs w:val="20"/>
              </w:rPr>
            </w:pPr>
            <w:r w:rsidRPr="00CD54D0">
              <w:rPr>
                <w:sz w:val="20"/>
                <w:szCs w:val="20"/>
              </w:rPr>
              <w:t xml:space="preserve">Supported </w:t>
            </w:r>
            <w:r w:rsidR="005A7B2C" w:rsidRPr="00CD54D0">
              <w:rPr>
                <w:sz w:val="20"/>
                <w:szCs w:val="20"/>
              </w:rPr>
              <w:t>6</w:t>
            </w:r>
            <w:r w:rsidR="00C65DFB">
              <w:rPr>
                <w:sz w:val="20"/>
                <w:szCs w:val="20"/>
              </w:rPr>
              <w:t>2</w:t>
            </w:r>
            <w:r w:rsidR="00D81566" w:rsidRPr="0087637D">
              <w:rPr>
                <w:sz w:val="20"/>
                <w:szCs w:val="20"/>
              </w:rPr>
              <w:t xml:space="preserve"> per cent</w:t>
            </w:r>
            <w:r w:rsidR="005A7B2C" w:rsidRPr="0087637D">
              <w:rPr>
                <w:sz w:val="20"/>
                <w:szCs w:val="20"/>
              </w:rPr>
              <w:t xml:space="preserve"> of schools</w:t>
            </w:r>
            <w:r w:rsidRPr="0087637D">
              <w:rPr>
                <w:sz w:val="20"/>
                <w:szCs w:val="20"/>
              </w:rPr>
              <w:t xml:space="preserve"> to</w:t>
            </w:r>
            <w:r w:rsidR="005A7B2C" w:rsidRPr="0087637D">
              <w:rPr>
                <w:sz w:val="20"/>
                <w:szCs w:val="20"/>
              </w:rPr>
              <w:t xml:space="preserve"> implement</w:t>
            </w:r>
            <w:r w:rsidR="00F424DD" w:rsidRPr="0087637D">
              <w:rPr>
                <w:sz w:val="20"/>
                <w:szCs w:val="20"/>
              </w:rPr>
              <w:t>ed</w:t>
            </w:r>
            <w:r w:rsidR="005A7B2C" w:rsidRPr="0087637D">
              <w:rPr>
                <w:sz w:val="20"/>
                <w:szCs w:val="20"/>
              </w:rPr>
              <w:t xml:space="preserve"> online learning plans.</w:t>
            </w:r>
          </w:p>
        </w:tc>
      </w:tr>
      <w:tr w:rsidR="005A7B2C" w14:paraId="03A9D77F" w14:textId="77777777" w:rsidTr="0020778F">
        <w:trPr>
          <w:cantSplit/>
        </w:trPr>
        <w:tc>
          <w:tcPr>
            <w:tcW w:w="4390" w:type="dxa"/>
          </w:tcPr>
          <w:p w14:paraId="68FAB495" w14:textId="55437076" w:rsidR="005A7B2C" w:rsidRPr="00CD54D0" w:rsidRDefault="005A7B2C" w:rsidP="0020778F">
            <w:pPr>
              <w:spacing w:before="0"/>
              <w:rPr>
                <w:sz w:val="20"/>
                <w:szCs w:val="20"/>
              </w:rPr>
            </w:pPr>
            <w:r w:rsidRPr="00CD54D0">
              <w:rPr>
                <w:sz w:val="20"/>
                <w:szCs w:val="20"/>
              </w:rPr>
              <w:t xml:space="preserve">Number (and nature) of instances of improved policies and/or measures that seek to improve education quality for all </w:t>
            </w:r>
          </w:p>
        </w:tc>
        <w:tc>
          <w:tcPr>
            <w:tcW w:w="6146" w:type="dxa"/>
          </w:tcPr>
          <w:p w14:paraId="7E96C381" w14:textId="374FB80C" w:rsidR="00B1617F" w:rsidRPr="00CD54D0" w:rsidRDefault="008C277E" w:rsidP="0020778F">
            <w:pPr>
              <w:spacing w:before="0"/>
              <w:rPr>
                <w:sz w:val="20"/>
                <w:szCs w:val="20"/>
              </w:rPr>
            </w:pPr>
            <w:r w:rsidRPr="00CD54D0">
              <w:rPr>
                <w:sz w:val="20"/>
                <w:szCs w:val="20"/>
              </w:rPr>
              <w:t>Supported the implementation of n</w:t>
            </w:r>
            <w:r w:rsidR="00E43C65" w:rsidRPr="00CD54D0">
              <w:rPr>
                <w:sz w:val="20"/>
                <w:szCs w:val="20"/>
              </w:rPr>
              <w:t>ine</w:t>
            </w:r>
            <w:r w:rsidR="005A7B2C" w:rsidRPr="00CD54D0">
              <w:rPr>
                <w:sz w:val="20"/>
                <w:szCs w:val="20"/>
              </w:rPr>
              <w:t xml:space="preserve"> policies </w:t>
            </w:r>
            <w:r w:rsidRPr="00CD54D0">
              <w:rPr>
                <w:sz w:val="20"/>
                <w:szCs w:val="20"/>
              </w:rPr>
              <w:t xml:space="preserve">to </w:t>
            </w:r>
            <w:r w:rsidR="005A7B2C" w:rsidRPr="00CD54D0">
              <w:rPr>
                <w:sz w:val="20"/>
                <w:szCs w:val="20"/>
              </w:rPr>
              <w:t>improve education quality</w:t>
            </w:r>
            <w:r w:rsidRPr="00CD54D0">
              <w:rPr>
                <w:sz w:val="20"/>
                <w:szCs w:val="20"/>
              </w:rPr>
              <w:t xml:space="preserve">, </w:t>
            </w:r>
            <w:r w:rsidR="005A7B2C" w:rsidRPr="00CD54D0">
              <w:rPr>
                <w:sz w:val="20"/>
                <w:szCs w:val="20"/>
              </w:rPr>
              <w:t>including</w:t>
            </w:r>
            <w:r w:rsidRPr="00CD54D0">
              <w:rPr>
                <w:sz w:val="20"/>
                <w:szCs w:val="20"/>
              </w:rPr>
              <w:t xml:space="preserve">: </w:t>
            </w:r>
            <w:r w:rsidR="005A7B2C" w:rsidRPr="00CD54D0">
              <w:rPr>
                <w:sz w:val="20"/>
                <w:szCs w:val="20"/>
              </w:rPr>
              <w:t>the Samoa Child Care and Protection Policy</w:t>
            </w:r>
            <w:r w:rsidRPr="00CD54D0">
              <w:rPr>
                <w:sz w:val="20"/>
                <w:szCs w:val="20"/>
              </w:rPr>
              <w:t xml:space="preserve">; </w:t>
            </w:r>
            <w:r w:rsidR="005A7B2C" w:rsidRPr="00CD54D0">
              <w:rPr>
                <w:sz w:val="20"/>
                <w:szCs w:val="20"/>
              </w:rPr>
              <w:t>and the Climate Change and Disaster Resilience strategy.</w:t>
            </w:r>
          </w:p>
          <w:p w14:paraId="0CD5BF37" w14:textId="5E9EC81C" w:rsidR="00B1617F" w:rsidRPr="00CD54D0" w:rsidRDefault="00B1617F" w:rsidP="0020778F">
            <w:pPr>
              <w:spacing w:before="0"/>
              <w:rPr>
                <w:sz w:val="20"/>
                <w:szCs w:val="20"/>
              </w:rPr>
            </w:pPr>
            <w:r w:rsidRPr="00CD54D0">
              <w:rPr>
                <w:sz w:val="20"/>
                <w:szCs w:val="20"/>
              </w:rPr>
              <w:t xml:space="preserve">Supported the development of </w:t>
            </w:r>
            <w:r w:rsidR="005A7B2C" w:rsidRPr="00CD54D0">
              <w:rPr>
                <w:sz w:val="20"/>
                <w:szCs w:val="20"/>
              </w:rPr>
              <w:t xml:space="preserve">ICT strategies </w:t>
            </w:r>
            <w:r w:rsidRPr="00CD54D0">
              <w:rPr>
                <w:sz w:val="20"/>
                <w:szCs w:val="20"/>
              </w:rPr>
              <w:t>in</w:t>
            </w:r>
            <w:r w:rsidR="005A7B2C" w:rsidRPr="00CD54D0">
              <w:rPr>
                <w:sz w:val="20"/>
                <w:szCs w:val="20"/>
              </w:rPr>
              <w:t xml:space="preserve"> preparation for </w:t>
            </w:r>
            <w:r w:rsidRPr="00CD54D0">
              <w:rPr>
                <w:sz w:val="20"/>
                <w:szCs w:val="20"/>
              </w:rPr>
              <w:t xml:space="preserve">the rollout of the </w:t>
            </w:r>
            <w:r w:rsidR="003F5D22" w:rsidRPr="00CD54D0">
              <w:rPr>
                <w:sz w:val="20"/>
                <w:szCs w:val="20"/>
              </w:rPr>
              <w:t>Samoa Education Management Information System</w:t>
            </w:r>
            <w:r w:rsidR="00F424DD" w:rsidRPr="00CD54D0">
              <w:rPr>
                <w:sz w:val="20"/>
                <w:szCs w:val="20"/>
              </w:rPr>
              <w:t>.</w:t>
            </w:r>
            <w:r w:rsidR="000317D1" w:rsidRPr="00CD54D0">
              <w:rPr>
                <w:sz w:val="20"/>
                <w:szCs w:val="20"/>
              </w:rPr>
              <w:t xml:space="preserve"> </w:t>
            </w:r>
          </w:p>
          <w:p w14:paraId="7EF0133A" w14:textId="00127344" w:rsidR="00B1617F" w:rsidRPr="00CD54D0" w:rsidRDefault="00B1617F" w:rsidP="0020778F">
            <w:pPr>
              <w:spacing w:before="0"/>
              <w:rPr>
                <w:sz w:val="20"/>
                <w:szCs w:val="20"/>
              </w:rPr>
            </w:pPr>
            <w:r w:rsidRPr="00CD54D0">
              <w:rPr>
                <w:sz w:val="20"/>
                <w:szCs w:val="20"/>
              </w:rPr>
              <w:t>Supported t</w:t>
            </w:r>
            <w:r w:rsidR="000317D1" w:rsidRPr="00CD54D0">
              <w:rPr>
                <w:sz w:val="20"/>
                <w:szCs w:val="20"/>
              </w:rPr>
              <w:t>he</w:t>
            </w:r>
            <w:r w:rsidRPr="00CD54D0">
              <w:rPr>
                <w:sz w:val="20"/>
                <w:szCs w:val="20"/>
              </w:rPr>
              <w:t xml:space="preserve"> finalisation of the </w:t>
            </w:r>
            <w:r w:rsidR="005A7B2C" w:rsidRPr="00CD54D0">
              <w:rPr>
                <w:sz w:val="20"/>
                <w:szCs w:val="20"/>
              </w:rPr>
              <w:t xml:space="preserve">National Standards Competency Framework </w:t>
            </w:r>
            <w:r w:rsidRPr="00CD54D0">
              <w:rPr>
                <w:sz w:val="20"/>
                <w:szCs w:val="20"/>
              </w:rPr>
              <w:t xml:space="preserve">to </w:t>
            </w:r>
            <w:r w:rsidR="005A7B2C" w:rsidRPr="00CD54D0">
              <w:rPr>
                <w:sz w:val="20"/>
                <w:szCs w:val="20"/>
              </w:rPr>
              <w:t xml:space="preserve">support </w:t>
            </w:r>
            <w:r w:rsidR="003F5D22" w:rsidRPr="00CD54D0">
              <w:rPr>
                <w:sz w:val="20"/>
                <w:szCs w:val="20"/>
              </w:rPr>
              <w:t>MESC</w:t>
            </w:r>
            <w:r w:rsidR="005A7B2C" w:rsidRPr="00CD54D0">
              <w:rPr>
                <w:sz w:val="20"/>
                <w:szCs w:val="20"/>
              </w:rPr>
              <w:t xml:space="preserve"> monitor and improve teacher standards.</w:t>
            </w:r>
            <w:r w:rsidR="000317D1" w:rsidRPr="00CD54D0">
              <w:rPr>
                <w:sz w:val="20"/>
                <w:szCs w:val="20"/>
              </w:rPr>
              <w:t xml:space="preserve"> </w:t>
            </w:r>
          </w:p>
          <w:p w14:paraId="74EEAE83" w14:textId="1F5E9D4F" w:rsidR="005A7B2C" w:rsidRPr="00CD54D0" w:rsidRDefault="00B1617F" w:rsidP="0020778F">
            <w:pPr>
              <w:spacing w:before="0"/>
              <w:rPr>
                <w:sz w:val="20"/>
                <w:szCs w:val="20"/>
              </w:rPr>
            </w:pPr>
            <w:r w:rsidRPr="00CD54D0">
              <w:rPr>
                <w:sz w:val="20"/>
                <w:szCs w:val="20"/>
              </w:rPr>
              <w:t xml:space="preserve">Supported a </w:t>
            </w:r>
            <w:r w:rsidR="000317D1" w:rsidRPr="00CD54D0">
              <w:rPr>
                <w:sz w:val="20"/>
                <w:szCs w:val="20"/>
              </w:rPr>
              <w:t>r</w:t>
            </w:r>
            <w:r w:rsidR="005A7B2C" w:rsidRPr="00CD54D0">
              <w:rPr>
                <w:sz w:val="20"/>
                <w:szCs w:val="20"/>
              </w:rPr>
              <w:t>apid response study to assess students</w:t>
            </w:r>
            <w:r w:rsidR="00A727BF" w:rsidRPr="00CD54D0">
              <w:rPr>
                <w:sz w:val="20"/>
                <w:szCs w:val="20"/>
              </w:rPr>
              <w:t>’</w:t>
            </w:r>
            <w:r w:rsidR="005A7B2C" w:rsidRPr="00CD54D0">
              <w:rPr>
                <w:sz w:val="20"/>
                <w:szCs w:val="20"/>
              </w:rPr>
              <w:t xml:space="preserve"> learning access during COVID</w:t>
            </w:r>
            <w:r w:rsidR="00066DC2" w:rsidRPr="00CD54D0">
              <w:rPr>
                <w:sz w:val="20"/>
                <w:szCs w:val="20"/>
              </w:rPr>
              <w:t>-19</w:t>
            </w:r>
            <w:r w:rsidR="005A7B2C" w:rsidRPr="00CD54D0">
              <w:rPr>
                <w:sz w:val="20"/>
                <w:szCs w:val="20"/>
              </w:rPr>
              <w:t xml:space="preserve"> related disruptions.</w:t>
            </w:r>
          </w:p>
        </w:tc>
      </w:tr>
    </w:tbl>
    <w:p w14:paraId="610D1CC5" w14:textId="77777777" w:rsidR="00705D14" w:rsidRDefault="00705D14">
      <w:r>
        <w:br w:type="page"/>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5A7B2C" w14:paraId="316BD9D3" w14:textId="77777777" w:rsidTr="00EC654C">
        <w:tc>
          <w:tcPr>
            <w:tcW w:w="4390" w:type="dxa"/>
          </w:tcPr>
          <w:p w14:paraId="26C6A107" w14:textId="37EB82FE" w:rsidR="005A7B2C" w:rsidRPr="00CD54D0" w:rsidRDefault="005A7B2C" w:rsidP="0020778F">
            <w:pPr>
              <w:spacing w:before="0"/>
              <w:rPr>
                <w:sz w:val="20"/>
                <w:szCs w:val="20"/>
              </w:rPr>
            </w:pPr>
            <w:r w:rsidRPr="00CD54D0">
              <w:rPr>
                <w:sz w:val="20"/>
                <w:szCs w:val="20"/>
              </w:rPr>
              <w:lastRenderedPageBreak/>
              <w:t xml:space="preserve">Number (and nature) of instances of improved food security-related policies and/or measures, including farmer resilience under climate change conditions and market challenges </w:t>
            </w:r>
          </w:p>
        </w:tc>
        <w:tc>
          <w:tcPr>
            <w:tcW w:w="6146" w:type="dxa"/>
          </w:tcPr>
          <w:p w14:paraId="5B910F57" w14:textId="7AC0C4E4" w:rsidR="005A7B2C" w:rsidRPr="00CD54D0" w:rsidRDefault="00B1617F" w:rsidP="0020778F">
            <w:pPr>
              <w:spacing w:before="0"/>
              <w:rPr>
                <w:sz w:val="20"/>
                <w:szCs w:val="20"/>
              </w:rPr>
            </w:pPr>
            <w:r w:rsidRPr="00CD54D0">
              <w:rPr>
                <w:sz w:val="20"/>
                <w:szCs w:val="20"/>
              </w:rPr>
              <w:t xml:space="preserve">Supported </w:t>
            </w:r>
            <w:r w:rsidR="005A7B2C" w:rsidRPr="00CD54D0">
              <w:rPr>
                <w:sz w:val="20"/>
                <w:szCs w:val="20"/>
              </w:rPr>
              <w:t xml:space="preserve">450 families of </w:t>
            </w:r>
            <w:r w:rsidR="005D2935" w:rsidRPr="00CD54D0">
              <w:rPr>
                <w:sz w:val="20"/>
                <w:szCs w:val="20"/>
              </w:rPr>
              <w:t xml:space="preserve">people </w:t>
            </w:r>
            <w:r w:rsidR="005A7B2C" w:rsidRPr="00CD54D0">
              <w:rPr>
                <w:sz w:val="20"/>
                <w:szCs w:val="20"/>
              </w:rPr>
              <w:t>with disabilities (750 p</w:t>
            </w:r>
            <w:r w:rsidRPr="00CD54D0">
              <w:rPr>
                <w:sz w:val="20"/>
                <w:szCs w:val="20"/>
              </w:rPr>
              <w:t xml:space="preserve">eople </w:t>
            </w:r>
            <w:r w:rsidR="005D2935" w:rsidRPr="00CD54D0">
              <w:rPr>
                <w:sz w:val="20"/>
                <w:szCs w:val="20"/>
              </w:rPr>
              <w:t>with</w:t>
            </w:r>
            <w:r w:rsidR="005A7B2C" w:rsidRPr="00CD54D0">
              <w:rPr>
                <w:sz w:val="20"/>
                <w:szCs w:val="20"/>
              </w:rPr>
              <w:t xml:space="preserve"> disabili</w:t>
            </w:r>
            <w:r w:rsidRPr="00CD54D0">
              <w:rPr>
                <w:sz w:val="20"/>
                <w:szCs w:val="20"/>
              </w:rPr>
              <w:t>t</w:t>
            </w:r>
            <w:r w:rsidR="005D2935" w:rsidRPr="00CD54D0">
              <w:rPr>
                <w:sz w:val="20"/>
                <w:szCs w:val="20"/>
              </w:rPr>
              <w:t>ies</w:t>
            </w:r>
            <w:r w:rsidRPr="00CD54D0">
              <w:rPr>
                <w:sz w:val="20"/>
                <w:szCs w:val="20"/>
              </w:rPr>
              <w:t xml:space="preserve"> were</w:t>
            </w:r>
            <w:r w:rsidR="005A7B2C" w:rsidRPr="00CD54D0">
              <w:rPr>
                <w:sz w:val="20"/>
                <w:szCs w:val="20"/>
              </w:rPr>
              <w:t xml:space="preserve"> reached).</w:t>
            </w:r>
          </w:p>
          <w:p w14:paraId="2D1C4ABC" w14:textId="6B7AD23D" w:rsidR="005A7B2C" w:rsidRPr="00CD54D0" w:rsidRDefault="00B1617F" w:rsidP="0020778F">
            <w:pPr>
              <w:spacing w:before="0"/>
              <w:rPr>
                <w:sz w:val="20"/>
                <w:szCs w:val="20"/>
              </w:rPr>
            </w:pPr>
            <w:r w:rsidRPr="00CD54D0">
              <w:rPr>
                <w:sz w:val="20"/>
                <w:szCs w:val="20"/>
              </w:rPr>
              <w:t>Supported</w:t>
            </w:r>
            <w:r w:rsidRPr="00CD54D0">
              <w:rPr>
                <w:i/>
                <w:iCs/>
                <w:sz w:val="20"/>
                <w:szCs w:val="20"/>
              </w:rPr>
              <w:t xml:space="preserve"> </w:t>
            </w:r>
            <w:r w:rsidRPr="00CD54D0">
              <w:rPr>
                <w:sz w:val="20"/>
                <w:szCs w:val="20"/>
              </w:rPr>
              <w:t>food security and increase</w:t>
            </w:r>
            <w:r w:rsidR="00080573">
              <w:rPr>
                <w:sz w:val="20"/>
                <w:szCs w:val="20"/>
              </w:rPr>
              <w:t>d</w:t>
            </w:r>
            <w:r w:rsidRPr="00CD54D0">
              <w:rPr>
                <w:sz w:val="20"/>
                <w:szCs w:val="20"/>
              </w:rPr>
              <w:t xml:space="preserve"> supply chains</w:t>
            </w:r>
            <w:r w:rsidRPr="00CD54D0" w:rsidDel="00B1617F">
              <w:rPr>
                <w:i/>
                <w:iCs/>
                <w:sz w:val="20"/>
                <w:szCs w:val="20"/>
              </w:rPr>
              <w:t xml:space="preserve"> </w:t>
            </w:r>
            <w:r w:rsidRPr="00CD54D0">
              <w:rPr>
                <w:sz w:val="20"/>
                <w:szCs w:val="20"/>
              </w:rPr>
              <w:t>by purchasing</w:t>
            </w:r>
            <w:r w:rsidR="005A7B2C" w:rsidRPr="00CD54D0">
              <w:rPr>
                <w:sz w:val="20"/>
                <w:szCs w:val="20"/>
              </w:rPr>
              <w:t xml:space="preserve"> 172,050 taro shoots from 36 farmer households</w:t>
            </w:r>
            <w:r w:rsidRPr="00CD54D0">
              <w:rPr>
                <w:sz w:val="20"/>
                <w:szCs w:val="20"/>
              </w:rPr>
              <w:t xml:space="preserve">, </w:t>
            </w:r>
            <w:r w:rsidR="005A7B2C" w:rsidRPr="00CD54D0">
              <w:rPr>
                <w:sz w:val="20"/>
                <w:szCs w:val="20"/>
              </w:rPr>
              <w:t xml:space="preserve">at an average price of </w:t>
            </w:r>
            <w:r w:rsidR="00D81566" w:rsidRPr="00CD54D0">
              <w:rPr>
                <w:sz w:val="20"/>
                <w:szCs w:val="20"/>
              </w:rPr>
              <w:t>$</w:t>
            </w:r>
            <w:r w:rsidR="005A7B2C" w:rsidRPr="00CD54D0">
              <w:rPr>
                <w:sz w:val="20"/>
                <w:szCs w:val="20"/>
              </w:rPr>
              <w:t>0.27 per shoot</w:t>
            </w:r>
            <w:r w:rsidRPr="00CD54D0">
              <w:rPr>
                <w:sz w:val="20"/>
                <w:szCs w:val="20"/>
              </w:rPr>
              <w:t xml:space="preserve">, </w:t>
            </w:r>
            <w:r w:rsidR="005A7B2C" w:rsidRPr="00CD54D0">
              <w:rPr>
                <w:sz w:val="20"/>
                <w:szCs w:val="20"/>
              </w:rPr>
              <w:t>and re-distribut</w:t>
            </w:r>
            <w:r w:rsidRPr="00CD54D0">
              <w:rPr>
                <w:sz w:val="20"/>
                <w:szCs w:val="20"/>
              </w:rPr>
              <w:t>ion</w:t>
            </w:r>
            <w:r w:rsidR="005A7B2C" w:rsidRPr="00CD54D0">
              <w:rPr>
                <w:sz w:val="20"/>
                <w:szCs w:val="20"/>
              </w:rPr>
              <w:t xml:space="preserve"> to 327 farmer households for replanting</w:t>
            </w:r>
            <w:r w:rsidRPr="00CD54D0">
              <w:rPr>
                <w:sz w:val="20"/>
                <w:szCs w:val="20"/>
              </w:rPr>
              <w:t xml:space="preserve">. </w:t>
            </w:r>
          </w:p>
        </w:tc>
      </w:tr>
    </w:tbl>
    <w:p w14:paraId="3F2619AB" w14:textId="6D129A99" w:rsidR="00AE2B7B" w:rsidRPr="00AE2B7B" w:rsidRDefault="00CE4BAF" w:rsidP="00D55810">
      <w:pPr>
        <w:pStyle w:val="Heading3"/>
      </w:pPr>
      <w:r>
        <w:t>E</w:t>
      </w:r>
      <w:r w:rsidR="00AE2B7B" w:rsidRPr="00AE2B7B">
        <w:t>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007A4493">
        <w:trPr>
          <w:tblHeader/>
        </w:trPr>
        <w:tc>
          <w:tcPr>
            <w:tcW w:w="4390" w:type="dxa"/>
            <w:shd w:val="clear" w:color="auto" w:fill="A2DCD1" w:themeFill="accent1" w:themeFillTint="99"/>
            <w:vAlign w:val="bottom"/>
          </w:tcPr>
          <w:p w14:paraId="7B68B645" w14:textId="39A83BEA" w:rsidR="00CA5021" w:rsidRPr="005736BB" w:rsidRDefault="00A96364" w:rsidP="0020778F">
            <w:pPr>
              <w:widowControl w:val="0"/>
              <w:spacing w:before="0"/>
              <w:jc w:val="center"/>
              <w:rPr>
                <w:sz w:val="20"/>
                <w:szCs w:val="20"/>
              </w:rPr>
            </w:pPr>
            <w:bookmarkStart w:id="1" w:name="_Hlk84326816"/>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20778F">
            <w:pPr>
              <w:widowControl w:val="0"/>
              <w:spacing w:before="0"/>
              <w:jc w:val="center"/>
              <w:rPr>
                <w:sz w:val="20"/>
                <w:szCs w:val="20"/>
              </w:rPr>
            </w:pPr>
            <w:r w:rsidRPr="005736BB">
              <w:rPr>
                <w:b/>
                <w:sz w:val="20"/>
                <w:szCs w:val="20"/>
              </w:rPr>
              <w:t>Progress/Result</w:t>
            </w:r>
          </w:p>
        </w:tc>
      </w:tr>
      <w:tr w:rsidR="005A7B2C" w14:paraId="564E6F58" w14:textId="77777777" w:rsidTr="007A4493">
        <w:trPr>
          <w:tblHeader/>
        </w:trPr>
        <w:tc>
          <w:tcPr>
            <w:tcW w:w="4390" w:type="dxa"/>
          </w:tcPr>
          <w:p w14:paraId="234C1CE4" w14:textId="0FB838AA" w:rsidR="005A7B2C" w:rsidRPr="00FF53DB" w:rsidRDefault="005A7B2C" w:rsidP="0020778F">
            <w:pPr>
              <w:spacing w:before="0"/>
              <w:rPr>
                <w:sz w:val="20"/>
                <w:szCs w:val="20"/>
              </w:rPr>
            </w:pPr>
            <w:r w:rsidRPr="00FF53DB">
              <w:rPr>
                <w:sz w:val="20"/>
                <w:szCs w:val="20"/>
              </w:rPr>
              <w:t>Number (and nature) of instances of the Government of Samoa having adopted responsible and evidence-informed fiscal and economic measures that mitigate the impacts of COVID-19</w:t>
            </w:r>
          </w:p>
        </w:tc>
        <w:tc>
          <w:tcPr>
            <w:tcW w:w="6146" w:type="dxa"/>
          </w:tcPr>
          <w:p w14:paraId="63DA9D25" w14:textId="61E0521D" w:rsidR="005A7B2C" w:rsidRPr="00FF53DB" w:rsidRDefault="00B1617F" w:rsidP="0020778F">
            <w:pPr>
              <w:spacing w:before="0"/>
              <w:rPr>
                <w:sz w:val="20"/>
                <w:szCs w:val="20"/>
              </w:rPr>
            </w:pPr>
            <w:r w:rsidRPr="00FF53DB">
              <w:rPr>
                <w:sz w:val="20"/>
                <w:szCs w:val="20"/>
              </w:rPr>
              <w:t xml:space="preserve">Supported the development and implementation of the Government of Samoa’s </w:t>
            </w:r>
            <w:r w:rsidR="005A7B2C" w:rsidRPr="00FF53DB">
              <w:rPr>
                <w:sz w:val="20"/>
                <w:szCs w:val="20"/>
              </w:rPr>
              <w:t xml:space="preserve">budget and stimulus packages </w:t>
            </w:r>
            <w:r w:rsidRPr="00FF53DB">
              <w:rPr>
                <w:sz w:val="20"/>
                <w:szCs w:val="20"/>
              </w:rPr>
              <w:t xml:space="preserve">in support of </w:t>
            </w:r>
            <w:r w:rsidR="005A7B2C" w:rsidRPr="00FF53DB">
              <w:rPr>
                <w:sz w:val="20"/>
                <w:szCs w:val="20"/>
              </w:rPr>
              <w:t xml:space="preserve">the most vulnerable and key sectors of the economy. </w:t>
            </w:r>
          </w:p>
          <w:p w14:paraId="5A50515E" w14:textId="75BB085C" w:rsidR="005A7B2C" w:rsidRPr="00FF53DB" w:rsidRDefault="00B1617F" w:rsidP="0020778F">
            <w:pPr>
              <w:spacing w:before="0"/>
              <w:rPr>
                <w:rFonts w:eastAsia="Times New Roman"/>
                <w:sz w:val="20"/>
                <w:szCs w:val="20"/>
              </w:rPr>
            </w:pPr>
            <w:r w:rsidRPr="00FF53DB">
              <w:rPr>
                <w:sz w:val="20"/>
                <w:szCs w:val="20"/>
              </w:rPr>
              <w:t>Supported improvements for the</w:t>
            </w:r>
            <w:r w:rsidR="00D81566" w:rsidRPr="00FF53DB">
              <w:rPr>
                <w:sz w:val="20"/>
                <w:szCs w:val="20"/>
              </w:rPr>
              <w:t xml:space="preserve"> </w:t>
            </w:r>
            <w:r w:rsidR="005A7B2C" w:rsidRPr="00FF53DB">
              <w:rPr>
                <w:sz w:val="20"/>
                <w:szCs w:val="20"/>
              </w:rPr>
              <w:t>Central Bank of Samoa</w:t>
            </w:r>
            <w:r w:rsidR="00397C5D" w:rsidRPr="00FF53DB">
              <w:rPr>
                <w:sz w:val="20"/>
                <w:szCs w:val="20"/>
              </w:rPr>
              <w:t>’s</w:t>
            </w:r>
            <w:r w:rsidR="005A7B2C" w:rsidRPr="00FF53DB">
              <w:rPr>
                <w:sz w:val="20"/>
                <w:szCs w:val="20"/>
              </w:rPr>
              <w:t xml:space="preserve"> supervisory and regulatory settings</w:t>
            </w:r>
            <w:r w:rsidRPr="00FF53DB">
              <w:rPr>
                <w:sz w:val="20"/>
                <w:szCs w:val="20"/>
              </w:rPr>
              <w:t xml:space="preserve">. </w:t>
            </w:r>
            <w:r w:rsidR="00D5347A" w:rsidRPr="00FF53DB">
              <w:rPr>
                <w:sz w:val="20"/>
                <w:szCs w:val="20"/>
              </w:rPr>
              <w:t>These improvements are designed to support more</w:t>
            </w:r>
            <w:r w:rsidR="00C633DB" w:rsidRPr="00FF53DB">
              <w:rPr>
                <w:sz w:val="20"/>
                <w:szCs w:val="20"/>
              </w:rPr>
              <w:t xml:space="preserve"> </w:t>
            </w:r>
            <w:r w:rsidR="005A7B2C" w:rsidRPr="00FF53DB">
              <w:rPr>
                <w:sz w:val="20"/>
                <w:szCs w:val="20"/>
              </w:rPr>
              <w:t xml:space="preserve">efficient financial services delivery, </w:t>
            </w:r>
            <w:r w:rsidRPr="00FF53DB">
              <w:rPr>
                <w:sz w:val="20"/>
                <w:szCs w:val="20"/>
              </w:rPr>
              <w:t xml:space="preserve">to </w:t>
            </w:r>
            <w:r w:rsidR="005A7B2C" w:rsidRPr="00FF53DB">
              <w:rPr>
                <w:sz w:val="20"/>
                <w:szCs w:val="20"/>
              </w:rPr>
              <w:t xml:space="preserve">reduce red tape and </w:t>
            </w:r>
            <w:r w:rsidRPr="00FF53DB">
              <w:rPr>
                <w:sz w:val="20"/>
                <w:szCs w:val="20"/>
              </w:rPr>
              <w:t xml:space="preserve">to </w:t>
            </w:r>
            <w:r w:rsidR="005A7B2C" w:rsidRPr="00FF53DB">
              <w:rPr>
                <w:sz w:val="20"/>
                <w:szCs w:val="20"/>
              </w:rPr>
              <w:t>improve integrity and sustainability.</w:t>
            </w:r>
          </w:p>
        </w:tc>
      </w:tr>
      <w:tr w:rsidR="005A7B2C" w14:paraId="1EAE2D66" w14:textId="77777777" w:rsidTr="007A4493">
        <w:trPr>
          <w:tblHeader/>
        </w:trPr>
        <w:tc>
          <w:tcPr>
            <w:tcW w:w="4390" w:type="dxa"/>
          </w:tcPr>
          <w:p w14:paraId="65838CB2" w14:textId="20E89451" w:rsidR="005A7B2C" w:rsidRPr="00FF53DB" w:rsidRDefault="005A7B2C" w:rsidP="0020778F">
            <w:pPr>
              <w:spacing w:before="0"/>
              <w:rPr>
                <w:sz w:val="20"/>
                <w:szCs w:val="20"/>
              </w:rPr>
            </w:pPr>
            <w:r w:rsidRPr="00FF53DB">
              <w:rPr>
                <w:sz w:val="20"/>
                <w:szCs w:val="20"/>
              </w:rPr>
              <w:t xml:space="preserve">Number (and nature) of instances of the Government of Samoa having adopted responsible and evidence-informed fiscal and economic measures that support inclusive growth and resilience </w:t>
            </w:r>
          </w:p>
        </w:tc>
        <w:tc>
          <w:tcPr>
            <w:tcW w:w="6146" w:type="dxa"/>
          </w:tcPr>
          <w:p w14:paraId="6967DB4B" w14:textId="0E02CD08" w:rsidR="005A7B2C" w:rsidRPr="00FF53DB" w:rsidRDefault="00B1617F" w:rsidP="0020778F">
            <w:pPr>
              <w:spacing w:before="0"/>
              <w:rPr>
                <w:sz w:val="20"/>
                <w:szCs w:val="20"/>
              </w:rPr>
            </w:pPr>
            <w:r w:rsidRPr="00FF53DB">
              <w:rPr>
                <w:sz w:val="20"/>
                <w:szCs w:val="20"/>
              </w:rPr>
              <w:t xml:space="preserve">Supported implementation of </w:t>
            </w:r>
            <w:r w:rsidR="001C6243" w:rsidRPr="00FF53DB">
              <w:rPr>
                <w:sz w:val="20"/>
                <w:szCs w:val="20"/>
              </w:rPr>
              <w:t>1</w:t>
            </w:r>
            <w:r w:rsidR="005A7B2C" w:rsidRPr="00FF53DB">
              <w:rPr>
                <w:sz w:val="20"/>
                <w:szCs w:val="20"/>
              </w:rPr>
              <w:t xml:space="preserve">2 policy actions </w:t>
            </w:r>
            <w:r w:rsidRPr="00FF53DB">
              <w:rPr>
                <w:sz w:val="20"/>
                <w:szCs w:val="20"/>
              </w:rPr>
              <w:t xml:space="preserve">under </w:t>
            </w:r>
            <w:r w:rsidR="005A7B2C" w:rsidRPr="00FF53DB">
              <w:rPr>
                <w:sz w:val="20"/>
                <w:szCs w:val="20"/>
              </w:rPr>
              <w:t>the J</w:t>
            </w:r>
            <w:r w:rsidR="001C6243" w:rsidRPr="00FF53DB">
              <w:rPr>
                <w:sz w:val="20"/>
                <w:szCs w:val="20"/>
              </w:rPr>
              <w:t xml:space="preserve">oint </w:t>
            </w:r>
            <w:r w:rsidR="005A7B2C" w:rsidRPr="00FF53DB">
              <w:rPr>
                <w:sz w:val="20"/>
                <w:szCs w:val="20"/>
              </w:rPr>
              <w:t>P</w:t>
            </w:r>
            <w:r w:rsidR="001C6243" w:rsidRPr="00FF53DB">
              <w:rPr>
                <w:sz w:val="20"/>
                <w:szCs w:val="20"/>
              </w:rPr>
              <w:t xml:space="preserve">olicy </w:t>
            </w:r>
            <w:r w:rsidR="005A7B2C" w:rsidRPr="00FF53DB">
              <w:rPr>
                <w:sz w:val="20"/>
                <w:szCs w:val="20"/>
              </w:rPr>
              <w:t>A</w:t>
            </w:r>
            <w:r w:rsidR="001C6243" w:rsidRPr="00FF53DB">
              <w:rPr>
                <w:sz w:val="20"/>
                <w:szCs w:val="20"/>
              </w:rPr>
              <w:t xml:space="preserve">ction </w:t>
            </w:r>
            <w:r w:rsidR="005A7B2C" w:rsidRPr="00FF53DB">
              <w:rPr>
                <w:sz w:val="20"/>
                <w:szCs w:val="20"/>
              </w:rPr>
              <w:t>M</w:t>
            </w:r>
            <w:r w:rsidR="001C6243" w:rsidRPr="00FF53DB">
              <w:rPr>
                <w:sz w:val="20"/>
                <w:szCs w:val="20"/>
              </w:rPr>
              <w:t>atrix</w:t>
            </w:r>
            <w:r w:rsidRPr="00FF53DB">
              <w:rPr>
                <w:sz w:val="20"/>
                <w:szCs w:val="20"/>
              </w:rPr>
              <w:t>. This included improvements to the</w:t>
            </w:r>
            <w:r w:rsidR="005A7B2C" w:rsidRPr="00FF53DB">
              <w:rPr>
                <w:sz w:val="20"/>
                <w:szCs w:val="20"/>
              </w:rPr>
              <w:t xml:space="preserve"> Tax Invoice Monitoring System </w:t>
            </w:r>
            <w:r w:rsidR="001C6243" w:rsidRPr="00FF53DB">
              <w:rPr>
                <w:sz w:val="20"/>
                <w:szCs w:val="20"/>
              </w:rPr>
              <w:t xml:space="preserve">which has increased revenue collection. </w:t>
            </w:r>
          </w:p>
          <w:p w14:paraId="5E26211D" w14:textId="2407634F" w:rsidR="005A7B2C" w:rsidRPr="00FF53DB" w:rsidRDefault="00B1617F" w:rsidP="0020778F">
            <w:pPr>
              <w:spacing w:before="0"/>
              <w:rPr>
                <w:sz w:val="20"/>
                <w:szCs w:val="20"/>
              </w:rPr>
            </w:pPr>
            <w:r w:rsidRPr="00FF53DB">
              <w:rPr>
                <w:sz w:val="20"/>
                <w:szCs w:val="20"/>
              </w:rPr>
              <w:t xml:space="preserve">Supported </w:t>
            </w:r>
            <w:r w:rsidR="00C633DB" w:rsidRPr="00FF53DB">
              <w:rPr>
                <w:sz w:val="20"/>
                <w:szCs w:val="20"/>
              </w:rPr>
              <w:t xml:space="preserve">Government of Samoa </w:t>
            </w:r>
            <w:r w:rsidRPr="00FF53DB">
              <w:rPr>
                <w:sz w:val="20"/>
                <w:szCs w:val="20"/>
              </w:rPr>
              <w:t>to exercise</w:t>
            </w:r>
            <w:r w:rsidR="005A7B2C" w:rsidRPr="00FF53DB">
              <w:rPr>
                <w:sz w:val="20"/>
                <w:szCs w:val="20"/>
              </w:rPr>
              <w:t xml:space="preserve"> </w:t>
            </w:r>
            <w:r w:rsidRPr="00FF53DB">
              <w:rPr>
                <w:sz w:val="20"/>
                <w:szCs w:val="20"/>
              </w:rPr>
              <w:t xml:space="preserve">sound </w:t>
            </w:r>
            <w:r w:rsidR="005A7B2C" w:rsidRPr="00FF53DB">
              <w:rPr>
                <w:sz w:val="20"/>
                <w:szCs w:val="20"/>
              </w:rPr>
              <w:t>debt management through</w:t>
            </w:r>
            <w:r w:rsidR="00D81566" w:rsidRPr="00FF53DB">
              <w:rPr>
                <w:sz w:val="20"/>
                <w:szCs w:val="20"/>
              </w:rPr>
              <w:t xml:space="preserve"> a</w:t>
            </w:r>
            <w:r w:rsidR="005A7B2C" w:rsidRPr="00FF53DB">
              <w:rPr>
                <w:sz w:val="20"/>
                <w:szCs w:val="20"/>
              </w:rPr>
              <w:t xml:space="preserve"> no new external non-concessional borrowing </w:t>
            </w:r>
            <w:r w:rsidR="00C26817" w:rsidRPr="00FF53DB">
              <w:rPr>
                <w:sz w:val="20"/>
                <w:szCs w:val="20"/>
              </w:rPr>
              <w:t>p</w:t>
            </w:r>
            <w:r w:rsidR="005A7B2C" w:rsidRPr="00FF53DB">
              <w:rPr>
                <w:sz w:val="20"/>
                <w:szCs w:val="20"/>
              </w:rPr>
              <w:t>olicy.</w:t>
            </w:r>
          </w:p>
          <w:p w14:paraId="02B96D99" w14:textId="369A67E5" w:rsidR="005A7B2C" w:rsidRPr="00FF53DB" w:rsidRDefault="00B1617F" w:rsidP="0020778F">
            <w:pPr>
              <w:spacing w:before="0"/>
              <w:rPr>
                <w:sz w:val="20"/>
                <w:szCs w:val="20"/>
              </w:rPr>
            </w:pPr>
            <w:r w:rsidRPr="00FF53DB">
              <w:rPr>
                <w:sz w:val="20"/>
                <w:szCs w:val="20"/>
              </w:rPr>
              <w:t xml:space="preserve">Supported </w:t>
            </w:r>
            <w:r w:rsidR="00FD548D" w:rsidRPr="00FF53DB">
              <w:rPr>
                <w:sz w:val="20"/>
                <w:szCs w:val="20"/>
              </w:rPr>
              <w:t>a study on</w:t>
            </w:r>
            <w:r w:rsidR="001C6243" w:rsidRPr="00FF53DB">
              <w:rPr>
                <w:sz w:val="20"/>
                <w:szCs w:val="20"/>
              </w:rPr>
              <w:t xml:space="preserve"> </w:t>
            </w:r>
            <w:r w:rsidR="005A7B2C" w:rsidRPr="00FF53DB">
              <w:rPr>
                <w:sz w:val="20"/>
                <w:szCs w:val="20"/>
              </w:rPr>
              <w:t>renewable energy options</w:t>
            </w:r>
            <w:r w:rsidR="001C6243" w:rsidRPr="00FF53DB">
              <w:rPr>
                <w:sz w:val="20"/>
                <w:szCs w:val="20"/>
              </w:rPr>
              <w:t xml:space="preserve"> </w:t>
            </w:r>
            <w:r w:rsidR="005A7B2C" w:rsidRPr="00FF53DB">
              <w:rPr>
                <w:sz w:val="20"/>
                <w:szCs w:val="20"/>
              </w:rPr>
              <w:t>to reduce whole</w:t>
            </w:r>
            <w:r w:rsidR="00A727BF" w:rsidRPr="00FF53DB">
              <w:rPr>
                <w:sz w:val="20"/>
                <w:szCs w:val="20"/>
              </w:rPr>
              <w:t>-</w:t>
            </w:r>
            <w:r w:rsidR="005A7B2C" w:rsidRPr="00FF53DB">
              <w:rPr>
                <w:sz w:val="20"/>
                <w:szCs w:val="20"/>
              </w:rPr>
              <w:t>of</w:t>
            </w:r>
            <w:r w:rsidR="00A727BF" w:rsidRPr="00FF53DB">
              <w:rPr>
                <w:sz w:val="20"/>
                <w:szCs w:val="20"/>
              </w:rPr>
              <w:t>-</w:t>
            </w:r>
            <w:r w:rsidR="005A7B2C" w:rsidRPr="00FF53DB">
              <w:rPr>
                <w:sz w:val="20"/>
                <w:szCs w:val="20"/>
              </w:rPr>
              <w:t>lifecycle costs for the L</w:t>
            </w:r>
            <w:r w:rsidR="001C6243" w:rsidRPr="00FF53DB">
              <w:rPr>
                <w:sz w:val="20"/>
                <w:szCs w:val="20"/>
              </w:rPr>
              <w:t xml:space="preserve">egislative Assembly Office </w:t>
            </w:r>
            <w:r w:rsidR="00F424DD" w:rsidRPr="00FF53DB">
              <w:rPr>
                <w:sz w:val="20"/>
                <w:szCs w:val="20"/>
              </w:rPr>
              <w:t xml:space="preserve">(LAO) </w:t>
            </w:r>
            <w:r w:rsidR="001C6243" w:rsidRPr="00FF53DB">
              <w:rPr>
                <w:sz w:val="20"/>
                <w:szCs w:val="20"/>
              </w:rPr>
              <w:t>and P</w:t>
            </w:r>
            <w:r w:rsidR="005A7B2C" w:rsidRPr="00FF53DB">
              <w:rPr>
                <w:sz w:val="20"/>
                <w:szCs w:val="20"/>
              </w:rPr>
              <w:t xml:space="preserve">arliament House </w:t>
            </w:r>
            <w:r w:rsidR="001C6243" w:rsidRPr="00FF53DB">
              <w:rPr>
                <w:sz w:val="20"/>
                <w:szCs w:val="20"/>
              </w:rPr>
              <w:t>buildin</w:t>
            </w:r>
            <w:r w:rsidR="009663B1" w:rsidRPr="00FF53DB">
              <w:rPr>
                <w:sz w:val="20"/>
                <w:szCs w:val="20"/>
              </w:rPr>
              <w:t>g</w:t>
            </w:r>
            <w:r w:rsidR="00FD548D" w:rsidRPr="00FF53DB">
              <w:rPr>
                <w:sz w:val="20"/>
                <w:szCs w:val="20"/>
              </w:rPr>
              <w:t>.</w:t>
            </w:r>
            <w:r w:rsidR="00C633DB" w:rsidRPr="00FF53DB">
              <w:rPr>
                <w:sz w:val="20"/>
                <w:szCs w:val="20"/>
              </w:rPr>
              <w:t xml:space="preserve"> </w:t>
            </w:r>
            <w:r w:rsidR="00FD548D" w:rsidRPr="00FF53DB">
              <w:rPr>
                <w:sz w:val="20"/>
                <w:szCs w:val="20"/>
              </w:rPr>
              <w:t xml:space="preserve">This </w:t>
            </w:r>
            <w:r w:rsidR="00C633DB" w:rsidRPr="00FF53DB">
              <w:rPr>
                <w:sz w:val="20"/>
                <w:szCs w:val="20"/>
              </w:rPr>
              <w:t>p</w:t>
            </w:r>
            <w:r w:rsidR="00D028FD" w:rsidRPr="00FF53DB">
              <w:rPr>
                <w:sz w:val="20"/>
                <w:szCs w:val="20"/>
              </w:rPr>
              <w:t xml:space="preserve">rovided </w:t>
            </w:r>
            <w:r w:rsidR="00C633DB" w:rsidRPr="00FF53DB">
              <w:rPr>
                <w:sz w:val="20"/>
                <w:szCs w:val="20"/>
              </w:rPr>
              <w:t xml:space="preserve">a </w:t>
            </w:r>
            <w:r w:rsidR="005A7B2C" w:rsidRPr="00FF53DB">
              <w:rPr>
                <w:sz w:val="20"/>
                <w:szCs w:val="20"/>
              </w:rPr>
              <w:t>best practice</w:t>
            </w:r>
            <w:r w:rsidR="00D028FD" w:rsidRPr="00FF53DB">
              <w:rPr>
                <w:sz w:val="20"/>
                <w:szCs w:val="20"/>
              </w:rPr>
              <w:t xml:space="preserve"> model for </w:t>
            </w:r>
            <w:r w:rsidR="005A7B2C" w:rsidRPr="00FF53DB">
              <w:rPr>
                <w:sz w:val="20"/>
                <w:szCs w:val="20"/>
              </w:rPr>
              <w:t xml:space="preserve">future infrastructure </w:t>
            </w:r>
            <w:r w:rsidR="00D028FD" w:rsidRPr="00FF53DB">
              <w:rPr>
                <w:sz w:val="20"/>
                <w:szCs w:val="20"/>
              </w:rPr>
              <w:t xml:space="preserve">to </w:t>
            </w:r>
            <w:r w:rsidR="005A7B2C" w:rsidRPr="00FF53DB">
              <w:rPr>
                <w:sz w:val="20"/>
                <w:szCs w:val="20"/>
              </w:rPr>
              <w:t>consider sustainable recurrent costs.</w:t>
            </w:r>
          </w:p>
        </w:tc>
      </w:tr>
      <w:tr w:rsidR="005A7B2C" w14:paraId="4DF45926" w14:textId="77777777" w:rsidTr="007A4493">
        <w:trPr>
          <w:tblHeader/>
        </w:trPr>
        <w:tc>
          <w:tcPr>
            <w:tcW w:w="4390" w:type="dxa"/>
          </w:tcPr>
          <w:p w14:paraId="0B1E2DC4" w14:textId="7AB0C842" w:rsidR="005A7B2C" w:rsidRPr="00FF53DB" w:rsidRDefault="005A7B2C" w:rsidP="0020778F">
            <w:pPr>
              <w:spacing w:before="0"/>
              <w:rPr>
                <w:sz w:val="20"/>
                <w:szCs w:val="20"/>
              </w:rPr>
            </w:pPr>
            <w:r w:rsidRPr="00FF53DB">
              <w:rPr>
                <w:sz w:val="20"/>
                <w:szCs w:val="20"/>
              </w:rPr>
              <w:t xml:space="preserve">Number of people supported to have raised incomes and better jobs or livelihoods </w:t>
            </w:r>
          </w:p>
        </w:tc>
        <w:tc>
          <w:tcPr>
            <w:tcW w:w="6146" w:type="dxa"/>
          </w:tcPr>
          <w:p w14:paraId="2BA52CB4" w14:textId="5C908B50" w:rsidR="00E43C65" w:rsidRPr="00FF53DB" w:rsidRDefault="00FD548D" w:rsidP="00FF53DB">
            <w:pPr>
              <w:spacing w:before="0"/>
              <w:rPr>
                <w:color w:val="auto"/>
                <w:sz w:val="20"/>
                <w:szCs w:val="20"/>
                <w:lang w:val="en-AU"/>
              </w:rPr>
            </w:pPr>
            <w:r w:rsidRPr="00FF53DB">
              <w:rPr>
                <w:sz w:val="20"/>
                <w:szCs w:val="20"/>
              </w:rPr>
              <w:t xml:space="preserve">Business Partnership Platform </w:t>
            </w:r>
            <w:r w:rsidR="00C67376" w:rsidRPr="00FF53DB">
              <w:rPr>
                <w:sz w:val="20"/>
                <w:szCs w:val="20"/>
              </w:rPr>
              <w:t xml:space="preserve">(BPP) </w:t>
            </w:r>
            <w:r w:rsidRPr="00FF53DB">
              <w:rPr>
                <w:sz w:val="20"/>
                <w:szCs w:val="20"/>
              </w:rPr>
              <w:t xml:space="preserve">and PHAMA Plus supported </w:t>
            </w:r>
            <w:r w:rsidR="005A7B2C" w:rsidRPr="00FF53DB">
              <w:rPr>
                <w:sz w:val="20"/>
                <w:szCs w:val="20"/>
              </w:rPr>
              <w:t xml:space="preserve">536 people </w:t>
            </w:r>
            <w:r w:rsidRPr="00FF53DB">
              <w:rPr>
                <w:sz w:val="20"/>
                <w:szCs w:val="20"/>
              </w:rPr>
              <w:t xml:space="preserve">to </w:t>
            </w:r>
            <w:r w:rsidR="005A7B2C" w:rsidRPr="00FF53DB">
              <w:rPr>
                <w:sz w:val="20"/>
                <w:szCs w:val="20"/>
              </w:rPr>
              <w:t>raise their incomes</w:t>
            </w:r>
            <w:r w:rsidR="00C67376" w:rsidRPr="00FF53DB">
              <w:rPr>
                <w:sz w:val="20"/>
                <w:szCs w:val="20"/>
              </w:rPr>
              <w:t xml:space="preserve">, including 173 farmers who were able to achieve organic accreditation for their products through BPP, increasing their annual incomes from $320 to $350-$360. </w:t>
            </w:r>
          </w:p>
          <w:p w14:paraId="1FCE71E6" w14:textId="6D29B69C" w:rsidR="005A7B2C" w:rsidRPr="00FF53DB" w:rsidRDefault="00FD548D" w:rsidP="0020778F">
            <w:pPr>
              <w:spacing w:before="0"/>
              <w:rPr>
                <w:sz w:val="20"/>
                <w:szCs w:val="20"/>
              </w:rPr>
            </w:pPr>
            <w:r w:rsidRPr="00FF53DB">
              <w:rPr>
                <w:sz w:val="20"/>
                <w:szCs w:val="20"/>
              </w:rPr>
              <w:t xml:space="preserve">Supported </w:t>
            </w:r>
            <w:r w:rsidR="005A7B2C" w:rsidRPr="00FF53DB">
              <w:rPr>
                <w:sz w:val="20"/>
                <w:szCs w:val="20"/>
              </w:rPr>
              <w:t>330 students</w:t>
            </w:r>
            <w:r w:rsidRPr="00FF53DB">
              <w:rPr>
                <w:sz w:val="20"/>
                <w:szCs w:val="20"/>
              </w:rPr>
              <w:t xml:space="preserve"> to</w:t>
            </w:r>
            <w:r w:rsidR="005A7B2C" w:rsidRPr="00FF53DB">
              <w:rPr>
                <w:sz w:val="20"/>
                <w:szCs w:val="20"/>
              </w:rPr>
              <w:t xml:space="preserve"> complet</w:t>
            </w:r>
            <w:r w:rsidRPr="00FF53DB">
              <w:rPr>
                <w:sz w:val="20"/>
                <w:szCs w:val="20"/>
              </w:rPr>
              <w:t>e</w:t>
            </w:r>
            <w:r w:rsidR="005A7B2C" w:rsidRPr="00FF53DB">
              <w:rPr>
                <w:sz w:val="20"/>
                <w:szCs w:val="20"/>
              </w:rPr>
              <w:t xml:space="preserve"> training on education support, leadership </w:t>
            </w:r>
            <w:r w:rsidR="00397C5D" w:rsidRPr="00FF53DB">
              <w:rPr>
                <w:sz w:val="20"/>
                <w:szCs w:val="20"/>
              </w:rPr>
              <w:t>and</w:t>
            </w:r>
            <w:r w:rsidR="005A7B2C" w:rsidRPr="00FF53DB">
              <w:rPr>
                <w:sz w:val="20"/>
                <w:szCs w:val="20"/>
              </w:rPr>
              <w:t xml:space="preserve"> management</w:t>
            </w:r>
            <w:r w:rsidR="00397C5D" w:rsidRPr="00FF53DB">
              <w:rPr>
                <w:sz w:val="20"/>
                <w:szCs w:val="20"/>
              </w:rPr>
              <w:t>,</w:t>
            </w:r>
            <w:r w:rsidR="005A7B2C" w:rsidRPr="00FF53DB">
              <w:rPr>
                <w:sz w:val="20"/>
                <w:szCs w:val="20"/>
              </w:rPr>
              <w:t xml:space="preserve"> and fabrication.</w:t>
            </w:r>
          </w:p>
        </w:tc>
      </w:tr>
      <w:tr w:rsidR="005A7B2C" w14:paraId="51A15CF9" w14:textId="77777777" w:rsidTr="007A4493">
        <w:trPr>
          <w:tblHeader/>
        </w:trPr>
        <w:tc>
          <w:tcPr>
            <w:tcW w:w="4390" w:type="dxa"/>
          </w:tcPr>
          <w:p w14:paraId="3C75C9F9" w14:textId="099E2D9A" w:rsidR="005A7B2C" w:rsidRPr="00FF53DB" w:rsidRDefault="005A7B2C" w:rsidP="0020778F">
            <w:pPr>
              <w:spacing w:before="0"/>
              <w:rPr>
                <w:sz w:val="20"/>
                <w:szCs w:val="20"/>
              </w:rPr>
            </w:pPr>
            <w:r w:rsidRPr="00FF53DB">
              <w:rPr>
                <w:sz w:val="20"/>
                <w:szCs w:val="20"/>
              </w:rPr>
              <w:t>Examples of partnering with the private sector and other partners to ensure supply lines are open</w:t>
            </w:r>
          </w:p>
        </w:tc>
        <w:tc>
          <w:tcPr>
            <w:tcW w:w="6146" w:type="dxa"/>
          </w:tcPr>
          <w:p w14:paraId="7FB2D18B" w14:textId="40C11ACA" w:rsidR="00FD548D" w:rsidRPr="0087637D" w:rsidRDefault="00FD548D" w:rsidP="0020778F">
            <w:pPr>
              <w:spacing w:before="0"/>
              <w:rPr>
                <w:sz w:val="20"/>
                <w:szCs w:val="20"/>
              </w:rPr>
            </w:pPr>
            <w:r w:rsidRPr="00FF53DB">
              <w:rPr>
                <w:sz w:val="20"/>
                <w:szCs w:val="20"/>
              </w:rPr>
              <w:t>Supported the establishment of p</w:t>
            </w:r>
            <w:r w:rsidR="004141DE" w:rsidRPr="00FF53DB">
              <w:rPr>
                <w:sz w:val="20"/>
                <w:szCs w:val="20"/>
              </w:rPr>
              <w:t>a</w:t>
            </w:r>
            <w:r w:rsidR="005A7B2C" w:rsidRPr="00FF53DB">
              <w:rPr>
                <w:sz w:val="20"/>
                <w:szCs w:val="20"/>
              </w:rPr>
              <w:t>rtnership</w:t>
            </w:r>
            <w:r w:rsidR="004141DE" w:rsidRPr="00FF53DB">
              <w:rPr>
                <w:sz w:val="20"/>
                <w:szCs w:val="20"/>
              </w:rPr>
              <w:t>s</w:t>
            </w:r>
            <w:r w:rsidR="00F424DD" w:rsidRPr="00FF53DB">
              <w:rPr>
                <w:sz w:val="20"/>
                <w:szCs w:val="20"/>
              </w:rPr>
              <w:t xml:space="preserve"> </w:t>
            </w:r>
            <w:r w:rsidR="005A7B2C" w:rsidRPr="00FF53DB">
              <w:rPr>
                <w:sz w:val="20"/>
                <w:szCs w:val="20"/>
              </w:rPr>
              <w:t xml:space="preserve">between </w:t>
            </w:r>
            <w:proofErr w:type="spellStart"/>
            <w:r w:rsidR="00C65DFB" w:rsidRPr="00C65DFB">
              <w:rPr>
                <w:sz w:val="20"/>
                <w:szCs w:val="20"/>
              </w:rPr>
              <w:t>Nuanua</w:t>
            </w:r>
            <w:proofErr w:type="spellEnd"/>
            <w:r w:rsidR="00C65DFB" w:rsidRPr="00C65DFB">
              <w:rPr>
                <w:sz w:val="20"/>
                <w:szCs w:val="20"/>
              </w:rPr>
              <w:t xml:space="preserve"> o le </w:t>
            </w:r>
            <w:proofErr w:type="spellStart"/>
            <w:r w:rsidR="00C65DFB" w:rsidRPr="00C65DFB">
              <w:rPr>
                <w:sz w:val="20"/>
                <w:szCs w:val="20"/>
              </w:rPr>
              <w:t>Alofa</w:t>
            </w:r>
            <w:proofErr w:type="spellEnd"/>
            <w:r w:rsidR="00C65DFB">
              <w:t xml:space="preserve"> (t</w:t>
            </w:r>
            <w:r w:rsidR="00C65DFB" w:rsidRPr="00C65DFB">
              <w:rPr>
                <w:sz w:val="20"/>
                <w:szCs w:val="20"/>
              </w:rPr>
              <w:t>he national organisation advocating for the rights of people with disabilities</w:t>
            </w:r>
            <w:r w:rsidR="00C65DFB">
              <w:rPr>
                <w:sz w:val="20"/>
                <w:szCs w:val="20"/>
              </w:rPr>
              <w:t xml:space="preserve">) </w:t>
            </w:r>
            <w:r w:rsidR="005A7B2C" w:rsidRPr="0087637D">
              <w:rPr>
                <w:sz w:val="20"/>
                <w:szCs w:val="20"/>
              </w:rPr>
              <w:t xml:space="preserve">and LAO to </w:t>
            </w:r>
            <w:r w:rsidR="00D028FD" w:rsidRPr="0087637D">
              <w:rPr>
                <w:sz w:val="20"/>
                <w:szCs w:val="20"/>
              </w:rPr>
              <w:t>address</w:t>
            </w:r>
            <w:r w:rsidR="005A7B2C" w:rsidRPr="0087637D">
              <w:rPr>
                <w:sz w:val="20"/>
                <w:szCs w:val="20"/>
              </w:rPr>
              <w:t xml:space="preserve"> disability access </w:t>
            </w:r>
            <w:r w:rsidR="00D028FD" w:rsidRPr="0087637D">
              <w:rPr>
                <w:sz w:val="20"/>
                <w:szCs w:val="20"/>
              </w:rPr>
              <w:t>in</w:t>
            </w:r>
            <w:r w:rsidR="005A7B2C" w:rsidRPr="0087637D">
              <w:rPr>
                <w:sz w:val="20"/>
                <w:szCs w:val="20"/>
              </w:rPr>
              <w:t xml:space="preserve"> the LAO building design</w:t>
            </w:r>
            <w:r w:rsidR="00165C7F" w:rsidRPr="0087637D">
              <w:rPr>
                <w:sz w:val="20"/>
                <w:szCs w:val="20"/>
              </w:rPr>
              <w:t>.</w:t>
            </w:r>
          </w:p>
          <w:p w14:paraId="205A4C58" w14:textId="6DECFE5F" w:rsidR="00FD548D" w:rsidRPr="0087637D" w:rsidRDefault="00FD548D" w:rsidP="0020778F">
            <w:pPr>
              <w:spacing w:before="0"/>
              <w:rPr>
                <w:sz w:val="20"/>
                <w:szCs w:val="20"/>
              </w:rPr>
            </w:pPr>
            <w:r w:rsidRPr="0087637D">
              <w:rPr>
                <w:sz w:val="20"/>
                <w:szCs w:val="20"/>
              </w:rPr>
              <w:t xml:space="preserve">During the LAO construction, supported </w:t>
            </w:r>
            <w:r w:rsidR="005A7B2C" w:rsidRPr="0087637D">
              <w:rPr>
                <w:sz w:val="20"/>
                <w:szCs w:val="20"/>
              </w:rPr>
              <w:t>on-site training for 30 students undertaking Construction Cert</w:t>
            </w:r>
            <w:r w:rsidR="00925C5D" w:rsidRPr="0087637D">
              <w:rPr>
                <w:sz w:val="20"/>
                <w:szCs w:val="20"/>
              </w:rPr>
              <w:t>ificate</w:t>
            </w:r>
            <w:r w:rsidR="005A7B2C" w:rsidRPr="0087637D">
              <w:rPr>
                <w:sz w:val="20"/>
                <w:szCs w:val="20"/>
              </w:rPr>
              <w:t xml:space="preserve"> 1 and 2</w:t>
            </w:r>
            <w:r w:rsidR="00165C7F" w:rsidRPr="0087637D">
              <w:rPr>
                <w:sz w:val="20"/>
                <w:szCs w:val="20"/>
              </w:rPr>
              <w:t>.</w:t>
            </w:r>
          </w:p>
          <w:p w14:paraId="0DD22350" w14:textId="4B2D9CC3" w:rsidR="005A7B2C" w:rsidRPr="00FF53DB" w:rsidRDefault="00FD548D" w:rsidP="0020778F">
            <w:pPr>
              <w:spacing w:before="0"/>
              <w:rPr>
                <w:sz w:val="20"/>
                <w:szCs w:val="20"/>
              </w:rPr>
            </w:pPr>
            <w:r w:rsidRPr="0087637D">
              <w:rPr>
                <w:sz w:val="20"/>
                <w:szCs w:val="20"/>
              </w:rPr>
              <w:t xml:space="preserve">Through the </w:t>
            </w:r>
            <w:r w:rsidR="00C65DFB">
              <w:rPr>
                <w:sz w:val="20"/>
                <w:szCs w:val="20"/>
              </w:rPr>
              <w:t>BPP</w:t>
            </w:r>
            <w:r w:rsidR="00A727BF" w:rsidRPr="00FF53DB">
              <w:rPr>
                <w:sz w:val="20"/>
                <w:szCs w:val="20"/>
              </w:rPr>
              <w:t>,</w:t>
            </w:r>
            <w:r w:rsidRPr="00FF53DB">
              <w:rPr>
                <w:sz w:val="20"/>
                <w:szCs w:val="20"/>
              </w:rPr>
              <w:t xml:space="preserve"> supported </w:t>
            </w:r>
            <w:r w:rsidR="005A7B2C" w:rsidRPr="00FF53DB">
              <w:rPr>
                <w:sz w:val="20"/>
                <w:szCs w:val="20"/>
              </w:rPr>
              <w:t xml:space="preserve">950 farmers. </w:t>
            </w:r>
          </w:p>
        </w:tc>
      </w:tr>
      <w:tr w:rsidR="005A7B2C" w14:paraId="30CBAE79" w14:textId="77777777" w:rsidTr="007A4493">
        <w:trPr>
          <w:tblHeader/>
        </w:trPr>
        <w:tc>
          <w:tcPr>
            <w:tcW w:w="4390" w:type="dxa"/>
          </w:tcPr>
          <w:p w14:paraId="18A70758" w14:textId="2FE3B577" w:rsidR="005A7B2C" w:rsidRPr="00FF53DB" w:rsidRDefault="005A7B2C" w:rsidP="0020778F">
            <w:pPr>
              <w:spacing w:before="0"/>
              <w:rPr>
                <w:sz w:val="20"/>
                <w:szCs w:val="20"/>
              </w:rPr>
            </w:pPr>
            <w:r w:rsidRPr="00FF53DB">
              <w:rPr>
                <w:sz w:val="20"/>
                <w:szCs w:val="20"/>
              </w:rPr>
              <w:t xml:space="preserve">Australian budget support as a </w:t>
            </w:r>
            <w:r w:rsidR="005D2935" w:rsidRPr="00FF53DB">
              <w:rPr>
                <w:sz w:val="20"/>
                <w:szCs w:val="20"/>
              </w:rPr>
              <w:t>per cent</w:t>
            </w:r>
            <w:r w:rsidR="00925C5D" w:rsidRPr="00FF53DB">
              <w:rPr>
                <w:sz w:val="20"/>
                <w:szCs w:val="20"/>
              </w:rPr>
              <w:t>age</w:t>
            </w:r>
            <w:r w:rsidRPr="00FF53DB">
              <w:rPr>
                <w:sz w:val="20"/>
                <w:szCs w:val="20"/>
              </w:rPr>
              <w:t xml:space="preserve"> of the partner country’s domestic revenue</w:t>
            </w:r>
          </w:p>
        </w:tc>
        <w:tc>
          <w:tcPr>
            <w:tcW w:w="6146" w:type="dxa"/>
          </w:tcPr>
          <w:p w14:paraId="5AD176E9" w14:textId="4E0953CE" w:rsidR="005A7B2C" w:rsidRPr="00FF53DB" w:rsidRDefault="005A7B2C" w:rsidP="0020778F">
            <w:pPr>
              <w:spacing w:before="0"/>
              <w:rPr>
                <w:sz w:val="20"/>
                <w:szCs w:val="20"/>
              </w:rPr>
            </w:pPr>
            <w:r w:rsidRPr="00FF53DB">
              <w:rPr>
                <w:sz w:val="20"/>
                <w:szCs w:val="20"/>
              </w:rPr>
              <w:t>Australia provide</w:t>
            </w:r>
            <w:r w:rsidR="00AB1112" w:rsidRPr="00FF53DB">
              <w:rPr>
                <w:sz w:val="20"/>
                <w:szCs w:val="20"/>
              </w:rPr>
              <w:t>d</w:t>
            </w:r>
            <w:r w:rsidRPr="00FF53DB">
              <w:rPr>
                <w:sz w:val="20"/>
                <w:szCs w:val="20"/>
              </w:rPr>
              <w:t xml:space="preserve"> budget support to the amount of 2.</w:t>
            </w:r>
            <w:r w:rsidR="00C26817" w:rsidRPr="00FF53DB">
              <w:rPr>
                <w:sz w:val="20"/>
                <w:szCs w:val="20"/>
              </w:rPr>
              <w:t>9</w:t>
            </w:r>
            <w:r w:rsidR="00925C5D" w:rsidRPr="00FF53DB">
              <w:rPr>
                <w:sz w:val="20"/>
                <w:szCs w:val="20"/>
              </w:rPr>
              <w:t xml:space="preserve"> per cent</w:t>
            </w:r>
            <w:r w:rsidRPr="00FF53DB">
              <w:rPr>
                <w:sz w:val="20"/>
                <w:szCs w:val="20"/>
              </w:rPr>
              <w:t xml:space="preserve"> of total domestic revenue</w:t>
            </w:r>
            <w:r w:rsidR="00AB1112" w:rsidRPr="00FF53DB">
              <w:rPr>
                <w:sz w:val="20"/>
                <w:szCs w:val="20"/>
              </w:rPr>
              <w:t xml:space="preserve"> in </w:t>
            </w:r>
            <w:r w:rsidR="00DA4879" w:rsidRPr="00FF53DB">
              <w:rPr>
                <w:sz w:val="20"/>
                <w:szCs w:val="20"/>
              </w:rPr>
              <w:t>2020-21</w:t>
            </w:r>
            <w:r w:rsidRPr="00FF53DB">
              <w:rPr>
                <w:sz w:val="20"/>
                <w:szCs w:val="20"/>
              </w:rPr>
              <w:t>.</w:t>
            </w:r>
          </w:p>
        </w:tc>
      </w:tr>
      <w:bookmarkEnd w:id="1"/>
    </w:tbl>
    <w:p w14:paraId="2F13E6BA" w14:textId="77777777" w:rsidR="008A6BB7" w:rsidRDefault="008A6BB7" w:rsidP="008A6BB7">
      <w:pPr>
        <w:pStyle w:val="Heading2"/>
        <w:sectPr w:rsidR="008A6BB7" w:rsidSect="00902B01">
          <w:headerReference w:type="default" r:id="rId9"/>
          <w:footerReference w:type="default" r:id="rId10"/>
          <w:headerReference w:type="first" r:id="rId11"/>
          <w:footerReference w:type="first" r:id="rId12"/>
          <w:pgSz w:w="11906" w:h="16838" w:code="9"/>
          <w:pgMar w:top="1559" w:right="680" w:bottom="1418" w:left="680" w:header="567" w:footer="340" w:gutter="0"/>
          <w:cols w:space="397"/>
          <w:titlePg/>
          <w:docGrid w:linePitch="360"/>
        </w:sectPr>
      </w:pPr>
    </w:p>
    <w:p w14:paraId="7F6AD4AE" w14:textId="77777777" w:rsidR="00675ECA" w:rsidRDefault="00675ECA" w:rsidP="00675ECA">
      <w:pPr>
        <w:pStyle w:val="Heading2"/>
      </w:pPr>
      <w:r>
        <w:lastRenderedPageBreak/>
        <w:t>Annex 2: Investment Performance ratings</w:t>
      </w:r>
    </w:p>
    <w:tbl>
      <w:tblPr>
        <w:tblStyle w:val="DFATTable1"/>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675ECA" w14:paraId="6A47C587"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right w:val="single" w:sz="4" w:space="0" w:color="65C5B4" w:themeColor="accent1"/>
            </w:tcBorders>
            <w:shd w:val="clear" w:color="auto" w:fill="A2DCD1" w:themeFill="accent1" w:themeFillTint="99"/>
            <w:noWrap/>
            <w:hideMark/>
          </w:tcPr>
          <w:p w14:paraId="406E2101" w14:textId="77777777" w:rsidR="00675ECA" w:rsidRDefault="00675ECA">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Investment Details</w:t>
            </w:r>
          </w:p>
        </w:tc>
        <w:tc>
          <w:tcPr>
            <w:tcW w:w="1134" w:type="dxa"/>
            <w:tcBorders>
              <w:left w:val="single" w:sz="4" w:space="0" w:color="65C5B4" w:themeColor="accent1"/>
              <w:right w:val="single" w:sz="4" w:space="0" w:color="65C5B4" w:themeColor="accent1"/>
            </w:tcBorders>
            <w:shd w:val="clear" w:color="auto" w:fill="A2DCD1" w:themeFill="accent1" w:themeFillTint="99"/>
            <w:noWrap/>
            <w:hideMark/>
          </w:tcPr>
          <w:p w14:paraId="5BF4FEB3" w14:textId="549D65FF"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Year</w:t>
            </w:r>
          </w:p>
        </w:tc>
        <w:tc>
          <w:tcPr>
            <w:tcW w:w="1276" w:type="dxa"/>
            <w:tcBorders>
              <w:left w:val="single" w:sz="4" w:space="0" w:color="65C5B4" w:themeColor="accent1"/>
              <w:right w:val="single" w:sz="4" w:space="0" w:color="65C5B4" w:themeColor="accent1"/>
            </w:tcBorders>
            <w:shd w:val="clear" w:color="auto" w:fill="A2DCD1" w:themeFill="accent1" w:themeFillTint="99"/>
            <w:noWrap/>
            <w:hideMark/>
          </w:tcPr>
          <w:p w14:paraId="60DC02F9"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Effectiveness</w:t>
            </w:r>
          </w:p>
        </w:tc>
        <w:tc>
          <w:tcPr>
            <w:tcW w:w="1134" w:type="dxa"/>
            <w:tcBorders>
              <w:left w:val="single" w:sz="4" w:space="0" w:color="65C5B4" w:themeColor="accent1"/>
              <w:right w:val="single" w:sz="4" w:space="0" w:color="65C5B4" w:themeColor="accent1"/>
            </w:tcBorders>
            <w:shd w:val="clear" w:color="auto" w:fill="A2DCD1" w:themeFill="accent1" w:themeFillTint="99"/>
            <w:noWrap/>
            <w:hideMark/>
          </w:tcPr>
          <w:p w14:paraId="736B0483"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Efficiency</w:t>
            </w:r>
          </w:p>
        </w:tc>
        <w:tc>
          <w:tcPr>
            <w:tcW w:w="1276" w:type="dxa"/>
            <w:tcBorders>
              <w:left w:val="single" w:sz="4" w:space="0" w:color="65C5B4" w:themeColor="accent1"/>
              <w:right w:val="single" w:sz="4" w:space="0" w:color="65C5B4" w:themeColor="accent1"/>
            </w:tcBorders>
            <w:shd w:val="clear" w:color="auto" w:fill="A2DCD1" w:themeFill="accent1" w:themeFillTint="99"/>
            <w:noWrap/>
            <w:hideMark/>
          </w:tcPr>
          <w:p w14:paraId="6B9911AB"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Gender Equality</w:t>
            </w:r>
          </w:p>
        </w:tc>
      </w:tr>
      <w:tr w:rsidR="00675ECA" w14:paraId="7BC0B831"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5E71C859" w14:textId="5389F8C4" w:rsidR="00675ECA" w:rsidRDefault="00675EC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Samoa Education Sector Support Program</w:t>
            </w:r>
            <w:r w:rsidR="00375887">
              <w:rPr>
                <w:rFonts w:asciiTheme="minorHAnsi" w:eastAsia="Times New Roman" w:hAnsiTheme="minorHAnsi" w:cstheme="minorHAnsi"/>
                <w:b/>
                <w:bCs/>
                <w:color w:val="404040"/>
                <w:sz w:val="20"/>
                <w:szCs w:val="20"/>
                <w:lang w:val="en-AU" w:eastAsia="en-AU"/>
              </w:rPr>
              <w:t xml:space="preserve"> – Phase 2</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4E1FE548"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38ABEB06" w14:textId="0BEBCF61" w:rsidR="00675ECA" w:rsidRDefault="0037588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3664264A" w14:textId="707F84EB" w:rsidR="00675ECA" w:rsidRDefault="0037588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3B1DA7F2" w14:textId="671B0C8D" w:rsidR="00675ECA" w:rsidRDefault="0037588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675ECA" w14:paraId="42BF687A"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0" w:type="dxa"/>
            <w:tcBorders>
              <w:top w:val="nil"/>
              <w:left w:val="single" w:sz="4" w:space="0" w:color="65C5B4" w:themeColor="accent1"/>
              <w:right w:val="single" w:sz="4" w:space="0" w:color="65C5B4" w:themeColor="accent1"/>
            </w:tcBorders>
            <w:shd w:val="clear" w:color="auto" w:fill="F2F2F2" w:themeFill="background1" w:themeFillShade="F2"/>
            <w:hideMark/>
          </w:tcPr>
          <w:p w14:paraId="2B67225E" w14:textId="5E322262" w:rsidR="00675ECA" w:rsidRDefault="00675EC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duration: 201</w:t>
            </w:r>
            <w:r w:rsidR="00375887">
              <w:rPr>
                <w:rFonts w:asciiTheme="minorHAnsi" w:eastAsia="Times New Roman" w:hAnsiTheme="minorHAnsi" w:cstheme="minorHAnsi"/>
                <w:color w:val="404040"/>
                <w:sz w:val="20"/>
                <w:szCs w:val="20"/>
                <w:lang w:val="en-AU" w:eastAsia="en-AU"/>
              </w:rPr>
              <w:t>9</w:t>
            </w:r>
            <w:r>
              <w:rPr>
                <w:rFonts w:asciiTheme="minorHAnsi" w:eastAsia="Times New Roman" w:hAnsiTheme="minorHAnsi" w:cstheme="minorHAnsi"/>
                <w:color w:val="404040"/>
                <w:sz w:val="20"/>
                <w:szCs w:val="20"/>
                <w:lang w:val="en-AU" w:eastAsia="en-AU"/>
              </w:rPr>
              <w:t>-2</w:t>
            </w:r>
            <w:r w:rsidR="00375887">
              <w:rPr>
                <w:rFonts w:asciiTheme="minorHAnsi" w:eastAsia="Times New Roman" w:hAnsiTheme="minorHAnsi" w:cstheme="minorHAnsi"/>
                <w:color w:val="404040"/>
                <w:sz w:val="20"/>
                <w:szCs w:val="20"/>
                <w:lang w:val="en-AU" w:eastAsia="en-AU"/>
              </w:rPr>
              <w:t>4</w:t>
            </w:r>
            <w:r>
              <w:rPr>
                <w:rFonts w:asciiTheme="minorHAnsi" w:eastAsia="Times New Roman" w:hAnsiTheme="minorHAnsi" w:cstheme="minorHAnsi"/>
                <w:color w:val="404040"/>
                <w:sz w:val="20"/>
                <w:szCs w:val="20"/>
                <w:lang w:val="en-AU" w:eastAsia="en-AU"/>
              </w:rPr>
              <w:t>; Budget: $1</w:t>
            </w:r>
            <w:r w:rsidR="00375887">
              <w:rPr>
                <w:rFonts w:asciiTheme="minorHAnsi" w:eastAsia="Times New Roman" w:hAnsiTheme="minorHAnsi" w:cstheme="minorHAnsi"/>
                <w:color w:val="404040"/>
                <w:sz w:val="20"/>
                <w:szCs w:val="20"/>
                <w:lang w:val="en-AU" w:eastAsia="en-AU"/>
              </w:rPr>
              <w:t>4</w:t>
            </w:r>
            <w:r>
              <w:rPr>
                <w:rFonts w:asciiTheme="minorHAnsi" w:eastAsia="Times New Roman" w:hAnsiTheme="minorHAnsi" w:cstheme="minorHAnsi"/>
                <w:color w:val="404040"/>
                <w:sz w:val="20"/>
                <w:szCs w:val="20"/>
                <w:lang w:val="en-AU" w:eastAsia="en-AU"/>
              </w:rPr>
              <w:t>.</w:t>
            </w:r>
            <w:r w:rsidR="00375887">
              <w:rPr>
                <w:rFonts w:asciiTheme="minorHAnsi" w:eastAsia="Times New Roman" w:hAnsiTheme="minorHAnsi" w:cstheme="minorHAnsi"/>
                <w:color w:val="404040"/>
                <w:sz w:val="20"/>
                <w:szCs w:val="20"/>
                <w:lang w:val="en-AU" w:eastAsia="en-AU"/>
              </w:rPr>
              <w:t>1</w:t>
            </w:r>
            <w:r>
              <w:rPr>
                <w:rFonts w:asciiTheme="minorHAnsi" w:eastAsia="Times New Roman" w:hAnsiTheme="minorHAnsi" w:cstheme="minorHAnsi"/>
                <w:color w:val="404040"/>
                <w:sz w:val="20"/>
                <w:szCs w:val="20"/>
                <w:lang w:val="en-AU" w:eastAsia="en-AU"/>
              </w:rPr>
              <w:t xml:space="preserve">m </w:t>
            </w:r>
          </w:p>
        </w:tc>
        <w:tc>
          <w:tcPr>
            <w:tcW w:w="0" w:type="dxa"/>
            <w:tcBorders>
              <w:left w:val="single" w:sz="4" w:space="0" w:color="65C5B4" w:themeColor="accent1"/>
              <w:right w:val="single" w:sz="4" w:space="0" w:color="65C5B4" w:themeColor="accent1"/>
            </w:tcBorders>
            <w:shd w:val="clear" w:color="auto" w:fill="F2F2F2" w:themeFill="background1" w:themeFillShade="F2"/>
          </w:tcPr>
          <w:p w14:paraId="2E9E3FA6" w14:textId="6EA7A840" w:rsidR="00675ECA" w:rsidRDefault="006D3107">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2020</w:t>
            </w:r>
          </w:p>
        </w:tc>
        <w:tc>
          <w:tcPr>
            <w:tcW w:w="0" w:type="dxa"/>
            <w:tcBorders>
              <w:left w:val="single" w:sz="4" w:space="0" w:color="65C5B4" w:themeColor="accent1"/>
              <w:right w:val="single" w:sz="4" w:space="0" w:color="65C5B4" w:themeColor="accent1"/>
            </w:tcBorders>
            <w:shd w:val="clear" w:color="auto" w:fill="F2F2F2" w:themeFill="background1" w:themeFillShade="F2"/>
            <w:noWrap/>
          </w:tcPr>
          <w:p w14:paraId="07FC926F" w14:textId="5FA32973" w:rsidR="00675ECA" w:rsidRDefault="005D293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0" w:type="dxa"/>
            <w:tcBorders>
              <w:left w:val="single" w:sz="4" w:space="0" w:color="65C5B4" w:themeColor="accent1"/>
              <w:right w:val="single" w:sz="4" w:space="0" w:color="65C5B4" w:themeColor="accent1"/>
            </w:tcBorders>
            <w:shd w:val="clear" w:color="auto" w:fill="F2F2F2" w:themeFill="background1" w:themeFillShade="F2"/>
            <w:noWrap/>
          </w:tcPr>
          <w:p w14:paraId="7F8A589A" w14:textId="117A106C" w:rsidR="00675ECA" w:rsidRDefault="005D293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0" w:type="dxa"/>
            <w:tcBorders>
              <w:left w:val="single" w:sz="4" w:space="0" w:color="65C5B4" w:themeColor="accent1"/>
              <w:right w:val="single" w:sz="4" w:space="0" w:color="65C5B4" w:themeColor="accent1"/>
            </w:tcBorders>
            <w:shd w:val="clear" w:color="auto" w:fill="F2F2F2" w:themeFill="background1" w:themeFillShade="F2"/>
            <w:noWrap/>
          </w:tcPr>
          <w:p w14:paraId="7976198E" w14:textId="12D4CB71" w:rsidR="00675ECA" w:rsidRDefault="005D293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r>
      <w:tr w:rsidR="00675ECA" w14:paraId="21E492FA"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noWrap/>
            <w:vAlign w:val="bottom"/>
            <w:hideMark/>
          </w:tcPr>
          <w:p w14:paraId="4417EEF4" w14:textId="75AD83AD" w:rsidR="00675ECA" w:rsidRDefault="00675EC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Samoa Parliament Complex Redevelopment</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6536F04A"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2021</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07AD2512"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1873E361"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30E6D0CA"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w:t>
            </w:r>
          </w:p>
        </w:tc>
      </w:tr>
      <w:tr w:rsidR="00675ECA" w14:paraId="7C947A94"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58E74022" w14:textId="088D571D" w:rsidR="00675ECA" w:rsidRDefault="00675EC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 xml:space="preserve">Investment duration: 2012-22; Budget: $13.2m </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3A9444D9"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2020</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65221345"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674A211F"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21E5810C"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675ECA" w14:paraId="0ABACDD6"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noWrap/>
            <w:vAlign w:val="bottom"/>
            <w:hideMark/>
          </w:tcPr>
          <w:p w14:paraId="672F7C12" w14:textId="1CA186E6" w:rsidR="00675ECA" w:rsidRDefault="00675EC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Samoa Economic Infrastructure Program</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23B7A591"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57577C26"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52429ACA"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6039212E"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1</w:t>
            </w:r>
          </w:p>
        </w:tc>
      </w:tr>
      <w:tr w:rsidR="00675ECA" w14:paraId="0C7A0EB5"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3B774257" w14:textId="3153BBB1" w:rsidR="00675ECA" w:rsidRDefault="00675EC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 xml:space="preserve">Investment duration: 2012-22; Budget: $18.7m </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6938D4E7"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444C7ED4"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45AA6DD9"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3644E7B6"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675ECA" w14:paraId="03FBB1E6"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noWrap/>
            <w:vAlign w:val="bottom"/>
            <w:hideMark/>
          </w:tcPr>
          <w:p w14:paraId="4192E436" w14:textId="7BC0F38D" w:rsidR="00675ECA" w:rsidRDefault="00675EC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Samoa Health Program</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3B49B6C5"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15F58487"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06E9E42C"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55E31724"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675ECA" w14:paraId="117E117F"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69E474A8" w14:textId="74544C11" w:rsidR="00675ECA" w:rsidRDefault="00675EC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duration: 2013-22; Budget: $</w:t>
            </w:r>
            <w:r w:rsidR="00473A0C">
              <w:rPr>
                <w:rFonts w:asciiTheme="minorHAnsi" w:eastAsia="Times New Roman" w:hAnsiTheme="minorHAnsi" w:cstheme="minorHAnsi"/>
                <w:color w:val="404040"/>
                <w:sz w:val="20"/>
                <w:szCs w:val="20"/>
                <w:lang w:val="en-AU" w:eastAsia="en-AU"/>
              </w:rPr>
              <w:t>9.2</w:t>
            </w:r>
            <w:r>
              <w:rPr>
                <w:rFonts w:asciiTheme="minorHAnsi" w:eastAsia="Times New Roman" w:hAnsiTheme="minorHAnsi" w:cstheme="minorHAnsi"/>
                <w:color w:val="404040"/>
                <w:sz w:val="20"/>
                <w:szCs w:val="20"/>
                <w:lang w:val="en-AU" w:eastAsia="en-AU"/>
              </w:rPr>
              <w:t xml:space="preserve">m </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7C5C4265"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7A6C1612"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1F97BAA2"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1ADFA9B4"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675ECA" w14:paraId="1895663B"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noWrap/>
            <w:vAlign w:val="bottom"/>
            <w:hideMark/>
          </w:tcPr>
          <w:p w14:paraId="2C71E3F8" w14:textId="344C6BCC" w:rsidR="00675ECA" w:rsidRDefault="00675ECA">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Women in Leadership in Samoa</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284368BA"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3D1573EC"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7B0D0217"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3D1638FF"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675ECA" w14:paraId="0A43B766"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367FA5DF" w14:textId="60F70F0D" w:rsidR="00675ECA" w:rsidRDefault="00675EC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 xml:space="preserve">Investment duration: 2018-22; Budget: $3.0m </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5A0B3DF1"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7C542FE6"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44BE733B"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59576ED5"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675ECA" w14:paraId="138388D7"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vAlign w:val="bottom"/>
            <w:hideMark/>
          </w:tcPr>
          <w:p w14:paraId="62DF8B9C" w14:textId="72D04972" w:rsidR="00675ECA" w:rsidRDefault="00675ECA">
            <w:pPr>
              <w:suppressAutoHyphens w:val="0"/>
              <w:spacing w:before="0" w:after="0" w:line="240" w:lineRule="auto"/>
              <w:rPr>
                <w:rFonts w:asciiTheme="minorHAnsi" w:eastAsia="Times New Roman" w:hAnsiTheme="minorHAnsi" w:cstheme="minorHAnsi"/>
                <w:b/>
                <w:bCs/>
                <w:color w:val="404040"/>
                <w:sz w:val="20"/>
                <w:szCs w:val="20"/>
                <w:lang w:eastAsia="en-AU"/>
              </w:rPr>
            </w:pPr>
            <w:r>
              <w:rPr>
                <w:rFonts w:asciiTheme="minorHAnsi" w:eastAsia="Times New Roman" w:hAnsiTheme="minorHAnsi" w:cstheme="minorHAnsi"/>
                <w:b/>
                <w:bCs/>
                <w:color w:val="404040"/>
                <w:sz w:val="20"/>
                <w:szCs w:val="20"/>
                <w:lang w:eastAsia="en-AU"/>
              </w:rPr>
              <w:t>Samoa Fiscal Resilience Program</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34FBCB6B"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eastAsia="en-AU"/>
              </w:rPr>
            </w:pPr>
            <w:r>
              <w:rPr>
                <w:rFonts w:asciiTheme="minorHAnsi" w:eastAsia="Times New Roman" w:hAnsiTheme="minorHAnsi" w:cstheme="minorHAnsi"/>
                <w:color w:val="000000"/>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3AB7A95A"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eastAsia="en-AU"/>
              </w:rPr>
            </w:pPr>
            <w:r>
              <w:rPr>
                <w:rFonts w:asciiTheme="minorHAnsi" w:eastAsia="Times New Roman" w:hAnsiTheme="minorHAnsi" w:cstheme="minorHAnsi"/>
                <w:color w:val="404040"/>
                <w:sz w:val="20"/>
                <w:szCs w:val="20"/>
                <w:lang w:eastAsia="en-AU"/>
              </w:rPr>
              <w:t>5</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32E8C799"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eastAsia="en-AU"/>
              </w:rPr>
            </w:pPr>
            <w:r>
              <w:rPr>
                <w:rFonts w:asciiTheme="minorHAnsi" w:eastAsia="Times New Roman" w:hAnsiTheme="minorHAnsi" w:cstheme="minorHAnsi"/>
                <w:color w:val="404040"/>
                <w:sz w:val="20"/>
                <w:szCs w:val="20"/>
                <w:lang w:eastAsia="en-AU"/>
              </w:rPr>
              <w:t>5</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273E139F"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eastAsia="en-AU"/>
              </w:rPr>
            </w:pPr>
            <w:r>
              <w:rPr>
                <w:rFonts w:asciiTheme="minorHAnsi" w:eastAsia="Times New Roman" w:hAnsiTheme="minorHAnsi" w:cstheme="minorHAnsi"/>
                <w:color w:val="404040"/>
                <w:sz w:val="20"/>
                <w:szCs w:val="20"/>
                <w:lang w:eastAsia="en-AU"/>
              </w:rPr>
              <w:t>1</w:t>
            </w:r>
          </w:p>
        </w:tc>
      </w:tr>
      <w:tr w:rsidR="00675ECA" w14:paraId="6CB1D308"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38255DEC" w14:textId="01094EB4" w:rsidR="00675ECA" w:rsidRDefault="00675ECA">
            <w:pPr>
              <w:suppressAutoHyphens w:val="0"/>
              <w:spacing w:before="0" w:after="0" w:line="240" w:lineRule="auto"/>
              <w:rPr>
                <w:rFonts w:asciiTheme="minorHAnsi" w:eastAsia="Times New Roman" w:hAnsiTheme="minorHAnsi" w:cstheme="minorHAnsi"/>
                <w:b/>
                <w:bCs/>
                <w:color w:val="404040"/>
                <w:sz w:val="20"/>
                <w:szCs w:val="20"/>
                <w:lang w:eastAsia="en-AU"/>
              </w:rPr>
            </w:pPr>
            <w:r>
              <w:rPr>
                <w:rFonts w:asciiTheme="minorHAnsi" w:eastAsia="Times New Roman" w:hAnsiTheme="minorHAnsi" w:cstheme="minorHAnsi"/>
                <w:color w:val="404040"/>
                <w:sz w:val="20"/>
                <w:szCs w:val="20"/>
                <w:lang w:val="en-AU" w:eastAsia="en-AU"/>
              </w:rPr>
              <w:t xml:space="preserve">Investment duration: 2018-22; Budget: $10.0m </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0C90FAF5"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eastAsia="en-AU"/>
              </w:rPr>
            </w:pPr>
            <w:r>
              <w:rPr>
                <w:rFonts w:asciiTheme="minorHAnsi" w:eastAsia="Times New Roman" w:hAnsiTheme="minorHAnsi" w:cstheme="minorHAnsi"/>
                <w:color w:val="000000"/>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30F842C6"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eastAsia="en-AU"/>
              </w:rPr>
            </w:pPr>
            <w:r>
              <w:rPr>
                <w:rFonts w:asciiTheme="minorHAnsi" w:eastAsia="Times New Roman" w:hAnsiTheme="minorHAnsi" w:cstheme="minorHAnsi"/>
                <w:color w:val="404040"/>
                <w:sz w:val="20"/>
                <w:szCs w:val="20"/>
                <w:lang w:eastAsia="en-AU"/>
              </w:rPr>
              <w:t>5</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3F26817E"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eastAsia="en-AU"/>
              </w:rPr>
            </w:pPr>
            <w:r>
              <w:rPr>
                <w:rFonts w:asciiTheme="minorHAnsi" w:eastAsia="Times New Roman" w:hAnsiTheme="minorHAnsi" w:cstheme="minorHAnsi"/>
                <w:color w:val="404040"/>
                <w:sz w:val="20"/>
                <w:szCs w:val="20"/>
                <w:lang w:eastAsia="en-AU"/>
              </w:rPr>
              <w:t>5</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43429744"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404040"/>
                <w:sz w:val="20"/>
                <w:szCs w:val="20"/>
                <w:lang w:eastAsia="en-AU"/>
              </w:rPr>
            </w:pPr>
            <w:r>
              <w:rPr>
                <w:rFonts w:asciiTheme="minorHAnsi" w:eastAsia="Times New Roman" w:hAnsiTheme="minorHAnsi" w:cstheme="minorHAnsi"/>
                <w:color w:val="404040"/>
                <w:sz w:val="20"/>
                <w:szCs w:val="20"/>
                <w:lang w:eastAsia="en-AU"/>
              </w:rPr>
              <w:t>3</w:t>
            </w:r>
          </w:p>
        </w:tc>
      </w:tr>
      <w:tr w:rsidR="00675ECA" w14:paraId="21D7E40F"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7CF9D71C" w14:textId="3B9EA089" w:rsidR="00675ECA" w:rsidRDefault="00675ECA">
            <w:pPr>
              <w:suppressAutoHyphens w:val="0"/>
              <w:spacing w:before="0" w:after="0" w:line="240" w:lineRule="auto"/>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b/>
                <w:bCs/>
                <w:color w:val="404040"/>
                <w:sz w:val="20"/>
                <w:szCs w:val="20"/>
                <w:lang w:eastAsia="en-AU"/>
              </w:rPr>
              <w:t>Samoa Governance Support Program</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17BE3B18"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77EDCD2D"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78E51FCB"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0901B70B"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675ECA" w14:paraId="298E8865"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7254DCBA" w14:textId="5D1CEEDC" w:rsidR="00675ECA" w:rsidRDefault="00675ECA">
            <w:pPr>
              <w:suppressAutoHyphens w:val="0"/>
              <w:spacing w:before="0" w:after="0" w:line="240" w:lineRule="auto"/>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duration: 2018-22; Budget: $</w:t>
            </w:r>
            <w:r w:rsidR="00473A0C">
              <w:rPr>
                <w:rFonts w:asciiTheme="minorHAnsi" w:eastAsia="Times New Roman" w:hAnsiTheme="minorHAnsi" w:cstheme="minorHAnsi"/>
                <w:color w:val="404040"/>
                <w:sz w:val="20"/>
                <w:szCs w:val="20"/>
                <w:lang w:val="en-AU" w:eastAsia="en-AU"/>
              </w:rPr>
              <w:t>9.45</w:t>
            </w:r>
            <w:r>
              <w:rPr>
                <w:rFonts w:asciiTheme="minorHAnsi" w:eastAsia="Times New Roman" w:hAnsiTheme="minorHAnsi" w:cstheme="minorHAnsi"/>
                <w:color w:val="404040"/>
                <w:sz w:val="20"/>
                <w:szCs w:val="20"/>
                <w:lang w:val="en-AU" w:eastAsia="en-AU"/>
              </w:rPr>
              <w:t xml:space="preserve">m </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3CA4BE23"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171F1437"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1E57511B"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5</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16CF4B75"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675ECA" w14:paraId="64D8C04B"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E0F3EF" w:themeFill="accent1" w:themeFillTint="33"/>
            <w:vAlign w:val="bottom"/>
            <w:hideMark/>
          </w:tcPr>
          <w:p w14:paraId="5C1349B4" w14:textId="4F818701" w:rsidR="00675ECA" w:rsidRDefault="00675ECA">
            <w:pPr>
              <w:suppressAutoHyphens w:val="0"/>
              <w:spacing w:before="0" w:after="0" w:line="240" w:lineRule="auto"/>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b/>
                <w:bCs/>
                <w:color w:val="404040"/>
                <w:sz w:val="20"/>
                <w:szCs w:val="20"/>
                <w:lang w:eastAsia="en-AU"/>
              </w:rPr>
              <w:t>Samoa Disability Partnership Program</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6AFF7560"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6546CECC"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687849BD"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69B1CB7F"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w:t>
            </w:r>
          </w:p>
        </w:tc>
      </w:tr>
      <w:tr w:rsidR="00675ECA" w14:paraId="36167528"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E0F3EF" w:themeFill="accent1" w:themeFillTint="33"/>
            <w:hideMark/>
          </w:tcPr>
          <w:p w14:paraId="6A55F26F" w14:textId="3A0452DA" w:rsidR="00675ECA" w:rsidRDefault="00675ECA">
            <w:pPr>
              <w:suppressAutoHyphens w:val="0"/>
              <w:spacing w:before="0" w:after="0" w:line="240" w:lineRule="auto"/>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 xml:space="preserve">Investment duration: 2019-23; Budget: $4.3m </w:t>
            </w:r>
          </w:p>
        </w:tc>
        <w:tc>
          <w:tcPr>
            <w:tcW w:w="1134" w:type="dxa"/>
            <w:tcBorders>
              <w:left w:val="single" w:sz="4" w:space="0" w:color="65C5B4" w:themeColor="accent1"/>
              <w:right w:val="single" w:sz="4" w:space="0" w:color="65C5B4" w:themeColor="accent1"/>
            </w:tcBorders>
            <w:shd w:val="clear" w:color="auto" w:fill="E0F3EF" w:themeFill="accent1" w:themeFillTint="33"/>
            <w:hideMark/>
          </w:tcPr>
          <w:p w14:paraId="7E426975"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54D4A53D"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left w:val="single" w:sz="4" w:space="0" w:color="65C5B4" w:themeColor="accent1"/>
              <w:right w:val="single" w:sz="4" w:space="0" w:color="65C5B4" w:themeColor="accent1"/>
            </w:tcBorders>
            <w:shd w:val="clear" w:color="auto" w:fill="E0F3EF" w:themeFill="accent1" w:themeFillTint="33"/>
            <w:noWrap/>
            <w:hideMark/>
          </w:tcPr>
          <w:p w14:paraId="7CD3F930"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left w:val="single" w:sz="4" w:space="0" w:color="65C5B4" w:themeColor="accent1"/>
              <w:right w:val="single" w:sz="4" w:space="0" w:color="65C5B4" w:themeColor="accent1"/>
            </w:tcBorders>
            <w:shd w:val="clear" w:color="auto" w:fill="E0F3EF" w:themeFill="accent1" w:themeFillTint="33"/>
            <w:noWrap/>
            <w:hideMark/>
          </w:tcPr>
          <w:p w14:paraId="6B0B9315"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r w:rsidR="00675ECA" w14:paraId="07E5EB26"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169941FF" w14:textId="52EB4DD6" w:rsidR="00675ECA" w:rsidRDefault="00675ECA">
            <w:pPr>
              <w:suppressAutoHyphens w:val="0"/>
              <w:spacing w:before="0" w:after="0" w:line="240" w:lineRule="auto"/>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b/>
                <w:bCs/>
                <w:color w:val="404040"/>
                <w:sz w:val="20"/>
                <w:szCs w:val="20"/>
                <w:lang w:eastAsia="en-AU"/>
              </w:rPr>
              <w:t>Education Sector Support Program II</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10858B89"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2021</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6E46CD93"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2D497332"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75D50320"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r>
      <w:tr w:rsidR="00675ECA" w14:paraId="5EC8AFCC"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left w:val="single" w:sz="4" w:space="0" w:color="65C5B4" w:themeColor="accent1"/>
              <w:right w:val="single" w:sz="4" w:space="0" w:color="65C5B4" w:themeColor="accent1"/>
            </w:tcBorders>
            <w:shd w:val="clear" w:color="auto" w:fill="F2F2F2" w:themeFill="background1" w:themeFillShade="F2"/>
            <w:hideMark/>
          </w:tcPr>
          <w:p w14:paraId="1A7AC27C" w14:textId="2815E003" w:rsidR="00675ECA" w:rsidRDefault="00675ECA">
            <w:pPr>
              <w:suppressAutoHyphens w:val="0"/>
              <w:spacing w:before="0" w:after="0" w:line="240" w:lineRule="auto"/>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duration: 2019-24; Budget: $1</w:t>
            </w:r>
            <w:r w:rsidR="00473A0C">
              <w:rPr>
                <w:rFonts w:asciiTheme="minorHAnsi" w:eastAsia="Times New Roman" w:hAnsiTheme="minorHAnsi" w:cstheme="minorHAnsi"/>
                <w:color w:val="404040"/>
                <w:sz w:val="20"/>
                <w:szCs w:val="20"/>
                <w:lang w:val="en-AU" w:eastAsia="en-AU"/>
              </w:rPr>
              <w:t>5</w:t>
            </w:r>
            <w:r>
              <w:rPr>
                <w:rFonts w:asciiTheme="minorHAnsi" w:eastAsia="Times New Roman" w:hAnsiTheme="minorHAnsi" w:cstheme="minorHAnsi"/>
                <w:color w:val="404040"/>
                <w:sz w:val="20"/>
                <w:szCs w:val="20"/>
                <w:lang w:val="en-AU" w:eastAsia="en-AU"/>
              </w:rPr>
              <w:t xml:space="preserve">.1m </w:t>
            </w:r>
          </w:p>
        </w:tc>
        <w:tc>
          <w:tcPr>
            <w:tcW w:w="1134" w:type="dxa"/>
            <w:tcBorders>
              <w:left w:val="single" w:sz="4" w:space="0" w:color="65C5B4" w:themeColor="accent1"/>
              <w:right w:val="single" w:sz="4" w:space="0" w:color="65C5B4" w:themeColor="accent1"/>
            </w:tcBorders>
            <w:shd w:val="clear" w:color="auto" w:fill="F2F2F2" w:themeFill="background1" w:themeFillShade="F2"/>
            <w:hideMark/>
          </w:tcPr>
          <w:p w14:paraId="7283D2EE"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2020</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463FE407"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1134" w:type="dxa"/>
            <w:tcBorders>
              <w:left w:val="single" w:sz="4" w:space="0" w:color="65C5B4" w:themeColor="accent1"/>
              <w:right w:val="single" w:sz="4" w:space="0" w:color="65C5B4" w:themeColor="accent1"/>
            </w:tcBorders>
            <w:shd w:val="clear" w:color="auto" w:fill="F2F2F2" w:themeFill="background1" w:themeFillShade="F2"/>
            <w:noWrap/>
            <w:hideMark/>
          </w:tcPr>
          <w:p w14:paraId="1C1BCC38"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c>
          <w:tcPr>
            <w:tcW w:w="1276" w:type="dxa"/>
            <w:tcBorders>
              <w:left w:val="single" w:sz="4" w:space="0" w:color="65C5B4" w:themeColor="accent1"/>
              <w:right w:val="single" w:sz="4" w:space="0" w:color="65C5B4" w:themeColor="accent1"/>
            </w:tcBorders>
            <w:shd w:val="clear" w:color="auto" w:fill="F2F2F2" w:themeFill="background1" w:themeFillShade="F2"/>
            <w:noWrap/>
            <w:hideMark/>
          </w:tcPr>
          <w:p w14:paraId="7176347E"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n/a</w:t>
            </w:r>
          </w:p>
        </w:tc>
      </w:tr>
    </w:tbl>
    <w:p w14:paraId="540CFFD9" w14:textId="2879AAFB" w:rsidR="00675ECA" w:rsidRDefault="00675ECA" w:rsidP="00675ECA">
      <w:pPr>
        <w:pStyle w:val="Heading2"/>
      </w:pPr>
      <w:r>
        <w:t xml:space="preserve">Final Investment Performance ratings  </w:t>
      </w:r>
    </w:p>
    <w:tbl>
      <w:tblPr>
        <w:tblStyle w:val="DFATTable1"/>
        <w:tblW w:w="10620"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4"/>
        <w:gridCol w:w="1133"/>
        <w:gridCol w:w="1275"/>
        <w:gridCol w:w="1133"/>
        <w:gridCol w:w="1275"/>
      </w:tblGrid>
      <w:tr w:rsidR="00675ECA" w14:paraId="4D755FD4"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right w:val="single" w:sz="4" w:space="0" w:color="65C5B4" w:themeColor="accent1"/>
            </w:tcBorders>
            <w:shd w:val="clear" w:color="auto" w:fill="A2DCD1" w:themeFill="accent1" w:themeFillTint="99"/>
            <w:noWrap/>
            <w:hideMark/>
          </w:tcPr>
          <w:p w14:paraId="11C00067" w14:textId="77777777" w:rsidR="00675ECA" w:rsidRDefault="00675ECA">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Investment Details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0DDC175C" w14:textId="6CA36D1A"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Year</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4F78D0C7"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Effectiveness</w:t>
            </w:r>
          </w:p>
        </w:tc>
        <w:tc>
          <w:tcPr>
            <w:tcW w:w="1133" w:type="dxa"/>
            <w:tcBorders>
              <w:left w:val="single" w:sz="4" w:space="0" w:color="65C5B4" w:themeColor="accent1"/>
              <w:right w:val="single" w:sz="4" w:space="0" w:color="65C5B4" w:themeColor="accent1"/>
            </w:tcBorders>
            <w:shd w:val="clear" w:color="auto" w:fill="A2DCD1" w:themeFill="accent1" w:themeFillTint="99"/>
            <w:noWrap/>
            <w:hideMark/>
          </w:tcPr>
          <w:p w14:paraId="68EE5083"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Efficiency</w:t>
            </w:r>
          </w:p>
        </w:tc>
        <w:tc>
          <w:tcPr>
            <w:tcW w:w="1275" w:type="dxa"/>
            <w:tcBorders>
              <w:left w:val="single" w:sz="4" w:space="0" w:color="65C5B4" w:themeColor="accent1"/>
              <w:right w:val="single" w:sz="4" w:space="0" w:color="65C5B4" w:themeColor="accent1"/>
            </w:tcBorders>
            <w:shd w:val="clear" w:color="auto" w:fill="A2DCD1" w:themeFill="accent1" w:themeFillTint="99"/>
            <w:noWrap/>
            <w:hideMark/>
          </w:tcPr>
          <w:p w14:paraId="199392D9"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val="en-AU" w:eastAsia="en-AU"/>
              </w:rPr>
              <w:t>Gender Equality</w:t>
            </w:r>
          </w:p>
        </w:tc>
      </w:tr>
      <w:tr w:rsidR="00675ECA" w14:paraId="33AE4299"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left w:val="single" w:sz="4" w:space="0" w:color="65C5B4" w:themeColor="accent1"/>
              <w:bottom w:val="nil"/>
              <w:right w:val="single" w:sz="4" w:space="0" w:color="65C5B4" w:themeColor="accent1"/>
            </w:tcBorders>
            <w:shd w:val="clear" w:color="auto" w:fill="F2F2F2" w:themeFill="background1" w:themeFillShade="F2"/>
            <w:vAlign w:val="bottom"/>
            <w:hideMark/>
          </w:tcPr>
          <w:p w14:paraId="2AEA2F6B" w14:textId="4DEC6828" w:rsidR="00675ECA" w:rsidRDefault="008B3FC5">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Education Sector Support Program</w:t>
            </w:r>
            <w:r w:rsidR="00473A0C">
              <w:rPr>
                <w:rFonts w:asciiTheme="minorHAnsi" w:eastAsia="Times New Roman" w:hAnsiTheme="minorHAnsi" w:cstheme="minorHAnsi"/>
                <w:b/>
                <w:bCs/>
                <w:color w:val="404040"/>
                <w:sz w:val="20"/>
                <w:szCs w:val="20"/>
                <w:lang w:eastAsia="en-AU"/>
              </w:rPr>
              <w:t xml:space="preserve"> </w:t>
            </w:r>
            <w:r w:rsidR="00375887">
              <w:rPr>
                <w:rFonts w:asciiTheme="minorHAnsi" w:eastAsia="Times New Roman" w:hAnsiTheme="minorHAnsi" w:cstheme="minorHAnsi"/>
                <w:b/>
                <w:bCs/>
                <w:color w:val="404040"/>
                <w:sz w:val="20"/>
                <w:szCs w:val="20"/>
                <w:lang w:eastAsia="en-AU"/>
              </w:rPr>
              <w:t>– Phase 1</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7529E8D2"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2021 FIMR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63D5AF08"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17A8B1BB" w14:textId="1657A96A" w:rsidR="00675ECA" w:rsidRDefault="001147B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3DB71505" w14:textId="0ECF4A41" w:rsidR="00675ECA" w:rsidRDefault="001147B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w:t>
            </w:r>
          </w:p>
        </w:tc>
      </w:tr>
      <w:tr w:rsidR="00675ECA" w14:paraId="175ED307" w14:textId="77777777" w:rsidTr="006D3107">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4" w:type="dxa"/>
            <w:tcBorders>
              <w:top w:val="nil"/>
              <w:left w:val="single" w:sz="4" w:space="0" w:color="65C5B4" w:themeColor="accent1"/>
              <w:right w:val="single" w:sz="4" w:space="0" w:color="65C5B4" w:themeColor="accent1"/>
            </w:tcBorders>
            <w:shd w:val="clear" w:color="auto" w:fill="F2F2F2" w:themeFill="background1" w:themeFillShade="F2"/>
            <w:hideMark/>
          </w:tcPr>
          <w:p w14:paraId="3F3DC2FF" w14:textId="443E3B5D" w:rsidR="00675ECA" w:rsidRDefault="00675ECA">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duration: 20</w:t>
            </w:r>
            <w:r w:rsidR="00375887">
              <w:rPr>
                <w:rFonts w:asciiTheme="minorHAnsi" w:eastAsia="Times New Roman" w:hAnsiTheme="minorHAnsi" w:cstheme="minorHAnsi"/>
                <w:color w:val="404040"/>
                <w:sz w:val="20"/>
                <w:szCs w:val="20"/>
                <w:lang w:val="en-AU" w:eastAsia="en-AU"/>
              </w:rPr>
              <w:t>11</w:t>
            </w:r>
            <w:r>
              <w:rPr>
                <w:rFonts w:asciiTheme="minorHAnsi" w:eastAsia="Times New Roman" w:hAnsiTheme="minorHAnsi" w:cstheme="minorHAnsi"/>
                <w:color w:val="404040"/>
                <w:sz w:val="20"/>
                <w:szCs w:val="20"/>
                <w:lang w:val="en-AU" w:eastAsia="en-AU"/>
              </w:rPr>
              <w:t>-</w:t>
            </w:r>
            <w:r w:rsidR="00375887">
              <w:rPr>
                <w:rFonts w:asciiTheme="minorHAnsi" w:eastAsia="Times New Roman" w:hAnsiTheme="minorHAnsi" w:cstheme="minorHAnsi"/>
                <w:color w:val="404040"/>
                <w:sz w:val="20"/>
                <w:szCs w:val="20"/>
                <w:lang w:val="en-AU" w:eastAsia="en-AU"/>
              </w:rPr>
              <w:t>21</w:t>
            </w:r>
            <w:r>
              <w:rPr>
                <w:rFonts w:asciiTheme="minorHAnsi" w:eastAsia="Times New Roman" w:hAnsiTheme="minorHAnsi" w:cstheme="minorHAnsi"/>
                <w:color w:val="404040"/>
                <w:sz w:val="20"/>
                <w:szCs w:val="20"/>
                <w:lang w:val="en-AU" w:eastAsia="en-AU"/>
              </w:rPr>
              <w:t>; Budget: $</w:t>
            </w:r>
            <w:r w:rsidR="001147B0">
              <w:rPr>
                <w:rFonts w:asciiTheme="minorHAnsi" w:eastAsia="Times New Roman" w:hAnsiTheme="minorHAnsi" w:cstheme="minorHAnsi"/>
                <w:color w:val="404040"/>
                <w:sz w:val="20"/>
                <w:szCs w:val="20"/>
                <w:lang w:val="en-AU" w:eastAsia="en-AU"/>
              </w:rPr>
              <w:t>17</w:t>
            </w:r>
            <w:r>
              <w:rPr>
                <w:rFonts w:asciiTheme="minorHAnsi" w:eastAsia="Times New Roman" w:hAnsiTheme="minorHAnsi" w:cstheme="minorHAnsi"/>
                <w:color w:val="404040"/>
                <w:sz w:val="20"/>
                <w:szCs w:val="20"/>
                <w:lang w:val="en-AU" w:eastAsia="en-AU"/>
              </w:rPr>
              <w:t>.</w:t>
            </w:r>
            <w:r w:rsidR="001147B0">
              <w:rPr>
                <w:rFonts w:asciiTheme="minorHAnsi" w:eastAsia="Times New Roman" w:hAnsiTheme="minorHAnsi" w:cstheme="minorHAnsi"/>
                <w:color w:val="404040"/>
                <w:sz w:val="20"/>
                <w:szCs w:val="20"/>
                <w:lang w:val="en-AU" w:eastAsia="en-AU"/>
              </w:rPr>
              <w:t>2</w:t>
            </w:r>
            <w:r>
              <w:rPr>
                <w:rFonts w:asciiTheme="minorHAnsi" w:eastAsia="Times New Roman" w:hAnsiTheme="minorHAnsi" w:cstheme="minorHAnsi"/>
                <w:color w:val="404040"/>
                <w:sz w:val="20"/>
                <w:szCs w:val="20"/>
                <w:lang w:val="en-AU" w:eastAsia="en-AU"/>
              </w:rPr>
              <w:t xml:space="preserve">m </w:t>
            </w:r>
          </w:p>
        </w:tc>
        <w:tc>
          <w:tcPr>
            <w:tcW w:w="1133" w:type="dxa"/>
            <w:tcBorders>
              <w:left w:val="single" w:sz="4" w:space="0" w:color="65C5B4" w:themeColor="accent1"/>
              <w:right w:val="single" w:sz="4" w:space="0" w:color="65C5B4" w:themeColor="accent1"/>
            </w:tcBorders>
            <w:shd w:val="clear" w:color="auto" w:fill="F2F2F2" w:themeFill="background1" w:themeFillShade="F2"/>
            <w:hideMark/>
          </w:tcPr>
          <w:p w14:paraId="3F6E7B31" w14:textId="77777777" w:rsidR="00675ECA" w:rsidRDefault="00675ECA">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2020 IMR</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0C78D661" w14:textId="26F32FF2" w:rsidR="00675ECA" w:rsidRDefault="001147B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4</w:t>
            </w:r>
          </w:p>
        </w:tc>
        <w:tc>
          <w:tcPr>
            <w:tcW w:w="1133" w:type="dxa"/>
            <w:tcBorders>
              <w:left w:val="single" w:sz="4" w:space="0" w:color="65C5B4" w:themeColor="accent1"/>
              <w:right w:val="single" w:sz="4" w:space="0" w:color="65C5B4" w:themeColor="accent1"/>
            </w:tcBorders>
            <w:shd w:val="clear" w:color="auto" w:fill="F2F2F2" w:themeFill="background1" w:themeFillShade="F2"/>
            <w:noWrap/>
            <w:hideMark/>
          </w:tcPr>
          <w:p w14:paraId="12C4F6F8" w14:textId="7099EB57" w:rsidR="00675ECA" w:rsidRDefault="001147B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c>
          <w:tcPr>
            <w:tcW w:w="1275" w:type="dxa"/>
            <w:tcBorders>
              <w:left w:val="single" w:sz="4" w:space="0" w:color="65C5B4" w:themeColor="accent1"/>
              <w:right w:val="single" w:sz="4" w:space="0" w:color="65C5B4" w:themeColor="accent1"/>
            </w:tcBorders>
            <w:shd w:val="clear" w:color="auto" w:fill="F2F2F2" w:themeFill="background1" w:themeFillShade="F2"/>
            <w:noWrap/>
            <w:hideMark/>
          </w:tcPr>
          <w:p w14:paraId="2943569F" w14:textId="3201D6EE" w:rsidR="00675ECA" w:rsidRDefault="001147B0">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val="en-AU" w:eastAsia="en-AU"/>
              </w:rPr>
              <w:t>3</w:t>
            </w:r>
          </w:p>
        </w:tc>
      </w:tr>
    </w:tbl>
    <w:p w14:paraId="7C706EE2" w14:textId="22866C2F" w:rsidR="00675ECA" w:rsidRDefault="00675ECA" w:rsidP="00675ECA">
      <w:pPr>
        <w:spacing w:before="240" w:after="0" w:line="240" w:lineRule="auto"/>
        <w:jc w:val="both"/>
        <w:rPr>
          <w:rFonts w:eastAsia="Times New Roman"/>
          <w:sz w:val="17"/>
          <w:szCs w:val="17"/>
        </w:rPr>
      </w:pPr>
      <w:r>
        <w:rPr>
          <w:rFonts w:eastAsia="Times New Roman"/>
          <w:b/>
          <w:sz w:val="17"/>
          <w:szCs w:val="17"/>
        </w:rPr>
        <w:t>Definitions of rating scale</w:t>
      </w:r>
      <w:r>
        <w:rPr>
          <w:rFonts w:eastAsia="Times New Roman"/>
          <w:sz w:val="17"/>
          <w:szCs w:val="17"/>
        </w:rPr>
        <w:t>:</w:t>
      </w:r>
      <w:r>
        <w:rPr>
          <w:rFonts w:eastAsia="Times New Roman"/>
          <w:sz w:val="17"/>
          <w:szCs w:val="17"/>
        </w:rPr>
        <w:tab/>
      </w:r>
    </w:p>
    <w:p w14:paraId="005ABFDA" w14:textId="77777777" w:rsidR="00675ECA" w:rsidRDefault="00675ECA" w:rsidP="00675ECA">
      <w:pPr>
        <w:spacing w:before="20" w:after="20" w:line="180" w:lineRule="atLeast"/>
        <w:jc w:val="both"/>
        <w:rPr>
          <w:rFonts w:eastAsia="Times New Roman"/>
          <w:sz w:val="17"/>
          <w:szCs w:val="17"/>
        </w:rPr>
      </w:pPr>
      <w:r>
        <w:rPr>
          <w:rFonts w:eastAsia="Times New Roman"/>
          <w:sz w:val="17"/>
          <w:szCs w:val="17"/>
          <w:u w:val="single"/>
        </w:rPr>
        <w:t>Satisfactory (4, 5 and 6)</w:t>
      </w:r>
    </w:p>
    <w:p w14:paraId="347EC977" w14:textId="77777777" w:rsidR="00675ECA" w:rsidRDefault="00675ECA" w:rsidP="00675ECA">
      <w:pPr>
        <w:spacing w:line="240" w:lineRule="auto"/>
        <w:rPr>
          <w:sz w:val="16"/>
          <w:szCs w:val="16"/>
        </w:rPr>
      </w:pPr>
      <w:r>
        <w:rPr>
          <w:sz w:val="16"/>
          <w:szCs w:val="16"/>
        </w:rPr>
        <w:t xml:space="preserve">6 = Very good; satisfies criteria in all areas. </w:t>
      </w:r>
      <w:r>
        <w:rPr>
          <w:sz w:val="16"/>
          <w:szCs w:val="16"/>
        </w:rPr>
        <w:br/>
        <w:t>5 = Good; satisfies criteria in almost all areas.</w:t>
      </w:r>
      <w:r>
        <w:rPr>
          <w:sz w:val="16"/>
          <w:szCs w:val="16"/>
        </w:rPr>
        <w:br/>
        <w:t>4 = Adequate; on balance, satisfies criteria; does not fail in any major area.</w:t>
      </w:r>
    </w:p>
    <w:p w14:paraId="7F03A7B4" w14:textId="77777777" w:rsidR="00675ECA" w:rsidRDefault="00675ECA" w:rsidP="00675ECA">
      <w:pPr>
        <w:spacing w:line="240" w:lineRule="auto"/>
        <w:rPr>
          <w:sz w:val="16"/>
          <w:szCs w:val="16"/>
          <w:u w:val="single"/>
        </w:rPr>
      </w:pPr>
      <w:r>
        <w:rPr>
          <w:sz w:val="16"/>
          <w:szCs w:val="16"/>
          <w:u w:val="single"/>
        </w:rPr>
        <w:t>Less than satisfactory (1, 2 and 3)</w:t>
      </w:r>
    </w:p>
    <w:p w14:paraId="4DC45723" w14:textId="0BAB6D36" w:rsidR="00681633" w:rsidRDefault="00675ECA" w:rsidP="00675ECA">
      <w:pPr>
        <w:spacing w:before="0" w:after="0" w:line="240" w:lineRule="auto"/>
      </w:pPr>
      <w:r>
        <w:rPr>
          <w:sz w:val="16"/>
          <w:szCs w:val="16"/>
        </w:rPr>
        <w:t>3 = Less than adequate; on balance does not satisfy criteria and/or fails in at least one major area.</w:t>
      </w:r>
      <w:r>
        <w:rPr>
          <w:sz w:val="16"/>
          <w:szCs w:val="16"/>
        </w:rPr>
        <w:br/>
        <w:t>2 = Poor; does not satisfy criteria in major areas.</w:t>
      </w:r>
      <w:r>
        <w:rPr>
          <w:sz w:val="16"/>
          <w:szCs w:val="16"/>
        </w:rPr>
        <w:br/>
        <w:t xml:space="preserve">1 = Very poor; does not satisfy criteria in many major </w:t>
      </w:r>
      <w:proofErr w:type="gramStart"/>
      <w:r>
        <w:rPr>
          <w:sz w:val="16"/>
          <w:szCs w:val="16"/>
        </w:rPr>
        <w:t>area</w:t>
      </w:r>
      <w:proofErr w:type="gramEnd"/>
      <w:r>
        <w:t>.</w:t>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02435" w14:textId="77777777" w:rsidR="00B1617F" w:rsidRDefault="00B1617F" w:rsidP="00D37B04">
      <w:r>
        <w:separator/>
      </w:r>
    </w:p>
  </w:endnote>
  <w:endnote w:type="continuationSeparator" w:id="0">
    <w:p w14:paraId="0DB725E5" w14:textId="77777777" w:rsidR="00B1617F" w:rsidRDefault="00B1617F"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B636999" w14:textId="4494C40F" w:rsidR="00B1617F" w:rsidRDefault="00B1617F">
        <w:pPr>
          <w:pStyle w:val="Footer"/>
          <w:jc w:val="center"/>
          <w:rPr>
            <w:color w:val="auto"/>
          </w:rPr>
        </w:pPr>
        <w:r w:rsidRPr="00C92805">
          <w:rPr>
            <w:b/>
            <w:noProof/>
            <w:color w:val="495965" w:themeColor="text2"/>
            <w:lang w:val="en-AU" w:eastAsia="en-AU"/>
          </w:rPr>
          <w:drawing>
            <wp:anchor distT="0" distB="0" distL="114300" distR="114300" simplePos="0" relativeHeight="251659264" behindDoc="1" locked="0" layoutInCell="1" allowOverlap="1" wp14:anchorId="6E8F73C6" wp14:editId="64BD946E">
              <wp:simplePos x="0" y="0"/>
              <wp:positionH relativeFrom="margin">
                <wp:posOffset>-120650</wp:posOffset>
              </wp:positionH>
              <wp:positionV relativeFrom="page">
                <wp:posOffset>9842500</wp:posOffset>
              </wp:positionV>
              <wp:extent cx="6931181" cy="539750"/>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2273" cy="539835"/>
                      </a:xfrm>
                      <a:prstGeom prst="rect">
                        <a:avLst/>
                      </a:prstGeom>
                    </pic:spPr>
                  </pic:pic>
                </a:graphicData>
              </a:graphic>
              <wp14:sizeRelH relativeFrom="margin">
                <wp14:pctWidth>0</wp14:pctWidth>
              </wp14:sizeRelH>
              <wp14:sizeRelV relativeFrom="margin">
                <wp14:pctHeight>0</wp14:pctHeight>
              </wp14:sizeRelV>
            </wp:anchor>
          </w:drawing>
        </w:r>
      </w:p>
      <w:p w14:paraId="10BB5A1F" w14:textId="724F58DF" w:rsidR="00B1617F" w:rsidRDefault="00B1617F">
        <w:pPr>
          <w:pStyle w:val="Footer"/>
          <w:jc w:val="center"/>
          <w:rPr>
            <w:color w:val="auto"/>
          </w:rPr>
        </w:pPr>
      </w:p>
      <w:p w14:paraId="3BB374AA" w14:textId="4421BD9C" w:rsidR="00B1617F" w:rsidRPr="00854F69" w:rsidRDefault="00B1617F" w:rsidP="00141D99">
        <w:pPr>
          <w:pStyle w:val="Footer"/>
          <w:ind w:right="198"/>
          <w:rPr>
            <w:b/>
            <w:noProof/>
            <w:color w:val="495965" w:themeColor="text2"/>
            <w:lang w:val="en-AU" w:eastAsia="en-AU"/>
          </w:rPr>
        </w:pP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E51B8D5" w14:textId="59F3CE97" w:rsidR="00B1617F" w:rsidRPr="001D3DDD" w:rsidRDefault="00AA3465" w:rsidP="0005564F">
        <w:pPr>
          <w:pStyle w:val="Footer"/>
          <w:spacing w:line="240" w:lineRule="auto"/>
          <w:jc w:val="center"/>
          <w:rPr>
            <w:color w:val="auto"/>
          </w:rPr>
        </w:pPr>
      </w:p>
    </w:sdtContent>
  </w:sdt>
  <w:p w14:paraId="3A729F02" w14:textId="519EAB54" w:rsidR="00B1617F" w:rsidRDefault="00B1617F" w:rsidP="009131E9">
    <w:pPr>
      <w:pStyle w:val="Footer"/>
      <w:spacing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70C0" w14:textId="03279B90" w:rsidR="00B1617F" w:rsidRPr="00854F69" w:rsidRDefault="00B1617F" w:rsidP="00EE18E6">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74A94146" wp14:editId="714A0E82">
          <wp:simplePos x="0" y="0"/>
          <wp:positionH relativeFrom="margin">
            <wp:posOffset>-120650</wp:posOffset>
          </wp:positionH>
          <wp:positionV relativeFrom="page">
            <wp:posOffset>9950450</wp:posOffset>
          </wp:positionV>
          <wp:extent cx="6931181" cy="63373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6083" cy="634178"/>
                  </a:xfrm>
                  <a:prstGeom prst="rect">
                    <a:avLst/>
                  </a:prstGeom>
                </pic:spPr>
              </pic:pic>
            </a:graphicData>
          </a:graphic>
          <wp14:sizeRelH relativeFrom="margin">
            <wp14:pctWidth>0</wp14:pctWidth>
          </wp14:sizeRelH>
          <wp14:sizeRelV relativeFrom="margin">
            <wp14:pctHeight>0</wp14:pctHeight>
          </wp14:sizeRelV>
        </wp:anchor>
      </w:drawing>
    </w:r>
    <w:r w:rsidR="00902B01">
      <w:rPr>
        <w:b/>
        <w:noProof/>
        <w:color w:val="495965" w:themeColor="text2"/>
        <w:lang w:val="en-AU" w:eastAsia="en-AU"/>
      </w:rPr>
      <w:t>Novemb</w:t>
    </w:r>
    <w:r>
      <w:rPr>
        <w:b/>
        <w:noProof/>
        <w:color w:val="495965" w:themeColor="text2"/>
        <w:lang w:val="en-AU" w:eastAsia="en-AU"/>
      </w:rPr>
      <w:t>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sidR="00902B01">
      <w:rPr>
        <w:b/>
        <w:noProof/>
        <w:color w:val="495965" w:themeColor="text2"/>
        <w:lang w:val="en-AU" w:eastAsia="en-AU"/>
      </w:rPr>
      <w:t xml:space="preserve"> </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21C5040" w14:textId="77777777" w:rsidR="00B1617F" w:rsidRDefault="00B16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8A052" w14:textId="77777777" w:rsidR="00B1617F" w:rsidRPr="008C5A0E" w:rsidRDefault="00B1617F" w:rsidP="00D37B04">
      <w:pPr>
        <w:pStyle w:val="Footer"/>
      </w:pPr>
    </w:p>
  </w:footnote>
  <w:footnote w:type="continuationSeparator" w:id="0">
    <w:p w14:paraId="2ED00917" w14:textId="77777777" w:rsidR="00B1617F" w:rsidRDefault="00B1617F" w:rsidP="00D37B04">
      <w:r>
        <w:continuationSeparator/>
      </w:r>
    </w:p>
  </w:footnote>
  <w:footnote w:id="1">
    <w:p w14:paraId="7FF8419A" w14:textId="7956EC3A" w:rsidR="00B1617F" w:rsidRPr="006B00A1" w:rsidRDefault="00B1617F">
      <w:pPr>
        <w:pStyle w:val="FootnoteText"/>
        <w:rPr>
          <w:lang w:val="en-AU"/>
        </w:rPr>
      </w:pPr>
      <w:r>
        <w:rPr>
          <w:rStyle w:val="FootnoteReference"/>
        </w:rPr>
        <w:footnoteRef/>
      </w:r>
      <w:r>
        <w:t xml:space="preserve">     </w:t>
      </w:r>
      <w:r w:rsidRPr="00D67122">
        <w:rPr>
          <w:sz w:val="16"/>
          <w:szCs w:val="16"/>
        </w:rPr>
        <w:t>Couple Protection Years</w:t>
      </w:r>
      <w:r w:rsidRPr="00FD548D">
        <w:rPr>
          <w:sz w:val="16"/>
          <w:szCs w:val="16"/>
        </w:rPr>
        <w:t xml:space="preserve"> </w:t>
      </w:r>
      <w:r w:rsidRPr="006B00A1">
        <w:rPr>
          <w:sz w:val="16"/>
          <w:szCs w:val="16"/>
        </w:rPr>
        <w:t>is the estimated protection provided by contraceptive methods during a one-year period, based upon the volume of all contraceptives sold or distributed free of charge to clients during that period</w:t>
      </w:r>
      <w:r w:rsidR="00A73AF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09B7FBEF" w:rsidR="00B1617F" w:rsidRDefault="00B1617F" w:rsidP="007A4493">
    <w:pPr>
      <w:pStyle w:val="Header"/>
      <w:ind w:left="0"/>
    </w:pPr>
    <w:r w:rsidRPr="00A12B40">
      <w:rPr>
        <w:i/>
        <w:caps w:val="0"/>
      </w:rPr>
      <w:t>Partnerships for Recovery</w:t>
    </w:r>
    <w:r w:rsidRPr="00A12B40">
      <w:rPr>
        <w:i/>
        <w:noProof/>
        <w:lang w:val="en-AU" w:eastAsia="en-AU"/>
      </w:rPr>
      <w:drawing>
        <wp:inline distT="0" distB="0" distL="0" distR="0" wp14:anchorId="7248A92F" wp14:editId="7CBD7E78">
          <wp:extent cx="6718853" cy="707390"/>
          <wp:effectExtent l="0" t="0" r="635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B1617F" w:rsidRDefault="00B1617F" w:rsidP="001F7F4D">
    <w:pPr>
      <w:pStyle w:val="Header"/>
      <w:spacing w:after="240"/>
      <w:ind w:left="0"/>
    </w:pPr>
    <w:r>
      <w:rPr>
        <w:noProof/>
      </w:rPr>
      <w:drawing>
        <wp:inline distT="0" distB="0" distL="0" distR="0" wp14:anchorId="53173A37" wp14:editId="3D212865">
          <wp:extent cx="6696075" cy="1247775"/>
          <wp:effectExtent l="0" t="0" r="9525" b="9525"/>
          <wp:docPr id="11" name="Picture 11"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8F132CE"/>
    <w:multiLevelType w:val="multilevel"/>
    <w:tmpl w:val="3B7A10DE"/>
    <w:numStyleLink w:val="BulletsList"/>
  </w:abstractNum>
  <w:abstractNum w:abstractNumId="7"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FDD5257"/>
    <w:multiLevelType w:val="hybridMultilevel"/>
    <w:tmpl w:val="234EBC5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5B14E04"/>
    <w:multiLevelType w:val="hybridMultilevel"/>
    <w:tmpl w:val="58148226"/>
    <w:lvl w:ilvl="0" w:tplc="E37EDAAE">
      <w:numFmt w:val="bullet"/>
      <w:lvlText w:val="-"/>
      <w:lvlJc w:val="left"/>
      <w:pPr>
        <w:ind w:left="720" w:hanging="360"/>
      </w:pPr>
      <w:rPr>
        <w:rFonts w:ascii="Calibri" w:eastAsia="Calibri" w:hAnsi="Calibri" w:cs="Calibri" w:hint="default"/>
        <w:color w:val="495965"/>
        <w:w w:val="99"/>
        <w:sz w:val="15"/>
        <w:szCs w:val="15"/>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3" w15:restartNumberingAfterBreak="0">
    <w:nsid w:val="504072FE"/>
    <w:multiLevelType w:val="hybridMultilevel"/>
    <w:tmpl w:val="FD52EE3A"/>
    <w:lvl w:ilvl="0" w:tplc="AF328E50">
      <w:numFmt w:val="bullet"/>
      <w:lvlText w:val="-"/>
      <w:lvlJc w:val="left"/>
      <w:pPr>
        <w:ind w:left="457" w:hanging="360"/>
      </w:pPr>
      <w:rPr>
        <w:rFonts w:ascii="Calibri" w:eastAsia="Calibri" w:hAnsi="Calibri" w:cs="Calibri" w:hint="default"/>
      </w:rPr>
    </w:lvl>
    <w:lvl w:ilvl="1" w:tplc="0C090003">
      <w:start w:val="1"/>
      <w:numFmt w:val="bullet"/>
      <w:lvlText w:val="o"/>
      <w:lvlJc w:val="left"/>
      <w:pPr>
        <w:ind w:left="1177" w:hanging="360"/>
      </w:pPr>
      <w:rPr>
        <w:rFonts w:ascii="Courier New" w:hAnsi="Courier New" w:cs="Courier New" w:hint="default"/>
      </w:rPr>
    </w:lvl>
    <w:lvl w:ilvl="2" w:tplc="0C090005">
      <w:start w:val="1"/>
      <w:numFmt w:val="bullet"/>
      <w:lvlText w:val=""/>
      <w:lvlJc w:val="left"/>
      <w:pPr>
        <w:ind w:left="1897" w:hanging="360"/>
      </w:pPr>
      <w:rPr>
        <w:rFonts w:ascii="Wingdings" w:hAnsi="Wingdings" w:hint="default"/>
      </w:rPr>
    </w:lvl>
    <w:lvl w:ilvl="3" w:tplc="0C090001">
      <w:start w:val="1"/>
      <w:numFmt w:val="bullet"/>
      <w:lvlText w:val=""/>
      <w:lvlJc w:val="left"/>
      <w:pPr>
        <w:ind w:left="2617" w:hanging="360"/>
      </w:pPr>
      <w:rPr>
        <w:rFonts w:ascii="Symbol" w:hAnsi="Symbol" w:hint="default"/>
      </w:rPr>
    </w:lvl>
    <w:lvl w:ilvl="4" w:tplc="0C090003">
      <w:start w:val="1"/>
      <w:numFmt w:val="bullet"/>
      <w:lvlText w:val="o"/>
      <w:lvlJc w:val="left"/>
      <w:pPr>
        <w:ind w:left="3337" w:hanging="360"/>
      </w:pPr>
      <w:rPr>
        <w:rFonts w:ascii="Courier New" w:hAnsi="Courier New" w:cs="Courier New" w:hint="default"/>
      </w:rPr>
    </w:lvl>
    <w:lvl w:ilvl="5" w:tplc="0C090005">
      <w:start w:val="1"/>
      <w:numFmt w:val="bullet"/>
      <w:lvlText w:val=""/>
      <w:lvlJc w:val="left"/>
      <w:pPr>
        <w:ind w:left="4057" w:hanging="360"/>
      </w:pPr>
      <w:rPr>
        <w:rFonts w:ascii="Wingdings" w:hAnsi="Wingdings" w:hint="default"/>
      </w:rPr>
    </w:lvl>
    <w:lvl w:ilvl="6" w:tplc="0C090001">
      <w:start w:val="1"/>
      <w:numFmt w:val="bullet"/>
      <w:lvlText w:val=""/>
      <w:lvlJc w:val="left"/>
      <w:pPr>
        <w:ind w:left="4777" w:hanging="360"/>
      </w:pPr>
      <w:rPr>
        <w:rFonts w:ascii="Symbol" w:hAnsi="Symbol" w:hint="default"/>
      </w:rPr>
    </w:lvl>
    <w:lvl w:ilvl="7" w:tplc="0C090003">
      <w:start w:val="1"/>
      <w:numFmt w:val="bullet"/>
      <w:lvlText w:val="o"/>
      <w:lvlJc w:val="left"/>
      <w:pPr>
        <w:ind w:left="5497" w:hanging="360"/>
      </w:pPr>
      <w:rPr>
        <w:rFonts w:ascii="Courier New" w:hAnsi="Courier New" w:cs="Courier New" w:hint="default"/>
      </w:rPr>
    </w:lvl>
    <w:lvl w:ilvl="8" w:tplc="0C090005">
      <w:start w:val="1"/>
      <w:numFmt w:val="bullet"/>
      <w:lvlText w:val=""/>
      <w:lvlJc w:val="left"/>
      <w:pPr>
        <w:ind w:left="6217" w:hanging="360"/>
      </w:pPr>
      <w:rPr>
        <w:rFonts w:ascii="Wingdings" w:hAnsi="Wingdings" w:hint="default"/>
      </w:rPr>
    </w:lvl>
  </w:abstractNum>
  <w:abstractNum w:abstractNumId="14"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5"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845CE7"/>
    <w:multiLevelType w:val="multilevel"/>
    <w:tmpl w:val="5856410E"/>
    <w:lvl w:ilvl="0">
      <w:start w:val="1"/>
      <w:numFmt w:val="bullet"/>
      <w:lvlText w:val=""/>
      <w:lvlJc w:val="left"/>
      <w:pPr>
        <w:ind w:left="360" w:hanging="360"/>
      </w:pPr>
      <w:rPr>
        <w:rFonts w:ascii="Symbol" w:hAnsi="Symbol" w:hint="default"/>
      </w:rPr>
    </w:lvl>
    <w:lvl w:ilvl="1">
      <w:start w:val="1"/>
      <w:numFmt w:val="bullet"/>
      <w:lvlText w:val=""/>
      <w:lvlJc w:val="left"/>
      <w:pPr>
        <w:ind w:left="851" w:hanging="341"/>
      </w:pPr>
      <w:rPr>
        <w:rFonts w:ascii="Symbol" w:hAnsi="Symbol" w:hint="default"/>
      </w:rPr>
    </w:lvl>
    <w:lvl w:ilvl="2">
      <w:start w:val="1"/>
      <w:numFmt w:val="bullet"/>
      <w:lvlText w:val=""/>
      <w:lvlJc w:val="left"/>
      <w:pPr>
        <w:ind w:left="1247" w:hanging="283"/>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0817D92"/>
    <w:multiLevelType w:val="hybridMultilevel"/>
    <w:tmpl w:val="A50097AC"/>
    <w:lvl w:ilvl="0" w:tplc="E37EDAAE">
      <w:numFmt w:val="bullet"/>
      <w:lvlText w:val="-"/>
      <w:lvlJc w:val="left"/>
      <w:pPr>
        <w:ind w:left="720" w:hanging="360"/>
      </w:pPr>
      <w:rPr>
        <w:rFonts w:ascii="Calibri" w:eastAsia="Calibri" w:hAnsi="Calibri" w:cs="Calibri" w:hint="default"/>
        <w:color w:val="495965"/>
        <w:w w:val="99"/>
        <w:sz w:val="15"/>
        <w:szCs w:val="15"/>
        <w:lang w:val="en-AU" w:eastAsia="en-AU" w:bidi="en-AU"/>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F938F4"/>
    <w:multiLevelType w:val="hybridMultilevel"/>
    <w:tmpl w:val="F4EA780E"/>
    <w:lvl w:ilvl="0" w:tplc="049E7BBA">
      <w:numFmt w:val="bullet"/>
      <w:lvlText w:val="-"/>
      <w:lvlJc w:val="left"/>
      <w:pPr>
        <w:ind w:left="366" w:hanging="360"/>
      </w:pPr>
      <w:rPr>
        <w:rFonts w:ascii="Calibri Light" w:eastAsiaTheme="minorHAnsi" w:hAnsi="Calibri Light" w:cs="Calibri Light" w:hint="default"/>
      </w:rPr>
    </w:lvl>
    <w:lvl w:ilvl="1" w:tplc="0C090003" w:tentative="1">
      <w:start w:val="1"/>
      <w:numFmt w:val="bullet"/>
      <w:lvlText w:val="o"/>
      <w:lvlJc w:val="left"/>
      <w:pPr>
        <w:ind w:left="1086" w:hanging="360"/>
      </w:pPr>
      <w:rPr>
        <w:rFonts w:ascii="Courier New" w:hAnsi="Courier New" w:cs="Courier New" w:hint="default"/>
      </w:rPr>
    </w:lvl>
    <w:lvl w:ilvl="2" w:tplc="0C090005" w:tentative="1">
      <w:start w:val="1"/>
      <w:numFmt w:val="bullet"/>
      <w:lvlText w:val=""/>
      <w:lvlJc w:val="left"/>
      <w:pPr>
        <w:ind w:left="1806" w:hanging="360"/>
      </w:pPr>
      <w:rPr>
        <w:rFonts w:ascii="Wingdings" w:hAnsi="Wingdings" w:hint="default"/>
      </w:rPr>
    </w:lvl>
    <w:lvl w:ilvl="3" w:tplc="0C090001" w:tentative="1">
      <w:start w:val="1"/>
      <w:numFmt w:val="bullet"/>
      <w:lvlText w:val=""/>
      <w:lvlJc w:val="left"/>
      <w:pPr>
        <w:ind w:left="2526" w:hanging="360"/>
      </w:pPr>
      <w:rPr>
        <w:rFonts w:ascii="Symbol" w:hAnsi="Symbol" w:hint="default"/>
      </w:rPr>
    </w:lvl>
    <w:lvl w:ilvl="4" w:tplc="0C090003" w:tentative="1">
      <w:start w:val="1"/>
      <w:numFmt w:val="bullet"/>
      <w:lvlText w:val="o"/>
      <w:lvlJc w:val="left"/>
      <w:pPr>
        <w:ind w:left="3246" w:hanging="360"/>
      </w:pPr>
      <w:rPr>
        <w:rFonts w:ascii="Courier New" w:hAnsi="Courier New" w:cs="Courier New" w:hint="default"/>
      </w:rPr>
    </w:lvl>
    <w:lvl w:ilvl="5" w:tplc="0C090005" w:tentative="1">
      <w:start w:val="1"/>
      <w:numFmt w:val="bullet"/>
      <w:lvlText w:val=""/>
      <w:lvlJc w:val="left"/>
      <w:pPr>
        <w:ind w:left="3966" w:hanging="360"/>
      </w:pPr>
      <w:rPr>
        <w:rFonts w:ascii="Wingdings" w:hAnsi="Wingdings" w:hint="default"/>
      </w:rPr>
    </w:lvl>
    <w:lvl w:ilvl="6" w:tplc="0C090001" w:tentative="1">
      <w:start w:val="1"/>
      <w:numFmt w:val="bullet"/>
      <w:lvlText w:val=""/>
      <w:lvlJc w:val="left"/>
      <w:pPr>
        <w:ind w:left="4686" w:hanging="360"/>
      </w:pPr>
      <w:rPr>
        <w:rFonts w:ascii="Symbol" w:hAnsi="Symbol" w:hint="default"/>
      </w:rPr>
    </w:lvl>
    <w:lvl w:ilvl="7" w:tplc="0C090003" w:tentative="1">
      <w:start w:val="1"/>
      <w:numFmt w:val="bullet"/>
      <w:lvlText w:val="o"/>
      <w:lvlJc w:val="left"/>
      <w:pPr>
        <w:ind w:left="5406" w:hanging="360"/>
      </w:pPr>
      <w:rPr>
        <w:rFonts w:ascii="Courier New" w:hAnsi="Courier New" w:cs="Courier New" w:hint="default"/>
      </w:rPr>
    </w:lvl>
    <w:lvl w:ilvl="8" w:tplc="0C090005" w:tentative="1">
      <w:start w:val="1"/>
      <w:numFmt w:val="bullet"/>
      <w:lvlText w:val=""/>
      <w:lvlJc w:val="left"/>
      <w:pPr>
        <w:ind w:left="6126" w:hanging="360"/>
      </w:pPr>
      <w:rPr>
        <w:rFonts w:ascii="Wingdings" w:hAnsi="Wingdings" w:hint="default"/>
      </w:rPr>
    </w:lvl>
  </w:abstractNum>
  <w:abstractNum w:abstractNumId="25" w15:restartNumberingAfterBreak="0">
    <w:nsid w:val="67B848BE"/>
    <w:multiLevelType w:val="hybridMultilevel"/>
    <w:tmpl w:val="BB449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8A00CC"/>
    <w:multiLevelType w:val="multilevel"/>
    <w:tmpl w:val="3B7A10DE"/>
    <w:numStyleLink w:val="BulletsList"/>
  </w:abstractNum>
  <w:abstractNum w:abstractNumId="28"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8"/>
  </w:num>
  <w:num w:numId="2">
    <w:abstractNumId w:val="1"/>
  </w:num>
  <w:num w:numId="3">
    <w:abstractNumId w:val="5"/>
  </w:num>
  <w:num w:numId="4">
    <w:abstractNumId w:val="17"/>
  </w:num>
  <w:num w:numId="5">
    <w:abstractNumId w:val="20"/>
  </w:num>
  <w:num w:numId="6">
    <w:abstractNumId w:val="5"/>
  </w:num>
  <w:num w:numId="7">
    <w:abstractNumId w:val="1"/>
  </w:num>
  <w:num w:numId="8">
    <w:abstractNumId w:val="3"/>
  </w:num>
  <w:num w:numId="9">
    <w:abstractNumId w:val="31"/>
  </w:num>
  <w:num w:numId="10">
    <w:abstractNumId w:val="6"/>
  </w:num>
  <w:num w:numId="11">
    <w:abstractNumId w:val="14"/>
  </w:num>
  <w:num w:numId="12">
    <w:abstractNumId w:val="15"/>
  </w:num>
  <w:num w:numId="13">
    <w:abstractNumId w:val="0"/>
  </w:num>
  <w:num w:numId="14">
    <w:abstractNumId w:val="12"/>
  </w:num>
  <w:num w:numId="15">
    <w:abstractNumId w:val="18"/>
  </w:num>
  <w:num w:numId="16">
    <w:abstractNumId w:val="23"/>
  </w:num>
  <w:num w:numId="17">
    <w:abstractNumId w:val="4"/>
  </w:num>
  <w:num w:numId="18">
    <w:abstractNumId w:val="19"/>
  </w:num>
  <w:num w:numId="19">
    <w:abstractNumId w:val="30"/>
  </w:num>
  <w:num w:numId="20">
    <w:abstractNumId w:val="9"/>
  </w:num>
  <w:num w:numId="21">
    <w:abstractNumId w:val="29"/>
  </w:num>
  <w:num w:numId="22">
    <w:abstractNumId w:val="7"/>
  </w:num>
  <w:num w:numId="23">
    <w:abstractNumId w:val="2"/>
  </w:num>
  <w:num w:numId="24">
    <w:abstractNumId w:val="26"/>
  </w:num>
  <w:num w:numId="25">
    <w:abstractNumId w:val="32"/>
  </w:num>
  <w:num w:numId="26">
    <w:abstractNumId w:val="11"/>
  </w:num>
  <w:num w:numId="27">
    <w:abstractNumId w:val="22"/>
  </w:num>
  <w:num w:numId="28">
    <w:abstractNumId w:val="8"/>
  </w:num>
  <w:num w:numId="29">
    <w:abstractNumId w:val="24"/>
  </w:num>
  <w:num w:numId="30">
    <w:abstractNumId w:val="25"/>
  </w:num>
  <w:num w:numId="31">
    <w:abstractNumId w:val="13"/>
  </w:num>
  <w:num w:numId="32">
    <w:abstractNumId w:val="27"/>
    <w:lvlOverride w:ilvl="0">
      <w:lvl w:ilvl="0">
        <w:start w:val="1"/>
        <w:numFmt w:val="bullet"/>
        <w:lvlText w:val=""/>
        <w:lvlJc w:val="left"/>
        <w:pPr>
          <w:ind w:left="170" w:hanging="170"/>
        </w:pPr>
        <w:rPr>
          <w:rFonts w:ascii="Symbol" w:hAnsi="Symbol" w:hint="default"/>
          <w:color w:val="000000" w:themeColor="text1"/>
        </w:rPr>
      </w:lvl>
    </w:lvlOverride>
  </w:num>
  <w:num w:numId="33">
    <w:abstractNumId w:val="21"/>
  </w:num>
  <w:num w:numId="34">
    <w:abstractNumId w:val="10"/>
  </w:num>
  <w:num w:numId="3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483C"/>
    <w:rsid w:val="00010006"/>
    <w:rsid w:val="00011235"/>
    <w:rsid w:val="00014BB0"/>
    <w:rsid w:val="00015AB7"/>
    <w:rsid w:val="0002080A"/>
    <w:rsid w:val="0002782F"/>
    <w:rsid w:val="00031486"/>
    <w:rsid w:val="000314BA"/>
    <w:rsid w:val="000317D1"/>
    <w:rsid w:val="00034DFF"/>
    <w:rsid w:val="00035BBF"/>
    <w:rsid w:val="00035CBC"/>
    <w:rsid w:val="000417C3"/>
    <w:rsid w:val="000444F3"/>
    <w:rsid w:val="00050806"/>
    <w:rsid w:val="000546D9"/>
    <w:rsid w:val="00054E4D"/>
    <w:rsid w:val="0005564F"/>
    <w:rsid w:val="00055880"/>
    <w:rsid w:val="000558C4"/>
    <w:rsid w:val="00056F24"/>
    <w:rsid w:val="00060073"/>
    <w:rsid w:val="000616C6"/>
    <w:rsid w:val="00066DC2"/>
    <w:rsid w:val="00080573"/>
    <w:rsid w:val="00081EF8"/>
    <w:rsid w:val="000822AD"/>
    <w:rsid w:val="000854D1"/>
    <w:rsid w:val="000854FD"/>
    <w:rsid w:val="000A05CD"/>
    <w:rsid w:val="000A407E"/>
    <w:rsid w:val="000B0E87"/>
    <w:rsid w:val="000B37F5"/>
    <w:rsid w:val="000B3973"/>
    <w:rsid w:val="000B5DA7"/>
    <w:rsid w:val="000B78E6"/>
    <w:rsid w:val="000C3A4C"/>
    <w:rsid w:val="000C4411"/>
    <w:rsid w:val="000C6CF7"/>
    <w:rsid w:val="000D00D8"/>
    <w:rsid w:val="000D2896"/>
    <w:rsid w:val="000D66D6"/>
    <w:rsid w:val="000E27F8"/>
    <w:rsid w:val="000E58BF"/>
    <w:rsid w:val="000E647B"/>
    <w:rsid w:val="000E6C44"/>
    <w:rsid w:val="000F2600"/>
    <w:rsid w:val="000F756C"/>
    <w:rsid w:val="000F78C9"/>
    <w:rsid w:val="000F7F9E"/>
    <w:rsid w:val="001050F7"/>
    <w:rsid w:val="00113288"/>
    <w:rsid w:val="001132F4"/>
    <w:rsid w:val="001147B0"/>
    <w:rsid w:val="00117596"/>
    <w:rsid w:val="001214BE"/>
    <w:rsid w:val="0012165D"/>
    <w:rsid w:val="00121A98"/>
    <w:rsid w:val="00121DDD"/>
    <w:rsid w:val="001227F1"/>
    <w:rsid w:val="0013101C"/>
    <w:rsid w:val="0013385F"/>
    <w:rsid w:val="001378D5"/>
    <w:rsid w:val="00137F4E"/>
    <w:rsid w:val="00141D99"/>
    <w:rsid w:val="001441B0"/>
    <w:rsid w:val="001461D6"/>
    <w:rsid w:val="00146E07"/>
    <w:rsid w:val="001511A9"/>
    <w:rsid w:val="001526CD"/>
    <w:rsid w:val="001541EA"/>
    <w:rsid w:val="00156C75"/>
    <w:rsid w:val="0016223D"/>
    <w:rsid w:val="00165C7F"/>
    <w:rsid w:val="00166032"/>
    <w:rsid w:val="001662F8"/>
    <w:rsid w:val="001737A1"/>
    <w:rsid w:val="00176ECB"/>
    <w:rsid w:val="001841C8"/>
    <w:rsid w:val="00186B4B"/>
    <w:rsid w:val="00187BAD"/>
    <w:rsid w:val="00193C49"/>
    <w:rsid w:val="001A51EE"/>
    <w:rsid w:val="001A7815"/>
    <w:rsid w:val="001B4A48"/>
    <w:rsid w:val="001B78DA"/>
    <w:rsid w:val="001C14F4"/>
    <w:rsid w:val="001C1F11"/>
    <w:rsid w:val="001C483F"/>
    <w:rsid w:val="001C6243"/>
    <w:rsid w:val="001D1A8F"/>
    <w:rsid w:val="001D3C98"/>
    <w:rsid w:val="001D3DDD"/>
    <w:rsid w:val="001D4091"/>
    <w:rsid w:val="001D658A"/>
    <w:rsid w:val="001D663E"/>
    <w:rsid w:val="001E03BE"/>
    <w:rsid w:val="001E1DC0"/>
    <w:rsid w:val="001E4152"/>
    <w:rsid w:val="001E563B"/>
    <w:rsid w:val="001E604D"/>
    <w:rsid w:val="001E6D20"/>
    <w:rsid w:val="001F16E7"/>
    <w:rsid w:val="001F7A8B"/>
    <w:rsid w:val="001F7F4D"/>
    <w:rsid w:val="0020778F"/>
    <w:rsid w:val="00214DC1"/>
    <w:rsid w:val="002151D9"/>
    <w:rsid w:val="00216C55"/>
    <w:rsid w:val="002231BD"/>
    <w:rsid w:val="002270F7"/>
    <w:rsid w:val="002404E8"/>
    <w:rsid w:val="00244229"/>
    <w:rsid w:val="00247365"/>
    <w:rsid w:val="00255F45"/>
    <w:rsid w:val="00261565"/>
    <w:rsid w:val="00261AF3"/>
    <w:rsid w:val="00263E2C"/>
    <w:rsid w:val="00270C70"/>
    <w:rsid w:val="002721B5"/>
    <w:rsid w:val="00275DCA"/>
    <w:rsid w:val="0028602A"/>
    <w:rsid w:val="002915C6"/>
    <w:rsid w:val="00292B8F"/>
    <w:rsid w:val="002945C4"/>
    <w:rsid w:val="0029663F"/>
    <w:rsid w:val="00297258"/>
    <w:rsid w:val="00297FD1"/>
    <w:rsid w:val="002B3381"/>
    <w:rsid w:val="002B5E10"/>
    <w:rsid w:val="002C793D"/>
    <w:rsid w:val="002D24D8"/>
    <w:rsid w:val="002D25D9"/>
    <w:rsid w:val="002D35C9"/>
    <w:rsid w:val="002D4108"/>
    <w:rsid w:val="002D430F"/>
    <w:rsid w:val="002D5B25"/>
    <w:rsid w:val="002E2AF4"/>
    <w:rsid w:val="002E38B2"/>
    <w:rsid w:val="002E3B53"/>
    <w:rsid w:val="002E500A"/>
    <w:rsid w:val="002F03FB"/>
    <w:rsid w:val="002F4F2B"/>
    <w:rsid w:val="002F54E2"/>
    <w:rsid w:val="003001AE"/>
    <w:rsid w:val="003002C0"/>
    <w:rsid w:val="00301144"/>
    <w:rsid w:val="003031C6"/>
    <w:rsid w:val="00304984"/>
    <w:rsid w:val="00311946"/>
    <w:rsid w:val="00312BF8"/>
    <w:rsid w:val="003148B7"/>
    <w:rsid w:val="00315184"/>
    <w:rsid w:val="003151D5"/>
    <w:rsid w:val="003158C3"/>
    <w:rsid w:val="003274CD"/>
    <w:rsid w:val="00333501"/>
    <w:rsid w:val="00336FB1"/>
    <w:rsid w:val="00340317"/>
    <w:rsid w:val="003406AF"/>
    <w:rsid w:val="003457C4"/>
    <w:rsid w:val="0035119D"/>
    <w:rsid w:val="003535F8"/>
    <w:rsid w:val="003537E3"/>
    <w:rsid w:val="00354641"/>
    <w:rsid w:val="00356430"/>
    <w:rsid w:val="003622C1"/>
    <w:rsid w:val="00363923"/>
    <w:rsid w:val="00363A9F"/>
    <w:rsid w:val="00364E27"/>
    <w:rsid w:val="003664FE"/>
    <w:rsid w:val="00375887"/>
    <w:rsid w:val="00375D23"/>
    <w:rsid w:val="003806FE"/>
    <w:rsid w:val="00382CE7"/>
    <w:rsid w:val="00384D2A"/>
    <w:rsid w:val="00384DFF"/>
    <w:rsid w:val="0038643C"/>
    <w:rsid w:val="00387EC8"/>
    <w:rsid w:val="0039215F"/>
    <w:rsid w:val="0039344A"/>
    <w:rsid w:val="00397C5D"/>
    <w:rsid w:val="003A01C0"/>
    <w:rsid w:val="003A4864"/>
    <w:rsid w:val="003A7A23"/>
    <w:rsid w:val="003B04A2"/>
    <w:rsid w:val="003B3091"/>
    <w:rsid w:val="003B4F12"/>
    <w:rsid w:val="003C31BB"/>
    <w:rsid w:val="003C6C4F"/>
    <w:rsid w:val="003C7D0E"/>
    <w:rsid w:val="003D1253"/>
    <w:rsid w:val="003D145B"/>
    <w:rsid w:val="003E24BA"/>
    <w:rsid w:val="003F2041"/>
    <w:rsid w:val="003F5D22"/>
    <w:rsid w:val="003F7D26"/>
    <w:rsid w:val="004007ED"/>
    <w:rsid w:val="00400D50"/>
    <w:rsid w:val="00402ACC"/>
    <w:rsid w:val="00403FD8"/>
    <w:rsid w:val="00404443"/>
    <w:rsid w:val="00404602"/>
    <w:rsid w:val="004120EC"/>
    <w:rsid w:val="0041267F"/>
    <w:rsid w:val="004141DE"/>
    <w:rsid w:val="00423DE0"/>
    <w:rsid w:val="00423F31"/>
    <w:rsid w:val="0042526D"/>
    <w:rsid w:val="00426340"/>
    <w:rsid w:val="004303AA"/>
    <w:rsid w:val="00431899"/>
    <w:rsid w:val="00450381"/>
    <w:rsid w:val="004529F1"/>
    <w:rsid w:val="00453B1A"/>
    <w:rsid w:val="004540EE"/>
    <w:rsid w:val="00462A57"/>
    <w:rsid w:val="004728DD"/>
    <w:rsid w:val="00473A0C"/>
    <w:rsid w:val="00473F2D"/>
    <w:rsid w:val="00473F39"/>
    <w:rsid w:val="00474037"/>
    <w:rsid w:val="00474DDF"/>
    <w:rsid w:val="00475782"/>
    <w:rsid w:val="00482AE8"/>
    <w:rsid w:val="004862A2"/>
    <w:rsid w:val="00486804"/>
    <w:rsid w:val="00487549"/>
    <w:rsid w:val="00494242"/>
    <w:rsid w:val="004A0FA0"/>
    <w:rsid w:val="004A113E"/>
    <w:rsid w:val="004A41B8"/>
    <w:rsid w:val="004B09DF"/>
    <w:rsid w:val="004B3775"/>
    <w:rsid w:val="004B5453"/>
    <w:rsid w:val="004D0BA0"/>
    <w:rsid w:val="004D2C46"/>
    <w:rsid w:val="004D4721"/>
    <w:rsid w:val="004D7F36"/>
    <w:rsid w:val="004E058F"/>
    <w:rsid w:val="004E3B87"/>
    <w:rsid w:val="004E549D"/>
    <w:rsid w:val="004F35BC"/>
    <w:rsid w:val="004F5132"/>
    <w:rsid w:val="004F5615"/>
    <w:rsid w:val="004F64CD"/>
    <w:rsid w:val="004F6E8A"/>
    <w:rsid w:val="00502041"/>
    <w:rsid w:val="00503EB4"/>
    <w:rsid w:val="0050592F"/>
    <w:rsid w:val="00510921"/>
    <w:rsid w:val="00510AD3"/>
    <w:rsid w:val="00513348"/>
    <w:rsid w:val="00513AD8"/>
    <w:rsid w:val="00516693"/>
    <w:rsid w:val="005178DD"/>
    <w:rsid w:val="00517DD0"/>
    <w:rsid w:val="005204D2"/>
    <w:rsid w:val="00522396"/>
    <w:rsid w:val="005253C6"/>
    <w:rsid w:val="00526071"/>
    <w:rsid w:val="00527AD8"/>
    <w:rsid w:val="0053159D"/>
    <w:rsid w:val="00531B69"/>
    <w:rsid w:val="00533B5D"/>
    <w:rsid w:val="00534D96"/>
    <w:rsid w:val="00536343"/>
    <w:rsid w:val="00536BAB"/>
    <w:rsid w:val="00540A22"/>
    <w:rsid w:val="005474FC"/>
    <w:rsid w:val="005478D9"/>
    <w:rsid w:val="00553079"/>
    <w:rsid w:val="00560E83"/>
    <w:rsid w:val="005634A9"/>
    <w:rsid w:val="00572781"/>
    <w:rsid w:val="00573128"/>
    <w:rsid w:val="005736BB"/>
    <w:rsid w:val="00577815"/>
    <w:rsid w:val="005822D6"/>
    <w:rsid w:val="0058306C"/>
    <w:rsid w:val="00595AC6"/>
    <w:rsid w:val="005A20F6"/>
    <w:rsid w:val="005A56B2"/>
    <w:rsid w:val="005A7B2C"/>
    <w:rsid w:val="005B2600"/>
    <w:rsid w:val="005B306F"/>
    <w:rsid w:val="005C2EC9"/>
    <w:rsid w:val="005C532B"/>
    <w:rsid w:val="005D2935"/>
    <w:rsid w:val="005D3655"/>
    <w:rsid w:val="005D5395"/>
    <w:rsid w:val="005D5489"/>
    <w:rsid w:val="005D6437"/>
    <w:rsid w:val="005D6D1C"/>
    <w:rsid w:val="005D7A99"/>
    <w:rsid w:val="005E0058"/>
    <w:rsid w:val="005E45CD"/>
    <w:rsid w:val="005E4830"/>
    <w:rsid w:val="005E5524"/>
    <w:rsid w:val="005E73CC"/>
    <w:rsid w:val="005F2F66"/>
    <w:rsid w:val="005F3077"/>
    <w:rsid w:val="006031AC"/>
    <w:rsid w:val="00603321"/>
    <w:rsid w:val="00610191"/>
    <w:rsid w:val="00616A58"/>
    <w:rsid w:val="00616CF8"/>
    <w:rsid w:val="00620A3D"/>
    <w:rsid w:val="00622888"/>
    <w:rsid w:val="00622B86"/>
    <w:rsid w:val="00623BA1"/>
    <w:rsid w:val="00630092"/>
    <w:rsid w:val="006346BC"/>
    <w:rsid w:val="006362FF"/>
    <w:rsid w:val="006378FE"/>
    <w:rsid w:val="006408FF"/>
    <w:rsid w:val="0065649B"/>
    <w:rsid w:val="0066203A"/>
    <w:rsid w:val="00662240"/>
    <w:rsid w:val="0066652A"/>
    <w:rsid w:val="006719C3"/>
    <w:rsid w:val="006745FC"/>
    <w:rsid w:val="006750D9"/>
    <w:rsid w:val="00675ECA"/>
    <w:rsid w:val="006775D9"/>
    <w:rsid w:val="00680115"/>
    <w:rsid w:val="00680522"/>
    <w:rsid w:val="00681633"/>
    <w:rsid w:val="00682167"/>
    <w:rsid w:val="00690AE1"/>
    <w:rsid w:val="00690E07"/>
    <w:rsid w:val="006947F8"/>
    <w:rsid w:val="006A2461"/>
    <w:rsid w:val="006A6F52"/>
    <w:rsid w:val="006A791A"/>
    <w:rsid w:val="006B0064"/>
    <w:rsid w:val="006B00A1"/>
    <w:rsid w:val="006B3E95"/>
    <w:rsid w:val="006B51B2"/>
    <w:rsid w:val="006B6F6D"/>
    <w:rsid w:val="006B7F80"/>
    <w:rsid w:val="006C0B06"/>
    <w:rsid w:val="006C3BBD"/>
    <w:rsid w:val="006C42AF"/>
    <w:rsid w:val="006C565B"/>
    <w:rsid w:val="006C6498"/>
    <w:rsid w:val="006D15F1"/>
    <w:rsid w:val="006D3107"/>
    <w:rsid w:val="006D5A56"/>
    <w:rsid w:val="006E4323"/>
    <w:rsid w:val="006F09BC"/>
    <w:rsid w:val="006F1815"/>
    <w:rsid w:val="006F5B56"/>
    <w:rsid w:val="006F6BA7"/>
    <w:rsid w:val="0070380F"/>
    <w:rsid w:val="00705D14"/>
    <w:rsid w:val="007075DF"/>
    <w:rsid w:val="00711D8E"/>
    <w:rsid w:val="00712672"/>
    <w:rsid w:val="00714D7F"/>
    <w:rsid w:val="007178C4"/>
    <w:rsid w:val="00720CA4"/>
    <w:rsid w:val="0072289A"/>
    <w:rsid w:val="0073475F"/>
    <w:rsid w:val="00734E3F"/>
    <w:rsid w:val="00736985"/>
    <w:rsid w:val="00737463"/>
    <w:rsid w:val="00745DF5"/>
    <w:rsid w:val="007514BF"/>
    <w:rsid w:val="00751718"/>
    <w:rsid w:val="0076250F"/>
    <w:rsid w:val="0077324F"/>
    <w:rsid w:val="007733DC"/>
    <w:rsid w:val="00777468"/>
    <w:rsid w:val="00780FA5"/>
    <w:rsid w:val="00786926"/>
    <w:rsid w:val="00794D99"/>
    <w:rsid w:val="00796F1C"/>
    <w:rsid w:val="007A0ADF"/>
    <w:rsid w:val="007A4493"/>
    <w:rsid w:val="007A727E"/>
    <w:rsid w:val="007B0365"/>
    <w:rsid w:val="007B2203"/>
    <w:rsid w:val="007B3C1E"/>
    <w:rsid w:val="007B3F62"/>
    <w:rsid w:val="007B465C"/>
    <w:rsid w:val="007B53F9"/>
    <w:rsid w:val="007B6200"/>
    <w:rsid w:val="007C19B3"/>
    <w:rsid w:val="007C735B"/>
    <w:rsid w:val="007D3BD7"/>
    <w:rsid w:val="007D7C9D"/>
    <w:rsid w:val="007E0E0B"/>
    <w:rsid w:val="007E5361"/>
    <w:rsid w:val="007E556D"/>
    <w:rsid w:val="007E7BC7"/>
    <w:rsid w:val="007F3395"/>
    <w:rsid w:val="007F5C0B"/>
    <w:rsid w:val="007F646C"/>
    <w:rsid w:val="00801B9F"/>
    <w:rsid w:val="0080204D"/>
    <w:rsid w:val="00802E7C"/>
    <w:rsid w:val="0082053C"/>
    <w:rsid w:val="00822F43"/>
    <w:rsid w:val="0084191E"/>
    <w:rsid w:val="00843B76"/>
    <w:rsid w:val="00844737"/>
    <w:rsid w:val="008475F0"/>
    <w:rsid w:val="008515AF"/>
    <w:rsid w:val="00852C32"/>
    <w:rsid w:val="00854F69"/>
    <w:rsid w:val="008557A7"/>
    <w:rsid w:val="00856BFE"/>
    <w:rsid w:val="00857312"/>
    <w:rsid w:val="00870928"/>
    <w:rsid w:val="0087637D"/>
    <w:rsid w:val="00877620"/>
    <w:rsid w:val="00881605"/>
    <w:rsid w:val="00887404"/>
    <w:rsid w:val="0089405C"/>
    <w:rsid w:val="00897FA2"/>
    <w:rsid w:val="008A1503"/>
    <w:rsid w:val="008A5AFE"/>
    <w:rsid w:val="008A6BB7"/>
    <w:rsid w:val="008A7B6F"/>
    <w:rsid w:val="008B3FC5"/>
    <w:rsid w:val="008B5688"/>
    <w:rsid w:val="008C15FA"/>
    <w:rsid w:val="008C1F60"/>
    <w:rsid w:val="008C277E"/>
    <w:rsid w:val="008C478C"/>
    <w:rsid w:val="008C5A0E"/>
    <w:rsid w:val="008C6149"/>
    <w:rsid w:val="008C708C"/>
    <w:rsid w:val="008D0A23"/>
    <w:rsid w:val="008D1987"/>
    <w:rsid w:val="008D21BA"/>
    <w:rsid w:val="008E4B49"/>
    <w:rsid w:val="008F6625"/>
    <w:rsid w:val="00900451"/>
    <w:rsid w:val="00901792"/>
    <w:rsid w:val="00902B01"/>
    <w:rsid w:val="009131E9"/>
    <w:rsid w:val="00915424"/>
    <w:rsid w:val="00916582"/>
    <w:rsid w:val="00917A7A"/>
    <w:rsid w:val="00920854"/>
    <w:rsid w:val="009208E9"/>
    <w:rsid w:val="00920F63"/>
    <w:rsid w:val="00924B72"/>
    <w:rsid w:val="00925C5D"/>
    <w:rsid w:val="0093173D"/>
    <w:rsid w:val="00934FDC"/>
    <w:rsid w:val="00937866"/>
    <w:rsid w:val="00942CCD"/>
    <w:rsid w:val="00943730"/>
    <w:rsid w:val="0094532A"/>
    <w:rsid w:val="00950D65"/>
    <w:rsid w:val="00952815"/>
    <w:rsid w:val="00956DFC"/>
    <w:rsid w:val="009663B1"/>
    <w:rsid w:val="00973775"/>
    <w:rsid w:val="009739ED"/>
    <w:rsid w:val="00975CA5"/>
    <w:rsid w:val="009774B4"/>
    <w:rsid w:val="009838BF"/>
    <w:rsid w:val="00986590"/>
    <w:rsid w:val="00991579"/>
    <w:rsid w:val="00991F8C"/>
    <w:rsid w:val="00992C76"/>
    <w:rsid w:val="009969D6"/>
    <w:rsid w:val="00996AEA"/>
    <w:rsid w:val="009A112B"/>
    <w:rsid w:val="009A146B"/>
    <w:rsid w:val="009A1E5A"/>
    <w:rsid w:val="009A2619"/>
    <w:rsid w:val="009A3E9A"/>
    <w:rsid w:val="009A58FC"/>
    <w:rsid w:val="009B394F"/>
    <w:rsid w:val="009B4A07"/>
    <w:rsid w:val="009B4D3B"/>
    <w:rsid w:val="009B69F7"/>
    <w:rsid w:val="009C18DB"/>
    <w:rsid w:val="009C4943"/>
    <w:rsid w:val="009D3438"/>
    <w:rsid w:val="009D5F07"/>
    <w:rsid w:val="009D7407"/>
    <w:rsid w:val="009D7B11"/>
    <w:rsid w:val="009E0866"/>
    <w:rsid w:val="009E1F29"/>
    <w:rsid w:val="009E273C"/>
    <w:rsid w:val="009F1350"/>
    <w:rsid w:val="009F6423"/>
    <w:rsid w:val="00A0430A"/>
    <w:rsid w:val="00A07A86"/>
    <w:rsid w:val="00A107B9"/>
    <w:rsid w:val="00A1112F"/>
    <w:rsid w:val="00A12B40"/>
    <w:rsid w:val="00A24A62"/>
    <w:rsid w:val="00A31C9F"/>
    <w:rsid w:val="00A4144F"/>
    <w:rsid w:val="00A46B28"/>
    <w:rsid w:val="00A47135"/>
    <w:rsid w:val="00A61B4D"/>
    <w:rsid w:val="00A64972"/>
    <w:rsid w:val="00A71167"/>
    <w:rsid w:val="00A72201"/>
    <w:rsid w:val="00A727BF"/>
    <w:rsid w:val="00A73AFC"/>
    <w:rsid w:val="00A74192"/>
    <w:rsid w:val="00A75B84"/>
    <w:rsid w:val="00A770E3"/>
    <w:rsid w:val="00A80123"/>
    <w:rsid w:val="00A80305"/>
    <w:rsid w:val="00A80F95"/>
    <w:rsid w:val="00A8197D"/>
    <w:rsid w:val="00A868CB"/>
    <w:rsid w:val="00A96364"/>
    <w:rsid w:val="00A97244"/>
    <w:rsid w:val="00A97BF1"/>
    <w:rsid w:val="00AA2180"/>
    <w:rsid w:val="00AA298A"/>
    <w:rsid w:val="00AA3465"/>
    <w:rsid w:val="00AA3AA8"/>
    <w:rsid w:val="00AB1112"/>
    <w:rsid w:val="00AB337A"/>
    <w:rsid w:val="00AB4795"/>
    <w:rsid w:val="00AB5CEB"/>
    <w:rsid w:val="00AB6748"/>
    <w:rsid w:val="00AB6BD2"/>
    <w:rsid w:val="00AC107C"/>
    <w:rsid w:val="00AC164A"/>
    <w:rsid w:val="00AC1A1E"/>
    <w:rsid w:val="00AC3944"/>
    <w:rsid w:val="00AC551D"/>
    <w:rsid w:val="00AD19F7"/>
    <w:rsid w:val="00AD238E"/>
    <w:rsid w:val="00AD2C2E"/>
    <w:rsid w:val="00AD79CB"/>
    <w:rsid w:val="00AE0496"/>
    <w:rsid w:val="00AE2B7B"/>
    <w:rsid w:val="00AE448A"/>
    <w:rsid w:val="00AE74DA"/>
    <w:rsid w:val="00AF18F4"/>
    <w:rsid w:val="00AF2050"/>
    <w:rsid w:val="00AF7ECC"/>
    <w:rsid w:val="00B005E0"/>
    <w:rsid w:val="00B00BF4"/>
    <w:rsid w:val="00B02B2A"/>
    <w:rsid w:val="00B03CA8"/>
    <w:rsid w:val="00B05B87"/>
    <w:rsid w:val="00B1617F"/>
    <w:rsid w:val="00B16EF6"/>
    <w:rsid w:val="00B22EAD"/>
    <w:rsid w:val="00B22F0E"/>
    <w:rsid w:val="00B249EC"/>
    <w:rsid w:val="00B33C0A"/>
    <w:rsid w:val="00B34763"/>
    <w:rsid w:val="00B3505C"/>
    <w:rsid w:val="00B401AF"/>
    <w:rsid w:val="00B50ED0"/>
    <w:rsid w:val="00B51C2F"/>
    <w:rsid w:val="00B51D20"/>
    <w:rsid w:val="00B55CA5"/>
    <w:rsid w:val="00B55E19"/>
    <w:rsid w:val="00B56E71"/>
    <w:rsid w:val="00B579A6"/>
    <w:rsid w:val="00B61102"/>
    <w:rsid w:val="00B71342"/>
    <w:rsid w:val="00B71AD8"/>
    <w:rsid w:val="00B7642D"/>
    <w:rsid w:val="00B84B3C"/>
    <w:rsid w:val="00B857E1"/>
    <w:rsid w:val="00B8599B"/>
    <w:rsid w:val="00B86990"/>
    <w:rsid w:val="00B91FE7"/>
    <w:rsid w:val="00B92971"/>
    <w:rsid w:val="00B929BE"/>
    <w:rsid w:val="00B9384F"/>
    <w:rsid w:val="00B93932"/>
    <w:rsid w:val="00B94758"/>
    <w:rsid w:val="00BA1B89"/>
    <w:rsid w:val="00BA4A39"/>
    <w:rsid w:val="00BA4B6D"/>
    <w:rsid w:val="00BA584C"/>
    <w:rsid w:val="00BB26C5"/>
    <w:rsid w:val="00BB2F84"/>
    <w:rsid w:val="00BB3FD0"/>
    <w:rsid w:val="00BC13FE"/>
    <w:rsid w:val="00BC1FED"/>
    <w:rsid w:val="00BD6304"/>
    <w:rsid w:val="00BD710C"/>
    <w:rsid w:val="00BE12B6"/>
    <w:rsid w:val="00BE3E21"/>
    <w:rsid w:val="00BF1579"/>
    <w:rsid w:val="00BF19F2"/>
    <w:rsid w:val="00BF22E4"/>
    <w:rsid w:val="00BF33B6"/>
    <w:rsid w:val="00BF4DE6"/>
    <w:rsid w:val="00BF6703"/>
    <w:rsid w:val="00C06B13"/>
    <w:rsid w:val="00C16A47"/>
    <w:rsid w:val="00C204F1"/>
    <w:rsid w:val="00C26817"/>
    <w:rsid w:val="00C27D25"/>
    <w:rsid w:val="00C35791"/>
    <w:rsid w:val="00C37697"/>
    <w:rsid w:val="00C42541"/>
    <w:rsid w:val="00C42CDE"/>
    <w:rsid w:val="00C45941"/>
    <w:rsid w:val="00C46599"/>
    <w:rsid w:val="00C47F76"/>
    <w:rsid w:val="00C50B58"/>
    <w:rsid w:val="00C5182A"/>
    <w:rsid w:val="00C52463"/>
    <w:rsid w:val="00C52B3D"/>
    <w:rsid w:val="00C54058"/>
    <w:rsid w:val="00C55983"/>
    <w:rsid w:val="00C61649"/>
    <w:rsid w:val="00C633DB"/>
    <w:rsid w:val="00C63EE9"/>
    <w:rsid w:val="00C65DFB"/>
    <w:rsid w:val="00C67376"/>
    <w:rsid w:val="00C76800"/>
    <w:rsid w:val="00C80F99"/>
    <w:rsid w:val="00C81007"/>
    <w:rsid w:val="00C83F4E"/>
    <w:rsid w:val="00C84C30"/>
    <w:rsid w:val="00C87B9B"/>
    <w:rsid w:val="00C908C7"/>
    <w:rsid w:val="00C92805"/>
    <w:rsid w:val="00C93E13"/>
    <w:rsid w:val="00CA16F3"/>
    <w:rsid w:val="00CA3403"/>
    <w:rsid w:val="00CA37B1"/>
    <w:rsid w:val="00CA3FD8"/>
    <w:rsid w:val="00CA5021"/>
    <w:rsid w:val="00CB107B"/>
    <w:rsid w:val="00CB1488"/>
    <w:rsid w:val="00CB1959"/>
    <w:rsid w:val="00CB40BD"/>
    <w:rsid w:val="00CC1D45"/>
    <w:rsid w:val="00CC741B"/>
    <w:rsid w:val="00CD0E4B"/>
    <w:rsid w:val="00CD3F5D"/>
    <w:rsid w:val="00CD4AD4"/>
    <w:rsid w:val="00CD54D0"/>
    <w:rsid w:val="00CE4BAF"/>
    <w:rsid w:val="00CE4C89"/>
    <w:rsid w:val="00CF07BA"/>
    <w:rsid w:val="00CF21A3"/>
    <w:rsid w:val="00CF5DB0"/>
    <w:rsid w:val="00CF6EBC"/>
    <w:rsid w:val="00D028FD"/>
    <w:rsid w:val="00D0296C"/>
    <w:rsid w:val="00D05E55"/>
    <w:rsid w:val="00D11549"/>
    <w:rsid w:val="00D1231A"/>
    <w:rsid w:val="00D132EC"/>
    <w:rsid w:val="00D207BE"/>
    <w:rsid w:val="00D20A30"/>
    <w:rsid w:val="00D20BC7"/>
    <w:rsid w:val="00D2641E"/>
    <w:rsid w:val="00D27B2C"/>
    <w:rsid w:val="00D3170B"/>
    <w:rsid w:val="00D32D6F"/>
    <w:rsid w:val="00D34D5D"/>
    <w:rsid w:val="00D37B04"/>
    <w:rsid w:val="00D442C9"/>
    <w:rsid w:val="00D45555"/>
    <w:rsid w:val="00D4628C"/>
    <w:rsid w:val="00D476E3"/>
    <w:rsid w:val="00D479B5"/>
    <w:rsid w:val="00D51553"/>
    <w:rsid w:val="00D5347A"/>
    <w:rsid w:val="00D53C70"/>
    <w:rsid w:val="00D540C6"/>
    <w:rsid w:val="00D55810"/>
    <w:rsid w:val="00D57F3D"/>
    <w:rsid w:val="00D62721"/>
    <w:rsid w:val="00D62C3D"/>
    <w:rsid w:val="00D64BD1"/>
    <w:rsid w:val="00D67122"/>
    <w:rsid w:val="00D71F34"/>
    <w:rsid w:val="00D7310B"/>
    <w:rsid w:val="00D81566"/>
    <w:rsid w:val="00D82649"/>
    <w:rsid w:val="00D85F0B"/>
    <w:rsid w:val="00D90B37"/>
    <w:rsid w:val="00D92254"/>
    <w:rsid w:val="00D924D3"/>
    <w:rsid w:val="00D976A0"/>
    <w:rsid w:val="00DA1B52"/>
    <w:rsid w:val="00DA4879"/>
    <w:rsid w:val="00DB4AC4"/>
    <w:rsid w:val="00DB52B1"/>
    <w:rsid w:val="00DC0996"/>
    <w:rsid w:val="00DC238C"/>
    <w:rsid w:val="00DC6D78"/>
    <w:rsid w:val="00DD3E88"/>
    <w:rsid w:val="00DD5528"/>
    <w:rsid w:val="00DE084C"/>
    <w:rsid w:val="00DE593D"/>
    <w:rsid w:val="00DE6090"/>
    <w:rsid w:val="00DE6D0B"/>
    <w:rsid w:val="00DF2254"/>
    <w:rsid w:val="00DF68CF"/>
    <w:rsid w:val="00E009E6"/>
    <w:rsid w:val="00E0497E"/>
    <w:rsid w:val="00E055AB"/>
    <w:rsid w:val="00E14F51"/>
    <w:rsid w:val="00E15A6C"/>
    <w:rsid w:val="00E1666D"/>
    <w:rsid w:val="00E20067"/>
    <w:rsid w:val="00E20A7C"/>
    <w:rsid w:val="00E221FA"/>
    <w:rsid w:val="00E23B69"/>
    <w:rsid w:val="00E3076E"/>
    <w:rsid w:val="00E33BC6"/>
    <w:rsid w:val="00E357B7"/>
    <w:rsid w:val="00E410F8"/>
    <w:rsid w:val="00E42990"/>
    <w:rsid w:val="00E42E50"/>
    <w:rsid w:val="00E43C65"/>
    <w:rsid w:val="00E4584F"/>
    <w:rsid w:val="00E532A8"/>
    <w:rsid w:val="00E53800"/>
    <w:rsid w:val="00E5767B"/>
    <w:rsid w:val="00E6081F"/>
    <w:rsid w:val="00E60E65"/>
    <w:rsid w:val="00E614AA"/>
    <w:rsid w:val="00E624EC"/>
    <w:rsid w:val="00E6267F"/>
    <w:rsid w:val="00E633E6"/>
    <w:rsid w:val="00E70C37"/>
    <w:rsid w:val="00E8296D"/>
    <w:rsid w:val="00E8457B"/>
    <w:rsid w:val="00E944AA"/>
    <w:rsid w:val="00EA04B2"/>
    <w:rsid w:val="00EA205B"/>
    <w:rsid w:val="00EA20F3"/>
    <w:rsid w:val="00EA2965"/>
    <w:rsid w:val="00EA2ABC"/>
    <w:rsid w:val="00EA36D9"/>
    <w:rsid w:val="00EC0AB8"/>
    <w:rsid w:val="00EC608A"/>
    <w:rsid w:val="00EC654C"/>
    <w:rsid w:val="00EC6D38"/>
    <w:rsid w:val="00ED2831"/>
    <w:rsid w:val="00ED3B2D"/>
    <w:rsid w:val="00ED43D1"/>
    <w:rsid w:val="00ED6FCF"/>
    <w:rsid w:val="00EE032D"/>
    <w:rsid w:val="00EE0466"/>
    <w:rsid w:val="00EE0D17"/>
    <w:rsid w:val="00EE18E6"/>
    <w:rsid w:val="00EE1CFF"/>
    <w:rsid w:val="00EE4EE1"/>
    <w:rsid w:val="00EF4574"/>
    <w:rsid w:val="00F0061D"/>
    <w:rsid w:val="00F01921"/>
    <w:rsid w:val="00F03E79"/>
    <w:rsid w:val="00F06E7E"/>
    <w:rsid w:val="00F13373"/>
    <w:rsid w:val="00F16445"/>
    <w:rsid w:val="00F246EC"/>
    <w:rsid w:val="00F258BF"/>
    <w:rsid w:val="00F25A93"/>
    <w:rsid w:val="00F2684E"/>
    <w:rsid w:val="00F27235"/>
    <w:rsid w:val="00F3228D"/>
    <w:rsid w:val="00F32F70"/>
    <w:rsid w:val="00F424DD"/>
    <w:rsid w:val="00F45486"/>
    <w:rsid w:val="00F47942"/>
    <w:rsid w:val="00F53309"/>
    <w:rsid w:val="00F53E91"/>
    <w:rsid w:val="00F5404C"/>
    <w:rsid w:val="00F55169"/>
    <w:rsid w:val="00F55791"/>
    <w:rsid w:val="00F56FB1"/>
    <w:rsid w:val="00F63EBC"/>
    <w:rsid w:val="00F650C7"/>
    <w:rsid w:val="00F67C6A"/>
    <w:rsid w:val="00F70504"/>
    <w:rsid w:val="00F707E0"/>
    <w:rsid w:val="00F729EF"/>
    <w:rsid w:val="00F746B7"/>
    <w:rsid w:val="00F757CC"/>
    <w:rsid w:val="00F760AE"/>
    <w:rsid w:val="00F77CAE"/>
    <w:rsid w:val="00F82271"/>
    <w:rsid w:val="00F824B0"/>
    <w:rsid w:val="00F83428"/>
    <w:rsid w:val="00F875A8"/>
    <w:rsid w:val="00F904A9"/>
    <w:rsid w:val="00F90B17"/>
    <w:rsid w:val="00F9231F"/>
    <w:rsid w:val="00F92CD4"/>
    <w:rsid w:val="00F96BB9"/>
    <w:rsid w:val="00FA4D1A"/>
    <w:rsid w:val="00FA5EFD"/>
    <w:rsid w:val="00FB4FF9"/>
    <w:rsid w:val="00FC1216"/>
    <w:rsid w:val="00FC5365"/>
    <w:rsid w:val="00FC589F"/>
    <w:rsid w:val="00FD1850"/>
    <w:rsid w:val="00FD548D"/>
    <w:rsid w:val="00FD7085"/>
    <w:rsid w:val="00FD710F"/>
    <w:rsid w:val="00FE208A"/>
    <w:rsid w:val="00FE50C7"/>
    <w:rsid w:val="00FE6D51"/>
    <w:rsid w:val="00FE6F2A"/>
    <w:rsid w:val="00FE7B94"/>
    <w:rsid w:val="00FE7C89"/>
    <w:rsid w:val="00FF4474"/>
    <w:rsid w:val="00FF53D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A6BB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D55810"/>
    <w:pPr>
      <w:outlineLvl w:val="2"/>
    </w:pPr>
    <w:rPr>
      <w:bCs/>
      <w:i/>
      <w:caps w:val="0"/>
      <w:sz w:val="24"/>
      <w:szCs w:val="24"/>
    </w:rPr>
  </w:style>
  <w:style w:type="paragraph" w:styleId="Heading4">
    <w:name w:val="heading 4"/>
    <w:basedOn w:val="Heading3"/>
    <w:next w:val="Normal"/>
    <w:link w:val="Heading4Char"/>
    <w:uiPriority w:val="9"/>
    <w:unhideWhenUsed/>
    <w:qFormat/>
    <w:rsid w:val="00A4144F"/>
    <w:pPr>
      <w:spacing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A6BB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D55810"/>
    <w:rPr>
      <w:rFonts w:asciiTheme="majorHAnsi" w:eastAsiaTheme="majorEastAsia" w:hAnsiTheme="majorHAnsi" w:cstheme="majorBidi"/>
      <w:b/>
      <w:bCs/>
      <w:i/>
      <w:color w:val="495965" w:themeColor="text2"/>
      <w:sz w:val="24"/>
      <w:szCs w:val="24"/>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156C75"/>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12942698">
      <w:bodyDiv w:val="1"/>
      <w:marLeft w:val="0"/>
      <w:marRight w:val="0"/>
      <w:marTop w:val="0"/>
      <w:marBottom w:val="0"/>
      <w:divBdr>
        <w:top w:val="none" w:sz="0" w:space="0" w:color="auto"/>
        <w:left w:val="none" w:sz="0" w:space="0" w:color="auto"/>
        <w:bottom w:val="none" w:sz="0" w:space="0" w:color="auto"/>
        <w:right w:val="none" w:sz="0" w:space="0" w:color="auto"/>
      </w:divBdr>
    </w:div>
    <w:div w:id="149056166">
      <w:bodyDiv w:val="1"/>
      <w:marLeft w:val="0"/>
      <w:marRight w:val="0"/>
      <w:marTop w:val="0"/>
      <w:marBottom w:val="0"/>
      <w:divBdr>
        <w:top w:val="none" w:sz="0" w:space="0" w:color="auto"/>
        <w:left w:val="none" w:sz="0" w:space="0" w:color="auto"/>
        <w:bottom w:val="none" w:sz="0" w:space="0" w:color="auto"/>
        <w:right w:val="none" w:sz="0" w:space="0" w:color="auto"/>
      </w:divBdr>
    </w:div>
    <w:div w:id="283274023">
      <w:bodyDiv w:val="1"/>
      <w:marLeft w:val="0"/>
      <w:marRight w:val="0"/>
      <w:marTop w:val="0"/>
      <w:marBottom w:val="0"/>
      <w:divBdr>
        <w:top w:val="none" w:sz="0" w:space="0" w:color="auto"/>
        <w:left w:val="none" w:sz="0" w:space="0" w:color="auto"/>
        <w:bottom w:val="none" w:sz="0" w:space="0" w:color="auto"/>
        <w:right w:val="none" w:sz="0" w:space="0" w:color="auto"/>
      </w:divBdr>
    </w:div>
    <w:div w:id="530345375">
      <w:bodyDiv w:val="1"/>
      <w:marLeft w:val="0"/>
      <w:marRight w:val="0"/>
      <w:marTop w:val="0"/>
      <w:marBottom w:val="0"/>
      <w:divBdr>
        <w:top w:val="none" w:sz="0" w:space="0" w:color="auto"/>
        <w:left w:val="none" w:sz="0" w:space="0" w:color="auto"/>
        <w:bottom w:val="none" w:sz="0" w:space="0" w:color="auto"/>
        <w:right w:val="none" w:sz="0" w:space="0" w:color="auto"/>
      </w:divBdr>
    </w:div>
    <w:div w:id="659695240">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7997544">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733772796">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 w:id="1890457656">
      <w:bodyDiv w:val="1"/>
      <w:marLeft w:val="0"/>
      <w:marRight w:val="0"/>
      <w:marTop w:val="0"/>
      <w:marBottom w:val="0"/>
      <w:divBdr>
        <w:top w:val="none" w:sz="0" w:space="0" w:color="auto"/>
        <w:left w:val="none" w:sz="0" w:space="0" w:color="auto"/>
        <w:bottom w:val="none" w:sz="0" w:space="0" w:color="auto"/>
        <w:right w:val="none" w:sz="0" w:space="0" w:color="auto"/>
      </w:divBdr>
    </w:div>
    <w:div w:id="2046324782">
      <w:bodyDiv w:val="1"/>
      <w:marLeft w:val="0"/>
      <w:marRight w:val="0"/>
      <w:marTop w:val="0"/>
      <w:marBottom w:val="0"/>
      <w:divBdr>
        <w:top w:val="none" w:sz="0" w:space="0" w:color="auto"/>
        <w:left w:val="none" w:sz="0" w:space="0" w:color="auto"/>
        <w:bottom w:val="none" w:sz="0" w:space="0" w:color="auto"/>
        <w:right w:val="none" w:sz="0" w:space="0" w:color="auto"/>
      </w:divBdr>
    </w:div>
    <w:div w:id="2114085928">
      <w:bodyDiv w:val="1"/>
      <w:marLeft w:val="0"/>
      <w:marRight w:val="0"/>
      <w:marTop w:val="0"/>
      <w:marBottom w:val="0"/>
      <w:divBdr>
        <w:top w:val="none" w:sz="0" w:space="0" w:color="auto"/>
        <w:left w:val="none" w:sz="0" w:space="0" w:color="auto"/>
        <w:bottom w:val="none" w:sz="0" w:space="0" w:color="auto"/>
        <w:right w:val="none" w:sz="0" w:space="0" w:color="auto"/>
      </w:divBdr>
    </w:div>
    <w:div w:id="21228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3168</Words>
  <Characters>18745</Characters>
  <Application>Microsoft Office Word</Application>
  <DocSecurity>0</DocSecurity>
  <Lines>401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Samoa Development Program Progress Report</dc:title>
  <dc:subject/>
  <dc:creator/>
  <cp:keywords/>
  <cp:lastModifiedBy/>
  <cp:revision>1</cp:revision>
  <dcterms:created xsi:type="dcterms:W3CDTF">2021-11-24T05:25:00Z</dcterms:created>
  <dcterms:modified xsi:type="dcterms:W3CDTF">2021-11-24T05:25:00Z</dcterms:modified>
  <cp:category/>
</cp:coreProperties>
</file>