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DDB3" w14:textId="71383B16" w:rsidR="00FA5EFD" w:rsidRDefault="002E500A" w:rsidP="00690AE1">
      <w:pPr>
        <w:pStyle w:val="Heading1"/>
      </w:pPr>
      <w:r w:rsidRPr="002E500A">
        <w:t xml:space="preserve">2020-21 </w:t>
      </w:r>
      <w:r w:rsidR="00084CD3">
        <w:t>Timor-Leste</w:t>
      </w:r>
      <w:r w:rsidR="001F7F4D" w:rsidRPr="002E500A">
        <w:t xml:space="preserve"> D</w:t>
      </w:r>
      <w:r w:rsidR="00382CE7">
        <w:t>evelopment</w:t>
      </w:r>
      <w:r w:rsidR="001F7F4D" w:rsidRPr="002E500A">
        <w:t xml:space="preserve"> </w:t>
      </w:r>
      <w:r w:rsidRPr="002E500A">
        <w:t>P</w:t>
      </w:r>
      <w:r w:rsidR="00382CE7">
        <w:t xml:space="preserve">rogram </w:t>
      </w:r>
      <w:r w:rsidRPr="002E500A">
        <w:t>P</w:t>
      </w:r>
      <w:r w:rsidR="00382CE7">
        <w:t>rogress</w:t>
      </w:r>
      <w:r w:rsidRPr="002E500A">
        <w:t xml:space="preserve"> R</w:t>
      </w:r>
      <w:r w:rsidR="00382CE7">
        <w:t>eport</w:t>
      </w:r>
    </w:p>
    <w:p w14:paraId="20B9502A" w14:textId="5297E929" w:rsidR="006D60BD" w:rsidRPr="006D60BD" w:rsidRDefault="000277F1" w:rsidP="006D60BD">
      <w:r w:rsidRPr="000277F1">
        <w:rPr>
          <w:noProof/>
        </w:rPr>
        <w:drawing>
          <wp:inline distT="0" distB="0" distL="0" distR="0" wp14:anchorId="74606A47" wp14:editId="2CFC9EC2">
            <wp:extent cx="6696710" cy="2673350"/>
            <wp:effectExtent l="0" t="0" r="0" b="0"/>
            <wp:docPr id="1" name="Picture 1" descr="2020-21 Budget estimate. Total ODA $136 million. Bilateral program budget $73.0 million. Regional program budget $19.8 million. Global program budget $10.9 million. Other government departments budget $1.4 million. Temporary, targeted and supplementary measures $30.8 million.&#10;Our development program to Timor-Leste contributes towards achieving the following Sustainable Development Goals: 1,2,3,4,5,6,8 and 17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0-21 Budget estimate. Total ODA $136 million. Bilateral program budget $73.0 million. Regional program budget $19.8 million. Global program budget $10.9 million. Other government departments budget $1.4 million. Temporary, targeted and supplementary measures $30.8 million.&#10;Our development program to Timor-Leste contributes towards achieving the following Sustainable Development Goals: 1,2,3,4,5,6,8 and 17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7"/>
                    <a:stretch/>
                  </pic:blipFill>
                  <pic:spPr bwMode="auto">
                    <a:xfrm>
                      <a:off x="0" y="0"/>
                      <a:ext cx="669671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182A4" w14:textId="468612FB" w:rsidR="00C84C30" w:rsidRPr="00297FD1" w:rsidRDefault="00C84C30" w:rsidP="00EC247C">
      <w:pPr>
        <w:pStyle w:val="Heading2"/>
      </w:pPr>
      <w:r w:rsidRPr="00297FD1">
        <w:t xml:space="preserve">CONTEXT </w:t>
      </w:r>
    </w:p>
    <w:p w14:paraId="795A1F4E" w14:textId="4445ADD0" w:rsidR="008163CC" w:rsidRPr="0079542F" w:rsidRDefault="0085377D" w:rsidP="00AD0ACE">
      <w:pPr>
        <w:pStyle w:val="Bullet1"/>
        <w:numPr>
          <w:ilvl w:val="0"/>
          <w:numId w:val="0"/>
        </w:numPr>
      </w:pPr>
      <w:r w:rsidRPr="00D523C9">
        <w:t>Timor-Leste successfully managed COVID-19 throughout 2020</w:t>
      </w:r>
      <w:r w:rsidR="004E467E" w:rsidRPr="00D523C9">
        <w:t xml:space="preserve"> (44 cases and zero deaths as of 1 January 2021)</w:t>
      </w:r>
      <w:r w:rsidRPr="00D523C9">
        <w:t>, using quarantine for international arrivals</w:t>
      </w:r>
      <w:r w:rsidR="00F71C0E" w:rsidRPr="00D523C9">
        <w:t>,</w:t>
      </w:r>
      <w:r w:rsidRPr="00D523C9">
        <w:t xml:space="preserve"> and isolation facilities for positive cases to prevent community transmission</w:t>
      </w:r>
      <w:r w:rsidR="00E00DAB" w:rsidRPr="0079542F">
        <w:t xml:space="preserve">. </w:t>
      </w:r>
      <w:r w:rsidR="000C043A" w:rsidRPr="0079542F">
        <w:t>However, a</w:t>
      </w:r>
      <w:r w:rsidR="00AD5626" w:rsidRPr="0079542F">
        <w:t>n outbreak in</w:t>
      </w:r>
      <w:r w:rsidR="000C043A" w:rsidRPr="0079542F">
        <w:t xml:space="preserve"> March 2021</w:t>
      </w:r>
      <w:r w:rsidR="0041231F" w:rsidRPr="0079542F">
        <w:t xml:space="preserve"> from across</w:t>
      </w:r>
      <w:r w:rsidR="00AD5626" w:rsidRPr="0079542F">
        <w:t xml:space="preserve"> the Indonesian border </w:t>
      </w:r>
      <w:r w:rsidR="00310FA0" w:rsidRPr="0079542F">
        <w:t>led to an increase in cases</w:t>
      </w:r>
      <w:r w:rsidR="00AD5626" w:rsidRPr="0079542F">
        <w:t>. This</w:t>
      </w:r>
      <w:r w:rsidR="00AE0821" w:rsidRPr="0079542F">
        <w:t xml:space="preserve"> </w:t>
      </w:r>
      <w:r w:rsidR="000C043A" w:rsidRPr="0079542F">
        <w:t xml:space="preserve">was accelerated by devastating floods </w:t>
      </w:r>
      <w:r w:rsidR="00B32DA8" w:rsidRPr="0079542F">
        <w:t>in early April</w:t>
      </w:r>
      <w:r w:rsidR="000C043A" w:rsidRPr="0079542F">
        <w:t xml:space="preserve">, especially in Dili. </w:t>
      </w:r>
      <w:r w:rsidRPr="0079542F">
        <w:t xml:space="preserve">With the implementation of </w:t>
      </w:r>
      <w:r w:rsidR="00F856C0" w:rsidRPr="0079542F">
        <w:t>a series of public</w:t>
      </w:r>
      <w:r w:rsidRPr="0079542F">
        <w:t xml:space="preserve"> health measures by the </w:t>
      </w:r>
      <w:r w:rsidR="00B30517" w:rsidRPr="0079542F">
        <w:t>Timor-Leste G</w:t>
      </w:r>
      <w:r w:rsidRPr="0079542F">
        <w:t>overnment</w:t>
      </w:r>
      <w:r w:rsidR="00F856C0" w:rsidRPr="0079542F">
        <w:t xml:space="preserve">, including </w:t>
      </w:r>
      <w:r w:rsidR="0041231F" w:rsidRPr="0079542F">
        <w:t>strong</w:t>
      </w:r>
      <w:r w:rsidR="00AE0821" w:rsidRPr="0079542F">
        <w:t xml:space="preserve"> progress</w:t>
      </w:r>
      <w:r w:rsidR="0041231F" w:rsidRPr="0079542F">
        <w:t xml:space="preserve"> on the</w:t>
      </w:r>
      <w:r w:rsidR="00F856C0" w:rsidRPr="0079542F">
        <w:t xml:space="preserve"> national vaccination rollout, the number of new cases</w:t>
      </w:r>
      <w:r w:rsidRPr="0079542F">
        <w:t xml:space="preserve"> dropped significantly by the e</w:t>
      </w:r>
      <w:r w:rsidR="00F856C0" w:rsidRPr="0079542F">
        <w:t>n</w:t>
      </w:r>
      <w:r w:rsidRPr="0079542F">
        <w:t>d of June. A</w:t>
      </w:r>
      <w:r w:rsidR="006D5A1F" w:rsidRPr="0079542F">
        <w:t>s of</w:t>
      </w:r>
      <w:r w:rsidRPr="0079542F">
        <w:t xml:space="preserve"> 30 June 2021, Timor-Leste </w:t>
      </w:r>
      <w:r w:rsidR="0041231F" w:rsidRPr="0079542F">
        <w:t xml:space="preserve">was managing 839 active cases, and had </w:t>
      </w:r>
      <w:r w:rsidRPr="0079542F">
        <w:t>recorded 9,222 cases across all municipalities and 24 COVID-19 related deaths</w:t>
      </w:r>
      <w:r w:rsidR="005C77F4">
        <w:t>.</w:t>
      </w:r>
      <w:r w:rsidR="00584BF9" w:rsidRPr="0079542F">
        <w:t xml:space="preserve"> </w:t>
      </w:r>
      <w:r w:rsidR="00EF02CC">
        <w:t>From</w:t>
      </w:r>
      <w:r w:rsidR="006E3FB9">
        <w:t xml:space="preserve"> early August</w:t>
      </w:r>
      <w:r w:rsidR="003C557C">
        <w:t xml:space="preserve"> 2021,</w:t>
      </w:r>
      <w:r w:rsidR="006E3FB9">
        <w:t xml:space="preserve"> Timor-Leste suffered a second wave of COVID-19, with the Delta variant driving large increases in severely ill cases</w:t>
      </w:r>
      <w:r w:rsidR="008A6C54">
        <w:t>.</w:t>
      </w:r>
      <w:r w:rsidR="006E3FB9">
        <w:t xml:space="preserve"> </w:t>
      </w:r>
      <w:r w:rsidR="00EF02CC">
        <w:t>S</w:t>
      </w:r>
      <w:r w:rsidR="00EC247C">
        <w:t>uccessful vaccination campaign</w:t>
      </w:r>
      <w:r w:rsidR="00EF02CC">
        <w:t>s</w:t>
      </w:r>
      <w:r w:rsidR="00EC247C">
        <w:t xml:space="preserve"> and </w:t>
      </w:r>
      <w:r w:rsidR="005455A2">
        <w:t xml:space="preserve">continuing </w:t>
      </w:r>
      <w:r w:rsidR="00EC247C">
        <w:t>public health measures</w:t>
      </w:r>
      <w:r w:rsidR="005455A2">
        <w:t xml:space="preserve"> resulted in </w:t>
      </w:r>
      <w:r w:rsidR="00EF02CC">
        <w:t>a sharp decline</w:t>
      </w:r>
      <w:r w:rsidR="005455A2">
        <w:t xml:space="preserve"> in the number of new cases </w:t>
      </w:r>
      <w:r w:rsidR="00EF02CC">
        <w:t xml:space="preserve">in </w:t>
      </w:r>
      <w:r w:rsidR="005455A2">
        <w:t>September and October</w:t>
      </w:r>
      <w:r w:rsidR="005A777C">
        <w:t xml:space="preserve"> 2021</w:t>
      </w:r>
      <w:r w:rsidR="005455A2">
        <w:t>.</w:t>
      </w:r>
      <w:r w:rsidR="00EF02CC" w:rsidRPr="0079542F" w:rsidDel="00EF02CC">
        <w:t xml:space="preserve"> </w:t>
      </w:r>
    </w:p>
    <w:p w14:paraId="00A0E2BA" w14:textId="750B0739" w:rsidR="005E3DAC" w:rsidRDefault="0085377D" w:rsidP="00AD0ACE">
      <w:pPr>
        <w:pStyle w:val="Bullet1"/>
        <w:numPr>
          <w:ilvl w:val="0"/>
          <w:numId w:val="0"/>
        </w:numPr>
      </w:pPr>
      <w:r w:rsidRPr="0085377D">
        <w:t xml:space="preserve">An estimated </w:t>
      </w:r>
      <w:r w:rsidRPr="00D523C9">
        <w:rPr>
          <w:b/>
          <w:bCs/>
        </w:rPr>
        <w:t>33,000 families were affected by</w:t>
      </w:r>
      <w:r w:rsidRPr="0085377D">
        <w:t xml:space="preserve"> </w:t>
      </w:r>
      <w:r w:rsidRPr="00D523C9">
        <w:rPr>
          <w:b/>
          <w:bCs/>
        </w:rPr>
        <w:t>the floods</w:t>
      </w:r>
      <w:r w:rsidR="00B32DA8" w:rsidRPr="00D523C9">
        <w:rPr>
          <w:b/>
          <w:bCs/>
        </w:rPr>
        <w:t xml:space="preserve"> on 4 April</w:t>
      </w:r>
      <w:r w:rsidR="00B73BD1">
        <w:rPr>
          <w:b/>
          <w:bCs/>
        </w:rPr>
        <w:t xml:space="preserve"> 2021</w:t>
      </w:r>
      <w:r w:rsidRPr="0085377D">
        <w:t>, with the majority</w:t>
      </w:r>
      <w:r w:rsidR="00F71C0E">
        <w:t xml:space="preserve"> </w:t>
      </w:r>
      <w:r w:rsidR="00F71C0E" w:rsidRPr="0085377D">
        <w:t>(80</w:t>
      </w:r>
      <w:r w:rsidR="00E27A6B">
        <w:t>–</w:t>
      </w:r>
      <w:r w:rsidR="00F71C0E" w:rsidRPr="0085377D">
        <w:t>90 per cent)</w:t>
      </w:r>
      <w:r w:rsidRPr="0085377D">
        <w:t xml:space="preserve"> in Dili. </w:t>
      </w:r>
      <w:r w:rsidR="00144FD0">
        <w:t xml:space="preserve">By the end of June, </w:t>
      </w:r>
      <w:r w:rsidR="000F02E5">
        <w:t>a</w:t>
      </w:r>
      <w:r w:rsidR="000F02E5" w:rsidRPr="0085377D">
        <w:t>pproximately 700 people remained in evacuation centres across Dili (down from around 15,000 at the peak)</w:t>
      </w:r>
      <w:r w:rsidR="0045619E">
        <w:t>;</w:t>
      </w:r>
      <w:r w:rsidR="008327CC">
        <w:t xml:space="preserve"> </w:t>
      </w:r>
      <w:r w:rsidR="00310FA0" w:rsidRPr="00E7562A">
        <w:t>the</w:t>
      </w:r>
      <w:r w:rsidRPr="00E7562A">
        <w:t xml:space="preserve"> death toll </w:t>
      </w:r>
      <w:r w:rsidR="000F02E5" w:rsidRPr="00E7562A">
        <w:t xml:space="preserve">from the floods </w:t>
      </w:r>
      <w:r w:rsidRPr="00E7562A">
        <w:t>was 32</w:t>
      </w:r>
      <w:r w:rsidR="008327CC">
        <w:t>,</w:t>
      </w:r>
      <w:r w:rsidR="00B601AE" w:rsidRPr="00E7562A">
        <w:t xml:space="preserve"> and</w:t>
      </w:r>
      <w:r w:rsidRPr="00E7562A">
        <w:t xml:space="preserve"> nine people </w:t>
      </w:r>
      <w:r w:rsidR="00AC0138" w:rsidRPr="00E7562A">
        <w:t>remain</w:t>
      </w:r>
      <w:r w:rsidR="00310FA0" w:rsidRPr="00E7562A">
        <w:t>ed</w:t>
      </w:r>
      <w:r w:rsidRPr="00E7562A">
        <w:t xml:space="preserve"> missing. </w:t>
      </w:r>
      <w:r w:rsidR="000F02E5" w:rsidRPr="00E7562A">
        <w:t xml:space="preserve">The Timor-Leste Government estimated the cost of </w:t>
      </w:r>
      <w:r w:rsidR="000F02E5" w:rsidRPr="00D523C9">
        <w:rPr>
          <w:b/>
          <w:bCs/>
        </w:rPr>
        <w:t>damage at over USD300 million</w:t>
      </w:r>
      <w:r w:rsidR="00AB6D33" w:rsidRPr="00D523C9">
        <w:rPr>
          <w:b/>
          <w:bCs/>
        </w:rPr>
        <w:t xml:space="preserve"> (AUD</w:t>
      </w:r>
      <w:r w:rsidR="00AE644F" w:rsidRPr="00D523C9">
        <w:rPr>
          <w:b/>
          <w:bCs/>
        </w:rPr>
        <w:t>412 million)</w:t>
      </w:r>
      <w:r w:rsidR="000F02E5" w:rsidRPr="00E7562A">
        <w:t>.</w:t>
      </w:r>
      <w:r w:rsidR="005E3DAC" w:rsidRPr="00E7562A">
        <w:t xml:space="preserve"> The floods damaged essential infrastructure</w:t>
      </w:r>
      <w:r w:rsidR="0041231F">
        <w:t xml:space="preserve"> and </w:t>
      </w:r>
      <w:r w:rsidR="00F71C0E">
        <w:t xml:space="preserve">left an estimated 70,000 people in </w:t>
      </w:r>
      <w:r w:rsidR="005E3DAC" w:rsidRPr="00E7562A">
        <w:t>Dili without water</w:t>
      </w:r>
      <w:r w:rsidR="00F71C0E">
        <w:t xml:space="preserve"> or with </w:t>
      </w:r>
      <w:r w:rsidR="005E3DAC" w:rsidRPr="00E7562A">
        <w:t xml:space="preserve">limited </w:t>
      </w:r>
      <w:r w:rsidR="00BF7F87" w:rsidRPr="00E7562A">
        <w:t>access</w:t>
      </w:r>
      <w:r w:rsidR="00A23FF9" w:rsidRPr="00E7562A">
        <w:t xml:space="preserve"> to potable water sources</w:t>
      </w:r>
      <w:r w:rsidR="005E3DAC" w:rsidRPr="00E7562A">
        <w:t>.</w:t>
      </w:r>
      <w:r w:rsidR="00F71C0E">
        <w:t xml:space="preserve"> </w:t>
      </w:r>
    </w:p>
    <w:p w14:paraId="5078D85C" w14:textId="62251BE4" w:rsidR="0039232A" w:rsidRPr="00AF1D07" w:rsidRDefault="000E68AC" w:rsidP="00AD0ACE">
      <w:pPr>
        <w:spacing w:before="0"/>
        <w:rPr>
          <w:rFonts w:eastAsia="Times New Roman"/>
          <w:i/>
          <w:iCs/>
          <w:color w:val="auto"/>
          <w:lang w:val="en-AU"/>
        </w:rPr>
      </w:pPr>
      <w:r>
        <w:t>Communities across Timor-Leste</w:t>
      </w:r>
      <w:r w:rsidDel="00D45550">
        <w:t xml:space="preserve"> </w:t>
      </w:r>
      <w:r w:rsidR="00F11826">
        <w:t>were</w:t>
      </w:r>
      <w:r w:rsidR="0090213A">
        <w:t xml:space="preserve"> </w:t>
      </w:r>
      <w:r>
        <w:t>significantly impacted by t</w:t>
      </w:r>
      <w:r w:rsidR="00D45550">
        <w:t>he soci</w:t>
      </w:r>
      <w:r w:rsidR="00835045">
        <w:t>o-</w:t>
      </w:r>
      <w:r w:rsidR="00D45550">
        <w:t>economic cos</w:t>
      </w:r>
      <w:r w:rsidR="002F595E">
        <w:t>ts</w:t>
      </w:r>
      <w:r>
        <w:t xml:space="preserve"> of COVID-19 and the floods</w:t>
      </w:r>
      <w:r w:rsidR="00D45550">
        <w:t xml:space="preserve">. </w:t>
      </w:r>
      <w:r w:rsidR="00284966">
        <w:t xml:space="preserve">DFAT-funded surveys undertaken by the Asia Foundation, </w:t>
      </w:r>
      <w:r w:rsidR="00F71C0E">
        <w:t xml:space="preserve">Oxfam, </w:t>
      </w:r>
      <w:r w:rsidR="00284966">
        <w:t xml:space="preserve">and other </w:t>
      </w:r>
      <w:r w:rsidR="00B27922">
        <w:t>non-governments organisations (NGOs)</w:t>
      </w:r>
      <w:r w:rsidR="00284966">
        <w:t xml:space="preserve"> </w:t>
      </w:r>
      <w:r w:rsidR="00284966" w:rsidRPr="00D523C9">
        <w:t>in 2020</w:t>
      </w:r>
      <w:r w:rsidR="00284966">
        <w:t xml:space="preserve"> found that </w:t>
      </w:r>
      <w:r w:rsidR="00284966" w:rsidRPr="00D523C9">
        <w:rPr>
          <w:b/>
          <w:bCs/>
        </w:rPr>
        <w:t xml:space="preserve">more than half of all households (57 per cent) were surviving without </w:t>
      </w:r>
      <w:r w:rsidR="006D5A1F" w:rsidRPr="00D523C9">
        <w:rPr>
          <w:b/>
          <w:bCs/>
        </w:rPr>
        <w:t xml:space="preserve">any form of </w:t>
      </w:r>
      <w:r w:rsidR="00284966" w:rsidRPr="00D523C9">
        <w:rPr>
          <w:b/>
          <w:bCs/>
        </w:rPr>
        <w:t>income, compared to 19 per cent pre-COVID</w:t>
      </w:r>
      <w:r w:rsidR="00B73BD1">
        <w:rPr>
          <w:b/>
          <w:bCs/>
        </w:rPr>
        <w:t>-</w:t>
      </w:r>
      <w:r w:rsidR="00284966" w:rsidRPr="00D523C9">
        <w:rPr>
          <w:b/>
          <w:bCs/>
        </w:rPr>
        <w:t>19</w:t>
      </w:r>
      <w:r w:rsidR="00284966">
        <w:t xml:space="preserve">. Results indicated that </w:t>
      </w:r>
      <w:r w:rsidR="00284966" w:rsidRPr="00D523C9">
        <w:t>the informal economy, which employs two-thirds of workers nationally, had been hit hard. About 80 per cent of businesses in the sector</w:t>
      </w:r>
      <w:r w:rsidR="00F71C0E" w:rsidRPr="00D523C9">
        <w:t xml:space="preserve"> </w:t>
      </w:r>
      <w:r w:rsidR="00B73BD1">
        <w:t>–</w:t>
      </w:r>
      <w:r w:rsidR="00284966" w:rsidRPr="00D523C9">
        <w:t xml:space="preserve"> </w:t>
      </w:r>
      <w:r w:rsidR="00985455" w:rsidRPr="0079542F">
        <w:t>including</w:t>
      </w:r>
      <w:r w:rsidR="00284966" w:rsidRPr="0079542F">
        <w:t xml:space="preserve"> kiosks, market stalls and transport operators</w:t>
      </w:r>
      <w:r w:rsidR="00F71C0E" w:rsidRPr="0079542F">
        <w:t xml:space="preserve"> </w:t>
      </w:r>
      <w:r w:rsidR="00B73BD1">
        <w:t>–</w:t>
      </w:r>
      <w:r w:rsidR="00284966" w:rsidRPr="0079542F">
        <w:t xml:space="preserve"> </w:t>
      </w:r>
      <w:r w:rsidR="00985455" w:rsidRPr="0079542F">
        <w:t>lost</w:t>
      </w:r>
      <w:r w:rsidR="00284966" w:rsidRPr="0079542F">
        <w:t xml:space="preserve"> two thirds </w:t>
      </w:r>
      <w:r w:rsidR="00985455" w:rsidRPr="0079542F">
        <w:t>of their</w:t>
      </w:r>
      <w:r w:rsidR="00284966" w:rsidRPr="0079542F">
        <w:t xml:space="preserve"> income </w:t>
      </w:r>
      <w:r w:rsidR="00F11826" w:rsidRPr="0079542F">
        <w:t>because of</w:t>
      </w:r>
      <w:r w:rsidR="00284966" w:rsidRPr="0079542F">
        <w:t xml:space="preserve"> </w:t>
      </w:r>
      <w:r w:rsidR="00C32C43" w:rsidRPr="0079542F">
        <w:t xml:space="preserve">early </w:t>
      </w:r>
      <w:r w:rsidR="00284966" w:rsidRPr="0079542F">
        <w:t>lockdowns.</w:t>
      </w:r>
      <w:r w:rsidR="00AF1D07" w:rsidRPr="0079542F">
        <w:t xml:space="preserve"> The </w:t>
      </w:r>
      <w:r w:rsidR="005C77F4">
        <w:t>Asian Development</w:t>
      </w:r>
      <w:r w:rsidR="005C77F4" w:rsidRPr="0079542F">
        <w:t xml:space="preserve"> </w:t>
      </w:r>
      <w:r w:rsidR="00AF1D07" w:rsidRPr="0079542F">
        <w:t xml:space="preserve">Bank </w:t>
      </w:r>
      <w:r w:rsidR="005A777C">
        <w:t xml:space="preserve">(ADB) </w:t>
      </w:r>
      <w:r w:rsidR="00077A35" w:rsidRPr="0079542F">
        <w:t>estimate</w:t>
      </w:r>
      <w:r w:rsidR="00077A35">
        <w:t>s</w:t>
      </w:r>
      <w:r w:rsidR="00077A35" w:rsidRPr="0079542F">
        <w:t xml:space="preserve"> </w:t>
      </w:r>
      <w:r w:rsidR="00AF1D07" w:rsidRPr="0079542F">
        <w:t xml:space="preserve">the economy contracted by </w:t>
      </w:r>
      <w:r w:rsidR="00DD2E40">
        <w:t>8</w:t>
      </w:r>
      <w:r w:rsidR="00AF1D07" w:rsidRPr="0079542F">
        <w:t>.</w:t>
      </w:r>
      <w:r w:rsidR="00DD2E40">
        <w:t>5</w:t>
      </w:r>
      <w:r w:rsidR="00AF1D07" w:rsidRPr="0079542F">
        <w:t xml:space="preserve"> per cent in 2020</w:t>
      </w:r>
      <w:r w:rsidR="00077A35">
        <w:t xml:space="preserve"> and</w:t>
      </w:r>
      <w:r w:rsidR="00AF1D07" w:rsidRPr="0079542F">
        <w:t xml:space="preserve"> forecasts growth of </w:t>
      </w:r>
      <w:r w:rsidR="00B27922">
        <w:t>2.2</w:t>
      </w:r>
      <w:r w:rsidR="00D36FD6" w:rsidRPr="0079542F">
        <w:t xml:space="preserve"> per cent</w:t>
      </w:r>
      <w:r w:rsidR="00AF1D07" w:rsidRPr="0079542F">
        <w:t xml:space="preserve"> in 2021</w:t>
      </w:r>
      <w:r w:rsidR="002673D7" w:rsidRPr="0079542F">
        <w:t xml:space="preserve"> (</w:t>
      </w:r>
      <w:r w:rsidR="000D2E15">
        <w:t>September</w:t>
      </w:r>
      <w:r w:rsidR="002673D7" w:rsidRPr="0079542F">
        <w:t xml:space="preserve"> 2021). </w:t>
      </w:r>
      <w:r w:rsidR="00F71C0E" w:rsidRPr="0079542F">
        <w:t xml:space="preserve">While the </w:t>
      </w:r>
      <w:r w:rsidR="005455A2">
        <w:t xml:space="preserve">value of the </w:t>
      </w:r>
      <w:r w:rsidR="00B015C0" w:rsidRPr="0079542F">
        <w:t xml:space="preserve">Petroleum Fund </w:t>
      </w:r>
      <w:r w:rsidR="0090213A" w:rsidRPr="0079542F">
        <w:t>reach</w:t>
      </w:r>
      <w:r w:rsidR="001B34DD" w:rsidRPr="0079542F">
        <w:t>ed</w:t>
      </w:r>
      <w:r w:rsidR="0090213A" w:rsidRPr="0079542F">
        <w:t xml:space="preserve"> </w:t>
      </w:r>
      <w:r w:rsidR="00A51B71" w:rsidRPr="0079542F">
        <w:t xml:space="preserve">a record </w:t>
      </w:r>
      <w:r w:rsidR="0090213A" w:rsidRPr="0079542F">
        <w:t>USD19.</w:t>
      </w:r>
      <w:r w:rsidR="00EF02CC" w:rsidRPr="0079542F">
        <w:t>5</w:t>
      </w:r>
      <w:r w:rsidR="00EF02CC">
        <w:t> </w:t>
      </w:r>
      <w:r w:rsidR="0090213A" w:rsidRPr="0079542F">
        <w:t xml:space="preserve">billion </w:t>
      </w:r>
      <w:r w:rsidR="00D53D6A" w:rsidRPr="0079542F">
        <w:t>(AUD26.8</w:t>
      </w:r>
      <w:r w:rsidR="00F23273" w:rsidRPr="0079542F">
        <w:t> </w:t>
      </w:r>
      <w:r w:rsidR="00D53D6A" w:rsidRPr="0079542F">
        <w:t xml:space="preserve">billion) </w:t>
      </w:r>
      <w:r w:rsidR="0090213A" w:rsidRPr="0079542F">
        <w:t>at the end of</w:t>
      </w:r>
      <w:r w:rsidR="00B015C0" w:rsidRPr="0079542F">
        <w:t xml:space="preserve"> June 2021</w:t>
      </w:r>
      <w:r w:rsidR="00F71C0E">
        <w:t>, the outlook for revenue</w:t>
      </w:r>
      <w:r w:rsidR="00144FD0">
        <w:t xml:space="preserve"> in the longer-term</w:t>
      </w:r>
      <w:r w:rsidR="00F71C0E">
        <w:t xml:space="preserve"> remains uncertain</w:t>
      </w:r>
      <w:r w:rsidR="00C6108D" w:rsidRPr="0090213A">
        <w:t>.</w:t>
      </w:r>
    </w:p>
    <w:p w14:paraId="22900C6A" w14:textId="31FBF90B" w:rsidR="00EC608A" w:rsidRDefault="00FC1216" w:rsidP="00EC247C">
      <w:pPr>
        <w:pStyle w:val="Heading2"/>
      </w:pPr>
      <w:bookmarkStart w:id="0" w:name="_Hlk82096595"/>
      <w:r w:rsidRPr="00FC1216">
        <w:lastRenderedPageBreak/>
        <w:t>AUSTRALIA’S RESPONS</w:t>
      </w:r>
      <w:r w:rsidR="00193C49">
        <w:t xml:space="preserve">E </w:t>
      </w:r>
      <w:r w:rsidR="00A46B28">
        <w:t>and</w:t>
      </w:r>
      <w:r w:rsidR="00193C49">
        <w:t xml:space="preserve"> PROGRAM HIGHLIGHTS</w:t>
      </w:r>
    </w:p>
    <w:p w14:paraId="4489FE63" w14:textId="6EBAD3D9" w:rsidR="00F5058B" w:rsidRDefault="00CD0A45" w:rsidP="00F5058B">
      <w:pPr>
        <w:spacing w:before="0"/>
      </w:pPr>
      <w:bookmarkStart w:id="1" w:name="_Hlk86317078"/>
      <w:r w:rsidRPr="00D53D63">
        <w:rPr>
          <w:iCs/>
        </w:rPr>
        <w:t>Australia is Timor-Leste’s largest development partner, providing over 30 per cent of Timor-Leste’s total Official Development Assistance</w:t>
      </w:r>
      <w:r w:rsidR="005A777C">
        <w:rPr>
          <w:iCs/>
        </w:rPr>
        <w:t xml:space="preserve"> (ODA)</w:t>
      </w:r>
      <w:r w:rsidR="003D2246">
        <w:rPr>
          <w:iCs/>
        </w:rPr>
        <w:t xml:space="preserve">. </w:t>
      </w:r>
      <w:r w:rsidR="00923875" w:rsidRPr="00D53D63">
        <w:rPr>
          <w:iCs/>
        </w:rPr>
        <w:t>Australia continued to support Timor-Leste’s response to the COVID-19 pandemic</w:t>
      </w:r>
      <w:r w:rsidR="00CA1B4A" w:rsidRPr="00D53D63">
        <w:rPr>
          <w:iCs/>
        </w:rPr>
        <w:t xml:space="preserve">, </w:t>
      </w:r>
      <w:r w:rsidR="002D5343" w:rsidRPr="00D53D63">
        <w:rPr>
          <w:iCs/>
        </w:rPr>
        <w:t xml:space="preserve">including supporting the delivery of a comprehensive vaccination campaign. </w:t>
      </w:r>
      <w:r w:rsidR="002D5343" w:rsidRPr="00D523C9">
        <w:rPr>
          <w:iCs/>
        </w:rPr>
        <w:t>Australia was also primary provider of humanitarian and recovery support following the floods in April 2021.</w:t>
      </w:r>
      <w:r w:rsidR="002D5343" w:rsidRPr="00D53D63">
        <w:rPr>
          <w:iCs/>
        </w:rPr>
        <w:t xml:space="preserve"> </w:t>
      </w:r>
      <w:r w:rsidR="00F5058B">
        <w:t xml:space="preserve">Despite a difficult operating environment, </w:t>
      </w:r>
      <w:r w:rsidR="003D2E9E">
        <w:t xml:space="preserve">all </w:t>
      </w:r>
      <w:r w:rsidR="00F5058B">
        <w:t>investments adapt</w:t>
      </w:r>
      <w:r w:rsidR="009D2788">
        <w:t>ed</w:t>
      </w:r>
      <w:r w:rsidR="00F5058B">
        <w:t xml:space="preserve"> their activities to suit the COVID-19 context, while still making progress towards expected outcomes.</w:t>
      </w:r>
    </w:p>
    <w:bookmarkEnd w:id="1"/>
    <w:p w14:paraId="25110AB3" w14:textId="77777777" w:rsidR="00B865A7" w:rsidRDefault="00297FD1" w:rsidP="00B865A7">
      <w:pPr>
        <w:pStyle w:val="Heading3"/>
      </w:pPr>
      <w:r w:rsidRPr="00247C44">
        <w:t>Health Security</w:t>
      </w:r>
    </w:p>
    <w:p w14:paraId="79D492B8" w14:textId="48489F38" w:rsidR="00732C50" w:rsidRPr="00B865A7" w:rsidRDefault="00732C50" w:rsidP="00B865A7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Australian-funded programs made good progress </w:t>
      </w:r>
      <w:r w:rsidR="00DF326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in 2020</w:t>
      </w:r>
      <w:r w:rsidR="008327C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-</w:t>
      </w:r>
      <w:r w:rsidR="00DF326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21 </w:t>
      </w:r>
      <w:r w:rsidR="008327C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in strengthening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Timor-Leste’s health sector </w:t>
      </w:r>
      <w:r w:rsidR="008327C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to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deliver</w:t>
      </w:r>
      <w:r w:rsidR="00AE0821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essential services as Timor-Leste adapts to </w:t>
      </w:r>
      <w:r w:rsidR="006456D9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the local and global impacts of COVID-19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. </w:t>
      </w:r>
      <w:r w:rsidR="005B31B2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 </w:t>
      </w:r>
      <w:r w:rsidR="002D5343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worked</w:t>
      </w:r>
      <w:r w:rsidR="00DF326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in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partnership with the Ministry of Health</w:t>
      </w:r>
      <w:r w:rsidR="00DF326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to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strengthen the quality, accessibility, and inclusiveness of </w:t>
      </w:r>
      <w:r w:rsidR="0082093B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the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primary health care system, while maintaining support for </w:t>
      </w:r>
      <w:r w:rsidR="008327C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the country’s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COVID-19 response. </w:t>
      </w:r>
    </w:p>
    <w:p w14:paraId="795918FB" w14:textId="7C6283E3" w:rsidR="006618DB" w:rsidRPr="00D53D63" w:rsidRDefault="003D2246" w:rsidP="00AD0ACE">
      <w:pPr>
        <w:pStyle w:val="Bullet1"/>
        <w:numPr>
          <w:ilvl w:val="0"/>
          <w:numId w:val="0"/>
        </w:numPr>
      </w:pPr>
      <w:r>
        <w:t>In the reporting period</w:t>
      </w:r>
      <w:r w:rsidR="004D547C" w:rsidRPr="00D523C9">
        <w:t>,</w:t>
      </w:r>
      <w:r w:rsidR="007F66F1" w:rsidRPr="00D523C9">
        <w:t xml:space="preserve"> </w:t>
      </w:r>
      <w:r w:rsidR="006618DB" w:rsidRPr="00D523C9">
        <w:t>Australia support</w:t>
      </w:r>
      <w:r w:rsidR="007F549E" w:rsidRPr="00D523C9">
        <w:t>ed the establishment of in-country COVID-19 testing</w:t>
      </w:r>
      <w:r w:rsidR="006618DB" w:rsidRPr="00D523C9">
        <w:t xml:space="preserve"> </w:t>
      </w:r>
      <w:r w:rsidR="007F549E" w:rsidRPr="00D523C9">
        <w:t>at</w:t>
      </w:r>
      <w:r w:rsidR="006618DB" w:rsidRPr="0079542F">
        <w:t xml:space="preserve"> Timor-Leste’s National Health Laboratory (NHL) through the Menzies School of Health Researc</w:t>
      </w:r>
      <w:r w:rsidR="007F549E" w:rsidRPr="0079542F">
        <w:t>h</w:t>
      </w:r>
      <w:r w:rsidR="00FB3FE7">
        <w:t>. This</w:t>
      </w:r>
      <w:r w:rsidR="006618DB" w:rsidRPr="0079542F">
        <w:t xml:space="preserve"> </w:t>
      </w:r>
      <w:r w:rsidR="008327CC" w:rsidRPr="0079542F">
        <w:t>support</w:t>
      </w:r>
      <w:r>
        <w:t>ed</w:t>
      </w:r>
      <w:r w:rsidR="008327CC" w:rsidRPr="0079542F">
        <w:t xml:space="preserve"> </w:t>
      </w:r>
      <w:r w:rsidR="006618DB" w:rsidRPr="0079542F">
        <w:t>the expansion of testing to regional laboratories. The NHL now has improved infrastructure, high-quality biomedical testing equipment</w:t>
      </w:r>
      <w:r w:rsidR="006456D9" w:rsidRPr="0079542F">
        <w:t>,</w:t>
      </w:r>
      <w:r w:rsidR="006618DB" w:rsidRPr="0079542F">
        <w:t xml:space="preserve"> and staff w</w:t>
      </w:r>
      <w:r w:rsidR="00E1025E" w:rsidRPr="0079542F">
        <w:t>h</w:t>
      </w:r>
      <w:r w:rsidR="006618DB" w:rsidRPr="0079542F">
        <w:t xml:space="preserve">o have the capacity to conduct </w:t>
      </w:r>
      <w:r w:rsidR="003E5597" w:rsidRPr="0079542F">
        <w:t>sustained high levels</w:t>
      </w:r>
      <w:r w:rsidR="006618DB" w:rsidRPr="0079542F">
        <w:t xml:space="preserve"> of quality-assured COVID-19 tests. The improved testing capacity at the NHL and municipal laboratories has enabled</w:t>
      </w:r>
      <w:r w:rsidR="006618DB" w:rsidRPr="00D53D63">
        <w:t xml:space="preserve"> Timor-Leste to </w:t>
      </w:r>
      <w:r w:rsidR="006456D9">
        <w:t>conduct</w:t>
      </w:r>
      <w:r w:rsidR="006618DB" w:rsidRPr="00D53D63">
        <w:t xml:space="preserve"> more than 2,000 tests daily. </w:t>
      </w:r>
      <w:r w:rsidR="006456D9">
        <w:t>In May 2021,</w:t>
      </w:r>
      <w:r w:rsidR="00AB0A4F">
        <w:t xml:space="preserve"> a</w:t>
      </w:r>
      <w:r w:rsidR="004C23B2" w:rsidRPr="00D53D63">
        <w:t>t the peak of the</w:t>
      </w:r>
      <w:r w:rsidR="006618DB" w:rsidRPr="00D53D63">
        <w:t xml:space="preserve"> </w:t>
      </w:r>
      <w:r w:rsidR="004C23B2" w:rsidRPr="00D53D63">
        <w:t>outbreak</w:t>
      </w:r>
      <w:r w:rsidR="006618DB" w:rsidRPr="00D53D63">
        <w:t xml:space="preserve">, the NHL conducted 30,709 tests. </w:t>
      </w:r>
    </w:p>
    <w:p w14:paraId="6271B05F" w14:textId="4C20EFF2" w:rsidR="009D15E8" w:rsidRDefault="004C00DB" w:rsidP="009D15E8">
      <w:pPr>
        <w:pStyle w:val="Bullet1"/>
        <w:numPr>
          <w:ilvl w:val="0"/>
          <w:numId w:val="0"/>
        </w:numPr>
        <w:rPr>
          <w:strike/>
        </w:rPr>
      </w:pPr>
      <w:bookmarkStart w:id="2" w:name="_Hlk84273225"/>
      <w:bookmarkStart w:id="3" w:name="_Hlk82163356"/>
      <w:r w:rsidRPr="0076241C">
        <w:t xml:space="preserve">The Timor-Leste Government prioritised vaccinations as part of </w:t>
      </w:r>
      <w:r w:rsidR="00D7034F">
        <w:t>its</w:t>
      </w:r>
      <w:r w:rsidRPr="0076241C">
        <w:t xml:space="preserve"> public health </w:t>
      </w:r>
      <w:r>
        <w:t>response to</w:t>
      </w:r>
      <w:r w:rsidRPr="0076241C">
        <w:t xml:space="preserve"> COVID-19. </w:t>
      </w:r>
      <w:r w:rsidRPr="00D523C9">
        <w:rPr>
          <w:b/>
          <w:bCs/>
        </w:rPr>
        <w:t>As of</w:t>
      </w:r>
      <w:r w:rsidR="00C32C43" w:rsidRPr="00D523C9">
        <w:rPr>
          <w:b/>
          <w:bCs/>
        </w:rPr>
        <w:br/>
      </w:r>
      <w:r w:rsidRPr="00D523C9">
        <w:rPr>
          <w:b/>
          <w:bCs/>
        </w:rPr>
        <w:t>30 June 2021, 209,587 people (over 25 per cent of the adult population) had received their first vaccine</w:t>
      </w:r>
      <w:r w:rsidRPr="0076241C">
        <w:t>, and 25,988</w:t>
      </w:r>
      <w:r w:rsidR="00F23273">
        <w:t> </w:t>
      </w:r>
      <w:r w:rsidRPr="0076241C">
        <w:t xml:space="preserve">people were fully vaccinated. </w:t>
      </w:r>
      <w:bookmarkStart w:id="4" w:name="_Hlk84183856"/>
      <w:r w:rsidR="009D15E8">
        <w:t xml:space="preserve">Australia has committed $24.3 million over three years (2020-23) for COVID-19 vaccine access in Timor-Leste, including delivery support and vaccine procurement, drawing on Australia’s </w:t>
      </w:r>
      <w:r w:rsidR="009D15E8" w:rsidRPr="00956A56">
        <w:rPr>
          <w:b/>
          <w:bCs/>
        </w:rPr>
        <w:t>Regional COVID-19 Vaccine Access and Health Security Initiative (VAHSI)</w:t>
      </w:r>
      <w:r w:rsidR="009D15E8">
        <w:t xml:space="preserve">. </w:t>
      </w:r>
      <w:r w:rsidR="009D15E8">
        <w:rPr>
          <w:rFonts w:ascii="Calibri Light" w:eastAsia="Calibri Light" w:hAnsi="Calibri Light" w:cs="Times New Roman"/>
          <w:b/>
          <w:bCs/>
          <w:color w:val="495965"/>
        </w:rPr>
        <w:t xml:space="preserve">Through VAHSI, Australia has committed to </w:t>
      </w:r>
      <w:r w:rsidR="00721394">
        <w:rPr>
          <w:rFonts w:ascii="Calibri Light" w:eastAsia="Calibri Light" w:hAnsi="Calibri Light" w:cs="Times New Roman"/>
          <w:b/>
          <w:bCs/>
          <w:color w:val="495965"/>
        </w:rPr>
        <w:t>supporting</w:t>
      </w:r>
      <w:r w:rsidR="009D15E8">
        <w:rPr>
          <w:rFonts w:ascii="Calibri Light" w:eastAsia="Calibri Light" w:hAnsi="Calibri Light" w:cs="Times New Roman"/>
          <w:b/>
          <w:bCs/>
          <w:color w:val="495965"/>
        </w:rPr>
        <w:t xml:space="preserve"> Timor-Leste achieve comprehensive vaccine coverage.</w:t>
      </w:r>
      <w:r w:rsidR="009D15E8">
        <w:t xml:space="preserve"> A</w:t>
      </w:r>
      <w:r w:rsidR="00B73BD1">
        <w:t xml:space="preserve">s </w:t>
      </w:r>
      <w:proofErr w:type="gramStart"/>
      <w:r w:rsidR="00B73BD1">
        <w:t>a</w:t>
      </w:r>
      <w:r w:rsidR="009D15E8">
        <w:t>t</w:t>
      </w:r>
      <w:proofErr w:type="gramEnd"/>
      <w:r w:rsidR="009D15E8">
        <w:t xml:space="preserve"> 30 June 2021, Australia had shared 135,000 AstraZeneca vaccine doses and associated consumables from Australian supplies with Timor-Leste. This is in addition to Australia’s support for the </w:t>
      </w:r>
      <w:r w:rsidR="000D2E15" w:rsidRPr="000D2E15">
        <w:t xml:space="preserve">COVID-19 Vaccines Global Access </w:t>
      </w:r>
      <w:r w:rsidR="000D2E15">
        <w:t>(</w:t>
      </w:r>
      <w:r w:rsidR="009D15E8">
        <w:t>COVAX</w:t>
      </w:r>
      <w:r w:rsidR="000D2E15">
        <w:t>)</w:t>
      </w:r>
      <w:r w:rsidR="009D15E8">
        <w:t xml:space="preserve"> Advance Market Commitment totalling $130 million. As of 30 June</w:t>
      </w:r>
      <w:r w:rsidR="00B73BD1">
        <w:t xml:space="preserve"> 2021</w:t>
      </w:r>
      <w:r w:rsidR="009D15E8">
        <w:t xml:space="preserve">, this global mechanism had delivered 124,800 COVID-19 vaccine doses to Timor-Leste. </w:t>
      </w:r>
    </w:p>
    <w:bookmarkEnd w:id="2"/>
    <w:bookmarkEnd w:id="4"/>
    <w:p w14:paraId="511F33A3" w14:textId="0B63AFB3" w:rsidR="0041231F" w:rsidRPr="0079542F" w:rsidRDefault="002F595E" w:rsidP="00AD0ACE">
      <w:pPr>
        <w:pStyle w:val="Bullet1"/>
        <w:numPr>
          <w:ilvl w:val="0"/>
          <w:numId w:val="0"/>
        </w:numPr>
      </w:pPr>
      <w:r w:rsidRPr="00D523C9">
        <w:t>Australia’s</w:t>
      </w:r>
      <w:r w:rsidR="0041231F" w:rsidRPr="00D523C9">
        <w:t xml:space="preserve"> support for Timor-Leste’s government</w:t>
      </w:r>
      <w:r w:rsidR="006456D9" w:rsidRPr="00D523C9">
        <w:t>-</w:t>
      </w:r>
      <w:r w:rsidR="0041231F" w:rsidRPr="00D523C9">
        <w:t xml:space="preserve">run isolation facilities </w:t>
      </w:r>
      <w:r w:rsidR="00E1025E" w:rsidRPr="0079542F">
        <w:t>in 2020</w:t>
      </w:r>
      <w:r w:rsidR="008327CC" w:rsidRPr="0079542F">
        <w:t>-</w:t>
      </w:r>
      <w:r w:rsidR="00E1025E" w:rsidRPr="0079542F">
        <w:t>21</w:t>
      </w:r>
      <w:r w:rsidR="0041231F" w:rsidRPr="0079542F">
        <w:t xml:space="preserve"> </w:t>
      </w:r>
      <w:r w:rsidR="00E1025E" w:rsidRPr="0079542F">
        <w:t>was critical</w:t>
      </w:r>
      <w:r w:rsidR="0041231F" w:rsidRPr="0079542F">
        <w:t xml:space="preserve"> in supporting efforts to stave off community transmission</w:t>
      </w:r>
      <w:r w:rsidR="00E1025E" w:rsidRPr="0079542F">
        <w:t xml:space="preserve">, allowing </w:t>
      </w:r>
      <w:r w:rsidR="0041231F" w:rsidRPr="0079542F">
        <w:t xml:space="preserve">the vaccine rollout to commence before </w:t>
      </w:r>
      <w:r w:rsidR="00E1025E" w:rsidRPr="0079542F">
        <w:t>the</w:t>
      </w:r>
      <w:r w:rsidR="0041231F" w:rsidRPr="0079542F">
        <w:t xml:space="preserve"> first wave of cases,</w:t>
      </w:r>
      <w:r w:rsidR="00E1025E" w:rsidRPr="0079542F">
        <w:t xml:space="preserve"> and</w:t>
      </w:r>
      <w:r w:rsidR="0041231F" w:rsidRPr="0079542F">
        <w:t xml:space="preserve"> significantly reducing the severity of the outbreak</w:t>
      </w:r>
      <w:r w:rsidR="00E00DAB" w:rsidRPr="0079542F">
        <w:t xml:space="preserve">. </w:t>
      </w:r>
      <w:r w:rsidR="000D2E15">
        <w:t>An</w:t>
      </w:r>
      <w:r w:rsidR="0041231F" w:rsidRPr="0079542F">
        <w:t xml:space="preserve"> </w:t>
      </w:r>
      <w:r w:rsidR="000D2E15" w:rsidRPr="000D2E15">
        <w:t>Australian Medical Assistance Team</w:t>
      </w:r>
      <w:r w:rsidR="000D2E15">
        <w:t xml:space="preserve"> </w:t>
      </w:r>
      <w:r w:rsidR="0041231F" w:rsidRPr="0079542F">
        <w:t>deployed was central to Timor-Leste’s efforts to prepare its critical care systems and resources to manage future outbreaks</w:t>
      </w:r>
      <w:r w:rsidR="00E1025E" w:rsidRPr="0079542F">
        <w:t>.</w:t>
      </w:r>
    </w:p>
    <w:bookmarkEnd w:id="3"/>
    <w:p w14:paraId="7C1AFF55" w14:textId="1FC6BDC2" w:rsidR="0076241C" w:rsidRPr="0076241C" w:rsidRDefault="00B865A7" w:rsidP="00AD0ACE">
      <w:pPr>
        <w:pStyle w:val="Bullet1"/>
        <w:numPr>
          <w:ilvl w:val="0"/>
          <w:numId w:val="0"/>
        </w:numPr>
      </w:pPr>
      <w:r>
        <w:t>W</w:t>
      </w:r>
      <w:r w:rsidR="0076241C">
        <w:t xml:space="preserve">ith Australia’s support, </w:t>
      </w:r>
      <w:r w:rsidR="0076241C" w:rsidRPr="00D523C9">
        <w:t>the</w:t>
      </w:r>
      <w:r w:rsidR="008A2DDC" w:rsidRPr="00D523C9">
        <w:t xml:space="preserve"> Timor-Leste</w:t>
      </w:r>
      <w:r w:rsidR="0076241C" w:rsidRPr="00D523C9">
        <w:t xml:space="preserve"> </w:t>
      </w:r>
      <w:r w:rsidR="008A2DDC" w:rsidRPr="00D523C9">
        <w:t>G</w:t>
      </w:r>
      <w:r w:rsidR="0076241C" w:rsidRPr="00D523C9">
        <w:t xml:space="preserve">overnment’s central medical store (SAMES) developed the policy </w:t>
      </w:r>
      <w:r w:rsidR="002F5CFC" w:rsidRPr="00D523C9">
        <w:t xml:space="preserve">and </w:t>
      </w:r>
      <w:r w:rsidR="0076241C" w:rsidRPr="00D523C9">
        <w:t xml:space="preserve">procurement </w:t>
      </w:r>
      <w:r w:rsidR="00B05424" w:rsidRPr="00D523C9">
        <w:t>systems</w:t>
      </w:r>
      <w:r w:rsidR="007F549E" w:rsidRPr="00D523C9">
        <w:t xml:space="preserve"> </w:t>
      </w:r>
      <w:r w:rsidR="0076241C" w:rsidRPr="00D523C9">
        <w:t xml:space="preserve">to source essential medical supplies </w:t>
      </w:r>
      <w:r w:rsidR="001C458C" w:rsidRPr="00D523C9">
        <w:t>quickly</w:t>
      </w:r>
      <w:r w:rsidR="001C458C">
        <w:t xml:space="preserve"> </w:t>
      </w:r>
      <w:r w:rsidR="0076241C" w:rsidRPr="0076241C">
        <w:t xml:space="preserve">and at </w:t>
      </w:r>
      <w:r w:rsidR="00E7562A" w:rsidRPr="0076241C">
        <w:t>internationally</w:t>
      </w:r>
      <w:r w:rsidR="00E7562A">
        <w:t xml:space="preserve"> competitive</w:t>
      </w:r>
      <w:r w:rsidR="0076241C" w:rsidRPr="0076241C">
        <w:t xml:space="preserve"> prices. </w:t>
      </w:r>
      <w:r w:rsidR="002D5343">
        <w:t>Australian</w:t>
      </w:r>
      <w:r w:rsidR="002D5343" w:rsidRPr="0076241C">
        <w:t xml:space="preserve"> </w:t>
      </w:r>
      <w:r w:rsidR="0076241C" w:rsidRPr="0076241C">
        <w:t xml:space="preserve">assistance ensured </w:t>
      </w:r>
      <w:r w:rsidR="00AC0138">
        <w:t xml:space="preserve">that </w:t>
      </w:r>
      <w:r w:rsidR="00AC0138" w:rsidRPr="0076241C">
        <w:t xml:space="preserve">when supply chains </w:t>
      </w:r>
      <w:r w:rsidR="005E4D42">
        <w:t>were</w:t>
      </w:r>
      <w:r w:rsidR="00AC0138" w:rsidRPr="0076241C">
        <w:t xml:space="preserve"> disrupted</w:t>
      </w:r>
      <w:r w:rsidR="00AC0138">
        <w:t>,</w:t>
      </w:r>
      <w:r w:rsidR="00B05424">
        <w:t xml:space="preserve"> </w:t>
      </w:r>
      <w:r w:rsidR="0076241C" w:rsidRPr="0076241C">
        <w:t xml:space="preserve">SAMES </w:t>
      </w:r>
      <w:r w:rsidR="002900C0">
        <w:t>was</w:t>
      </w:r>
      <w:r w:rsidR="0076241C" w:rsidRPr="0076241C">
        <w:t xml:space="preserve"> well placed to manage the procurement and donations of</w:t>
      </w:r>
      <w:r w:rsidR="002F5CFC">
        <w:t xml:space="preserve"> </w:t>
      </w:r>
      <w:r w:rsidR="0076241C" w:rsidRPr="0076241C">
        <w:t xml:space="preserve">medicines, personal protective equipment </w:t>
      </w:r>
      <w:r w:rsidR="00C36254">
        <w:t xml:space="preserve">(PPE) </w:t>
      </w:r>
      <w:r w:rsidR="0076241C" w:rsidRPr="0076241C">
        <w:t xml:space="preserve">and supplies for COVID-19 testing and treatment. </w:t>
      </w:r>
    </w:p>
    <w:p w14:paraId="496DA9D6" w14:textId="1229179B" w:rsidR="00B865A7" w:rsidRDefault="00F33D40" w:rsidP="00B865A7">
      <w:pPr>
        <w:spacing w:before="0"/>
      </w:pPr>
      <w:r>
        <w:t>In 2020</w:t>
      </w:r>
      <w:r w:rsidR="00CB694F">
        <w:t>-</w:t>
      </w:r>
      <w:r>
        <w:t>21,</w:t>
      </w:r>
      <w:r w:rsidR="00B865A7">
        <w:t xml:space="preserve"> </w:t>
      </w:r>
      <w:r>
        <w:t>d</w:t>
      </w:r>
      <w:r w:rsidR="00C04D12" w:rsidRPr="00C04D12">
        <w:t xml:space="preserve">espite the challenges posed by the floods </w:t>
      </w:r>
      <w:r w:rsidR="00C4026B">
        <w:t>(</w:t>
      </w:r>
      <w:r w:rsidR="00C93B3D">
        <w:t>including damage to health infrastructure</w:t>
      </w:r>
      <w:r w:rsidR="00C4026B">
        <w:t xml:space="preserve">) and </w:t>
      </w:r>
      <w:r w:rsidR="007F549E">
        <w:t xml:space="preserve">the </w:t>
      </w:r>
      <w:r w:rsidR="00C4026B">
        <w:t>COVID-19 pandemic</w:t>
      </w:r>
      <w:r w:rsidR="00C93B3D">
        <w:t xml:space="preserve">, </w:t>
      </w:r>
      <w:r w:rsidRPr="00D523C9">
        <w:rPr>
          <w:b/>
          <w:bCs/>
        </w:rPr>
        <w:t xml:space="preserve">Australia supported </w:t>
      </w:r>
      <w:r w:rsidR="00461C25" w:rsidRPr="00D523C9">
        <w:rPr>
          <w:b/>
          <w:bCs/>
        </w:rPr>
        <w:t xml:space="preserve">Marie Stopes Timor-Leste </w:t>
      </w:r>
      <w:r w:rsidRPr="00D523C9">
        <w:rPr>
          <w:b/>
          <w:bCs/>
        </w:rPr>
        <w:t xml:space="preserve">to </w:t>
      </w:r>
      <w:r w:rsidR="00C04D12" w:rsidRPr="00D523C9">
        <w:rPr>
          <w:b/>
          <w:bCs/>
        </w:rPr>
        <w:t>provid</w:t>
      </w:r>
      <w:r w:rsidRPr="00D523C9">
        <w:rPr>
          <w:b/>
          <w:bCs/>
        </w:rPr>
        <w:t>e</w:t>
      </w:r>
      <w:r w:rsidR="00C04D12" w:rsidRPr="00D523C9">
        <w:rPr>
          <w:b/>
          <w:bCs/>
        </w:rPr>
        <w:t xml:space="preserve"> 13,797 essential health services</w:t>
      </w:r>
      <w:r w:rsidR="00C04D12">
        <w:t xml:space="preserve"> to </w:t>
      </w:r>
      <w:r w:rsidR="00C04D12" w:rsidRPr="00C04D12">
        <w:t>client</w:t>
      </w:r>
      <w:r w:rsidR="00C04D12">
        <w:t>s,</w:t>
      </w:r>
      <w:r w:rsidR="00C04D12" w:rsidRPr="00C04D12">
        <w:t xml:space="preserve"> including </w:t>
      </w:r>
      <w:r w:rsidR="00C4026B">
        <w:t xml:space="preserve">supplying </w:t>
      </w:r>
      <w:r w:rsidR="00C04D12" w:rsidRPr="00C04D12">
        <w:t xml:space="preserve">11,714 people with a long-acting reversible contraception </w:t>
      </w:r>
      <w:r w:rsidR="00C04D12">
        <w:t>method</w:t>
      </w:r>
      <w:r>
        <w:t xml:space="preserve">, as well as </w:t>
      </w:r>
      <w:r w:rsidR="00C04D12" w:rsidRPr="00C04D12">
        <w:t>contraceptive follow</w:t>
      </w:r>
      <w:r w:rsidR="00F23273">
        <w:noBreakHyphen/>
      </w:r>
      <w:r w:rsidR="00C04D12" w:rsidRPr="00C04D12">
        <w:t xml:space="preserve">on care, </w:t>
      </w:r>
      <w:r w:rsidR="00D7034F">
        <w:t>sexually transmitted infection</w:t>
      </w:r>
      <w:r w:rsidR="00D7034F" w:rsidRPr="00C04D12">
        <w:t xml:space="preserve"> </w:t>
      </w:r>
      <w:r w:rsidR="00C04D12" w:rsidRPr="00C04D12">
        <w:t xml:space="preserve">treatment and </w:t>
      </w:r>
      <w:r w:rsidR="00F25FCD">
        <w:t>a</w:t>
      </w:r>
      <w:r w:rsidR="00C04D12" w:rsidRPr="00C04D12">
        <w:t>nt</w:t>
      </w:r>
      <w:r w:rsidR="00F25FCD">
        <w:t>en</w:t>
      </w:r>
      <w:r w:rsidR="00C04D12" w:rsidRPr="00C04D12">
        <w:t xml:space="preserve">atal </w:t>
      </w:r>
      <w:r w:rsidR="00F25FCD">
        <w:t>c</w:t>
      </w:r>
      <w:r w:rsidR="00C04D12" w:rsidRPr="00C04D12">
        <w:t>are to women across Timor-Leste.</w:t>
      </w:r>
      <w:r w:rsidR="00E6362F">
        <w:t xml:space="preserve"> </w:t>
      </w:r>
    </w:p>
    <w:p w14:paraId="15C23F09" w14:textId="1F598C72" w:rsidR="00B865A7" w:rsidRPr="00B865A7" w:rsidRDefault="00297FD1" w:rsidP="00B865A7">
      <w:pPr>
        <w:pStyle w:val="Heading3"/>
      </w:pPr>
      <w:r w:rsidRPr="00B865A7">
        <w:t>Stability</w:t>
      </w:r>
    </w:p>
    <w:p w14:paraId="3243CE2B" w14:textId="78209A09" w:rsidR="0066609A" w:rsidRPr="00B865A7" w:rsidRDefault="00E315C6" w:rsidP="00B865A7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B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uilding on our long-running partnerships,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Australia</w:t>
      </w:r>
      <w:r w:rsidR="004266E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improved coordination and logistics for the COVID-19 response </w:t>
      </w:r>
      <w:r w:rsidR="009E653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and 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foster</w:t>
      </w:r>
      <w:r w:rsidR="009E653C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ed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more effective and gender-responsive security institutions. </w:t>
      </w:r>
      <w:r w:rsidR="003D2246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In the reporting period, </w:t>
      </w:r>
      <w:r w:rsidR="0066609A" w:rsidRPr="00B865A7">
        <w:rPr>
          <w:rFonts w:asciiTheme="minorHAnsi" w:eastAsiaTheme="minorHAnsi" w:hAnsiTheme="minorHAnsi" w:cstheme="minorBidi"/>
          <w:i w:val="0"/>
          <w:sz w:val="22"/>
          <w:szCs w:val="22"/>
        </w:rPr>
        <w:t>Australia</w:t>
      </w:r>
      <w:r w:rsidRPr="00B865A7">
        <w:rPr>
          <w:rFonts w:asciiTheme="minorHAnsi" w:eastAsiaTheme="minorHAnsi" w:hAnsiTheme="minorHAnsi" w:cstheme="minorBidi"/>
          <w:i w:val="0"/>
          <w:sz w:val="22"/>
          <w:szCs w:val="22"/>
        </w:rPr>
        <w:t>’s</w:t>
      </w:r>
      <w:r w:rsidR="0066609A" w:rsidRPr="00B865A7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 </w:t>
      </w:r>
      <w:r w:rsidRPr="00B865A7">
        <w:rPr>
          <w:rFonts w:asciiTheme="minorHAnsi" w:eastAsiaTheme="minorHAnsi" w:hAnsiTheme="minorHAnsi" w:cstheme="minorBidi"/>
          <w:i w:val="0"/>
          <w:sz w:val="22"/>
          <w:szCs w:val="22"/>
        </w:rPr>
        <w:t>support for</w:t>
      </w:r>
      <w:r w:rsidR="0066609A" w:rsidRPr="00B865A7">
        <w:rPr>
          <w:rFonts w:asciiTheme="minorHAnsi" w:eastAsiaTheme="minorHAnsi" w:hAnsiTheme="minorHAnsi" w:cstheme="minorBidi"/>
          <w:i w:val="0"/>
          <w:sz w:val="22"/>
          <w:szCs w:val="22"/>
        </w:rPr>
        <w:t xml:space="preserve"> Timor-Leste’s social protection programs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has assisted</w:t>
      </w:r>
      <w:r w:rsidR="003D2E9E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over one million</w:t>
      </w:r>
      <w:r w:rsidR="009D2788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people</w:t>
      </w:r>
      <w:r w:rsidR="0066609A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during this period of heightened vulnerability. </w:t>
      </w:r>
    </w:p>
    <w:p w14:paraId="748E6B50" w14:textId="5F54341A" w:rsidR="00573C38" w:rsidRPr="0079542F" w:rsidRDefault="000273A0" w:rsidP="00AD0ACE">
      <w:pPr>
        <w:pStyle w:val="Bullet1"/>
        <w:numPr>
          <w:ilvl w:val="0"/>
          <w:numId w:val="0"/>
        </w:numPr>
      </w:pPr>
      <w:r w:rsidRPr="00D53D63">
        <w:t>In the wake of the floods</w:t>
      </w:r>
      <w:r w:rsidR="005A1A53" w:rsidRPr="00D53D63">
        <w:t xml:space="preserve"> in April</w:t>
      </w:r>
      <w:r w:rsidR="00E27A6B">
        <w:t xml:space="preserve"> 2021</w:t>
      </w:r>
      <w:r w:rsidRPr="00D53D63">
        <w:t xml:space="preserve">, </w:t>
      </w:r>
      <w:r w:rsidR="00E246D5" w:rsidRPr="00D53D63">
        <w:t>Australia</w:t>
      </w:r>
      <w:r w:rsidRPr="00D53D63">
        <w:t xml:space="preserve"> </w:t>
      </w:r>
      <w:r w:rsidR="00C36254" w:rsidRPr="00D53D63">
        <w:t>worked with the</w:t>
      </w:r>
      <w:r w:rsidR="00E246D5" w:rsidRPr="00D53D63">
        <w:t xml:space="preserve"> </w:t>
      </w:r>
      <w:r w:rsidR="009D03A3" w:rsidRPr="00D53D63">
        <w:t>Timor-Leste</w:t>
      </w:r>
      <w:r w:rsidR="00C36254" w:rsidRPr="00D53D63">
        <w:t xml:space="preserve"> Government</w:t>
      </w:r>
      <w:r w:rsidR="00E246D5" w:rsidRPr="00D53D63">
        <w:t xml:space="preserve"> </w:t>
      </w:r>
      <w:r w:rsidRPr="00D53D63">
        <w:t xml:space="preserve">to </w:t>
      </w:r>
      <w:r w:rsidR="005A1A53" w:rsidRPr="00D53D63">
        <w:t xml:space="preserve">provide food, </w:t>
      </w:r>
      <w:r w:rsidR="006456D9" w:rsidRPr="00D53D63">
        <w:t>water,</w:t>
      </w:r>
      <w:r w:rsidR="005A1A53" w:rsidRPr="00D53D63">
        <w:t xml:space="preserve"> and other essential items to people in</w:t>
      </w:r>
      <w:r w:rsidRPr="00D53D63">
        <w:t xml:space="preserve"> evacuation centres</w:t>
      </w:r>
      <w:r w:rsidR="00C36254" w:rsidRPr="00D53D63">
        <w:t xml:space="preserve"> (accommodating around 15,000 people at their peak) </w:t>
      </w:r>
      <w:r w:rsidRPr="00D53D63">
        <w:t xml:space="preserve">and </w:t>
      </w:r>
      <w:r w:rsidR="00C36254" w:rsidRPr="00D53D63">
        <w:t xml:space="preserve">supported </w:t>
      </w:r>
      <w:r w:rsidRPr="00D53D63">
        <w:t xml:space="preserve">affected communities across </w:t>
      </w:r>
      <w:r w:rsidR="005A1A53" w:rsidRPr="00D53D63">
        <w:t>Timor-Leste</w:t>
      </w:r>
      <w:r w:rsidRPr="00D53D63">
        <w:t>. Australia</w:t>
      </w:r>
      <w:r w:rsidR="00E246D5" w:rsidRPr="00D53D63">
        <w:t xml:space="preserve"> </w:t>
      </w:r>
      <w:r w:rsidR="00C36254" w:rsidRPr="00D53D63">
        <w:t>provided</w:t>
      </w:r>
      <w:r w:rsidR="00E246D5" w:rsidRPr="00D53D63">
        <w:t xml:space="preserve"> more than </w:t>
      </w:r>
      <w:r w:rsidR="00E246D5" w:rsidRPr="00D523C9">
        <w:rPr>
          <w:b/>
          <w:bCs/>
        </w:rPr>
        <w:t xml:space="preserve">96 tonnes of emergency relief and </w:t>
      </w:r>
      <w:r w:rsidR="00E246D5" w:rsidRPr="00D523C9">
        <w:rPr>
          <w:b/>
          <w:bCs/>
        </w:rPr>
        <w:lastRenderedPageBreak/>
        <w:t>COVID</w:t>
      </w:r>
      <w:r w:rsidR="00573C38" w:rsidRPr="00D523C9">
        <w:rPr>
          <w:b/>
          <w:bCs/>
        </w:rPr>
        <w:t>-19</w:t>
      </w:r>
      <w:r w:rsidR="00E246D5" w:rsidRPr="00D523C9">
        <w:rPr>
          <w:b/>
          <w:bCs/>
        </w:rPr>
        <w:t xml:space="preserve"> response supplies</w:t>
      </w:r>
      <w:r w:rsidRPr="00D53D63">
        <w:t>, including</w:t>
      </w:r>
      <w:r w:rsidR="00C36254" w:rsidRPr="00D53D63">
        <w:t xml:space="preserve"> temporary shelter, critical household items</w:t>
      </w:r>
      <w:r w:rsidR="006456D9">
        <w:t>,</w:t>
      </w:r>
      <w:r w:rsidR="00C36254" w:rsidRPr="00D53D63">
        <w:t xml:space="preserve"> and</w:t>
      </w:r>
      <w:r w:rsidRPr="00D53D63">
        <w:t xml:space="preserve"> </w:t>
      </w:r>
      <w:r w:rsidR="00C36254" w:rsidRPr="00D53D63">
        <w:t>PPE.</w:t>
      </w:r>
      <w:r w:rsidR="00E246D5" w:rsidRPr="00D53D63">
        <w:t xml:space="preserve"> Australia also provided </w:t>
      </w:r>
      <w:r w:rsidR="00E246D5" w:rsidRPr="00D523C9">
        <w:t xml:space="preserve">financial support to assist </w:t>
      </w:r>
      <w:r w:rsidR="00C36254" w:rsidRPr="00D523C9">
        <w:t>with relief efforts</w:t>
      </w:r>
      <w:r w:rsidR="00E246D5" w:rsidRPr="00D523C9">
        <w:t xml:space="preserve"> and to the World Food Programme to address food supply shortages</w:t>
      </w:r>
      <w:r w:rsidR="00E00DAB" w:rsidRPr="0079542F">
        <w:t xml:space="preserve">. </w:t>
      </w:r>
    </w:p>
    <w:p w14:paraId="4D43A99D" w14:textId="73186EE8" w:rsidR="00E246D5" w:rsidRPr="00D53D63" w:rsidRDefault="00573C38" w:rsidP="00AD0ACE">
      <w:pPr>
        <w:pStyle w:val="Bullet1"/>
        <w:numPr>
          <w:ilvl w:val="0"/>
          <w:numId w:val="0"/>
        </w:numPr>
      </w:pPr>
      <w:r w:rsidRPr="0079542F">
        <w:t xml:space="preserve">As a result of the flooding, over 45 per cent of the population of Dili </w:t>
      </w:r>
      <w:r w:rsidR="00390595" w:rsidRPr="0079542F">
        <w:t xml:space="preserve">had no </w:t>
      </w:r>
      <w:r w:rsidR="005A1A53" w:rsidRPr="0079542F">
        <w:t>access to clean water</w:t>
      </w:r>
      <w:r w:rsidRPr="0079542F">
        <w:t>.</w:t>
      </w:r>
      <w:r w:rsidRPr="00D53D63">
        <w:t xml:space="preserve"> </w:t>
      </w:r>
      <w:r w:rsidR="00B865A7">
        <w:t xml:space="preserve">By June 2021, </w:t>
      </w:r>
      <w:r w:rsidRPr="00D53D63">
        <w:t xml:space="preserve">Australia </w:t>
      </w:r>
      <w:r w:rsidR="00C36254" w:rsidRPr="00D53D63">
        <w:t xml:space="preserve">had installed 111 water tanks </w:t>
      </w:r>
      <w:r w:rsidR="00BF7F87" w:rsidRPr="00D53D63">
        <w:t xml:space="preserve">in evacuation centres and communities across </w:t>
      </w:r>
      <w:r w:rsidR="00B05424" w:rsidRPr="00D53D63">
        <w:t>Dili and</w:t>
      </w:r>
      <w:r w:rsidR="00C36254" w:rsidRPr="00D53D63">
        <w:t xml:space="preserve"> </w:t>
      </w:r>
      <w:r w:rsidR="00E246D5" w:rsidRPr="00D53D63">
        <w:t>facilitat</w:t>
      </w:r>
      <w:r w:rsidR="006D631F" w:rsidRPr="00D53D63">
        <w:t>ed the delivery o</w:t>
      </w:r>
      <w:r w:rsidR="00E246D5" w:rsidRPr="00D53D63">
        <w:t>f around 23 million litres of potable water</w:t>
      </w:r>
      <w:r w:rsidR="006D631F" w:rsidRPr="00D53D63">
        <w:t>.</w:t>
      </w:r>
      <w:r w:rsidR="00B6111C" w:rsidRPr="00D523C9">
        <w:rPr>
          <w:b/>
          <w:bCs/>
        </w:rPr>
        <w:t xml:space="preserve"> At the peak of the response, Australia trucked around 400,000 litres of water to communities daily</w:t>
      </w:r>
      <w:r w:rsidR="00E00DAB" w:rsidRPr="00930CF4">
        <w:t>.</w:t>
      </w:r>
      <w:r w:rsidR="00E00DAB">
        <w:rPr>
          <w:b/>
          <w:bCs/>
        </w:rPr>
        <w:t xml:space="preserve"> </w:t>
      </w:r>
      <w:r w:rsidR="005B31B2" w:rsidRPr="00D53D63">
        <w:t>Australia</w:t>
      </w:r>
      <w:r w:rsidRPr="00D53D63">
        <w:t xml:space="preserve"> </w:t>
      </w:r>
      <w:r w:rsidR="0041231F" w:rsidRPr="00D53D63">
        <w:t>also worked</w:t>
      </w:r>
      <w:r w:rsidR="002F595E" w:rsidRPr="00D53D63">
        <w:t xml:space="preserve"> </w:t>
      </w:r>
      <w:r w:rsidR="006D631F" w:rsidRPr="00D53D63">
        <w:t>with the national water utility</w:t>
      </w:r>
      <w:r w:rsidR="00FD1CE3" w:rsidRPr="00D53D63">
        <w:t xml:space="preserve"> (</w:t>
      </w:r>
      <w:proofErr w:type="spellStart"/>
      <w:r w:rsidR="00FD1CE3" w:rsidRPr="00D53D63">
        <w:t>Be’e</w:t>
      </w:r>
      <w:proofErr w:type="spellEnd"/>
      <w:r w:rsidR="00FD1CE3" w:rsidRPr="00D53D63">
        <w:t xml:space="preserve"> Timor-Leste)</w:t>
      </w:r>
      <w:r w:rsidR="006D631F" w:rsidRPr="00D53D63">
        <w:t xml:space="preserve"> on </w:t>
      </w:r>
      <w:r w:rsidRPr="00D53D63">
        <w:t xml:space="preserve">emergency and long-term repairs </w:t>
      </w:r>
      <w:r w:rsidR="00FD1CE3" w:rsidRPr="00D53D63">
        <w:t>to</w:t>
      </w:r>
      <w:r w:rsidRPr="00D53D63">
        <w:t xml:space="preserve"> Dili’s water system</w:t>
      </w:r>
      <w:r w:rsidR="006456D9">
        <w:t>,</w:t>
      </w:r>
      <w:r w:rsidR="006D631F" w:rsidRPr="00D53D63">
        <w:t xml:space="preserve"> that connects Dili to</w:t>
      </w:r>
      <w:r w:rsidR="007556E7" w:rsidRPr="00D53D63">
        <w:t xml:space="preserve"> mountain</w:t>
      </w:r>
      <w:r w:rsidR="006D631F" w:rsidRPr="00D53D63">
        <w:t xml:space="preserve"> reservoirs.</w:t>
      </w:r>
      <w:r w:rsidR="00FD1CE3" w:rsidRPr="00D53D63">
        <w:t xml:space="preserve"> </w:t>
      </w:r>
    </w:p>
    <w:p w14:paraId="426F447F" w14:textId="09323120" w:rsidR="00316546" w:rsidRPr="00D53D63" w:rsidRDefault="00CA65FA" w:rsidP="00AD0ACE">
      <w:pPr>
        <w:pStyle w:val="Bullet1"/>
        <w:numPr>
          <w:ilvl w:val="0"/>
          <w:numId w:val="0"/>
        </w:numPr>
      </w:pPr>
      <w:bookmarkStart w:id="5" w:name="_Hlk81490533"/>
      <w:r w:rsidRPr="00D523C9">
        <w:t>Australia</w:t>
      </w:r>
      <w:r w:rsidR="00316546" w:rsidRPr="00D523C9">
        <w:t xml:space="preserve"> </w:t>
      </w:r>
      <w:r w:rsidR="005A1A53" w:rsidRPr="00D523C9">
        <w:t>worked with</w:t>
      </w:r>
      <w:r w:rsidR="00316546" w:rsidRPr="00D523C9">
        <w:t xml:space="preserve"> the Timor-Leste National Police (PNTL) to deliver policing services</w:t>
      </w:r>
      <w:r w:rsidR="00316546" w:rsidRPr="00D53D63">
        <w:t xml:space="preserve"> </w:t>
      </w:r>
      <w:r w:rsidR="00E27A6B">
        <w:t>–</w:t>
      </w:r>
      <w:r w:rsidR="00316546" w:rsidRPr="00D53D63">
        <w:t xml:space="preserve"> critical to maintain</w:t>
      </w:r>
      <w:r w:rsidR="005A1A53" w:rsidRPr="00D53D63">
        <w:t>ing</w:t>
      </w:r>
      <w:r w:rsidR="00316546" w:rsidRPr="00D53D63">
        <w:t xml:space="preserve"> security and community protection </w:t>
      </w:r>
      <w:r w:rsidR="00E27A6B">
        <w:t>–</w:t>
      </w:r>
      <w:r w:rsidR="00316546" w:rsidRPr="00D53D63">
        <w:t xml:space="preserve"> in response to the twin crises of COVID-19 and </w:t>
      </w:r>
      <w:r w:rsidR="000E479A" w:rsidRPr="00D53D63">
        <w:t xml:space="preserve">the </w:t>
      </w:r>
      <w:r w:rsidR="00316546" w:rsidRPr="00D53D63">
        <w:t>floods. </w:t>
      </w:r>
      <w:r w:rsidR="003D2246">
        <w:t xml:space="preserve">In the reporting period, </w:t>
      </w:r>
      <w:r w:rsidR="005B31B2" w:rsidRPr="00D53D63">
        <w:t>Australia</w:t>
      </w:r>
      <w:r w:rsidR="00990656" w:rsidRPr="00D53D63">
        <w:t xml:space="preserve"> </w:t>
      </w:r>
      <w:r w:rsidR="00316546" w:rsidRPr="00D53D63">
        <w:t xml:space="preserve">provided essential PPE, </w:t>
      </w:r>
      <w:r w:rsidR="0041231F" w:rsidRPr="00D53D63">
        <w:t xml:space="preserve">other </w:t>
      </w:r>
      <w:r w:rsidR="00316546" w:rsidRPr="00D53D63">
        <w:t>equipment and logistics support across key police and border posts and supported the establishment of new PNTL posts</w:t>
      </w:r>
      <w:r w:rsidR="00990656" w:rsidRPr="00D53D63">
        <w:t xml:space="preserve"> on the Indonesian border</w:t>
      </w:r>
      <w:r w:rsidR="00316546" w:rsidRPr="00D53D63">
        <w:t>. Strong border controls contributed to Timor-Leste’s ability to avoid community transmission throughout 2020</w:t>
      </w:r>
      <w:r w:rsidR="00E00DAB">
        <w:t xml:space="preserve">. </w:t>
      </w:r>
    </w:p>
    <w:bookmarkEnd w:id="5"/>
    <w:p w14:paraId="662C21B7" w14:textId="3C5F9FD7" w:rsidR="005A1A53" w:rsidRPr="00D53D63" w:rsidRDefault="00CD4750" w:rsidP="00AD0ACE">
      <w:pPr>
        <w:pStyle w:val="Bullet1"/>
        <w:numPr>
          <w:ilvl w:val="0"/>
          <w:numId w:val="0"/>
        </w:numPr>
      </w:pPr>
      <w:r w:rsidRPr="00D523C9">
        <w:t>Australia provided the Ministry of Social Solidarity and Inclusion (MSSI) with technical assistance</w:t>
      </w:r>
      <w:r w:rsidRPr="00CD4750">
        <w:t xml:space="preserve">, including advice, logistics and information systems, </w:t>
      </w:r>
      <w:r w:rsidRPr="00D523C9">
        <w:rPr>
          <w:b/>
          <w:bCs/>
        </w:rPr>
        <w:t xml:space="preserve">to support its delivery of emergency cash payments </w:t>
      </w:r>
      <w:r w:rsidRPr="00CD4750">
        <w:t>(totalling USD60 million</w:t>
      </w:r>
      <w:r w:rsidR="00B74FEC">
        <w:t xml:space="preserve"> or approximately AUD83 million</w:t>
      </w:r>
      <w:r w:rsidRPr="00CD4750">
        <w:t xml:space="preserve">) </w:t>
      </w:r>
      <w:r w:rsidRPr="00D523C9">
        <w:rPr>
          <w:b/>
          <w:bCs/>
        </w:rPr>
        <w:t>to an estimated 95 per cent of all households</w:t>
      </w:r>
      <w:r w:rsidRPr="00CD4750">
        <w:t>, benefitting more than one million people.</w:t>
      </w:r>
      <w:r>
        <w:t xml:space="preserve"> </w:t>
      </w:r>
      <w:r w:rsidR="005A1A53" w:rsidRPr="00D53D63">
        <w:t xml:space="preserve">Research by the Asia Foundation found these payments helped over 310,000 households meet their basic needs </w:t>
      </w:r>
      <w:r w:rsidR="00B6111C">
        <w:t xml:space="preserve">– primarily on food </w:t>
      </w:r>
      <w:r w:rsidR="00E27A6B">
        <w:t>–</w:t>
      </w:r>
      <w:r w:rsidR="005A1A53" w:rsidRPr="00D53D63">
        <w:t xml:space="preserve"> and helped reduce household stress related to COVID-19 restrictions. </w:t>
      </w:r>
    </w:p>
    <w:p w14:paraId="20419DFA" w14:textId="40C6D3CA" w:rsidR="005A1A53" w:rsidRPr="00D53D63" w:rsidRDefault="00C6108D" w:rsidP="00AD0ACE">
      <w:pPr>
        <w:pStyle w:val="Bullet1"/>
        <w:numPr>
          <w:ilvl w:val="0"/>
          <w:numId w:val="0"/>
        </w:numPr>
      </w:pPr>
      <w:bookmarkStart w:id="6" w:name="_Hlk81311661"/>
      <w:r w:rsidRPr="00D523C9">
        <w:rPr>
          <w:b/>
          <w:bCs/>
        </w:rPr>
        <w:t>Australia</w:t>
      </w:r>
      <w:r w:rsidR="005A1A53" w:rsidRPr="00D523C9">
        <w:rPr>
          <w:b/>
          <w:bCs/>
        </w:rPr>
        <w:t xml:space="preserve"> worked with MSSI and local NGOs to ensure women and children survivors of violence continued to have access to safe and high-quality services</w:t>
      </w:r>
      <w:r w:rsidR="005A1A53" w:rsidRPr="00D53D63">
        <w:t xml:space="preserve">. </w:t>
      </w:r>
      <w:r w:rsidR="0041231F" w:rsidRPr="00D53D63">
        <w:t>Shelters</w:t>
      </w:r>
      <w:r w:rsidR="005A1A53" w:rsidRPr="00D53D63">
        <w:t xml:space="preserve"> in Dili, </w:t>
      </w:r>
      <w:proofErr w:type="spellStart"/>
      <w:r w:rsidR="005A1A53" w:rsidRPr="00D53D63">
        <w:t>Baucau</w:t>
      </w:r>
      <w:proofErr w:type="spellEnd"/>
      <w:r w:rsidR="005A1A53" w:rsidRPr="00D53D63">
        <w:t xml:space="preserve">, </w:t>
      </w:r>
      <w:proofErr w:type="spellStart"/>
      <w:r w:rsidR="005A1A53" w:rsidRPr="00D53D63">
        <w:t>Oecusse</w:t>
      </w:r>
      <w:proofErr w:type="spellEnd"/>
      <w:r w:rsidR="005A1A53" w:rsidRPr="00D53D63">
        <w:t xml:space="preserve"> and </w:t>
      </w:r>
      <w:proofErr w:type="spellStart"/>
      <w:r w:rsidR="005A1A53" w:rsidRPr="00D53D63">
        <w:t>Suai</w:t>
      </w:r>
      <w:proofErr w:type="spellEnd"/>
      <w:r w:rsidR="005A1A53" w:rsidRPr="00D53D63">
        <w:t xml:space="preserve"> were able to remain open and receive new clients by providing modified quarantine procedures prior to referral </w:t>
      </w:r>
      <w:r w:rsidR="0041231F" w:rsidRPr="00D53D63">
        <w:t>for</w:t>
      </w:r>
      <w:r w:rsidR="005A1A53" w:rsidRPr="00D53D63">
        <w:t xml:space="preserve"> long</w:t>
      </w:r>
      <w:r w:rsidR="0041231F" w:rsidRPr="00D53D63">
        <w:t>er</w:t>
      </w:r>
      <w:r w:rsidR="005A1A53" w:rsidRPr="00D53D63">
        <w:t xml:space="preserve">-term </w:t>
      </w:r>
      <w:r w:rsidR="0041231F" w:rsidRPr="00D53D63">
        <w:t>accommodation and support</w:t>
      </w:r>
      <w:r w:rsidR="005A1A53" w:rsidRPr="00D53D63">
        <w:t xml:space="preserve">. </w:t>
      </w:r>
      <w:r w:rsidR="005B31B2" w:rsidRPr="00D53D63">
        <w:t>Australia</w:t>
      </w:r>
      <w:r w:rsidR="005A1A53" w:rsidRPr="00D53D63">
        <w:t xml:space="preserve"> </w:t>
      </w:r>
      <w:r w:rsidR="0041231F" w:rsidRPr="00D53D63">
        <w:t>worked with</w:t>
      </w:r>
      <w:r w:rsidR="005A1A53" w:rsidRPr="00D53D63">
        <w:t xml:space="preserve"> MSSI to draft COVID-19 protocols for shelters and crisis centres to reduce risk of </w:t>
      </w:r>
      <w:r w:rsidR="00B27922">
        <w:br/>
      </w:r>
      <w:r w:rsidR="0041231F" w:rsidRPr="00D53D63">
        <w:t xml:space="preserve">COVID-19 </w:t>
      </w:r>
      <w:r w:rsidR="005A1A53" w:rsidRPr="00D53D63">
        <w:t xml:space="preserve">transmission. </w:t>
      </w:r>
      <w:r w:rsidR="005B31B2" w:rsidRPr="00D53D63">
        <w:t>Australia</w:t>
      </w:r>
      <w:r w:rsidR="005A1A53" w:rsidRPr="00D53D63">
        <w:t xml:space="preserve"> provided critical support to more vulnerable groups in </w:t>
      </w:r>
      <w:r w:rsidR="0018391F" w:rsidRPr="00D53D63">
        <w:t xml:space="preserve">flood </w:t>
      </w:r>
      <w:r w:rsidR="005A1A53" w:rsidRPr="00D53D63">
        <w:t xml:space="preserve">evacuations centres, distributing hygiene products, solar </w:t>
      </w:r>
      <w:proofErr w:type="gramStart"/>
      <w:r w:rsidR="005A1A53" w:rsidRPr="00D53D63">
        <w:t>lights</w:t>
      </w:r>
      <w:proofErr w:type="gramEnd"/>
      <w:r w:rsidR="005A1A53" w:rsidRPr="00D53D63">
        <w:t xml:space="preserve"> and psychosocial support.</w:t>
      </w:r>
    </w:p>
    <w:bookmarkEnd w:id="6"/>
    <w:p w14:paraId="51C30FAB" w14:textId="77777777" w:rsidR="00B865A7" w:rsidRDefault="00297FD1" w:rsidP="00B865A7">
      <w:pPr>
        <w:pStyle w:val="Heading3"/>
      </w:pPr>
      <w:r w:rsidRPr="00247C44">
        <w:t>Economic recovery</w:t>
      </w:r>
    </w:p>
    <w:p w14:paraId="004C59CD" w14:textId="60EBD123" w:rsidR="0082093B" w:rsidRPr="00B865A7" w:rsidRDefault="0082093B" w:rsidP="00B865A7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</w:pP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Australia’s </w:t>
      </w:r>
      <w:r w:rsidR="006B173F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support for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economic recovery</w:t>
      </w:r>
      <w:r w:rsidR="005B31B2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generat</w:t>
      </w:r>
      <w:r w:rsidR="00144FD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ed</w:t>
      </w:r>
      <w:r w:rsidR="005B31B2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local jobs</w:t>
      </w:r>
      <w:r w:rsidR="00144FD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in communities across Timor-Leste</w:t>
      </w:r>
      <w:r w:rsidR="006B173F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.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6B173F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>Our</w:t>
      </w:r>
      <w:r w:rsidR="005B31B2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investments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in quality infrastructure and connectivity</w:t>
      </w:r>
      <w:r w:rsidR="005B31B2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 </w:t>
      </w:r>
      <w:r w:rsidR="00144FD0"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helped </w:t>
      </w:r>
      <w:r w:rsidRPr="00B865A7">
        <w:rPr>
          <w:rFonts w:asciiTheme="minorHAnsi" w:eastAsiaTheme="minorHAnsi" w:hAnsiTheme="minorHAnsi" w:cstheme="minorBidi"/>
          <w:b w:val="0"/>
          <w:bCs w:val="0"/>
          <w:i w:val="0"/>
          <w:sz w:val="22"/>
          <w:szCs w:val="22"/>
        </w:rPr>
        <w:t xml:space="preserve">connect people in rural areas to services and economic opportunities. </w:t>
      </w:r>
    </w:p>
    <w:p w14:paraId="6B90C340" w14:textId="0E98705F" w:rsidR="00E72E25" w:rsidRPr="00D53D63" w:rsidRDefault="00B636A3" w:rsidP="00AD0ACE">
      <w:pPr>
        <w:pStyle w:val="Bullet1"/>
        <w:numPr>
          <w:ilvl w:val="0"/>
          <w:numId w:val="0"/>
        </w:numPr>
      </w:pPr>
      <w:bookmarkStart w:id="7" w:name="_Hlk84327202"/>
      <w:r w:rsidRPr="00D523C9">
        <w:t xml:space="preserve">In July 2020, Australia provided </w:t>
      </w:r>
      <w:r w:rsidR="00E27A6B">
        <w:t>$</w:t>
      </w:r>
      <w:r w:rsidRPr="00D523C9">
        <w:t>7 million in direct budget support to cushion the socio-economic impacts of COVID</w:t>
      </w:r>
      <w:r w:rsidR="00EF02CC">
        <w:noBreakHyphen/>
      </w:r>
      <w:r w:rsidRPr="00D523C9">
        <w:t>19</w:t>
      </w:r>
      <w:r w:rsidR="005F4FD9" w:rsidRPr="00D523C9">
        <w:t>.</w:t>
      </w:r>
      <w:r w:rsidR="005F4FD9">
        <w:t xml:space="preserve"> This</w:t>
      </w:r>
      <w:r w:rsidRPr="00D53D63">
        <w:t xml:space="preserve"> funded </w:t>
      </w:r>
      <w:r w:rsidRPr="00D523C9">
        <w:rPr>
          <w:b/>
          <w:bCs/>
        </w:rPr>
        <w:t>161</w:t>
      </w:r>
      <w:r w:rsidR="00A3308B" w:rsidRPr="00D523C9">
        <w:rPr>
          <w:b/>
          <w:bCs/>
        </w:rPr>
        <w:t xml:space="preserve"> community</w:t>
      </w:r>
      <w:r w:rsidRPr="00D523C9">
        <w:rPr>
          <w:b/>
          <w:bCs/>
        </w:rPr>
        <w:t xml:space="preserve"> infrastructure projects and more than 7,500 days of paid work</w:t>
      </w:r>
      <w:r w:rsidRPr="00D53D63">
        <w:t>. </w:t>
      </w:r>
      <w:r w:rsidR="00E72E25" w:rsidRPr="00D523C9">
        <w:t>In June 2021, building on th</w:t>
      </w:r>
      <w:r w:rsidR="006B173F" w:rsidRPr="00D523C9">
        <w:t>is</w:t>
      </w:r>
      <w:r w:rsidR="00E72E25" w:rsidRPr="00D523C9">
        <w:t xml:space="preserve"> success, Australia committed </w:t>
      </w:r>
      <w:r w:rsidR="00E27A6B">
        <w:t>$</w:t>
      </w:r>
      <w:r w:rsidR="00E72E25" w:rsidRPr="00D523C9">
        <w:t xml:space="preserve">20 million </w:t>
      </w:r>
      <w:r w:rsidR="00527014" w:rsidRPr="00D523C9">
        <w:t xml:space="preserve">in direct </w:t>
      </w:r>
      <w:r w:rsidR="00E72E25" w:rsidRPr="0079542F">
        <w:t>budget support</w:t>
      </w:r>
      <w:r w:rsidR="00B17FEA">
        <w:t xml:space="preserve"> through the </w:t>
      </w:r>
      <w:r w:rsidR="00B17FEA" w:rsidRPr="00B10377">
        <w:rPr>
          <w:b/>
          <w:bCs/>
        </w:rPr>
        <w:t>COVID-19 Response Package for the Pacific and Timor-Leste</w:t>
      </w:r>
      <w:r w:rsidR="00E72E25" w:rsidRPr="0079542F">
        <w:t xml:space="preserve">. </w:t>
      </w:r>
      <w:r w:rsidR="00B6111C" w:rsidRPr="0079542F">
        <w:t xml:space="preserve">Of this, </w:t>
      </w:r>
      <w:r w:rsidR="00E27A6B">
        <w:t>$</w:t>
      </w:r>
      <w:r w:rsidR="00E72E25" w:rsidRPr="0079542F">
        <w:t>13.</w:t>
      </w:r>
      <w:r w:rsidR="006B173F" w:rsidRPr="0079542F">
        <w:t>5 </w:t>
      </w:r>
      <w:r w:rsidR="00E72E25" w:rsidRPr="0079542F">
        <w:t>million will fund more than half of all Timor</w:t>
      </w:r>
      <w:r w:rsidR="00257EF9" w:rsidRPr="0079542F">
        <w:t>-</w:t>
      </w:r>
      <w:r w:rsidR="00527014" w:rsidRPr="0079542F">
        <w:t>Leste</w:t>
      </w:r>
      <w:r w:rsidR="00E72E25" w:rsidRPr="0079542F">
        <w:t>’s villages (244 of 452 villages) to build small-scale infrastructure projects.</w:t>
      </w:r>
      <w:r w:rsidR="00527014" w:rsidRPr="0079542F">
        <w:t xml:space="preserve"> </w:t>
      </w:r>
      <w:r w:rsidR="00E27A6B">
        <w:t xml:space="preserve">Six and a half million dollars </w:t>
      </w:r>
      <w:r w:rsidR="00527014" w:rsidRPr="0079542F">
        <w:t xml:space="preserve">will fund the New Generation Bolsa da </w:t>
      </w:r>
      <w:proofErr w:type="spellStart"/>
      <w:r w:rsidR="00527014" w:rsidRPr="0079542F">
        <w:t>Mãe</w:t>
      </w:r>
      <w:proofErr w:type="spellEnd"/>
      <w:r w:rsidR="00527014" w:rsidRPr="0079542F">
        <w:t> (</w:t>
      </w:r>
      <w:r w:rsidR="00E27A6B">
        <w:t>‘</w:t>
      </w:r>
      <w:r w:rsidR="00527014" w:rsidRPr="0079542F">
        <w:t>Mother</w:t>
      </w:r>
      <w:r w:rsidR="00E27A6B">
        <w:t>’</w:t>
      </w:r>
      <w:r w:rsidR="00527014" w:rsidRPr="0079542F">
        <w:t>s Purse</w:t>
      </w:r>
      <w:r w:rsidR="00E27A6B">
        <w:t>’</w:t>
      </w:r>
      <w:r w:rsidR="00527014" w:rsidRPr="0079542F">
        <w:t xml:space="preserve">) program, which will provide </w:t>
      </w:r>
      <w:r w:rsidR="005F4FD9" w:rsidRPr="0079542F">
        <w:t xml:space="preserve">direct cash </w:t>
      </w:r>
      <w:r w:rsidR="00527014" w:rsidRPr="0079542F">
        <w:t>payments for pregnant women, children aged 0</w:t>
      </w:r>
      <w:r w:rsidR="00EF02CC">
        <w:noBreakHyphen/>
      </w:r>
      <w:r w:rsidR="00EF02CC" w:rsidRPr="0079542F">
        <w:t>6</w:t>
      </w:r>
      <w:r w:rsidR="00EF02CC">
        <w:t> </w:t>
      </w:r>
      <w:r w:rsidR="00527014" w:rsidRPr="0079542F">
        <w:t>years old and children with disabilities</w:t>
      </w:r>
      <w:r w:rsidR="00527014" w:rsidRPr="00D53D63">
        <w:t>.</w:t>
      </w:r>
    </w:p>
    <w:bookmarkEnd w:id="7"/>
    <w:p w14:paraId="386FF2B5" w14:textId="4FA13756" w:rsidR="00390595" w:rsidRPr="00D53D63" w:rsidRDefault="00390595" w:rsidP="00AD0ACE">
      <w:pPr>
        <w:pStyle w:val="Bullet1"/>
        <w:numPr>
          <w:ilvl w:val="0"/>
          <w:numId w:val="0"/>
        </w:numPr>
      </w:pPr>
      <w:r w:rsidRPr="00D523C9">
        <w:t>To mitigate the impact of COVID-19 on the economy,</w:t>
      </w:r>
      <w:r w:rsidRPr="00D523C9" w:rsidDel="00D35B99">
        <w:t xml:space="preserve"> </w:t>
      </w:r>
      <w:r w:rsidRPr="00D523C9">
        <w:t>Australian-funded economic advisers</w:t>
      </w:r>
      <w:r w:rsidRPr="00D53D63">
        <w:t xml:space="preserve"> embedded in the</w:t>
      </w:r>
      <w:r w:rsidR="00107B5D">
        <w:t xml:space="preserve"> </w:t>
      </w:r>
      <w:r w:rsidR="00CD4750">
        <w:t>Timor</w:t>
      </w:r>
      <w:r w:rsidR="00107B5D">
        <w:noBreakHyphen/>
      </w:r>
      <w:r w:rsidR="00CD4750">
        <w:t xml:space="preserve">Leste Government </w:t>
      </w:r>
      <w:r w:rsidRPr="00D53D63">
        <w:t>provided policy and technical advice on the development of a stimulus package</w:t>
      </w:r>
      <w:r w:rsidR="002A4C2E" w:rsidRPr="002A4C2E">
        <w:t xml:space="preserve"> </w:t>
      </w:r>
      <w:r w:rsidR="002A4C2E">
        <w:t xml:space="preserve">– the </w:t>
      </w:r>
      <w:r w:rsidR="002A4C2E" w:rsidRPr="00D53D63">
        <w:t>Economic Recovery Plan (ERP)</w:t>
      </w:r>
      <w:r w:rsidRPr="00D53D63">
        <w:t>. Advis</w:t>
      </w:r>
      <w:r w:rsidR="00E27A6B">
        <w:t>e</w:t>
      </w:r>
      <w:r w:rsidRPr="00D53D63">
        <w:t>rs provid</w:t>
      </w:r>
      <w:r w:rsidR="002A4C2E">
        <w:t>e</w:t>
      </w:r>
      <w:r w:rsidR="00EF02CC">
        <w:t>d</w:t>
      </w:r>
      <w:r w:rsidRPr="00D53D63">
        <w:t xml:space="preserve"> economic advice and </w:t>
      </w:r>
      <w:r w:rsidR="00CD4750" w:rsidRPr="00D53D63">
        <w:t xml:space="preserve">technical and </w:t>
      </w:r>
      <w:r w:rsidRPr="00D53D63">
        <w:t>administrative support to the Economic Recovery Committee throughout</w:t>
      </w:r>
      <w:r w:rsidR="002A4C2E">
        <w:t xml:space="preserve"> </w:t>
      </w:r>
      <w:r w:rsidR="00EF02CC">
        <w:t>the process of</w:t>
      </w:r>
      <w:r w:rsidRPr="00D53D63">
        <w:t xml:space="preserve"> consultation, drafting</w:t>
      </w:r>
      <w:r w:rsidR="007414D2" w:rsidRPr="00D53D63">
        <w:t xml:space="preserve"> and</w:t>
      </w:r>
      <w:r w:rsidRPr="00D53D63">
        <w:t xml:space="preserve"> approval</w:t>
      </w:r>
      <w:r w:rsidR="00EF02CC">
        <w:t xml:space="preserve"> of the ERP</w:t>
      </w:r>
      <w:r w:rsidRPr="00D53D63">
        <w:t>. As a result</w:t>
      </w:r>
      <w:r w:rsidR="00BD2A36">
        <w:t>,</w:t>
      </w:r>
      <w:r w:rsidRPr="00D53D63">
        <w:t xml:space="preserve"> the ERP priorities are reflected in the 2021 State Budget, with an estimated</w:t>
      </w:r>
      <w:r w:rsidR="00A0236D">
        <w:t xml:space="preserve"> total</w:t>
      </w:r>
      <w:r w:rsidRPr="00D53D63">
        <w:t xml:space="preserve"> allocation of USD123 million. </w:t>
      </w:r>
    </w:p>
    <w:p w14:paraId="075A17E5" w14:textId="04C5F99B" w:rsidR="002C0348" w:rsidRPr="0079542F" w:rsidRDefault="00984FA2" w:rsidP="00AD0ACE">
      <w:pPr>
        <w:pStyle w:val="Bullet1"/>
        <w:numPr>
          <w:ilvl w:val="0"/>
          <w:numId w:val="0"/>
        </w:numPr>
      </w:pPr>
      <w:r w:rsidRPr="00D53D63">
        <w:t>In July 2020,</w:t>
      </w:r>
      <w:r w:rsidR="007F5595" w:rsidRPr="00D53D63">
        <w:t xml:space="preserve"> </w:t>
      </w:r>
      <w:r w:rsidR="00931C71" w:rsidRPr="00D53D63">
        <w:t xml:space="preserve">Australia worked </w:t>
      </w:r>
      <w:r w:rsidRPr="00D53D63">
        <w:t>in partnership with the Ministry for Agriculture and Fisheries</w:t>
      </w:r>
      <w:r w:rsidR="00931C71" w:rsidRPr="00D53D63">
        <w:t xml:space="preserve"> to </w:t>
      </w:r>
      <w:r w:rsidRPr="00D523C9">
        <w:t xml:space="preserve">launch a campaign to raise awareness about African Swine Fever. Over 91,000 farmers engaged with the campaign, </w:t>
      </w:r>
      <w:r w:rsidR="00390595" w:rsidRPr="00D523C9">
        <w:t>and n</w:t>
      </w:r>
      <w:r w:rsidRPr="00D523C9">
        <w:t>early all farmers who corralled pigs in pens</w:t>
      </w:r>
      <w:r w:rsidR="00390595" w:rsidRPr="00D523C9">
        <w:t xml:space="preserve"> follow</w:t>
      </w:r>
      <w:r w:rsidR="00390595" w:rsidRPr="0079542F">
        <w:t>ing the campaign</w:t>
      </w:r>
      <w:r w:rsidRPr="0079542F">
        <w:t xml:space="preserve"> </w:t>
      </w:r>
      <w:r w:rsidR="00CF3969" w:rsidRPr="0079542F">
        <w:t xml:space="preserve">reported </w:t>
      </w:r>
      <w:r w:rsidR="00A3308B" w:rsidRPr="0079542F">
        <w:t>a reduction in pig deaths</w:t>
      </w:r>
      <w:r w:rsidRPr="0079542F">
        <w:t xml:space="preserve">, saving on average </w:t>
      </w:r>
      <w:r w:rsidR="00CF3969" w:rsidRPr="00D523C9">
        <w:t xml:space="preserve">two pigs </w:t>
      </w:r>
      <w:r w:rsidRPr="00D523C9">
        <w:t xml:space="preserve">per household. The campaign </w:t>
      </w:r>
      <w:r w:rsidRPr="0079542F">
        <w:t>benefitted over 44,000 farming adults and a surge in piglet production is expected.</w:t>
      </w:r>
    </w:p>
    <w:p w14:paraId="20809C55" w14:textId="70977A82" w:rsidR="00077A35" w:rsidRPr="00D53D63" w:rsidRDefault="00A3308B" w:rsidP="00AD0ACE">
      <w:pPr>
        <w:pStyle w:val="Bullet1"/>
        <w:numPr>
          <w:ilvl w:val="0"/>
          <w:numId w:val="0"/>
        </w:numPr>
      </w:pPr>
      <w:r w:rsidRPr="00D53D63">
        <w:t xml:space="preserve">Australia supported the Timor-Leste Government to recruit, prepare and mobilise </w:t>
      </w:r>
      <w:r w:rsidR="00B6111C" w:rsidRPr="00D523C9">
        <w:rPr>
          <w:b/>
          <w:bCs/>
        </w:rPr>
        <w:t>two cohorts of seasonal workers</w:t>
      </w:r>
      <w:r w:rsidR="006F5A02">
        <w:t>.</w:t>
      </w:r>
      <w:r w:rsidRPr="00D53D63">
        <w:t xml:space="preserve"> </w:t>
      </w:r>
      <w:r w:rsidR="00CC3874" w:rsidRPr="00D53D63">
        <w:t>These workers joined existing Timorese workers (</w:t>
      </w:r>
      <w:r w:rsidR="00077A35">
        <w:t>over</w:t>
      </w:r>
      <w:r w:rsidR="00CC3874" w:rsidRPr="00D53D63">
        <w:t xml:space="preserve"> 850 </w:t>
      </w:r>
      <w:r w:rsidR="00B6111C">
        <w:t xml:space="preserve">as </w:t>
      </w:r>
      <w:r w:rsidR="00CC3874" w:rsidRPr="00D53D63">
        <w:t>at June 2021) who remained in Australia throughout COVID-19 providing essential labour to Australian farms and sending home valuable remittances to their families.</w:t>
      </w:r>
      <w:bookmarkStart w:id="8" w:name="_Hlk81322177"/>
      <w:r w:rsidR="00882C95">
        <w:t xml:space="preserve"> Th</w:t>
      </w:r>
      <w:r w:rsidR="00EC247C">
        <w:t>e</w:t>
      </w:r>
      <w:r w:rsidR="00882C95">
        <w:t xml:space="preserve"> </w:t>
      </w:r>
      <w:r w:rsidR="00EC247C">
        <w:t xml:space="preserve">Australia Pacific Training Coalition </w:t>
      </w:r>
      <w:r w:rsidR="00077A35">
        <w:t>was established</w:t>
      </w:r>
      <w:r w:rsidR="00882C95">
        <w:t xml:space="preserve"> in</w:t>
      </w:r>
      <w:r w:rsidR="00EC247C">
        <w:t xml:space="preserve"> Timor-Leste on 1 July 2021</w:t>
      </w:r>
      <w:r w:rsidR="00882C95">
        <w:t xml:space="preserve"> </w:t>
      </w:r>
      <w:r w:rsidR="00077A35">
        <w:t>to</w:t>
      </w:r>
      <w:r w:rsidR="00882C95">
        <w:t xml:space="preserve"> </w:t>
      </w:r>
      <w:r w:rsidR="00077A35">
        <w:t xml:space="preserve">support </w:t>
      </w:r>
      <w:r w:rsidR="00077A35" w:rsidRPr="00077A35">
        <w:t xml:space="preserve">skills development and training </w:t>
      </w:r>
      <w:r w:rsidR="00077A35">
        <w:t xml:space="preserve">for workers preparing for </w:t>
      </w:r>
      <w:r w:rsidR="00107B5D">
        <w:t xml:space="preserve">deployment </w:t>
      </w:r>
      <w:r w:rsidR="00077A35">
        <w:t xml:space="preserve">in Australia </w:t>
      </w:r>
      <w:r w:rsidR="00EF02CC">
        <w:t>as well as</w:t>
      </w:r>
      <w:r w:rsidR="00107B5D">
        <w:t xml:space="preserve"> those seeking employment in Timor-Leste</w:t>
      </w:r>
      <w:r w:rsidR="00077A35">
        <w:t>.</w:t>
      </w:r>
    </w:p>
    <w:bookmarkEnd w:id="0"/>
    <w:bookmarkEnd w:id="8"/>
    <w:p w14:paraId="3100279A" w14:textId="016099B7" w:rsidR="00D31F0C" w:rsidRDefault="00D31F0C" w:rsidP="00EC247C">
      <w:pPr>
        <w:pStyle w:val="Heading2"/>
      </w:pPr>
      <w:r>
        <w:lastRenderedPageBreak/>
        <w:t xml:space="preserve">ANNEX 1: </w:t>
      </w:r>
      <w:r w:rsidR="001263CC">
        <w:t xml:space="preserve">Progress against covid-19 response plan results indicators </w:t>
      </w:r>
    </w:p>
    <w:p w14:paraId="02FB4F12" w14:textId="39C0B583" w:rsidR="005F0F38" w:rsidRPr="00247C44" w:rsidRDefault="0089381F" w:rsidP="00B865A7">
      <w:pPr>
        <w:pStyle w:val="Heading3"/>
      </w:pPr>
      <w:r w:rsidRPr="00247C44">
        <w:t>Health Security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390"/>
        <w:gridCol w:w="6146"/>
      </w:tblGrid>
      <w:tr w:rsidR="00AD0ACE" w14:paraId="735DDAC2" w14:textId="77777777" w:rsidTr="00AD0ACE">
        <w:trPr>
          <w:tblHeader/>
        </w:trPr>
        <w:tc>
          <w:tcPr>
            <w:tcW w:w="4390" w:type="dxa"/>
            <w:shd w:val="clear" w:color="auto" w:fill="A2DCD1" w:themeFill="accent1" w:themeFillTint="99"/>
          </w:tcPr>
          <w:p w14:paraId="41EC37DB" w14:textId="6579F49F" w:rsidR="00AD0ACE" w:rsidRPr="00982AA7" w:rsidRDefault="00AD0ACE" w:rsidP="00AD0ACE">
            <w:pPr>
              <w:spacing w:before="0"/>
              <w:jc w:val="center"/>
            </w:pPr>
            <w:r w:rsidRPr="003569AA">
              <w:rPr>
                <w:b/>
                <w:sz w:val="20"/>
                <w:szCs w:val="20"/>
              </w:rPr>
              <w:t>Key Results Indicators</w:t>
            </w:r>
          </w:p>
        </w:tc>
        <w:tc>
          <w:tcPr>
            <w:tcW w:w="6146" w:type="dxa"/>
            <w:shd w:val="clear" w:color="auto" w:fill="A2DCD1" w:themeFill="accent1" w:themeFillTint="99"/>
          </w:tcPr>
          <w:p w14:paraId="1E27AE7E" w14:textId="4D14690A" w:rsidR="00AD0ACE" w:rsidRDefault="00AD0ACE" w:rsidP="00AD0ACE">
            <w:pPr>
              <w:spacing w:before="0"/>
              <w:jc w:val="center"/>
            </w:pPr>
            <w:r w:rsidRPr="003569AA">
              <w:rPr>
                <w:b/>
                <w:sz w:val="20"/>
                <w:szCs w:val="20"/>
              </w:rPr>
              <w:t>Progress/Result</w:t>
            </w:r>
          </w:p>
        </w:tc>
      </w:tr>
      <w:tr w:rsidR="006E246C" w14:paraId="5D4066B5" w14:textId="77777777" w:rsidTr="007A4493">
        <w:trPr>
          <w:tblHeader/>
        </w:trPr>
        <w:tc>
          <w:tcPr>
            <w:tcW w:w="4390" w:type="dxa"/>
          </w:tcPr>
          <w:p w14:paraId="354112BD" w14:textId="2EFAF748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Examples of technical assistance strengthening the Timor-Leste Government’s response to COVID-19 and other health security threats</w:t>
            </w:r>
          </w:p>
        </w:tc>
        <w:tc>
          <w:tcPr>
            <w:tcW w:w="6146" w:type="dxa"/>
          </w:tcPr>
          <w:p w14:paraId="4F7EE74E" w14:textId="19937FE7" w:rsidR="00272642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8C4E8C" w:rsidRPr="002F6ABB">
              <w:rPr>
                <w:sz w:val="20"/>
                <w:szCs w:val="20"/>
              </w:rPr>
              <w:t xml:space="preserve">the </w:t>
            </w:r>
            <w:r w:rsidR="009641CE" w:rsidRPr="002F6ABB">
              <w:rPr>
                <w:sz w:val="20"/>
                <w:szCs w:val="20"/>
              </w:rPr>
              <w:t xml:space="preserve">national health laboratory </w:t>
            </w:r>
            <w:r w:rsidRPr="002F6ABB">
              <w:rPr>
                <w:sz w:val="20"/>
                <w:szCs w:val="20"/>
              </w:rPr>
              <w:t>with</w:t>
            </w:r>
            <w:r w:rsidR="008C4E8C" w:rsidRPr="002F6ABB">
              <w:rPr>
                <w:sz w:val="20"/>
                <w:szCs w:val="20"/>
              </w:rPr>
              <w:t xml:space="preserve"> high-quality biomedical testing equipment and technical capability to conduct </w:t>
            </w:r>
            <w:r w:rsidR="000109BF" w:rsidRPr="002F6ABB">
              <w:rPr>
                <w:sz w:val="20"/>
                <w:szCs w:val="20"/>
              </w:rPr>
              <w:t>sustained high levels</w:t>
            </w:r>
            <w:r w:rsidR="008C4E8C" w:rsidRPr="002F6ABB">
              <w:rPr>
                <w:sz w:val="20"/>
                <w:szCs w:val="20"/>
              </w:rPr>
              <w:t xml:space="preserve"> of quality-assured COVID-19 tests. Timor-Leste </w:t>
            </w:r>
            <w:r w:rsidR="009641CE" w:rsidRPr="002F6ABB">
              <w:rPr>
                <w:sz w:val="20"/>
                <w:szCs w:val="20"/>
              </w:rPr>
              <w:t xml:space="preserve">can </w:t>
            </w:r>
            <w:r w:rsidR="00835045" w:rsidRPr="002F6ABB">
              <w:rPr>
                <w:sz w:val="20"/>
                <w:szCs w:val="20"/>
              </w:rPr>
              <w:t xml:space="preserve">now </w:t>
            </w:r>
            <w:r w:rsidR="009641CE" w:rsidRPr="002F6ABB">
              <w:rPr>
                <w:sz w:val="20"/>
                <w:szCs w:val="20"/>
              </w:rPr>
              <w:t>administer</w:t>
            </w:r>
            <w:r w:rsidR="008C4E8C" w:rsidRPr="002F6ABB">
              <w:rPr>
                <w:sz w:val="20"/>
                <w:szCs w:val="20"/>
              </w:rPr>
              <w:t xml:space="preserve"> more than 2,000 tests daily. </w:t>
            </w:r>
          </w:p>
          <w:p w14:paraId="1C78B18E" w14:textId="39E41FEF" w:rsidR="00AB0A4F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the deployment of a </w:t>
            </w:r>
            <w:r w:rsidR="00AB0A4F" w:rsidRPr="002F6ABB">
              <w:rPr>
                <w:sz w:val="20"/>
                <w:szCs w:val="20"/>
              </w:rPr>
              <w:t>public health specialist to the Ministry of Health to plan and implement the COVID-19 vaccine deployment.</w:t>
            </w:r>
          </w:p>
        </w:tc>
      </w:tr>
      <w:tr w:rsidR="006E246C" w14:paraId="4AD746D8" w14:textId="77777777" w:rsidTr="007A4493">
        <w:trPr>
          <w:tblHeader/>
        </w:trPr>
        <w:tc>
          <w:tcPr>
            <w:tcW w:w="4390" w:type="dxa"/>
          </w:tcPr>
          <w:p w14:paraId="0AB10A98" w14:textId="4B77B1CA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Examples of strengthened health systems, including preparedness for health emergencies</w:t>
            </w:r>
          </w:p>
        </w:tc>
        <w:tc>
          <w:tcPr>
            <w:tcW w:w="6146" w:type="dxa"/>
          </w:tcPr>
          <w:p w14:paraId="44F01EB8" w14:textId="139477B0" w:rsidR="007F5595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 an</w:t>
            </w:r>
            <w:r w:rsidR="009641CE" w:rsidRPr="002F6ABB">
              <w:rPr>
                <w:sz w:val="20"/>
                <w:szCs w:val="20"/>
              </w:rPr>
              <w:t xml:space="preserve"> a</w:t>
            </w:r>
            <w:r w:rsidR="007F5595" w:rsidRPr="002F6ABB">
              <w:rPr>
                <w:sz w:val="20"/>
                <w:szCs w:val="20"/>
              </w:rPr>
              <w:t xml:space="preserve">dviser </w:t>
            </w:r>
            <w:r w:rsidRPr="002F6ABB">
              <w:rPr>
                <w:sz w:val="20"/>
                <w:szCs w:val="20"/>
              </w:rPr>
              <w:t xml:space="preserve">to work </w:t>
            </w:r>
            <w:r w:rsidR="007F5595" w:rsidRPr="002F6ABB">
              <w:rPr>
                <w:sz w:val="20"/>
                <w:szCs w:val="20"/>
              </w:rPr>
              <w:t xml:space="preserve">with </w:t>
            </w:r>
            <w:r w:rsidR="000109BF" w:rsidRPr="002F6ABB">
              <w:rPr>
                <w:sz w:val="20"/>
                <w:szCs w:val="20"/>
              </w:rPr>
              <w:t xml:space="preserve">the </w:t>
            </w:r>
            <w:r w:rsidR="009641CE" w:rsidRPr="002F6ABB">
              <w:rPr>
                <w:sz w:val="20"/>
                <w:szCs w:val="20"/>
              </w:rPr>
              <w:t>central medical store</w:t>
            </w:r>
            <w:r w:rsidR="000109BF" w:rsidRPr="002F6ABB">
              <w:rPr>
                <w:sz w:val="20"/>
                <w:szCs w:val="20"/>
              </w:rPr>
              <w:t xml:space="preserve"> </w:t>
            </w:r>
            <w:r w:rsidR="00E7793A" w:rsidRPr="002F6ABB">
              <w:rPr>
                <w:sz w:val="20"/>
                <w:szCs w:val="20"/>
              </w:rPr>
              <w:t xml:space="preserve">to improve procurement, </w:t>
            </w:r>
            <w:proofErr w:type="gramStart"/>
            <w:r w:rsidR="00E7793A" w:rsidRPr="002F6ABB">
              <w:rPr>
                <w:sz w:val="20"/>
                <w:szCs w:val="20"/>
              </w:rPr>
              <w:t>budget</w:t>
            </w:r>
            <w:proofErr w:type="gramEnd"/>
            <w:r w:rsidR="00E7793A" w:rsidRPr="002F6ABB">
              <w:rPr>
                <w:sz w:val="20"/>
                <w:szCs w:val="20"/>
              </w:rPr>
              <w:t xml:space="preserve"> and policy processes</w:t>
            </w:r>
            <w:r w:rsidRPr="002F6ABB">
              <w:rPr>
                <w:sz w:val="20"/>
                <w:szCs w:val="20"/>
              </w:rPr>
              <w:t xml:space="preserve">. This enabled an </w:t>
            </w:r>
            <w:r w:rsidR="00E7793A" w:rsidRPr="002F6ABB">
              <w:rPr>
                <w:sz w:val="20"/>
                <w:szCs w:val="20"/>
              </w:rPr>
              <w:t>increas</w:t>
            </w:r>
            <w:r w:rsidRPr="002F6ABB">
              <w:rPr>
                <w:sz w:val="20"/>
                <w:szCs w:val="20"/>
              </w:rPr>
              <w:t>e</w:t>
            </w:r>
            <w:r w:rsidR="00E7793A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 xml:space="preserve">in </w:t>
            </w:r>
            <w:r w:rsidR="00E7793A" w:rsidRPr="002F6ABB">
              <w:rPr>
                <w:sz w:val="20"/>
                <w:szCs w:val="20"/>
              </w:rPr>
              <w:t>availability of the 100 most important items</w:t>
            </w:r>
            <w:r w:rsidRPr="002F6ABB">
              <w:rPr>
                <w:sz w:val="20"/>
                <w:szCs w:val="20"/>
              </w:rPr>
              <w:t xml:space="preserve">, </w:t>
            </w:r>
            <w:r w:rsidR="00E7793A" w:rsidRPr="002F6ABB">
              <w:rPr>
                <w:sz w:val="20"/>
                <w:szCs w:val="20"/>
              </w:rPr>
              <w:t>from less than 60</w:t>
            </w:r>
            <w:r w:rsidR="00200D16" w:rsidRPr="002F6ABB">
              <w:rPr>
                <w:sz w:val="20"/>
                <w:szCs w:val="20"/>
              </w:rPr>
              <w:t xml:space="preserve"> per cent</w:t>
            </w:r>
            <w:r w:rsidR="00E7793A" w:rsidRPr="002F6ABB">
              <w:rPr>
                <w:sz w:val="20"/>
                <w:szCs w:val="20"/>
              </w:rPr>
              <w:t xml:space="preserve"> in 2017 to 99</w:t>
            </w:r>
            <w:r w:rsidR="00200D16" w:rsidRPr="002F6ABB">
              <w:rPr>
                <w:sz w:val="20"/>
                <w:szCs w:val="20"/>
              </w:rPr>
              <w:t xml:space="preserve"> per cent</w:t>
            </w:r>
            <w:r w:rsidRPr="002F6ABB">
              <w:rPr>
                <w:sz w:val="20"/>
                <w:szCs w:val="20"/>
              </w:rPr>
              <w:t xml:space="preserve"> in the reporting period</w:t>
            </w:r>
            <w:r w:rsidR="00B27922" w:rsidRPr="002F6ABB">
              <w:rPr>
                <w:sz w:val="20"/>
                <w:szCs w:val="20"/>
              </w:rPr>
              <w:t xml:space="preserve">. </w:t>
            </w:r>
          </w:p>
        </w:tc>
      </w:tr>
      <w:tr w:rsidR="006E246C" w14:paraId="561E10FB" w14:textId="77777777" w:rsidTr="007A4493">
        <w:trPr>
          <w:tblHeader/>
        </w:trPr>
        <w:tc>
          <w:tcPr>
            <w:tcW w:w="4390" w:type="dxa"/>
          </w:tcPr>
          <w:p w14:paraId="3FC5A9AE" w14:textId="447B3F90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health professionals (M/F) trained, including in COVID-19 response</w:t>
            </w:r>
          </w:p>
        </w:tc>
        <w:tc>
          <w:tcPr>
            <w:tcW w:w="6146" w:type="dxa"/>
          </w:tcPr>
          <w:p w14:paraId="1D0B508E" w14:textId="57CC0F04" w:rsidR="006E246C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the training of </w:t>
            </w:r>
            <w:r w:rsidR="006E246C" w:rsidRPr="002F6ABB">
              <w:rPr>
                <w:sz w:val="20"/>
                <w:szCs w:val="20"/>
              </w:rPr>
              <w:t xml:space="preserve">506 </w:t>
            </w:r>
            <w:r w:rsidR="00461C25" w:rsidRPr="002F6ABB">
              <w:rPr>
                <w:sz w:val="20"/>
                <w:szCs w:val="20"/>
              </w:rPr>
              <w:t xml:space="preserve">health </w:t>
            </w:r>
            <w:r w:rsidR="00B05424" w:rsidRPr="002F6ABB">
              <w:rPr>
                <w:sz w:val="20"/>
                <w:szCs w:val="20"/>
              </w:rPr>
              <w:t>professional</w:t>
            </w:r>
            <w:r w:rsidRPr="002F6ABB">
              <w:rPr>
                <w:sz w:val="20"/>
                <w:szCs w:val="20"/>
              </w:rPr>
              <w:t>s (</w:t>
            </w:r>
            <w:r w:rsidR="006E246C" w:rsidRPr="002F6ABB">
              <w:rPr>
                <w:sz w:val="20"/>
                <w:szCs w:val="20"/>
              </w:rPr>
              <w:t>346 women and 160 men</w:t>
            </w:r>
            <w:r w:rsidRPr="002F6ABB">
              <w:rPr>
                <w:sz w:val="20"/>
                <w:szCs w:val="20"/>
              </w:rPr>
              <w:t>)</w:t>
            </w:r>
            <w:r w:rsidR="00461C25" w:rsidRPr="002F6ABB">
              <w:rPr>
                <w:sz w:val="20"/>
                <w:szCs w:val="20"/>
              </w:rPr>
              <w:t>.</w:t>
            </w:r>
            <w:r w:rsidR="00BD5964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6024B2EE" w14:textId="77777777" w:rsidTr="007A4493">
        <w:trPr>
          <w:tblHeader/>
        </w:trPr>
        <w:tc>
          <w:tcPr>
            <w:tcW w:w="4390" w:type="dxa"/>
          </w:tcPr>
          <w:p w14:paraId="5A7E4C44" w14:textId="72ABD265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client service visits for sexual and reproductive health and family planning (target 15,900)</w:t>
            </w:r>
          </w:p>
        </w:tc>
        <w:tc>
          <w:tcPr>
            <w:tcW w:w="6146" w:type="dxa"/>
          </w:tcPr>
          <w:p w14:paraId="3A40B9CD" w14:textId="495C0A42" w:rsidR="006E246C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</w:t>
            </w:r>
            <w:r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6E246C" w:rsidRPr="002F6ABB">
              <w:rPr>
                <w:sz w:val="20"/>
                <w:szCs w:val="20"/>
              </w:rPr>
              <w:t xml:space="preserve">27,216 </w:t>
            </w:r>
            <w:r w:rsidR="00461C25" w:rsidRPr="002F6ABB">
              <w:rPr>
                <w:sz w:val="20"/>
                <w:szCs w:val="20"/>
              </w:rPr>
              <w:t>client service visits for sexual and reproductive health</w:t>
            </w:r>
            <w:r w:rsidRPr="002F6ABB">
              <w:rPr>
                <w:sz w:val="20"/>
                <w:szCs w:val="20"/>
              </w:rPr>
              <w:t xml:space="preserve"> services (</w:t>
            </w:r>
            <w:r w:rsidR="006E246C" w:rsidRPr="002F6ABB">
              <w:rPr>
                <w:sz w:val="20"/>
                <w:szCs w:val="20"/>
              </w:rPr>
              <w:t>493 men and 26,723 women</w:t>
            </w:r>
            <w:r w:rsidRPr="002F6ABB">
              <w:rPr>
                <w:sz w:val="20"/>
                <w:szCs w:val="20"/>
              </w:rPr>
              <w:t>)</w:t>
            </w:r>
            <w:r w:rsidR="00461C25" w:rsidRPr="002F6ABB">
              <w:rPr>
                <w:sz w:val="20"/>
                <w:szCs w:val="20"/>
              </w:rPr>
              <w:t>.</w:t>
            </w:r>
            <w:r w:rsidR="006E246C" w:rsidRPr="002F6ABB">
              <w:rPr>
                <w:sz w:val="20"/>
                <w:szCs w:val="20"/>
              </w:rPr>
              <w:t xml:space="preserve"> </w:t>
            </w:r>
            <w:r w:rsidR="00835045" w:rsidRPr="002F6ABB">
              <w:rPr>
                <w:sz w:val="20"/>
                <w:szCs w:val="20"/>
              </w:rPr>
              <w:t xml:space="preserve">This target was exceeded </w:t>
            </w:r>
            <w:r w:rsidRPr="002F6ABB">
              <w:rPr>
                <w:sz w:val="20"/>
                <w:szCs w:val="20"/>
              </w:rPr>
              <w:t>with support from</w:t>
            </w:r>
            <w:r w:rsidR="00835045" w:rsidRPr="002F6ABB">
              <w:rPr>
                <w:sz w:val="20"/>
                <w:szCs w:val="20"/>
              </w:rPr>
              <w:t xml:space="preserve"> additional</w:t>
            </w:r>
            <w:r w:rsidR="00076B46" w:rsidRPr="002F6ABB">
              <w:rPr>
                <w:sz w:val="20"/>
                <w:szCs w:val="20"/>
              </w:rPr>
              <w:t xml:space="preserve"> temporary and targeted</w:t>
            </w:r>
            <w:r w:rsidR="00835045" w:rsidRPr="002F6ABB">
              <w:rPr>
                <w:sz w:val="20"/>
                <w:szCs w:val="20"/>
              </w:rPr>
              <w:t xml:space="preserve"> COVID-19 funding. </w:t>
            </w:r>
          </w:p>
        </w:tc>
      </w:tr>
      <w:tr w:rsidR="0089381F" w14:paraId="7544A4A0" w14:textId="77777777" w:rsidTr="007A4493">
        <w:trPr>
          <w:tblHeader/>
        </w:trPr>
        <w:tc>
          <w:tcPr>
            <w:tcW w:w="4390" w:type="dxa"/>
          </w:tcPr>
          <w:p w14:paraId="0A6CCE29" w14:textId="414243F8" w:rsidR="0089381F" w:rsidRPr="002F6ABB" w:rsidRDefault="0089381F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Contraceptive protection from unplanned pregnancies made available through Australian support</w:t>
            </w:r>
            <w:r w:rsidR="00ED0A43" w:rsidRPr="002F6ABB">
              <w:rPr>
                <w:sz w:val="20"/>
                <w:szCs w:val="20"/>
              </w:rPr>
              <w:t>*</w:t>
            </w:r>
          </w:p>
        </w:tc>
        <w:tc>
          <w:tcPr>
            <w:tcW w:w="6146" w:type="dxa"/>
          </w:tcPr>
          <w:p w14:paraId="0B2DC0A8" w14:textId="03F80280" w:rsidR="0089381F" w:rsidRPr="002F6ABB" w:rsidRDefault="00A47BC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 for sexual and reproductive health services (see above) resulted</w:t>
            </w:r>
            <w:r w:rsidR="00461C25" w:rsidRPr="002F6ABB">
              <w:rPr>
                <w:sz w:val="20"/>
                <w:szCs w:val="20"/>
              </w:rPr>
              <w:t xml:space="preserve"> in</w:t>
            </w:r>
            <w:r w:rsidR="00461C25"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89381F" w:rsidRPr="002F6ABB">
              <w:rPr>
                <w:sz w:val="20"/>
                <w:szCs w:val="20"/>
              </w:rPr>
              <w:t xml:space="preserve">52,549 Couple </w:t>
            </w:r>
            <w:r w:rsidR="00392750" w:rsidRPr="002F6ABB">
              <w:rPr>
                <w:sz w:val="20"/>
                <w:szCs w:val="20"/>
              </w:rPr>
              <w:t>Years Protection</w:t>
            </w:r>
            <w:r w:rsidRPr="002F6ABB">
              <w:rPr>
                <w:rStyle w:val="FootnoteReference"/>
                <w:sz w:val="20"/>
                <w:szCs w:val="20"/>
              </w:rPr>
              <w:footnoteReference w:id="1"/>
            </w:r>
            <w:r w:rsidR="00461C25" w:rsidRPr="002F6ABB">
              <w:rPr>
                <w:sz w:val="20"/>
                <w:szCs w:val="20"/>
              </w:rPr>
              <w:t>.</w:t>
            </w:r>
            <w:r w:rsidR="00E7562A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0A722352" w14:textId="77777777" w:rsidTr="007A4493">
        <w:trPr>
          <w:tblHeader/>
        </w:trPr>
        <w:tc>
          <w:tcPr>
            <w:tcW w:w="4390" w:type="dxa"/>
          </w:tcPr>
          <w:p w14:paraId="07ECEE00" w14:textId="1EC14BBA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additional households accessing basic water and sanitation (target 10,000)</w:t>
            </w:r>
          </w:p>
        </w:tc>
        <w:tc>
          <w:tcPr>
            <w:tcW w:w="6146" w:type="dxa"/>
          </w:tcPr>
          <w:p w14:paraId="27733983" w14:textId="05E33A43" w:rsidR="0097117A" w:rsidRPr="002F6ABB" w:rsidRDefault="002325A1" w:rsidP="00AC1BA9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 an</w:t>
            </w:r>
            <w:r w:rsidR="00461C25" w:rsidRPr="002F6ABB">
              <w:rPr>
                <w:sz w:val="20"/>
                <w:szCs w:val="20"/>
              </w:rPr>
              <w:t xml:space="preserve"> additional</w:t>
            </w:r>
            <w:r w:rsidR="00461C25"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6E246C" w:rsidRPr="002F6ABB">
              <w:rPr>
                <w:sz w:val="20"/>
                <w:szCs w:val="20"/>
              </w:rPr>
              <w:t>17,531</w:t>
            </w:r>
            <w:r w:rsidR="00BD5964"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461C25" w:rsidRPr="002F6ABB">
              <w:rPr>
                <w:sz w:val="20"/>
                <w:szCs w:val="20"/>
              </w:rPr>
              <w:t xml:space="preserve">households </w:t>
            </w:r>
            <w:r w:rsidRPr="002F6ABB">
              <w:rPr>
                <w:sz w:val="20"/>
                <w:szCs w:val="20"/>
              </w:rPr>
              <w:t xml:space="preserve">to </w:t>
            </w:r>
            <w:r w:rsidR="00461C25" w:rsidRPr="002F6ABB">
              <w:rPr>
                <w:sz w:val="20"/>
                <w:szCs w:val="20"/>
              </w:rPr>
              <w:t>acces</w:t>
            </w:r>
            <w:r w:rsidRPr="002F6ABB">
              <w:rPr>
                <w:sz w:val="20"/>
                <w:szCs w:val="20"/>
              </w:rPr>
              <w:t>s</w:t>
            </w:r>
            <w:r w:rsidR="00461C25" w:rsidRPr="002F6ABB">
              <w:rPr>
                <w:sz w:val="20"/>
                <w:szCs w:val="20"/>
              </w:rPr>
              <w:t xml:space="preserve"> basic water and sanitation. </w:t>
            </w:r>
            <w:r w:rsidR="0097117A" w:rsidRPr="002F6ABB">
              <w:rPr>
                <w:sz w:val="20"/>
                <w:szCs w:val="20"/>
              </w:rPr>
              <w:t>Following the floods in April</w:t>
            </w:r>
            <w:r w:rsidRPr="002F6ABB">
              <w:rPr>
                <w:sz w:val="20"/>
                <w:szCs w:val="20"/>
              </w:rPr>
              <w:t xml:space="preserve"> 2021</w:t>
            </w:r>
            <w:r w:rsidR="0097117A" w:rsidRPr="002F6ABB">
              <w:rPr>
                <w:sz w:val="20"/>
                <w:szCs w:val="20"/>
              </w:rPr>
              <w:t xml:space="preserve">, </w:t>
            </w:r>
            <w:r w:rsidRPr="002F6ABB">
              <w:rPr>
                <w:sz w:val="20"/>
                <w:szCs w:val="20"/>
              </w:rPr>
              <w:t xml:space="preserve">supported the </w:t>
            </w:r>
            <w:r w:rsidR="0097117A" w:rsidRPr="002F6ABB">
              <w:rPr>
                <w:sz w:val="20"/>
                <w:szCs w:val="20"/>
              </w:rPr>
              <w:t>install</w:t>
            </w:r>
            <w:r w:rsidRPr="002F6ABB">
              <w:rPr>
                <w:sz w:val="20"/>
                <w:szCs w:val="20"/>
              </w:rPr>
              <w:t>ation of</w:t>
            </w:r>
            <w:r w:rsidR="0097117A" w:rsidRPr="002F6ABB">
              <w:rPr>
                <w:sz w:val="20"/>
                <w:szCs w:val="20"/>
              </w:rPr>
              <w:t xml:space="preserve"> 111 water tanks in evacuation centres and delivered around 23 million litres of potable water. At the peak of the </w:t>
            </w:r>
            <w:r w:rsidR="008C7997" w:rsidRPr="002F6ABB">
              <w:rPr>
                <w:sz w:val="20"/>
                <w:szCs w:val="20"/>
              </w:rPr>
              <w:t xml:space="preserve">flood </w:t>
            </w:r>
            <w:r w:rsidR="0097117A" w:rsidRPr="002F6ABB">
              <w:rPr>
                <w:sz w:val="20"/>
                <w:szCs w:val="20"/>
              </w:rPr>
              <w:t xml:space="preserve">response, </w:t>
            </w:r>
            <w:r w:rsidRPr="002F6ABB">
              <w:rPr>
                <w:sz w:val="20"/>
                <w:szCs w:val="20"/>
              </w:rPr>
              <w:t>supported the daily supply of</w:t>
            </w:r>
            <w:r w:rsidR="0097117A" w:rsidRPr="002F6ABB">
              <w:rPr>
                <w:sz w:val="20"/>
                <w:szCs w:val="20"/>
              </w:rPr>
              <w:t xml:space="preserve"> around 400,000 litres of water to communities.</w:t>
            </w:r>
          </w:p>
        </w:tc>
      </w:tr>
      <w:tr w:rsidR="00AC1BA9" w14:paraId="46147A54" w14:textId="77777777" w:rsidTr="007A4493">
        <w:trPr>
          <w:tblHeader/>
        </w:trPr>
        <w:tc>
          <w:tcPr>
            <w:tcW w:w="4390" w:type="dxa"/>
          </w:tcPr>
          <w:p w14:paraId="418259EF" w14:textId="6A9D797F" w:rsidR="00AC1BA9" w:rsidRPr="002F6ABB" w:rsidRDefault="00AC1BA9" w:rsidP="00AC1BA9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service delivery units (</w:t>
            </w:r>
            <w:proofErr w:type="gramStart"/>
            <w:r w:rsidRPr="002F6ABB">
              <w:rPr>
                <w:sz w:val="20"/>
                <w:szCs w:val="20"/>
              </w:rPr>
              <w:t>e.g.</w:t>
            </w:r>
            <w:proofErr w:type="gramEnd"/>
            <w:r w:rsidRPr="002F6ABB">
              <w:rPr>
                <w:sz w:val="20"/>
                <w:szCs w:val="20"/>
              </w:rPr>
              <w:t xml:space="preserve"> schools, health clinics) with improved water and sanitation</w:t>
            </w:r>
          </w:p>
        </w:tc>
        <w:tc>
          <w:tcPr>
            <w:tcW w:w="6146" w:type="dxa"/>
          </w:tcPr>
          <w:p w14:paraId="40C0F8C5" w14:textId="084D7ABA" w:rsidR="00AC1BA9" w:rsidRPr="002F6ABB" w:rsidRDefault="00AC1BA9" w:rsidP="00AC1BA9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 one school with improved water and sanitation.</w:t>
            </w:r>
          </w:p>
        </w:tc>
      </w:tr>
      <w:tr w:rsidR="006E246C" w14:paraId="2649C7F6" w14:textId="77777777" w:rsidTr="007A4493">
        <w:trPr>
          <w:tblHeader/>
        </w:trPr>
        <w:tc>
          <w:tcPr>
            <w:tcW w:w="4390" w:type="dxa"/>
          </w:tcPr>
          <w:p w14:paraId="25D6E0EE" w14:textId="1C747630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Examples of greater inclusion of nutrition in policies and programs</w:t>
            </w:r>
          </w:p>
        </w:tc>
        <w:tc>
          <w:tcPr>
            <w:tcW w:w="6146" w:type="dxa"/>
          </w:tcPr>
          <w:p w14:paraId="3F7FD637" w14:textId="37692267" w:rsidR="006E246C" w:rsidRPr="002F6ABB" w:rsidRDefault="002325A1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</w:t>
            </w:r>
            <w:r w:rsidR="00D715B6" w:rsidRPr="002F6ABB">
              <w:rPr>
                <w:sz w:val="20"/>
                <w:szCs w:val="20"/>
              </w:rPr>
              <w:t xml:space="preserve">upported the Ministry of Agriculture and Fisheries (MAF) to reinforce </w:t>
            </w:r>
            <w:r w:rsidR="00ED131A" w:rsidRPr="002F6ABB">
              <w:rPr>
                <w:sz w:val="20"/>
                <w:szCs w:val="20"/>
              </w:rPr>
              <w:t>n</w:t>
            </w:r>
            <w:r w:rsidR="00D715B6" w:rsidRPr="002F6ABB">
              <w:rPr>
                <w:sz w:val="20"/>
                <w:szCs w:val="20"/>
              </w:rPr>
              <w:t>utrition-</w:t>
            </w:r>
            <w:r w:rsidR="00ED131A" w:rsidRPr="002F6ABB">
              <w:rPr>
                <w:sz w:val="20"/>
                <w:szCs w:val="20"/>
              </w:rPr>
              <w:t>s</w:t>
            </w:r>
            <w:r w:rsidR="00D715B6" w:rsidRPr="002F6ABB">
              <w:rPr>
                <w:sz w:val="20"/>
                <w:szCs w:val="20"/>
              </w:rPr>
              <w:t xml:space="preserve">ensitive </w:t>
            </w:r>
            <w:r w:rsidR="00ED131A" w:rsidRPr="002F6ABB">
              <w:rPr>
                <w:sz w:val="20"/>
                <w:szCs w:val="20"/>
              </w:rPr>
              <w:t>a</w:t>
            </w:r>
            <w:r w:rsidR="00D715B6" w:rsidRPr="002F6ABB">
              <w:rPr>
                <w:sz w:val="20"/>
                <w:szCs w:val="20"/>
              </w:rPr>
              <w:t xml:space="preserve">griculture (NSA) approaches in policy and programming. MAF now leads </w:t>
            </w:r>
            <w:r w:rsidR="00ED131A" w:rsidRPr="002F6ABB">
              <w:rPr>
                <w:sz w:val="20"/>
                <w:szCs w:val="20"/>
              </w:rPr>
              <w:t xml:space="preserve">NSA curriculum delivery to agriculture extension workers </w:t>
            </w:r>
            <w:r w:rsidR="00D715B6" w:rsidRPr="002F6ABB">
              <w:rPr>
                <w:sz w:val="20"/>
                <w:szCs w:val="20"/>
              </w:rPr>
              <w:t xml:space="preserve">and </w:t>
            </w:r>
            <w:r w:rsidR="00ED131A" w:rsidRPr="002F6ABB">
              <w:rPr>
                <w:sz w:val="20"/>
                <w:szCs w:val="20"/>
              </w:rPr>
              <w:t xml:space="preserve">has </w:t>
            </w:r>
            <w:r w:rsidR="00D715B6" w:rsidRPr="002F6ABB">
              <w:rPr>
                <w:sz w:val="20"/>
                <w:szCs w:val="20"/>
              </w:rPr>
              <w:t>fund</w:t>
            </w:r>
            <w:r w:rsidR="00ED131A" w:rsidRPr="002F6ABB">
              <w:rPr>
                <w:sz w:val="20"/>
                <w:szCs w:val="20"/>
              </w:rPr>
              <w:t>ed its</w:t>
            </w:r>
            <w:r w:rsidR="00D715B6" w:rsidRPr="002F6ABB">
              <w:rPr>
                <w:sz w:val="20"/>
                <w:szCs w:val="20"/>
              </w:rPr>
              <w:t xml:space="preserve"> expansion </w:t>
            </w:r>
            <w:r w:rsidR="00ED131A" w:rsidRPr="002F6ABB">
              <w:rPr>
                <w:sz w:val="20"/>
                <w:szCs w:val="20"/>
              </w:rPr>
              <w:t xml:space="preserve">to other municipalities. </w:t>
            </w:r>
            <w:r w:rsidR="00190692" w:rsidRPr="002F6ABB">
              <w:rPr>
                <w:sz w:val="20"/>
                <w:szCs w:val="20"/>
              </w:rPr>
              <w:t>MAF also</w:t>
            </w:r>
            <w:r w:rsidR="00D715B6" w:rsidRPr="002F6ABB">
              <w:rPr>
                <w:sz w:val="20"/>
                <w:szCs w:val="20"/>
              </w:rPr>
              <w:t xml:space="preserve"> </w:t>
            </w:r>
            <w:r w:rsidR="00584BF9" w:rsidRPr="002F6ABB">
              <w:rPr>
                <w:sz w:val="20"/>
                <w:szCs w:val="20"/>
              </w:rPr>
              <w:t>support</w:t>
            </w:r>
            <w:r w:rsidR="00D04807" w:rsidRPr="002F6ABB">
              <w:rPr>
                <w:sz w:val="20"/>
                <w:szCs w:val="20"/>
              </w:rPr>
              <w:t>ed</w:t>
            </w:r>
            <w:r w:rsidR="00584BF9" w:rsidRPr="002F6ABB">
              <w:rPr>
                <w:sz w:val="20"/>
                <w:szCs w:val="20"/>
              </w:rPr>
              <w:t xml:space="preserve"> </w:t>
            </w:r>
            <w:r w:rsidR="00D715B6" w:rsidRPr="002F6ABB">
              <w:rPr>
                <w:sz w:val="20"/>
                <w:szCs w:val="20"/>
              </w:rPr>
              <w:t xml:space="preserve">the </w:t>
            </w:r>
            <w:r w:rsidR="00ED131A" w:rsidRPr="002F6ABB">
              <w:rPr>
                <w:sz w:val="20"/>
                <w:szCs w:val="20"/>
              </w:rPr>
              <w:t>m</w:t>
            </w:r>
            <w:r w:rsidR="00D715B6" w:rsidRPr="002F6ABB">
              <w:rPr>
                <w:sz w:val="20"/>
                <w:szCs w:val="20"/>
              </w:rPr>
              <w:t>inistr</w:t>
            </w:r>
            <w:r w:rsidR="00ED131A" w:rsidRPr="002F6ABB">
              <w:rPr>
                <w:sz w:val="20"/>
                <w:szCs w:val="20"/>
              </w:rPr>
              <w:t>ies</w:t>
            </w:r>
            <w:r w:rsidR="00D715B6" w:rsidRPr="002F6ABB">
              <w:rPr>
                <w:sz w:val="20"/>
                <w:szCs w:val="20"/>
              </w:rPr>
              <w:t xml:space="preserve"> of </w:t>
            </w:r>
            <w:r w:rsidR="00ED131A" w:rsidRPr="002F6ABB">
              <w:rPr>
                <w:sz w:val="20"/>
                <w:szCs w:val="20"/>
              </w:rPr>
              <w:t xml:space="preserve">health </w:t>
            </w:r>
            <w:r w:rsidR="00D715B6" w:rsidRPr="002F6ABB">
              <w:rPr>
                <w:sz w:val="20"/>
                <w:szCs w:val="20"/>
              </w:rPr>
              <w:t xml:space="preserve">and </w:t>
            </w:r>
            <w:r w:rsidR="00ED131A" w:rsidRPr="002F6ABB">
              <w:rPr>
                <w:sz w:val="20"/>
                <w:szCs w:val="20"/>
              </w:rPr>
              <w:t>e</w:t>
            </w:r>
            <w:r w:rsidR="00D715B6" w:rsidRPr="002F6ABB">
              <w:rPr>
                <w:sz w:val="20"/>
                <w:szCs w:val="20"/>
              </w:rPr>
              <w:t>ducation to tailor the NSA curriculum for other sectors.</w:t>
            </w:r>
          </w:p>
        </w:tc>
      </w:tr>
    </w:tbl>
    <w:p w14:paraId="08BBE344" w14:textId="6BCC6A36" w:rsidR="00AE2B7B" w:rsidRPr="00247C44" w:rsidRDefault="00AE2B7B" w:rsidP="00B865A7">
      <w:pPr>
        <w:pStyle w:val="Heading3"/>
      </w:pPr>
      <w:r w:rsidRPr="00247C44">
        <w:lastRenderedPageBreak/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4390"/>
        <w:gridCol w:w="6146"/>
      </w:tblGrid>
      <w:tr w:rsidR="00CA5021" w14:paraId="14EF210E" w14:textId="77777777" w:rsidTr="007A4493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47014330" w14:textId="7A7E2C4C" w:rsidR="00CA5021" w:rsidRPr="005736BB" w:rsidRDefault="00A96364" w:rsidP="00AD0ACE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</w:t>
            </w:r>
            <w:r w:rsidR="00CA5021" w:rsidRPr="005736BB">
              <w:rPr>
                <w:b/>
                <w:sz w:val="20"/>
                <w:szCs w:val="20"/>
              </w:rPr>
              <w:t xml:space="preserve"> 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167B5817" w14:textId="6DB7E03D" w:rsidR="00CA5021" w:rsidRPr="005736BB" w:rsidRDefault="00AD19F7" w:rsidP="00AD0ACE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6E246C" w14:paraId="593A8551" w14:textId="77777777" w:rsidTr="007A4493">
        <w:trPr>
          <w:tblHeader/>
        </w:trPr>
        <w:tc>
          <w:tcPr>
            <w:tcW w:w="4390" w:type="dxa"/>
          </w:tcPr>
          <w:p w14:paraId="2AA59D1C" w14:textId="7AA363E2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people (M/F and people with a disability) reached with new or improved social protection programs</w:t>
            </w:r>
            <w:r w:rsidRPr="002F6ABB">
              <w:rPr>
                <w:sz w:val="20"/>
                <w:szCs w:val="20"/>
              </w:rPr>
              <w:tab/>
            </w:r>
          </w:p>
        </w:tc>
        <w:tc>
          <w:tcPr>
            <w:tcW w:w="6146" w:type="dxa"/>
          </w:tcPr>
          <w:p w14:paraId="2E8902BB" w14:textId="3F562FE7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 xml:space="preserve">1,061,348 people </w:t>
            </w:r>
            <w:r w:rsidRPr="002F6ABB">
              <w:rPr>
                <w:sz w:val="20"/>
                <w:szCs w:val="20"/>
              </w:rPr>
              <w:t>with</w:t>
            </w:r>
            <w:r w:rsidR="006E246C" w:rsidRPr="002F6ABB">
              <w:rPr>
                <w:sz w:val="20"/>
                <w:szCs w:val="20"/>
              </w:rPr>
              <w:t xml:space="preserve"> </w:t>
            </w:r>
            <w:r w:rsidR="00190692" w:rsidRPr="002F6ABB">
              <w:rPr>
                <w:sz w:val="20"/>
                <w:szCs w:val="20"/>
              </w:rPr>
              <w:t>h</w:t>
            </w:r>
            <w:r w:rsidR="006E246C" w:rsidRPr="002F6ABB">
              <w:rPr>
                <w:sz w:val="20"/>
                <w:szCs w:val="20"/>
              </w:rPr>
              <w:t>ousehold payment</w:t>
            </w:r>
            <w:r w:rsidRPr="002F6ABB">
              <w:rPr>
                <w:sz w:val="20"/>
                <w:szCs w:val="20"/>
              </w:rPr>
              <w:t xml:space="preserve">s. </w:t>
            </w:r>
            <w:r w:rsidR="00DD2E40" w:rsidRPr="002F6ABB">
              <w:rPr>
                <w:sz w:val="20"/>
                <w:szCs w:val="20"/>
              </w:rPr>
              <w:t>Sex disaggregated data is not available.</w:t>
            </w:r>
          </w:p>
        </w:tc>
      </w:tr>
      <w:tr w:rsidR="006E246C" w14:paraId="60B5EA9F" w14:textId="77777777" w:rsidTr="007A4493">
        <w:trPr>
          <w:tblHeader/>
        </w:trPr>
        <w:tc>
          <w:tcPr>
            <w:tcW w:w="4390" w:type="dxa"/>
          </w:tcPr>
          <w:p w14:paraId="1E2BFB48" w14:textId="61B51E96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services provided to women and children experiencing violence (target 8,700)</w:t>
            </w:r>
          </w:p>
        </w:tc>
        <w:tc>
          <w:tcPr>
            <w:tcW w:w="6146" w:type="dxa"/>
          </w:tcPr>
          <w:p w14:paraId="1853C4E9" w14:textId="2A1CE087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 xml:space="preserve">9,132 </w:t>
            </w:r>
            <w:r w:rsidR="00A43699" w:rsidRPr="002F6ABB">
              <w:rPr>
                <w:sz w:val="20"/>
                <w:szCs w:val="20"/>
              </w:rPr>
              <w:t xml:space="preserve">women and </w:t>
            </w:r>
            <w:proofErr w:type="gramStart"/>
            <w:r w:rsidR="00A43699" w:rsidRPr="002F6ABB">
              <w:rPr>
                <w:sz w:val="20"/>
                <w:szCs w:val="20"/>
              </w:rPr>
              <w:t>children</w:t>
            </w:r>
            <w:proofErr w:type="gramEnd"/>
            <w:r w:rsidRPr="002F6ABB">
              <w:rPr>
                <w:sz w:val="20"/>
                <w:szCs w:val="20"/>
              </w:rPr>
              <w:t xml:space="preserve"> victims of gender</w:t>
            </w:r>
            <w:r w:rsidR="00400A18">
              <w:rPr>
                <w:sz w:val="20"/>
                <w:szCs w:val="20"/>
              </w:rPr>
              <w:t>-</w:t>
            </w:r>
            <w:r w:rsidRPr="002F6ABB">
              <w:rPr>
                <w:sz w:val="20"/>
                <w:szCs w:val="20"/>
              </w:rPr>
              <w:t>based violence to access support services.</w:t>
            </w:r>
            <w:r w:rsidR="00A43699" w:rsidRPr="002F6ABB">
              <w:rPr>
                <w:sz w:val="20"/>
                <w:szCs w:val="20"/>
              </w:rPr>
              <w:t xml:space="preserve"> </w:t>
            </w:r>
          </w:p>
        </w:tc>
      </w:tr>
      <w:tr w:rsidR="00392750" w14:paraId="7BF5EF03" w14:textId="77777777" w:rsidTr="007A4493">
        <w:trPr>
          <w:tblHeader/>
        </w:trPr>
        <w:tc>
          <w:tcPr>
            <w:tcW w:w="4390" w:type="dxa"/>
          </w:tcPr>
          <w:p w14:paraId="0A12DB99" w14:textId="4690EF89" w:rsidR="00392750" w:rsidRPr="002F6ABB" w:rsidRDefault="00392750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women and girl survivors of violence receiving services such as counselling</w:t>
            </w:r>
            <w:r w:rsidR="00ED0A43" w:rsidRPr="002F6ABB">
              <w:rPr>
                <w:sz w:val="20"/>
                <w:szCs w:val="20"/>
              </w:rPr>
              <w:t>*</w:t>
            </w:r>
            <w:r w:rsidRPr="002F6A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6" w:type="dxa"/>
          </w:tcPr>
          <w:p w14:paraId="107F3A8D" w14:textId="3A703753" w:rsidR="00392750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392750" w:rsidRPr="002F6ABB">
              <w:rPr>
                <w:sz w:val="20"/>
                <w:szCs w:val="20"/>
              </w:rPr>
              <w:t xml:space="preserve">1,743 </w:t>
            </w:r>
            <w:r w:rsidR="00A43699" w:rsidRPr="002F6ABB">
              <w:rPr>
                <w:sz w:val="20"/>
                <w:szCs w:val="20"/>
              </w:rPr>
              <w:t xml:space="preserve">women and girl survivors of violence </w:t>
            </w:r>
            <w:r w:rsidRPr="002F6ABB">
              <w:rPr>
                <w:sz w:val="20"/>
                <w:szCs w:val="20"/>
              </w:rPr>
              <w:t xml:space="preserve">to received </w:t>
            </w:r>
            <w:r w:rsidR="00A43699" w:rsidRPr="002F6ABB">
              <w:rPr>
                <w:sz w:val="20"/>
                <w:szCs w:val="20"/>
              </w:rPr>
              <w:t>services such as counselling</w:t>
            </w:r>
            <w:r w:rsidR="00190692" w:rsidRPr="002F6ABB">
              <w:rPr>
                <w:sz w:val="20"/>
                <w:szCs w:val="20"/>
              </w:rPr>
              <w:t>.</w:t>
            </w:r>
            <w:r w:rsidR="00A43699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3AFC1D44" w14:textId="77777777" w:rsidTr="007A4493">
        <w:trPr>
          <w:tblHeader/>
        </w:trPr>
        <w:tc>
          <w:tcPr>
            <w:tcW w:w="4390" w:type="dxa"/>
          </w:tcPr>
          <w:p w14:paraId="2EA239DE" w14:textId="64EEB655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people reached by activities to prevent violence against women and children (target 1,100)</w:t>
            </w:r>
          </w:p>
        </w:tc>
        <w:tc>
          <w:tcPr>
            <w:tcW w:w="6146" w:type="dxa"/>
          </w:tcPr>
          <w:p w14:paraId="2092CE2B" w14:textId="1248B5C9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 xml:space="preserve">1,895 </w:t>
            </w:r>
            <w:r w:rsidR="00A43699" w:rsidRPr="002F6ABB">
              <w:rPr>
                <w:sz w:val="20"/>
                <w:szCs w:val="20"/>
              </w:rPr>
              <w:t>people</w:t>
            </w:r>
            <w:r w:rsidRPr="002F6ABB">
              <w:rPr>
                <w:sz w:val="20"/>
                <w:szCs w:val="20"/>
              </w:rPr>
              <w:t xml:space="preserve"> (1,046 women and 849 men) with</w:t>
            </w:r>
            <w:r w:rsidR="00A43699" w:rsidRPr="002F6ABB">
              <w:rPr>
                <w:sz w:val="20"/>
                <w:szCs w:val="20"/>
              </w:rPr>
              <w:t xml:space="preserve"> activities to prevent violence against women and children</w:t>
            </w:r>
            <w:r w:rsidRPr="002F6ABB">
              <w:rPr>
                <w:sz w:val="20"/>
                <w:szCs w:val="20"/>
              </w:rPr>
              <w:t xml:space="preserve">. </w:t>
            </w:r>
          </w:p>
        </w:tc>
      </w:tr>
      <w:tr w:rsidR="006E246C" w14:paraId="5ACE87A0" w14:textId="77777777" w:rsidTr="007A4493">
        <w:trPr>
          <w:tblHeader/>
        </w:trPr>
        <w:tc>
          <w:tcPr>
            <w:tcW w:w="4390" w:type="dxa"/>
          </w:tcPr>
          <w:p w14:paraId="74FB84C7" w14:textId="289C6CD4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Examples of policy and technical advice on building capacity for food security</w:t>
            </w:r>
          </w:p>
        </w:tc>
        <w:tc>
          <w:tcPr>
            <w:tcW w:w="6146" w:type="dxa"/>
          </w:tcPr>
          <w:p w14:paraId="7021C6A4" w14:textId="0B9D73C9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In partnership</w:t>
            </w:r>
            <w:r w:rsidR="00495036" w:rsidRPr="002F6ABB">
              <w:rPr>
                <w:sz w:val="20"/>
                <w:szCs w:val="20"/>
              </w:rPr>
              <w:t xml:space="preserve"> with </w:t>
            </w:r>
            <w:r w:rsidR="00190692" w:rsidRPr="002F6ABB">
              <w:rPr>
                <w:sz w:val="20"/>
                <w:szCs w:val="20"/>
              </w:rPr>
              <w:t>the Ministry of Agriculture</w:t>
            </w:r>
            <w:r w:rsidR="00495036" w:rsidRPr="002F6ABB">
              <w:rPr>
                <w:sz w:val="20"/>
                <w:szCs w:val="20"/>
              </w:rPr>
              <w:t xml:space="preserve">, </w:t>
            </w:r>
            <w:r w:rsidRPr="002F6ABB">
              <w:rPr>
                <w:sz w:val="20"/>
                <w:szCs w:val="20"/>
              </w:rPr>
              <w:t xml:space="preserve">supported </w:t>
            </w:r>
            <w:r w:rsidR="00495036" w:rsidRPr="002F6ABB">
              <w:rPr>
                <w:sz w:val="20"/>
                <w:szCs w:val="20"/>
              </w:rPr>
              <w:t xml:space="preserve">a </w:t>
            </w:r>
            <w:r w:rsidRPr="002F6ABB">
              <w:rPr>
                <w:sz w:val="20"/>
                <w:szCs w:val="20"/>
              </w:rPr>
              <w:t xml:space="preserve">successful </w:t>
            </w:r>
            <w:r w:rsidR="00495036" w:rsidRPr="002F6ABB">
              <w:rPr>
                <w:sz w:val="20"/>
                <w:szCs w:val="20"/>
              </w:rPr>
              <w:t>campaign to raise awareness</w:t>
            </w:r>
            <w:r w:rsidRPr="002F6ABB">
              <w:rPr>
                <w:sz w:val="20"/>
                <w:szCs w:val="20"/>
              </w:rPr>
              <w:t xml:space="preserve"> with 44,000 farming adults</w:t>
            </w:r>
            <w:r w:rsidR="00495036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 xml:space="preserve">on </w:t>
            </w:r>
            <w:r w:rsidR="00495036" w:rsidRPr="002F6ABB">
              <w:rPr>
                <w:sz w:val="20"/>
                <w:szCs w:val="20"/>
              </w:rPr>
              <w:t>African Swine Fever</w:t>
            </w:r>
            <w:r w:rsidRPr="002F6ABB">
              <w:rPr>
                <w:sz w:val="20"/>
                <w:szCs w:val="20"/>
              </w:rPr>
              <w:t>. The campaign changed</w:t>
            </w:r>
            <w:r w:rsidR="00191A8C" w:rsidRPr="002F6ABB">
              <w:rPr>
                <w:sz w:val="20"/>
                <w:szCs w:val="20"/>
              </w:rPr>
              <w:t xml:space="preserve"> farmers’ behaviour and reduc</w:t>
            </w:r>
            <w:r w:rsidRPr="002F6ABB">
              <w:rPr>
                <w:sz w:val="20"/>
                <w:szCs w:val="20"/>
              </w:rPr>
              <w:t>ed</w:t>
            </w:r>
            <w:r w:rsidR="00191A8C" w:rsidRPr="002F6ABB">
              <w:rPr>
                <w:sz w:val="20"/>
                <w:szCs w:val="20"/>
              </w:rPr>
              <w:t xml:space="preserve"> pig deaths. </w:t>
            </w:r>
          </w:p>
        </w:tc>
      </w:tr>
      <w:tr w:rsidR="006E246C" w14:paraId="38F8DE37" w14:textId="77777777" w:rsidTr="007A4493">
        <w:trPr>
          <w:tblHeader/>
        </w:trPr>
        <w:tc>
          <w:tcPr>
            <w:tcW w:w="4390" w:type="dxa"/>
          </w:tcPr>
          <w:p w14:paraId="4035DD51" w14:textId="44AAE020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people (M/F) trained in improved agricultural practices (target 3,300)</w:t>
            </w:r>
          </w:p>
        </w:tc>
        <w:tc>
          <w:tcPr>
            <w:tcW w:w="6146" w:type="dxa"/>
          </w:tcPr>
          <w:p w14:paraId="6D783E3F" w14:textId="398BA89D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the training of </w:t>
            </w:r>
            <w:r w:rsidR="006E246C" w:rsidRPr="002F6ABB">
              <w:rPr>
                <w:sz w:val="20"/>
                <w:szCs w:val="20"/>
              </w:rPr>
              <w:t xml:space="preserve">2,501 </w:t>
            </w:r>
            <w:r w:rsidR="00A43699" w:rsidRPr="002F6ABB">
              <w:rPr>
                <w:sz w:val="20"/>
                <w:szCs w:val="20"/>
              </w:rPr>
              <w:t>people</w:t>
            </w:r>
            <w:r w:rsidRPr="002F6ABB">
              <w:rPr>
                <w:sz w:val="20"/>
                <w:szCs w:val="20"/>
              </w:rPr>
              <w:t xml:space="preserve"> (1,547 men and 954</w:t>
            </w:r>
            <w:r w:rsidR="00180978" w:rsidRPr="002F6ABB">
              <w:rPr>
                <w:sz w:val="20"/>
                <w:szCs w:val="20"/>
              </w:rPr>
              <w:t xml:space="preserve"> women</w:t>
            </w:r>
            <w:r w:rsidRPr="002F6ABB">
              <w:rPr>
                <w:sz w:val="20"/>
                <w:szCs w:val="20"/>
              </w:rPr>
              <w:t xml:space="preserve"> on</w:t>
            </w:r>
            <w:r w:rsidR="00A43699" w:rsidRPr="002F6ABB">
              <w:rPr>
                <w:sz w:val="20"/>
                <w:szCs w:val="20"/>
              </w:rPr>
              <w:t xml:space="preserve"> improved agricultural practices</w:t>
            </w:r>
            <w:r w:rsidRPr="002F6ABB">
              <w:rPr>
                <w:sz w:val="20"/>
                <w:szCs w:val="20"/>
              </w:rPr>
              <w:t xml:space="preserve">. </w:t>
            </w:r>
            <w:r w:rsidR="006E0239" w:rsidRPr="002F6ABB">
              <w:rPr>
                <w:sz w:val="20"/>
                <w:szCs w:val="20"/>
              </w:rPr>
              <w:t>Public health measures implemented by the Timor-Leste government to reduce the spread of COVID-19 impacted the delivery of agriculture</w:t>
            </w:r>
            <w:r w:rsidR="00EC291B" w:rsidRPr="002F6ABB">
              <w:rPr>
                <w:sz w:val="20"/>
                <w:szCs w:val="20"/>
              </w:rPr>
              <w:t>-</w:t>
            </w:r>
            <w:r w:rsidR="006E0239" w:rsidRPr="002F6ABB">
              <w:rPr>
                <w:sz w:val="20"/>
                <w:szCs w:val="20"/>
              </w:rPr>
              <w:t>related training.</w:t>
            </w:r>
          </w:p>
        </w:tc>
      </w:tr>
      <w:tr w:rsidR="006E246C" w14:paraId="0556A95D" w14:textId="77777777" w:rsidTr="007A4493">
        <w:trPr>
          <w:tblHeader/>
        </w:trPr>
        <w:tc>
          <w:tcPr>
            <w:tcW w:w="4390" w:type="dxa"/>
          </w:tcPr>
          <w:p w14:paraId="62F5276A" w14:textId="6B175F7A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bookmarkStart w:id="9" w:name="_Hlk86670668"/>
            <w:r w:rsidRPr="002F6ABB">
              <w:rPr>
                <w:sz w:val="20"/>
                <w:szCs w:val="20"/>
              </w:rPr>
              <w:t xml:space="preserve">Number of security and border officials (M/F) reached and trained in coordination, </w:t>
            </w:r>
            <w:proofErr w:type="gramStart"/>
            <w:r w:rsidRPr="002F6ABB">
              <w:rPr>
                <w:sz w:val="20"/>
                <w:szCs w:val="20"/>
              </w:rPr>
              <w:t>preparedness</w:t>
            </w:r>
            <w:proofErr w:type="gramEnd"/>
            <w:r w:rsidRPr="002F6ABB">
              <w:rPr>
                <w:sz w:val="20"/>
                <w:szCs w:val="20"/>
              </w:rPr>
              <w:t xml:space="preserve"> and response</w:t>
            </w:r>
          </w:p>
        </w:tc>
        <w:tc>
          <w:tcPr>
            <w:tcW w:w="6146" w:type="dxa"/>
          </w:tcPr>
          <w:p w14:paraId="71F5FF79" w14:textId="4133586A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training for </w:t>
            </w:r>
            <w:r w:rsidR="006E246C" w:rsidRPr="002F6ABB">
              <w:rPr>
                <w:sz w:val="20"/>
                <w:szCs w:val="20"/>
              </w:rPr>
              <w:t xml:space="preserve">224 </w:t>
            </w:r>
            <w:r w:rsidR="00A43699" w:rsidRPr="002F6ABB">
              <w:rPr>
                <w:sz w:val="20"/>
                <w:szCs w:val="20"/>
              </w:rPr>
              <w:t>security and border officials</w:t>
            </w:r>
            <w:r w:rsidRPr="002F6ABB">
              <w:rPr>
                <w:sz w:val="20"/>
                <w:szCs w:val="20"/>
              </w:rPr>
              <w:t xml:space="preserve"> (143 men and 81 women) on </w:t>
            </w:r>
            <w:r w:rsidR="00A43699" w:rsidRPr="002F6ABB">
              <w:rPr>
                <w:sz w:val="20"/>
                <w:szCs w:val="20"/>
              </w:rPr>
              <w:t xml:space="preserve">coordination, </w:t>
            </w:r>
            <w:proofErr w:type="gramStart"/>
            <w:r w:rsidR="00A43699" w:rsidRPr="002F6ABB">
              <w:rPr>
                <w:sz w:val="20"/>
                <w:szCs w:val="20"/>
              </w:rPr>
              <w:t>preparedness</w:t>
            </w:r>
            <w:proofErr w:type="gramEnd"/>
            <w:r w:rsidR="00A43699" w:rsidRPr="002F6ABB">
              <w:rPr>
                <w:sz w:val="20"/>
                <w:szCs w:val="20"/>
              </w:rPr>
              <w:t xml:space="preserve"> and </w:t>
            </w:r>
            <w:r w:rsidRPr="002F6ABB">
              <w:rPr>
                <w:sz w:val="20"/>
                <w:szCs w:val="20"/>
              </w:rPr>
              <w:t xml:space="preserve">response. </w:t>
            </w:r>
          </w:p>
        </w:tc>
      </w:tr>
      <w:bookmarkEnd w:id="9"/>
      <w:tr w:rsidR="006E246C" w14:paraId="5DF0BAD4" w14:textId="77777777" w:rsidTr="007A4493">
        <w:trPr>
          <w:tblHeader/>
        </w:trPr>
        <w:tc>
          <w:tcPr>
            <w:tcW w:w="4390" w:type="dxa"/>
          </w:tcPr>
          <w:p w14:paraId="476782F7" w14:textId="0735977E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people (M/F) involved in community-based decision-making in local infrastructure (target 7,600)</w:t>
            </w:r>
          </w:p>
        </w:tc>
        <w:tc>
          <w:tcPr>
            <w:tcW w:w="6146" w:type="dxa"/>
          </w:tcPr>
          <w:p w14:paraId="69182282" w14:textId="68B44F51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 xml:space="preserve">17,002 </w:t>
            </w:r>
            <w:r w:rsidR="00A43699" w:rsidRPr="002F6ABB">
              <w:rPr>
                <w:sz w:val="20"/>
                <w:szCs w:val="20"/>
              </w:rPr>
              <w:t>people</w:t>
            </w:r>
            <w:r w:rsidRPr="002F6ABB">
              <w:rPr>
                <w:sz w:val="20"/>
                <w:szCs w:val="20"/>
              </w:rPr>
              <w:t xml:space="preserve"> (11,343 men and 5,659 women) to be more</w:t>
            </w:r>
            <w:r w:rsidR="00A43699" w:rsidRPr="002F6ABB">
              <w:rPr>
                <w:sz w:val="20"/>
                <w:szCs w:val="20"/>
              </w:rPr>
              <w:t xml:space="preserve"> involved in community-based decision-making</w:t>
            </w:r>
            <w:r w:rsidRPr="002F6ABB">
              <w:rPr>
                <w:sz w:val="20"/>
                <w:szCs w:val="20"/>
              </w:rPr>
              <w:t xml:space="preserve">. </w:t>
            </w:r>
            <w:r w:rsidR="00A43699" w:rsidRPr="002F6ABB">
              <w:rPr>
                <w:sz w:val="20"/>
                <w:szCs w:val="20"/>
              </w:rPr>
              <w:t xml:space="preserve">This included 124 people </w:t>
            </w:r>
            <w:r w:rsidRPr="002F6ABB">
              <w:rPr>
                <w:sz w:val="20"/>
                <w:szCs w:val="20"/>
              </w:rPr>
              <w:t xml:space="preserve">living </w:t>
            </w:r>
            <w:r w:rsidR="00A43699" w:rsidRPr="002F6ABB">
              <w:rPr>
                <w:sz w:val="20"/>
                <w:szCs w:val="20"/>
              </w:rPr>
              <w:t xml:space="preserve">with </w:t>
            </w:r>
            <w:r w:rsidRPr="002F6ABB">
              <w:rPr>
                <w:sz w:val="20"/>
                <w:szCs w:val="20"/>
              </w:rPr>
              <w:t xml:space="preserve">a </w:t>
            </w:r>
            <w:r w:rsidR="00A43699" w:rsidRPr="002F6ABB">
              <w:rPr>
                <w:sz w:val="20"/>
                <w:szCs w:val="20"/>
              </w:rPr>
              <w:t>disability.</w:t>
            </w:r>
          </w:p>
        </w:tc>
      </w:tr>
      <w:tr w:rsidR="006E246C" w14:paraId="7E704FEB" w14:textId="77777777" w:rsidTr="007A4493">
        <w:trPr>
          <w:tblHeader/>
        </w:trPr>
        <w:tc>
          <w:tcPr>
            <w:tcW w:w="4390" w:type="dxa"/>
          </w:tcPr>
          <w:p w14:paraId="1CC2F0CD" w14:textId="3EB09CB0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Examples of strengthened governance systems (including in emergency preparedness and response)</w:t>
            </w:r>
          </w:p>
        </w:tc>
        <w:tc>
          <w:tcPr>
            <w:tcW w:w="6146" w:type="dxa"/>
          </w:tcPr>
          <w:p w14:paraId="7D9CAB9B" w14:textId="09560D7F" w:rsidR="006E246C" w:rsidRPr="002F6ABB" w:rsidRDefault="00D04807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</w:t>
            </w:r>
            <w:r w:rsidR="00191A8C" w:rsidRPr="002F6ABB">
              <w:rPr>
                <w:sz w:val="20"/>
                <w:szCs w:val="20"/>
              </w:rPr>
              <w:t xml:space="preserve"> the</w:t>
            </w:r>
            <w:r w:rsidRPr="002F6ABB">
              <w:rPr>
                <w:sz w:val="20"/>
                <w:szCs w:val="20"/>
              </w:rPr>
              <w:t xml:space="preserve"> inclusion of the </w:t>
            </w:r>
            <w:r w:rsidR="00191A8C" w:rsidRPr="002F6ABB">
              <w:rPr>
                <w:sz w:val="20"/>
                <w:szCs w:val="20"/>
              </w:rPr>
              <w:t>E</w:t>
            </w:r>
            <w:r w:rsidR="00FA011F" w:rsidRPr="002F6ABB">
              <w:rPr>
                <w:sz w:val="20"/>
                <w:szCs w:val="20"/>
              </w:rPr>
              <w:t xml:space="preserve">conomic </w:t>
            </w:r>
            <w:r w:rsidR="00191A8C" w:rsidRPr="002F6ABB">
              <w:rPr>
                <w:sz w:val="20"/>
                <w:szCs w:val="20"/>
              </w:rPr>
              <w:t>R</w:t>
            </w:r>
            <w:r w:rsidR="00FA011F" w:rsidRPr="002F6ABB">
              <w:rPr>
                <w:sz w:val="20"/>
                <w:szCs w:val="20"/>
              </w:rPr>
              <w:t xml:space="preserve">ecovery </w:t>
            </w:r>
            <w:r w:rsidR="00191A8C" w:rsidRPr="002F6ABB">
              <w:rPr>
                <w:sz w:val="20"/>
                <w:szCs w:val="20"/>
              </w:rPr>
              <w:t>P</w:t>
            </w:r>
            <w:r w:rsidR="00FA011F" w:rsidRPr="002F6ABB">
              <w:rPr>
                <w:sz w:val="20"/>
                <w:szCs w:val="20"/>
              </w:rPr>
              <w:t>lan</w:t>
            </w:r>
            <w:r w:rsidR="00E7793A" w:rsidRPr="002F6ABB">
              <w:rPr>
                <w:sz w:val="20"/>
                <w:szCs w:val="20"/>
              </w:rPr>
              <w:t xml:space="preserve"> (ERP)</w:t>
            </w:r>
            <w:r w:rsidR="00191A8C" w:rsidRPr="002F6ABB">
              <w:rPr>
                <w:sz w:val="20"/>
                <w:szCs w:val="20"/>
              </w:rPr>
              <w:t xml:space="preserve"> priorities in the 2021 General State Budge</w:t>
            </w:r>
            <w:r w:rsidRPr="002F6ABB">
              <w:rPr>
                <w:sz w:val="20"/>
                <w:szCs w:val="20"/>
              </w:rPr>
              <w:t xml:space="preserve">t. This resulted in an </w:t>
            </w:r>
            <w:r w:rsidR="00191A8C" w:rsidRPr="002F6ABB">
              <w:rPr>
                <w:sz w:val="20"/>
                <w:szCs w:val="20"/>
              </w:rPr>
              <w:t>estimated total allocation of USD12</w:t>
            </w:r>
            <w:r w:rsidR="001629F0" w:rsidRPr="002F6ABB">
              <w:rPr>
                <w:sz w:val="20"/>
                <w:szCs w:val="20"/>
              </w:rPr>
              <w:t>3</w:t>
            </w:r>
            <w:r w:rsidR="00190692" w:rsidRPr="002F6ABB">
              <w:rPr>
                <w:sz w:val="20"/>
                <w:szCs w:val="20"/>
              </w:rPr>
              <w:t xml:space="preserve"> million</w:t>
            </w:r>
            <w:r w:rsidR="00BF3D79" w:rsidRPr="002F6ABB">
              <w:rPr>
                <w:sz w:val="20"/>
                <w:szCs w:val="20"/>
              </w:rPr>
              <w:t xml:space="preserve"> (AUD169 million</w:t>
            </w:r>
            <w:r w:rsidR="00044ACF" w:rsidRPr="002F6ABB">
              <w:rPr>
                <w:sz w:val="20"/>
                <w:szCs w:val="20"/>
              </w:rPr>
              <w:t xml:space="preserve"> for ERP activities</w:t>
            </w:r>
            <w:r w:rsidR="006E43AE" w:rsidRPr="002F6ABB">
              <w:rPr>
                <w:sz w:val="20"/>
                <w:szCs w:val="20"/>
              </w:rPr>
              <w:t>)</w:t>
            </w:r>
            <w:r w:rsidR="00191A8C" w:rsidRPr="002F6ABB">
              <w:rPr>
                <w:sz w:val="20"/>
                <w:szCs w:val="20"/>
              </w:rPr>
              <w:t xml:space="preserve">. </w:t>
            </w:r>
            <w:r w:rsidR="00044ACF" w:rsidRPr="002F6ABB">
              <w:rPr>
                <w:sz w:val="20"/>
                <w:szCs w:val="20"/>
              </w:rPr>
              <w:t xml:space="preserve">Included ensuring </w:t>
            </w:r>
            <w:r w:rsidR="00E7793A" w:rsidRPr="002F6ABB">
              <w:rPr>
                <w:sz w:val="20"/>
                <w:szCs w:val="20"/>
              </w:rPr>
              <w:t>ERP measures</w:t>
            </w:r>
            <w:r w:rsidR="00191A8C" w:rsidRPr="002F6ABB">
              <w:rPr>
                <w:sz w:val="20"/>
                <w:szCs w:val="20"/>
              </w:rPr>
              <w:t xml:space="preserve"> were costed and included in the 2021 </w:t>
            </w:r>
            <w:r w:rsidR="00190692" w:rsidRPr="002F6ABB">
              <w:rPr>
                <w:sz w:val="20"/>
                <w:szCs w:val="20"/>
              </w:rPr>
              <w:t>b</w:t>
            </w:r>
            <w:r w:rsidR="00191A8C" w:rsidRPr="002F6ABB">
              <w:rPr>
                <w:sz w:val="20"/>
                <w:szCs w:val="20"/>
              </w:rPr>
              <w:t xml:space="preserve">udget to </w:t>
            </w:r>
            <w:r w:rsidR="00044ACF" w:rsidRPr="002F6ABB">
              <w:rPr>
                <w:sz w:val="20"/>
                <w:szCs w:val="20"/>
              </w:rPr>
              <w:t xml:space="preserve">safeguard </w:t>
            </w:r>
            <w:r w:rsidR="00191A8C" w:rsidRPr="002F6ABB">
              <w:rPr>
                <w:sz w:val="20"/>
                <w:szCs w:val="20"/>
              </w:rPr>
              <w:t>implementation.</w:t>
            </w:r>
          </w:p>
        </w:tc>
      </w:tr>
      <w:tr w:rsidR="00E7793A" w14:paraId="58FBD3B7" w14:textId="77777777" w:rsidTr="00373B7A">
        <w:trPr>
          <w:trHeight w:val="750"/>
          <w:tblHeader/>
        </w:trPr>
        <w:tc>
          <w:tcPr>
            <w:tcW w:w="4390" w:type="dxa"/>
          </w:tcPr>
          <w:p w14:paraId="2216BDDD" w14:textId="1506F27A" w:rsidR="00E7793A" w:rsidRPr="002F6ABB" w:rsidRDefault="00E7793A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Number of vulnerable women, men, </w:t>
            </w:r>
            <w:proofErr w:type="gramStart"/>
            <w:r w:rsidRPr="002F6ABB">
              <w:rPr>
                <w:sz w:val="20"/>
                <w:szCs w:val="20"/>
              </w:rPr>
              <w:t>girls</w:t>
            </w:r>
            <w:proofErr w:type="gramEnd"/>
            <w:r w:rsidRPr="002F6ABB">
              <w:rPr>
                <w:sz w:val="20"/>
                <w:szCs w:val="20"/>
              </w:rPr>
              <w:t xml:space="preserve"> and boys provided with emergency assistance in conflict and crisis situations</w:t>
            </w:r>
            <w:r w:rsidR="00ED0A43" w:rsidRPr="002F6ABB">
              <w:rPr>
                <w:sz w:val="20"/>
                <w:szCs w:val="20"/>
              </w:rPr>
              <w:t>*</w:t>
            </w:r>
            <w:r w:rsidRPr="002F6A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46" w:type="dxa"/>
          </w:tcPr>
          <w:p w14:paraId="5D7E7FDB" w14:textId="4922810E" w:rsidR="00E7793A" w:rsidRPr="002F6ABB" w:rsidRDefault="00044ACF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Following April 2021 floods, supported </w:t>
            </w:r>
            <w:r w:rsidR="00E7793A" w:rsidRPr="002F6ABB">
              <w:rPr>
                <w:sz w:val="20"/>
                <w:szCs w:val="20"/>
              </w:rPr>
              <w:t>86</w:t>
            </w:r>
            <w:r w:rsidR="000A3057" w:rsidRPr="002F6ABB">
              <w:rPr>
                <w:sz w:val="20"/>
                <w:szCs w:val="20"/>
              </w:rPr>
              <w:t>,</w:t>
            </w:r>
            <w:r w:rsidR="00E7793A" w:rsidRPr="002F6ABB">
              <w:rPr>
                <w:sz w:val="20"/>
                <w:szCs w:val="20"/>
              </w:rPr>
              <w:t>997</w:t>
            </w:r>
            <w:r w:rsidR="00A43699" w:rsidRPr="002F6ABB">
              <w:rPr>
                <w:sz w:val="20"/>
                <w:szCs w:val="20"/>
              </w:rPr>
              <w:t xml:space="preserve"> people with emergency assistance</w:t>
            </w:r>
            <w:r w:rsidR="00E00DAB" w:rsidRPr="002F6ABB">
              <w:rPr>
                <w:sz w:val="20"/>
                <w:szCs w:val="20"/>
              </w:rPr>
              <w:t xml:space="preserve">. </w:t>
            </w:r>
            <w:r w:rsidR="002A4C2E" w:rsidRPr="002F6ABB">
              <w:rPr>
                <w:sz w:val="20"/>
                <w:szCs w:val="20"/>
              </w:rPr>
              <w:t xml:space="preserve"> Sex disaggregated data is not available.</w:t>
            </w:r>
          </w:p>
        </w:tc>
      </w:tr>
    </w:tbl>
    <w:p w14:paraId="3F2619AB" w14:textId="64D997BA" w:rsidR="00AE2B7B" w:rsidRPr="00247C44" w:rsidRDefault="00AE2B7B" w:rsidP="00B865A7">
      <w:pPr>
        <w:pStyle w:val="Heading3"/>
      </w:pPr>
      <w:r w:rsidRPr="00247C44">
        <w:lastRenderedPageBreak/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4390"/>
        <w:gridCol w:w="6146"/>
      </w:tblGrid>
      <w:tr w:rsidR="00CA5021" w14:paraId="6541DEB5" w14:textId="77777777" w:rsidTr="00E940E8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bottom"/>
          </w:tcPr>
          <w:p w14:paraId="7B68B645" w14:textId="39A83BEA" w:rsidR="00CA5021" w:rsidRPr="005736BB" w:rsidRDefault="00A96364" w:rsidP="00AD0ACE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 xml:space="preserve">Key Results </w:t>
            </w:r>
            <w:r w:rsidR="00CA5021" w:rsidRPr="005736BB">
              <w:rPr>
                <w:b/>
                <w:sz w:val="20"/>
                <w:szCs w:val="20"/>
              </w:rPr>
              <w:t>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7B256934" w14:textId="69DE6F90" w:rsidR="00CA5021" w:rsidRPr="005736BB" w:rsidRDefault="00AD19F7" w:rsidP="00AD0ACE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6E246C" w14:paraId="564E6F58" w14:textId="77777777" w:rsidTr="00E940E8">
        <w:trPr>
          <w:tblHeader/>
        </w:trPr>
        <w:tc>
          <w:tcPr>
            <w:tcW w:w="4390" w:type="dxa"/>
          </w:tcPr>
          <w:p w14:paraId="234C1CE4" w14:textId="14EC373C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Examples of policy and technical advice on stimulus measures and longer-term economic recovery </w:t>
            </w:r>
          </w:p>
        </w:tc>
        <w:tc>
          <w:tcPr>
            <w:tcW w:w="6146" w:type="dxa"/>
          </w:tcPr>
          <w:p w14:paraId="5A50515E" w14:textId="66BC01C5" w:rsidR="00A17560" w:rsidRPr="002F6ABB" w:rsidRDefault="00293BC1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</w:t>
            </w:r>
            <w:r w:rsidR="00A17560" w:rsidRPr="002F6ABB">
              <w:rPr>
                <w:sz w:val="20"/>
                <w:szCs w:val="20"/>
              </w:rPr>
              <w:t xml:space="preserve">upported </w:t>
            </w:r>
            <w:r w:rsidR="00200D16" w:rsidRPr="002F6ABB">
              <w:rPr>
                <w:sz w:val="20"/>
                <w:szCs w:val="20"/>
              </w:rPr>
              <w:t xml:space="preserve">the </w:t>
            </w:r>
            <w:r w:rsidR="00A17560" w:rsidRPr="002F6ABB">
              <w:rPr>
                <w:sz w:val="20"/>
                <w:szCs w:val="20"/>
              </w:rPr>
              <w:t xml:space="preserve">development of </w:t>
            </w:r>
            <w:r w:rsidRPr="002F6ABB">
              <w:rPr>
                <w:sz w:val="20"/>
                <w:szCs w:val="20"/>
              </w:rPr>
              <w:t xml:space="preserve">the </w:t>
            </w:r>
            <w:r w:rsidR="00A17560" w:rsidRPr="002F6ABB">
              <w:rPr>
                <w:sz w:val="20"/>
                <w:szCs w:val="20"/>
              </w:rPr>
              <w:t>ERP</w:t>
            </w:r>
            <w:r w:rsidRPr="002F6ABB">
              <w:rPr>
                <w:sz w:val="20"/>
                <w:szCs w:val="20"/>
              </w:rPr>
              <w:t xml:space="preserve"> through technical expertise and administrative support. The ERP was approved by the Council of Ministers (Cabinet) and began implementation in November 2020</w:t>
            </w:r>
            <w:r w:rsidR="00200D16" w:rsidRPr="002F6ABB">
              <w:rPr>
                <w:sz w:val="20"/>
                <w:szCs w:val="20"/>
              </w:rPr>
              <w:t>.</w:t>
            </w:r>
            <w:r w:rsidR="00A17560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1495E4AF" w14:textId="77777777" w:rsidTr="00E940E8">
        <w:trPr>
          <w:tblHeader/>
        </w:trPr>
        <w:tc>
          <w:tcPr>
            <w:tcW w:w="4390" w:type="dxa"/>
          </w:tcPr>
          <w:p w14:paraId="3886AF26" w14:textId="42A5916F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households benefitting from improved local infrastructure (target 85,000)</w:t>
            </w:r>
          </w:p>
        </w:tc>
        <w:tc>
          <w:tcPr>
            <w:tcW w:w="6146" w:type="dxa"/>
          </w:tcPr>
          <w:p w14:paraId="21FA2624" w14:textId="559CC16D" w:rsidR="006E246C" w:rsidRPr="002F6ABB" w:rsidRDefault="00293BC1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>92,364</w:t>
            </w:r>
            <w:r w:rsidR="006E246C"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E60F06" w:rsidRPr="002F6ABB">
              <w:rPr>
                <w:sz w:val="20"/>
                <w:szCs w:val="20"/>
              </w:rPr>
              <w:t xml:space="preserve">households </w:t>
            </w:r>
            <w:r w:rsidRPr="002F6ABB">
              <w:rPr>
                <w:sz w:val="20"/>
                <w:szCs w:val="20"/>
              </w:rPr>
              <w:t>with</w:t>
            </w:r>
            <w:r w:rsidR="00E60F06" w:rsidRPr="002F6ABB">
              <w:rPr>
                <w:sz w:val="20"/>
                <w:szCs w:val="20"/>
              </w:rPr>
              <w:t xml:space="preserve"> improved local infrastructure</w:t>
            </w:r>
            <w:r w:rsidR="00200D16" w:rsidRPr="002F6ABB">
              <w:rPr>
                <w:sz w:val="20"/>
                <w:szCs w:val="20"/>
              </w:rPr>
              <w:t>.</w:t>
            </w:r>
            <w:r w:rsidR="00E60F06" w:rsidRPr="002F6A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E246C" w14:paraId="78EEFE8D" w14:textId="77777777" w:rsidTr="00E940E8">
        <w:trPr>
          <w:trHeight w:val="924"/>
          <w:tblHeader/>
        </w:trPr>
        <w:tc>
          <w:tcPr>
            <w:tcW w:w="4390" w:type="dxa"/>
          </w:tcPr>
          <w:p w14:paraId="413EBC25" w14:textId="4765A7E7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Number and total value ($) of national infrastructure projects agreed with </w:t>
            </w:r>
            <w:r w:rsidR="006E43AE" w:rsidRPr="002F6ABB">
              <w:rPr>
                <w:sz w:val="20"/>
                <w:szCs w:val="20"/>
              </w:rPr>
              <w:t>g</w:t>
            </w:r>
            <w:r w:rsidRPr="002F6ABB">
              <w:rPr>
                <w:sz w:val="20"/>
                <w:szCs w:val="20"/>
              </w:rPr>
              <w:t>overnment</w:t>
            </w:r>
          </w:p>
        </w:tc>
        <w:tc>
          <w:tcPr>
            <w:tcW w:w="6146" w:type="dxa"/>
          </w:tcPr>
          <w:p w14:paraId="1EC4A4B2" w14:textId="0389F475" w:rsidR="006E246C" w:rsidRPr="002F6ABB" w:rsidRDefault="00293BC1" w:rsidP="00AD0ACE">
            <w:pPr>
              <w:spacing w:before="0"/>
              <w:rPr>
                <w:color w:val="auto"/>
                <w:sz w:val="20"/>
                <w:szCs w:val="20"/>
                <w:lang w:val="en-AU"/>
              </w:rPr>
            </w:pPr>
            <w:r w:rsidRPr="002F6ABB">
              <w:rPr>
                <w:sz w:val="20"/>
                <w:szCs w:val="20"/>
              </w:rPr>
              <w:t>Supported a decision to commence o</w:t>
            </w:r>
            <w:r w:rsidR="00984FA2" w:rsidRPr="002F6ABB">
              <w:rPr>
                <w:sz w:val="20"/>
                <w:szCs w:val="20"/>
              </w:rPr>
              <w:t>ne</w:t>
            </w:r>
            <w:r w:rsidRPr="002F6ABB">
              <w:rPr>
                <w:sz w:val="20"/>
                <w:szCs w:val="20"/>
              </w:rPr>
              <w:t xml:space="preserve"> </w:t>
            </w:r>
            <w:r w:rsidR="00984FA2" w:rsidRPr="002F6ABB">
              <w:rPr>
                <w:sz w:val="20"/>
                <w:szCs w:val="20"/>
              </w:rPr>
              <w:t>national infrastructure project</w:t>
            </w:r>
            <w:r w:rsidRPr="002F6ABB">
              <w:rPr>
                <w:sz w:val="20"/>
                <w:szCs w:val="20"/>
              </w:rPr>
              <w:t xml:space="preserve">: the </w:t>
            </w:r>
            <w:r w:rsidR="00200D16" w:rsidRPr="002F6ABB">
              <w:rPr>
                <w:sz w:val="20"/>
                <w:szCs w:val="20"/>
              </w:rPr>
              <w:t>submarine fibre optic cable link</w:t>
            </w:r>
            <w:r w:rsidRPr="002F6ABB">
              <w:rPr>
                <w:sz w:val="20"/>
                <w:szCs w:val="20"/>
              </w:rPr>
              <w:t xml:space="preserve"> with Australia</w:t>
            </w:r>
            <w:r w:rsidR="00AC1BA9" w:rsidRPr="002F6ABB">
              <w:rPr>
                <w:sz w:val="20"/>
                <w:szCs w:val="20"/>
              </w:rPr>
              <w:t xml:space="preserve"> (estimated total value of $60 million). Also </w:t>
            </w:r>
            <w:r w:rsidRPr="002F6ABB">
              <w:rPr>
                <w:sz w:val="20"/>
                <w:szCs w:val="20"/>
              </w:rPr>
              <w:t xml:space="preserve">supported </w:t>
            </w:r>
            <w:r w:rsidR="00984FA2" w:rsidRPr="002F6ABB">
              <w:rPr>
                <w:sz w:val="20"/>
                <w:szCs w:val="20"/>
              </w:rPr>
              <w:t xml:space="preserve">preparation of the </w:t>
            </w:r>
            <w:r w:rsidR="00200D16" w:rsidRPr="002F6ABB">
              <w:rPr>
                <w:sz w:val="20"/>
                <w:szCs w:val="20"/>
              </w:rPr>
              <w:t>f</w:t>
            </w:r>
            <w:r w:rsidR="00984FA2" w:rsidRPr="002F6ABB">
              <w:rPr>
                <w:sz w:val="20"/>
                <w:szCs w:val="20"/>
              </w:rPr>
              <w:t>ront</w:t>
            </w:r>
            <w:r w:rsidR="00200D16" w:rsidRPr="002F6ABB">
              <w:rPr>
                <w:sz w:val="20"/>
                <w:szCs w:val="20"/>
              </w:rPr>
              <w:t>-e</w:t>
            </w:r>
            <w:r w:rsidR="00984FA2" w:rsidRPr="002F6ABB">
              <w:rPr>
                <w:sz w:val="20"/>
                <w:szCs w:val="20"/>
              </w:rPr>
              <w:t xml:space="preserve">nd </w:t>
            </w:r>
            <w:r w:rsidR="00200D16" w:rsidRPr="002F6ABB">
              <w:rPr>
                <w:sz w:val="20"/>
                <w:szCs w:val="20"/>
              </w:rPr>
              <w:t>e</w:t>
            </w:r>
            <w:r w:rsidR="00984FA2" w:rsidRPr="002F6ABB">
              <w:rPr>
                <w:sz w:val="20"/>
                <w:szCs w:val="20"/>
              </w:rPr>
              <w:t xml:space="preserve">ngineering </w:t>
            </w:r>
            <w:r w:rsidR="00200D16" w:rsidRPr="002F6ABB">
              <w:rPr>
                <w:sz w:val="20"/>
                <w:szCs w:val="20"/>
              </w:rPr>
              <w:t>d</w:t>
            </w:r>
            <w:r w:rsidR="00984FA2" w:rsidRPr="002F6ABB">
              <w:rPr>
                <w:sz w:val="20"/>
                <w:szCs w:val="20"/>
              </w:rPr>
              <w:t>esign</w:t>
            </w:r>
            <w:r w:rsidRPr="002F6ABB">
              <w:rPr>
                <w:sz w:val="20"/>
                <w:szCs w:val="20"/>
              </w:rPr>
              <w:t xml:space="preserve"> for </w:t>
            </w:r>
            <w:r w:rsidR="00AC1BA9" w:rsidRPr="002F6ABB">
              <w:rPr>
                <w:sz w:val="20"/>
                <w:szCs w:val="20"/>
              </w:rPr>
              <w:t>this</w:t>
            </w:r>
            <w:r w:rsidR="00984FA2" w:rsidRPr="002F6ABB">
              <w:rPr>
                <w:sz w:val="20"/>
                <w:szCs w:val="20"/>
              </w:rPr>
              <w:t xml:space="preserve"> </w:t>
            </w:r>
            <w:r w:rsidR="004F5229" w:rsidRPr="002F6ABB">
              <w:rPr>
                <w:sz w:val="20"/>
                <w:szCs w:val="20"/>
              </w:rPr>
              <w:t>project</w:t>
            </w:r>
            <w:r w:rsidR="00882C95" w:rsidRPr="002F6ABB">
              <w:rPr>
                <w:sz w:val="20"/>
                <w:szCs w:val="20"/>
              </w:rPr>
              <w:t xml:space="preserve"> with </w:t>
            </w:r>
            <w:r w:rsidR="002A4C2E" w:rsidRPr="002F6ABB">
              <w:rPr>
                <w:sz w:val="20"/>
                <w:szCs w:val="20"/>
              </w:rPr>
              <w:t>fund</w:t>
            </w:r>
            <w:r w:rsidR="00882C95" w:rsidRPr="002F6ABB">
              <w:rPr>
                <w:sz w:val="20"/>
                <w:szCs w:val="20"/>
              </w:rPr>
              <w:t>ing</w:t>
            </w:r>
            <w:r w:rsidR="002A4C2E" w:rsidRPr="002F6ABB">
              <w:rPr>
                <w:sz w:val="20"/>
                <w:szCs w:val="20"/>
              </w:rPr>
              <w:t xml:space="preserve"> </w:t>
            </w:r>
            <w:r w:rsidR="00882C95" w:rsidRPr="002F6ABB">
              <w:rPr>
                <w:sz w:val="20"/>
                <w:szCs w:val="20"/>
              </w:rPr>
              <w:t>from</w:t>
            </w:r>
            <w:r w:rsidR="002A4C2E" w:rsidRPr="002F6ABB">
              <w:rPr>
                <w:sz w:val="20"/>
                <w:szCs w:val="20"/>
              </w:rPr>
              <w:t xml:space="preserve"> the Australian Infrastructure Financing Facility for the Pacific</w:t>
            </w:r>
            <w:r w:rsidR="00984FA2" w:rsidRPr="002F6ABB">
              <w:rPr>
                <w:sz w:val="20"/>
                <w:szCs w:val="20"/>
              </w:rPr>
              <w:t xml:space="preserve">. </w:t>
            </w:r>
          </w:p>
        </w:tc>
      </w:tr>
      <w:tr w:rsidR="006E246C" w14:paraId="15B28C5D" w14:textId="77777777" w:rsidTr="00E940E8">
        <w:trPr>
          <w:tblHeader/>
        </w:trPr>
        <w:tc>
          <w:tcPr>
            <w:tcW w:w="4390" w:type="dxa"/>
          </w:tcPr>
          <w:p w14:paraId="03A868C7" w14:textId="14F4F9A8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workers (M/F) accessing labour mobility opportunities in Australia (target 240)</w:t>
            </w:r>
          </w:p>
        </w:tc>
        <w:tc>
          <w:tcPr>
            <w:tcW w:w="6146" w:type="dxa"/>
          </w:tcPr>
          <w:p w14:paraId="6EC85004" w14:textId="4C6FF7DF" w:rsidR="006E246C" w:rsidRPr="002F6ABB" w:rsidRDefault="00293BC1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>172</w:t>
            </w:r>
            <w:r w:rsidRPr="002F6ABB">
              <w:rPr>
                <w:sz w:val="20"/>
                <w:szCs w:val="20"/>
              </w:rPr>
              <w:t xml:space="preserve"> </w:t>
            </w:r>
            <w:r w:rsidR="00296324" w:rsidRPr="002F6ABB">
              <w:rPr>
                <w:sz w:val="20"/>
                <w:szCs w:val="20"/>
              </w:rPr>
              <w:t>workers</w:t>
            </w:r>
            <w:r w:rsidRPr="002F6ABB">
              <w:rPr>
                <w:sz w:val="20"/>
                <w:szCs w:val="20"/>
              </w:rPr>
              <w:t xml:space="preserve"> (119 men and 53 women)</w:t>
            </w:r>
            <w:r w:rsidR="00296324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 xml:space="preserve">to </w:t>
            </w:r>
            <w:r w:rsidR="00296324" w:rsidRPr="002F6ABB">
              <w:rPr>
                <w:sz w:val="20"/>
                <w:szCs w:val="20"/>
              </w:rPr>
              <w:t xml:space="preserve">access labour mobility </w:t>
            </w:r>
            <w:r w:rsidRPr="002F6ABB">
              <w:rPr>
                <w:sz w:val="20"/>
                <w:szCs w:val="20"/>
              </w:rPr>
              <w:t>opportunities. This was</w:t>
            </w:r>
            <w:r w:rsidR="00296324" w:rsidRPr="002F6ABB">
              <w:rPr>
                <w:sz w:val="20"/>
                <w:szCs w:val="20"/>
              </w:rPr>
              <w:t xml:space="preserve"> despite the impact of COVID-19</w:t>
            </w:r>
            <w:r w:rsidR="00200D16" w:rsidRPr="002F6ABB">
              <w:rPr>
                <w:sz w:val="20"/>
                <w:szCs w:val="20"/>
              </w:rPr>
              <w:t xml:space="preserve"> restrictions</w:t>
            </w:r>
            <w:r w:rsidR="00296324" w:rsidRPr="002F6ABB">
              <w:rPr>
                <w:sz w:val="20"/>
                <w:szCs w:val="20"/>
              </w:rPr>
              <w:t xml:space="preserve"> on international travel.</w:t>
            </w:r>
            <w:r w:rsidR="006E246C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031F4CC1" w14:textId="77777777" w:rsidTr="00E940E8">
        <w:trPr>
          <w:tblHeader/>
        </w:trPr>
        <w:tc>
          <w:tcPr>
            <w:tcW w:w="4390" w:type="dxa"/>
          </w:tcPr>
          <w:p w14:paraId="7DBF7644" w14:textId="151A59DB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students (M/F) reached with improved teaching practices (target 72,000)</w:t>
            </w:r>
          </w:p>
        </w:tc>
        <w:tc>
          <w:tcPr>
            <w:tcW w:w="6146" w:type="dxa"/>
          </w:tcPr>
          <w:p w14:paraId="35290E88" w14:textId="0852FD65" w:rsidR="006E246C" w:rsidRPr="002F6ABB" w:rsidRDefault="00E00DAB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improvement in teaching and learning for </w:t>
            </w:r>
            <w:r w:rsidR="006E246C" w:rsidRPr="002F6ABB">
              <w:rPr>
                <w:sz w:val="20"/>
                <w:szCs w:val="20"/>
              </w:rPr>
              <w:t>69,379</w:t>
            </w:r>
            <w:r w:rsidRPr="002F6ABB">
              <w:rPr>
                <w:sz w:val="20"/>
                <w:szCs w:val="20"/>
              </w:rPr>
              <w:t xml:space="preserve"> </w:t>
            </w:r>
            <w:r w:rsidR="00296324" w:rsidRPr="002F6ABB">
              <w:rPr>
                <w:sz w:val="20"/>
                <w:szCs w:val="20"/>
              </w:rPr>
              <w:t xml:space="preserve">students </w:t>
            </w:r>
            <w:r w:rsidRPr="002F6ABB">
              <w:rPr>
                <w:sz w:val="20"/>
                <w:szCs w:val="20"/>
              </w:rPr>
              <w:t>(36,357 boys and 33,022 girls) through</w:t>
            </w:r>
            <w:r w:rsidR="00296324" w:rsidRPr="002F6ABB">
              <w:rPr>
                <w:sz w:val="20"/>
                <w:szCs w:val="20"/>
              </w:rPr>
              <w:t xml:space="preserve"> improved teaching practices</w:t>
            </w:r>
            <w:r w:rsidR="00B27922" w:rsidRPr="002F6ABB">
              <w:rPr>
                <w:sz w:val="20"/>
                <w:szCs w:val="20"/>
              </w:rPr>
              <w:t xml:space="preserve">. </w:t>
            </w:r>
            <w:r w:rsidR="006E0239" w:rsidRPr="002F6ABB">
              <w:rPr>
                <w:sz w:val="20"/>
                <w:szCs w:val="20"/>
              </w:rPr>
              <w:t xml:space="preserve"> Public health measures implemented by the Timor-Leste government to reduce the spread of COVID-19 impacted the delivery of teacher training.</w:t>
            </w:r>
          </w:p>
        </w:tc>
      </w:tr>
      <w:tr w:rsidR="006E246C" w14:paraId="1EAE2D66" w14:textId="77777777" w:rsidTr="00E940E8">
        <w:trPr>
          <w:tblHeader/>
        </w:trPr>
        <w:tc>
          <w:tcPr>
            <w:tcW w:w="4390" w:type="dxa"/>
          </w:tcPr>
          <w:p w14:paraId="65838CB2" w14:textId="2EF5E666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Number of entrepreneurs (M/F) provided with financial and/or business development services (target 400)</w:t>
            </w:r>
          </w:p>
        </w:tc>
        <w:tc>
          <w:tcPr>
            <w:tcW w:w="6146" w:type="dxa"/>
          </w:tcPr>
          <w:p w14:paraId="02B96D99" w14:textId="6C9B67D7" w:rsidR="006E246C" w:rsidRPr="002F6ABB" w:rsidRDefault="00E00DAB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 xml:space="preserve">465 </w:t>
            </w:r>
            <w:r w:rsidR="00C108E6" w:rsidRPr="002F6ABB">
              <w:rPr>
                <w:sz w:val="20"/>
                <w:szCs w:val="20"/>
              </w:rPr>
              <w:t>entrepreneurs</w:t>
            </w:r>
            <w:r w:rsidRPr="002F6ABB">
              <w:rPr>
                <w:sz w:val="20"/>
                <w:szCs w:val="20"/>
              </w:rPr>
              <w:t xml:space="preserve"> (257 men and 208 women) </w:t>
            </w:r>
            <w:r w:rsidR="00C108E6" w:rsidRPr="002F6ABB">
              <w:rPr>
                <w:sz w:val="20"/>
                <w:szCs w:val="20"/>
              </w:rPr>
              <w:t>with business development services</w:t>
            </w:r>
            <w:r w:rsidRPr="002F6ABB">
              <w:rPr>
                <w:sz w:val="20"/>
                <w:szCs w:val="20"/>
              </w:rPr>
              <w:t xml:space="preserve">, </w:t>
            </w:r>
            <w:r w:rsidR="00C108E6" w:rsidRPr="002F6ABB">
              <w:rPr>
                <w:sz w:val="20"/>
                <w:szCs w:val="20"/>
              </w:rPr>
              <w:t>predominantly in</w:t>
            </w:r>
            <w:r w:rsidRPr="002F6ABB">
              <w:rPr>
                <w:sz w:val="20"/>
                <w:szCs w:val="20"/>
              </w:rPr>
              <w:t xml:space="preserve"> the</w:t>
            </w:r>
            <w:r w:rsidR="00C108E6" w:rsidRPr="002F6ABB">
              <w:rPr>
                <w:sz w:val="20"/>
                <w:szCs w:val="20"/>
              </w:rPr>
              <w:t xml:space="preserve"> coffee</w:t>
            </w:r>
            <w:r w:rsidRPr="002F6ABB">
              <w:rPr>
                <w:sz w:val="20"/>
                <w:szCs w:val="20"/>
              </w:rPr>
              <w:t xml:space="preserve"> industry.</w:t>
            </w:r>
            <w:r w:rsidR="00FD50D5" w:rsidRPr="002F6ABB">
              <w:rPr>
                <w:sz w:val="20"/>
                <w:szCs w:val="20"/>
              </w:rPr>
              <w:t xml:space="preserve"> </w:t>
            </w:r>
          </w:p>
        </w:tc>
      </w:tr>
      <w:tr w:rsidR="006E246C" w14:paraId="4DF45926" w14:textId="77777777" w:rsidTr="00E940E8">
        <w:trPr>
          <w:tblHeader/>
        </w:trPr>
        <w:tc>
          <w:tcPr>
            <w:tcW w:w="4390" w:type="dxa"/>
          </w:tcPr>
          <w:p w14:paraId="0B1E2DC4" w14:textId="2A94A79B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Number of people (M/F) assisted to gain recognised post-secondary qualifications </w:t>
            </w:r>
          </w:p>
        </w:tc>
        <w:tc>
          <w:tcPr>
            <w:tcW w:w="6146" w:type="dxa"/>
          </w:tcPr>
          <w:p w14:paraId="1FCE71E6" w14:textId="0DF2A818" w:rsidR="006E246C" w:rsidRPr="002F6ABB" w:rsidRDefault="00E00DAB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 xml:space="preserve">Supported </w:t>
            </w:r>
            <w:r w:rsidR="006E246C" w:rsidRPr="002F6ABB">
              <w:rPr>
                <w:sz w:val="20"/>
                <w:szCs w:val="20"/>
              </w:rPr>
              <w:t>135</w:t>
            </w:r>
            <w:r w:rsidR="00FD50D5" w:rsidRPr="002F6ABB">
              <w:rPr>
                <w:b/>
                <w:bCs/>
                <w:sz w:val="20"/>
                <w:szCs w:val="20"/>
              </w:rPr>
              <w:t xml:space="preserve"> </w:t>
            </w:r>
            <w:r w:rsidR="00C108E6" w:rsidRPr="002F6ABB">
              <w:rPr>
                <w:sz w:val="20"/>
                <w:szCs w:val="20"/>
              </w:rPr>
              <w:t xml:space="preserve">people </w:t>
            </w:r>
            <w:r w:rsidR="004F5229" w:rsidRPr="002F6ABB">
              <w:rPr>
                <w:sz w:val="20"/>
                <w:szCs w:val="20"/>
              </w:rPr>
              <w:t>(98 women and 37 men</w:t>
            </w:r>
            <w:r w:rsidRPr="002F6ABB">
              <w:rPr>
                <w:sz w:val="20"/>
                <w:szCs w:val="20"/>
              </w:rPr>
              <w:t>, including two people with</w:t>
            </w:r>
            <w:r w:rsidR="00B27922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>disabilit</w:t>
            </w:r>
            <w:r w:rsidR="00B27922" w:rsidRPr="002F6ABB">
              <w:rPr>
                <w:sz w:val="20"/>
                <w:szCs w:val="20"/>
              </w:rPr>
              <w:t>ies</w:t>
            </w:r>
            <w:r w:rsidRPr="002F6ABB">
              <w:rPr>
                <w:sz w:val="20"/>
                <w:szCs w:val="20"/>
              </w:rPr>
              <w:t>)</w:t>
            </w:r>
            <w:r w:rsidR="004F5229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>to gain recognised post-secondary qualifications</w:t>
            </w:r>
            <w:r w:rsidR="00C108E6" w:rsidRPr="002F6ABB">
              <w:rPr>
                <w:sz w:val="20"/>
                <w:szCs w:val="20"/>
              </w:rPr>
              <w:t xml:space="preserve">. </w:t>
            </w:r>
          </w:p>
        </w:tc>
      </w:tr>
      <w:tr w:rsidR="006E246C" w14:paraId="51A15CF9" w14:textId="77777777" w:rsidTr="00E940E8">
        <w:trPr>
          <w:tblHeader/>
        </w:trPr>
        <w:tc>
          <w:tcPr>
            <w:tcW w:w="4390" w:type="dxa"/>
          </w:tcPr>
          <w:p w14:paraId="3C75C9F9" w14:textId="4BCA2DB1" w:rsidR="006E246C" w:rsidRPr="002F6ABB" w:rsidRDefault="006E246C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Value of additional market transactions (target USD1.4</w:t>
            </w:r>
            <w:r w:rsidR="006E43AE" w:rsidRPr="002F6ABB">
              <w:rPr>
                <w:sz w:val="20"/>
                <w:szCs w:val="20"/>
              </w:rPr>
              <w:t xml:space="preserve"> </w:t>
            </w:r>
            <w:r w:rsidRPr="002F6ABB">
              <w:rPr>
                <w:sz w:val="20"/>
                <w:szCs w:val="20"/>
              </w:rPr>
              <w:t>m</w:t>
            </w:r>
            <w:r w:rsidR="006E43AE" w:rsidRPr="002F6ABB">
              <w:rPr>
                <w:sz w:val="20"/>
                <w:szCs w:val="20"/>
              </w:rPr>
              <w:t>illion</w:t>
            </w:r>
            <w:r w:rsidRPr="002F6ABB">
              <w:rPr>
                <w:sz w:val="20"/>
                <w:szCs w:val="20"/>
              </w:rPr>
              <w:t>)</w:t>
            </w:r>
          </w:p>
        </w:tc>
        <w:tc>
          <w:tcPr>
            <w:tcW w:w="6146" w:type="dxa"/>
          </w:tcPr>
          <w:p w14:paraId="0DD22350" w14:textId="3E1B7C65" w:rsidR="006E246C" w:rsidRPr="002F6ABB" w:rsidRDefault="00E00DAB" w:rsidP="00AD0ACE">
            <w:pPr>
              <w:spacing w:before="0"/>
              <w:rPr>
                <w:sz w:val="20"/>
                <w:szCs w:val="20"/>
              </w:rPr>
            </w:pPr>
            <w:r w:rsidRPr="002F6ABB">
              <w:rPr>
                <w:sz w:val="20"/>
                <w:szCs w:val="20"/>
              </w:rPr>
              <w:t>Supported market transaction</w:t>
            </w:r>
            <w:r w:rsidR="00AC1BA9" w:rsidRPr="002F6ABB">
              <w:rPr>
                <w:sz w:val="20"/>
                <w:szCs w:val="20"/>
              </w:rPr>
              <w:t>s</w:t>
            </w:r>
            <w:r w:rsidRPr="002F6ABB">
              <w:rPr>
                <w:sz w:val="20"/>
                <w:szCs w:val="20"/>
              </w:rPr>
              <w:t xml:space="preserve"> valued at US</w:t>
            </w:r>
            <w:r w:rsidR="006E43AE" w:rsidRPr="002F6ABB">
              <w:rPr>
                <w:sz w:val="20"/>
                <w:szCs w:val="20"/>
              </w:rPr>
              <w:t>D</w:t>
            </w:r>
            <w:r w:rsidRPr="002F6ABB">
              <w:rPr>
                <w:sz w:val="20"/>
                <w:szCs w:val="20"/>
              </w:rPr>
              <w:t>1,962,304 (</w:t>
            </w:r>
            <w:r w:rsidR="006E43AE" w:rsidRPr="002F6ABB">
              <w:rPr>
                <w:sz w:val="20"/>
                <w:szCs w:val="20"/>
              </w:rPr>
              <w:t>AUD</w:t>
            </w:r>
            <w:r w:rsidRPr="002F6ABB">
              <w:rPr>
                <w:sz w:val="20"/>
                <w:szCs w:val="20"/>
              </w:rPr>
              <w:t>2,696,747). This included assisting</w:t>
            </w:r>
            <w:r w:rsidR="006E246C" w:rsidRPr="002F6ABB">
              <w:rPr>
                <w:sz w:val="20"/>
                <w:szCs w:val="20"/>
              </w:rPr>
              <w:t xml:space="preserve"> farmers </w:t>
            </w:r>
            <w:r w:rsidRPr="002F6ABB">
              <w:rPr>
                <w:sz w:val="20"/>
                <w:szCs w:val="20"/>
              </w:rPr>
              <w:t xml:space="preserve">to market and sell </w:t>
            </w:r>
            <w:r w:rsidR="006E246C" w:rsidRPr="002F6ABB">
              <w:rPr>
                <w:sz w:val="20"/>
                <w:szCs w:val="20"/>
              </w:rPr>
              <w:t>their coffee produce</w:t>
            </w:r>
            <w:r w:rsidRPr="002F6ABB">
              <w:rPr>
                <w:sz w:val="20"/>
                <w:szCs w:val="20"/>
              </w:rPr>
              <w:t xml:space="preserve"> </w:t>
            </w:r>
            <w:r w:rsidR="006E246C" w:rsidRPr="002F6ABB">
              <w:rPr>
                <w:sz w:val="20"/>
                <w:szCs w:val="20"/>
              </w:rPr>
              <w:t>during lockdown</w:t>
            </w:r>
            <w:r w:rsidRPr="002F6ABB">
              <w:rPr>
                <w:sz w:val="20"/>
                <w:szCs w:val="20"/>
              </w:rPr>
              <w:t>s.</w:t>
            </w:r>
          </w:p>
        </w:tc>
      </w:tr>
    </w:tbl>
    <w:p w14:paraId="2F13E6BA" w14:textId="7854D53A" w:rsidR="008A6BB7" w:rsidRPr="0008449B" w:rsidRDefault="00ED0A43" w:rsidP="00EC247C">
      <w:pPr>
        <w:pStyle w:val="Heading2"/>
        <w:rPr>
          <w:sz w:val="18"/>
          <w:szCs w:val="18"/>
        </w:rPr>
        <w:sectPr w:rsidR="008A6BB7" w:rsidRPr="0008449B" w:rsidSect="00B865A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59" w:right="680" w:bottom="993" w:left="680" w:header="567" w:footer="340" w:gutter="0"/>
          <w:cols w:space="397"/>
          <w:titlePg/>
          <w:docGrid w:linePitch="360"/>
        </w:sectPr>
      </w:pPr>
      <w:r w:rsidRPr="0008449B">
        <w:rPr>
          <w:sz w:val="18"/>
          <w:szCs w:val="18"/>
        </w:rPr>
        <w:t>*</w:t>
      </w:r>
      <w:r w:rsidRPr="0008449B">
        <w:rPr>
          <w:rFonts w:asciiTheme="minorHAnsi" w:eastAsiaTheme="minorHAnsi" w:hAnsiTheme="minorHAnsi" w:cstheme="minorBidi"/>
          <w:b w:val="0"/>
          <w:caps w:val="0"/>
          <w:sz w:val="18"/>
          <w:szCs w:val="18"/>
        </w:rPr>
        <w:t>This indicat</w:t>
      </w:r>
      <w:r w:rsidR="006E43AE" w:rsidRPr="0008449B">
        <w:rPr>
          <w:rFonts w:asciiTheme="minorHAnsi" w:eastAsiaTheme="minorHAnsi" w:hAnsiTheme="minorHAnsi" w:cstheme="minorBidi"/>
          <w:b w:val="0"/>
          <w:caps w:val="0"/>
          <w:sz w:val="18"/>
          <w:szCs w:val="18"/>
        </w:rPr>
        <w:t>or</w:t>
      </w:r>
      <w:r w:rsidRPr="0008449B">
        <w:rPr>
          <w:rFonts w:asciiTheme="minorHAnsi" w:eastAsiaTheme="minorHAnsi" w:hAnsiTheme="minorHAnsi" w:cstheme="minorBidi"/>
          <w:b w:val="0"/>
          <w:caps w:val="0"/>
          <w:sz w:val="18"/>
          <w:szCs w:val="18"/>
        </w:rPr>
        <w:t xml:space="preserve"> is additional to the Timor-Leste COVID-19 Response Plan results indicators</w:t>
      </w:r>
      <w:r w:rsidR="00B27922" w:rsidRPr="0008449B">
        <w:rPr>
          <w:rFonts w:asciiTheme="minorHAnsi" w:eastAsiaTheme="minorHAnsi" w:hAnsiTheme="minorHAnsi" w:cstheme="minorBidi"/>
          <w:b w:val="0"/>
          <w:caps w:val="0"/>
          <w:sz w:val="18"/>
          <w:szCs w:val="18"/>
        </w:rPr>
        <w:t>.</w:t>
      </w:r>
      <w:r w:rsidR="00B27922" w:rsidRPr="0008449B">
        <w:rPr>
          <w:rFonts w:eastAsiaTheme="minorHAnsi"/>
          <w:sz w:val="18"/>
          <w:szCs w:val="18"/>
        </w:rPr>
        <w:t xml:space="preserve"> </w:t>
      </w:r>
    </w:p>
    <w:p w14:paraId="06ABEE3D" w14:textId="62B75A66" w:rsidR="00D1231A" w:rsidRDefault="00121DDD" w:rsidP="00EC247C">
      <w:pPr>
        <w:pStyle w:val="Heading2"/>
      </w:pPr>
      <w:r>
        <w:lastRenderedPageBreak/>
        <w:t>Annex 2</w:t>
      </w:r>
      <w:r w:rsidR="00D1231A" w:rsidRPr="00D1231A">
        <w:t xml:space="preserve">: </w:t>
      </w:r>
      <w:r w:rsidR="00D1231A">
        <w:t>I</w:t>
      </w:r>
      <w:r w:rsidR="00D1231A" w:rsidRPr="00D1231A">
        <w:t>nvestment Performance</w:t>
      </w:r>
      <w:r w:rsidR="000F78C9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7A4493" w:rsidRPr="00AF18F4" w14:paraId="69FD1E5F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2DCD1" w:themeFill="accent1" w:themeFillTint="99"/>
            <w:noWrap/>
            <w:hideMark/>
          </w:tcPr>
          <w:p w14:paraId="287BF78E" w14:textId="77777777" w:rsidR="00AC551D" w:rsidRPr="005736BB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36D4C187" w14:textId="0BB1DE51" w:rsidR="00AC551D" w:rsidRPr="005736BB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1B1121B3" w14:textId="77777777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7B4698B4" w14:textId="77777777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5E5D38EF" w14:textId="4CC6B5C6" w:rsidR="00AC551D" w:rsidRPr="005736BB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AC551D" w:rsidRPr="00AF18F4" w14:paraId="1867487D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E831155" w14:textId="379220F9" w:rsidR="00AC551D" w:rsidRPr="00CA5021" w:rsidRDefault="004F539A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Roads for Development</w:t>
            </w:r>
            <w:r w:rsidR="00D06C9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753CB627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3524F2ED" w14:textId="7DBE3C67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65883235" w14:textId="06204511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34FAF95D" w14:textId="1F065B25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C551D" w:rsidRPr="00AF18F4" w14:paraId="3F9940CA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4D54A0A0" w14:textId="2D9ACBB9" w:rsidR="00AC551D" w:rsidRPr="00CA5021" w:rsidRDefault="007178C4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11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6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5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42A30353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02C361E5" w14:textId="0978D7F7" w:rsidR="00AC551D" w:rsidRPr="00CA5021" w:rsidRDefault="00A8365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C8F4065" w14:textId="7C01C504" w:rsidR="00AC551D" w:rsidRPr="00CA5021" w:rsidRDefault="00A8365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3EA630FF" w14:textId="6AF023AF" w:rsidR="00AC551D" w:rsidRPr="00CA5021" w:rsidRDefault="00A83657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C551D" w:rsidRPr="00AF18F4" w14:paraId="664415AC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5576776" w14:textId="7AAA6637" w:rsidR="00AC551D" w:rsidRPr="00CA5021" w:rsidRDefault="00A83657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Partnership for </w:t>
            </w:r>
            <w:r w:rsidR="00A25B49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unicipal </w:t>
            </w:r>
            <w:r w:rsidR="00A25B49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s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trengthening and v</w:t>
            </w:r>
            <w:r w:rsidR="004F539A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illage 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d</w:t>
            </w:r>
            <w:r w:rsidR="004F539A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evelopment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35291127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0383E59B" w14:textId="2D276CAE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60C1604" w14:textId="5C810AA1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  <w:tc>
          <w:tcPr>
            <w:tcW w:w="0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8B585D3" w14:textId="4374FE88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C551D" w:rsidRPr="00AF18F4" w14:paraId="5EA4A873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  <w:hideMark/>
          </w:tcPr>
          <w:p w14:paraId="5D004B83" w14:textId="268646E2" w:rsidR="00AC551D" w:rsidRPr="00CA5021" w:rsidRDefault="00FC5365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-21;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70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9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6F5DCD3C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C975F2B" w14:textId="3CBC6606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562AF5DF" w14:textId="5CD74FB1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49275297" w14:textId="1214CD6E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C551D" w:rsidRPr="00AF18F4" w14:paraId="7C3C602D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F2B53" w14:textId="1943B7E0" w:rsidR="00AC551D" w:rsidRPr="00CA5021" w:rsidRDefault="004F539A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Ending Violence Against Wome</w:t>
            </w:r>
            <w:r w:rsidR="00247C44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58E1068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561825FE" w14:textId="4B191BAE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777674A9" w14:textId="1D47CF02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6666D1C" w14:textId="66DD4FAC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</w:tr>
      <w:tr w:rsidR="00AC551D" w:rsidRPr="00AF18F4" w14:paraId="173568D7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3342A73E" w14:textId="085A1B4E" w:rsidR="00AC551D" w:rsidRPr="00CA5021" w:rsidRDefault="00FC5365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8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.5m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1F16C9F8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484EFDC5" w14:textId="4319AAAF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96A3DC5" w14:textId="4AB5DE7B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BD061D2" w14:textId="3E24E588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</w:tr>
      <w:tr w:rsidR="00AC551D" w:rsidRPr="00AF18F4" w14:paraId="433D367E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703CD34" w14:textId="337E437E" w:rsidR="00AC551D" w:rsidRPr="00CA5021" w:rsidRDefault="00A83657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Governance for Development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67E44092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3A8E0478" w14:textId="5346726B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54E4ADA" w14:textId="50A05327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579A968A" w14:textId="31A2E8AB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C551D" w:rsidRPr="00AF18F4" w14:paraId="2F1DE13E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  <w:hideMark/>
          </w:tcPr>
          <w:p w14:paraId="1E605139" w14:textId="03D63297" w:rsidR="00AC551D" w:rsidRPr="00CA5021" w:rsidRDefault="00FC5365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81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hideMark/>
          </w:tcPr>
          <w:p w14:paraId="7018BC30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FF87E63" w14:textId="28866BDF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7B158D07" w14:textId="47E51F34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E0F3EF" w:themeFill="accent1" w:themeFillTint="33"/>
            <w:noWrap/>
          </w:tcPr>
          <w:p w14:paraId="04D0497F" w14:textId="3BEAFBE3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C551D" w:rsidRPr="00AF18F4" w14:paraId="1FF9A082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56E45D" w14:textId="6DFD3E40" w:rsidR="00AC551D" w:rsidRPr="00CA5021" w:rsidRDefault="00A83657" w:rsidP="00AF18F4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Workforce Development Program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8837949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56D0B385" w14:textId="67291937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F83D288" w14:textId="2EB9495E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F305D63" w14:textId="154074B1" w:rsidR="00AC551D" w:rsidRPr="00CA5021" w:rsidRDefault="00CD3C80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C551D" w:rsidRPr="00AF18F4" w14:paraId="51634969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  <w:hideMark/>
          </w:tcPr>
          <w:p w14:paraId="468F61F5" w14:textId="4B5F879F" w:rsidR="00AC551D" w:rsidRPr="00CA5021" w:rsidRDefault="00FC5365" w:rsidP="00AF18F4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4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5</w:t>
            </w:r>
            <w:r w:rsidR="00AC551D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05ADDFD4" w14:textId="77777777" w:rsidR="00AC551D" w:rsidRPr="00CA5021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7A708A19" w14:textId="40CDFFD1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4A6EE93A" w14:textId="39DBD24A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BF6318F" w14:textId="411F20CC" w:rsidR="00AC551D" w:rsidRPr="00CA5021" w:rsidRDefault="00A25B49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83657" w:rsidRPr="00AF18F4" w14:paraId="34221AC4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1D03E136" w14:textId="52107AE4" w:rsidR="00A83657" w:rsidRDefault="00A83657" w:rsidP="00A83657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A83657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Partnership for Human Development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38E38EB0" w14:textId="241203CE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CE5C703" w14:textId="3AACF834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66108618" w14:textId="18BAB53D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2F535EA" w14:textId="4DC7B08A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83657" w:rsidRPr="00AF18F4" w14:paraId="1C0E5D18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</w:tcPr>
          <w:p w14:paraId="1B6992FE" w14:textId="2AE2C484" w:rsidR="00A83657" w:rsidRDefault="00A83657" w:rsidP="00A83657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6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6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9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3C38E02F" w14:textId="476D4230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CFD309B" w14:textId="623A09A0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483E99BA" w14:textId="67901EF5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49C524F" w14:textId="1F00830F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83657" w:rsidRPr="00AF18F4" w14:paraId="5BA42305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6E1624A1" w14:textId="26B4249F" w:rsidR="00A83657" w:rsidRDefault="00A83657" w:rsidP="00A83657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A83657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Market Development Facility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2881631" w14:textId="4DE2C900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9C8509C" w14:textId="7F4F0399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4C93F59" w14:textId="154A0456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7900888" w14:textId="5395258B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83657" w:rsidRPr="00AF18F4" w14:paraId="0DFA68F0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42E059F2" w14:textId="5899C90E" w:rsidR="00A83657" w:rsidRDefault="00A83657" w:rsidP="00A83657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6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E77EAB" w14:textId="5B45614A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2F33339" w14:textId="71B0990F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700E806" w14:textId="1EECC0A6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8D2119C" w14:textId="7BA75EDE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83657" w:rsidRPr="00AF18F4" w14:paraId="4CF5D85E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0C857EC9" w14:textId="5AC6B73A" w:rsidR="00A83657" w:rsidRPr="00A83657" w:rsidRDefault="00A83657" w:rsidP="00A83657">
            <w:pPr>
              <w:suppressAutoHyphens w:val="0"/>
              <w:spacing w:before="0" w:after="0" w:line="240" w:lineRule="auto"/>
              <w:rPr>
                <w:rFonts w:eastAsia="Times New Roman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B27922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Farming for Prosperity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785DAB99" w14:textId="34CA9E28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C8D10D5" w14:textId="70CC0AC4" w:rsidR="00A83657" w:rsidRPr="00B27922" w:rsidRDefault="00F069A2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0ACB85C9" w14:textId="5EC5F26B" w:rsidR="00A83657" w:rsidRPr="00B27922" w:rsidRDefault="00F069A2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CD831A8" w14:textId="17044D8A" w:rsidR="00A83657" w:rsidRPr="00B27922" w:rsidRDefault="00CD3C80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83657" w:rsidRPr="00AF18F4" w14:paraId="0BB1F24B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</w:tcPr>
          <w:p w14:paraId="0E7A5BED" w14:textId="1EC2F468" w:rsidR="00A83657" w:rsidRPr="00A83657" w:rsidRDefault="00A83657" w:rsidP="00A83657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5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CD3C80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3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4.1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07255B68" w14:textId="48F84D16" w:rsidR="00A83657" w:rsidRPr="00B27922" w:rsidRDefault="00A83657" w:rsidP="00B2792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 xml:space="preserve"> </w:t>
            </w: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F30631F" w14:textId="352E835F" w:rsidR="00A83657" w:rsidRPr="00B27922" w:rsidRDefault="00A25B49" w:rsidP="00B2792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E577AE6" w14:textId="4FE23C42" w:rsidR="00A83657" w:rsidRPr="00B27922" w:rsidRDefault="00A25B49" w:rsidP="00B2792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D128CD7" w14:textId="1FFD34E0" w:rsidR="00A83657" w:rsidRPr="00B27922" w:rsidRDefault="00A25B49" w:rsidP="00B27922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</w:tr>
      <w:tr w:rsidR="00A83657" w:rsidRPr="00AF18F4" w14:paraId="4B0096B7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5A987BCE" w14:textId="158E82FF" w:rsidR="00A83657" w:rsidRDefault="00A83657" w:rsidP="00A83657">
            <w:pPr>
              <w:suppressAutoHyphens w:val="0"/>
              <w:spacing w:before="0" w:after="0" w:line="240" w:lineRule="auto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 w:rsidRPr="00A83657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Timor-Leste Police Development Program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D265A7" w14:textId="63ED0AFE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0928D02" w14:textId="7125E4B0" w:rsidR="00A83657" w:rsidRPr="00B27922" w:rsidRDefault="00EC66B2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13881A9" w14:textId="55C3326A" w:rsidR="00A83657" w:rsidRPr="00B27922" w:rsidRDefault="00EC66B2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FD2F4A8" w14:textId="3C71FDBA" w:rsidR="00A83657" w:rsidRPr="00B27922" w:rsidRDefault="00EC66B2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A83657" w:rsidRPr="00AF18F4" w14:paraId="2EC5FE7A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F2F2F2" w:themeFill="background1" w:themeFillShade="F2"/>
          </w:tcPr>
          <w:p w14:paraId="70A2C178" w14:textId="3826F6D9" w:rsidR="00A83657" w:rsidRDefault="00A83657" w:rsidP="00A83657">
            <w:pPr>
              <w:suppressAutoHyphens w:val="0"/>
              <w:spacing w:before="0" w:after="0" w:line="240" w:lineRule="auto"/>
              <w:ind w:firstLineChars="100" w:firstLine="200"/>
              <w:rPr>
                <w:rFonts w:eastAsia="Times New Roman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uration: 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8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-2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2m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E51460" w14:textId="20FFFD7A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54B836A" w14:textId="64DCBCF8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CFD397F" w14:textId="5A52D729" w:rsidR="00A83657" w:rsidRPr="00B27922" w:rsidRDefault="00A83657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9939B9E" w14:textId="5EEF5E30" w:rsidR="00A83657" w:rsidRPr="00B27922" w:rsidRDefault="00A25B49" w:rsidP="00A83657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B2792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</w:tbl>
    <w:p w14:paraId="4CE030E5" w14:textId="5FC61945" w:rsidR="00D90B37" w:rsidRDefault="00D90B37" w:rsidP="00BE12B6"/>
    <w:p w14:paraId="3800A196" w14:textId="692A1364" w:rsidR="00E221FA" w:rsidRDefault="00E221FA" w:rsidP="00EC247C">
      <w:pPr>
        <w:pStyle w:val="Heading2"/>
      </w:pPr>
      <w:r>
        <w:t>Final I</w:t>
      </w:r>
      <w:r w:rsidRPr="00D1231A">
        <w:t>nvestment Performance</w:t>
      </w:r>
      <w:r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D7310B" w:rsidRPr="00AF18F4" w14:paraId="1C7DF276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5CB2E247" w14:textId="77777777" w:rsidR="00D7310B" w:rsidRPr="005736BB" w:rsidRDefault="00D7310B" w:rsidP="00D35B99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559F947C" w14:textId="7E622570" w:rsidR="00D7310B" w:rsidRPr="005736BB" w:rsidRDefault="00D7310B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661038F4" w14:textId="77777777" w:rsidR="00D7310B" w:rsidRPr="005736BB" w:rsidRDefault="00D7310B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1765D5AA" w14:textId="77777777" w:rsidR="00D7310B" w:rsidRPr="005736BB" w:rsidRDefault="00D7310B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8C29940" w14:textId="77777777" w:rsidR="00D7310B" w:rsidRPr="005736BB" w:rsidRDefault="00D7310B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D7310B" w:rsidRPr="00AF18F4" w14:paraId="5FCAA806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6CB53EA" w14:textId="41E6DFE8" w:rsidR="00D7310B" w:rsidRPr="00CA5021" w:rsidRDefault="00A83657" w:rsidP="00D35B99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Monitoring and Evaluation House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615EF094" w14:textId="1E986264" w:rsidR="00D7310B" w:rsidRPr="00CA5021" w:rsidRDefault="00D7310B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</w:t>
            </w:r>
            <w:r w:rsidR="00EE04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  <w:r w:rsidR="00A963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1</w:t>
            </w:r>
            <w:r w:rsidR="00193C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A963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FIMR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12403CED" w14:textId="57E73557" w:rsidR="00D7310B" w:rsidRPr="00CA5021" w:rsidRDefault="00EC66B2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456E1DCC" w14:textId="5BF61EC0" w:rsidR="00D7310B" w:rsidRPr="00CA5021" w:rsidRDefault="00EC66B2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</w:tcPr>
          <w:p w14:paraId="2C7A02D0" w14:textId="0C0684EB" w:rsidR="00D7310B" w:rsidRPr="00CA5021" w:rsidRDefault="00EC66B2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  <w:tr w:rsidR="00D7310B" w:rsidRPr="00AF18F4" w14:paraId="48A88951" w14:textId="77777777" w:rsidTr="00AB1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7C9CCC70" w14:textId="6B8B3E70" w:rsidR="00D7310B" w:rsidRPr="00CA5021" w:rsidRDefault="00FC5365" w:rsidP="00D35B99">
            <w:pPr>
              <w:suppressAutoHyphens w:val="0"/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Investment d</w:t>
            </w:r>
            <w:r w:rsidR="00D7310B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uration: </w:t>
            </w:r>
            <w:r w:rsidR="00D7310B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201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6</w:t>
            </w:r>
            <w:r w:rsidR="00D7310B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-</w:t>
            </w:r>
            <w:r w:rsidR="00A25B49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2</w:t>
            </w:r>
            <w:r w:rsidR="00D7310B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1</w:t>
            </w:r>
            <w:r w:rsidR="00D7310B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; Budget: $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="00D7310B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.</w:t>
            </w:r>
            <w:r w:rsidR="00EC66B2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>7</w:t>
            </w:r>
            <w:r w:rsidR="00D7310B" w:rsidRPr="00CA5021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val="en-AU" w:eastAsia="en-AU"/>
              </w:rPr>
              <w:t xml:space="preserve">m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hideMark/>
          </w:tcPr>
          <w:p w14:paraId="265BD1DC" w14:textId="10D87CD0" w:rsidR="00193C49" w:rsidRPr="00CA5021" w:rsidRDefault="00D7310B" w:rsidP="00FC5365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</w:t>
            </w:r>
            <w:r w:rsidR="00A963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</w:t>
            </w:r>
            <w:r w:rsidR="00FC536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A963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IMR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2B8EB16D" w14:textId="61F18EE8" w:rsidR="00D7310B" w:rsidRPr="00CA5021" w:rsidRDefault="00A25B49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1C396789" w14:textId="3F2A4E93" w:rsidR="00D7310B" w:rsidRPr="00CA5021" w:rsidRDefault="00A25B49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hideMark/>
          </w:tcPr>
          <w:p w14:paraId="6145AA71" w14:textId="12B50951" w:rsidR="00D7310B" w:rsidRPr="00CA5021" w:rsidRDefault="00EE0466" w:rsidP="00D35B99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</w:tr>
    </w:tbl>
    <w:p w14:paraId="17600418" w14:textId="121BADE0" w:rsidR="00681633" w:rsidRDefault="00681633" w:rsidP="007A4493">
      <w:pPr>
        <w:spacing w:before="240" w:after="0" w:line="240" w:lineRule="auto"/>
        <w:jc w:val="both"/>
        <w:rPr>
          <w:rFonts w:eastAsia="Times New Roman"/>
          <w:sz w:val="17"/>
          <w:szCs w:val="17"/>
        </w:rPr>
      </w:pPr>
      <w:r w:rsidRPr="00A05FF5">
        <w:rPr>
          <w:rFonts w:eastAsia="Times New Roman"/>
          <w:b/>
          <w:sz w:val="17"/>
          <w:szCs w:val="17"/>
        </w:rPr>
        <w:t>Definitions of rating scale</w:t>
      </w:r>
      <w:r w:rsidRPr="00A05FF5">
        <w:rPr>
          <w:rFonts w:eastAsia="Times New Roman"/>
          <w:sz w:val="17"/>
          <w:szCs w:val="17"/>
        </w:rPr>
        <w:t>:</w:t>
      </w:r>
      <w:r w:rsidRPr="00A05FF5">
        <w:rPr>
          <w:rFonts w:eastAsia="Times New Roman"/>
          <w:sz w:val="17"/>
          <w:szCs w:val="17"/>
        </w:rPr>
        <w:tab/>
      </w:r>
    </w:p>
    <w:p w14:paraId="5989C7B0" w14:textId="77777777" w:rsidR="00681633" w:rsidRPr="00787267" w:rsidRDefault="00681633" w:rsidP="00681633">
      <w:pPr>
        <w:spacing w:before="20" w:after="20" w:line="180" w:lineRule="atLeast"/>
        <w:jc w:val="both"/>
        <w:rPr>
          <w:rFonts w:eastAsia="Times New Roman"/>
          <w:sz w:val="17"/>
          <w:szCs w:val="17"/>
        </w:rPr>
      </w:pPr>
      <w:r w:rsidRPr="00787267">
        <w:rPr>
          <w:rFonts w:eastAsia="Times New Roman"/>
          <w:sz w:val="17"/>
          <w:szCs w:val="17"/>
          <w:u w:val="single"/>
        </w:rPr>
        <w:t>Satisfactory (4, 5 and 6)</w:t>
      </w:r>
    </w:p>
    <w:p w14:paraId="15BE82E8" w14:textId="77777777" w:rsidR="00681633" w:rsidRPr="00787267" w:rsidRDefault="00681633" w:rsidP="00681633">
      <w:pPr>
        <w:spacing w:line="240" w:lineRule="auto"/>
        <w:rPr>
          <w:sz w:val="16"/>
          <w:szCs w:val="16"/>
        </w:rPr>
      </w:pPr>
      <w:r w:rsidRPr="00787267">
        <w:rPr>
          <w:sz w:val="16"/>
          <w:szCs w:val="16"/>
        </w:rPr>
        <w:t xml:space="preserve">6 = Very good; satisfies criteria in all areas. 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5 = Good; satisfies criteria in almost all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4 = Adequate; on balance, satisfies criteria; does not fail in any major area.</w:t>
      </w:r>
    </w:p>
    <w:p w14:paraId="48B0BB33" w14:textId="77777777" w:rsidR="00681633" w:rsidRPr="00787267" w:rsidRDefault="00681633" w:rsidP="00681633">
      <w:pPr>
        <w:spacing w:line="240" w:lineRule="auto"/>
        <w:rPr>
          <w:sz w:val="16"/>
          <w:szCs w:val="16"/>
          <w:u w:val="single"/>
        </w:rPr>
      </w:pPr>
      <w:r w:rsidRPr="00787267">
        <w:rPr>
          <w:sz w:val="16"/>
          <w:szCs w:val="16"/>
          <w:u w:val="single"/>
        </w:rPr>
        <w:t>Less than satisfactory (1, 2 and 3)</w:t>
      </w:r>
    </w:p>
    <w:p w14:paraId="4DC45723" w14:textId="62D36230" w:rsidR="00681633" w:rsidRDefault="00681633" w:rsidP="008A6BB7">
      <w:pPr>
        <w:spacing w:before="0" w:after="0" w:line="240" w:lineRule="auto"/>
      </w:pPr>
      <w:r w:rsidRPr="00787267">
        <w:rPr>
          <w:sz w:val="16"/>
          <w:szCs w:val="16"/>
        </w:rPr>
        <w:t>3 = Less than adequate; on balance does not satisfy criteria and/or fails in at least one major area.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>2 = Poor; does not sa</w:t>
      </w:r>
      <w:r>
        <w:rPr>
          <w:sz w:val="16"/>
          <w:szCs w:val="16"/>
        </w:rPr>
        <w:t>tisfy criteria in major areas.</w:t>
      </w:r>
      <w:r>
        <w:rPr>
          <w:sz w:val="16"/>
          <w:szCs w:val="16"/>
        </w:rPr>
        <w:br/>
      </w:r>
      <w:r w:rsidRPr="00787267">
        <w:rPr>
          <w:sz w:val="16"/>
          <w:szCs w:val="16"/>
        </w:rPr>
        <w:t xml:space="preserve">1 = Very poor; does not satisfy criteria in many major </w:t>
      </w:r>
      <w:proofErr w:type="gramStart"/>
      <w:r w:rsidRPr="00787267">
        <w:rPr>
          <w:sz w:val="16"/>
          <w:szCs w:val="16"/>
        </w:rPr>
        <w:t>area</w:t>
      </w:r>
      <w:proofErr w:type="gramEnd"/>
      <w:r w:rsidRPr="00A05FF5">
        <w:t>.</w:t>
      </w:r>
      <w:r>
        <w:br/>
      </w:r>
    </w:p>
    <w:sectPr w:rsidR="00681633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96312" w14:textId="77777777" w:rsidR="0092311C" w:rsidRDefault="0092311C" w:rsidP="00D37B04">
      <w:r>
        <w:separator/>
      </w:r>
    </w:p>
  </w:endnote>
  <w:endnote w:type="continuationSeparator" w:id="0">
    <w:p w14:paraId="2C0409C4" w14:textId="77777777" w:rsidR="0092311C" w:rsidRDefault="0092311C" w:rsidP="00D3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36999" w14:textId="64CBD813" w:rsidR="00D523C9" w:rsidRDefault="00D523C9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62336" behindDoc="1" locked="0" layoutInCell="1" allowOverlap="1" wp14:anchorId="593A6AEE" wp14:editId="16A26CA0">
              <wp:simplePos x="0" y="0"/>
              <wp:positionH relativeFrom="margin">
                <wp:posOffset>0</wp:posOffset>
              </wp:positionH>
              <wp:positionV relativeFrom="paragraph">
                <wp:posOffset>49530</wp:posOffset>
              </wp:positionV>
              <wp:extent cx="6624324" cy="458470"/>
              <wp:effectExtent l="0" t="0" r="5080" b="0"/>
              <wp:wrapNone/>
              <wp:docPr id="12" name="Pictur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4343" cy="4584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217600B" w14:textId="5B6DBAB1" w:rsidR="00D523C9" w:rsidRPr="00FE2225" w:rsidRDefault="00D523C9" w:rsidP="00B413F2">
        <w:pPr>
          <w:pStyle w:val="Footer"/>
          <w:spacing w:line="240" w:lineRule="auto"/>
          <w:rPr>
            <w:color w:val="auto"/>
          </w:rPr>
        </w:pPr>
        <w:r>
          <w:rPr>
            <w:b/>
            <w:noProof/>
            <w:color w:val="495965" w:themeColor="text2"/>
            <w:lang w:val="en-AU" w:eastAsia="en-AU"/>
          </w:rPr>
          <w:tab/>
        </w:r>
        <w:r w:rsidRPr="00FE2225">
          <w:rPr>
            <w:bCs/>
            <w:noProof/>
            <w:color w:val="auto"/>
            <w:lang w:val="en-AU" w:eastAsia="en-AU"/>
          </w:rPr>
          <w:fldChar w:fldCharType="begin"/>
        </w:r>
        <w:r w:rsidRPr="00FE2225">
          <w:rPr>
            <w:bCs/>
            <w:noProof/>
            <w:color w:val="auto"/>
            <w:lang w:val="en-AU" w:eastAsia="en-AU"/>
          </w:rPr>
          <w:instrText xml:space="preserve"> PAGE   \* MERGEFORMAT </w:instrText>
        </w:r>
        <w:r w:rsidRPr="00FE2225">
          <w:rPr>
            <w:bCs/>
            <w:noProof/>
            <w:color w:val="auto"/>
            <w:lang w:val="en-AU" w:eastAsia="en-AU"/>
          </w:rPr>
          <w:fldChar w:fldCharType="separate"/>
        </w:r>
        <w:r>
          <w:rPr>
            <w:bCs/>
            <w:noProof/>
            <w:color w:val="auto"/>
            <w:lang w:val="en-AU" w:eastAsia="en-AU"/>
          </w:rPr>
          <w:t>1</w:t>
        </w:r>
        <w:r w:rsidRPr="00FE2225">
          <w:rPr>
            <w:bCs/>
            <w:noProof/>
            <w:color w:val="auto"/>
            <w:lang w:val="en-AU" w:eastAsia="en-AU"/>
          </w:rPr>
          <w:fldChar w:fldCharType="end"/>
        </w:r>
      </w:p>
      <w:p w14:paraId="1E51B8D5" w14:textId="05C94BE6" w:rsidR="00D523C9" w:rsidRPr="001D3DDD" w:rsidRDefault="004D2184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D523C9" w:rsidRDefault="00D523C9" w:rsidP="009131E9">
    <w:pPr>
      <w:pStyle w:val="Footer"/>
      <w:spacing w:line="240" w:lineRule="auto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E3A2" w14:textId="5F2DE2C9" w:rsidR="00D523C9" w:rsidRDefault="00D523C9">
    <w:pPr>
      <w:pStyle w:val="Footer"/>
    </w:pPr>
    <w:r>
      <w:rPr>
        <w:noProof/>
        <w:color w:val="auto"/>
      </w:rPr>
      <w:drawing>
        <wp:anchor distT="0" distB="0" distL="114300" distR="114300" simplePos="0" relativeHeight="251660288" behindDoc="1" locked="0" layoutInCell="1" allowOverlap="1" wp14:anchorId="7E9BF5CC" wp14:editId="40497D78">
          <wp:simplePos x="0" y="0"/>
          <wp:positionH relativeFrom="margin">
            <wp:posOffset>0</wp:posOffset>
          </wp:positionH>
          <wp:positionV relativeFrom="paragraph">
            <wp:posOffset>-290829</wp:posOffset>
          </wp:positionV>
          <wp:extent cx="6617844" cy="57785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Picture 28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329" cy="58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E4A">
      <w:rPr>
        <w:b/>
        <w:noProof/>
        <w:color w:val="495965" w:themeColor="text2"/>
        <w:lang w:val="en-AU" w:eastAsia="en-AU"/>
      </w:rPr>
      <w:t>Novemb</w:t>
    </w:r>
    <w:r>
      <w:rPr>
        <w:b/>
        <w:noProof/>
        <w:color w:val="495965" w:themeColor="text2"/>
        <w:lang w:val="en-AU" w:eastAsia="en-AU"/>
      </w:rPr>
      <w:t>er 20</w:t>
    </w:r>
    <w:r w:rsidRPr="00C92805">
      <w:rPr>
        <w:b/>
        <w:noProof/>
        <w:color w:val="495965" w:themeColor="text2"/>
        <w:lang w:val="en-AU" w:eastAsia="en-AU"/>
      </w:rPr>
      <w:t>2</w:t>
    </w:r>
    <w:r>
      <w:rPr>
        <w:b/>
        <w:noProof/>
        <w:color w:val="495965" w:themeColor="text2"/>
        <w:lang w:val="en-AU" w:eastAsia="en-AU"/>
      </w:rPr>
      <w:t>1</w:t>
    </w:r>
    <w:r w:rsidR="00137E4A"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ab/>
    </w:r>
    <w:r w:rsidRPr="00FE2225">
      <w:rPr>
        <w:bCs/>
        <w:noProof/>
        <w:color w:val="auto"/>
        <w:lang w:val="en-AU" w:eastAsia="en-AU"/>
      </w:rPr>
      <w:fldChar w:fldCharType="begin"/>
    </w:r>
    <w:r w:rsidRPr="00FE2225">
      <w:rPr>
        <w:bCs/>
        <w:noProof/>
        <w:color w:val="auto"/>
        <w:lang w:val="en-AU" w:eastAsia="en-AU"/>
      </w:rPr>
      <w:instrText xml:space="preserve"> PAGE   \* MERGEFORMAT </w:instrText>
    </w:r>
    <w:r w:rsidRPr="00FE2225">
      <w:rPr>
        <w:bCs/>
        <w:noProof/>
        <w:color w:val="auto"/>
        <w:lang w:val="en-AU" w:eastAsia="en-AU"/>
      </w:rPr>
      <w:fldChar w:fldCharType="separate"/>
    </w:r>
    <w:r>
      <w:rPr>
        <w:bCs/>
        <w:noProof/>
        <w:color w:val="auto"/>
        <w:lang w:val="en-AU" w:eastAsia="en-AU"/>
      </w:rPr>
      <w:t>1</w:t>
    </w:r>
    <w:r w:rsidRPr="00FE2225">
      <w:rPr>
        <w:bCs/>
        <w:noProof/>
        <w:color w:val="auto"/>
        <w:lang w:val="en-AU"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9082" w14:textId="77777777" w:rsidR="0092311C" w:rsidRPr="008C5A0E" w:rsidRDefault="0092311C" w:rsidP="00D37B04">
      <w:pPr>
        <w:pStyle w:val="Footer"/>
      </w:pPr>
    </w:p>
  </w:footnote>
  <w:footnote w:type="continuationSeparator" w:id="0">
    <w:p w14:paraId="6599CC51" w14:textId="77777777" w:rsidR="0092311C" w:rsidRDefault="0092311C" w:rsidP="00D37B04">
      <w:r>
        <w:continuationSeparator/>
      </w:r>
    </w:p>
  </w:footnote>
  <w:footnote w:id="1">
    <w:p w14:paraId="49752622" w14:textId="74CFCE70" w:rsidR="00D523C9" w:rsidRPr="00B10377" w:rsidRDefault="00D523C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    </w:t>
      </w:r>
      <w:r w:rsidRPr="00B10377">
        <w:rPr>
          <w:sz w:val="16"/>
          <w:szCs w:val="16"/>
        </w:rPr>
        <w:t>Couple Years Protection</w:t>
      </w:r>
      <w:r w:rsidRPr="00A47BCC">
        <w:t xml:space="preserve"> </w:t>
      </w:r>
      <w:r w:rsidRPr="00B10377">
        <w:rPr>
          <w:sz w:val="16"/>
          <w:szCs w:val="16"/>
        </w:rPr>
        <w:t>is the estimated protection provided by contraceptive methods during a one-year period, based upon the volume of all contraceptives sold or distributed free of charge to clients during that period</w:t>
      </w:r>
      <w:r>
        <w:rPr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7E92" w14:textId="09B7FBEF" w:rsidR="00D523C9" w:rsidRDefault="00D523C9" w:rsidP="007A4493">
    <w:pPr>
      <w:pStyle w:val="Header"/>
      <w:ind w:left="0"/>
    </w:pPr>
    <w:r w:rsidRPr="00A12B40">
      <w:rPr>
        <w:i/>
        <w:caps w:val="0"/>
      </w:rPr>
      <w:t>Partnerships for Recovery</w:t>
    </w: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2A5E" w14:textId="483FCFE4" w:rsidR="00D523C9" w:rsidRDefault="00D523C9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13" name="Picture 13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C1E63B3"/>
    <w:multiLevelType w:val="hybridMultilevel"/>
    <w:tmpl w:val="0CDCA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7C06"/>
    <w:multiLevelType w:val="hybridMultilevel"/>
    <w:tmpl w:val="9998FA42"/>
    <w:lvl w:ilvl="0" w:tplc="F2286A0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57461"/>
    <w:multiLevelType w:val="hybridMultilevel"/>
    <w:tmpl w:val="726CF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DB23DC3"/>
    <w:multiLevelType w:val="hybridMultilevel"/>
    <w:tmpl w:val="5B568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132CE"/>
    <w:multiLevelType w:val="multilevel"/>
    <w:tmpl w:val="3B7A10DE"/>
    <w:numStyleLink w:val="BulletsList"/>
  </w:abstractNum>
  <w:abstractNum w:abstractNumId="11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413C5"/>
    <w:multiLevelType w:val="multilevel"/>
    <w:tmpl w:val="3314E3BC"/>
    <w:lvl w:ilvl="0">
      <w:start w:val="1"/>
      <w:numFmt w:val="bullet"/>
      <w:pStyle w:val="TableBullet"/>
      <w:lvlText w:val=""/>
      <w:lvlJc w:val="left"/>
      <w:pPr>
        <w:ind w:left="397" w:hanging="397"/>
      </w:pPr>
      <w:rPr>
        <w:rFonts w:ascii="Symbol" w:hAnsi="Symbol" w:hint="default"/>
        <w:color w:val="FF931E"/>
      </w:rPr>
    </w:lvl>
    <w:lvl w:ilvl="1">
      <w:start w:val="1"/>
      <w:numFmt w:val="bullet"/>
      <w:lvlText w:val=""/>
      <w:lvlJc w:val="left"/>
      <w:pPr>
        <w:ind w:left="1097" w:hanging="340"/>
      </w:pPr>
      <w:rPr>
        <w:rFonts w:ascii="Symbol" w:hAnsi="Symbol" w:hint="default"/>
        <w:color w:val="FF931E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6" w15:restartNumberingAfterBreak="0">
    <w:nsid w:val="4B565667"/>
    <w:multiLevelType w:val="multilevel"/>
    <w:tmpl w:val="5D9A3B7C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7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B37E4"/>
    <w:multiLevelType w:val="hybridMultilevel"/>
    <w:tmpl w:val="FF669E18"/>
    <w:lvl w:ilvl="0" w:tplc="5F0478F0">
      <w:start w:val="465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 w15:restartNumberingAfterBreak="0">
    <w:nsid w:val="59FD772D"/>
    <w:multiLevelType w:val="hybridMultilevel"/>
    <w:tmpl w:val="7A1E4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73E34"/>
    <w:multiLevelType w:val="hybridMultilevel"/>
    <w:tmpl w:val="3AF09D1E"/>
    <w:lvl w:ilvl="0" w:tplc="0B620AC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5D1B19BB"/>
    <w:multiLevelType w:val="hybridMultilevel"/>
    <w:tmpl w:val="45A2AF46"/>
    <w:lvl w:ilvl="0" w:tplc="3942EB0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267EE"/>
    <w:multiLevelType w:val="hybridMultilevel"/>
    <w:tmpl w:val="B956C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C28B2"/>
    <w:multiLevelType w:val="hybridMultilevel"/>
    <w:tmpl w:val="E22EA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8"/>
  </w:num>
  <w:num w:numId="7">
    <w:abstractNumId w:val="1"/>
  </w:num>
  <w:num w:numId="8">
    <w:abstractNumId w:val="3"/>
  </w:num>
  <w:num w:numId="9">
    <w:abstractNumId w:val="35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5"/>
  </w:num>
  <w:num w:numId="15">
    <w:abstractNumId w:val="23"/>
  </w:num>
  <w:num w:numId="16">
    <w:abstractNumId w:val="28"/>
  </w:num>
  <w:num w:numId="17">
    <w:abstractNumId w:val="6"/>
  </w:num>
  <w:num w:numId="18">
    <w:abstractNumId w:val="24"/>
  </w:num>
  <w:num w:numId="19">
    <w:abstractNumId w:val="33"/>
  </w:num>
  <w:num w:numId="20">
    <w:abstractNumId w:val="12"/>
  </w:num>
  <w:num w:numId="21">
    <w:abstractNumId w:val="32"/>
  </w:num>
  <w:num w:numId="22">
    <w:abstractNumId w:val="11"/>
  </w:num>
  <w:num w:numId="23">
    <w:abstractNumId w:val="2"/>
  </w:num>
  <w:num w:numId="24">
    <w:abstractNumId w:val="30"/>
  </w:num>
  <w:num w:numId="25">
    <w:abstractNumId w:val="36"/>
  </w:num>
  <w:num w:numId="26">
    <w:abstractNumId w:val="13"/>
  </w:num>
  <w:num w:numId="27">
    <w:abstractNumId w:val="27"/>
  </w:num>
  <w:num w:numId="28">
    <w:abstractNumId w:val="10"/>
  </w:num>
  <w:num w:numId="29">
    <w:abstractNumId w:val="4"/>
  </w:num>
  <w:num w:numId="30">
    <w:abstractNumId w:val="29"/>
  </w:num>
  <w:num w:numId="31">
    <w:abstractNumId w:val="21"/>
  </w:num>
  <w:num w:numId="32">
    <w:abstractNumId w:val="9"/>
  </w:num>
  <w:num w:numId="33">
    <w:abstractNumId w:val="7"/>
  </w:num>
  <w:num w:numId="34">
    <w:abstractNumId w:val="34"/>
  </w:num>
  <w:num w:numId="35">
    <w:abstractNumId w:val="5"/>
  </w:num>
  <w:num w:numId="36">
    <w:abstractNumId w:val="14"/>
  </w:num>
  <w:num w:numId="37">
    <w:abstractNumId w:val="16"/>
  </w:num>
  <w:num w:numId="38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</w:num>
  <w:num w:numId="41">
    <w:abstractNumId w:val="19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22"/>
  </w:num>
  <w:num w:numId="47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021CD"/>
    <w:rsid w:val="00005CEC"/>
    <w:rsid w:val="00010006"/>
    <w:rsid w:val="000109BF"/>
    <w:rsid w:val="00011235"/>
    <w:rsid w:val="00014DCF"/>
    <w:rsid w:val="00015AB7"/>
    <w:rsid w:val="0002080A"/>
    <w:rsid w:val="000273A0"/>
    <w:rsid w:val="000274A4"/>
    <w:rsid w:val="000277F1"/>
    <w:rsid w:val="0002782F"/>
    <w:rsid w:val="0003063F"/>
    <w:rsid w:val="00031486"/>
    <w:rsid w:val="000314BA"/>
    <w:rsid w:val="00035BBF"/>
    <w:rsid w:val="00035C92"/>
    <w:rsid w:val="00035CBC"/>
    <w:rsid w:val="000417C3"/>
    <w:rsid w:val="000444F3"/>
    <w:rsid w:val="00044ACF"/>
    <w:rsid w:val="00046F1C"/>
    <w:rsid w:val="0005057A"/>
    <w:rsid w:val="00050806"/>
    <w:rsid w:val="000546D9"/>
    <w:rsid w:val="00054E4D"/>
    <w:rsid w:val="0005564F"/>
    <w:rsid w:val="00055880"/>
    <w:rsid w:val="00056F24"/>
    <w:rsid w:val="00057F65"/>
    <w:rsid w:val="00060073"/>
    <w:rsid w:val="00060BF1"/>
    <w:rsid w:val="000616C6"/>
    <w:rsid w:val="00065391"/>
    <w:rsid w:val="000660A0"/>
    <w:rsid w:val="00066C76"/>
    <w:rsid w:val="00076B46"/>
    <w:rsid w:val="00077A35"/>
    <w:rsid w:val="000822AD"/>
    <w:rsid w:val="0008449B"/>
    <w:rsid w:val="00084CD3"/>
    <w:rsid w:val="000854FD"/>
    <w:rsid w:val="000A2645"/>
    <w:rsid w:val="000A3057"/>
    <w:rsid w:val="000A407E"/>
    <w:rsid w:val="000B1A40"/>
    <w:rsid w:val="000B36EE"/>
    <w:rsid w:val="000B37F5"/>
    <w:rsid w:val="000B5DA7"/>
    <w:rsid w:val="000B78E6"/>
    <w:rsid w:val="000C043A"/>
    <w:rsid w:val="000C3A4C"/>
    <w:rsid w:val="000C4411"/>
    <w:rsid w:val="000D06AE"/>
    <w:rsid w:val="000D0F2D"/>
    <w:rsid w:val="000D0FFB"/>
    <w:rsid w:val="000D15B1"/>
    <w:rsid w:val="000D2896"/>
    <w:rsid w:val="000D2D04"/>
    <w:rsid w:val="000D2E15"/>
    <w:rsid w:val="000D4D7F"/>
    <w:rsid w:val="000D66D6"/>
    <w:rsid w:val="000D7C58"/>
    <w:rsid w:val="000E479A"/>
    <w:rsid w:val="000E4D10"/>
    <w:rsid w:val="000E58BF"/>
    <w:rsid w:val="000E68AC"/>
    <w:rsid w:val="000E6C44"/>
    <w:rsid w:val="000F02E5"/>
    <w:rsid w:val="000F0350"/>
    <w:rsid w:val="000F2600"/>
    <w:rsid w:val="000F5DC7"/>
    <w:rsid w:val="000F60C2"/>
    <w:rsid w:val="000F78C9"/>
    <w:rsid w:val="001016C6"/>
    <w:rsid w:val="00106501"/>
    <w:rsid w:val="00107B5D"/>
    <w:rsid w:val="00113288"/>
    <w:rsid w:val="001214BE"/>
    <w:rsid w:val="0012165D"/>
    <w:rsid w:val="00121DDD"/>
    <w:rsid w:val="001227F1"/>
    <w:rsid w:val="001230EA"/>
    <w:rsid w:val="001263CC"/>
    <w:rsid w:val="00127614"/>
    <w:rsid w:val="0013101C"/>
    <w:rsid w:val="00132EAD"/>
    <w:rsid w:val="0013385F"/>
    <w:rsid w:val="00133B8A"/>
    <w:rsid w:val="00136754"/>
    <w:rsid w:val="00137E4A"/>
    <w:rsid w:val="00137F4E"/>
    <w:rsid w:val="00141D32"/>
    <w:rsid w:val="00141F5D"/>
    <w:rsid w:val="00144FD0"/>
    <w:rsid w:val="001461D6"/>
    <w:rsid w:val="00146E07"/>
    <w:rsid w:val="001541EA"/>
    <w:rsid w:val="0016223D"/>
    <w:rsid w:val="001629F0"/>
    <w:rsid w:val="00165913"/>
    <w:rsid w:val="00166032"/>
    <w:rsid w:val="001662F8"/>
    <w:rsid w:val="00180978"/>
    <w:rsid w:val="0018391F"/>
    <w:rsid w:val="001841C8"/>
    <w:rsid w:val="00186B4B"/>
    <w:rsid w:val="00190692"/>
    <w:rsid w:val="00191A8C"/>
    <w:rsid w:val="00193C49"/>
    <w:rsid w:val="001A51EE"/>
    <w:rsid w:val="001A75EC"/>
    <w:rsid w:val="001A7815"/>
    <w:rsid w:val="001B0B1D"/>
    <w:rsid w:val="001B34DD"/>
    <w:rsid w:val="001B5B9A"/>
    <w:rsid w:val="001B78DA"/>
    <w:rsid w:val="001C13FF"/>
    <w:rsid w:val="001C14F4"/>
    <w:rsid w:val="001C1F11"/>
    <w:rsid w:val="001C2EFE"/>
    <w:rsid w:val="001C458C"/>
    <w:rsid w:val="001C5D91"/>
    <w:rsid w:val="001C7EFD"/>
    <w:rsid w:val="001D1A8F"/>
    <w:rsid w:val="001D3C98"/>
    <w:rsid w:val="001D3DDD"/>
    <w:rsid w:val="001D4091"/>
    <w:rsid w:val="001D663E"/>
    <w:rsid w:val="001E03BE"/>
    <w:rsid w:val="001E093F"/>
    <w:rsid w:val="001E0BAA"/>
    <w:rsid w:val="001E1DC0"/>
    <w:rsid w:val="001E496B"/>
    <w:rsid w:val="001E563B"/>
    <w:rsid w:val="001E6D20"/>
    <w:rsid w:val="001E78E2"/>
    <w:rsid w:val="001F0000"/>
    <w:rsid w:val="001F16E7"/>
    <w:rsid w:val="001F7A8B"/>
    <w:rsid w:val="001F7F4D"/>
    <w:rsid w:val="00200D16"/>
    <w:rsid w:val="00216C55"/>
    <w:rsid w:val="002231BD"/>
    <w:rsid w:val="002270F7"/>
    <w:rsid w:val="002325A1"/>
    <w:rsid w:val="00236CA5"/>
    <w:rsid w:val="002404E8"/>
    <w:rsid w:val="00244229"/>
    <w:rsid w:val="002447F4"/>
    <w:rsid w:val="00247365"/>
    <w:rsid w:val="00247C44"/>
    <w:rsid w:val="00255F45"/>
    <w:rsid w:val="00256251"/>
    <w:rsid w:val="00257CCA"/>
    <w:rsid w:val="00257EF9"/>
    <w:rsid w:val="00261565"/>
    <w:rsid w:val="002673D7"/>
    <w:rsid w:val="00267905"/>
    <w:rsid w:val="00270C70"/>
    <w:rsid w:val="002721B5"/>
    <w:rsid w:val="00272642"/>
    <w:rsid w:val="00284966"/>
    <w:rsid w:val="0028602A"/>
    <w:rsid w:val="002900C0"/>
    <w:rsid w:val="0029370D"/>
    <w:rsid w:val="00293BC1"/>
    <w:rsid w:val="002945C4"/>
    <w:rsid w:val="00296324"/>
    <w:rsid w:val="0029663F"/>
    <w:rsid w:val="00296E22"/>
    <w:rsid w:val="00297258"/>
    <w:rsid w:val="00297FD1"/>
    <w:rsid w:val="002A4C2E"/>
    <w:rsid w:val="002A5FD3"/>
    <w:rsid w:val="002B098F"/>
    <w:rsid w:val="002B3381"/>
    <w:rsid w:val="002B5E10"/>
    <w:rsid w:val="002C0348"/>
    <w:rsid w:val="002C0842"/>
    <w:rsid w:val="002C46F9"/>
    <w:rsid w:val="002C47D8"/>
    <w:rsid w:val="002C5171"/>
    <w:rsid w:val="002C793D"/>
    <w:rsid w:val="002D35C9"/>
    <w:rsid w:val="002D4108"/>
    <w:rsid w:val="002D430F"/>
    <w:rsid w:val="002D5343"/>
    <w:rsid w:val="002D5B25"/>
    <w:rsid w:val="002D6FCC"/>
    <w:rsid w:val="002D7664"/>
    <w:rsid w:val="002E2AF4"/>
    <w:rsid w:val="002E38B2"/>
    <w:rsid w:val="002E44FE"/>
    <w:rsid w:val="002E500A"/>
    <w:rsid w:val="002F03FB"/>
    <w:rsid w:val="002F4F2B"/>
    <w:rsid w:val="002F595E"/>
    <w:rsid w:val="002F5CFC"/>
    <w:rsid w:val="002F65EA"/>
    <w:rsid w:val="002F6ABB"/>
    <w:rsid w:val="003002C0"/>
    <w:rsid w:val="00301144"/>
    <w:rsid w:val="003031C6"/>
    <w:rsid w:val="00304984"/>
    <w:rsid w:val="00310FA0"/>
    <w:rsid w:val="00311946"/>
    <w:rsid w:val="00312BF8"/>
    <w:rsid w:val="00313807"/>
    <w:rsid w:val="00313C6C"/>
    <w:rsid w:val="003148B7"/>
    <w:rsid w:val="003158C3"/>
    <w:rsid w:val="00316546"/>
    <w:rsid w:val="00323289"/>
    <w:rsid w:val="003274CD"/>
    <w:rsid w:val="00330C78"/>
    <w:rsid w:val="00332E0F"/>
    <w:rsid w:val="00333501"/>
    <w:rsid w:val="003376F3"/>
    <w:rsid w:val="003406AF"/>
    <w:rsid w:val="0034498E"/>
    <w:rsid w:val="003457C4"/>
    <w:rsid w:val="0035119D"/>
    <w:rsid w:val="003535F8"/>
    <w:rsid w:val="00354641"/>
    <w:rsid w:val="003622C1"/>
    <w:rsid w:val="00363A9F"/>
    <w:rsid w:val="003664FE"/>
    <w:rsid w:val="00372B11"/>
    <w:rsid w:val="00373B7A"/>
    <w:rsid w:val="0037421F"/>
    <w:rsid w:val="00375D23"/>
    <w:rsid w:val="003806FE"/>
    <w:rsid w:val="003828C7"/>
    <w:rsid w:val="00382CE7"/>
    <w:rsid w:val="003842E9"/>
    <w:rsid w:val="00387EC8"/>
    <w:rsid w:val="00390595"/>
    <w:rsid w:val="0039215F"/>
    <w:rsid w:val="0039232A"/>
    <w:rsid w:val="00392750"/>
    <w:rsid w:val="0039344A"/>
    <w:rsid w:val="003B3091"/>
    <w:rsid w:val="003B4F12"/>
    <w:rsid w:val="003C363B"/>
    <w:rsid w:val="003C3A74"/>
    <w:rsid w:val="003C557C"/>
    <w:rsid w:val="003C6C4F"/>
    <w:rsid w:val="003C7D0E"/>
    <w:rsid w:val="003D1253"/>
    <w:rsid w:val="003D2246"/>
    <w:rsid w:val="003D2E9E"/>
    <w:rsid w:val="003D71FF"/>
    <w:rsid w:val="003E0095"/>
    <w:rsid w:val="003E0AD3"/>
    <w:rsid w:val="003E24BA"/>
    <w:rsid w:val="003E5597"/>
    <w:rsid w:val="003F2041"/>
    <w:rsid w:val="003F7D26"/>
    <w:rsid w:val="004007ED"/>
    <w:rsid w:val="00400A18"/>
    <w:rsid w:val="00400D50"/>
    <w:rsid w:val="004012D1"/>
    <w:rsid w:val="00402ACC"/>
    <w:rsid w:val="00403FD8"/>
    <w:rsid w:val="00404443"/>
    <w:rsid w:val="00404602"/>
    <w:rsid w:val="004050C1"/>
    <w:rsid w:val="0041099D"/>
    <w:rsid w:val="00410A78"/>
    <w:rsid w:val="004120EC"/>
    <w:rsid w:val="0041231F"/>
    <w:rsid w:val="0041267F"/>
    <w:rsid w:val="00414A20"/>
    <w:rsid w:val="004152A3"/>
    <w:rsid w:val="00423DE0"/>
    <w:rsid w:val="00423F31"/>
    <w:rsid w:val="0042526D"/>
    <w:rsid w:val="00426340"/>
    <w:rsid w:val="004266EA"/>
    <w:rsid w:val="004303AA"/>
    <w:rsid w:val="00431899"/>
    <w:rsid w:val="00450381"/>
    <w:rsid w:val="004529F1"/>
    <w:rsid w:val="00453B1A"/>
    <w:rsid w:val="0045619E"/>
    <w:rsid w:val="00461C25"/>
    <w:rsid w:val="00462A57"/>
    <w:rsid w:val="004728DD"/>
    <w:rsid w:val="00473F2D"/>
    <w:rsid w:val="00473F39"/>
    <w:rsid w:val="00474037"/>
    <w:rsid w:val="00475782"/>
    <w:rsid w:val="00482AE8"/>
    <w:rsid w:val="0048369C"/>
    <w:rsid w:val="00486804"/>
    <w:rsid w:val="00487549"/>
    <w:rsid w:val="00494242"/>
    <w:rsid w:val="00494E41"/>
    <w:rsid w:val="00495036"/>
    <w:rsid w:val="004A06F8"/>
    <w:rsid w:val="004A184F"/>
    <w:rsid w:val="004A3A72"/>
    <w:rsid w:val="004A41B8"/>
    <w:rsid w:val="004B3775"/>
    <w:rsid w:val="004B396A"/>
    <w:rsid w:val="004C00DB"/>
    <w:rsid w:val="004C23B2"/>
    <w:rsid w:val="004C4399"/>
    <w:rsid w:val="004D0BA0"/>
    <w:rsid w:val="004D11F9"/>
    <w:rsid w:val="004D2184"/>
    <w:rsid w:val="004D3DC0"/>
    <w:rsid w:val="004D4AE0"/>
    <w:rsid w:val="004D547C"/>
    <w:rsid w:val="004D7F36"/>
    <w:rsid w:val="004E058F"/>
    <w:rsid w:val="004E2EB1"/>
    <w:rsid w:val="004E3B87"/>
    <w:rsid w:val="004E467E"/>
    <w:rsid w:val="004E549D"/>
    <w:rsid w:val="004E7D22"/>
    <w:rsid w:val="004F36AC"/>
    <w:rsid w:val="004F5229"/>
    <w:rsid w:val="004F539A"/>
    <w:rsid w:val="004F5615"/>
    <w:rsid w:val="00500E42"/>
    <w:rsid w:val="00502041"/>
    <w:rsid w:val="00503EB4"/>
    <w:rsid w:val="0050592F"/>
    <w:rsid w:val="00510921"/>
    <w:rsid w:val="00510AD3"/>
    <w:rsid w:val="00513348"/>
    <w:rsid w:val="00513AD8"/>
    <w:rsid w:val="00516D6E"/>
    <w:rsid w:val="00517DD0"/>
    <w:rsid w:val="005204D2"/>
    <w:rsid w:val="00522396"/>
    <w:rsid w:val="00527014"/>
    <w:rsid w:val="00527AD8"/>
    <w:rsid w:val="0053159D"/>
    <w:rsid w:val="00531B69"/>
    <w:rsid w:val="00533B5D"/>
    <w:rsid w:val="00534D96"/>
    <w:rsid w:val="00536343"/>
    <w:rsid w:val="00536BAB"/>
    <w:rsid w:val="00540A22"/>
    <w:rsid w:val="005412F2"/>
    <w:rsid w:val="005455A2"/>
    <w:rsid w:val="00545C39"/>
    <w:rsid w:val="0054662C"/>
    <w:rsid w:val="005474FC"/>
    <w:rsid w:val="0055300C"/>
    <w:rsid w:val="00553079"/>
    <w:rsid w:val="00560E83"/>
    <w:rsid w:val="005629CD"/>
    <w:rsid w:val="005736BB"/>
    <w:rsid w:val="00573C38"/>
    <w:rsid w:val="00573E8F"/>
    <w:rsid w:val="00574822"/>
    <w:rsid w:val="00574D64"/>
    <w:rsid w:val="0057678A"/>
    <w:rsid w:val="00577815"/>
    <w:rsid w:val="005809D3"/>
    <w:rsid w:val="005822D6"/>
    <w:rsid w:val="00584BF9"/>
    <w:rsid w:val="005954A5"/>
    <w:rsid w:val="005A1A53"/>
    <w:rsid w:val="005A20F6"/>
    <w:rsid w:val="005A3560"/>
    <w:rsid w:val="005A777C"/>
    <w:rsid w:val="005B31B2"/>
    <w:rsid w:val="005B72E9"/>
    <w:rsid w:val="005C2EC9"/>
    <w:rsid w:val="005C532B"/>
    <w:rsid w:val="005C77F4"/>
    <w:rsid w:val="005D3655"/>
    <w:rsid w:val="005D5489"/>
    <w:rsid w:val="005E0058"/>
    <w:rsid w:val="005E2270"/>
    <w:rsid w:val="005E2899"/>
    <w:rsid w:val="005E2E87"/>
    <w:rsid w:val="005E3DAC"/>
    <w:rsid w:val="005E4830"/>
    <w:rsid w:val="005E4940"/>
    <w:rsid w:val="005E4D42"/>
    <w:rsid w:val="005E5524"/>
    <w:rsid w:val="005E5DBE"/>
    <w:rsid w:val="005E73CC"/>
    <w:rsid w:val="005F0F38"/>
    <w:rsid w:val="005F25C6"/>
    <w:rsid w:val="005F2F66"/>
    <w:rsid w:val="005F4742"/>
    <w:rsid w:val="005F4FD9"/>
    <w:rsid w:val="006031AC"/>
    <w:rsid w:val="00603321"/>
    <w:rsid w:val="00611525"/>
    <w:rsid w:val="00616A58"/>
    <w:rsid w:val="00620A3D"/>
    <w:rsid w:val="00622B86"/>
    <w:rsid w:val="00623BA1"/>
    <w:rsid w:val="0062721F"/>
    <w:rsid w:val="00630092"/>
    <w:rsid w:val="006346BC"/>
    <w:rsid w:val="006362FF"/>
    <w:rsid w:val="00636337"/>
    <w:rsid w:val="00636AD0"/>
    <w:rsid w:val="006378FE"/>
    <w:rsid w:val="006408FF"/>
    <w:rsid w:val="00640A8C"/>
    <w:rsid w:val="00641882"/>
    <w:rsid w:val="006456D9"/>
    <w:rsid w:val="006519DB"/>
    <w:rsid w:val="0065649B"/>
    <w:rsid w:val="006618DB"/>
    <w:rsid w:val="0066203A"/>
    <w:rsid w:val="0066609A"/>
    <w:rsid w:val="0066652A"/>
    <w:rsid w:val="00666E77"/>
    <w:rsid w:val="006672D1"/>
    <w:rsid w:val="006719C3"/>
    <w:rsid w:val="00672683"/>
    <w:rsid w:val="006745FC"/>
    <w:rsid w:val="006750D9"/>
    <w:rsid w:val="00680115"/>
    <w:rsid w:val="00680522"/>
    <w:rsid w:val="00681633"/>
    <w:rsid w:val="00682167"/>
    <w:rsid w:val="00690AE1"/>
    <w:rsid w:val="006A05AB"/>
    <w:rsid w:val="006A1863"/>
    <w:rsid w:val="006A2951"/>
    <w:rsid w:val="006A6F52"/>
    <w:rsid w:val="006A791A"/>
    <w:rsid w:val="006B0064"/>
    <w:rsid w:val="006B0750"/>
    <w:rsid w:val="006B173F"/>
    <w:rsid w:val="006B3E6B"/>
    <w:rsid w:val="006B3E95"/>
    <w:rsid w:val="006B40CD"/>
    <w:rsid w:val="006B424E"/>
    <w:rsid w:val="006B51B2"/>
    <w:rsid w:val="006B6F6D"/>
    <w:rsid w:val="006C0B06"/>
    <w:rsid w:val="006C0EC0"/>
    <w:rsid w:val="006C3BBD"/>
    <w:rsid w:val="006C42AF"/>
    <w:rsid w:val="006C565B"/>
    <w:rsid w:val="006C6498"/>
    <w:rsid w:val="006D15F1"/>
    <w:rsid w:val="006D4FB5"/>
    <w:rsid w:val="006D5A1F"/>
    <w:rsid w:val="006D5A56"/>
    <w:rsid w:val="006D60BD"/>
    <w:rsid w:val="006D631F"/>
    <w:rsid w:val="006D6BF2"/>
    <w:rsid w:val="006E0239"/>
    <w:rsid w:val="006E246C"/>
    <w:rsid w:val="006E36F3"/>
    <w:rsid w:val="006E3FB9"/>
    <w:rsid w:val="006E4323"/>
    <w:rsid w:val="006E43AE"/>
    <w:rsid w:val="006E4A68"/>
    <w:rsid w:val="006E7B1C"/>
    <w:rsid w:val="006F5A02"/>
    <w:rsid w:val="006F6BA7"/>
    <w:rsid w:val="0070340D"/>
    <w:rsid w:val="007045A8"/>
    <w:rsid w:val="007075DF"/>
    <w:rsid w:val="00707A8B"/>
    <w:rsid w:val="00711D8E"/>
    <w:rsid w:val="00712672"/>
    <w:rsid w:val="0071283A"/>
    <w:rsid w:val="007137ED"/>
    <w:rsid w:val="00714D9D"/>
    <w:rsid w:val="0071660E"/>
    <w:rsid w:val="007178C4"/>
    <w:rsid w:val="00721394"/>
    <w:rsid w:val="00725AE0"/>
    <w:rsid w:val="00732C50"/>
    <w:rsid w:val="00734E3F"/>
    <w:rsid w:val="00736985"/>
    <w:rsid w:val="007414D2"/>
    <w:rsid w:val="00745DF5"/>
    <w:rsid w:val="00751718"/>
    <w:rsid w:val="007556E7"/>
    <w:rsid w:val="0076241C"/>
    <w:rsid w:val="0076250F"/>
    <w:rsid w:val="007636D8"/>
    <w:rsid w:val="00771589"/>
    <w:rsid w:val="0077324F"/>
    <w:rsid w:val="0077327A"/>
    <w:rsid w:val="007733DC"/>
    <w:rsid w:val="00780FA5"/>
    <w:rsid w:val="00786C58"/>
    <w:rsid w:val="0079066F"/>
    <w:rsid w:val="00794D99"/>
    <w:rsid w:val="0079542F"/>
    <w:rsid w:val="0079618D"/>
    <w:rsid w:val="00796F1C"/>
    <w:rsid w:val="00797C25"/>
    <w:rsid w:val="007A1C9D"/>
    <w:rsid w:val="007A4493"/>
    <w:rsid w:val="007A773F"/>
    <w:rsid w:val="007B0E4B"/>
    <w:rsid w:val="007B53F9"/>
    <w:rsid w:val="007B570C"/>
    <w:rsid w:val="007B58EE"/>
    <w:rsid w:val="007B6200"/>
    <w:rsid w:val="007C10B2"/>
    <w:rsid w:val="007C19B3"/>
    <w:rsid w:val="007C4AD8"/>
    <w:rsid w:val="007C4BE8"/>
    <w:rsid w:val="007C6DCF"/>
    <w:rsid w:val="007C735B"/>
    <w:rsid w:val="007D1190"/>
    <w:rsid w:val="007E06EE"/>
    <w:rsid w:val="007E2B37"/>
    <w:rsid w:val="007E5361"/>
    <w:rsid w:val="007E556D"/>
    <w:rsid w:val="007E7BC7"/>
    <w:rsid w:val="007F3395"/>
    <w:rsid w:val="007F549E"/>
    <w:rsid w:val="007F5595"/>
    <w:rsid w:val="007F5C0B"/>
    <w:rsid w:val="007F646C"/>
    <w:rsid w:val="007F66F1"/>
    <w:rsid w:val="007F67C2"/>
    <w:rsid w:val="00800609"/>
    <w:rsid w:val="008006DD"/>
    <w:rsid w:val="00801B9F"/>
    <w:rsid w:val="0080204D"/>
    <w:rsid w:val="00813FEE"/>
    <w:rsid w:val="008148D5"/>
    <w:rsid w:val="008163CC"/>
    <w:rsid w:val="0082053C"/>
    <w:rsid w:val="0082093B"/>
    <w:rsid w:val="00822F43"/>
    <w:rsid w:val="00831B1F"/>
    <w:rsid w:val="008327CC"/>
    <w:rsid w:val="00835045"/>
    <w:rsid w:val="00835D24"/>
    <w:rsid w:val="0084191E"/>
    <w:rsid w:val="00842DA5"/>
    <w:rsid w:val="00843B76"/>
    <w:rsid w:val="008475F0"/>
    <w:rsid w:val="008515AF"/>
    <w:rsid w:val="00852C32"/>
    <w:rsid w:val="0085377D"/>
    <w:rsid w:val="00854F69"/>
    <w:rsid w:val="0085544B"/>
    <w:rsid w:val="008557A7"/>
    <w:rsid w:val="00856BFE"/>
    <w:rsid w:val="00857312"/>
    <w:rsid w:val="0086304A"/>
    <w:rsid w:val="00863B26"/>
    <w:rsid w:val="00864C22"/>
    <w:rsid w:val="00870928"/>
    <w:rsid w:val="008727FA"/>
    <w:rsid w:val="00875EDE"/>
    <w:rsid w:val="00877620"/>
    <w:rsid w:val="00877C92"/>
    <w:rsid w:val="00881605"/>
    <w:rsid w:val="00882C95"/>
    <w:rsid w:val="00887404"/>
    <w:rsid w:val="0089381F"/>
    <w:rsid w:val="00893E94"/>
    <w:rsid w:val="0089405C"/>
    <w:rsid w:val="00897FA2"/>
    <w:rsid w:val="008A1503"/>
    <w:rsid w:val="008A2DDC"/>
    <w:rsid w:val="008A57A3"/>
    <w:rsid w:val="008A5AFE"/>
    <w:rsid w:val="008A6BB7"/>
    <w:rsid w:val="008A6C54"/>
    <w:rsid w:val="008A7B6F"/>
    <w:rsid w:val="008B0CF7"/>
    <w:rsid w:val="008B7658"/>
    <w:rsid w:val="008C1F60"/>
    <w:rsid w:val="008C478C"/>
    <w:rsid w:val="008C4E8C"/>
    <w:rsid w:val="008C5A0E"/>
    <w:rsid w:val="008C6149"/>
    <w:rsid w:val="008C708C"/>
    <w:rsid w:val="008C7997"/>
    <w:rsid w:val="008E4B49"/>
    <w:rsid w:val="008E53BC"/>
    <w:rsid w:val="008E7F74"/>
    <w:rsid w:val="008F122E"/>
    <w:rsid w:val="008F6625"/>
    <w:rsid w:val="008F6D3B"/>
    <w:rsid w:val="00901D9E"/>
    <w:rsid w:val="0090213A"/>
    <w:rsid w:val="00902B28"/>
    <w:rsid w:val="00905EC7"/>
    <w:rsid w:val="0090670E"/>
    <w:rsid w:val="0091202A"/>
    <w:rsid w:val="009131E9"/>
    <w:rsid w:val="00916582"/>
    <w:rsid w:val="00917A7A"/>
    <w:rsid w:val="00920854"/>
    <w:rsid w:val="0092311C"/>
    <w:rsid w:val="00923875"/>
    <w:rsid w:val="009269B1"/>
    <w:rsid w:val="00930CF4"/>
    <w:rsid w:val="0093173D"/>
    <w:rsid w:val="00931C71"/>
    <w:rsid w:val="00934F1F"/>
    <w:rsid w:val="0093617B"/>
    <w:rsid w:val="00937866"/>
    <w:rsid w:val="00943730"/>
    <w:rsid w:val="00950D65"/>
    <w:rsid w:val="009524DB"/>
    <w:rsid w:val="00952815"/>
    <w:rsid w:val="0095703D"/>
    <w:rsid w:val="009573F2"/>
    <w:rsid w:val="00960F24"/>
    <w:rsid w:val="009641CE"/>
    <w:rsid w:val="00970917"/>
    <w:rsid w:val="0097117A"/>
    <w:rsid w:val="00975CA5"/>
    <w:rsid w:val="009774B4"/>
    <w:rsid w:val="00982AA7"/>
    <w:rsid w:val="00984FA2"/>
    <w:rsid w:val="00985455"/>
    <w:rsid w:val="00986590"/>
    <w:rsid w:val="00990656"/>
    <w:rsid w:val="00991579"/>
    <w:rsid w:val="00992C76"/>
    <w:rsid w:val="00993355"/>
    <w:rsid w:val="009969D6"/>
    <w:rsid w:val="009A112B"/>
    <w:rsid w:val="009A2619"/>
    <w:rsid w:val="009A441B"/>
    <w:rsid w:val="009A58FC"/>
    <w:rsid w:val="009B023B"/>
    <w:rsid w:val="009B06BF"/>
    <w:rsid w:val="009B394F"/>
    <w:rsid w:val="009B4D3B"/>
    <w:rsid w:val="009C04FB"/>
    <w:rsid w:val="009C18DB"/>
    <w:rsid w:val="009C3E45"/>
    <w:rsid w:val="009C4B42"/>
    <w:rsid w:val="009D03A3"/>
    <w:rsid w:val="009D15E8"/>
    <w:rsid w:val="009D2788"/>
    <w:rsid w:val="009D3438"/>
    <w:rsid w:val="009D7407"/>
    <w:rsid w:val="009D78F8"/>
    <w:rsid w:val="009E0866"/>
    <w:rsid w:val="009E14DD"/>
    <w:rsid w:val="009E20F5"/>
    <w:rsid w:val="009E273C"/>
    <w:rsid w:val="009E4AC4"/>
    <w:rsid w:val="009E653C"/>
    <w:rsid w:val="009F1350"/>
    <w:rsid w:val="009F2E0F"/>
    <w:rsid w:val="009F331F"/>
    <w:rsid w:val="009F6423"/>
    <w:rsid w:val="00A0236D"/>
    <w:rsid w:val="00A07A86"/>
    <w:rsid w:val="00A107B9"/>
    <w:rsid w:val="00A12B40"/>
    <w:rsid w:val="00A14F52"/>
    <w:rsid w:val="00A17560"/>
    <w:rsid w:val="00A23FF9"/>
    <w:rsid w:val="00A24A62"/>
    <w:rsid w:val="00A25B49"/>
    <w:rsid w:val="00A27F8A"/>
    <w:rsid w:val="00A31C9F"/>
    <w:rsid w:val="00A3308B"/>
    <w:rsid w:val="00A4144F"/>
    <w:rsid w:val="00A41767"/>
    <w:rsid w:val="00A43699"/>
    <w:rsid w:val="00A46B28"/>
    <w:rsid w:val="00A47135"/>
    <w:rsid w:val="00A47BCC"/>
    <w:rsid w:val="00A51B71"/>
    <w:rsid w:val="00A61B4D"/>
    <w:rsid w:val="00A650F8"/>
    <w:rsid w:val="00A71167"/>
    <w:rsid w:val="00A72201"/>
    <w:rsid w:val="00A74192"/>
    <w:rsid w:val="00A74B61"/>
    <w:rsid w:val="00A75B84"/>
    <w:rsid w:val="00A80123"/>
    <w:rsid w:val="00A80305"/>
    <w:rsid w:val="00A80F95"/>
    <w:rsid w:val="00A81A2E"/>
    <w:rsid w:val="00A833E5"/>
    <w:rsid w:val="00A83657"/>
    <w:rsid w:val="00A868CB"/>
    <w:rsid w:val="00A96364"/>
    <w:rsid w:val="00A97244"/>
    <w:rsid w:val="00A97BF1"/>
    <w:rsid w:val="00AA298A"/>
    <w:rsid w:val="00AA3AA8"/>
    <w:rsid w:val="00AB0A4F"/>
    <w:rsid w:val="00AB0FA6"/>
    <w:rsid w:val="00AB11FF"/>
    <w:rsid w:val="00AB4795"/>
    <w:rsid w:val="00AB6748"/>
    <w:rsid w:val="00AB6BD2"/>
    <w:rsid w:val="00AB6D33"/>
    <w:rsid w:val="00AC0138"/>
    <w:rsid w:val="00AC107C"/>
    <w:rsid w:val="00AC164A"/>
    <w:rsid w:val="00AC1BA9"/>
    <w:rsid w:val="00AC3944"/>
    <w:rsid w:val="00AC551D"/>
    <w:rsid w:val="00AC5D84"/>
    <w:rsid w:val="00AD0ACE"/>
    <w:rsid w:val="00AD1958"/>
    <w:rsid w:val="00AD19F7"/>
    <w:rsid w:val="00AD2C2E"/>
    <w:rsid w:val="00AD4255"/>
    <w:rsid w:val="00AD5626"/>
    <w:rsid w:val="00AD5657"/>
    <w:rsid w:val="00AE0821"/>
    <w:rsid w:val="00AE2B7B"/>
    <w:rsid w:val="00AE4108"/>
    <w:rsid w:val="00AE4408"/>
    <w:rsid w:val="00AE448A"/>
    <w:rsid w:val="00AE53E3"/>
    <w:rsid w:val="00AE644F"/>
    <w:rsid w:val="00AE74DA"/>
    <w:rsid w:val="00AF0522"/>
    <w:rsid w:val="00AF18F4"/>
    <w:rsid w:val="00AF1D07"/>
    <w:rsid w:val="00AF2050"/>
    <w:rsid w:val="00AF39A5"/>
    <w:rsid w:val="00AF40B2"/>
    <w:rsid w:val="00AF5B9B"/>
    <w:rsid w:val="00AF6D5F"/>
    <w:rsid w:val="00AF7B1D"/>
    <w:rsid w:val="00AF7ECC"/>
    <w:rsid w:val="00B00BF4"/>
    <w:rsid w:val="00B015C0"/>
    <w:rsid w:val="00B02B2A"/>
    <w:rsid w:val="00B03CA8"/>
    <w:rsid w:val="00B05424"/>
    <w:rsid w:val="00B05A47"/>
    <w:rsid w:val="00B05B87"/>
    <w:rsid w:val="00B10377"/>
    <w:rsid w:val="00B16EF6"/>
    <w:rsid w:val="00B17FEA"/>
    <w:rsid w:val="00B2121F"/>
    <w:rsid w:val="00B22F0E"/>
    <w:rsid w:val="00B249EC"/>
    <w:rsid w:val="00B27922"/>
    <w:rsid w:val="00B30517"/>
    <w:rsid w:val="00B32DA8"/>
    <w:rsid w:val="00B33C0A"/>
    <w:rsid w:val="00B34763"/>
    <w:rsid w:val="00B3493C"/>
    <w:rsid w:val="00B401AF"/>
    <w:rsid w:val="00B40C1D"/>
    <w:rsid w:val="00B413F2"/>
    <w:rsid w:val="00B467EE"/>
    <w:rsid w:val="00B4689F"/>
    <w:rsid w:val="00B50ED0"/>
    <w:rsid w:val="00B5115F"/>
    <w:rsid w:val="00B51C2F"/>
    <w:rsid w:val="00B55E19"/>
    <w:rsid w:val="00B56E71"/>
    <w:rsid w:val="00B579A6"/>
    <w:rsid w:val="00B601AE"/>
    <w:rsid w:val="00B6053C"/>
    <w:rsid w:val="00B6111C"/>
    <w:rsid w:val="00B636A3"/>
    <w:rsid w:val="00B71AD8"/>
    <w:rsid w:val="00B73BD1"/>
    <w:rsid w:val="00B74FEC"/>
    <w:rsid w:val="00B75019"/>
    <w:rsid w:val="00B80B9E"/>
    <w:rsid w:val="00B84B3C"/>
    <w:rsid w:val="00B857E1"/>
    <w:rsid w:val="00B8599B"/>
    <w:rsid w:val="00B865A7"/>
    <w:rsid w:val="00B86990"/>
    <w:rsid w:val="00B91FE7"/>
    <w:rsid w:val="00B929BE"/>
    <w:rsid w:val="00B94758"/>
    <w:rsid w:val="00BA1B89"/>
    <w:rsid w:val="00BA2E5B"/>
    <w:rsid w:val="00BA4B6D"/>
    <w:rsid w:val="00BB26C5"/>
    <w:rsid w:val="00BB2F84"/>
    <w:rsid w:val="00BB3FD0"/>
    <w:rsid w:val="00BB796E"/>
    <w:rsid w:val="00BC1FED"/>
    <w:rsid w:val="00BD2A36"/>
    <w:rsid w:val="00BD41CA"/>
    <w:rsid w:val="00BD5964"/>
    <w:rsid w:val="00BD6304"/>
    <w:rsid w:val="00BD710C"/>
    <w:rsid w:val="00BE00A0"/>
    <w:rsid w:val="00BE0E0A"/>
    <w:rsid w:val="00BE12B6"/>
    <w:rsid w:val="00BE30CE"/>
    <w:rsid w:val="00BF052B"/>
    <w:rsid w:val="00BF1579"/>
    <w:rsid w:val="00BF3D79"/>
    <w:rsid w:val="00BF4DE6"/>
    <w:rsid w:val="00BF6703"/>
    <w:rsid w:val="00BF7F87"/>
    <w:rsid w:val="00C04D12"/>
    <w:rsid w:val="00C06628"/>
    <w:rsid w:val="00C06B13"/>
    <w:rsid w:val="00C108E6"/>
    <w:rsid w:val="00C1628C"/>
    <w:rsid w:val="00C16A47"/>
    <w:rsid w:val="00C17C2B"/>
    <w:rsid w:val="00C264F8"/>
    <w:rsid w:val="00C27D25"/>
    <w:rsid w:val="00C32C43"/>
    <w:rsid w:val="00C35791"/>
    <w:rsid w:val="00C36254"/>
    <w:rsid w:val="00C37697"/>
    <w:rsid w:val="00C4026B"/>
    <w:rsid w:val="00C41B63"/>
    <w:rsid w:val="00C42541"/>
    <w:rsid w:val="00C42CDE"/>
    <w:rsid w:val="00C43100"/>
    <w:rsid w:val="00C45941"/>
    <w:rsid w:val="00C50A12"/>
    <w:rsid w:val="00C50B58"/>
    <w:rsid w:val="00C50D63"/>
    <w:rsid w:val="00C5182A"/>
    <w:rsid w:val="00C52463"/>
    <w:rsid w:val="00C52B3D"/>
    <w:rsid w:val="00C544C4"/>
    <w:rsid w:val="00C55983"/>
    <w:rsid w:val="00C6108D"/>
    <w:rsid w:val="00C61649"/>
    <w:rsid w:val="00C63EE9"/>
    <w:rsid w:val="00C64CE6"/>
    <w:rsid w:val="00C74D14"/>
    <w:rsid w:val="00C80F99"/>
    <w:rsid w:val="00C833BE"/>
    <w:rsid w:val="00C83F4E"/>
    <w:rsid w:val="00C84C30"/>
    <w:rsid w:val="00C8639F"/>
    <w:rsid w:val="00C87AB7"/>
    <w:rsid w:val="00C87B9B"/>
    <w:rsid w:val="00C87FD5"/>
    <w:rsid w:val="00C908C7"/>
    <w:rsid w:val="00C92805"/>
    <w:rsid w:val="00C93B3D"/>
    <w:rsid w:val="00CA16F3"/>
    <w:rsid w:val="00CA1B4A"/>
    <w:rsid w:val="00CA3403"/>
    <w:rsid w:val="00CA37B1"/>
    <w:rsid w:val="00CA3FD8"/>
    <w:rsid w:val="00CA5021"/>
    <w:rsid w:val="00CA65FA"/>
    <w:rsid w:val="00CB1488"/>
    <w:rsid w:val="00CB1959"/>
    <w:rsid w:val="00CB40BD"/>
    <w:rsid w:val="00CB694F"/>
    <w:rsid w:val="00CC1D45"/>
    <w:rsid w:val="00CC3874"/>
    <w:rsid w:val="00CC741B"/>
    <w:rsid w:val="00CD0A45"/>
    <w:rsid w:val="00CD0E4B"/>
    <w:rsid w:val="00CD3C80"/>
    <w:rsid w:val="00CD3F5D"/>
    <w:rsid w:val="00CD4750"/>
    <w:rsid w:val="00CD4AD4"/>
    <w:rsid w:val="00CE4C89"/>
    <w:rsid w:val="00CF07BA"/>
    <w:rsid w:val="00CF21A3"/>
    <w:rsid w:val="00CF3969"/>
    <w:rsid w:val="00D0296C"/>
    <w:rsid w:val="00D02CA2"/>
    <w:rsid w:val="00D04807"/>
    <w:rsid w:val="00D04A52"/>
    <w:rsid w:val="00D05E55"/>
    <w:rsid w:val="00D0618E"/>
    <w:rsid w:val="00D06C96"/>
    <w:rsid w:val="00D10203"/>
    <w:rsid w:val="00D1231A"/>
    <w:rsid w:val="00D146FF"/>
    <w:rsid w:val="00D208B5"/>
    <w:rsid w:val="00D20A30"/>
    <w:rsid w:val="00D20BC7"/>
    <w:rsid w:val="00D2576F"/>
    <w:rsid w:val="00D2641E"/>
    <w:rsid w:val="00D3170B"/>
    <w:rsid w:val="00D31F0C"/>
    <w:rsid w:val="00D32D6F"/>
    <w:rsid w:val="00D34D5D"/>
    <w:rsid w:val="00D35B99"/>
    <w:rsid w:val="00D36CE0"/>
    <w:rsid w:val="00D36FD4"/>
    <w:rsid w:val="00D36FD6"/>
    <w:rsid w:val="00D37B04"/>
    <w:rsid w:val="00D45550"/>
    <w:rsid w:val="00D45555"/>
    <w:rsid w:val="00D4628C"/>
    <w:rsid w:val="00D46B6B"/>
    <w:rsid w:val="00D479B5"/>
    <w:rsid w:val="00D523C9"/>
    <w:rsid w:val="00D53D63"/>
    <w:rsid w:val="00D53D6A"/>
    <w:rsid w:val="00D540C6"/>
    <w:rsid w:val="00D60139"/>
    <w:rsid w:val="00D63520"/>
    <w:rsid w:val="00D63E17"/>
    <w:rsid w:val="00D64BD1"/>
    <w:rsid w:val="00D66260"/>
    <w:rsid w:val="00D677B4"/>
    <w:rsid w:val="00D7034F"/>
    <w:rsid w:val="00D715B6"/>
    <w:rsid w:val="00D71F34"/>
    <w:rsid w:val="00D7310B"/>
    <w:rsid w:val="00D77B4A"/>
    <w:rsid w:val="00D84EB3"/>
    <w:rsid w:val="00D85F0B"/>
    <w:rsid w:val="00D90B37"/>
    <w:rsid w:val="00D92254"/>
    <w:rsid w:val="00D924D3"/>
    <w:rsid w:val="00D9309C"/>
    <w:rsid w:val="00D96506"/>
    <w:rsid w:val="00D96E0D"/>
    <w:rsid w:val="00DA1B52"/>
    <w:rsid w:val="00DB1A9A"/>
    <w:rsid w:val="00DC0996"/>
    <w:rsid w:val="00DC238C"/>
    <w:rsid w:val="00DC6D78"/>
    <w:rsid w:val="00DD2E40"/>
    <w:rsid w:val="00DD3E88"/>
    <w:rsid w:val="00DE084C"/>
    <w:rsid w:val="00DE44F5"/>
    <w:rsid w:val="00DF0705"/>
    <w:rsid w:val="00DF2254"/>
    <w:rsid w:val="00DF3260"/>
    <w:rsid w:val="00DF68CF"/>
    <w:rsid w:val="00DF7B78"/>
    <w:rsid w:val="00DF7FA6"/>
    <w:rsid w:val="00E00367"/>
    <w:rsid w:val="00E00DAB"/>
    <w:rsid w:val="00E0497E"/>
    <w:rsid w:val="00E055AB"/>
    <w:rsid w:val="00E06597"/>
    <w:rsid w:val="00E06A56"/>
    <w:rsid w:val="00E1025E"/>
    <w:rsid w:val="00E14F51"/>
    <w:rsid w:val="00E15A6C"/>
    <w:rsid w:val="00E1666D"/>
    <w:rsid w:val="00E17992"/>
    <w:rsid w:val="00E221FA"/>
    <w:rsid w:val="00E246D5"/>
    <w:rsid w:val="00E27A6B"/>
    <w:rsid w:val="00E3076E"/>
    <w:rsid w:val="00E315C6"/>
    <w:rsid w:val="00E32866"/>
    <w:rsid w:val="00E357B7"/>
    <w:rsid w:val="00E410F8"/>
    <w:rsid w:val="00E42990"/>
    <w:rsid w:val="00E42E50"/>
    <w:rsid w:val="00E4584F"/>
    <w:rsid w:val="00E5156D"/>
    <w:rsid w:val="00E532A8"/>
    <w:rsid w:val="00E53800"/>
    <w:rsid w:val="00E6081F"/>
    <w:rsid w:val="00E60F06"/>
    <w:rsid w:val="00E614AA"/>
    <w:rsid w:val="00E61F2D"/>
    <w:rsid w:val="00E624EC"/>
    <w:rsid w:val="00E6362F"/>
    <w:rsid w:val="00E70C37"/>
    <w:rsid w:val="00E72E25"/>
    <w:rsid w:val="00E7562A"/>
    <w:rsid w:val="00E7793A"/>
    <w:rsid w:val="00E8296D"/>
    <w:rsid w:val="00E82D34"/>
    <w:rsid w:val="00E8457B"/>
    <w:rsid w:val="00E8726C"/>
    <w:rsid w:val="00E87376"/>
    <w:rsid w:val="00E940E8"/>
    <w:rsid w:val="00E944AA"/>
    <w:rsid w:val="00EA04B2"/>
    <w:rsid w:val="00EA20F3"/>
    <w:rsid w:val="00EA36D9"/>
    <w:rsid w:val="00EB0DCF"/>
    <w:rsid w:val="00EB6771"/>
    <w:rsid w:val="00EC247C"/>
    <w:rsid w:val="00EC291B"/>
    <w:rsid w:val="00EC4BA6"/>
    <w:rsid w:val="00EC608A"/>
    <w:rsid w:val="00EC66B2"/>
    <w:rsid w:val="00EC6D38"/>
    <w:rsid w:val="00EC7755"/>
    <w:rsid w:val="00ED0A43"/>
    <w:rsid w:val="00ED131A"/>
    <w:rsid w:val="00ED2831"/>
    <w:rsid w:val="00ED3B2D"/>
    <w:rsid w:val="00ED41C1"/>
    <w:rsid w:val="00ED43D1"/>
    <w:rsid w:val="00ED6EC4"/>
    <w:rsid w:val="00EE0466"/>
    <w:rsid w:val="00EE1CFF"/>
    <w:rsid w:val="00EE4EE1"/>
    <w:rsid w:val="00EF02CC"/>
    <w:rsid w:val="00EF216A"/>
    <w:rsid w:val="00EF4574"/>
    <w:rsid w:val="00F01921"/>
    <w:rsid w:val="00F069A2"/>
    <w:rsid w:val="00F11826"/>
    <w:rsid w:val="00F13373"/>
    <w:rsid w:val="00F13506"/>
    <w:rsid w:val="00F202FA"/>
    <w:rsid w:val="00F23273"/>
    <w:rsid w:val="00F258BF"/>
    <w:rsid w:val="00F25A93"/>
    <w:rsid w:val="00F25FCD"/>
    <w:rsid w:val="00F2684E"/>
    <w:rsid w:val="00F27235"/>
    <w:rsid w:val="00F33D40"/>
    <w:rsid w:val="00F447AE"/>
    <w:rsid w:val="00F45486"/>
    <w:rsid w:val="00F47942"/>
    <w:rsid w:val="00F5058B"/>
    <w:rsid w:val="00F53309"/>
    <w:rsid w:val="00F53D62"/>
    <w:rsid w:val="00F53E91"/>
    <w:rsid w:val="00F5404C"/>
    <w:rsid w:val="00F55791"/>
    <w:rsid w:val="00F650C7"/>
    <w:rsid w:val="00F67C6A"/>
    <w:rsid w:val="00F70504"/>
    <w:rsid w:val="00F71C0E"/>
    <w:rsid w:val="00F729EF"/>
    <w:rsid w:val="00F746B7"/>
    <w:rsid w:val="00F760AE"/>
    <w:rsid w:val="00F77CAE"/>
    <w:rsid w:val="00F82271"/>
    <w:rsid w:val="00F83428"/>
    <w:rsid w:val="00F845AD"/>
    <w:rsid w:val="00F856C0"/>
    <w:rsid w:val="00F8736C"/>
    <w:rsid w:val="00F875A8"/>
    <w:rsid w:val="00F90B17"/>
    <w:rsid w:val="00F90B2A"/>
    <w:rsid w:val="00F91799"/>
    <w:rsid w:val="00F96BB9"/>
    <w:rsid w:val="00FA011F"/>
    <w:rsid w:val="00FA4D1A"/>
    <w:rsid w:val="00FA5EFD"/>
    <w:rsid w:val="00FB3FE7"/>
    <w:rsid w:val="00FB6840"/>
    <w:rsid w:val="00FB7FCD"/>
    <w:rsid w:val="00FC0C97"/>
    <w:rsid w:val="00FC1216"/>
    <w:rsid w:val="00FC5365"/>
    <w:rsid w:val="00FD169F"/>
    <w:rsid w:val="00FD1850"/>
    <w:rsid w:val="00FD1CE3"/>
    <w:rsid w:val="00FD50D5"/>
    <w:rsid w:val="00FE05DC"/>
    <w:rsid w:val="00FE6D51"/>
    <w:rsid w:val="00FE6F2A"/>
    <w:rsid w:val="00FE7514"/>
    <w:rsid w:val="00FE7D67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C247C"/>
    <w:pPr>
      <w:spacing w:before="240" w:after="12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865A7"/>
    <w:pPr>
      <w:spacing w:before="120"/>
      <w:outlineLvl w:val="2"/>
    </w:pPr>
    <w:rPr>
      <w:bCs/>
      <w:i/>
      <w:cap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C247C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865A7"/>
    <w:rPr>
      <w:rFonts w:asciiTheme="majorHAnsi" w:eastAsiaTheme="majorEastAsia" w:hAnsiTheme="majorHAnsi" w:cstheme="majorBidi"/>
      <w:b/>
      <w:bCs/>
      <w:i/>
      <w:color w:val="495965" w:themeColor="text2"/>
      <w:sz w:val="24"/>
      <w:szCs w:val="24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  <w:rPr>
      <w:szCs w:val="22"/>
    </w:r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table" w:styleId="GridTable1Light-Accent1">
    <w:name w:val="Grid Table 1 Light Accent 1"/>
    <w:basedOn w:val="TableNormal"/>
    <w:uiPriority w:val="46"/>
    <w:locked/>
    <w:rsid w:val="0010650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1E7E0" w:themeColor="accent1" w:themeTint="66"/>
        <w:left w:val="single" w:sz="4" w:space="0" w:color="C1E7E0" w:themeColor="accent1" w:themeTint="66"/>
        <w:bottom w:val="single" w:sz="4" w:space="0" w:color="C1E7E0" w:themeColor="accent1" w:themeTint="66"/>
        <w:right w:val="single" w:sz="4" w:space="0" w:color="C1E7E0" w:themeColor="accent1" w:themeTint="66"/>
        <w:insideH w:val="single" w:sz="4" w:space="0" w:color="C1E7E0" w:themeColor="accent1" w:themeTint="66"/>
        <w:insideV w:val="single" w:sz="4" w:space="0" w:color="C1E7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DC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C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06501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984FA2"/>
  </w:style>
  <w:style w:type="character" w:customStyle="1" w:styleId="longresponseview">
    <w:name w:val="longresponseview"/>
    <w:basedOn w:val="DefaultParagraphFont"/>
    <w:rsid w:val="00984FA2"/>
  </w:style>
  <w:style w:type="paragraph" w:customStyle="1" w:styleId="TableBullet">
    <w:name w:val="Table Bullet"/>
    <w:basedOn w:val="Normal"/>
    <w:rsid w:val="004D3DC0"/>
    <w:pPr>
      <w:numPr>
        <w:numId w:val="36"/>
      </w:numPr>
      <w:suppressAutoHyphens w:val="0"/>
      <w:autoSpaceDE w:val="0"/>
      <w:autoSpaceDN w:val="0"/>
      <w:spacing w:after="120" w:line="240" w:lineRule="auto"/>
    </w:pPr>
    <w:rPr>
      <w:rFonts w:ascii="Arial" w:hAnsi="Arial" w:cs="Arial"/>
      <w:color w:val="auto"/>
      <w:sz w:val="20"/>
      <w:szCs w:val="20"/>
      <w:lang w:val="en-AU"/>
    </w:rPr>
  </w:style>
  <w:style w:type="character" w:customStyle="1" w:styleId="sr-only">
    <w:name w:val="sr-only"/>
    <w:basedOn w:val="DefaultParagraphFont"/>
    <w:rsid w:val="00191A8C"/>
  </w:style>
  <w:style w:type="paragraph" w:styleId="Revision">
    <w:name w:val="Revision"/>
    <w:hidden/>
    <w:uiPriority w:val="99"/>
    <w:semiHidden/>
    <w:rsid w:val="00272642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3141</Words>
  <Characters>18637</Characters>
  <Application>Microsoft Office Word</Application>
  <DocSecurity>0</DocSecurity>
  <Lines>397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Timor-Leste Development Program Progress Report</dc:title>
  <dc:subject/>
  <dc:creator/>
  <cp:keywords/>
  <cp:lastModifiedBy/>
  <cp:revision>1</cp:revision>
  <dcterms:created xsi:type="dcterms:W3CDTF">2021-11-24T05:31:00Z</dcterms:created>
  <dcterms:modified xsi:type="dcterms:W3CDTF">2021-11-24T05:31:00Z</dcterms:modified>
  <cp:category/>
</cp:coreProperties>
</file>