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5AE8C367" w:rsidR="00FA5EFD" w:rsidRDefault="002E500A" w:rsidP="00337E7A">
      <w:pPr>
        <w:pStyle w:val="Heading1"/>
        <w:spacing w:before="240" w:line="240" w:lineRule="auto"/>
      </w:pPr>
      <w:r w:rsidRPr="002E500A">
        <w:t xml:space="preserve">2020-21 </w:t>
      </w:r>
      <w:r w:rsidR="001F032F">
        <w:t>TONGA</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31751199" w14:textId="47BAF5F2" w:rsidR="00883AB4" w:rsidRPr="00DE6043" w:rsidRDefault="002414A6" w:rsidP="00337E7A">
      <w:pPr>
        <w:rPr>
          <w:bCs/>
          <w:iCs/>
        </w:rPr>
      </w:pPr>
      <w:r w:rsidRPr="002414A6">
        <w:rPr>
          <w:noProof/>
        </w:rPr>
        <w:drawing>
          <wp:inline distT="0" distB="0" distL="0" distR="0" wp14:anchorId="1015CBD7" wp14:editId="68CDF37B">
            <wp:extent cx="6696710" cy="2590800"/>
            <wp:effectExtent l="0" t="0" r="8890" b="0"/>
            <wp:docPr id="1" name="Picture 1" descr="2020-21 Budget estimate. Total ODA $46 million. Bilateral program budget $20.1 million. Regional program budget $11.5 million. Global program budget $1.9 million. Other government departments budget $1.6 million. Temporary, targeted and supplementary measures $10.9 million.&#10;Our development program to Tonga contributes towards achieving the following Sustainable Development Goals: 1,3,4,5,7,8,9,10,13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0-21 Budget estimate. Total ODA $46 million. Bilateral program budget $20.1 million. Regional program budget $11.5 million. Global program budget $1.9 million. Other government departments budget $1.6 million. Temporary, targeted and supplementary measures $10.9 million.&#10;Our development program to Tonga contributes towards achieving the following Sustainable Development Goals: 1,3,4,5,7,8,9,10,13 and 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465"/>
                    <a:stretch/>
                  </pic:blipFill>
                  <pic:spPr bwMode="auto">
                    <a:xfrm>
                      <a:off x="0" y="0"/>
                      <a:ext cx="6696710"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2529A646" w14:textId="0ABB2254" w:rsidR="005E3293" w:rsidRPr="00FB7875" w:rsidRDefault="00B828C8" w:rsidP="005A1A5E">
      <w:pPr>
        <w:pStyle w:val="Heading2"/>
      </w:pPr>
      <w:r w:rsidRPr="006C504C">
        <w:t>C</w:t>
      </w:r>
      <w:r w:rsidR="00B0551F" w:rsidRPr="006C504C">
        <w:t>ONTEXT</w:t>
      </w:r>
    </w:p>
    <w:p w14:paraId="258B4F0C" w14:textId="7FCEDE8C" w:rsidR="00220197" w:rsidRPr="00511D22" w:rsidRDefault="008F69AE" w:rsidP="00D11BBF">
      <w:pPr>
        <w:pStyle w:val="Bullet1"/>
        <w:numPr>
          <w:ilvl w:val="0"/>
          <w:numId w:val="0"/>
        </w:numPr>
      </w:pPr>
      <w:r>
        <w:t>Australia and Tonga are close partners, working together to support a shared vision</w:t>
      </w:r>
      <w:r w:rsidR="007365BD">
        <w:t xml:space="preserve"> of a prosperous and stable Tonga. </w:t>
      </w:r>
      <w:r w:rsidR="00220197" w:rsidRPr="00511D22">
        <w:t xml:space="preserve">Under the Tonga COVID-19 Development Response Plan, Australia reoriented our existing </w:t>
      </w:r>
      <w:r w:rsidR="007365BD">
        <w:t>development</w:t>
      </w:r>
      <w:r w:rsidR="00220197" w:rsidRPr="00511D22">
        <w:t xml:space="preserve"> program to mitigate impacts of COVID-19, with a focus on health preparedness, economic </w:t>
      </w:r>
      <w:proofErr w:type="gramStart"/>
      <w:r w:rsidR="00220197" w:rsidRPr="00511D22">
        <w:t>stability</w:t>
      </w:r>
      <w:proofErr w:type="gramEnd"/>
      <w:r w:rsidR="00220197" w:rsidRPr="00511D22">
        <w:t xml:space="preserve"> and recovery. We collaborated with regional organisations, international development partners and international financial institutions and took full advantage of the inbuilt flexibility of our development partnerships to support an agile COVID-19 response. </w:t>
      </w:r>
    </w:p>
    <w:p w14:paraId="5FEB7F2A" w14:textId="728361FC" w:rsidR="00C107B2" w:rsidRPr="00511D22" w:rsidRDefault="00195591" w:rsidP="00D11BBF">
      <w:pPr>
        <w:pStyle w:val="Bullet1"/>
        <w:numPr>
          <w:ilvl w:val="0"/>
          <w:numId w:val="0"/>
        </w:numPr>
      </w:pPr>
      <w:r w:rsidRPr="00511D22">
        <w:t>There have been no active</w:t>
      </w:r>
      <w:r w:rsidR="00C107B2" w:rsidRPr="00511D22">
        <w:t xml:space="preserve"> COVID-19</w:t>
      </w:r>
      <w:r w:rsidRPr="00511D22">
        <w:t xml:space="preserve"> cases in </w:t>
      </w:r>
      <w:r w:rsidR="00C107B2" w:rsidRPr="00511D22">
        <w:t>Tonga</w:t>
      </w:r>
      <w:r w:rsidR="00CA1762">
        <w:t xml:space="preserve"> during the reporting period</w:t>
      </w:r>
      <w:r w:rsidR="00761598" w:rsidRPr="00511D22">
        <w:t>. The</w:t>
      </w:r>
      <w:r w:rsidRPr="00511D22">
        <w:t xml:space="preserve"> government swiftly closed borders when the pandemic first emerged</w:t>
      </w:r>
      <w:r w:rsidR="00761598" w:rsidRPr="00511D22">
        <w:t>, and has</w:t>
      </w:r>
      <w:r w:rsidRPr="00511D22">
        <w:t xml:space="preserve"> </w:t>
      </w:r>
      <w:r w:rsidR="00CA1762">
        <w:t>successfully</w:t>
      </w:r>
      <w:r w:rsidR="00CA1762" w:rsidRPr="00511D22">
        <w:t xml:space="preserve"> </w:t>
      </w:r>
      <w:r w:rsidR="00761598" w:rsidRPr="00511D22">
        <w:t>managed</w:t>
      </w:r>
      <w:r w:rsidRPr="00511D22">
        <w:t xml:space="preserve"> </w:t>
      </w:r>
      <w:r w:rsidR="00CE2356" w:rsidRPr="00511D22">
        <w:t>border control, quarantine,</w:t>
      </w:r>
      <w:r w:rsidRPr="00511D22">
        <w:t xml:space="preserve"> and repatriation of citizens. </w:t>
      </w:r>
      <w:r w:rsidR="00AE52F3" w:rsidRPr="00511D22">
        <w:t>With Australia’s support, h</w:t>
      </w:r>
      <w:r w:rsidR="00AC2128" w:rsidRPr="00511D22">
        <w:t>ealth preparedness has been largely effective</w:t>
      </w:r>
      <w:r w:rsidR="008D1198" w:rsidRPr="00511D22">
        <w:t>. Our health preparedness assistance helped build Tonga’s</w:t>
      </w:r>
      <w:r w:rsidR="00AC2128" w:rsidRPr="00511D22">
        <w:t xml:space="preserve"> </w:t>
      </w:r>
      <w:r w:rsidR="008D1198" w:rsidRPr="00511D22">
        <w:t>capacity to test</w:t>
      </w:r>
      <w:r w:rsidR="00AC2128" w:rsidRPr="00511D22">
        <w:t xml:space="preserve"> for active COVID</w:t>
      </w:r>
      <w:r w:rsidR="008A549E">
        <w:t>-19</w:t>
      </w:r>
      <w:r w:rsidR="00AC2128" w:rsidRPr="00511D22">
        <w:t xml:space="preserve"> cases </w:t>
      </w:r>
      <w:r w:rsidR="00E56BF1" w:rsidRPr="00511D22">
        <w:t xml:space="preserve">on </w:t>
      </w:r>
      <w:proofErr w:type="spellStart"/>
      <w:r w:rsidR="00E56BF1" w:rsidRPr="00511D22">
        <w:t>Tongatapu</w:t>
      </w:r>
      <w:proofErr w:type="spellEnd"/>
      <w:r w:rsidR="00E56BF1" w:rsidRPr="00511D22">
        <w:t xml:space="preserve"> </w:t>
      </w:r>
      <w:r w:rsidR="00AC2128" w:rsidRPr="00511D22">
        <w:t xml:space="preserve">and </w:t>
      </w:r>
      <w:r w:rsidR="008D1198" w:rsidRPr="00511D22">
        <w:t xml:space="preserve">enabled </w:t>
      </w:r>
      <w:r w:rsidR="00AC2128" w:rsidRPr="00511D22">
        <w:t xml:space="preserve">the establishment of a modest capability to treat cases should an outbreak emerge. </w:t>
      </w:r>
    </w:p>
    <w:p w14:paraId="2D8E7396" w14:textId="5DC0DCB6" w:rsidR="003569AA" w:rsidRPr="00511D22" w:rsidRDefault="003569AA" w:rsidP="00D11BBF">
      <w:pPr>
        <w:pStyle w:val="Bullet1"/>
        <w:numPr>
          <w:ilvl w:val="0"/>
          <w:numId w:val="0"/>
        </w:numPr>
        <w:rPr>
          <w:rFonts w:ascii="Calibri" w:hAnsi="Calibri" w:cs="Calibri"/>
          <w:color w:val="44546A"/>
        </w:rPr>
      </w:pPr>
      <w:r w:rsidRPr="00511D22">
        <w:t xml:space="preserve">In early 2020, Tonga faced the dual shocks of the global COVID-19 pandemic and Tropical Cyclone Harold, which struck areas of </w:t>
      </w:r>
      <w:proofErr w:type="spellStart"/>
      <w:r w:rsidRPr="00511D22">
        <w:t>Tongatapu</w:t>
      </w:r>
      <w:proofErr w:type="spellEnd"/>
      <w:r w:rsidRPr="00511D22">
        <w:t xml:space="preserve"> and ‘</w:t>
      </w:r>
      <w:proofErr w:type="spellStart"/>
      <w:r w:rsidRPr="00511D22">
        <w:t>Eua</w:t>
      </w:r>
      <w:proofErr w:type="spellEnd"/>
      <w:r w:rsidRPr="00511D22">
        <w:t xml:space="preserve"> in April. </w:t>
      </w:r>
      <w:r w:rsidR="008F69AE">
        <w:t>Additional</w:t>
      </w:r>
      <w:r w:rsidRPr="00511D22">
        <w:t xml:space="preserve"> donor budget support, including from Australia, reduced Tonga’s fiscal deficit in 2020-21 to 1.1 per cent of GDP from </w:t>
      </w:r>
      <w:r w:rsidR="008A549E">
        <w:t xml:space="preserve">a </w:t>
      </w:r>
      <w:r w:rsidRPr="00511D22">
        <w:t xml:space="preserve">budgeted </w:t>
      </w:r>
      <w:r w:rsidR="008A549E">
        <w:t>six</w:t>
      </w:r>
      <w:r w:rsidRPr="00511D22">
        <w:t xml:space="preserve"> per cent (Tongan Government forecasts), and mitigated some of the worst potential economic and social impacts. Stable growth in remittances also played a major role in ensuring economic stability. More than 2,381 Tongan workers have arrived in Australia since the resumption of labour mobility in September 2020. In March 2021, Tonga’s National Reserve Bank reported the second highest level of monthly remittances ever recorded (TOP43.5 million/</w:t>
      </w:r>
      <w:r w:rsidR="0094255C">
        <w:t>A</w:t>
      </w:r>
      <w:r w:rsidR="00600378">
        <w:t>UD</w:t>
      </w:r>
      <w:r w:rsidRPr="00511D22">
        <w:t xml:space="preserve">26.7 million, of which 32.5 per cent </w:t>
      </w:r>
      <w:r w:rsidR="008A549E">
        <w:t xml:space="preserve">was </w:t>
      </w:r>
      <w:r w:rsidRPr="00511D22">
        <w:t xml:space="preserve">from Australia). Tonga’s economy contracted by 0.8 per cent in </w:t>
      </w:r>
      <w:r w:rsidR="000004AD">
        <w:t>2020</w:t>
      </w:r>
      <w:r w:rsidRPr="00511D22">
        <w:t xml:space="preserve"> and </w:t>
      </w:r>
      <w:r w:rsidR="000004AD">
        <w:t xml:space="preserve">the </w:t>
      </w:r>
      <w:r w:rsidR="000004AD" w:rsidRPr="00511D22">
        <w:t>Asian Development Bank</w:t>
      </w:r>
      <w:r w:rsidR="000004AD">
        <w:t xml:space="preserve"> (ADB)</w:t>
      </w:r>
      <w:r w:rsidR="000004AD" w:rsidRPr="00511D22">
        <w:t xml:space="preserve"> </w:t>
      </w:r>
      <w:r w:rsidR="000004AD">
        <w:t xml:space="preserve">forecasts </w:t>
      </w:r>
      <w:r w:rsidR="004C766F">
        <w:t>-5.3</w:t>
      </w:r>
      <w:r w:rsidRPr="00511D22">
        <w:t xml:space="preserve"> per cent </w:t>
      </w:r>
      <w:r w:rsidR="000004AD">
        <w:t>growth for 2021</w:t>
      </w:r>
      <w:r w:rsidRPr="00511D22">
        <w:t>. It is expected to return to expansion in 2022, predicated on the resumption of international travel.</w:t>
      </w:r>
    </w:p>
    <w:p w14:paraId="7D3774D8" w14:textId="0FBBDA21" w:rsidR="00FB7875" w:rsidRDefault="00BB7504" w:rsidP="00D11BBF">
      <w:pPr>
        <w:spacing w:before="0"/>
      </w:pPr>
      <w:r w:rsidRPr="00511D22">
        <w:t>Tonga continues to be rated at high risk of debt distress and faces a potential fiscal crisis when principal repayments to China’s EXIM Bank commence from 2023-24 (55.23 per cent of all external debt). The World Bank has forecast a</w:t>
      </w:r>
      <w:r w:rsidR="00B3607D" w:rsidRPr="00511D22">
        <w:t xml:space="preserve"> </w:t>
      </w:r>
      <w:r w:rsidR="00600378">
        <w:t>$</w:t>
      </w:r>
      <w:r w:rsidRPr="00511D22">
        <w:t>30</w:t>
      </w:r>
      <w:r w:rsidR="00EB7440">
        <w:t> </w:t>
      </w:r>
      <w:r w:rsidRPr="00511D22">
        <w:t xml:space="preserve">million shortfall of funds in 2023-24 given Tonga’s debt obligations. Whilst Tonga is a participant country in the </w:t>
      </w:r>
      <w:r w:rsidR="000004AD" w:rsidRPr="000004AD">
        <w:t>Group of Twenty</w:t>
      </w:r>
      <w:r w:rsidR="000004AD" w:rsidRPr="000004AD" w:rsidDel="000004AD">
        <w:t xml:space="preserve"> </w:t>
      </w:r>
      <w:r w:rsidR="000004AD">
        <w:t>(G20)</w:t>
      </w:r>
      <w:r w:rsidR="0011552E">
        <w:t xml:space="preserve"> </w:t>
      </w:r>
      <w:r w:rsidRPr="00511D22">
        <w:t>Debt Servicing Suspension Initiative (DSSI), Paris Club creditor countries agreed that the DSSI will conclude in December 2021. Further debt relief beyond 2021 is somewhat uncertain</w:t>
      </w:r>
      <w:r w:rsidR="008D1198" w:rsidRPr="00511D22">
        <w:t>,</w:t>
      </w:r>
      <w:r w:rsidRPr="00511D22">
        <w:t xml:space="preserve"> but plans are underway for the establishment of a G20 Common Framework for Debt Treatments beyond the DSSI.</w:t>
      </w:r>
    </w:p>
    <w:p w14:paraId="22900C6A" w14:textId="11C06362" w:rsidR="00EC608A" w:rsidRDefault="00FC1216" w:rsidP="002608AA">
      <w:pPr>
        <w:pStyle w:val="Heading2"/>
      </w:pPr>
      <w:bookmarkStart w:id="0" w:name="_Hlk86317125"/>
      <w:r w:rsidRPr="00FC1216">
        <w:lastRenderedPageBreak/>
        <w:t>AUSTRALIA’S RESPONS</w:t>
      </w:r>
      <w:r w:rsidR="00193C49">
        <w:t xml:space="preserve">E </w:t>
      </w:r>
      <w:r w:rsidR="00A46B28">
        <w:t>and</w:t>
      </w:r>
      <w:r w:rsidR="00193C49">
        <w:t xml:space="preserve"> PROGRAM HIGHLIGHTS</w:t>
      </w:r>
    </w:p>
    <w:p w14:paraId="5FE46886" w14:textId="0E34D95D" w:rsidR="00BB223C" w:rsidRPr="0021221F" w:rsidRDefault="00875137" w:rsidP="00CD68DB">
      <w:pPr>
        <w:pStyle w:val="Bullet1"/>
        <w:numPr>
          <w:ilvl w:val="0"/>
          <w:numId w:val="0"/>
        </w:numPr>
      </w:pPr>
      <w:r w:rsidRPr="00CD68DB">
        <w:t xml:space="preserve">Australia's development program continues to align with government priorities and deliver across the pillars of the </w:t>
      </w:r>
      <w:r w:rsidRPr="00CD68DB">
        <w:rPr>
          <w:i/>
          <w:iCs/>
        </w:rPr>
        <w:t>Partnerships for Recovery</w:t>
      </w:r>
      <w:r w:rsidRPr="00CD68DB">
        <w:t xml:space="preserve"> framework</w:t>
      </w:r>
      <w:r w:rsidR="0021221F" w:rsidRPr="00CD68DB">
        <w:t>.</w:t>
      </w:r>
      <w:r w:rsidR="006F6F49" w:rsidRPr="00CD68DB">
        <w:t xml:space="preserve"> </w:t>
      </w:r>
      <w:r w:rsidR="0021221F" w:rsidRPr="00CD68DB">
        <w:t>P</w:t>
      </w:r>
      <w:r w:rsidRPr="00CD68DB">
        <w:t>rogress across investments towards expected outcomes has been uneven</w:t>
      </w:r>
      <w:r w:rsidR="0021221F" w:rsidRPr="00CD68DB">
        <w:t xml:space="preserve"> reflecting a challenging operating environment</w:t>
      </w:r>
      <w:r w:rsidRPr="00CD68DB">
        <w:t>.</w:t>
      </w:r>
      <w:r w:rsidRPr="00875137">
        <w:t xml:space="preserve"> </w:t>
      </w:r>
    </w:p>
    <w:bookmarkEnd w:id="0"/>
    <w:p w14:paraId="79BE876C" w14:textId="588AC787" w:rsidR="00297FD1" w:rsidRPr="005A1A5E" w:rsidRDefault="00297FD1" w:rsidP="005A1A5E">
      <w:pPr>
        <w:pStyle w:val="Heading3"/>
      </w:pPr>
      <w:r w:rsidRPr="005A1A5E">
        <w:t>Healt</w:t>
      </w:r>
      <w:r w:rsidR="00C107B2" w:rsidRPr="005A1A5E">
        <w:t>h</w:t>
      </w:r>
      <w:r w:rsidRPr="005A1A5E">
        <w:t xml:space="preserve"> Security</w:t>
      </w:r>
    </w:p>
    <w:p w14:paraId="1BC8ECE4" w14:textId="4D8D9AAE" w:rsidR="009D5148" w:rsidRPr="00B0551F" w:rsidRDefault="00A2546D" w:rsidP="00D11BBF">
      <w:pPr>
        <w:pStyle w:val="Bullet1"/>
        <w:numPr>
          <w:ilvl w:val="0"/>
          <w:numId w:val="0"/>
        </w:numPr>
      </w:pPr>
      <w:r w:rsidRPr="00B0551F">
        <w:t>Australia</w:t>
      </w:r>
      <w:r w:rsidR="00220197" w:rsidRPr="00B0551F">
        <w:t>’s development assistance has been critical to an effective COVID-19 response in Tonga.</w:t>
      </w:r>
      <w:r w:rsidR="009D5148" w:rsidRPr="00B0551F">
        <w:t xml:space="preserve"> </w:t>
      </w:r>
      <w:bookmarkStart w:id="1" w:name="_Hlk81813502"/>
      <w:r w:rsidR="002D6D0A">
        <w:t>In the reporting period w</w:t>
      </w:r>
      <w:r w:rsidR="00220197" w:rsidRPr="00B0551F">
        <w:t xml:space="preserve">e </w:t>
      </w:r>
      <w:bookmarkEnd w:id="1"/>
      <w:r w:rsidR="009D5148" w:rsidRPr="00B0551F">
        <w:t xml:space="preserve">made </w:t>
      </w:r>
      <w:r w:rsidR="00220197" w:rsidRPr="00B0551F">
        <w:t xml:space="preserve">a </w:t>
      </w:r>
      <w:r w:rsidR="009D5148" w:rsidRPr="00B0551F">
        <w:t xml:space="preserve">major funding </w:t>
      </w:r>
      <w:r w:rsidR="009D5148" w:rsidRPr="007365BD">
        <w:t>contribution to</w:t>
      </w:r>
      <w:r w:rsidR="009D5148" w:rsidRPr="007365BD">
        <w:rPr>
          <w:b/>
          <w:bCs/>
        </w:rPr>
        <w:t xml:space="preserve"> Tonga’s COVID-19 Social and Economic Stimulus Package</w:t>
      </w:r>
      <w:r w:rsidR="008A549E">
        <w:t>,</w:t>
      </w:r>
      <w:r w:rsidR="009D5148" w:rsidRPr="007365BD">
        <w:rPr>
          <w:b/>
          <w:bCs/>
        </w:rPr>
        <w:t xml:space="preserve"> </w:t>
      </w:r>
      <w:r w:rsidR="009D5148" w:rsidRPr="007365BD">
        <w:t>which helped enable quarantine and border management systems that facilitated repatriation of over 1,500 Tongan citizens</w:t>
      </w:r>
      <w:r w:rsidR="007A4D03" w:rsidRPr="00BB223C">
        <w:t>,</w:t>
      </w:r>
      <w:r w:rsidR="009D5148" w:rsidRPr="00BB223C">
        <w:t xml:space="preserve"> including seasonal workers</w:t>
      </w:r>
      <w:r w:rsidR="00565179" w:rsidRPr="00B0551F">
        <w:t xml:space="preserve">. Support to the Package also </w:t>
      </w:r>
      <w:r w:rsidR="00565179" w:rsidRPr="007365BD">
        <w:t>enabled</w:t>
      </w:r>
      <w:r w:rsidR="009D5148" w:rsidRPr="007365BD">
        <w:rPr>
          <w:b/>
          <w:bCs/>
        </w:rPr>
        <w:t xml:space="preserve"> refurbishment of the </w:t>
      </w:r>
      <w:proofErr w:type="spellStart"/>
      <w:r w:rsidR="009D5148" w:rsidRPr="007365BD">
        <w:rPr>
          <w:b/>
          <w:bCs/>
        </w:rPr>
        <w:t>Vaiola</w:t>
      </w:r>
      <w:proofErr w:type="spellEnd"/>
      <w:r w:rsidR="009D5148" w:rsidRPr="007365BD">
        <w:rPr>
          <w:b/>
          <w:bCs/>
        </w:rPr>
        <w:t xml:space="preserve"> </w:t>
      </w:r>
      <w:r w:rsidRPr="007365BD">
        <w:rPr>
          <w:b/>
          <w:bCs/>
        </w:rPr>
        <w:t>N</w:t>
      </w:r>
      <w:r w:rsidR="009D5148" w:rsidRPr="007365BD">
        <w:rPr>
          <w:b/>
          <w:bCs/>
        </w:rPr>
        <w:t xml:space="preserve">ational </w:t>
      </w:r>
      <w:r w:rsidRPr="007365BD">
        <w:rPr>
          <w:b/>
          <w:bCs/>
        </w:rPr>
        <w:t>R</w:t>
      </w:r>
      <w:r w:rsidR="009D5148" w:rsidRPr="007365BD">
        <w:rPr>
          <w:b/>
          <w:bCs/>
        </w:rPr>
        <w:t xml:space="preserve">eferral </w:t>
      </w:r>
      <w:r w:rsidRPr="007365BD">
        <w:rPr>
          <w:b/>
          <w:bCs/>
        </w:rPr>
        <w:t>H</w:t>
      </w:r>
      <w:r w:rsidR="009D5148" w:rsidRPr="007365BD">
        <w:rPr>
          <w:b/>
          <w:bCs/>
        </w:rPr>
        <w:t xml:space="preserve">ospital and </w:t>
      </w:r>
      <w:proofErr w:type="spellStart"/>
      <w:r w:rsidR="009D5148" w:rsidRPr="007365BD">
        <w:rPr>
          <w:b/>
          <w:bCs/>
        </w:rPr>
        <w:t>Mu’a</w:t>
      </w:r>
      <w:proofErr w:type="spellEnd"/>
      <w:r w:rsidR="009D5148" w:rsidRPr="007365BD">
        <w:rPr>
          <w:b/>
          <w:bCs/>
        </w:rPr>
        <w:t xml:space="preserve"> Health Clinic </w:t>
      </w:r>
      <w:r w:rsidRPr="007365BD">
        <w:t xml:space="preserve">to prepare </w:t>
      </w:r>
      <w:r w:rsidR="009D5148" w:rsidRPr="007365BD">
        <w:t xml:space="preserve">for the </w:t>
      </w:r>
      <w:r w:rsidRPr="007365BD">
        <w:t xml:space="preserve">isolation and </w:t>
      </w:r>
      <w:r w:rsidR="009D5148" w:rsidRPr="007365BD">
        <w:t>treatment of critical COVID</w:t>
      </w:r>
      <w:r w:rsidR="00996A3E" w:rsidRPr="007365BD">
        <w:noBreakHyphen/>
      </w:r>
      <w:r w:rsidR="009D5148" w:rsidRPr="007365BD">
        <w:t xml:space="preserve">19 cases and </w:t>
      </w:r>
      <w:r w:rsidR="00220197" w:rsidRPr="007365BD">
        <w:t>enabled</w:t>
      </w:r>
      <w:r w:rsidR="00565179" w:rsidRPr="007365BD">
        <w:t xml:space="preserve"> </w:t>
      </w:r>
      <w:r w:rsidR="009D5148" w:rsidRPr="00BB223C">
        <w:t xml:space="preserve">a national messaging campaign on social distancing and </w:t>
      </w:r>
      <w:r w:rsidRPr="00BB223C">
        <w:t xml:space="preserve">hand </w:t>
      </w:r>
      <w:r w:rsidR="009D5148" w:rsidRPr="00BB223C">
        <w:t>hygien</w:t>
      </w:r>
      <w:r w:rsidR="009D5148" w:rsidRPr="00B0551F">
        <w:t>e</w:t>
      </w:r>
      <w:r w:rsidRPr="00B0551F">
        <w:t xml:space="preserve">, which through </w:t>
      </w:r>
      <w:r w:rsidR="00214BD3" w:rsidRPr="00B0551F">
        <w:t xml:space="preserve">the Ministry of Health’s </w:t>
      </w:r>
      <w:r w:rsidR="00220197" w:rsidRPr="00B0551F">
        <w:t>Facebook page</w:t>
      </w:r>
      <w:r w:rsidRPr="00B0551F">
        <w:t xml:space="preserve"> reache</w:t>
      </w:r>
      <w:r w:rsidR="00503636" w:rsidRPr="00B0551F">
        <w:t>d</w:t>
      </w:r>
      <w:r w:rsidR="00214BD3" w:rsidRPr="00B0551F">
        <w:t xml:space="preserve"> over 12,000</w:t>
      </w:r>
      <w:r w:rsidRPr="00B0551F">
        <w:t xml:space="preserve"> people. </w:t>
      </w:r>
    </w:p>
    <w:p w14:paraId="5819D60A" w14:textId="57D918CB" w:rsidR="00050944" w:rsidRDefault="00050944" w:rsidP="00050944">
      <w:bookmarkStart w:id="2" w:name="_Hlk84183856"/>
      <w:r>
        <w:t xml:space="preserve">Australia has committed </w:t>
      </w:r>
      <w:r w:rsidR="008A549E">
        <w:t>$2</w:t>
      </w:r>
      <w:r>
        <w:t xml:space="preserve">.9 million over three years (2020-23) for COVID-19 vaccine access in Tonga, including delivery support and vaccine procurement, drawing on </w:t>
      </w:r>
      <w:r w:rsidRPr="007365BD">
        <w:rPr>
          <w:b/>
          <w:bCs/>
        </w:rPr>
        <w:t>Australia’s Regional COVID-19 Vaccine Access and Health Security Initiative</w:t>
      </w:r>
      <w:r w:rsidR="000004AD">
        <w:rPr>
          <w:b/>
          <w:bCs/>
        </w:rPr>
        <w:t xml:space="preserve"> (VASHI)</w:t>
      </w:r>
      <w:r>
        <w:t xml:space="preserve">. </w:t>
      </w:r>
      <w:r>
        <w:rPr>
          <w:rFonts w:ascii="Calibri Light" w:eastAsia="Calibri Light" w:hAnsi="Calibri Light" w:cs="Times New Roman"/>
          <w:b/>
          <w:bCs/>
          <w:color w:val="495965"/>
        </w:rPr>
        <w:t>Through VAHSI, Australia has committed to supporting Tonga and other Pacific island countries achieve comprehensive vaccine coverage</w:t>
      </w:r>
      <w:r>
        <w:t>. A</w:t>
      </w:r>
      <w:r w:rsidR="008A549E">
        <w:t xml:space="preserve">s </w:t>
      </w:r>
      <w:proofErr w:type="gramStart"/>
      <w:r w:rsidR="008A549E">
        <w:t>a</w:t>
      </w:r>
      <w:r>
        <w:t>t</w:t>
      </w:r>
      <w:proofErr w:type="gramEnd"/>
      <w:r>
        <w:t xml:space="preserve"> 30 June 2021, Australia had shared 19,000 AstraZeneca vaccine doses and associated consumables from Australian supplies for the outer islands of Tonga. This is in addition to Australia’s support for the </w:t>
      </w:r>
      <w:r w:rsidR="000004AD" w:rsidRPr="000004AD">
        <w:t xml:space="preserve">COVID-19 Vaccines Global Access </w:t>
      </w:r>
      <w:r w:rsidR="000004AD">
        <w:t>(</w:t>
      </w:r>
      <w:r>
        <w:t>COVAX</w:t>
      </w:r>
      <w:r w:rsidR="000004AD">
        <w:t>)</w:t>
      </w:r>
      <w:r>
        <w:t xml:space="preserve"> Advance Market Commitment totalling </w:t>
      </w:r>
      <w:r w:rsidR="008A549E">
        <w:t>$</w:t>
      </w:r>
      <w:r>
        <w:t xml:space="preserve">130 million. </w:t>
      </w:r>
      <w:r w:rsidR="005C7695">
        <w:t>T</w:t>
      </w:r>
      <w:r>
        <w:t xml:space="preserve">his global mechanism </w:t>
      </w:r>
      <w:r w:rsidR="005C7695">
        <w:t xml:space="preserve">also </w:t>
      </w:r>
      <w:r>
        <w:t>delivered 48,000 COVID-19 vaccine doses to Tonga</w:t>
      </w:r>
      <w:r w:rsidR="005C7695">
        <w:t xml:space="preserve"> by 30 June 2021</w:t>
      </w:r>
      <w:r>
        <w:t>.</w:t>
      </w:r>
    </w:p>
    <w:bookmarkEnd w:id="2"/>
    <w:p w14:paraId="10F9335E" w14:textId="1535B3C4" w:rsidR="00E4175B" w:rsidRPr="00B0551F" w:rsidRDefault="002D6D0A" w:rsidP="00D11BBF">
      <w:pPr>
        <w:pStyle w:val="Bullet1"/>
        <w:numPr>
          <w:ilvl w:val="0"/>
          <w:numId w:val="0"/>
        </w:numPr>
      </w:pPr>
      <w:r>
        <w:t>In the reporting period, o</w:t>
      </w:r>
      <w:r w:rsidR="00036857" w:rsidRPr="00B0551F">
        <w:t xml:space="preserve">ur vaccine </w:t>
      </w:r>
      <w:r w:rsidR="00220197" w:rsidRPr="00B0551F">
        <w:t>distribution</w:t>
      </w:r>
      <w:r w:rsidR="00E4175B" w:rsidRPr="00B0551F">
        <w:t xml:space="preserve"> </w:t>
      </w:r>
      <w:r w:rsidR="009338F9" w:rsidRPr="00B0551F">
        <w:t xml:space="preserve">support </w:t>
      </w:r>
      <w:r w:rsidR="00CC29CD" w:rsidRPr="00B0551F">
        <w:t>included</w:t>
      </w:r>
      <w:r w:rsidR="00EF7AD5" w:rsidRPr="00B0551F">
        <w:t xml:space="preserve"> </w:t>
      </w:r>
      <w:r w:rsidR="00E4175B" w:rsidRPr="007365BD">
        <w:t>deployment of a</w:t>
      </w:r>
      <w:r w:rsidR="00FD3ED9" w:rsidRPr="007365BD">
        <w:t xml:space="preserve"> COVID-19 Public Health</w:t>
      </w:r>
      <w:r w:rsidR="00E4175B" w:rsidRPr="007365BD">
        <w:t xml:space="preserve"> Infection Prevention and Control Advis</w:t>
      </w:r>
      <w:r w:rsidR="00EF7AD5" w:rsidRPr="00BB223C">
        <w:t>e</w:t>
      </w:r>
      <w:r w:rsidR="00E4175B" w:rsidRPr="00BB223C">
        <w:t>r</w:t>
      </w:r>
      <w:r w:rsidR="00565179" w:rsidRPr="00B0551F">
        <w:t xml:space="preserve"> who </w:t>
      </w:r>
      <w:r w:rsidR="00503636" w:rsidRPr="00B0551F">
        <w:t>supported vaccin</w:t>
      </w:r>
      <w:r w:rsidR="009338F9" w:rsidRPr="00B0551F">
        <w:t xml:space="preserve">ation </w:t>
      </w:r>
      <w:r w:rsidR="00503636" w:rsidRPr="00B0551F">
        <w:t xml:space="preserve">training; </w:t>
      </w:r>
      <w:r w:rsidR="009338F9" w:rsidRPr="007365BD">
        <w:t>d</w:t>
      </w:r>
      <w:r w:rsidR="00565179" w:rsidRPr="007365BD">
        <w:t xml:space="preserve">esign and implementation of Tonga’s vaccine </w:t>
      </w:r>
      <w:r w:rsidR="00503636" w:rsidRPr="007365BD">
        <w:t>campaign</w:t>
      </w:r>
      <w:r w:rsidR="009338F9" w:rsidRPr="007365BD">
        <w:t>;</w:t>
      </w:r>
      <w:r w:rsidR="00A2546D" w:rsidRPr="00BB223C">
        <w:t xml:space="preserve"> </w:t>
      </w:r>
      <w:r w:rsidR="00503636" w:rsidRPr="00BB223C">
        <w:t>health surveillance strengthening</w:t>
      </w:r>
      <w:r w:rsidR="009338F9" w:rsidRPr="00BB223C">
        <w:t>;</w:t>
      </w:r>
      <w:r w:rsidR="00503636" w:rsidRPr="00BB223C">
        <w:t xml:space="preserve"> </w:t>
      </w:r>
      <w:r w:rsidR="00A2546D" w:rsidRPr="00BB223C">
        <w:t>and epidemiological data management</w:t>
      </w:r>
      <w:r w:rsidR="00EF7AD5" w:rsidRPr="00B0551F">
        <w:t xml:space="preserve">. Australia also </w:t>
      </w:r>
      <w:r w:rsidR="008D1198" w:rsidRPr="00B0551F">
        <w:t>p</w:t>
      </w:r>
      <w:r w:rsidR="00FD3ED9" w:rsidRPr="00B0551F">
        <w:t>rocure</w:t>
      </w:r>
      <w:r w:rsidR="00EF7AD5" w:rsidRPr="00B0551F">
        <w:t>d</w:t>
      </w:r>
      <w:r w:rsidR="00FD3ED9" w:rsidRPr="00B0551F">
        <w:t xml:space="preserve"> </w:t>
      </w:r>
      <w:r w:rsidR="00E4175B" w:rsidRPr="00B0551F">
        <w:t>medical waste disposal units for Nuku’alofa and two outer islands</w:t>
      </w:r>
      <w:r w:rsidR="00A2546D" w:rsidRPr="00B0551F">
        <w:t>,</w:t>
      </w:r>
      <w:r w:rsidR="00565179" w:rsidRPr="00B0551F">
        <w:t xml:space="preserve"> </w:t>
      </w:r>
      <w:r w:rsidR="007A4D03" w:rsidRPr="00B0551F">
        <w:t xml:space="preserve">including </w:t>
      </w:r>
      <w:r w:rsidR="009338F9" w:rsidRPr="00B0551F">
        <w:t>an</w:t>
      </w:r>
      <w:r w:rsidR="00565179" w:rsidRPr="00B0551F">
        <w:t xml:space="preserve"> </w:t>
      </w:r>
      <w:proofErr w:type="spellStart"/>
      <w:r w:rsidR="00565179" w:rsidRPr="00B0551F">
        <w:t>Ecosteryl</w:t>
      </w:r>
      <w:proofErr w:type="spellEnd"/>
      <w:r w:rsidR="00565179" w:rsidRPr="00B0551F">
        <w:t xml:space="preserve"> unit recommended by WHO</w:t>
      </w:r>
      <w:r w:rsidR="009C208E" w:rsidRPr="00B0551F">
        <w:t xml:space="preserve">. </w:t>
      </w:r>
      <w:r w:rsidR="009C6D19">
        <w:t>Our</w:t>
      </w:r>
      <w:r w:rsidR="009338F9" w:rsidRPr="00B0551F">
        <w:t xml:space="preserve"> </w:t>
      </w:r>
      <w:r w:rsidR="009338F9" w:rsidRPr="007365BD">
        <w:t>A</w:t>
      </w:r>
      <w:r w:rsidR="009C208E" w:rsidRPr="007365BD">
        <w:t xml:space="preserve">ustralian </w:t>
      </w:r>
      <w:r w:rsidR="009338F9" w:rsidRPr="007365BD">
        <w:t>V</w:t>
      </w:r>
      <w:r w:rsidR="009C208E" w:rsidRPr="007365BD">
        <w:t>olunteers International</w:t>
      </w:r>
      <w:r w:rsidR="00EB7440" w:rsidRPr="007365BD">
        <w:t xml:space="preserve"> </w:t>
      </w:r>
      <w:r w:rsidR="009C208E" w:rsidRPr="007365BD">
        <w:t>v</w:t>
      </w:r>
      <w:r w:rsidR="009338F9" w:rsidRPr="007365BD">
        <w:t xml:space="preserve">olunteer supported </w:t>
      </w:r>
      <w:r w:rsidR="001F650A" w:rsidRPr="007365BD">
        <w:t>implement</w:t>
      </w:r>
      <w:r w:rsidR="00BC5F08" w:rsidRPr="007365BD">
        <w:t>ation of</w:t>
      </w:r>
      <w:r w:rsidR="001F650A" w:rsidRPr="007365BD">
        <w:t xml:space="preserve"> a </w:t>
      </w:r>
      <w:r w:rsidR="00E4175B" w:rsidRPr="007365BD">
        <w:t xml:space="preserve">digitised health information system to </w:t>
      </w:r>
      <w:r w:rsidR="00A2546D" w:rsidRPr="007365BD">
        <w:t>manage vaccination records</w:t>
      </w:r>
      <w:r w:rsidR="00A2546D" w:rsidRPr="00B0551F">
        <w:t xml:space="preserve">, </w:t>
      </w:r>
      <w:r w:rsidR="00771B2D" w:rsidRPr="00B0551F">
        <w:t>in collaboration</w:t>
      </w:r>
      <w:r w:rsidR="00ED45DF" w:rsidRPr="00B0551F">
        <w:t xml:space="preserve"> with New Zealand.</w:t>
      </w:r>
    </w:p>
    <w:p w14:paraId="164A3A43" w14:textId="7442C0AF" w:rsidR="00565179" w:rsidRPr="00B0551F" w:rsidRDefault="00565179" w:rsidP="00D11BBF">
      <w:pPr>
        <w:pStyle w:val="Bullet1"/>
        <w:numPr>
          <w:ilvl w:val="0"/>
          <w:numId w:val="0"/>
        </w:numPr>
      </w:pPr>
      <w:r w:rsidRPr="00B0551F">
        <w:t xml:space="preserve">Australia and Tonga have a long-standing partnership in the health sector. </w:t>
      </w:r>
      <w:r w:rsidR="002D6D0A">
        <w:t xml:space="preserve">In the reporting period, </w:t>
      </w:r>
      <w:r w:rsidRPr="007365BD">
        <w:rPr>
          <w:b/>
          <w:bCs/>
        </w:rPr>
        <w:t xml:space="preserve">The </w:t>
      </w:r>
      <w:r w:rsidRPr="00CD68DB">
        <w:rPr>
          <w:b/>
          <w:bCs/>
        </w:rPr>
        <w:t>Tonga Health Systems Support Program Phase II (THSSP2)</w:t>
      </w:r>
      <w:r w:rsidRPr="007365BD">
        <w:rPr>
          <w:b/>
          <w:bCs/>
        </w:rPr>
        <w:t xml:space="preserve"> </w:t>
      </w:r>
      <w:r w:rsidRPr="007365BD">
        <w:t>continued to support Tonga’s Ministry of Health</w:t>
      </w:r>
      <w:r w:rsidRPr="00B0551F">
        <w:t xml:space="preserve"> to deliver a more effective, </w:t>
      </w:r>
      <w:r w:rsidR="005E3293" w:rsidRPr="00B0551F">
        <w:t>efficient,</w:t>
      </w:r>
      <w:r w:rsidRPr="00B0551F">
        <w:t xml:space="preserve"> and equitable preventative and primary care service for the Tongan population, with a particular </w:t>
      </w:r>
      <w:r w:rsidRPr="007365BD">
        <w:t>focus on noncommunicable diseases</w:t>
      </w:r>
      <w:r w:rsidR="00C1041C" w:rsidRPr="007365BD">
        <w:t xml:space="preserve"> (NCDs)</w:t>
      </w:r>
      <w:r w:rsidRPr="007365BD">
        <w:t>.</w:t>
      </w:r>
      <w:r w:rsidRPr="00B0551F">
        <w:t xml:space="preserve"> Support through </w:t>
      </w:r>
      <w:r w:rsidRPr="00CD68DB">
        <w:t>THSSP</w:t>
      </w:r>
      <w:r w:rsidR="003C2199" w:rsidRPr="00CD68DB">
        <w:t>2</w:t>
      </w:r>
      <w:r w:rsidRPr="00B0551F">
        <w:t xml:space="preserve"> </w:t>
      </w:r>
      <w:r w:rsidR="003C2199" w:rsidRPr="00B0551F">
        <w:t xml:space="preserve">remained critical for equity of access to health services in the outer islands, </w:t>
      </w:r>
      <w:r w:rsidR="003C2199" w:rsidRPr="007365BD">
        <w:t xml:space="preserve">enabling </w:t>
      </w:r>
      <w:r w:rsidR="00A2546D" w:rsidRPr="007365BD">
        <w:t xml:space="preserve">clinicians to continue to provide </w:t>
      </w:r>
      <w:r w:rsidR="003C2199" w:rsidRPr="007365BD">
        <w:t>general medical, surgical, mental health, rehabilitation</w:t>
      </w:r>
      <w:r w:rsidR="00503636" w:rsidRPr="007365BD">
        <w:t>, dental</w:t>
      </w:r>
      <w:r w:rsidR="003C2199" w:rsidRPr="007365BD">
        <w:t xml:space="preserve"> and diagnostic outreach</w:t>
      </w:r>
      <w:r w:rsidR="003C2199" w:rsidRPr="00B0551F">
        <w:t xml:space="preserve"> missions. Community health programs and outreach continued, including the Healthy Village pilot which focuses on community ownership </w:t>
      </w:r>
      <w:r w:rsidR="00503636" w:rsidRPr="00B0551F">
        <w:t>for health promotion to</w:t>
      </w:r>
      <w:r w:rsidR="003C2199" w:rsidRPr="00B0551F">
        <w:t xml:space="preserve"> prevent </w:t>
      </w:r>
      <w:r w:rsidR="00C1041C" w:rsidRPr="00B0551F">
        <w:t>NCDs</w:t>
      </w:r>
      <w:r w:rsidR="003C2199" w:rsidRPr="00B0551F">
        <w:t xml:space="preserve"> at the village level. Essential pharmaceutical procurements for the treatment of </w:t>
      </w:r>
      <w:r w:rsidR="00C1041C" w:rsidRPr="00B0551F">
        <w:t>NCD</w:t>
      </w:r>
      <w:r w:rsidR="003C2199" w:rsidRPr="00B0551F">
        <w:t xml:space="preserve">s also continued under </w:t>
      </w:r>
      <w:r w:rsidR="003C2199" w:rsidRPr="00CD68DB">
        <w:t>THSSP2</w:t>
      </w:r>
      <w:r w:rsidR="00866E18" w:rsidRPr="00B0551F">
        <w:t>.</w:t>
      </w:r>
    </w:p>
    <w:p w14:paraId="1D48D073" w14:textId="7EDD6586" w:rsidR="00297FD1" w:rsidRPr="00400251" w:rsidRDefault="00297FD1" w:rsidP="005A1A5E">
      <w:pPr>
        <w:pStyle w:val="Heading3"/>
      </w:pPr>
      <w:r w:rsidRPr="00400251">
        <w:t>Stability</w:t>
      </w:r>
    </w:p>
    <w:p w14:paraId="005217DB" w14:textId="41CF4A2D" w:rsidR="00F82CF2" w:rsidRPr="00B0551F" w:rsidRDefault="002D6D0A" w:rsidP="00D11BBF">
      <w:pPr>
        <w:pStyle w:val="Bullet1"/>
        <w:numPr>
          <w:ilvl w:val="0"/>
          <w:numId w:val="0"/>
        </w:numPr>
      </w:pPr>
      <w:r>
        <w:t xml:space="preserve">In the reporting period, </w:t>
      </w:r>
      <w:r w:rsidR="003B4D65" w:rsidRPr="00B0551F">
        <w:t>Australia expanded support to women and girls, including improved monitoring of the increased impacts on women and families during the crisis</w:t>
      </w:r>
      <w:r w:rsidR="009C6D19">
        <w:t xml:space="preserve">, </w:t>
      </w:r>
      <w:r w:rsidR="00C107B2" w:rsidRPr="00B0551F">
        <w:t xml:space="preserve">enabling </w:t>
      </w:r>
      <w:r w:rsidR="003B4D65" w:rsidRPr="00B0551F">
        <w:t>better response mechanisms</w:t>
      </w:r>
      <w:r w:rsidR="00C107B2" w:rsidRPr="00B0551F">
        <w:t xml:space="preserve"> through local </w:t>
      </w:r>
      <w:r w:rsidR="004054D4">
        <w:t>non-government organisations (</w:t>
      </w:r>
      <w:r w:rsidR="00C107B2" w:rsidRPr="00B0551F">
        <w:t>NGOs</w:t>
      </w:r>
      <w:r w:rsidR="004054D4">
        <w:t>)</w:t>
      </w:r>
      <w:r w:rsidR="00C107B2" w:rsidRPr="00B0551F">
        <w:t xml:space="preserve"> and government organisations</w:t>
      </w:r>
      <w:r w:rsidR="003B4D65" w:rsidRPr="00B0551F">
        <w:t xml:space="preserve">. </w:t>
      </w:r>
      <w:r w:rsidR="003B4D65" w:rsidRPr="007365BD">
        <w:rPr>
          <w:b/>
          <w:bCs/>
        </w:rPr>
        <w:t xml:space="preserve">We </w:t>
      </w:r>
      <w:r w:rsidR="00905B78" w:rsidRPr="007365BD">
        <w:rPr>
          <w:b/>
          <w:bCs/>
        </w:rPr>
        <w:t>increased</w:t>
      </w:r>
      <w:r w:rsidR="003B4D65" w:rsidRPr="007365BD">
        <w:rPr>
          <w:b/>
          <w:bCs/>
        </w:rPr>
        <w:t xml:space="preserve"> support to communities to help them prepare for and manage the socio-economic impacts of COVID</w:t>
      </w:r>
      <w:r w:rsidR="00ED45DF" w:rsidRPr="007365BD">
        <w:rPr>
          <w:b/>
          <w:bCs/>
        </w:rPr>
        <w:noBreakHyphen/>
      </w:r>
      <w:r w:rsidR="003B4D65" w:rsidRPr="007365BD">
        <w:rPr>
          <w:b/>
          <w:bCs/>
        </w:rPr>
        <w:t>19</w:t>
      </w:r>
      <w:r w:rsidR="003B4D65" w:rsidRPr="00B0551F">
        <w:t xml:space="preserve">, including for families of workers under the Seasonal Workers Programme and the Pacific Labour Scheme whose deployments </w:t>
      </w:r>
      <w:r w:rsidR="00503636" w:rsidRPr="00B0551F">
        <w:t>in</w:t>
      </w:r>
      <w:r w:rsidR="003B4D65" w:rsidRPr="00B0551F">
        <w:t xml:space="preserve"> Australia </w:t>
      </w:r>
      <w:r w:rsidR="00905B78" w:rsidRPr="00B0551F">
        <w:t>were</w:t>
      </w:r>
      <w:r w:rsidR="003B4D65" w:rsidRPr="00B0551F">
        <w:t xml:space="preserve"> extended due to COVID-19. </w:t>
      </w:r>
    </w:p>
    <w:p w14:paraId="41426194" w14:textId="5A5059F2" w:rsidR="006C34C5" w:rsidRPr="00B0551F" w:rsidRDefault="002D23A1" w:rsidP="00D11BBF">
      <w:pPr>
        <w:pStyle w:val="Bullet1"/>
        <w:numPr>
          <w:ilvl w:val="0"/>
          <w:numId w:val="0"/>
        </w:numPr>
      </w:pPr>
      <w:r w:rsidRPr="007365BD">
        <w:t xml:space="preserve">Australia </w:t>
      </w:r>
      <w:r w:rsidR="00E9485F" w:rsidRPr="007365BD">
        <w:t>assisted</w:t>
      </w:r>
      <w:r w:rsidRPr="007365BD">
        <w:t xml:space="preserve"> three major women</w:t>
      </w:r>
      <w:r w:rsidR="008A549E">
        <w:t>’</w:t>
      </w:r>
      <w:r w:rsidRPr="007365BD">
        <w:t>s support groups</w:t>
      </w:r>
      <w:r w:rsidR="00503636" w:rsidRPr="007365BD">
        <w:t xml:space="preserve"> </w:t>
      </w:r>
      <w:r w:rsidRPr="00BB223C">
        <w:t xml:space="preserve">provide clients </w:t>
      </w:r>
      <w:r w:rsidR="008D1198" w:rsidRPr="00BB223C">
        <w:t xml:space="preserve">with </w:t>
      </w:r>
      <w:r w:rsidRPr="00BB223C">
        <w:t>mobile and remote support during lock downs</w:t>
      </w:r>
      <w:r w:rsidR="008D1198" w:rsidRPr="00BB223C">
        <w:t>. This included</w:t>
      </w:r>
      <w:r w:rsidR="00C1041C" w:rsidRPr="00BB223C">
        <w:t xml:space="preserve"> </w:t>
      </w:r>
      <w:r w:rsidR="00C8472E" w:rsidRPr="00BB223C">
        <w:t xml:space="preserve">supporting continued operations of </w:t>
      </w:r>
      <w:r w:rsidR="00805A1B" w:rsidRPr="00BB223C">
        <w:t>Tonga’s</w:t>
      </w:r>
      <w:r w:rsidRPr="00BB223C">
        <w:t xml:space="preserve"> only gender</w:t>
      </w:r>
      <w:r w:rsidR="00FD3ED9" w:rsidRPr="00BB223C">
        <w:t>-</w:t>
      </w:r>
      <w:r w:rsidRPr="00BB223C">
        <w:t>based violence safe</w:t>
      </w:r>
      <w:r w:rsidR="00805A1B" w:rsidRPr="00BB223C">
        <w:t>-house</w:t>
      </w:r>
      <w:r w:rsidR="00C1041C" w:rsidRPr="00BB223C">
        <w:t xml:space="preserve">; and </w:t>
      </w:r>
      <w:r w:rsidR="00C8472E" w:rsidRPr="00BB223C">
        <w:t>developing</w:t>
      </w:r>
      <w:r w:rsidRPr="00BB223C">
        <w:t xml:space="preserve"> streamed online training materials</w:t>
      </w:r>
      <w:r w:rsidRPr="007365BD">
        <w:rPr>
          <w:b/>
          <w:bCs/>
        </w:rPr>
        <w:t xml:space="preserve"> </w:t>
      </w:r>
      <w:r w:rsidRPr="0094255C">
        <w:t>and</w:t>
      </w:r>
      <w:r w:rsidRPr="00B0551F">
        <w:t xml:space="preserve"> </w:t>
      </w:r>
      <w:r w:rsidR="00C8472E" w:rsidRPr="00B0551F">
        <w:t>providing</w:t>
      </w:r>
      <w:r w:rsidRPr="00B0551F">
        <w:t xml:space="preserve"> seeds and plants for </w:t>
      </w:r>
      <w:r w:rsidR="00C8472E" w:rsidRPr="00B0551F">
        <w:t xml:space="preserve">poorer </w:t>
      </w:r>
      <w:r w:rsidRPr="00B0551F">
        <w:t xml:space="preserve">women to grow food or to generate income. </w:t>
      </w:r>
    </w:p>
    <w:p w14:paraId="28E2BC87" w14:textId="57977094" w:rsidR="002D23A1" w:rsidRPr="00B0551F" w:rsidRDefault="008D1198" w:rsidP="00D11BBF">
      <w:pPr>
        <w:pStyle w:val="Bullet1"/>
        <w:numPr>
          <w:ilvl w:val="0"/>
          <w:numId w:val="0"/>
        </w:numPr>
      </w:pPr>
      <w:r w:rsidRPr="00B0551F">
        <w:t xml:space="preserve">In </w:t>
      </w:r>
      <w:r w:rsidR="003E6DC8" w:rsidRPr="00B0551F">
        <w:t>February</w:t>
      </w:r>
      <w:r w:rsidRPr="00B0551F">
        <w:t xml:space="preserve"> 202</w:t>
      </w:r>
      <w:r w:rsidR="003E6DC8" w:rsidRPr="00B0551F">
        <w:t>1</w:t>
      </w:r>
      <w:r w:rsidRPr="00B0551F">
        <w:t xml:space="preserve">, </w:t>
      </w:r>
      <w:r w:rsidRPr="007365BD">
        <w:t>t</w:t>
      </w:r>
      <w:r w:rsidR="00FD1E6C" w:rsidRPr="007365BD">
        <w:t xml:space="preserve">he </w:t>
      </w:r>
      <w:r w:rsidR="006C34C5" w:rsidRPr="007365BD">
        <w:t xml:space="preserve">National Emergency Management Office </w:t>
      </w:r>
      <w:r w:rsidR="007A4D03" w:rsidRPr="007365BD">
        <w:t xml:space="preserve">opened a new </w:t>
      </w:r>
      <w:proofErr w:type="spellStart"/>
      <w:r w:rsidR="006C34C5" w:rsidRPr="007365BD">
        <w:t>Tongatapu</w:t>
      </w:r>
      <w:proofErr w:type="spellEnd"/>
      <w:r w:rsidR="006C34C5" w:rsidRPr="007365BD">
        <w:t xml:space="preserve"> humanitarian supplies warehouse</w:t>
      </w:r>
      <w:r w:rsidR="006C34C5" w:rsidRPr="00B0551F">
        <w:t>, following its completion and commissioning (enabled by a 2018 funding grant</w:t>
      </w:r>
      <w:r w:rsidR="00FD1E6C" w:rsidRPr="00B0551F">
        <w:t xml:space="preserve"> from the Australian </w:t>
      </w:r>
      <w:r w:rsidR="00FD1E6C" w:rsidRPr="00B0551F">
        <w:lastRenderedPageBreak/>
        <w:t>Government</w:t>
      </w:r>
      <w:r w:rsidR="006C34C5" w:rsidRPr="00B0551F">
        <w:t>). Following the dual impacts of T</w:t>
      </w:r>
      <w:r w:rsidR="005F57F5" w:rsidRPr="00B0551F">
        <w:t xml:space="preserve">ropical </w:t>
      </w:r>
      <w:r w:rsidR="006C34C5" w:rsidRPr="00B0551F">
        <w:t>C</w:t>
      </w:r>
      <w:r w:rsidR="005F57F5" w:rsidRPr="00B0551F">
        <w:t>yclone</w:t>
      </w:r>
      <w:r w:rsidR="006C34C5" w:rsidRPr="00B0551F">
        <w:t xml:space="preserve"> Harold and COVID</w:t>
      </w:r>
      <w:r w:rsidR="00996A3E" w:rsidRPr="00B0551F">
        <w:noBreakHyphen/>
      </w:r>
      <w:r w:rsidR="006C34C5" w:rsidRPr="00B0551F">
        <w:t xml:space="preserve">19, Australia also funded and facilitated </w:t>
      </w:r>
      <w:r w:rsidR="006C34C5" w:rsidRPr="007365BD">
        <w:rPr>
          <w:b/>
          <w:bCs/>
        </w:rPr>
        <w:t>delivery of essential humanitarian response supplies</w:t>
      </w:r>
      <w:r w:rsidR="006C34C5" w:rsidRPr="00B0551F">
        <w:t xml:space="preserve"> to re</w:t>
      </w:r>
      <w:r w:rsidR="00996A3E" w:rsidRPr="00B0551F">
        <w:noBreakHyphen/>
      </w:r>
      <w:r w:rsidR="006C34C5" w:rsidRPr="00B0551F">
        <w:t xml:space="preserve">stock </w:t>
      </w:r>
      <w:r w:rsidRPr="00B0551F">
        <w:t xml:space="preserve">the </w:t>
      </w:r>
      <w:r w:rsidR="006C34C5" w:rsidRPr="00B0551F">
        <w:t>warehouse in 2020.</w:t>
      </w:r>
    </w:p>
    <w:p w14:paraId="3C299ED0" w14:textId="483E1170" w:rsidR="00DB605B" w:rsidRPr="00B0551F" w:rsidRDefault="002D6D0A" w:rsidP="00D11BBF">
      <w:pPr>
        <w:pStyle w:val="Bullet1"/>
        <w:numPr>
          <w:ilvl w:val="0"/>
          <w:numId w:val="0"/>
        </w:numPr>
      </w:pPr>
      <w:r>
        <w:t>In the reporting period, t</w:t>
      </w:r>
      <w:r w:rsidR="00DB605B" w:rsidRPr="00B0551F">
        <w:t xml:space="preserve">he </w:t>
      </w:r>
      <w:r w:rsidR="00DB605B" w:rsidRPr="007365BD">
        <w:t>Australian Federal Police’s (AFP</w:t>
      </w:r>
      <w:r w:rsidR="00DB605B" w:rsidRPr="00CD68DB">
        <w:t>)</w:t>
      </w:r>
      <w:r w:rsidR="00DB605B" w:rsidRPr="007365BD">
        <w:rPr>
          <w:b/>
          <w:bCs/>
        </w:rPr>
        <w:t xml:space="preserve"> </w:t>
      </w:r>
      <w:r w:rsidR="00DB605B" w:rsidRPr="00CD68DB">
        <w:rPr>
          <w:b/>
          <w:bCs/>
        </w:rPr>
        <w:t>Families Free of Violence</w:t>
      </w:r>
      <w:r w:rsidR="00DB605B" w:rsidRPr="007365BD">
        <w:rPr>
          <w:b/>
          <w:bCs/>
          <w:i/>
          <w:iCs/>
        </w:rPr>
        <w:t xml:space="preserve"> </w:t>
      </w:r>
      <w:r w:rsidR="00DB605B" w:rsidRPr="007365BD">
        <w:t>program conducted a range of training and capacity support for domestic violence programs with Tonga Police</w:t>
      </w:r>
      <w:r w:rsidR="00DB605B" w:rsidRPr="00B0551F">
        <w:t xml:space="preserve">, including through several outreach visits to Tonga’s outer islands. Both </w:t>
      </w:r>
      <w:r w:rsidR="00DB605B" w:rsidRPr="007365BD">
        <w:t>the Australian Defence Force and AFP supported Tonga’s effective administration of border control and quarantine management systems.</w:t>
      </w:r>
      <w:r w:rsidR="00DB605B" w:rsidRPr="007365BD">
        <w:rPr>
          <w:b/>
          <w:bCs/>
        </w:rPr>
        <w:t xml:space="preserve"> </w:t>
      </w:r>
      <w:r w:rsidR="00DB605B" w:rsidRPr="006B5E0F">
        <w:t xml:space="preserve">Separately, the Defence Cooperation Program progressed the capability enhancement of His Majesty’s Armed Forces </w:t>
      </w:r>
      <w:r w:rsidR="00444752" w:rsidRPr="006B5E0F">
        <w:t xml:space="preserve">through infrastructure projects, </w:t>
      </w:r>
      <w:r w:rsidR="00DB605B" w:rsidRPr="006B5E0F">
        <w:t xml:space="preserve">including </w:t>
      </w:r>
      <w:r w:rsidR="00444752" w:rsidRPr="006B5E0F">
        <w:t xml:space="preserve">completion of construction of </w:t>
      </w:r>
      <w:proofErr w:type="spellStart"/>
      <w:r w:rsidR="00444752" w:rsidRPr="006B5E0F">
        <w:t>Fangata</w:t>
      </w:r>
      <w:proofErr w:type="spellEnd"/>
      <w:r w:rsidR="00444752" w:rsidRPr="006B5E0F">
        <w:t xml:space="preserve"> Military Camp on ‘</w:t>
      </w:r>
      <w:proofErr w:type="spellStart"/>
      <w:r w:rsidR="00444752" w:rsidRPr="006B5E0F">
        <w:t>Eua</w:t>
      </w:r>
      <w:proofErr w:type="spellEnd"/>
      <w:r w:rsidR="00444752" w:rsidRPr="006B5E0F">
        <w:t xml:space="preserve">, </w:t>
      </w:r>
      <w:r w:rsidR="00DB605B" w:rsidRPr="006B5E0F">
        <w:t xml:space="preserve">substantial progress with the Northern </w:t>
      </w:r>
      <w:r w:rsidR="00444752" w:rsidRPr="006B5E0F">
        <w:t>Command</w:t>
      </w:r>
      <w:r w:rsidR="00DB605B" w:rsidRPr="006B5E0F">
        <w:t xml:space="preserve"> construction </w:t>
      </w:r>
      <w:r w:rsidR="00444752" w:rsidRPr="006B5E0F">
        <w:t xml:space="preserve">project in </w:t>
      </w:r>
      <w:proofErr w:type="spellStart"/>
      <w:r w:rsidR="00444752" w:rsidRPr="006B5E0F">
        <w:t>Vava’u</w:t>
      </w:r>
      <w:proofErr w:type="spellEnd"/>
      <w:r w:rsidR="00444752" w:rsidRPr="006B5E0F">
        <w:t>,</w:t>
      </w:r>
      <w:r w:rsidR="00DB605B" w:rsidRPr="006B5E0F">
        <w:t xml:space="preserve"> and Masefield </w:t>
      </w:r>
      <w:r w:rsidR="00444752" w:rsidRPr="006B5E0F">
        <w:t xml:space="preserve">Navy Base and </w:t>
      </w:r>
      <w:proofErr w:type="spellStart"/>
      <w:r w:rsidR="00444752" w:rsidRPr="006B5E0F">
        <w:t>Taliai</w:t>
      </w:r>
      <w:proofErr w:type="spellEnd"/>
      <w:r w:rsidR="00444752" w:rsidRPr="006B5E0F">
        <w:t xml:space="preserve"> Military Camp base </w:t>
      </w:r>
      <w:r w:rsidR="00DB605B" w:rsidRPr="006B5E0F">
        <w:t>refurbishment</w:t>
      </w:r>
      <w:r w:rsidR="00444752" w:rsidRPr="006B5E0F">
        <w:t xml:space="preserve"> projects</w:t>
      </w:r>
      <w:r w:rsidR="00DB605B" w:rsidRPr="006B5E0F">
        <w:t>.</w:t>
      </w:r>
    </w:p>
    <w:p w14:paraId="23BE5CB8" w14:textId="102FC81D" w:rsidR="00DB605B" w:rsidRPr="00B0551F" w:rsidRDefault="00DB605B" w:rsidP="00D11BBF">
      <w:pPr>
        <w:pStyle w:val="Bullet1"/>
        <w:numPr>
          <w:ilvl w:val="0"/>
          <w:numId w:val="0"/>
        </w:numPr>
      </w:pPr>
      <w:r w:rsidRPr="00B0551F">
        <w:t>Working with the World Bank we concluded the final year of a major school reconstruction program that delivered 125</w:t>
      </w:r>
      <w:r w:rsidR="00EB7440">
        <w:t> </w:t>
      </w:r>
      <w:r w:rsidRPr="00B0551F">
        <w:t xml:space="preserve">classrooms at 25 Tongan schools since 2019-20 (20 schools in 2021). </w:t>
      </w:r>
      <w:r w:rsidR="002D6D0A">
        <w:t>In the reporting period, w</w:t>
      </w:r>
      <w:r w:rsidRPr="007365BD">
        <w:t>e also supported 82 Tongans who had been unable to take up university places because of COVID</w:t>
      </w:r>
      <w:r w:rsidR="00FB7717">
        <w:t>-19</w:t>
      </w:r>
      <w:r w:rsidRPr="007365BD">
        <w:t xml:space="preserve"> border restrictions to attend online higher education</w:t>
      </w:r>
      <w:r w:rsidRPr="00B0551F">
        <w:t xml:space="preserve"> through the University of the South Pacific Tonga Campus.</w:t>
      </w:r>
    </w:p>
    <w:p w14:paraId="0B17EEFD" w14:textId="060CF7E3" w:rsidR="008C1F60" w:rsidRPr="00216C55" w:rsidRDefault="00297FD1" w:rsidP="005A1A5E">
      <w:pPr>
        <w:pStyle w:val="Heading3"/>
      </w:pPr>
      <w:r w:rsidRPr="00216C55">
        <w:t xml:space="preserve">Economic </w:t>
      </w:r>
      <w:r w:rsidR="00856F4F">
        <w:t>R</w:t>
      </w:r>
      <w:r w:rsidRPr="00216C55">
        <w:t>ecovery</w:t>
      </w:r>
    </w:p>
    <w:p w14:paraId="56622C87" w14:textId="6DC11DD4" w:rsidR="005E3D03" w:rsidRPr="00B0551F" w:rsidRDefault="000F7C0E" w:rsidP="00D11BBF">
      <w:pPr>
        <w:pStyle w:val="Bullet1"/>
        <w:numPr>
          <w:ilvl w:val="0"/>
          <w:numId w:val="0"/>
        </w:numPr>
      </w:pPr>
      <w:bookmarkStart w:id="3" w:name="_Hlk84326885"/>
      <w:r w:rsidRPr="00B0551F">
        <w:t xml:space="preserve">In partnership with </w:t>
      </w:r>
      <w:r w:rsidR="00883647" w:rsidRPr="00B0551F">
        <w:t xml:space="preserve">the World Bank, </w:t>
      </w:r>
      <w:r w:rsidR="000A4E89" w:rsidRPr="00B0551F">
        <w:t>Australia’s budget support program leveraged fiscal and public sector policy reform and enabled a focus on health sector effectiveness</w:t>
      </w:r>
      <w:r w:rsidR="00C519E3" w:rsidRPr="00B0551F">
        <w:t>. We supported the Ministry of Finance to implement and embed public financial management reforms that strengthened Tonga’s response to COVID</w:t>
      </w:r>
      <w:r w:rsidR="00C519E3" w:rsidRPr="00B0551F">
        <w:noBreakHyphen/>
        <w:t xml:space="preserve">19. </w:t>
      </w:r>
      <w:r w:rsidR="002D6D0A">
        <w:t xml:space="preserve">In the reporting period, </w:t>
      </w:r>
      <w:r w:rsidR="00DC5D96">
        <w:t xml:space="preserve">Australia provided </w:t>
      </w:r>
      <w:r w:rsidR="00FB7717">
        <w:t>$</w:t>
      </w:r>
      <w:r w:rsidR="00215CEB">
        <w:t>15.5</w:t>
      </w:r>
      <w:r w:rsidR="00DC5D96">
        <w:t xml:space="preserve"> </w:t>
      </w:r>
      <w:r w:rsidR="00FB7717">
        <w:t xml:space="preserve">million </w:t>
      </w:r>
      <w:r w:rsidR="00DC5D96">
        <w:t xml:space="preserve">of </w:t>
      </w:r>
      <w:r w:rsidR="00BE5D2E" w:rsidRPr="007365BD">
        <w:rPr>
          <w:b/>
          <w:bCs/>
        </w:rPr>
        <w:t>budget support</w:t>
      </w:r>
      <w:r w:rsidR="00215CEB">
        <w:rPr>
          <w:b/>
          <w:bCs/>
        </w:rPr>
        <w:t xml:space="preserve">, </w:t>
      </w:r>
      <w:r w:rsidR="00FB7717">
        <w:rPr>
          <w:b/>
          <w:bCs/>
        </w:rPr>
        <w:t>$</w:t>
      </w:r>
      <w:r w:rsidR="00215CEB">
        <w:rPr>
          <w:b/>
          <w:bCs/>
        </w:rPr>
        <w:t>10 million of which was</w:t>
      </w:r>
      <w:r w:rsidR="00DC5D96">
        <w:rPr>
          <w:b/>
          <w:bCs/>
        </w:rPr>
        <w:t xml:space="preserve"> through the COVID-19 Response Package for the Pacific and Timor-Leste. </w:t>
      </w:r>
      <w:r w:rsidR="00DC5D96" w:rsidRPr="009813A2">
        <w:t>This</w:t>
      </w:r>
      <w:r w:rsidR="00DC5D96">
        <w:rPr>
          <w:b/>
          <w:bCs/>
        </w:rPr>
        <w:t xml:space="preserve"> </w:t>
      </w:r>
      <w:r w:rsidR="00BE5D2E" w:rsidRPr="007365BD">
        <w:t xml:space="preserve">provided liquidity to help Tonga manage a large budget deficit and was targeted to crisis payments for </w:t>
      </w:r>
      <w:r w:rsidR="00DF6073" w:rsidRPr="00BB223C">
        <w:t xml:space="preserve">551 registered and 6,450 informal </w:t>
      </w:r>
      <w:r w:rsidR="00BE5D2E" w:rsidRPr="00BB223C">
        <w:t>businesses and cash relief for vulnerable people</w:t>
      </w:r>
      <w:r w:rsidR="00BE5D2E" w:rsidRPr="00B0551F">
        <w:t xml:space="preserve"> including pensioners and </w:t>
      </w:r>
      <w:r w:rsidR="00FD1E6C" w:rsidRPr="00B0551F">
        <w:t xml:space="preserve">people with </w:t>
      </w:r>
      <w:r w:rsidR="00BE5D2E" w:rsidRPr="00B0551F">
        <w:t>disab</w:t>
      </w:r>
      <w:r w:rsidR="00FD1E6C" w:rsidRPr="00B0551F">
        <w:t>i</w:t>
      </w:r>
      <w:r w:rsidR="00BE5D2E" w:rsidRPr="00B0551F">
        <w:t>l</w:t>
      </w:r>
      <w:r w:rsidR="00FD1E6C" w:rsidRPr="00B0551F">
        <w:t>ities</w:t>
      </w:r>
      <w:r w:rsidR="00BE5D2E" w:rsidRPr="00B0551F">
        <w:t>.</w:t>
      </w:r>
    </w:p>
    <w:bookmarkEnd w:id="3"/>
    <w:p w14:paraId="5EEBD54B" w14:textId="26F911C0" w:rsidR="00D27F15" w:rsidRPr="00B0551F" w:rsidRDefault="00FC3896" w:rsidP="00D11BBF">
      <w:pPr>
        <w:pStyle w:val="Bullet1"/>
        <w:numPr>
          <w:ilvl w:val="0"/>
          <w:numId w:val="0"/>
        </w:numPr>
      </w:pPr>
      <w:r w:rsidRPr="00B0551F">
        <w:t xml:space="preserve">Australia </w:t>
      </w:r>
      <w:r w:rsidR="00BA4D05" w:rsidRPr="00B0551F">
        <w:t>continue</w:t>
      </w:r>
      <w:r w:rsidR="00C23351" w:rsidRPr="00B0551F">
        <w:t>d</w:t>
      </w:r>
      <w:r w:rsidR="00BA4D05" w:rsidRPr="00B0551F">
        <w:t xml:space="preserve"> to support Tonga achieve its renewable energy targets and reduce dependence on imported fossil fuels</w:t>
      </w:r>
      <w:r w:rsidR="00AC2128" w:rsidRPr="00B0551F">
        <w:t>. I</w:t>
      </w:r>
      <w:r w:rsidR="001C6E9E" w:rsidRPr="00B0551F">
        <w:t xml:space="preserve">n partnership with the </w:t>
      </w:r>
      <w:r w:rsidR="00E819D4" w:rsidRPr="00B0551F">
        <w:t>ADB</w:t>
      </w:r>
      <w:r w:rsidR="00AB3C1D" w:rsidRPr="00B0551F">
        <w:t xml:space="preserve">, </w:t>
      </w:r>
      <w:r w:rsidR="00AB3C1D" w:rsidRPr="007365BD">
        <w:rPr>
          <w:b/>
          <w:bCs/>
        </w:rPr>
        <w:t>t</w:t>
      </w:r>
      <w:r w:rsidR="00ED5041" w:rsidRPr="007365BD">
        <w:rPr>
          <w:b/>
          <w:bCs/>
        </w:rPr>
        <w:t xml:space="preserve">he Outer Islands Renewable Energy Program (OIREP) and </w:t>
      </w:r>
      <w:r w:rsidR="00ED5041" w:rsidRPr="009057D3">
        <w:rPr>
          <w:b/>
          <w:bCs/>
        </w:rPr>
        <w:t>Tonga Renewable Energy Project (TREP)</w:t>
      </w:r>
      <w:r w:rsidR="00ED5041" w:rsidRPr="007365BD">
        <w:rPr>
          <w:b/>
          <w:bCs/>
          <w:i/>
          <w:iCs/>
        </w:rPr>
        <w:t xml:space="preserve"> </w:t>
      </w:r>
      <w:r w:rsidR="00DF6073" w:rsidRPr="007365BD">
        <w:rPr>
          <w:b/>
          <w:bCs/>
        </w:rPr>
        <w:t>are helping reduce the number of</w:t>
      </w:r>
      <w:r w:rsidR="00ED5041" w:rsidRPr="007365BD">
        <w:rPr>
          <w:b/>
          <w:bCs/>
        </w:rPr>
        <w:t xml:space="preserve"> rural Tongans without access to power</w:t>
      </w:r>
      <w:r w:rsidR="00687740" w:rsidRPr="00B0551F">
        <w:t xml:space="preserve"> a</w:t>
      </w:r>
      <w:r w:rsidR="00AC2128" w:rsidRPr="00B0551F">
        <w:t xml:space="preserve">nd </w:t>
      </w:r>
      <w:r w:rsidR="00E819D4" w:rsidRPr="00B0551F">
        <w:t>are</w:t>
      </w:r>
      <w:r w:rsidR="00AC2128" w:rsidRPr="00B0551F">
        <w:t xml:space="preserve"> keeping Tonga on track to reach its goal of reducing reliance on expensive diesel </w:t>
      </w:r>
      <w:r w:rsidR="00805A1B" w:rsidRPr="00B0551F">
        <w:t>fuels and</w:t>
      </w:r>
      <w:r w:rsidR="00AC2128" w:rsidRPr="00B0551F">
        <w:t xml:space="preserve"> </w:t>
      </w:r>
      <w:r w:rsidR="00C8472E" w:rsidRPr="00B0551F">
        <w:t xml:space="preserve">achieving </w:t>
      </w:r>
      <w:r w:rsidR="00E819D4" w:rsidRPr="00B0551F">
        <w:t xml:space="preserve">Tonga’s goal of generating </w:t>
      </w:r>
      <w:r w:rsidR="00C8472E" w:rsidRPr="00B0551F">
        <w:t>70</w:t>
      </w:r>
      <w:r w:rsidR="005E3293" w:rsidRPr="00B0551F">
        <w:t xml:space="preserve"> per cent</w:t>
      </w:r>
      <w:r w:rsidR="00C8472E" w:rsidRPr="00B0551F">
        <w:t xml:space="preserve"> of </w:t>
      </w:r>
      <w:r w:rsidR="00E819D4" w:rsidRPr="00B0551F">
        <w:t xml:space="preserve">electricity </w:t>
      </w:r>
      <w:r w:rsidR="00C8472E" w:rsidRPr="00B0551F">
        <w:t>from renewable sources by 2030</w:t>
      </w:r>
      <w:r w:rsidR="00ED5041" w:rsidRPr="00B0551F">
        <w:t xml:space="preserve">. </w:t>
      </w:r>
      <w:r w:rsidR="00084660" w:rsidRPr="00B0551F">
        <w:t xml:space="preserve">At commencement, </w:t>
      </w:r>
      <w:r w:rsidR="00084660" w:rsidRPr="00B0551F">
        <w:rPr>
          <w:lang w:val="en-AU"/>
        </w:rPr>
        <w:t>OIREP and TREP estimated 25 per cent of rural Tongans were without access to reliable electricity supply</w:t>
      </w:r>
      <w:r w:rsidR="00687740" w:rsidRPr="00B0551F">
        <w:rPr>
          <w:lang w:val="en-AU"/>
        </w:rPr>
        <w:t>.</w:t>
      </w:r>
      <w:r w:rsidR="00084660" w:rsidRPr="00B0551F">
        <w:t xml:space="preserve"> </w:t>
      </w:r>
      <w:r w:rsidR="00DF6073" w:rsidRPr="00B0551F">
        <w:t>ADB estimates that these ongoing programs will lift Tonga from 12.5</w:t>
      </w:r>
      <w:r w:rsidR="00996A3E" w:rsidRPr="00B0551F">
        <w:t xml:space="preserve"> per cent</w:t>
      </w:r>
      <w:r w:rsidR="00DF6073" w:rsidRPr="00B0551F">
        <w:t xml:space="preserve"> of energy generation from renewable sources to over 25</w:t>
      </w:r>
      <w:r w:rsidR="00996A3E" w:rsidRPr="00B0551F">
        <w:t xml:space="preserve"> per</w:t>
      </w:r>
      <w:r w:rsidR="00483151" w:rsidRPr="00B0551F">
        <w:t xml:space="preserve"> </w:t>
      </w:r>
      <w:r w:rsidR="00996A3E" w:rsidRPr="00B0551F">
        <w:t xml:space="preserve">cent </w:t>
      </w:r>
      <w:r w:rsidR="00DF6073" w:rsidRPr="00B0551F">
        <w:t xml:space="preserve">in </w:t>
      </w:r>
      <w:r w:rsidR="00996A3E" w:rsidRPr="00B0551F">
        <w:t>20</w:t>
      </w:r>
      <w:r w:rsidR="00DF6073" w:rsidRPr="00B0551F">
        <w:t>21</w:t>
      </w:r>
      <w:r w:rsidR="00996A3E" w:rsidRPr="00B0551F">
        <w:t>-</w:t>
      </w:r>
      <w:r w:rsidR="00DF6073" w:rsidRPr="00B0551F">
        <w:t>22.</w:t>
      </w:r>
      <w:r w:rsidR="00ED5041" w:rsidRPr="00B0551F">
        <w:t xml:space="preserve"> </w:t>
      </w:r>
    </w:p>
    <w:p w14:paraId="62043BB0" w14:textId="6597A8DB" w:rsidR="009007A5" w:rsidRDefault="00BE5D2E" w:rsidP="00D11BBF">
      <w:pPr>
        <w:pStyle w:val="Bullet1"/>
        <w:numPr>
          <w:ilvl w:val="0"/>
          <w:numId w:val="0"/>
        </w:numPr>
        <w:sectPr w:rsidR="009007A5" w:rsidSect="00583C53">
          <w:headerReference w:type="default" r:id="rId9"/>
          <w:footerReference w:type="default" r:id="rId10"/>
          <w:headerReference w:type="first" r:id="rId11"/>
          <w:footerReference w:type="first" r:id="rId12"/>
          <w:type w:val="continuous"/>
          <w:pgSz w:w="11906" w:h="16838" w:code="9"/>
          <w:pgMar w:top="1559" w:right="680" w:bottom="1418" w:left="680" w:header="567" w:footer="397" w:gutter="0"/>
          <w:cols w:space="709"/>
          <w:titlePg/>
          <w:docGrid w:linePitch="360"/>
        </w:sectPr>
      </w:pPr>
      <w:r w:rsidRPr="00B0551F">
        <w:t xml:space="preserve">Responding to a top Tongan Government development priority, </w:t>
      </w:r>
      <w:r w:rsidR="00CA1762">
        <w:t>Australia</w:t>
      </w:r>
      <w:r w:rsidRPr="00B0551F">
        <w:t xml:space="preserve"> </w:t>
      </w:r>
      <w:r w:rsidR="00805A1B" w:rsidRPr="00B0551F">
        <w:t>signed</w:t>
      </w:r>
      <w:r w:rsidRPr="00B0551F">
        <w:t xml:space="preserve"> a contract for the design and construction of an agricultural goods packhouse. </w:t>
      </w:r>
      <w:r w:rsidR="004D774C" w:rsidRPr="007365BD">
        <w:rPr>
          <w:b/>
          <w:bCs/>
        </w:rPr>
        <w:t>T</w:t>
      </w:r>
      <w:r w:rsidRPr="007365BD">
        <w:rPr>
          <w:b/>
          <w:bCs/>
        </w:rPr>
        <w:t xml:space="preserve">hrough </w:t>
      </w:r>
      <w:r w:rsidRPr="009057D3">
        <w:rPr>
          <w:b/>
          <w:bCs/>
        </w:rPr>
        <w:t>PHAMA Plus</w:t>
      </w:r>
      <w:r w:rsidRPr="000004AD">
        <w:rPr>
          <w:b/>
          <w:bCs/>
        </w:rPr>
        <w:t>,</w:t>
      </w:r>
      <w:r w:rsidRPr="007365BD">
        <w:rPr>
          <w:b/>
          <w:bCs/>
        </w:rPr>
        <w:t xml:space="preserve"> </w:t>
      </w:r>
      <w:r w:rsidR="004D774C" w:rsidRPr="007365BD">
        <w:rPr>
          <w:b/>
          <w:bCs/>
        </w:rPr>
        <w:t>we supported</w:t>
      </w:r>
      <w:r w:rsidRPr="007365BD">
        <w:rPr>
          <w:b/>
          <w:bCs/>
        </w:rPr>
        <w:t xml:space="preserve"> effective packhouse governance systems and have begun developing business modelling support </w:t>
      </w:r>
      <w:r w:rsidRPr="00B0551F">
        <w:t xml:space="preserve">for the facility. It is expected the packhouse, once constructed in 2022, </w:t>
      </w:r>
      <w:r w:rsidRPr="007365BD">
        <w:t xml:space="preserve">will enable Tonga to take better advantage of the export opportunities presented by the </w:t>
      </w:r>
      <w:r w:rsidR="000004AD" w:rsidRPr="000004AD">
        <w:t>Pacific Agreement on Closer Economic Relations Plus</w:t>
      </w:r>
      <w:r w:rsidR="000004AD" w:rsidRPr="000004AD" w:rsidDel="000004AD">
        <w:t xml:space="preserve"> </w:t>
      </w:r>
      <w:r w:rsidRPr="007365BD">
        <w:t>trade agree</w:t>
      </w:r>
      <w:r w:rsidRPr="00BB223C">
        <w:t xml:space="preserve">ment. </w:t>
      </w:r>
      <w:r w:rsidR="00805A8D" w:rsidRPr="009057D3">
        <w:t>PHAMA Plus</w:t>
      </w:r>
      <w:r w:rsidR="00805A8D" w:rsidRPr="00BB223C">
        <w:t xml:space="preserve"> also supported training packages to </w:t>
      </w:r>
      <w:r w:rsidR="00E819D4" w:rsidRPr="00BB223C">
        <w:t xml:space="preserve">work towards </w:t>
      </w:r>
      <w:r w:rsidR="00805A8D" w:rsidRPr="00BB223C">
        <w:t>reopening Tonga’s watermelon export pathway to New</w:t>
      </w:r>
      <w:r w:rsidR="005E3293" w:rsidRPr="00BB223C">
        <w:t> </w:t>
      </w:r>
      <w:r w:rsidR="00805A8D" w:rsidRPr="00BB223C">
        <w:t>Zealand</w:t>
      </w:r>
      <w:r w:rsidR="00331B87" w:rsidRPr="00BB223C">
        <w:t>.</w:t>
      </w:r>
      <w:r w:rsidR="00E819D4" w:rsidRPr="00BB223C">
        <w:t xml:space="preserve"> In partnership with </w:t>
      </w:r>
      <w:r w:rsidR="00996A3E" w:rsidRPr="00BB223C">
        <w:t xml:space="preserve">the </w:t>
      </w:r>
      <w:r w:rsidR="00E819D4" w:rsidRPr="00BB223C">
        <w:t>N</w:t>
      </w:r>
      <w:r w:rsidR="008E28C5" w:rsidRPr="00BB223C">
        <w:t xml:space="preserve">ew </w:t>
      </w:r>
      <w:r w:rsidR="00E819D4" w:rsidRPr="00BB223C">
        <w:t>Z</w:t>
      </w:r>
      <w:r w:rsidR="008E28C5" w:rsidRPr="00BB223C">
        <w:t>ealand</w:t>
      </w:r>
      <w:r w:rsidR="00E819D4" w:rsidRPr="00BB223C">
        <w:t xml:space="preserve"> Ministry of Primary Industries, </w:t>
      </w:r>
      <w:r w:rsidR="00E819D4" w:rsidRPr="009057D3">
        <w:t>PHAMA</w:t>
      </w:r>
      <w:r w:rsidR="008E28C5" w:rsidRPr="009057D3">
        <w:t xml:space="preserve"> Plus</w:t>
      </w:r>
      <w:r w:rsidR="00E819D4" w:rsidRPr="00BB223C">
        <w:t xml:space="preserve"> identified and worked to alleviate bio-security concerns associated with the pathway.</w:t>
      </w:r>
      <w:r w:rsidR="000004AD">
        <w:t xml:space="preserve"> </w:t>
      </w:r>
    </w:p>
    <w:p w14:paraId="250D99D3" w14:textId="77777777" w:rsidR="00C8472E" w:rsidRDefault="00C8472E" w:rsidP="002608AA">
      <w:pPr>
        <w:pStyle w:val="Heading2"/>
      </w:pPr>
      <w:r>
        <w:lastRenderedPageBreak/>
        <w:t>Annex 1</w:t>
      </w:r>
      <w:r w:rsidRPr="002945C4">
        <w:t xml:space="preserve">: </w:t>
      </w:r>
      <w:r>
        <w:t>Progress against COVID-19 Response plan results indicators</w:t>
      </w:r>
    </w:p>
    <w:p w14:paraId="5B5ABC39" w14:textId="45D66600" w:rsidR="00C8472E" w:rsidRDefault="00C8472E" w:rsidP="005A1A5E">
      <w:pPr>
        <w:pStyle w:val="Heading3"/>
      </w:pPr>
      <w:r w:rsidRPr="00AE2B7B">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2689"/>
        <w:gridCol w:w="7847"/>
      </w:tblGrid>
      <w:tr w:rsidR="00C8472E" w14:paraId="7229618B" w14:textId="77777777" w:rsidTr="007365BD">
        <w:trPr>
          <w:tblHeader/>
        </w:trPr>
        <w:tc>
          <w:tcPr>
            <w:tcW w:w="2689" w:type="dxa"/>
            <w:shd w:val="clear" w:color="auto" w:fill="A2DCD1" w:themeFill="accent1" w:themeFillTint="99"/>
          </w:tcPr>
          <w:p w14:paraId="42F3B425" w14:textId="514DBDAB" w:rsidR="00C8472E" w:rsidRPr="003569AA" w:rsidRDefault="00C8472E" w:rsidP="008A1B41">
            <w:pPr>
              <w:spacing w:before="0"/>
              <w:jc w:val="center"/>
              <w:rPr>
                <w:b/>
                <w:sz w:val="20"/>
                <w:szCs w:val="20"/>
              </w:rPr>
            </w:pPr>
            <w:r w:rsidRPr="003569AA">
              <w:rPr>
                <w:b/>
                <w:sz w:val="20"/>
                <w:szCs w:val="20"/>
              </w:rPr>
              <w:t>Key Results Indicators</w:t>
            </w:r>
          </w:p>
        </w:tc>
        <w:tc>
          <w:tcPr>
            <w:tcW w:w="7847" w:type="dxa"/>
            <w:shd w:val="clear" w:color="auto" w:fill="A2DCD1" w:themeFill="accent1" w:themeFillTint="99"/>
          </w:tcPr>
          <w:p w14:paraId="1A52B654" w14:textId="77777777" w:rsidR="00C8472E" w:rsidRPr="003569AA" w:rsidRDefault="00C8472E" w:rsidP="008A1B41">
            <w:pPr>
              <w:spacing w:before="0"/>
              <w:ind w:left="100"/>
              <w:jc w:val="center"/>
              <w:rPr>
                <w:sz w:val="20"/>
                <w:szCs w:val="20"/>
              </w:rPr>
            </w:pPr>
            <w:r w:rsidRPr="003569AA">
              <w:rPr>
                <w:b/>
                <w:sz w:val="20"/>
                <w:szCs w:val="20"/>
              </w:rPr>
              <w:t>Progress/Result</w:t>
            </w:r>
          </w:p>
        </w:tc>
      </w:tr>
      <w:tr w:rsidR="00C8472E" w14:paraId="6CF1C21F" w14:textId="77777777" w:rsidTr="007365BD">
        <w:trPr>
          <w:trHeight w:val="2092"/>
        </w:trPr>
        <w:tc>
          <w:tcPr>
            <w:tcW w:w="2689" w:type="dxa"/>
          </w:tcPr>
          <w:p w14:paraId="3FE9BCAD" w14:textId="66D98075" w:rsidR="00E30843" w:rsidRPr="009813A2" w:rsidRDefault="00C8472E" w:rsidP="008A1B41">
            <w:pPr>
              <w:spacing w:before="0"/>
              <w:ind w:left="27"/>
              <w:rPr>
                <w:sz w:val="20"/>
                <w:szCs w:val="20"/>
              </w:rPr>
            </w:pPr>
            <w:r w:rsidRPr="009813A2">
              <w:rPr>
                <w:sz w:val="20"/>
                <w:szCs w:val="20"/>
              </w:rPr>
              <w:t>Evidence of progress against Tonga’s COVID-19 preparedness plan</w:t>
            </w:r>
          </w:p>
          <w:p w14:paraId="391D5C33" w14:textId="77777777" w:rsidR="00E30843" w:rsidRPr="009813A2" w:rsidRDefault="00E30843" w:rsidP="008A1B41">
            <w:pPr>
              <w:pStyle w:val="ListParagraph"/>
              <w:spacing w:before="0"/>
              <w:ind w:left="269"/>
              <w:rPr>
                <w:sz w:val="20"/>
                <w:szCs w:val="20"/>
              </w:rPr>
            </w:pPr>
          </w:p>
          <w:p w14:paraId="787E52C8" w14:textId="77777777" w:rsidR="00E30843" w:rsidRPr="009813A2" w:rsidRDefault="00E30843" w:rsidP="008A1B41">
            <w:pPr>
              <w:pStyle w:val="ListParagraph"/>
              <w:spacing w:before="0"/>
              <w:ind w:left="269"/>
              <w:rPr>
                <w:sz w:val="20"/>
                <w:szCs w:val="20"/>
              </w:rPr>
            </w:pPr>
          </w:p>
          <w:p w14:paraId="38901811" w14:textId="44854244" w:rsidR="00C8472E" w:rsidRPr="009813A2" w:rsidRDefault="00C8472E" w:rsidP="008A1B41">
            <w:pPr>
              <w:pStyle w:val="ListParagraph"/>
              <w:spacing w:before="0"/>
              <w:ind w:left="0"/>
              <w:rPr>
                <w:sz w:val="20"/>
                <w:szCs w:val="20"/>
              </w:rPr>
            </w:pPr>
          </w:p>
        </w:tc>
        <w:tc>
          <w:tcPr>
            <w:tcW w:w="7847" w:type="dxa"/>
          </w:tcPr>
          <w:p w14:paraId="0017B2D1" w14:textId="2E721DDE" w:rsidR="002C67DA" w:rsidRDefault="002C67DA" w:rsidP="00982604">
            <w:pPr>
              <w:spacing w:before="0"/>
              <w:rPr>
                <w:sz w:val="20"/>
                <w:szCs w:val="20"/>
              </w:rPr>
            </w:pPr>
            <w:r>
              <w:rPr>
                <w:sz w:val="20"/>
                <w:szCs w:val="20"/>
              </w:rPr>
              <w:t>S</w:t>
            </w:r>
            <w:r w:rsidR="00EC45B6" w:rsidRPr="009813A2">
              <w:rPr>
                <w:sz w:val="20"/>
                <w:szCs w:val="20"/>
              </w:rPr>
              <w:t>upport for r</w:t>
            </w:r>
            <w:r w:rsidR="007760F0" w:rsidRPr="009813A2">
              <w:rPr>
                <w:sz w:val="20"/>
                <w:szCs w:val="20"/>
              </w:rPr>
              <w:t xml:space="preserve">efurbishments of the </w:t>
            </w:r>
            <w:proofErr w:type="spellStart"/>
            <w:r w:rsidR="007760F0" w:rsidRPr="009813A2">
              <w:rPr>
                <w:sz w:val="20"/>
                <w:szCs w:val="20"/>
              </w:rPr>
              <w:t>Vaiola</w:t>
            </w:r>
            <w:proofErr w:type="spellEnd"/>
            <w:r w:rsidR="007760F0" w:rsidRPr="009813A2">
              <w:rPr>
                <w:sz w:val="20"/>
                <w:szCs w:val="20"/>
              </w:rPr>
              <w:t xml:space="preserve"> National Referral Hospital and </w:t>
            </w:r>
            <w:proofErr w:type="spellStart"/>
            <w:r w:rsidR="007760F0" w:rsidRPr="009813A2">
              <w:rPr>
                <w:sz w:val="20"/>
                <w:szCs w:val="20"/>
              </w:rPr>
              <w:t>Mu’a</w:t>
            </w:r>
            <w:proofErr w:type="spellEnd"/>
            <w:r w:rsidR="007760F0" w:rsidRPr="009813A2">
              <w:rPr>
                <w:sz w:val="20"/>
                <w:szCs w:val="20"/>
              </w:rPr>
              <w:t xml:space="preserve"> Health Clinic </w:t>
            </w:r>
            <w:r w:rsidR="00EC45B6" w:rsidRPr="009813A2">
              <w:rPr>
                <w:sz w:val="20"/>
                <w:szCs w:val="20"/>
              </w:rPr>
              <w:t xml:space="preserve">contributed to preparation </w:t>
            </w:r>
            <w:r w:rsidR="007760F0" w:rsidRPr="009813A2">
              <w:rPr>
                <w:sz w:val="20"/>
                <w:szCs w:val="20"/>
              </w:rPr>
              <w:t xml:space="preserve">for the isolation and treatment of COVID-19 cases. </w:t>
            </w:r>
          </w:p>
          <w:p w14:paraId="7164F07A" w14:textId="6AF091D5" w:rsidR="00EC45B6" w:rsidRPr="009813A2" w:rsidRDefault="002C67DA" w:rsidP="009813A2">
            <w:pPr>
              <w:spacing w:before="0"/>
              <w:rPr>
                <w:sz w:val="20"/>
                <w:szCs w:val="20"/>
              </w:rPr>
            </w:pPr>
            <w:r>
              <w:rPr>
                <w:sz w:val="20"/>
                <w:szCs w:val="20"/>
              </w:rPr>
              <w:t xml:space="preserve">Support for </w:t>
            </w:r>
            <w:r w:rsidR="00EC45B6" w:rsidRPr="009813A2">
              <w:rPr>
                <w:sz w:val="20"/>
                <w:szCs w:val="20"/>
              </w:rPr>
              <w:t>p</w:t>
            </w:r>
            <w:r w:rsidR="00A2546D" w:rsidRPr="009813A2">
              <w:rPr>
                <w:sz w:val="20"/>
                <w:szCs w:val="20"/>
              </w:rPr>
              <w:t>ublic communication campaigns</w:t>
            </w:r>
            <w:r w:rsidR="00DD305E" w:rsidRPr="009813A2">
              <w:rPr>
                <w:sz w:val="20"/>
                <w:szCs w:val="20"/>
              </w:rPr>
              <w:t xml:space="preserve"> conducted</w:t>
            </w:r>
            <w:r w:rsidR="00A2546D" w:rsidRPr="009813A2">
              <w:rPr>
                <w:sz w:val="20"/>
                <w:szCs w:val="20"/>
              </w:rPr>
              <w:t xml:space="preserve"> on social distancing</w:t>
            </w:r>
            <w:r w:rsidR="00E30843" w:rsidRPr="009813A2">
              <w:rPr>
                <w:sz w:val="20"/>
                <w:szCs w:val="20"/>
              </w:rPr>
              <w:t>/</w:t>
            </w:r>
            <w:r w:rsidR="003C2199" w:rsidRPr="009813A2">
              <w:rPr>
                <w:sz w:val="20"/>
                <w:szCs w:val="20"/>
              </w:rPr>
              <w:t>hand</w:t>
            </w:r>
            <w:r w:rsidR="00A2546D" w:rsidRPr="009813A2">
              <w:rPr>
                <w:sz w:val="20"/>
                <w:szCs w:val="20"/>
              </w:rPr>
              <w:t xml:space="preserve"> hygiene</w:t>
            </w:r>
            <w:r w:rsidR="00EC45B6" w:rsidRPr="009813A2">
              <w:rPr>
                <w:sz w:val="20"/>
                <w:szCs w:val="20"/>
              </w:rPr>
              <w:t xml:space="preserve"> contributed to COVID-19 prevention efforts.</w:t>
            </w:r>
          </w:p>
          <w:p w14:paraId="0AF826B6" w14:textId="4A4C9C9A" w:rsidR="00C8472E" w:rsidRPr="009813A2" w:rsidRDefault="002C67DA" w:rsidP="008A1B41">
            <w:pPr>
              <w:spacing w:before="0"/>
              <w:rPr>
                <w:sz w:val="20"/>
                <w:szCs w:val="20"/>
              </w:rPr>
            </w:pPr>
            <w:r>
              <w:rPr>
                <w:sz w:val="20"/>
                <w:szCs w:val="20"/>
              </w:rPr>
              <w:t>Supported technical advice including</w:t>
            </w:r>
            <w:r w:rsidR="003E6DC8" w:rsidRPr="009813A2">
              <w:rPr>
                <w:sz w:val="20"/>
                <w:szCs w:val="20"/>
              </w:rPr>
              <w:t xml:space="preserve"> </w:t>
            </w:r>
            <w:proofErr w:type="gramStart"/>
            <w:r>
              <w:rPr>
                <w:sz w:val="20"/>
                <w:szCs w:val="20"/>
              </w:rPr>
              <w:t>on:</w:t>
            </w:r>
            <w:proofErr w:type="gramEnd"/>
            <w:r>
              <w:rPr>
                <w:sz w:val="20"/>
                <w:szCs w:val="20"/>
              </w:rPr>
              <w:t xml:space="preserve"> </w:t>
            </w:r>
            <w:r w:rsidR="003E6DC8" w:rsidRPr="009813A2">
              <w:rPr>
                <w:sz w:val="20"/>
                <w:szCs w:val="20"/>
              </w:rPr>
              <w:t>vaccine</w:t>
            </w:r>
            <w:r w:rsidR="00D458BC" w:rsidRPr="009813A2">
              <w:rPr>
                <w:sz w:val="20"/>
                <w:szCs w:val="20"/>
              </w:rPr>
              <w:t xml:space="preserve"> </w:t>
            </w:r>
            <w:r w:rsidR="003E6DC8" w:rsidRPr="009813A2">
              <w:rPr>
                <w:sz w:val="20"/>
                <w:szCs w:val="20"/>
              </w:rPr>
              <w:t>training and rollout</w:t>
            </w:r>
            <w:r w:rsidR="00D458BC" w:rsidRPr="009813A2">
              <w:rPr>
                <w:sz w:val="20"/>
                <w:szCs w:val="20"/>
              </w:rPr>
              <w:t xml:space="preserve"> planning;</w:t>
            </w:r>
            <w:r w:rsidR="00A2546D" w:rsidRPr="009813A2">
              <w:rPr>
                <w:sz w:val="20"/>
                <w:szCs w:val="20"/>
              </w:rPr>
              <w:t xml:space="preserve"> epidemiological and health surveillance </w:t>
            </w:r>
            <w:r w:rsidR="00E30843" w:rsidRPr="009813A2">
              <w:rPr>
                <w:sz w:val="20"/>
                <w:szCs w:val="20"/>
              </w:rPr>
              <w:t>strengthening</w:t>
            </w:r>
            <w:r w:rsidR="005E0C9E" w:rsidRPr="009813A2">
              <w:rPr>
                <w:sz w:val="20"/>
                <w:szCs w:val="20"/>
              </w:rPr>
              <w:t>;</w:t>
            </w:r>
            <w:r w:rsidR="00D458BC" w:rsidRPr="009813A2">
              <w:rPr>
                <w:sz w:val="20"/>
                <w:szCs w:val="20"/>
              </w:rPr>
              <w:t xml:space="preserve"> </w:t>
            </w:r>
            <w:r w:rsidR="005E0C9E" w:rsidRPr="009813A2">
              <w:rPr>
                <w:sz w:val="20"/>
                <w:szCs w:val="20"/>
              </w:rPr>
              <w:t xml:space="preserve">and </w:t>
            </w:r>
            <w:r w:rsidR="00D458BC" w:rsidRPr="009813A2">
              <w:rPr>
                <w:sz w:val="20"/>
                <w:szCs w:val="20"/>
              </w:rPr>
              <w:t>data management and reporting</w:t>
            </w:r>
            <w:r w:rsidR="005E0C9E" w:rsidRPr="009813A2">
              <w:rPr>
                <w:sz w:val="20"/>
                <w:szCs w:val="20"/>
              </w:rPr>
              <w:t xml:space="preserve">. This contributed to </w:t>
            </w:r>
            <w:r w:rsidR="00D458BC" w:rsidRPr="009813A2">
              <w:rPr>
                <w:sz w:val="20"/>
                <w:szCs w:val="20"/>
              </w:rPr>
              <w:t>an effective COVID-19 vaccine campaign and response</w:t>
            </w:r>
            <w:r w:rsidR="00E30843" w:rsidRPr="009813A2">
              <w:rPr>
                <w:sz w:val="20"/>
                <w:szCs w:val="20"/>
              </w:rPr>
              <w:t>.</w:t>
            </w:r>
            <w:r w:rsidR="00A2546D" w:rsidRPr="009813A2">
              <w:rPr>
                <w:sz w:val="20"/>
                <w:szCs w:val="20"/>
              </w:rPr>
              <w:t xml:space="preserve"> </w:t>
            </w:r>
            <w:r>
              <w:rPr>
                <w:sz w:val="20"/>
                <w:szCs w:val="20"/>
              </w:rPr>
              <w:t>Other technical advice supported</w:t>
            </w:r>
            <w:r w:rsidR="00D458BC" w:rsidRPr="009813A2">
              <w:rPr>
                <w:sz w:val="20"/>
                <w:szCs w:val="20"/>
              </w:rPr>
              <w:t xml:space="preserve"> vaccine</w:t>
            </w:r>
            <w:r w:rsidR="00A22F32" w:rsidRPr="009813A2">
              <w:rPr>
                <w:sz w:val="20"/>
                <w:szCs w:val="20"/>
              </w:rPr>
              <w:t xml:space="preserve"> and </w:t>
            </w:r>
            <w:r w:rsidR="00A2546D" w:rsidRPr="009813A2">
              <w:rPr>
                <w:sz w:val="20"/>
                <w:szCs w:val="20"/>
              </w:rPr>
              <w:t>health record</w:t>
            </w:r>
            <w:r w:rsidR="00771B2D" w:rsidRPr="009813A2">
              <w:rPr>
                <w:sz w:val="20"/>
                <w:szCs w:val="20"/>
              </w:rPr>
              <w:t xml:space="preserve"> digitisation</w:t>
            </w:r>
            <w:r w:rsidR="00D458BC" w:rsidRPr="009813A2">
              <w:rPr>
                <w:sz w:val="20"/>
                <w:szCs w:val="20"/>
              </w:rPr>
              <w:t xml:space="preserve">, resulting in an agile vaccine campaign </w:t>
            </w:r>
            <w:r w:rsidR="003E6DC8" w:rsidRPr="009813A2">
              <w:rPr>
                <w:sz w:val="20"/>
                <w:szCs w:val="20"/>
              </w:rPr>
              <w:t>guided by accurate/reliable data.</w:t>
            </w:r>
          </w:p>
        </w:tc>
      </w:tr>
      <w:tr w:rsidR="00C8472E" w14:paraId="0C5CE2A4" w14:textId="77777777" w:rsidTr="007365BD">
        <w:tc>
          <w:tcPr>
            <w:tcW w:w="2689" w:type="dxa"/>
          </w:tcPr>
          <w:p w14:paraId="11B10D56" w14:textId="77777777" w:rsidR="00C8472E" w:rsidRPr="009813A2" w:rsidRDefault="00C8472E" w:rsidP="008A1B41">
            <w:pPr>
              <w:spacing w:before="0"/>
              <w:ind w:left="27"/>
              <w:rPr>
                <w:sz w:val="20"/>
                <w:szCs w:val="20"/>
              </w:rPr>
            </w:pPr>
            <w:r w:rsidRPr="009813A2">
              <w:rPr>
                <w:sz w:val="20"/>
                <w:szCs w:val="20"/>
              </w:rPr>
              <w:t>Procurement of supplies and equipment are in line with Tonga’s COVID-19 plan</w:t>
            </w:r>
          </w:p>
        </w:tc>
        <w:tc>
          <w:tcPr>
            <w:tcW w:w="7847" w:type="dxa"/>
          </w:tcPr>
          <w:p w14:paraId="52615345" w14:textId="718302A5" w:rsidR="00C8472E" w:rsidRPr="009813A2" w:rsidRDefault="002C67DA" w:rsidP="00400251">
            <w:pPr>
              <w:spacing w:before="0"/>
              <w:rPr>
                <w:sz w:val="20"/>
                <w:szCs w:val="20"/>
              </w:rPr>
            </w:pPr>
            <w:r>
              <w:rPr>
                <w:sz w:val="20"/>
                <w:szCs w:val="20"/>
              </w:rPr>
              <w:t xml:space="preserve">Under </w:t>
            </w:r>
            <w:r w:rsidRPr="0018601A">
              <w:rPr>
                <w:sz w:val="20"/>
                <w:szCs w:val="20"/>
              </w:rPr>
              <w:t>VAHSI</w:t>
            </w:r>
            <w:r>
              <w:rPr>
                <w:sz w:val="20"/>
                <w:szCs w:val="20"/>
              </w:rPr>
              <w:t>, supported the purchase of t</w:t>
            </w:r>
            <w:r w:rsidR="00771B2D" w:rsidRPr="009813A2">
              <w:rPr>
                <w:sz w:val="20"/>
                <w:szCs w:val="20"/>
              </w:rPr>
              <w:t>hree</w:t>
            </w:r>
            <w:r w:rsidR="00A2546D" w:rsidRPr="009813A2">
              <w:rPr>
                <w:sz w:val="20"/>
                <w:szCs w:val="20"/>
              </w:rPr>
              <w:t xml:space="preserve"> waste management units</w:t>
            </w:r>
            <w:r w:rsidR="00911FBC" w:rsidRPr="009813A2">
              <w:rPr>
                <w:sz w:val="20"/>
                <w:szCs w:val="20"/>
              </w:rPr>
              <w:t xml:space="preserve"> </w:t>
            </w:r>
            <w:r w:rsidR="00A2546D" w:rsidRPr="009813A2">
              <w:rPr>
                <w:sz w:val="20"/>
                <w:szCs w:val="20"/>
              </w:rPr>
              <w:t>to address the increased clinical waste from quarantine</w:t>
            </w:r>
            <w:r>
              <w:rPr>
                <w:sz w:val="20"/>
                <w:szCs w:val="20"/>
              </w:rPr>
              <w:t xml:space="preserve"> arrangements</w:t>
            </w:r>
            <w:r w:rsidR="00A2546D" w:rsidRPr="009813A2">
              <w:rPr>
                <w:sz w:val="20"/>
                <w:szCs w:val="20"/>
              </w:rPr>
              <w:t xml:space="preserve"> and the vaccine rollout</w:t>
            </w:r>
            <w:r>
              <w:rPr>
                <w:sz w:val="20"/>
                <w:szCs w:val="20"/>
              </w:rPr>
              <w:t xml:space="preserve">. </w:t>
            </w:r>
          </w:p>
          <w:p w14:paraId="50594946" w14:textId="0EF08AFF" w:rsidR="00771B2D" w:rsidRPr="009813A2" w:rsidRDefault="00911FBC" w:rsidP="00400251">
            <w:pPr>
              <w:spacing w:before="0"/>
              <w:rPr>
                <w:sz w:val="20"/>
                <w:szCs w:val="20"/>
              </w:rPr>
            </w:pPr>
            <w:r w:rsidRPr="009813A2">
              <w:rPr>
                <w:sz w:val="20"/>
                <w:szCs w:val="20"/>
              </w:rPr>
              <w:t>48,000 v</w:t>
            </w:r>
            <w:r w:rsidR="00771B2D" w:rsidRPr="009813A2">
              <w:rPr>
                <w:sz w:val="20"/>
                <w:szCs w:val="20"/>
              </w:rPr>
              <w:t>accine</w:t>
            </w:r>
            <w:r w:rsidRPr="009813A2">
              <w:rPr>
                <w:sz w:val="20"/>
                <w:szCs w:val="20"/>
              </w:rPr>
              <w:t xml:space="preserve"> dose</w:t>
            </w:r>
            <w:r w:rsidR="00771B2D" w:rsidRPr="009813A2">
              <w:rPr>
                <w:sz w:val="20"/>
                <w:szCs w:val="20"/>
              </w:rPr>
              <w:t xml:space="preserve">s </w:t>
            </w:r>
            <w:r w:rsidRPr="009813A2">
              <w:rPr>
                <w:sz w:val="20"/>
                <w:szCs w:val="20"/>
              </w:rPr>
              <w:t xml:space="preserve">were </w:t>
            </w:r>
            <w:r w:rsidR="002D598D" w:rsidRPr="009813A2">
              <w:rPr>
                <w:sz w:val="20"/>
                <w:szCs w:val="20"/>
              </w:rPr>
              <w:t xml:space="preserve">delivered </w:t>
            </w:r>
            <w:r w:rsidR="00771B2D" w:rsidRPr="009813A2">
              <w:rPr>
                <w:sz w:val="20"/>
                <w:szCs w:val="20"/>
              </w:rPr>
              <w:t>through COVAX</w:t>
            </w:r>
            <w:r w:rsidR="00503636" w:rsidRPr="009813A2">
              <w:rPr>
                <w:sz w:val="20"/>
                <w:szCs w:val="20"/>
              </w:rPr>
              <w:t xml:space="preserve"> AMC</w:t>
            </w:r>
            <w:r w:rsidR="002C67DA">
              <w:rPr>
                <w:sz w:val="20"/>
                <w:szCs w:val="20"/>
              </w:rPr>
              <w:t xml:space="preserve">, plus an additional </w:t>
            </w:r>
            <w:r w:rsidRPr="009813A2">
              <w:rPr>
                <w:sz w:val="20"/>
                <w:szCs w:val="20"/>
              </w:rPr>
              <w:t xml:space="preserve">19,000 </w:t>
            </w:r>
            <w:r w:rsidR="00771B2D" w:rsidRPr="009813A2">
              <w:rPr>
                <w:sz w:val="20"/>
                <w:szCs w:val="20"/>
              </w:rPr>
              <w:t xml:space="preserve">directly </w:t>
            </w:r>
            <w:r w:rsidR="002C67DA">
              <w:rPr>
                <w:sz w:val="20"/>
                <w:szCs w:val="20"/>
              </w:rPr>
              <w:t xml:space="preserve">vaccine doses </w:t>
            </w:r>
            <w:r w:rsidR="00771B2D" w:rsidRPr="009813A2">
              <w:rPr>
                <w:sz w:val="20"/>
                <w:szCs w:val="20"/>
              </w:rPr>
              <w:t xml:space="preserve">sourced </w:t>
            </w:r>
            <w:r w:rsidR="002C67DA">
              <w:rPr>
                <w:sz w:val="20"/>
                <w:szCs w:val="20"/>
              </w:rPr>
              <w:t xml:space="preserve">from </w:t>
            </w:r>
            <w:r w:rsidR="00771B2D" w:rsidRPr="009813A2">
              <w:rPr>
                <w:sz w:val="20"/>
                <w:szCs w:val="20"/>
              </w:rPr>
              <w:t>Australia</w:t>
            </w:r>
            <w:r w:rsidR="002C67DA">
              <w:rPr>
                <w:sz w:val="20"/>
                <w:szCs w:val="20"/>
              </w:rPr>
              <w:t xml:space="preserve"> (</w:t>
            </w:r>
            <w:r w:rsidR="000004AD" w:rsidRPr="000004AD">
              <w:rPr>
                <w:sz w:val="20"/>
                <w:szCs w:val="20"/>
              </w:rPr>
              <w:t>AstraZeneca</w:t>
            </w:r>
            <w:r w:rsidR="000004AD">
              <w:rPr>
                <w:sz w:val="20"/>
                <w:szCs w:val="20"/>
              </w:rPr>
              <w:t xml:space="preserve">/ </w:t>
            </w:r>
            <w:r w:rsidR="002C67DA" w:rsidRPr="002C67DA">
              <w:rPr>
                <w:sz w:val="20"/>
                <w:szCs w:val="20"/>
              </w:rPr>
              <w:t>Commonwealth Serum Laboratories</w:t>
            </w:r>
            <w:r w:rsidR="002C67DA">
              <w:rPr>
                <w:sz w:val="20"/>
                <w:szCs w:val="20"/>
              </w:rPr>
              <w:t>)</w:t>
            </w:r>
            <w:r w:rsidR="00830811" w:rsidRPr="009813A2">
              <w:rPr>
                <w:sz w:val="20"/>
                <w:szCs w:val="20"/>
              </w:rPr>
              <w:t>.</w:t>
            </w:r>
          </w:p>
        </w:tc>
      </w:tr>
      <w:tr w:rsidR="00C8472E" w14:paraId="01491230" w14:textId="77777777" w:rsidTr="007365BD">
        <w:trPr>
          <w:trHeight w:val="1648"/>
        </w:trPr>
        <w:tc>
          <w:tcPr>
            <w:tcW w:w="2689" w:type="dxa"/>
          </w:tcPr>
          <w:p w14:paraId="7F3B451D" w14:textId="516BAD8A" w:rsidR="00E30843" w:rsidRPr="009813A2" w:rsidRDefault="00C8472E" w:rsidP="008A1B41">
            <w:pPr>
              <w:spacing w:before="0"/>
              <w:ind w:left="27"/>
              <w:rPr>
                <w:sz w:val="20"/>
                <w:szCs w:val="20"/>
              </w:rPr>
            </w:pPr>
            <w:r w:rsidRPr="009813A2">
              <w:rPr>
                <w:sz w:val="20"/>
                <w:szCs w:val="20"/>
              </w:rPr>
              <w:t>Evidence of progress towards implementing the ‘Package of Essential Health Services’</w:t>
            </w:r>
          </w:p>
          <w:p w14:paraId="626F69BE" w14:textId="210B8581" w:rsidR="00E30843" w:rsidRPr="009813A2" w:rsidRDefault="00E30843" w:rsidP="008A1B41">
            <w:pPr>
              <w:spacing w:before="0"/>
              <w:rPr>
                <w:sz w:val="20"/>
                <w:szCs w:val="20"/>
              </w:rPr>
            </w:pPr>
          </w:p>
        </w:tc>
        <w:tc>
          <w:tcPr>
            <w:tcW w:w="7847" w:type="dxa"/>
          </w:tcPr>
          <w:p w14:paraId="5FF6758F" w14:textId="4547C79F" w:rsidR="00771B2D" w:rsidRPr="009813A2" w:rsidRDefault="003E6DC8" w:rsidP="008A1B41">
            <w:pPr>
              <w:spacing w:before="0"/>
              <w:rPr>
                <w:sz w:val="20"/>
                <w:szCs w:val="20"/>
              </w:rPr>
            </w:pPr>
            <w:r w:rsidRPr="009813A2">
              <w:rPr>
                <w:sz w:val="20"/>
                <w:szCs w:val="20"/>
              </w:rPr>
              <w:t>COVID-19 pressures</w:t>
            </w:r>
            <w:r w:rsidR="002C67DA">
              <w:rPr>
                <w:sz w:val="20"/>
                <w:szCs w:val="20"/>
              </w:rPr>
              <w:t xml:space="preserve"> meant it was necessary to pause work on the </w:t>
            </w:r>
            <w:r w:rsidR="00CA2D8D" w:rsidRPr="009813A2">
              <w:rPr>
                <w:sz w:val="20"/>
                <w:szCs w:val="20"/>
              </w:rPr>
              <w:t>‘Package of Essential Health Services</w:t>
            </w:r>
            <w:r w:rsidR="002C67DA">
              <w:rPr>
                <w:sz w:val="20"/>
                <w:szCs w:val="20"/>
              </w:rPr>
              <w:t>.’ Despite this</w:t>
            </w:r>
            <w:r w:rsidR="00FB7717">
              <w:rPr>
                <w:sz w:val="20"/>
                <w:szCs w:val="20"/>
              </w:rPr>
              <w:t>,</w:t>
            </w:r>
            <w:r w:rsidR="002C67DA">
              <w:rPr>
                <w:sz w:val="20"/>
                <w:szCs w:val="20"/>
              </w:rPr>
              <w:t xml:space="preserve"> support for medical </w:t>
            </w:r>
            <w:r w:rsidRPr="009813A2">
              <w:rPr>
                <w:sz w:val="20"/>
                <w:szCs w:val="20"/>
              </w:rPr>
              <w:t>service delivery continued</w:t>
            </w:r>
            <w:r w:rsidR="002C67DA">
              <w:rPr>
                <w:sz w:val="20"/>
                <w:szCs w:val="20"/>
              </w:rPr>
              <w:t xml:space="preserve">, </w:t>
            </w:r>
            <w:r w:rsidR="00982604">
              <w:rPr>
                <w:sz w:val="20"/>
                <w:szCs w:val="20"/>
              </w:rPr>
              <w:t>i</w:t>
            </w:r>
            <w:r w:rsidR="00CA2D8D" w:rsidRPr="009813A2">
              <w:rPr>
                <w:sz w:val="20"/>
                <w:szCs w:val="20"/>
              </w:rPr>
              <w:t>nclude</w:t>
            </w:r>
            <w:r w:rsidRPr="009813A2">
              <w:rPr>
                <w:sz w:val="20"/>
                <w:szCs w:val="20"/>
              </w:rPr>
              <w:t>d</w:t>
            </w:r>
            <w:r w:rsidR="00251B65" w:rsidRPr="009813A2">
              <w:rPr>
                <w:sz w:val="20"/>
                <w:szCs w:val="20"/>
              </w:rPr>
              <w:t xml:space="preserve"> </w:t>
            </w:r>
            <w:r w:rsidR="00982604">
              <w:rPr>
                <w:sz w:val="20"/>
                <w:szCs w:val="20"/>
              </w:rPr>
              <w:t xml:space="preserve">for: </w:t>
            </w:r>
            <w:r w:rsidR="00251B65" w:rsidRPr="009813A2">
              <w:rPr>
                <w:sz w:val="20"/>
                <w:szCs w:val="20"/>
              </w:rPr>
              <w:t>t</w:t>
            </w:r>
            <w:r w:rsidR="009266EA" w:rsidRPr="009813A2">
              <w:rPr>
                <w:sz w:val="20"/>
                <w:szCs w:val="20"/>
              </w:rPr>
              <w:t xml:space="preserve">raining, professional </w:t>
            </w:r>
            <w:proofErr w:type="gramStart"/>
            <w:r w:rsidR="009266EA" w:rsidRPr="009813A2">
              <w:rPr>
                <w:sz w:val="20"/>
                <w:szCs w:val="20"/>
              </w:rPr>
              <w:t>development</w:t>
            </w:r>
            <w:proofErr w:type="gramEnd"/>
            <w:r w:rsidR="009266EA" w:rsidRPr="009813A2">
              <w:rPr>
                <w:sz w:val="20"/>
                <w:szCs w:val="20"/>
              </w:rPr>
              <w:t xml:space="preserve"> and curriculum improvement </w:t>
            </w:r>
            <w:r w:rsidR="00982604">
              <w:rPr>
                <w:sz w:val="20"/>
                <w:szCs w:val="20"/>
              </w:rPr>
              <w:t>(</w:t>
            </w:r>
            <w:r w:rsidR="009266EA" w:rsidRPr="009813A2">
              <w:rPr>
                <w:sz w:val="20"/>
                <w:szCs w:val="20"/>
              </w:rPr>
              <w:t>in nursing, palliative</w:t>
            </w:r>
            <w:r w:rsidR="009E6C5D" w:rsidRPr="009813A2">
              <w:rPr>
                <w:sz w:val="20"/>
                <w:szCs w:val="20"/>
              </w:rPr>
              <w:t xml:space="preserve"> care, </w:t>
            </w:r>
            <w:r w:rsidR="009266EA" w:rsidRPr="009813A2">
              <w:rPr>
                <w:sz w:val="20"/>
                <w:szCs w:val="20"/>
              </w:rPr>
              <w:t>wound care, diabetic and hypertension management</w:t>
            </w:r>
            <w:r w:rsidR="00982604">
              <w:rPr>
                <w:sz w:val="20"/>
                <w:szCs w:val="20"/>
              </w:rPr>
              <w:t>)</w:t>
            </w:r>
            <w:r w:rsidR="009266EA" w:rsidRPr="009813A2">
              <w:rPr>
                <w:sz w:val="20"/>
                <w:szCs w:val="20"/>
              </w:rPr>
              <w:t xml:space="preserve">, and mobility devices and prosthetics. </w:t>
            </w:r>
          </w:p>
          <w:p w14:paraId="673898C1" w14:textId="032BA393" w:rsidR="00FE2AE9" w:rsidRPr="009813A2" w:rsidRDefault="00982604" w:rsidP="00400251">
            <w:pPr>
              <w:spacing w:before="0"/>
              <w:rPr>
                <w:sz w:val="20"/>
                <w:szCs w:val="20"/>
              </w:rPr>
            </w:pPr>
            <w:r>
              <w:rPr>
                <w:sz w:val="20"/>
                <w:szCs w:val="20"/>
              </w:rPr>
              <w:t>Supported the purchase</w:t>
            </w:r>
            <w:r w:rsidRPr="009813A2">
              <w:rPr>
                <w:sz w:val="20"/>
                <w:szCs w:val="20"/>
              </w:rPr>
              <w:t xml:space="preserve"> </w:t>
            </w:r>
            <w:proofErr w:type="gramStart"/>
            <w:r w:rsidR="00251B65" w:rsidRPr="009813A2">
              <w:rPr>
                <w:sz w:val="20"/>
                <w:szCs w:val="20"/>
              </w:rPr>
              <w:t>of</w:t>
            </w:r>
            <w:r>
              <w:rPr>
                <w:sz w:val="20"/>
                <w:szCs w:val="20"/>
              </w:rPr>
              <w:t>:</w:t>
            </w:r>
            <w:proofErr w:type="gramEnd"/>
            <w:r>
              <w:rPr>
                <w:sz w:val="20"/>
                <w:szCs w:val="20"/>
              </w:rPr>
              <w:t xml:space="preserve"> </w:t>
            </w:r>
            <w:r w:rsidR="00251B65" w:rsidRPr="009813A2">
              <w:rPr>
                <w:sz w:val="20"/>
                <w:szCs w:val="20"/>
              </w:rPr>
              <w:t>d</w:t>
            </w:r>
            <w:r w:rsidR="009266EA" w:rsidRPr="009813A2">
              <w:rPr>
                <w:sz w:val="20"/>
                <w:szCs w:val="20"/>
              </w:rPr>
              <w:t>entistry equipment and supplies, including for childhood early interventions in school programs</w:t>
            </w:r>
            <w:r>
              <w:rPr>
                <w:sz w:val="20"/>
                <w:szCs w:val="20"/>
              </w:rPr>
              <w:t>; and n</w:t>
            </w:r>
            <w:r w:rsidR="00251B65" w:rsidRPr="009813A2">
              <w:rPr>
                <w:sz w:val="20"/>
                <w:szCs w:val="20"/>
              </w:rPr>
              <w:t xml:space="preserve">oncommunicable disease pharmaceuticals and related clinical equipment </w:t>
            </w:r>
            <w:r>
              <w:rPr>
                <w:sz w:val="20"/>
                <w:szCs w:val="20"/>
              </w:rPr>
              <w:t xml:space="preserve">for </w:t>
            </w:r>
            <w:r w:rsidR="00251B65" w:rsidRPr="009813A2">
              <w:rPr>
                <w:sz w:val="20"/>
                <w:szCs w:val="20"/>
              </w:rPr>
              <w:t>distribut</w:t>
            </w:r>
            <w:r>
              <w:rPr>
                <w:sz w:val="20"/>
                <w:szCs w:val="20"/>
              </w:rPr>
              <w:t>ion</w:t>
            </w:r>
            <w:r w:rsidR="00251B65" w:rsidRPr="009813A2">
              <w:rPr>
                <w:sz w:val="20"/>
                <w:szCs w:val="20"/>
              </w:rPr>
              <w:t xml:space="preserve"> to community health centres.</w:t>
            </w:r>
            <w:r w:rsidR="009266EA" w:rsidRPr="009813A2">
              <w:rPr>
                <w:sz w:val="20"/>
                <w:szCs w:val="20"/>
              </w:rPr>
              <w:t xml:space="preserve"> </w:t>
            </w:r>
          </w:p>
        </w:tc>
      </w:tr>
      <w:tr w:rsidR="00C8472E" w14:paraId="1D9973BB" w14:textId="77777777" w:rsidTr="002D4C65">
        <w:trPr>
          <w:trHeight w:val="1474"/>
        </w:trPr>
        <w:tc>
          <w:tcPr>
            <w:tcW w:w="2689" w:type="dxa"/>
          </w:tcPr>
          <w:p w14:paraId="649AB5CF" w14:textId="77777777" w:rsidR="00C8472E" w:rsidRPr="009813A2" w:rsidRDefault="00C8472E" w:rsidP="008A1B41">
            <w:pPr>
              <w:spacing w:before="0"/>
              <w:ind w:left="27"/>
              <w:rPr>
                <w:sz w:val="20"/>
                <w:szCs w:val="20"/>
              </w:rPr>
            </w:pPr>
            <w:r w:rsidRPr="009813A2">
              <w:rPr>
                <w:sz w:val="20"/>
                <w:szCs w:val="20"/>
              </w:rPr>
              <w:t>Number of beneficiaries from COVID-19 and NCD health promotion efforts</w:t>
            </w:r>
          </w:p>
          <w:p w14:paraId="6B4B6864" w14:textId="520D7B6E" w:rsidR="009155C7" w:rsidRPr="009813A2" w:rsidRDefault="009155C7" w:rsidP="008A1B41">
            <w:pPr>
              <w:spacing w:before="0"/>
              <w:rPr>
                <w:sz w:val="20"/>
                <w:szCs w:val="20"/>
              </w:rPr>
            </w:pPr>
          </w:p>
        </w:tc>
        <w:tc>
          <w:tcPr>
            <w:tcW w:w="7847" w:type="dxa"/>
          </w:tcPr>
          <w:p w14:paraId="413AEEBC" w14:textId="69002F61" w:rsidR="00805A1B" w:rsidRPr="009813A2" w:rsidRDefault="00982604" w:rsidP="00400251">
            <w:pPr>
              <w:spacing w:before="0"/>
              <w:rPr>
                <w:sz w:val="20"/>
                <w:szCs w:val="20"/>
              </w:rPr>
            </w:pPr>
            <w:r>
              <w:rPr>
                <w:sz w:val="20"/>
                <w:szCs w:val="20"/>
              </w:rPr>
              <w:t>P</w:t>
            </w:r>
            <w:r w:rsidR="00864043" w:rsidRPr="009813A2">
              <w:rPr>
                <w:sz w:val="20"/>
                <w:szCs w:val="20"/>
              </w:rPr>
              <w:t xml:space="preserve">rovided </w:t>
            </w:r>
            <w:r w:rsidR="00805A1B" w:rsidRPr="009813A2">
              <w:rPr>
                <w:sz w:val="20"/>
                <w:szCs w:val="20"/>
              </w:rPr>
              <w:t>6</w:t>
            </w:r>
            <w:r w:rsidR="00E56BF1" w:rsidRPr="009813A2">
              <w:rPr>
                <w:sz w:val="20"/>
                <w:szCs w:val="20"/>
              </w:rPr>
              <w:t>7</w:t>
            </w:r>
            <w:r w:rsidR="00805A1B" w:rsidRPr="009813A2">
              <w:rPr>
                <w:sz w:val="20"/>
                <w:szCs w:val="20"/>
              </w:rPr>
              <w:t>,000 AstraZeneca vaccine doses through COVAX and Australia’s domestic resources</w:t>
            </w:r>
            <w:r>
              <w:rPr>
                <w:sz w:val="20"/>
                <w:szCs w:val="20"/>
              </w:rPr>
              <w:t xml:space="preserve">. This benefitted </w:t>
            </w:r>
            <w:r w:rsidR="00E56BF1" w:rsidRPr="009813A2">
              <w:rPr>
                <w:sz w:val="20"/>
                <w:szCs w:val="20"/>
              </w:rPr>
              <w:t>33,500 people</w:t>
            </w:r>
            <w:r w:rsidR="00830811" w:rsidRPr="009813A2">
              <w:rPr>
                <w:sz w:val="20"/>
                <w:szCs w:val="20"/>
              </w:rPr>
              <w:t>.</w:t>
            </w:r>
          </w:p>
          <w:p w14:paraId="46F0C3EF" w14:textId="31B47672" w:rsidR="003C2199" w:rsidRPr="009813A2" w:rsidRDefault="00982604" w:rsidP="00400251">
            <w:pPr>
              <w:spacing w:before="0"/>
              <w:rPr>
                <w:sz w:val="20"/>
                <w:szCs w:val="20"/>
              </w:rPr>
            </w:pPr>
            <w:r>
              <w:rPr>
                <w:sz w:val="20"/>
                <w:szCs w:val="20"/>
              </w:rPr>
              <w:t xml:space="preserve">Supported </w:t>
            </w:r>
            <w:r w:rsidR="00FD3EC6" w:rsidRPr="009813A2">
              <w:rPr>
                <w:sz w:val="20"/>
                <w:szCs w:val="20"/>
              </w:rPr>
              <w:t xml:space="preserve">activities </w:t>
            </w:r>
            <w:r>
              <w:rPr>
                <w:sz w:val="20"/>
                <w:szCs w:val="20"/>
              </w:rPr>
              <w:t>on</w:t>
            </w:r>
            <w:r w:rsidR="00FD3EC6" w:rsidRPr="009813A2">
              <w:rPr>
                <w:sz w:val="20"/>
                <w:szCs w:val="20"/>
              </w:rPr>
              <w:t xml:space="preserve"> nutrition and healthy eating</w:t>
            </w:r>
            <w:r>
              <w:rPr>
                <w:sz w:val="20"/>
                <w:szCs w:val="20"/>
              </w:rPr>
              <w:t xml:space="preserve"> at the village level to address NCD</w:t>
            </w:r>
            <w:r w:rsidR="006F6F49">
              <w:rPr>
                <w:sz w:val="20"/>
                <w:szCs w:val="20"/>
              </w:rPr>
              <w:t xml:space="preserve"> </w:t>
            </w:r>
            <w:proofErr w:type="gramStart"/>
            <w:r w:rsidR="00FD3EC6" w:rsidRPr="009813A2">
              <w:rPr>
                <w:sz w:val="20"/>
                <w:szCs w:val="20"/>
              </w:rPr>
              <w:t>including</w:t>
            </w:r>
            <w:r>
              <w:rPr>
                <w:sz w:val="20"/>
                <w:szCs w:val="20"/>
              </w:rPr>
              <w:t>:</w:t>
            </w:r>
            <w:proofErr w:type="gramEnd"/>
            <w:r w:rsidR="00FD3EC6" w:rsidRPr="009813A2">
              <w:rPr>
                <w:sz w:val="20"/>
                <w:szCs w:val="20"/>
              </w:rPr>
              <w:t xml:space="preserve"> growing fruit and vegetables in the hom</w:t>
            </w:r>
            <w:r>
              <w:rPr>
                <w:sz w:val="20"/>
                <w:szCs w:val="20"/>
              </w:rPr>
              <w:t>e</w:t>
            </w:r>
            <w:r w:rsidR="00FD3EC6" w:rsidRPr="009813A2">
              <w:rPr>
                <w:sz w:val="20"/>
                <w:szCs w:val="20"/>
              </w:rPr>
              <w:t xml:space="preserve">; </w:t>
            </w:r>
            <w:r>
              <w:rPr>
                <w:sz w:val="20"/>
                <w:szCs w:val="20"/>
              </w:rPr>
              <w:t xml:space="preserve">increased </w:t>
            </w:r>
            <w:r w:rsidR="00FD3EC6" w:rsidRPr="009813A2">
              <w:rPr>
                <w:sz w:val="20"/>
                <w:szCs w:val="20"/>
              </w:rPr>
              <w:t>physical activity</w:t>
            </w:r>
            <w:r w:rsidR="003155C2" w:rsidRPr="009813A2">
              <w:rPr>
                <w:sz w:val="20"/>
                <w:szCs w:val="20"/>
              </w:rPr>
              <w:t xml:space="preserve">; salt, </w:t>
            </w:r>
            <w:r w:rsidR="00FD3EC6" w:rsidRPr="009813A2">
              <w:rPr>
                <w:sz w:val="20"/>
                <w:szCs w:val="20"/>
              </w:rPr>
              <w:t>tobacco and alcohol reduction campaigns</w:t>
            </w:r>
            <w:r>
              <w:rPr>
                <w:sz w:val="20"/>
                <w:szCs w:val="20"/>
              </w:rPr>
              <w:t xml:space="preserve">. </w:t>
            </w:r>
          </w:p>
        </w:tc>
      </w:tr>
      <w:tr w:rsidR="00C8472E" w14:paraId="75EB2ED7" w14:textId="77777777" w:rsidTr="002D4C65">
        <w:trPr>
          <w:trHeight w:val="2438"/>
        </w:trPr>
        <w:tc>
          <w:tcPr>
            <w:tcW w:w="2689" w:type="dxa"/>
            <w:tcBorders>
              <w:bottom w:val="single" w:sz="4" w:space="0" w:color="65C5B4" w:themeColor="accent1"/>
            </w:tcBorders>
          </w:tcPr>
          <w:p w14:paraId="22F9807D" w14:textId="5F670F2F" w:rsidR="009155C7" w:rsidRPr="009813A2" w:rsidRDefault="00C8472E" w:rsidP="008A1B41">
            <w:pPr>
              <w:pStyle w:val="ListParagraph"/>
              <w:spacing w:before="0"/>
              <w:ind w:left="0"/>
              <w:rPr>
                <w:sz w:val="20"/>
                <w:szCs w:val="20"/>
              </w:rPr>
            </w:pPr>
            <w:r w:rsidRPr="009813A2">
              <w:rPr>
                <w:sz w:val="20"/>
                <w:szCs w:val="20"/>
              </w:rPr>
              <w:t xml:space="preserve">Number of people receiving access to improved </w:t>
            </w:r>
            <w:r w:rsidR="004054D4">
              <w:rPr>
                <w:sz w:val="20"/>
                <w:szCs w:val="20"/>
              </w:rPr>
              <w:t xml:space="preserve">water, </w:t>
            </w:r>
            <w:proofErr w:type="gramStart"/>
            <w:r w:rsidR="004054D4">
              <w:rPr>
                <w:sz w:val="20"/>
                <w:szCs w:val="20"/>
              </w:rPr>
              <w:t>sanitation</w:t>
            </w:r>
            <w:proofErr w:type="gramEnd"/>
            <w:r w:rsidR="004054D4">
              <w:rPr>
                <w:sz w:val="20"/>
                <w:szCs w:val="20"/>
              </w:rPr>
              <w:t xml:space="preserve"> and hygiene (</w:t>
            </w:r>
            <w:r w:rsidRPr="009813A2">
              <w:rPr>
                <w:sz w:val="20"/>
                <w:szCs w:val="20"/>
              </w:rPr>
              <w:t>WASH</w:t>
            </w:r>
            <w:r w:rsidR="004054D4">
              <w:rPr>
                <w:sz w:val="20"/>
                <w:szCs w:val="20"/>
              </w:rPr>
              <w:t>)</w:t>
            </w:r>
            <w:r w:rsidRPr="009813A2">
              <w:rPr>
                <w:sz w:val="20"/>
                <w:szCs w:val="20"/>
              </w:rPr>
              <w:t xml:space="preserve"> facilities</w:t>
            </w:r>
          </w:p>
        </w:tc>
        <w:tc>
          <w:tcPr>
            <w:tcW w:w="7847" w:type="dxa"/>
            <w:tcBorders>
              <w:bottom w:val="single" w:sz="4" w:space="0" w:color="65C5B4" w:themeColor="accent1"/>
            </w:tcBorders>
          </w:tcPr>
          <w:p w14:paraId="56A0317E" w14:textId="4F73B80D" w:rsidR="00982604" w:rsidRPr="0018601A" w:rsidRDefault="00982604" w:rsidP="00400251">
            <w:pPr>
              <w:spacing w:before="0"/>
              <w:rPr>
                <w:sz w:val="20"/>
                <w:szCs w:val="20"/>
              </w:rPr>
            </w:pPr>
            <w:r>
              <w:rPr>
                <w:sz w:val="20"/>
                <w:szCs w:val="20"/>
              </w:rPr>
              <w:t xml:space="preserve">Supported the </w:t>
            </w:r>
            <w:r w:rsidRPr="0018601A">
              <w:rPr>
                <w:sz w:val="20"/>
                <w:szCs w:val="20"/>
              </w:rPr>
              <w:t>rehabilitat</w:t>
            </w:r>
            <w:r>
              <w:rPr>
                <w:sz w:val="20"/>
                <w:szCs w:val="20"/>
              </w:rPr>
              <w:t>ion of</w:t>
            </w:r>
            <w:r w:rsidRPr="0018601A">
              <w:rPr>
                <w:sz w:val="20"/>
                <w:szCs w:val="20"/>
              </w:rPr>
              <w:t xml:space="preserve"> WASH infrastructure</w:t>
            </w:r>
            <w:r>
              <w:rPr>
                <w:sz w:val="20"/>
                <w:szCs w:val="20"/>
              </w:rPr>
              <w:t xml:space="preserve"> (</w:t>
            </w:r>
            <w:r w:rsidRPr="0018601A">
              <w:rPr>
                <w:sz w:val="20"/>
                <w:szCs w:val="20"/>
              </w:rPr>
              <w:t>household water tanks and plumbing</w:t>
            </w:r>
            <w:r>
              <w:rPr>
                <w:sz w:val="20"/>
                <w:szCs w:val="20"/>
              </w:rPr>
              <w:t>) for</w:t>
            </w:r>
            <w:r w:rsidRPr="0018601A">
              <w:rPr>
                <w:sz w:val="20"/>
                <w:szCs w:val="20"/>
              </w:rPr>
              <w:t xml:space="preserve"> </w:t>
            </w:r>
            <w:r w:rsidR="00C8472E" w:rsidRPr="009813A2">
              <w:rPr>
                <w:sz w:val="20"/>
                <w:szCs w:val="20"/>
              </w:rPr>
              <w:t>1</w:t>
            </w:r>
            <w:r w:rsidR="00830811" w:rsidRPr="009813A2">
              <w:rPr>
                <w:sz w:val="20"/>
                <w:szCs w:val="20"/>
              </w:rPr>
              <w:t>,</w:t>
            </w:r>
            <w:r w:rsidR="00C8472E" w:rsidRPr="009813A2">
              <w:rPr>
                <w:sz w:val="20"/>
                <w:szCs w:val="20"/>
              </w:rPr>
              <w:t>760 people in 410 households</w:t>
            </w:r>
            <w:r>
              <w:rPr>
                <w:sz w:val="20"/>
                <w:szCs w:val="20"/>
              </w:rPr>
              <w:t xml:space="preserve">. This included </w:t>
            </w:r>
            <w:r w:rsidRPr="0018601A">
              <w:rPr>
                <w:sz w:val="20"/>
                <w:szCs w:val="20"/>
              </w:rPr>
              <w:t xml:space="preserve">30 households with </w:t>
            </w:r>
            <w:r>
              <w:rPr>
                <w:sz w:val="20"/>
                <w:szCs w:val="20"/>
              </w:rPr>
              <w:t>people with disabilit</w:t>
            </w:r>
            <w:r w:rsidR="00600378">
              <w:rPr>
                <w:sz w:val="20"/>
                <w:szCs w:val="20"/>
              </w:rPr>
              <w:t>ies</w:t>
            </w:r>
            <w:r>
              <w:rPr>
                <w:sz w:val="20"/>
                <w:szCs w:val="20"/>
              </w:rPr>
              <w:t>,</w:t>
            </w:r>
            <w:r w:rsidRPr="0018601A">
              <w:rPr>
                <w:sz w:val="20"/>
                <w:szCs w:val="20"/>
              </w:rPr>
              <w:t xml:space="preserve"> 70 with elderly</w:t>
            </w:r>
            <w:r>
              <w:rPr>
                <w:sz w:val="20"/>
                <w:szCs w:val="20"/>
              </w:rPr>
              <w:t xml:space="preserve"> and</w:t>
            </w:r>
            <w:r w:rsidRPr="0018601A">
              <w:rPr>
                <w:sz w:val="20"/>
                <w:szCs w:val="20"/>
              </w:rPr>
              <w:t xml:space="preserve"> 50 </w:t>
            </w:r>
            <w:r w:rsidR="004054D4">
              <w:rPr>
                <w:sz w:val="20"/>
                <w:szCs w:val="20"/>
              </w:rPr>
              <w:t>women</w:t>
            </w:r>
            <w:r w:rsidRPr="0018601A">
              <w:rPr>
                <w:sz w:val="20"/>
                <w:szCs w:val="20"/>
              </w:rPr>
              <w:t>-headed households).</w:t>
            </w:r>
          </w:p>
          <w:p w14:paraId="0797C9F2" w14:textId="648F6CEF" w:rsidR="00C8472E" w:rsidRPr="009813A2" w:rsidRDefault="00982604" w:rsidP="00400251">
            <w:pPr>
              <w:spacing w:before="0"/>
              <w:rPr>
                <w:sz w:val="20"/>
                <w:szCs w:val="20"/>
              </w:rPr>
            </w:pPr>
            <w:r>
              <w:rPr>
                <w:sz w:val="20"/>
                <w:szCs w:val="20"/>
              </w:rPr>
              <w:t xml:space="preserve">Supported </w:t>
            </w:r>
            <w:r w:rsidRPr="0018601A">
              <w:rPr>
                <w:sz w:val="20"/>
                <w:szCs w:val="20"/>
              </w:rPr>
              <w:t>handwashing infrastructure</w:t>
            </w:r>
            <w:r>
              <w:rPr>
                <w:sz w:val="20"/>
                <w:szCs w:val="20"/>
              </w:rPr>
              <w:t xml:space="preserve"> to a</w:t>
            </w:r>
            <w:r w:rsidR="00C8472E" w:rsidRPr="009813A2">
              <w:rPr>
                <w:sz w:val="20"/>
                <w:szCs w:val="20"/>
              </w:rPr>
              <w:t>pproximately 1</w:t>
            </w:r>
            <w:r w:rsidR="00830811" w:rsidRPr="009813A2">
              <w:rPr>
                <w:sz w:val="20"/>
                <w:szCs w:val="20"/>
              </w:rPr>
              <w:t>,</w:t>
            </w:r>
            <w:r w:rsidR="00C8472E" w:rsidRPr="009813A2">
              <w:rPr>
                <w:sz w:val="20"/>
                <w:szCs w:val="20"/>
              </w:rPr>
              <w:t>000 children in 10 rural primary schools</w:t>
            </w:r>
            <w:r>
              <w:rPr>
                <w:sz w:val="20"/>
                <w:szCs w:val="20"/>
              </w:rPr>
              <w:t>.</w:t>
            </w:r>
            <w:r w:rsidR="00C8472E" w:rsidRPr="009813A2">
              <w:rPr>
                <w:sz w:val="20"/>
                <w:szCs w:val="20"/>
              </w:rPr>
              <w:t xml:space="preserve"> </w:t>
            </w:r>
            <w:r>
              <w:rPr>
                <w:sz w:val="20"/>
                <w:szCs w:val="20"/>
              </w:rPr>
              <w:t xml:space="preserve">This included training </w:t>
            </w:r>
            <w:r w:rsidR="00C8472E" w:rsidRPr="009813A2">
              <w:rPr>
                <w:sz w:val="20"/>
                <w:szCs w:val="20"/>
              </w:rPr>
              <w:t>50</w:t>
            </w:r>
            <w:r w:rsidR="00EB7440" w:rsidRPr="009813A2">
              <w:rPr>
                <w:sz w:val="20"/>
                <w:szCs w:val="20"/>
              </w:rPr>
              <w:t> </w:t>
            </w:r>
            <w:r w:rsidR="00C8472E" w:rsidRPr="009813A2">
              <w:rPr>
                <w:sz w:val="20"/>
                <w:szCs w:val="20"/>
              </w:rPr>
              <w:t>teachers</w:t>
            </w:r>
            <w:r>
              <w:rPr>
                <w:sz w:val="20"/>
                <w:szCs w:val="20"/>
              </w:rPr>
              <w:t xml:space="preserve">, </w:t>
            </w:r>
            <w:r w:rsidR="00C8472E" w:rsidRPr="009813A2">
              <w:rPr>
                <w:sz w:val="20"/>
                <w:szCs w:val="20"/>
              </w:rPr>
              <w:t>school inspectors</w:t>
            </w:r>
            <w:r>
              <w:rPr>
                <w:sz w:val="20"/>
                <w:szCs w:val="20"/>
              </w:rPr>
              <w:t xml:space="preserve">, and </w:t>
            </w:r>
            <w:r w:rsidR="00C8472E" w:rsidRPr="009813A2">
              <w:rPr>
                <w:sz w:val="20"/>
                <w:szCs w:val="20"/>
              </w:rPr>
              <w:t xml:space="preserve">school principals in COVID-19 messages for hygiene and sanitation, WASH guidelines, advocacy, and water security as well as set up of WASH </w:t>
            </w:r>
            <w:r w:rsidR="004054D4">
              <w:rPr>
                <w:sz w:val="20"/>
                <w:szCs w:val="20"/>
              </w:rPr>
              <w:t>c</w:t>
            </w:r>
            <w:r w:rsidR="00C8472E" w:rsidRPr="009813A2">
              <w:rPr>
                <w:sz w:val="20"/>
                <w:szCs w:val="20"/>
              </w:rPr>
              <w:t>ommittees an</w:t>
            </w:r>
            <w:r w:rsidR="004B074B" w:rsidRPr="009813A2">
              <w:rPr>
                <w:sz w:val="20"/>
                <w:szCs w:val="20"/>
              </w:rPr>
              <w:t>d clubs.</w:t>
            </w:r>
          </w:p>
          <w:p w14:paraId="7E67F9E8" w14:textId="3F2D21FE" w:rsidR="00C8472E" w:rsidRPr="009813A2" w:rsidRDefault="00982604" w:rsidP="00400251">
            <w:pPr>
              <w:spacing w:before="0"/>
              <w:rPr>
                <w:sz w:val="20"/>
                <w:szCs w:val="20"/>
              </w:rPr>
            </w:pPr>
            <w:r>
              <w:rPr>
                <w:sz w:val="20"/>
                <w:szCs w:val="20"/>
              </w:rPr>
              <w:t xml:space="preserve">Supported </w:t>
            </w:r>
            <w:r w:rsidR="00C8472E" w:rsidRPr="009813A2">
              <w:rPr>
                <w:sz w:val="20"/>
                <w:szCs w:val="20"/>
              </w:rPr>
              <w:t>2</w:t>
            </w:r>
            <w:r w:rsidR="00830811" w:rsidRPr="009813A2">
              <w:rPr>
                <w:sz w:val="20"/>
                <w:szCs w:val="20"/>
              </w:rPr>
              <w:t>,</w:t>
            </w:r>
            <w:r w:rsidR="00C8472E" w:rsidRPr="009813A2">
              <w:rPr>
                <w:sz w:val="20"/>
                <w:szCs w:val="20"/>
              </w:rPr>
              <w:t xml:space="preserve">770 people </w:t>
            </w:r>
            <w:r>
              <w:rPr>
                <w:sz w:val="20"/>
                <w:szCs w:val="20"/>
              </w:rPr>
              <w:t xml:space="preserve">in </w:t>
            </w:r>
            <w:r w:rsidRPr="0018601A">
              <w:rPr>
                <w:sz w:val="20"/>
                <w:szCs w:val="20"/>
              </w:rPr>
              <w:t>24 communities</w:t>
            </w:r>
            <w:r>
              <w:rPr>
                <w:sz w:val="20"/>
                <w:szCs w:val="20"/>
              </w:rPr>
              <w:t xml:space="preserve"> by installing </w:t>
            </w:r>
            <w:r w:rsidR="00C8472E" w:rsidRPr="009813A2">
              <w:rPr>
                <w:sz w:val="20"/>
                <w:szCs w:val="20"/>
              </w:rPr>
              <w:t>277 water tanks installed across in ‘</w:t>
            </w:r>
            <w:proofErr w:type="spellStart"/>
            <w:r w:rsidR="00C8472E" w:rsidRPr="009813A2">
              <w:rPr>
                <w:sz w:val="20"/>
                <w:szCs w:val="20"/>
              </w:rPr>
              <w:t>Eua</w:t>
            </w:r>
            <w:proofErr w:type="spellEnd"/>
            <w:r w:rsidR="00C8472E" w:rsidRPr="009813A2">
              <w:rPr>
                <w:sz w:val="20"/>
                <w:szCs w:val="20"/>
              </w:rPr>
              <w:t xml:space="preserve"> and </w:t>
            </w:r>
            <w:proofErr w:type="spellStart"/>
            <w:r w:rsidR="00C8472E" w:rsidRPr="009813A2">
              <w:rPr>
                <w:sz w:val="20"/>
                <w:szCs w:val="20"/>
              </w:rPr>
              <w:t>Tongatapu</w:t>
            </w:r>
            <w:proofErr w:type="spellEnd"/>
            <w:r w:rsidR="00E30843" w:rsidRPr="009813A2">
              <w:rPr>
                <w:sz w:val="20"/>
                <w:szCs w:val="20"/>
              </w:rPr>
              <w:t>.</w:t>
            </w:r>
          </w:p>
        </w:tc>
      </w:tr>
      <w:tr w:rsidR="009338F9" w14:paraId="28D0A76A" w14:textId="77777777" w:rsidTr="008A1B41">
        <w:trPr>
          <w:trHeight w:val="283"/>
        </w:trPr>
        <w:tc>
          <w:tcPr>
            <w:tcW w:w="10536" w:type="dxa"/>
            <w:gridSpan w:val="2"/>
            <w:tcBorders>
              <w:left w:val="nil"/>
              <w:bottom w:val="nil"/>
              <w:right w:val="nil"/>
            </w:tcBorders>
          </w:tcPr>
          <w:p w14:paraId="2F38959E" w14:textId="4DC348A6" w:rsidR="009338F9" w:rsidRPr="009338F9" w:rsidRDefault="00A36639" w:rsidP="00805A1B">
            <w:pPr>
              <w:pStyle w:val="ListParagraph"/>
              <w:spacing w:before="60" w:line="240" w:lineRule="auto"/>
              <w:ind w:left="269"/>
              <w:rPr>
                <w:b/>
                <w:bCs/>
                <w:sz w:val="20"/>
                <w:szCs w:val="20"/>
              </w:rPr>
            </w:pPr>
            <w:r w:rsidRPr="00805A1B" w:rsidDel="00A36639">
              <w:rPr>
                <w:sz w:val="12"/>
                <w:szCs w:val="12"/>
              </w:rPr>
              <w:t xml:space="preserve"> </w:t>
            </w:r>
          </w:p>
        </w:tc>
      </w:tr>
    </w:tbl>
    <w:p w14:paraId="5A70EE28" w14:textId="77777777" w:rsidR="00C8472E" w:rsidRPr="00AE2B7B" w:rsidRDefault="00C8472E" w:rsidP="005A1A5E">
      <w:pPr>
        <w:pStyle w:val="Heading3"/>
      </w:pPr>
      <w:r w:rsidRPr="00AE2B7B">
        <w:lastRenderedPageBreak/>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2689"/>
        <w:gridCol w:w="7847"/>
      </w:tblGrid>
      <w:tr w:rsidR="00C8472E" w14:paraId="5B5A64A0" w14:textId="77777777" w:rsidTr="007365BD">
        <w:trPr>
          <w:tblHeader/>
        </w:trPr>
        <w:tc>
          <w:tcPr>
            <w:tcW w:w="2689" w:type="dxa"/>
            <w:shd w:val="clear" w:color="auto" w:fill="A2DCD1" w:themeFill="accent1" w:themeFillTint="99"/>
            <w:vAlign w:val="bottom"/>
          </w:tcPr>
          <w:p w14:paraId="396D5EB5" w14:textId="77777777" w:rsidR="00C8472E" w:rsidRPr="007812EA" w:rsidRDefault="00C8472E" w:rsidP="008A1B41">
            <w:pPr>
              <w:widowControl w:val="0"/>
              <w:spacing w:before="0"/>
              <w:jc w:val="center"/>
              <w:rPr>
                <w:sz w:val="20"/>
                <w:szCs w:val="20"/>
              </w:rPr>
            </w:pPr>
            <w:r w:rsidRPr="007812EA">
              <w:rPr>
                <w:b/>
                <w:sz w:val="20"/>
                <w:szCs w:val="20"/>
              </w:rPr>
              <w:t>Key Results Indicators</w:t>
            </w:r>
          </w:p>
        </w:tc>
        <w:tc>
          <w:tcPr>
            <w:tcW w:w="7847" w:type="dxa"/>
            <w:shd w:val="clear" w:color="auto" w:fill="A2DCD1" w:themeFill="accent1" w:themeFillTint="99"/>
            <w:vAlign w:val="bottom"/>
          </w:tcPr>
          <w:p w14:paraId="33D707FE" w14:textId="77777777" w:rsidR="00C8472E" w:rsidRPr="007812EA" w:rsidRDefault="00C8472E" w:rsidP="008A1B41">
            <w:pPr>
              <w:widowControl w:val="0"/>
              <w:spacing w:before="0"/>
              <w:jc w:val="center"/>
              <w:rPr>
                <w:sz w:val="20"/>
                <w:szCs w:val="20"/>
              </w:rPr>
            </w:pPr>
            <w:r w:rsidRPr="007812EA">
              <w:rPr>
                <w:b/>
                <w:sz w:val="20"/>
                <w:szCs w:val="20"/>
              </w:rPr>
              <w:t>Progress/Result</w:t>
            </w:r>
          </w:p>
        </w:tc>
      </w:tr>
      <w:tr w:rsidR="00C8472E" w14:paraId="450BE619" w14:textId="77777777" w:rsidTr="002D4C65">
        <w:trPr>
          <w:trHeight w:val="1361"/>
        </w:trPr>
        <w:tc>
          <w:tcPr>
            <w:tcW w:w="2689" w:type="dxa"/>
          </w:tcPr>
          <w:p w14:paraId="35D347A9" w14:textId="77777777" w:rsidR="00C8472E" w:rsidRPr="007365BD" w:rsidRDefault="00C8472E" w:rsidP="008A1B41">
            <w:pPr>
              <w:spacing w:before="0"/>
              <w:ind w:left="27"/>
              <w:rPr>
                <w:sz w:val="20"/>
                <w:szCs w:val="20"/>
              </w:rPr>
            </w:pPr>
            <w:r w:rsidRPr="007365BD">
              <w:rPr>
                <w:sz w:val="20"/>
                <w:szCs w:val="20"/>
              </w:rPr>
              <w:t>Number of people receiving psychosocial support</w:t>
            </w:r>
          </w:p>
        </w:tc>
        <w:tc>
          <w:tcPr>
            <w:tcW w:w="7847" w:type="dxa"/>
          </w:tcPr>
          <w:p w14:paraId="12F81C4D" w14:textId="028586A3" w:rsidR="00C8472E" w:rsidRPr="007365BD" w:rsidRDefault="00A36639" w:rsidP="00400251">
            <w:pPr>
              <w:spacing w:before="0"/>
              <w:rPr>
                <w:sz w:val="20"/>
                <w:szCs w:val="20"/>
              </w:rPr>
            </w:pPr>
            <w:r>
              <w:rPr>
                <w:sz w:val="20"/>
                <w:szCs w:val="20"/>
              </w:rPr>
              <w:t xml:space="preserve">Supported </w:t>
            </w:r>
            <w:r w:rsidR="00D924EA" w:rsidRPr="007365BD">
              <w:rPr>
                <w:sz w:val="20"/>
                <w:szCs w:val="20"/>
              </w:rPr>
              <w:t xml:space="preserve">3,509 </w:t>
            </w:r>
            <w:r w:rsidR="000F290E">
              <w:rPr>
                <w:sz w:val="20"/>
                <w:szCs w:val="20"/>
              </w:rPr>
              <w:t xml:space="preserve">people with </w:t>
            </w:r>
            <w:r w:rsidR="00D924EA" w:rsidRPr="007365BD">
              <w:rPr>
                <w:sz w:val="20"/>
                <w:szCs w:val="20"/>
              </w:rPr>
              <w:t xml:space="preserve">psychosocial support through the </w:t>
            </w:r>
            <w:r w:rsidR="00C8472E" w:rsidRPr="007365BD">
              <w:rPr>
                <w:sz w:val="20"/>
                <w:szCs w:val="20"/>
              </w:rPr>
              <w:t xml:space="preserve">Women and Children’s Crisis Centre </w:t>
            </w:r>
            <w:r w:rsidR="00D924EA" w:rsidRPr="007365BD">
              <w:rPr>
                <w:sz w:val="20"/>
                <w:szCs w:val="20"/>
              </w:rPr>
              <w:t>(</w:t>
            </w:r>
            <w:r w:rsidR="00C8472E" w:rsidRPr="007365BD">
              <w:rPr>
                <w:sz w:val="20"/>
                <w:szCs w:val="20"/>
              </w:rPr>
              <w:t>2,851</w:t>
            </w:r>
            <w:r w:rsidR="00D924EA" w:rsidRPr="007365BD">
              <w:rPr>
                <w:sz w:val="20"/>
                <w:szCs w:val="20"/>
              </w:rPr>
              <w:t xml:space="preserve">), </w:t>
            </w:r>
            <w:r w:rsidR="00C8472E" w:rsidRPr="007365BD">
              <w:rPr>
                <w:sz w:val="20"/>
                <w:szCs w:val="20"/>
              </w:rPr>
              <w:t xml:space="preserve">Tonga National Centre for Women and Children </w:t>
            </w:r>
            <w:r w:rsidR="00E77D92" w:rsidRPr="007365BD">
              <w:rPr>
                <w:sz w:val="20"/>
                <w:szCs w:val="20"/>
              </w:rPr>
              <w:t>(</w:t>
            </w:r>
            <w:r w:rsidR="00C8472E" w:rsidRPr="007365BD">
              <w:rPr>
                <w:sz w:val="20"/>
                <w:szCs w:val="20"/>
              </w:rPr>
              <w:t>327</w:t>
            </w:r>
            <w:r w:rsidR="00E77D92" w:rsidRPr="007365BD">
              <w:rPr>
                <w:sz w:val="20"/>
                <w:szCs w:val="20"/>
              </w:rPr>
              <w:t xml:space="preserve">) and the </w:t>
            </w:r>
            <w:r w:rsidR="00C8472E" w:rsidRPr="007365BD">
              <w:rPr>
                <w:sz w:val="20"/>
                <w:szCs w:val="20"/>
              </w:rPr>
              <w:t xml:space="preserve">Family Protection Legal Aid Centre </w:t>
            </w:r>
            <w:r w:rsidR="00E77D92" w:rsidRPr="007365BD">
              <w:rPr>
                <w:sz w:val="20"/>
                <w:szCs w:val="20"/>
              </w:rPr>
              <w:t>(</w:t>
            </w:r>
            <w:r w:rsidR="00C8472E" w:rsidRPr="007365BD">
              <w:rPr>
                <w:sz w:val="20"/>
                <w:szCs w:val="20"/>
              </w:rPr>
              <w:t>331</w:t>
            </w:r>
            <w:r w:rsidR="00E77D92" w:rsidRPr="007365BD">
              <w:rPr>
                <w:sz w:val="20"/>
                <w:szCs w:val="20"/>
              </w:rPr>
              <w:t>).</w:t>
            </w:r>
          </w:p>
          <w:p w14:paraId="1CF02D70" w14:textId="5BED2EC1" w:rsidR="00A2546D" w:rsidRPr="007365BD" w:rsidRDefault="000F290E" w:rsidP="00400251">
            <w:pPr>
              <w:spacing w:before="0"/>
              <w:rPr>
                <w:sz w:val="20"/>
                <w:szCs w:val="20"/>
              </w:rPr>
            </w:pPr>
            <w:r>
              <w:rPr>
                <w:sz w:val="20"/>
                <w:szCs w:val="20"/>
              </w:rPr>
              <w:t>Supported the r</w:t>
            </w:r>
            <w:r w:rsidR="00A2546D" w:rsidRPr="007365BD">
              <w:rPr>
                <w:sz w:val="20"/>
                <w:szCs w:val="20"/>
              </w:rPr>
              <w:t xml:space="preserve">efurbishment of the </w:t>
            </w:r>
            <w:proofErr w:type="spellStart"/>
            <w:r w:rsidR="00A2546D" w:rsidRPr="007365BD">
              <w:rPr>
                <w:sz w:val="20"/>
                <w:szCs w:val="20"/>
              </w:rPr>
              <w:t>Vaiola</w:t>
            </w:r>
            <w:proofErr w:type="spellEnd"/>
            <w:r w:rsidR="00A2546D" w:rsidRPr="007365BD">
              <w:rPr>
                <w:sz w:val="20"/>
                <w:szCs w:val="20"/>
              </w:rPr>
              <w:t xml:space="preserve"> Hospital Mental Health Ward, including the addition of soft furnishings</w:t>
            </w:r>
            <w:r>
              <w:rPr>
                <w:sz w:val="20"/>
                <w:szCs w:val="20"/>
              </w:rPr>
              <w:t xml:space="preserve"> to increase the </w:t>
            </w:r>
            <w:r w:rsidR="00A2546D" w:rsidRPr="007365BD">
              <w:rPr>
                <w:sz w:val="20"/>
                <w:szCs w:val="20"/>
              </w:rPr>
              <w:t>quality of care for all in-patients</w:t>
            </w:r>
            <w:r>
              <w:rPr>
                <w:sz w:val="20"/>
                <w:szCs w:val="20"/>
              </w:rPr>
              <w:t>.</w:t>
            </w:r>
          </w:p>
        </w:tc>
      </w:tr>
      <w:tr w:rsidR="00C8472E" w14:paraId="57E361D0" w14:textId="77777777" w:rsidTr="007365BD">
        <w:tc>
          <w:tcPr>
            <w:tcW w:w="2689" w:type="dxa"/>
          </w:tcPr>
          <w:p w14:paraId="748720B3" w14:textId="6D7A07BA" w:rsidR="00C8472E" w:rsidRPr="007365BD" w:rsidRDefault="00C8472E" w:rsidP="008A1B41">
            <w:pPr>
              <w:spacing w:before="0"/>
              <w:ind w:left="27"/>
              <w:rPr>
                <w:sz w:val="20"/>
                <w:szCs w:val="20"/>
              </w:rPr>
            </w:pPr>
            <w:r w:rsidRPr="007365BD">
              <w:rPr>
                <w:sz w:val="20"/>
                <w:szCs w:val="20"/>
              </w:rPr>
              <w:t xml:space="preserve">Number of women and girl survivors of violence receiving quality, appropriate </w:t>
            </w:r>
            <w:proofErr w:type="gramStart"/>
            <w:r w:rsidRPr="007365BD">
              <w:rPr>
                <w:sz w:val="20"/>
                <w:szCs w:val="20"/>
              </w:rPr>
              <w:t>family</w:t>
            </w:r>
            <w:proofErr w:type="gramEnd"/>
            <w:r w:rsidRPr="007365BD">
              <w:rPr>
                <w:sz w:val="20"/>
                <w:szCs w:val="20"/>
              </w:rPr>
              <w:t xml:space="preserve"> and sexual violence prevention/support</w:t>
            </w:r>
          </w:p>
        </w:tc>
        <w:tc>
          <w:tcPr>
            <w:tcW w:w="7847" w:type="dxa"/>
          </w:tcPr>
          <w:p w14:paraId="5EF77F81" w14:textId="35278F36" w:rsidR="00C8472E" w:rsidRPr="007365BD" w:rsidRDefault="000F290E" w:rsidP="00400251">
            <w:pPr>
              <w:spacing w:before="0"/>
              <w:rPr>
                <w:sz w:val="20"/>
                <w:szCs w:val="20"/>
              </w:rPr>
            </w:pPr>
            <w:r>
              <w:rPr>
                <w:sz w:val="20"/>
                <w:szCs w:val="20"/>
              </w:rPr>
              <w:t xml:space="preserve">Supported </w:t>
            </w:r>
            <w:r w:rsidR="00E77D92" w:rsidRPr="007365BD">
              <w:rPr>
                <w:sz w:val="20"/>
                <w:szCs w:val="20"/>
              </w:rPr>
              <w:t>3,</w:t>
            </w:r>
            <w:r w:rsidR="00373728" w:rsidRPr="007365BD">
              <w:rPr>
                <w:sz w:val="20"/>
                <w:szCs w:val="20"/>
              </w:rPr>
              <w:t>442</w:t>
            </w:r>
            <w:r w:rsidR="00E77D92" w:rsidRPr="007365BD">
              <w:rPr>
                <w:sz w:val="20"/>
                <w:szCs w:val="20"/>
              </w:rPr>
              <w:t xml:space="preserve"> women and girls </w:t>
            </w:r>
            <w:r>
              <w:rPr>
                <w:sz w:val="20"/>
                <w:szCs w:val="20"/>
              </w:rPr>
              <w:t>to receive</w:t>
            </w:r>
            <w:r w:rsidRPr="007365BD">
              <w:rPr>
                <w:sz w:val="20"/>
                <w:szCs w:val="20"/>
              </w:rPr>
              <w:t xml:space="preserve"> </w:t>
            </w:r>
            <w:r w:rsidR="00E77D92" w:rsidRPr="007365BD">
              <w:rPr>
                <w:sz w:val="20"/>
                <w:szCs w:val="20"/>
              </w:rPr>
              <w:t xml:space="preserve">support through the </w:t>
            </w:r>
            <w:r w:rsidR="00C8472E" w:rsidRPr="007365BD">
              <w:rPr>
                <w:sz w:val="20"/>
                <w:szCs w:val="20"/>
              </w:rPr>
              <w:t xml:space="preserve">Women and Children’s Crisis Centre </w:t>
            </w:r>
            <w:r w:rsidR="00373728" w:rsidRPr="007365BD">
              <w:rPr>
                <w:sz w:val="20"/>
                <w:szCs w:val="20"/>
              </w:rPr>
              <w:t>(</w:t>
            </w:r>
            <w:r w:rsidR="00C8472E" w:rsidRPr="007365BD">
              <w:rPr>
                <w:sz w:val="20"/>
                <w:szCs w:val="20"/>
              </w:rPr>
              <w:t>2, 851</w:t>
            </w:r>
            <w:r w:rsidR="00373728" w:rsidRPr="007365BD">
              <w:rPr>
                <w:sz w:val="20"/>
                <w:szCs w:val="20"/>
              </w:rPr>
              <w:t xml:space="preserve">), </w:t>
            </w:r>
            <w:r w:rsidR="00C8472E" w:rsidRPr="007365BD">
              <w:rPr>
                <w:sz w:val="20"/>
                <w:szCs w:val="20"/>
              </w:rPr>
              <w:t xml:space="preserve">Tonga National Centre for Women and Children </w:t>
            </w:r>
            <w:r w:rsidR="00373728" w:rsidRPr="007365BD">
              <w:rPr>
                <w:sz w:val="20"/>
                <w:szCs w:val="20"/>
              </w:rPr>
              <w:t>(</w:t>
            </w:r>
            <w:r w:rsidR="00C8472E" w:rsidRPr="007365BD">
              <w:rPr>
                <w:sz w:val="20"/>
                <w:szCs w:val="20"/>
              </w:rPr>
              <w:t>327</w:t>
            </w:r>
            <w:r w:rsidR="00373728" w:rsidRPr="007365BD">
              <w:rPr>
                <w:sz w:val="20"/>
                <w:szCs w:val="20"/>
              </w:rPr>
              <w:t xml:space="preserve">) and the </w:t>
            </w:r>
            <w:r w:rsidR="00C8472E" w:rsidRPr="007365BD">
              <w:rPr>
                <w:sz w:val="20"/>
                <w:szCs w:val="20"/>
              </w:rPr>
              <w:t>Family Protection Legal Aid Centre</w:t>
            </w:r>
            <w:r w:rsidR="00373728" w:rsidRPr="007365BD">
              <w:rPr>
                <w:sz w:val="20"/>
                <w:szCs w:val="20"/>
              </w:rPr>
              <w:t xml:space="preserve"> (</w:t>
            </w:r>
            <w:r w:rsidR="00C8472E" w:rsidRPr="007365BD">
              <w:rPr>
                <w:sz w:val="20"/>
                <w:szCs w:val="20"/>
              </w:rPr>
              <w:t>264</w:t>
            </w:r>
            <w:r w:rsidR="00373728" w:rsidRPr="007365BD">
              <w:rPr>
                <w:sz w:val="20"/>
                <w:szCs w:val="20"/>
              </w:rPr>
              <w:t>)</w:t>
            </w:r>
            <w:r w:rsidR="00830811" w:rsidRPr="007365BD">
              <w:rPr>
                <w:sz w:val="20"/>
                <w:szCs w:val="20"/>
              </w:rPr>
              <w:t>.</w:t>
            </w:r>
          </w:p>
        </w:tc>
      </w:tr>
      <w:tr w:rsidR="00C8472E" w14:paraId="31E5CFB6" w14:textId="77777777" w:rsidTr="007365BD">
        <w:tc>
          <w:tcPr>
            <w:tcW w:w="2689" w:type="dxa"/>
          </w:tcPr>
          <w:p w14:paraId="492C3C42" w14:textId="77777777" w:rsidR="00C8472E" w:rsidRPr="007365BD" w:rsidRDefault="00C8472E" w:rsidP="008A1B41">
            <w:pPr>
              <w:spacing w:before="0"/>
              <w:ind w:left="27"/>
              <w:rPr>
                <w:sz w:val="20"/>
                <w:szCs w:val="20"/>
              </w:rPr>
            </w:pPr>
            <w:bookmarkStart w:id="5" w:name="_Hlk82512638"/>
            <w:r w:rsidRPr="007365BD">
              <w:rPr>
                <w:sz w:val="20"/>
                <w:szCs w:val="20"/>
              </w:rPr>
              <w:t xml:space="preserve">Number of communities receiving training to increase food security </w:t>
            </w:r>
          </w:p>
        </w:tc>
        <w:tc>
          <w:tcPr>
            <w:tcW w:w="7847" w:type="dxa"/>
          </w:tcPr>
          <w:p w14:paraId="411085B2" w14:textId="0EAFD4C8" w:rsidR="00C8472E" w:rsidRPr="007365BD" w:rsidRDefault="000F290E" w:rsidP="008A1B41">
            <w:pPr>
              <w:spacing w:before="0"/>
              <w:rPr>
                <w:sz w:val="20"/>
                <w:szCs w:val="20"/>
              </w:rPr>
            </w:pPr>
            <w:r>
              <w:rPr>
                <w:sz w:val="20"/>
                <w:szCs w:val="20"/>
              </w:rPr>
              <w:t>Supported</w:t>
            </w:r>
            <w:r w:rsidR="00C8472E" w:rsidRPr="007365BD">
              <w:rPr>
                <w:sz w:val="20"/>
                <w:szCs w:val="20"/>
              </w:rPr>
              <w:t xml:space="preserve"> 2</w:t>
            </w:r>
            <w:r w:rsidR="00B14916" w:rsidRPr="007365BD">
              <w:rPr>
                <w:sz w:val="20"/>
                <w:szCs w:val="20"/>
              </w:rPr>
              <w:t>3</w:t>
            </w:r>
            <w:r w:rsidR="00C8472E" w:rsidRPr="007365BD">
              <w:rPr>
                <w:sz w:val="20"/>
                <w:szCs w:val="20"/>
              </w:rPr>
              <w:t xml:space="preserve"> communities</w:t>
            </w:r>
            <w:r>
              <w:rPr>
                <w:sz w:val="20"/>
                <w:szCs w:val="20"/>
              </w:rPr>
              <w:t xml:space="preserve"> to </w:t>
            </w:r>
            <w:r w:rsidR="00373728" w:rsidRPr="007365BD">
              <w:rPr>
                <w:sz w:val="20"/>
                <w:szCs w:val="20"/>
              </w:rPr>
              <w:t>receive t</w:t>
            </w:r>
            <w:r w:rsidR="009155C7" w:rsidRPr="007365BD">
              <w:rPr>
                <w:sz w:val="20"/>
                <w:szCs w:val="20"/>
              </w:rPr>
              <w:t>raining on</w:t>
            </w:r>
            <w:r w:rsidR="00C8472E" w:rsidRPr="007365BD">
              <w:rPr>
                <w:sz w:val="20"/>
                <w:szCs w:val="20"/>
              </w:rPr>
              <w:t xml:space="preserve"> seed savings, chicken raising</w:t>
            </w:r>
            <w:r w:rsidR="00373728" w:rsidRPr="007365BD">
              <w:rPr>
                <w:sz w:val="20"/>
                <w:szCs w:val="20"/>
              </w:rPr>
              <w:t xml:space="preserve"> and</w:t>
            </w:r>
            <w:r w:rsidR="009155C7" w:rsidRPr="007365BD">
              <w:rPr>
                <w:sz w:val="20"/>
                <w:szCs w:val="20"/>
              </w:rPr>
              <w:t xml:space="preserve"> v</w:t>
            </w:r>
            <w:r w:rsidR="00C8472E" w:rsidRPr="007365BD">
              <w:rPr>
                <w:sz w:val="20"/>
                <w:szCs w:val="20"/>
              </w:rPr>
              <w:t xml:space="preserve">anilla </w:t>
            </w:r>
            <w:r>
              <w:rPr>
                <w:sz w:val="20"/>
                <w:szCs w:val="20"/>
              </w:rPr>
              <w:t xml:space="preserve">bean </w:t>
            </w:r>
            <w:r w:rsidR="00C8472E" w:rsidRPr="007365BD">
              <w:rPr>
                <w:sz w:val="20"/>
                <w:szCs w:val="20"/>
              </w:rPr>
              <w:t>cultivation.</w:t>
            </w:r>
          </w:p>
        </w:tc>
      </w:tr>
      <w:bookmarkEnd w:id="5"/>
      <w:tr w:rsidR="00C8472E" w14:paraId="4A7329BA" w14:textId="77777777" w:rsidTr="007365BD">
        <w:tc>
          <w:tcPr>
            <w:tcW w:w="2689" w:type="dxa"/>
            <w:tcBorders>
              <w:bottom w:val="single" w:sz="4" w:space="0" w:color="65C5B4" w:themeColor="accent1"/>
            </w:tcBorders>
          </w:tcPr>
          <w:p w14:paraId="3508F988" w14:textId="018A908A" w:rsidR="00C8472E" w:rsidRPr="007365BD" w:rsidRDefault="00C8472E" w:rsidP="008A1B41">
            <w:pPr>
              <w:spacing w:before="0"/>
              <w:ind w:left="27"/>
              <w:rPr>
                <w:sz w:val="20"/>
                <w:szCs w:val="20"/>
              </w:rPr>
            </w:pPr>
            <w:r w:rsidRPr="007365BD">
              <w:rPr>
                <w:sz w:val="20"/>
                <w:szCs w:val="20"/>
              </w:rPr>
              <w:t>Numbers reached with new or improved social protection programs, including remote communitie</w:t>
            </w:r>
            <w:r w:rsidR="000F290E">
              <w:rPr>
                <w:sz w:val="20"/>
                <w:szCs w:val="20"/>
              </w:rPr>
              <w:t>s</w:t>
            </w:r>
          </w:p>
        </w:tc>
        <w:tc>
          <w:tcPr>
            <w:tcW w:w="7847" w:type="dxa"/>
            <w:tcBorders>
              <w:bottom w:val="single" w:sz="4" w:space="0" w:color="65C5B4" w:themeColor="accent1"/>
            </w:tcBorders>
          </w:tcPr>
          <w:p w14:paraId="0BF4D3EF" w14:textId="12840F89" w:rsidR="00C8472E" w:rsidRPr="007365BD" w:rsidRDefault="000F290E" w:rsidP="00400251">
            <w:pPr>
              <w:spacing w:before="0"/>
              <w:rPr>
                <w:sz w:val="20"/>
                <w:szCs w:val="20"/>
              </w:rPr>
            </w:pPr>
            <w:r>
              <w:rPr>
                <w:sz w:val="20"/>
                <w:szCs w:val="20"/>
              </w:rPr>
              <w:t xml:space="preserve">Supported </w:t>
            </w:r>
            <w:r w:rsidR="002608AA" w:rsidRPr="007365BD">
              <w:rPr>
                <w:sz w:val="20"/>
                <w:szCs w:val="20"/>
              </w:rPr>
              <w:t xml:space="preserve">8,954 people </w:t>
            </w:r>
            <w:r>
              <w:rPr>
                <w:sz w:val="20"/>
                <w:szCs w:val="20"/>
              </w:rPr>
              <w:t>to receive</w:t>
            </w:r>
            <w:r w:rsidR="002608AA" w:rsidRPr="007365BD">
              <w:rPr>
                <w:sz w:val="20"/>
                <w:szCs w:val="20"/>
              </w:rPr>
              <w:t xml:space="preserve"> with new</w:t>
            </w:r>
            <w:r>
              <w:rPr>
                <w:sz w:val="20"/>
                <w:szCs w:val="20"/>
              </w:rPr>
              <w:t xml:space="preserve"> or </w:t>
            </w:r>
            <w:r w:rsidR="002608AA" w:rsidRPr="007365BD">
              <w:rPr>
                <w:sz w:val="20"/>
                <w:szCs w:val="20"/>
              </w:rPr>
              <w:t xml:space="preserve">improved social protection through the </w:t>
            </w:r>
            <w:r w:rsidR="00C8472E" w:rsidRPr="007365BD">
              <w:rPr>
                <w:sz w:val="20"/>
                <w:szCs w:val="20"/>
              </w:rPr>
              <w:t xml:space="preserve">Elderly </w:t>
            </w:r>
            <w:r>
              <w:rPr>
                <w:sz w:val="20"/>
                <w:szCs w:val="20"/>
              </w:rPr>
              <w:t>W</w:t>
            </w:r>
            <w:r w:rsidR="00C8472E" w:rsidRPr="007365BD">
              <w:rPr>
                <w:sz w:val="20"/>
                <w:szCs w:val="20"/>
              </w:rPr>
              <w:t xml:space="preserve">elfare </w:t>
            </w:r>
            <w:r>
              <w:rPr>
                <w:sz w:val="20"/>
                <w:szCs w:val="20"/>
              </w:rPr>
              <w:t>S</w:t>
            </w:r>
            <w:r w:rsidR="00C8472E" w:rsidRPr="007365BD">
              <w:rPr>
                <w:sz w:val="20"/>
                <w:szCs w:val="20"/>
              </w:rPr>
              <w:t xml:space="preserve">cheme </w:t>
            </w:r>
            <w:r w:rsidR="002608AA" w:rsidRPr="007365BD">
              <w:rPr>
                <w:sz w:val="20"/>
                <w:szCs w:val="20"/>
              </w:rPr>
              <w:t>(</w:t>
            </w:r>
            <w:r w:rsidR="00C8472E" w:rsidRPr="007365BD">
              <w:rPr>
                <w:sz w:val="20"/>
                <w:szCs w:val="20"/>
              </w:rPr>
              <w:t>4,509</w:t>
            </w:r>
            <w:r w:rsidR="002608AA" w:rsidRPr="007365BD">
              <w:rPr>
                <w:sz w:val="20"/>
                <w:szCs w:val="20"/>
              </w:rPr>
              <w:t xml:space="preserve">), </w:t>
            </w:r>
            <w:r>
              <w:rPr>
                <w:sz w:val="20"/>
                <w:szCs w:val="20"/>
              </w:rPr>
              <w:t xml:space="preserve">the </w:t>
            </w:r>
            <w:r w:rsidR="00C8472E" w:rsidRPr="007365BD">
              <w:rPr>
                <w:sz w:val="20"/>
                <w:szCs w:val="20"/>
              </w:rPr>
              <w:t xml:space="preserve">Disability </w:t>
            </w:r>
            <w:r>
              <w:rPr>
                <w:sz w:val="20"/>
                <w:szCs w:val="20"/>
              </w:rPr>
              <w:t>W</w:t>
            </w:r>
            <w:r w:rsidR="00C8472E" w:rsidRPr="007365BD">
              <w:rPr>
                <w:sz w:val="20"/>
                <w:szCs w:val="20"/>
              </w:rPr>
              <w:t xml:space="preserve">elfare </w:t>
            </w:r>
            <w:r>
              <w:rPr>
                <w:sz w:val="20"/>
                <w:szCs w:val="20"/>
              </w:rPr>
              <w:t>S</w:t>
            </w:r>
            <w:r w:rsidR="00C8472E" w:rsidRPr="007365BD">
              <w:rPr>
                <w:sz w:val="20"/>
                <w:szCs w:val="20"/>
              </w:rPr>
              <w:t xml:space="preserve">cheme </w:t>
            </w:r>
            <w:r w:rsidR="002608AA" w:rsidRPr="007365BD">
              <w:rPr>
                <w:sz w:val="20"/>
                <w:szCs w:val="20"/>
              </w:rPr>
              <w:t>(</w:t>
            </w:r>
            <w:r w:rsidR="00C8472E" w:rsidRPr="007365BD">
              <w:rPr>
                <w:sz w:val="20"/>
                <w:szCs w:val="20"/>
              </w:rPr>
              <w:t>1,865</w:t>
            </w:r>
            <w:r w:rsidR="002608AA" w:rsidRPr="007365BD">
              <w:rPr>
                <w:sz w:val="20"/>
                <w:szCs w:val="20"/>
              </w:rPr>
              <w:t>) and the</w:t>
            </w:r>
            <w:r w:rsidR="00805A1B" w:rsidRPr="007365BD">
              <w:rPr>
                <w:sz w:val="20"/>
                <w:szCs w:val="20"/>
              </w:rPr>
              <w:t xml:space="preserve"> </w:t>
            </w:r>
            <w:r w:rsidR="00C8472E" w:rsidRPr="007365BD">
              <w:rPr>
                <w:sz w:val="20"/>
                <w:szCs w:val="20"/>
              </w:rPr>
              <w:t>Support for</w:t>
            </w:r>
            <w:r w:rsidR="00805A1B" w:rsidRPr="007365BD">
              <w:rPr>
                <w:sz w:val="20"/>
                <w:szCs w:val="20"/>
              </w:rPr>
              <w:t xml:space="preserve"> </w:t>
            </w:r>
            <w:r>
              <w:rPr>
                <w:sz w:val="20"/>
                <w:szCs w:val="20"/>
              </w:rPr>
              <w:t>P</w:t>
            </w:r>
            <w:r w:rsidR="00805A1B" w:rsidRPr="007365BD">
              <w:rPr>
                <w:sz w:val="20"/>
                <w:szCs w:val="20"/>
              </w:rPr>
              <w:t>oorer</w:t>
            </w:r>
            <w:r w:rsidR="00C8472E" w:rsidRPr="007365BD">
              <w:rPr>
                <w:sz w:val="20"/>
                <w:szCs w:val="20"/>
              </w:rPr>
              <w:t xml:space="preserve"> </w:t>
            </w:r>
            <w:r>
              <w:rPr>
                <w:sz w:val="20"/>
                <w:szCs w:val="20"/>
              </w:rPr>
              <w:t>H</w:t>
            </w:r>
            <w:r w:rsidR="00C8472E" w:rsidRPr="007365BD">
              <w:rPr>
                <w:sz w:val="20"/>
                <w:szCs w:val="20"/>
              </w:rPr>
              <w:t xml:space="preserve">ouseholds </w:t>
            </w:r>
            <w:r>
              <w:rPr>
                <w:sz w:val="20"/>
                <w:szCs w:val="20"/>
              </w:rPr>
              <w:t>P</w:t>
            </w:r>
            <w:r w:rsidR="002608AA" w:rsidRPr="007365BD">
              <w:rPr>
                <w:sz w:val="20"/>
                <w:szCs w:val="20"/>
              </w:rPr>
              <w:t>rogram (</w:t>
            </w:r>
            <w:r w:rsidR="00C8472E" w:rsidRPr="007365BD">
              <w:rPr>
                <w:sz w:val="20"/>
                <w:szCs w:val="20"/>
              </w:rPr>
              <w:t>2,580</w:t>
            </w:r>
            <w:r w:rsidR="002608AA" w:rsidRPr="007365BD">
              <w:rPr>
                <w:sz w:val="20"/>
                <w:szCs w:val="20"/>
              </w:rPr>
              <w:t>)</w:t>
            </w:r>
            <w:r w:rsidR="00830811" w:rsidRPr="007365BD">
              <w:rPr>
                <w:sz w:val="20"/>
                <w:szCs w:val="20"/>
              </w:rPr>
              <w:t>.</w:t>
            </w:r>
          </w:p>
        </w:tc>
      </w:tr>
      <w:tr w:rsidR="009338F9" w14:paraId="353DE106" w14:textId="77777777" w:rsidTr="00EB7440">
        <w:trPr>
          <w:trHeight w:val="283"/>
        </w:trPr>
        <w:tc>
          <w:tcPr>
            <w:tcW w:w="10536" w:type="dxa"/>
            <w:gridSpan w:val="2"/>
            <w:tcBorders>
              <w:left w:val="nil"/>
              <w:bottom w:val="nil"/>
              <w:right w:val="nil"/>
            </w:tcBorders>
          </w:tcPr>
          <w:p w14:paraId="13260942" w14:textId="2255208C" w:rsidR="009338F9" w:rsidRPr="00805A1B" w:rsidRDefault="000F290E" w:rsidP="008A1B41">
            <w:pPr>
              <w:pStyle w:val="ListParagraph"/>
              <w:spacing w:before="0"/>
              <w:ind w:left="269"/>
              <w:rPr>
                <w:sz w:val="12"/>
                <w:szCs w:val="12"/>
              </w:rPr>
            </w:pPr>
            <w:r w:rsidRPr="00805A1B" w:rsidDel="000F290E">
              <w:rPr>
                <w:sz w:val="12"/>
                <w:szCs w:val="12"/>
              </w:rPr>
              <w:t xml:space="preserve"> </w:t>
            </w:r>
          </w:p>
        </w:tc>
      </w:tr>
    </w:tbl>
    <w:p w14:paraId="74C39B3F" w14:textId="6E29EB92" w:rsidR="00195591" w:rsidRDefault="00195591" w:rsidP="005A1A5E">
      <w:pPr>
        <w:pStyle w:val="Heading3"/>
      </w:pPr>
      <w:r w:rsidRPr="00AE2B7B">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2689"/>
        <w:gridCol w:w="7847"/>
      </w:tblGrid>
      <w:tr w:rsidR="00195591" w14:paraId="61413B76" w14:textId="77777777" w:rsidTr="007365BD">
        <w:trPr>
          <w:tblHeader/>
        </w:trPr>
        <w:tc>
          <w:tcPr>
            <w:tcW w:w="2689" w:type="dxa"/>
            <w:shd w:val="clear" w:color="auto" w:fill="A2DCD1" w:themeFill="accent1" w:themeFillTint="99"/>
            <w:vAlign w:val="bottom"/>
          </w:tcPr>
          <w:p w14:paraId="0F27B288" w14:textId="77777777" w:rsidR="00195591" w:rsidRPr="005736BB" w:rsidRDefault="00195591" w:rsidP="008A1B41">
            <w:pPr>
              <w:widowControl w:val="0"/>
              <w:spacing w:before="0"/>
              <w:jc w:val="center"/>
              <w:rPr>
                <w:sz w:val="20"/>
                <w:szCs w:val="20"/>
              </w:rPr>
            </w:pPr>
            <w:bookmarkStart w:id="6" w:name="_Hlk84326905"/>
            <w:r w:rsidRPr="005736BB">
              <w:rPr>
                <w:b/>
                <w:sz w:val="20"/>
                <w:szCs w:val="20"/>
              </w:rPr>
              <w:t>Key Results Indicators</w:t>
            </w:r>
          </w:p>
        </w:tc>
        <w:tc>
          <w:tcPr>
            <w:tcW w:w="7847" w:type="dxa"/>
            <w:shd w:val="clear" w:color="auto" w:fill="A2DCD1" w:themeFill="accent1" w:themeFillTint="99"/>
            <w:vAlign w:val="bottom"/>
          </w:tcPr>
          <w:p w14:paraId="00F8BB97" w14:textId="77777777" w:rsidR="00195591" w:rsidRPr="005736BB" w:rsidRDefault="00195591" w:rsidP="008A1B41">
            <w:pPr>
              <w:widowControl w:val="0"/>
              <w:spacing w:before="0"/>
              <w:jc w:val="center"/>
              <w:rPr>
                <w:sz w:val="20"/>
                <w:szCs w:val="20"/>
              </w:rPr>
            </w:pPr>
            <w:r w:rsidRPr="005736BB">
              <w:rPr>
                <w:b/>
                <w:sz w:val="20"/>
                <w:szCs w:val="20"/>
              </w:rPr>
              <w:t>Progress/Result</w:t>
            </w:r>
          </w:p>
        </w:tc>
      </w:tr>
      <w:tr w:rsidR="00195591" w14:paraId="6DC24B9C" w14:textId="77777777" w:rsidTr="007365BD">
        <w:tc>
          <w:tcPr>
            <w:tcW w:w="2689" w:type="dxa"/>
          </w:tcPr>
          <w:p w14:paraId="1E931322" w14:textId="6D52FAF7" w:rsidR="00195591" w:rsidRPr="007365BD" w:rsidRDefault="00195591" w:rsidP="008A1B41">
            <w:pPr>
              <w:spacing w:before="0"/>
              <w:ind w:left="27"/>
              <w:rPr>
                <w:sz w:val="20"/>
                <w:szCs w:val="20"/>
              </w:rPr>
            </w:pPr>
            <w:bookmarkStart w:id="7" w:name="_Hlk81813610"/>
            <w:r w:rsidRPr="007365BD">
              <w:rPr>
                <w:sz w:val="20"/>
                <w:szCs w:val="20"/>
              </w:rPr>
              <w:t xml:space="preserve">Australian budget support as a </w:t>
            </w:r>
            <w:r w:rsidR="00600378">
              <w:rPr>
                <w:sz w:val="20"/>
                <w:szCs w:val="20"/>
              </w:rPr>
              <w:t>per cent</w:t>
            </w:r>
            <w:r w:rsidRPr="007365BD">
              <w:rPr>
                <w:sz w:val="20"/>
                <w:szCs w:val="20"/>
              </w:rPr>
              <w:t xml:space="preserve">age of </w:t>
            </w:r>
            <w:r w:rsidR="000C32E9">
              <w:rPr>
                <w:sz w:val="20"/>
                <w:szCs w:val="20"/>
              </w:rPr>
              <w:t xml:space="preserve">total domestic revenue in response to </w:t>
            </w:r>
            <w:r w:rsidR="000C32E9">
              <w:rPr>
                <w:sz w:val="20"/>
                <w:szCs w:val="20"/>
              </w:rPr>
              <w:br/>
              <w:t>COVID-19</w:t>
            </w:r>
            <w:r w:rsidR="000C32E9">
              <w:rPr>
                <w:rStyle w:val="FootnoteReference"/>
                <w:sz w:val="20"/>
                <w:szCs w:val="20"/>
              </w:rPr>
              <w:footnoteReference w:id="1"/>
            </w:r>
          </w:p>
        </w:tc>
        <w:tc>
          <w:tcPr>
            <w:tcW w:w="7847" w:type="dxa"/>
          </w:tcPr>
          <w:p w14:paraId="3B41FE37" w14:textId="4D6A70B4" w:rsidR="00E22BD4" w:rsidRPr="007365BD" w:rsidRDefault="000C32E9" w:rsidP="008A1B41">
            <w:pPr>
              <w:spacing w:before="0"/>
              <w:rPr>
                <w:sz w:val="20"/>
                <w:szCs w:val="20"/>
                <w:lang w:val="en-AU"/>
              </w:rPr>
            </w:pPr>
            <w:r>
              <w:rPr>
                <w:sz w:val="20"/>
                <w:szCs w:val="20"/>
                <w:lang w:val="en-AU"/>
              </w:rPr>
              <w:t xml:space="preserve">Australian budget support represented 13.2 </w:t>
            </w:r>
            <w:r w:rsidR="004B074B" w:rsidRPr="007365BD">
              <w:rPr>
                <w:sz w:val="20"/>
                <w:szCs w:val="20"/>
                <w:lang w:val="en-AU"/>
              </w:rPr>
              <w:t xml:space="preserve">per cent of </w:t>
            </w:r>
            <w:r>
              <w:rPr>
                <w:sz w:val="20"/>
                <w:szCs w:val="20"/>
                <w:lang w:val="en-AU"/>
              </w:rPr>
              <w:t>total domestic revenue.</w:t>
            </w:r>
          </w:p>
        </w:tc>
      </w:tr>
      <w:bookmarkEnd w:id="6"/>
      <w:bookmarkEnd w:id="7"/>
      <w:tr w:rsidR="00195591" w14:paraId="182F961A" w14:textId="77777777" w:rsidTr="007365BD">
        <w:tc>
          <w:tcPr>
            <w:tcW w:w="2689" w:type="dxa"/>
          </w:tcPr>
          <w:p w14:paraId="51DB9263" w14:textId="31B648AB" w:rsidR="00195591" w:rsidRPr="007365BD" w:rsidRDefault="00195591" w:rsidP="008A1B41">
            <w:pPr>
              <w:spacing w:before="0"/>
              <w:ind w:left="27"/>
              <w:rPr>
                <w:sz w:val="20"/>
                <w:szCs w:val="20"/>
              </w:rPr>
            </w:pPr>
            <w:r w:rsidRPr="007365BD">
              <w:rPr>
                <w:sz w:val="20"/>
                <w:szCs w:val="20"/>
              </w:rPr>
              <w:t xml:space="preserve">Number of women and girls who have increased access to economic </w:t>
            </w:r>
            <w:r w:rsidR="00805A1B" w:rsidRPr="007365BD">
              <w:rPr>
                <w:sz w:val="20"/>
                <w:szCs w:val="20"/>
              </w:rPr>
              <w:t>opportunity</w:t>
            </w:r>
          </w:p>
        </w:tc>
        <w:tc>
          <w:tcPr>
            <w:tcW w:w="7847" w:type="dxa"/>
          </w:tcPr>
          <w:p w14:paraId="5EEDDF4C" w14:textId="39287A8D" w:rsidR="00195591" w:rsidRPr="007365BD" w:rsidRDefault="0051337D" w:rsidP="00400251">
            <w:pPr>
              <w:spacing w:before="0"/>
              <w:rPr>
                <w:sz w:val="20"/>
                <w:szCs w:val="20"/>
              </w:rPr>
            </w:pPr>
            <w:r>
              <w:rPr>
                <w:sz w:val="20"/>
                <w:szCs w:val="20"/>
              </w:rPr>
              <w:t xml:space="preserve">Supported </w:t>
            </w:r>
            <w:r w:rsidR="00195591" w:rsidRPr="007365BD">
              <w:rPr>
                <w:sz w:val="20"/>
                <w:szCs w:val="20"/>
              </w:rPr>
              <w:t xml:space="preserve">1,200 </w:t>
            </w:r>
            <w:r w:rsidR="002D598D" w:rsidRPr="007365BD">
              <w:rPr>
                <w:sz w:val="20"/>
                <w:szCs w:val="20"/>
              </w:rPr>
              <w:t xml:space="preserve">women and girls </w:t>
            </w:r>
            <w:r>
              <w:rPr>
                <w:sz w:val="20"/>
                <w:szCs w:val="20"/>
              </w:rPr>
              <w:t>to development</w:t>
            </w:r>
            <w:r w:rsidR="002D598D" w:rsidRPr="007365BD">
              <w:rPr>
                <w:sz w:val="20"/>
                <w:szCs w:val="20"/>
              </w:rPr>
              <w:t xml:space="preserve"> </w:t>
            </w:r>
            <w:r w:rsidR="00195591" w:rsidRPr="007365BD">
              <w:rPr>
                <w:sz w:val="20"/>
                <w:szCs w:val="20"/>
              </w:rPr>
              <w:t>skills</w:t>
            </w:r>
            <w:r w:rsidR="009155C7" w:rsidRPr="007365BD">
              <w:rPr>
                <w:sz w:val="20"/>
                <w:szCs w:val="20"/>
              </w:rPr>
              <w:t xml:space="preserve"> </w:t>
            </w:r>
            <w:r>
              <w:rPr>
                <w:sz w:val="20"/>
                <w:szCs w:val="20"/>
              </w:rPr>
              <w:t>for</w:t>
            </w:r>
            <w:r w:rsidRPr="007365BD">
              <w:rPr>
                <w:sz w:val="20"/>
                <w:szCs w:val="20"/>
              </w:rPr>
              <w:t xml:space="preserve"> </w:t>
            </w:r>
            <w:r w:rsidR="009155C7" w:rsidRPr="007365BD">
              <w:rPr>
                <w:sz w:val="20"/>
                <w:szCs w:val="20"/>
              </w:rPr>
              <w:t>business development</w:t>
            </w:r>
            <w:r w:rsidR="00195591" w:rsidRPr="007365BD">
              <w:rPr>
                <w:sz w:val="20"/>
                <w:szCs w:val="20"/>
              </w:rPr>
              <w:t xml:space="preserve"> activities</w:t>
            </w:r>
            <w:r w:rsidR="009155C7" w:rsidRPr="007365BD">
              <w:rPr>
                <w:sz w:val="20"/>
                <w:szCs w:val="20"/>
              </w:rPr>
              <w:t>.</w:t>
            </w:r>
          </w:p>
          <w:p w14:paraId="669C6084" w14:textId="6B463170" w:rsidR="007E1F71" w:rsidRPr="007365BD" w:rsidRDefault="0051337D" w:rsidP="00400251">
            <w:pPr>
              <w:spacing w:before="0"/>
              <w:rPr>
                <w:sz w:val="20"/>
                <w:szCs w:val="20"/>
              </w:rPr>
            </w:pPr>
            <w:r>
              <w:rPr>
                <w:sz w:val="20"/>
                <w:szCs w:val="20"/>
              </w:rPr>
              <w:t>Through t</w:t>
            </w:r>
            <w:r w:rsidR="00A77381" w:rsidRPr="007365BD">
              <w:rPr>
                <w:sz w:val="20"/>
                <w:szCs w:val="20"/>
              </w:rPr>
              <w:t>he</w:t>
            </w:r>
            <w:r w:rsidR="00805A1B" w:rsidRPr="007365BD">
              <w:rPr>
                <w:sz w:val="20"/>
                <w:szCs w:val="20"/>
              </w:rPr>
              <w:t xml:space="preserve"> </w:t>
            </w:r>
            <w:r w:rsidR="00B51646" w:rsidRPr="007365BD">
              <w:rPr>
                <w:sz w:val="20"/>
                <w:szCs w:val="20"/>
              </w:rPr>
              <w:t>W</w:t>
            </w:r>
            <w:r w:rsidR="00195591" w:rsidRPr="007365BD">
              <w:rPr>
                <w:sz w:val="20"/>
                <w:szCs w:val="20"/>
              </w:rPr>
              <w:t xml:space="preserve">omen’s </w:t>
            </w:r>
            <w:r w:rsidR="00B51646" w:rsidRPr="007365BD">
              <w:rPr>
                <w:sz w:val="20"/>
                <w:szCs w:val="20"/>
              </w:rPr>
              <w:t>E</w:t>
            </w:r>
            <w:r w:rsidR="00195591" w:rsidRPr="007365BD">
              <w:rPr>
                <w:sz w:val="20"/>
                <w:szCs w:val="20"/>
              </w:rPr>
              <w:t xml:space="preserve">conomic </w:t>
            </w:r>
            <w:r w:rsidR="00B51646" w:rsidRPr="007365BD">
              <w:rPr>
                <w:sz w:val="20"/>
                <w:szCs w:val="20"/>
              </w:rPr>
              <w:t>E</w:t>
            </w:r>
            <w:r w:rsidR="00195591" w:rsidRPr="007365BD">
              <w:rPr>
                <w:sz w:val="20"/>
                <w:szCs w:val="20"/>
              </w:rPr>
              <w:t xml:space="preserve">mpowerment </w:t>
            </w:r>
            <w:r w:rsidR="00B51646" w:rsidRPr="007365BD">
              <w:rPr>
                <w:sz w:val="20"/>
                <w:szCs w:val="20"/>
              </w:rPr>
              <w:t>Program</w:t>
            </w:r>
            <w:r>
              <w:rPr>
                <w:sz w:val="20"/>
                <w:szCs w:val="20"/>
              </w:rPr>
              <w:t xml:space="preserve">, supported </w:t>
            </w:r>
            <w:r w:rsidR="00195591" w:rsidRPr="007365BD">
              <w:rPr>
                <w:sz w:val="20"/>
                <w:szCs w:val="20"/>
              </w:rPr>
              <w:t>21 women</w:t>
            </w:r>
            <w:r w:rsidR="00805A1B" w:rsidRPr="007365BD">
              <w:rPr>
                <w:sz w:val="20"/>
                <w:szCs w:val="20"/>
              </w:rPr>
              <w:t xml:space="preserve"> </w:t>
            </w:r>
            <w:r>
              <w:rPr>
                <w:sz w:val="20"/>
                <w:szCs w:val="20"/>
              </w:rPr>
              <w:t>to gain busines</w:t>
            </w:r>
            <w:r w:rsidR="00784807">
              <w:rPr>
                <w:sz w:val="20"/>
                <w:szCs w:val="20"/>
              </w:rPr>
              <w:t>s</w:t>
            </w:r>
            <w:r>
              <w:rPr>
                <w:sz w:val="20"/>
                <w:szCs w:val="20"/>
              </w:rPr>
              <w:t xml:space="preserve"> skills</w:t>
            </w:r>
            <w:r w:rsidR="00784807">
              <w:rPr>
                <w:sz w:val="20"/>
                <w:szCs w:val="20"/>
              </w:rPr>
              <w:t xml:space="preserve"> through NGO capacity support programs and coaching/training</w:t>
            </w:r>
            <w:r w:rsidR="009155C7" w:rsidRPr="007365BD">
              <w:rPr>
                <w:sz w:val="20"/>
                <w:szCs w:val="20"/>
              </w:rPr>
              <w:t>.</w:t>
            </w:r>
          </w:p>
        </w:tc>
      </w:tr>
      <w:tr w:rsidR="00195591" w14:paraId="2779EF81" w14:textId="77777777" w:rsidTr="007365BD">
        <w:tc>
          <w:tcPr>
            <w:tcW w:w="2689" w:type="dxa"/>
          </w:tcPr>
          <w:p w14:paraId="749E175E" w14:textId="7F6A6BD9" w:rsidR="00195591" w:rsidRPr="007365BD" w:rsidRDefault="00195591" w:rsidP="008A1B41">
            <w:pPr>
              <w:spacing w:before="0"/>
              <w:ind w:left="27"/>
              <w:rPr>
                <w:sz w:val="20"/>
                <w:szCs w:val="20"/>
              </w:rPr>
            </w:pPr>
            <w:r w:rsidRPr="007365BD">
              <w:rPr>
                <w:sz w:val="20"/>
                <w:szCs w:val="20"/>
              </w:rPr>
              <w:t xml:space="preserve">Number of </w:t>
            </w:r>
            <w:proofErr w:type="gramStart"/>
            <w:r w:rsidRPr="007365BD">
              <w:rPr>
                <w:sz w:val="20"/>
                <w:szCs w:val="20"/>
              </w:rPr>
              <w:t>micro</w:t>
            </w:r>
            <w:proofErr w:type="gramEnd"/>
            <w:r w:rsidRPr="007365BD">
              <w:rPr>
                <w:sz w:val="20"/>
                <w:szCs w:val="20"/>
              </w:rPr>
              <w:t xml:space="preserve">, small and medium enterprises and members of cooperatives accessing </w:t>
            </w:r>
            <w:r w:rsidR="00910DCD" w:rsidRPr="007365BD">
              <w:rPr>
                <w:sz w:val="20"/>
                <w:szCs w:val="20"/>
              </w:rPr>
              <w:t>finance</w:t>
            </w:r>
          </w:p>
        </w:tc>
        <w:tc>
          <w:tcPr>
            <w:tcW w:w="7847" w:type="dxa"/>
          </w:tcPr>
          <w:p w14:paraId="689B4383" w14:textId="4EA11926" w:rsidR="00195591" w:rsidRPr="007365BD" w:rsidRDefault="0051337D" w:rsidP="008A1B41">
            <w:pPr>
              <w:pStyle w:val="ListParagraph"/>
              <w:spacing w:before="0"/>
              <w:ind w:left="0"/>
              <w:rPr>
                <w:sz w:val="20"/>
                <w:szCs w:val="20"/>
              </w:rPr>
            </w:pPr>
            <w:r>
              <w:rPr>
                <w:sz w:val="20"/>
                <w:szCs w:val="20"/>
              </w:rPr>
              <w:t xml:space="preserve">Supported </w:t>
            </w:r>
            <w:r w:rsidR="00794A17" w:rsidRPr="007365BD">
              <w:rPr>
                <w:sz w:val="20"/>
                <w:szCs w:val="20"/>
              </w:rPr>
              <w:t>551 r</w:t>
            </w:r>
            <w:r w:rsidR="00195591" w:rsidRPr="007365BD">
              <w:rPr>
                <w:sz w:val="20"/>
                <w:szCs w:val="20"/>
              </w:rPr>
              <w:t xml:space="preserve">egistered enterprises </w:t>
            </w:r>
            <w:r w:rsidR="00794A17" w:rsidRPr="007365BD">
              <w:rPr>
                <w:sz w:val="20"/>
                <w:szCs w:val="20"/>
              </w:rPr>
              <w:t>and 6,450 i</w:t>
            </w:r>
            <w:r w:rsidR="00195591" w:rsidRPr="007365BD">
              <w:rPr>
                <w:sz w:val="20"/>
                <w:szCs w:val="20"/>
              </w:rPr>
              <w:t xml:space="preserve">nformal businesses </w:t>
            </w:r>
            <w:r>
              <w:rPr>
                <w:sz w:val="20"/>
                <w:szCs w:val="20"/>
              </w:rPr>
              <w:t>to access</w:t>
            </w:r>
            <w:r w:rsidRPr="007365BD">
              <w:rPr>
                <w:sz w:val="20"/>
                <w:szCs w:val="20"/>
              </w:rPr>
              <w:t xml:space="preserve"> </w:t>
            </w:r>
            <w:r w:rsidR="00794A17" w:rsidRPr="007365BD">
              <w:rPr>
                <w:sz w:val="20"/>
                <w:szCs w:val="20"/>
              </w:rPr>
              <w:t>finance.</w:t>
            </w:r>
          </w:p>
        </w:tc>
      </w:tr>
      <w:tr w:rsidR="00195591" w14:paraId="0F6DF48B" w14:textId="77777777" w:rsidTr="007365BD">
        <w:tc>
          <w:tcPr>
            <w:tcW w:w="2689" w:type="dxa"/>
          </w:tcPr>
          <w:p w14:paraId="0BE5E575" w14:textId="4E88BED2" w:rsidR="00195591" w:rsidRPr="007365BD" w:rsidRDefault="00195591" w:rsidP="008A1B41">
            <w:pPr>
              <w:spacing w:before="0"/>
              <w:ind w:left="27"/>
              <w:rPr>
                <w:sz w:val="20"/>
                <w:szCs w:val="20"/>
              </w:rPr>
            </w:pPr>
            <w:r w:rsidRPr="007365BD">
              <w:rPr>
                <w:sz w:val="20"/>
                <w:szCs w:val="20"/>
              </w:rPr>
              <w:t xml:space="preserve">Number of </w:t>
            </w:r>
            <w:r w:rsidR="004054D4">
              <w:rPr>
                <w:sz w:val="20"/>
                <w:szCs w:val="20"/>
              </w:rPr>
              <w:t>women</w:t>
            </w:r>
            <w:r w:rsidRPr="007365BD">
              <w:rPr>
                <w:sz w:val="20"/>
                <w:szCs w:val="20"/>
              </w:rPr>
              <w:t xml:space="preserve"> entrepreneurs provided with financial and/or business development services</w:t>
            </w:r>
          </w:p>
        </w:tc>
        <w:tc>
          <w:tcPr>
            <w:tcW w:w="7847" w:type="dxa"/>
          </w:tcPr>
          <w:p w14:paraId="0DA078D2" w14:textId="64273190" w:rsidR="00195591" w:rsidRPr="007365BD" w:rsidRDefault="0051337D" w:rsidP="00400251">
            <w:pPr>
              <w:spacing w:before="0"/>
              <w:rPr>
                <w:sz w:val="20"/>
                <w:szCs w:val="20"/>
              </w:rPr>
            </w:pPr>
            <w:r>
              <w:rPr>
                <w:sz w:val="20"/>
                <w:szCs w:val="20"/>
              </w:rPr>
              <w:t xml:space="preserve">Supported </w:t>
            </w:r>
            <w:r w:rsidR="00195591" w:rsidRPr="007365BD">
              <w:rPr>
                <w:sz w:val="20"/>
                <w:szCs w:val="20"/>
              </w:rPr>
              <w:t xml:space="preserve">94 </w:t>
            </w:r>
            <w:r w:rsidR="004054D4">
              <w:rPr>
                <w:sz w:val="20"/>
                <w:szCs w:val="20"/>
              </w:rPr>
              <w:t>women</w:t>
            </w:r>
            <w:r w:rsidR="00195591" w:rsidRPr="007365BD">
              <w:rPr>
                <w:sz w:val="20"/>
                <w:szCs w:val="20"/>
              </w:rPr>
              <w:t xml:space="preserve"> entrepreneurs with business development services</w:t>
            </w:r>
            <w:r>
              <w:rPr>
                <w:sz w:val="20"/>
                <w:szCs w:val="20"/>
              </w:rPr>
              <w:t xml:space="preserve">. </w:t>
            </w:r>
          </w:p>
          <w:p w14:paraId="3EF9C7AC" w14:textId="1EF2BC60" w:rsidR="00195591" w:rsidRPr="007365BD" w:rsidRDefault="0051337D" w:rsidP="00400251">
            <w:pPr>
              <w:spacing w:before="0"/>
              <w:rPr>
                <w:sz w:val="20"/>
                <w:szCs w:val="20"/>
              </w:rPr>
            </w:pPr>
            <w:r>
              <w:rPr>
                <w:sz w:val="20"/>
                <w:szCs w:val="20"/>
              </w:rPr>
              <w:t>S</w:t>
            </w:r>
            <w:r w:rsidR="00B51646" w:rsidRPr="007365BD">
              <w:rPr>
                <w:sz w:val="20"/>
                <w:szCs w:val="20"/>
              </w:rPr>
              <w:t>upported six</w:t>
            </w:r>
            <w:r w:rsidR="00195591" w:rsidRPr="007365BD">
              <w:rPr>
                <w:sz w:val="20"/>
                <w:szCs w:val="20"/>
              </w:rPr>
              <w:t xml:space="preserve"> businesswomen</w:t>
            </w:r>
            <w:r>
              <w:rPr>
                <w:sz w:val="20"/>
                <w:szCs w:val="20"/>
              </w:rPr>
              <w:t xml:space="preserve"> with finance and business development services through the </w:t>
            </w:r>
            <w:r w:rsidRPr="007365BD">
              <w:rPr>
                <w:sz w:val="20"/>
                <w:szCs w:val="20"/>
              </w:rPr>
              <w:t>Women’s Economic Empowerment Program</w:t>
            </w:r>
            <w:r>
              <w:rPr>
                <w:sz w:val="20"/>
                <w:szCs w:val="20"/>
              </w:rPr>
              <w:t>.</w:t>
            </w:r>
          </w:p>
        </w:tc>
      </w:tr>
      <w:tr w:rsidR="00195591" w14:paraId="027C99B1" w14:textId="77777777" w:rsidTr="007365BD">
        <w:tc>
          <w:tcPr>
            <w:tcW w:w="2689" w:type="dxa"/>
          </w:tcPr>
          <w:p w14:paraId="084B30EC" w14:textId="77777777" w:rsidR="00195591" w:rsidRPr="007365BD" w:rsidRDefault="00195591" w:rsidP="008A1B41">
            <w:pPr>
              <w:spacing w:before="0"/>
              <w:ind w:left="27"/>
              <w:rPr>
                <w:sz w:val="20"/>
                <w:szCs w:val="20"/>
              </w:rPr>
            </w:pPr>
            <w:r w:rsidRPr="007365BD">
              <w:rPr>
                <w:sz w:val="20"/>
                <w:szCs w:val="20"/>
              </w:rPr>
              <w:lastRenderedPageBreak/>
              <w:t xml:space="preserve">Number of economic response and recovery measures that specifically target the vulnerable </w:t>
            </w:r>
          </w:p>
        </w:tc>
        <w:tc>
          <w:tcPr>
            <w:tcW w:w="7847" w:type="dxa"/>
          </w:tcPr>
          <w:p w14:paraId="4AC3F325" w14:textId="4131CA5D" w:rsidR="0051337D" w:rsidRDefault="0051337D" w:rsidP="0051337D">
            <w:pPr>
              <w:spacing w:before="0"/>
              <w:rPr>
                <w:sz w:val="20"/>
                <w:szCs w:val="20"/>
              </w:rPr>
            </w:pPr>
            <w:r>
              <w:rPr>
                <w:sz w:val="20"/>
                <w:szCs w:val="20"/>
              </w:rPr>
              <w:t>S</w:t>
            </w:r>
            <w:r w:rsidR="0025736A" w:rsidRPr="007365BD">
              <w:rPr>
                <w:sz w:val="20"/>
                <w:szCs w:val="20"/>
              </w:rPr>
              <w:t>upported f</w:t>
            </w:r>
            <w:r w:rsidR="002D598D" w:rsidRPr="007365BD">
              <w:rPr>
                <w:sz w:val="20"/>
                <w:szCs w:val="20"/>
              </w:rPr>
              <w:t xml:space="preserve">ive </w:t>
            </w:r>
            <w:r>
              <w:rPr>
                <w:sz w:val="20"/>
                <w:szCs w:val="20"/>
              </w:rPr>
              <w:t xml:space="preserve">key </w:t>
            </w:r>
            <w:r w:rsidR="002D598D" w:rsidRPr="007365BD">
              <w:rPr>
                <w:sz w:val="20"/>
                <w:szCs w:val="20"/>
              </w:rPr>
              <w:t xml:space="preserve">Tongan government measures </w:t>
            </w:r>
            <w:r>
              <w:rPr>
                <w:sz w:val="20"/>
                <w:szCs w:val="20"/>
              </w:rPr>
              <w:t>that targeted vulnerable communities and individuals:</w:t>
            </w:r>
          </w:p>
          <w:p w14:paraId="5FB9F1F0" w14:textId="6C26BC9E" w:rsidR="0051337D" w:rsidRDefault="0051337D" w:rsidP="009813A2">
            <w:pPr>
              <w:pStyle w:val="ListParagraph"/>
              <w:numPr>
                <w:ilvl w:val="0"/>
                <w:numId w:val="16"/>
              </w:numPr>
              <w:spacing w:before="0"/>
              <w:ind w:left="369" w:hanging="284"/>
              <w:rPr>
                <w:sz w:val="20"/>
                <w:szCs w:val="20"/>
              </w:rPr>
            </w:pPr>
            <w:r>
              <w:rPr>
                <w:sz w:val="20"/>
                <w:szCs w:val="20"/>
              </w:rPr>
              <w:t>O</w:t>
            </w:r>
            <w:r w:rsidR="00805A1B" w:rsidRPr="009813A2">
              <w:rPr>
                <w:sz w:val="20"/>
                <w:szCs w:val="20"/>
              </w:rPr>
              <w:t xml:space="preserve">ne-off top up payment under </w:t>
            </w:r>
            <w:r w:rsidR="0025736A" w:rsidRPr="009813A2">
              <w:rPr>
                <w:sz w:val="20"/>
                <w:szCs w:val="20"/>
              </w:rPr>
              <w:t>the E</w:t>
            </w:r>
            <w:r w:rsidR="00195591" w:rsidRPr="009813A2">
              <w:rPr>
                <w:sz w:val="20"/>
                <w:szCs w:val="20"/>
              </w:rPr>
              <w:t xml:space="preserve">lderly and </w:t>
            </w:r>
            <w:r w:rsidR="0025736A" w:rsidRPr="009813A2">
              <w:rPr>
                <w:sz w:val="20"/>
                <w:szCs w:val="20"/>
              </w:rPr>
              <w:t>D</w:t>
            </w:r>
            <w:r w:rsidR="00195591" w:rsidRPr="009813A2">
              <w:rPr>
                <w:sz w:val="20"/>
                <w:szCs w:val="20"/>
              </w:rPr>
              <w:t xml:space="preserve">isability </w:t>
            </w:r>
            <w:r w:rsidR="0025736A" w:rsidRPr="009813A2">
              <w:rPr>
                <w:sz w:val="20"/>
                <w:szCs w:val="20"/>
              </w:rPr>
              <w:t>W</w:t>
            </w:r>
            <w:r w:rsidR="00195591" w:rsidRPr="009813A2">
              <w:rPr>
                <w:sz w:val="20"/>
                <w:szCs w:val="20"/>
              </w:rPr>
              <w:t xml:space="preserve">elfare </w:t>
            </w:r>
            <w:r w:rsidR="0025736A" w:rsidRPr="009813A2">
              <w:rPr>
                <w:sz w:val="20"/>
                <w:szCs w:val="20"/>
              </w:rPr>
              <w:t>S</w:t>
            </w:r>
            <w:r w:rsidR="00195591" w:rsidRPr="009813A2">
              <w:rPr>
                <w:sz w:val="20"/>
                <w:szCs w:val="20"/>
              </w:rPr>
              <w:t>cheme</w:t>
            </w:r>
          </w:p>
          <w:p w14:paraId="64B8FC6E" w14:textId="2D8BBB06" w:rsidR="0051337D" w:rsidRDefault="0051337D" w:rsidP="009813A2">
            <w:pPr>
              <w:pStyle w:val="ListParagraph"/>
              <w:numPr>
                <w:ilvl w:val="0"/>
                <w:numId w:val="16"/>
              </w:numPr>
              <w:spacing w:before="0"/>
              <w:ind w:left="369" w:hanging="284"/>
              <w:rPr>
                <w:sz w:val="20"/>
                <w:szCs w:val="20"/>
              </w:rPr>
            </w:pPr>
            <w:r>
              <w:rPr>
                <w:sz w:val="20"/>
                <w:szCs w:val="20"/>
              </w:rPr>
              <w:t>O</w:t>
            </w:r>
            <w:r w:rsidR="00195591" w:rsidRPr="009813A2">
              <w:rPr>
                <w:sz w:val="20"/>
                <w:szCs w:val="20"/>
              </w:rPr>
              <w:t>ne-off grant to poor households</w:t>
            </w:r>
          </w:p>
          <w:p w14:paraId="739BA034" w14:textId="6A7682CE" w:rsidR="0051337D" w:rsidRDefault="0051337D" w:rsidP="009813A2">
            <w:pPr>
              <w:pStyle w:val="ListParagraph"/>
              <w:numPr>
                <w:ilvl w:val="0"/>
                <w:numId w:val="16"/>
              </w:numPr>
              <w:spacing w:before="0"/>
              <w:ind w:left="369" w:hanging="284"/>
              <w:rPr>
                <w:sz w:val="20"/>
                <w:szCs w:val="20"/>
              </w:rPr>
            </w:pPr>
            <w:r>
              <w:rPr>
                <w:sz w:val="20"/>
                <w:szCs w:val="20"/>
              </w:rPr>
              <w:t>Payments</w:t>
            </w:r>
            <w:r w:rsidR="00195591" w:rsidRPr="009813A2">
              <w:rPr>
                <w:sz w:val="20"/>
                <w:szCs w:val="20"/>
              </w:rPr>
              <w:t xml:space="preserve"> to enable broader reach of the only NGO providing elderly care services to the outer islands</w:t>
            </w:r>
          </w:p>
          <w:p w14:paraId="38446067" w14:textId="5F850960" w:rsidR="0051337D" w:rsidRDefault="0051337D" w:rsidP="009813A2">
            <w:pPr>
              <w:pStyle w:val="ListParagraph"/>
              <w:numPr>
                <w:ilvl w:val="0"/>
                <w:numId w:val="16"/>
              </w:numPr>
              <w:spacing w:before="0"/>
              <w:ind w:left="369" w:hanging="284"/>
              <w:rPr>
                <w:sz w:val="20"/>
                <w:szCs w:val="20"/>
              </w:rPr>
            </w:pPr>
            <w:r>
              <w:rPr>
                <w:sz w:val="20"/>
                <w:szCs w:val="20"/>
              </w:rPr>
              <w:t>F</w:t>
            </w:r>
            <w:r w:rsidR="00195591" w:rsidRPr="009813A2">
              <w:rPr>
                <w:sz w:val="20"/>
                <w:szCs w:val="20"/>
              </w:rPr>
              <w:t>unds to support community policing across Tonga during curfew hours</w:t>
            </w:r>
            <w:r w:rsidR="0025736A" w:rsidRPr="009813A2">
              <w:rPr>
                <w:sz w:val="20"/>
                <w:szCs w:val="20"/>
              </w:rPr>
              <w:t>;</w:t>
            </w:r>
            <w:r w:rsidR="0094510F">
              <w:rPr>
                <w:sz w:val="20"/>
                <w:szCs w:val="20"/>
              </w:rPr>
              <w:t xml:space="preserve"> </w:t>
            </w:r>
            <w:r>
              <w:rPr>
                <w:sz w:val="20"/>
                <w:szCs w:val="20"/>
              </w:rPr>
              <w:t>and</w:t>
            </w:r>
          </w:p>
          <w:p w14:paraId="5B7DC1B1" w14:textId="5600F1D1" w:rsidR="00195591" w:rsidRPr="009813A2" w:rsidRDefault="0051337D" w:rsidP="009813A2">
            <w:pPr>
              <w:pStyle w:val="ListParagraph"/>
              <w:numPr>
                <w:ilvl w:val="0"/>
                <w:numId w:val="16"/>
              </w:numPr>
              <w:spacing w:before="0"/>
              <w:ind w:left="369" w:hanging="284"/>
              <w:rPr>
                <w:sz w:val="20"/>
                <w:szCs w:val="20"/>
              </w:rPr>
            </w:pPr>
            <w:r>
              <w:rPr>
                <w:sz w:val="20"/>
                <w:szCs w:val="20"/>
              </w:rPr>
              <w:t>A</w:t>
            </w:r>
            <w:r w:rsidR="00195591" w:rsidRPr="009813A2">
              <w:rPr>
                <w:sz w:val="20"/>
                <w:szCs w:val="20"/>
              </w:rPr>
              <w:t>dditional budget support to finance Tonga’s COVID-19 Business Recovery Program</w:t>
            </w:r>
            <w:r w:rsidR="00805A1B" w:rsidRPr="009813A2">
              <w:rPr>
                <w:sz w:val="20"/>
                <w:szCs w:val="20"/>
              </w:rPr>
              <w:t xml:space="preserve"> </w:t>
            </w:r>
            <w:r>
              <w:rPr>
                <w:sz w:val="20"/>
                <w:szCs w:val="20"/>
              </w:rPr>
              <w:t xml:space="preserve">to assist </w:t>
            </w:r>
            <w:r w:rsidR="00195591" w:rsidRPr="009813A2">
              <w:rPr>
                <w:sz w:val="20"/>
                <w:szCs w:val="20"/>
              </w:rPr>
              <w:t>both the formal and informal sectors</w:t>
            </w:r>
            <w:r w:rsidR="00830811" w:rsidRPr="009813A2">
              <w:rPr>
                <w:sz w:val="20"/>
                <w:szCs w:val="20"/>
              </w:rPr>
              <w:t>.</w:t>
            </w:r>
          </w:p>
        </w:tc>
      </w:tr>
      <w:tr w:rsidR="00195591" w14:paraId="619F418D" w14:textId="77777777" w:rsidTr="007365BD">
        <w:tc>
          <w:tcPr>
            <w:tcW w:w="2689" w:type="dxa"/>
          </w:tcPr>
          <w:p w14:paraId="0120CE7B" w14:textId="77777777" w:rsidR="00195591" w:rsidRPr="007365BD" w:rsidRDefault="00195591" w:rsidP="008A1B41">
            <w:pPr>
              <w:spacing w:before="0"/>
              <w:ind w:left="27"/>
              <w:rPr>
                <w:sz w:val="20"/>
                <w:szCs w:val="20"/>
              </w:rPr>
            </w:pPr>
            <w:r w:rsidRPr="007365BD">
              <w:rPr>
                <w:sz w:val="20"/>
                <w:szCs w:val="20"/>
              </w:rPr>
              <w:t>Number of targeted programs to support labour mobility workers including number of participants</w:t>
            </w:r>
          </w:p>
        </w:tc>
        <w:tc>
          <w:tcPr>
            <w:tcW w:w="7847" w:type="dxa"/>
          </w:tcPr>
          <w:p w14:paraId="682AE2AB" w14:textId="5ECA6C64" w:rsidR="0051337D" w:rsidRDefault="0051337D" w:rsidP="00400251">
            <w:pPr>
              <w:spacing w:before="0"/>
              <w:rPr>
                <w:sz w:val="20"/>
                <w:szCs w:val="20"/>
              </w:rPr>
            </w:pPr>
            <w:r>
              <w:rPr>
                <w:sz w:val="20"/>
                <w:szCs w:val="20"/>
              </w:rPr>
              <w:t xml:space="preserve">Supported </w:t>
            </w:r>
            <w:r w:rsidR="0021488D" w:rsidRPr="007365BD">
              <w:rPr>
                <w:sz w:val="20"/>
                <w:szCs w:val="20"/>
              </w:rPr>
              <w:t>a</w:t>
            </w:r>
            <w:r w:rsidR="00195591" w:rsidRPr="007365BD">
              <w:rPr>
                <w:sz w:val="20"/>
                <w:szCs w:val="20"/>
              </w:rPr>
              <w:t xml:space="preserve"> </w:t>
            </w:r>
            <w:r w:rsidR="0025736A" w:rsidRPr="007365BD">
              <w:rPr>
                <w:sz w:val="20"/>
                <w:szCs w:val="20"/>
              </w:rPr>
              <w:t>s</w:t>
            </w:r>
            <w:r w:rsidR="00195591" w:rsidRPr="007365BD">
              <w:rPr>
                <w:sz w:val="20"/>
                <w:szCs w:val="20"/>
              </w:rPr>
              <w:t>econd Liaison/Welfare Officer for Labour Mobility</w:t>
            </w:r>
            <w:r w:rsidR="0094510F">
              <w:rPr>
                <w:sz w:val="20"/>
                <w:szCs w:val="20"/>
              </w:rPr>
              <w:t xml:space="preserve"> Program</w:t>
            </w:r>
            <w:r>
              <w:rPr>
                <w:sz w:val="20"/>
                <w:szCs w:val="20"/>
              </w:rPr>
              <w:t>.</w:t>
            </w:r>
          </w:p>
          <w:p w14:paraId="6C7634DC" w14:textId="1BD19444" w:rsidR="0051337D" w:rsidRDefault="0051337D" w:rsidP="00400251">
            <w:pPr>
              <w:spacing w:before="0"/>
              <w:rPr>
                <w:sz w:val="20"/>
                <w:szCs w:val="20"/>
              </w:rPr>
            </w:pPr>
            <w:r>
              <w:rPr>
                <w:sz w:val="20"/>
                <w:szCs w:val="20"/>
              </w:rPr>
              <w:t>P</w:t>
            </w:r>
            <w:r w:rsidR="0025736A" w:rsidRPr="007365BD">
              <w:rPr>
                <w:sz w:val="20"/>
                <w:szCs w:val="20"/>
              </w:rPr>
              <w:t>rovid</w:t>
            </w:r>
            <w:r w:rsidR="006F6F49">
              <w:rPr>
                <w:sz w:val="20"/>
                <w:szCs w:val="20"/>
              </w:rPr>
              <w:t>ed</w:t>
            </w:r>
            <w:r w:rsidR="009155C7" w:rsidRPr="007365BD">
              <w:rPr>
                <w:sz w:val="20"/>
                <w:szCs w:val="20"/>
              </w:rPr>
              <w:t xml:space="preserve"> welfare support to</w:t>
            </w:r>
            <w:r>
              <w:rPr>
                <w:sz w:val="20"/>
                <w:szCs w:val="20"/>
              </w:rPr>
              <w:t>:</w:t>
            </w:r>
          </w:p>
          <w:p w14:paraId="2F3C4E36" w14:textId="3641CE82" w:rsidR="0051337D" w:rsidRDefault="00195591" w:rsidP="009813A2">
            <w:pPr>
              <w:pStyle w:val="ListParagraph"/>
              <w:numPr>
                <w:ilvl w:val="0"/>
                <w:numId w:val="17"/>
              </w:numPr>
              <w:spacing w:before="0"/>
              <w:ind w:left="369" w:hanging="284"/>
              <w:rPr>
                <w:sz w:val="20"/>
                <w:szCs w:val="20"/>
              </w:rPr>
            </w:pPr>
            <w:r w:rsidRPr="009813A2">
              <w:rPr>
                <w:sz w:val="20"/>
                <w:szCs w:val="20"/>
              </w:rPr>
              <w:t xml:space="preserve">67 </w:t>
            </w:r>
            <w:r w:rsidR="0051337D" w:rsidRPr="009813A2">
              <w:rPr>
                <w:sz w:val="20"/>
                <w:szCs w:val="20"/>
              </w:rPr>
              <w:t xml:space="preserve">people </w:t>
            </w:r>
            <w:r w:rsidRPr="009813A2">
              <w:rPr>
                <w:sz w:val="20"/>
                <w:szCs w:val="20"/>
              </w:rPr>
              <w:t>(54</w:t>
            </w:r>
            <w:r w:rsidR="002058F0" w:rsidRPr="009813A2">
              <w:rPr>
                <w:sz w:val="20"/>
                <w:szCs w:val="20"/>
              </w:rPr>
              <w:t xml:space="preserve"> </w:t>
            </w:r>
            <w:r w:rsidR="0051337D" w:rsidRPr="009813A2">
              <w:rPr>
                <w:sz w:val="20"/>
                <w:szCs w:val="20"/>
              </w:rPr>
              <w:t>men</w:t>
            </w:r>
            <w:r w:rsidRPr="009813A2">
              <w:rPr>
                <w:sz w:val="20"/>
                <w:szCs w:val="20"/>
              </w:rPr>
              <w:t>, 13</w:t>
            </w:r>
            <w:r w:rsidR="002058F0" w:rsidRPr="009813A2">
              <w:rPr>
                <w:sz w:val="20"/>
                <w:szCs w:val="20"/>
              </w:rPr>
              <w:t xml:space="preserve"> </w:t>
            </w:r>
            <w:r w:rsidR="0051337D" w:rsidRPr="009813A2">
              <w:rPr>
                <w:sz w:val="20"/>
                <w:szCs w:val="20"/>
              </w:rPr>
              <w:t>women</w:t>
            </w:r>
            <w:r w:rsidRPr="009813A2">
              <w:rPr>
                <w:sz w:val="20"/>
                <w:szCs w:val="20"/>
              </w:rPr>
              <w:t xml:space="preserve">) </w:t>
            </w:r>
            <w:r w:rsidR="0051337D" w:rsidRPr="009813A2">
              <w:rPr>
                <w:sz w:val="20"/>
                <w:szCs w:val="20"/>
              </w:rPr>
              <w:t xml:space="preserve">under the </w:t>
            </w:r>
            <w:r w:rsidRPr="009813A2">
              <w:rPr>
                <w:sz w:val="20"/>
                <w:szCs w:val="20"/>
              </w:rPr>
              <w:t>Pacific Labour Scheme workers</w:t>
            </w:r>
            <w:r w:rsidR="0051337D">
              <w:rPr>
                <w:sz w:val="20"/>
                <w:szCs w:val="20"/>
              </w:rPr>
              <w:t xml:space="preserve">; </w:t>
            </w:r>
            <w:r w:rsidRPr="009813A2">
              <w:rPr>
                <w:sz w:val="20"/>
                <w:szCs w:val="20"/>
              </w:rPr>
              <w:t xml:space="preserve">and </w:t>
            </w:r>
          </w:p>
          <w:p w14:paraId="629DFA7C" w14:textId="4F8FD91F" w:rsidR="00195591" w:rsidRPr="009813A2" w:rsidRDefault="00195591" w:rsidP="009813A2">
            <w:pPr>
              <w:pStyle w:val="ListParagraph"/>
              <w:numPr>
                <w:ilvl w:val="0"/>
                <w:numId w:val="17"/>
              </w:numPr>
              <w:spacing w:before="0"/>
              <w:ind w:left="369" w:hanging="284"/>
              <w:rPr>
                <w:sz w:val="20"/>
                <w:szCs w:val="20"/>
              </w:rPr>
            </w:pPr>
            <w:r w:rsidRPr="009813A2">
              <w:rPr>
                <w:sz w:val="20"/>
                <w:szCs w:val="20"/>
              </w:rPr>
              <w:t>2,217</w:t>
            </w:r>
            <w:r w:rsidR="0051337D">
              <w:rPr>
                <w:sz w:val="20"/>
                <w:szCs w:val="20"/>
              </w:rPr>
              <w:t>people</w:t>
            </w:r>
            <w:r w:rsidRPr="009813A2">
              <w:rPr>
                <w:sz w:val="20"/>
                <w:szCs w:val="20"/>
              </w:rPr>
              <w:t xml:space="preserve"> (1,637</w:t>
            </w:r>
            <w:r w:rsidR="002058F0" w:rsidRPr="009813A2">
              <w:rPr>
                <w:sz w:val="20"/>
                <w:szCs w:val="20"/>
              </w:rPr>
              <w:t xml:space="preserve"> </w:t>
            </w:r>
            <w:r w:rsidR="0051337D">
              <w:rPr>
                <w:sz w:val="20"/>
                <w:szCs w:val="20"/>
              </w:rPr>
              <w:t>men and</w:t>
            </w:r>
            <w:r w:rsidRPr="009813A2">
              <w:rPr>
                <w:sz w:val="20"/>
                <w:szCs w:val="20"/>
              </w:rPr>
              <w:t xml:space="preserve"> 580</w:t>
            </w:r>
            <w:r w:rsidR="002058F0" w:rsidRPr="009813A2">
              <w:rPr>
                <w:sz w:val="20"/>
                <w:szCs w:val="20"/>
              </w:rPr>
              <w:t xml:space="preserve"> </w:t>
            </w:r>
            <w:r w:rsidR="0051337D">
              <w:rPr>
                <w:sz w:val="20"/>
                <w:szCs w:val="20"/>
              </w:rPr>
              <w:t>wom</w:t>
            </w:r>
            <w:r w:rsidR="0094510F">
              <w:rPr>
                <w:sz w:val="20"/>
                <w:szCs w:val="20"/>
              </w:rPr>
              <w:t>e</w:t>
            </w:r>
            <w:r w:rsidR="0051337D">
              <w:rPr>
                <w:sz w:val="20"/>
                <w:szCs w:val="20"/>
              </w:rPr>
              <w:t>n</w:t>
            </w:r>
            <w:r w:rsidRPr="009813A2">
              <w:rPr>
                <w:sz w:val="20"/>
                <w:szCs w:val="20"/>
              </w:rPr>
              <w:t xml:space="preserve">) </w:t>
            </w:r>
            <w:r w:rsidR="0051337D">
              <w:rPr>
                <w:sz w:val="20"/>
                <w:szCs w:val="20"/>
              </w:rPr>
              <w:t xml:space="preserve">under Pacific </w:t>
            </w:r>
            <w:r w:rsidRPr="009813A2">
              <w:rPr>
                <w:sz w:val="20"/>
                <w:szCs w:val="20"/>
              </w:rPr>
              <w:t>Seasonal Workers.</w:t>
            </w:r>
          </w:p>
        </w:tc>
      </w:tr>
    </w:tbl>
    <w:p w14:paraId="35A2BB81" w14:textId="77777777" w:rsidR="00195591" w:rsidRDefault="00195591" w:rsidP="002608AA">
      <w:pPr>
        <w:pStyle w:val="Heading2"/>
        <w:sectPr w:rsidR="00195591" w:rsidSect="00C8472E">
          <w:pgSz w:w="11906" w:h="16838" w:code="9"/>
          <w:pgMar w:top="1559" w:right="680" w:bottom="1418" w:left="680" w:header="567" w:footer="340" w:gutter="0"/>
          <w:cols w:space="709"/>
          <w:docGrid w:linePitch="360"/>
        </w:sectPr>
      </w:pPr>
    </w:p>
    <w:p w14:paraId="33A35AA9" w14:textId="77777777" w:rsidR="00E05EBE" w:rsidRDefault="00E05EBE" w:rsidP="002608AA">
      <w:pPr>
        <w:pStyle w:val="Heading2"/>
      </w:pPr>
      <w:r>
        <w:lastRenderedPageBreak/>
        <w:t>Annex 2: Investment Performance ratings</w:t>
      </w:r>
    </w:p>
    <w:tbl>
      <w:tblPr>
        <w:tblStyle w:val="DFATTable1"/>
        <w:tblW w:w="1062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4"/>
        <w:gridCol w:w="1133"/>
        <w:gridCol w:w="1275"/>
        <w:gridCol w:w="1133"/>
        <w:gridCol w:w="1275"/>
      </w:tblGrid>
      <w:tr w:rsidR="00E05EBE" w14:paraId="6C5F2AAB"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right w:val="single" w:sz="4" w:space="0" w:color="65C5B4" w:themeColor="accent1"/>
            </w:tcBorders>
            <w:shd w:val="clear" w:color="auto" w:fill="A2DCD1" w:themeFill="accent1" w:themeFillTint="99"/>
            <w:noWrap/>
            <w:hideMark/>
          </w:tcPr>
          <w:p w14:paraId="1CD9C4B6" w14:textId="77777777" w:rsidR="00E05EBE" w:rsidRDefault="00E05EBE">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Investment Details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695C403F" w14:textId="50EA1D05" w:rsidR="00E05EBE"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Year</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1319B1B1" w14:textId="77777777" w:rsidR="00E05EBE"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Effectiveness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5BC28FFE" w14:textId="77777777" w:rsidR="00E05EBE"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Efficiency</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521AE20F" w14:textId="77777777" w:rsidR="00E05EBE"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Gender Equality</w:t>
            </w:r>
          </w:p>
        </w:tc>
      </w:tr>
      <w:tr w:rsidR="00E05EBE" w14:paraId="748BB013"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19F4DE6E" w14:textId="2372D662" w:rsidR="00E05EBE" w:rsidRPr="007843B3" w:rsidRDefault="00E05EBE">
            <w:pPr>
              <w:suppressAutoHyphens w:val="0"/>
              <w:spacing w:before="0" w:after="0" w:line="240" w:lineRule="auto"/>
              <w:rPr>
                <w:rFonts w:asciiTheme="minorHAnsi" w:eastAsia="Times New Roman" w:hAnsiTheme="minorHAnsi" w:cstheme="minorHAnsi"/>
                <w:b/>
                <w:bCs/>
                <w:sz w:val="20"/>
                <w:szCs w:val="20"/>
                <w:lang w:val="en-AU" w:eastAsia="en-AU"/>
              </w:rPr>
            </w:pPr>
            <w:r w:rsidRPr="007843B3">
              <w:rPr>
                <w:rFonts w:eastAsia="Times New Roman" w:cstheme="minorHAnsi"/>
                <w:b/>
                <w:bCs/>
                <w:sz w:val="20"/>
                <w:szCs w:val="20"/>
                <w:lang w:eastAsia="en-AU"/>
              </w:rPr>
              <w:t>Tonga Economic and Public Sector Reform Program</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6205E29F"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16D3E49A"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59F59E91"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3ED10A7A"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r>
      <w:tr w:rsidR="00E05EBE" w14:paraId="65B2E576"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hideMark/>
          </w:tcPr>
          <w:p w14:paraId="2DEECD3A" w14:textId="77777777" w:rsidR="00E05EBE" w:rsidRPr="007843B3" w:rsidRDefault="00E05EBE">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 xml:space="preserve">Investment duration: 2016-24; Budget: $44.9m </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3D43FB85"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7414E1CC"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6027500F"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5F374084"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4</w:t>
            </w:r>
          </w:p>
        </w:tc>
      </w:tr>
      <w:tr w:rsidR="00E05EBE" w14:paraId="132FCCA4"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noWrap/>
            <w:vAlign w:val="bottom"/>
            <w:hideMark/>
          </w:tcPr>
          <w:p w14:paraId="1B19D415" w14:textId="079742CC" w:rsidR="00E05EBE" w:rsidRPr="007843B3" w:rsidRDefault="00E05EBE">
            <w:pPr>
              <w:suppressAutoHyphens w:val="0"/>
              <w:spacing w:before="0" w:after="0" w:line="240" w:lineRule="auto"/>
              <w:rPr>
                <w:rFonts w:asciiTheme="minorHAnsi" w:eastAsia="Times New Roman" w:hAnsiTheme="minorHAnsi" w:cstheme="minorHAnsi"/>
                <w:b/>
                <w:bCs/>
                <w:sz w:val="20"/>
                <w:szCs w:val="20"/>
                <w:lang w:val="en-AU" w:eastAsia="en-AU"/>
              </w:rPr>
            </w:pPr>
            <w:r w:rsidRPr="007843B3">
              <w:rPr>
                <w:rFonts w:eastAsia="Times New Roman" w:cstheme="minorHAnsi"/>
                <w:b/>
                <w:bCs/>
                <w:sz w:val="20"/>
                <w:szCs w:val="20"/>
                <w:lang w:eastAsia="en-AU"/>
              </w:rPr>
              <w:t>Tonga Health Systems Support Program II</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48E9F8E7"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52FE9680"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hideMark/>
          </w:tcPr>
          <w:p w14:paraId="0BE08B83"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4054E05B"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r>
      <w:tr w:rsidR="00E05EBE" w14:paraId="25E19931"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hideMark/>
          </w:tcPr>
          <w:p w14:paraId="2BCA714B" w14:textId="77777777" w:rsidR="00E05EBE" w:rsidRPr="007843B3" w:rsidRDefault="00E05EBE">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 xml:space="preserve">Investment duration: 2015-22; Budget: $19.6m </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10690930"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28924018"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3</w:t>
            </w:r>
          </w:p>
        </w:tc>
        <w:tc>
          <w:tcPr>
            <w:tcW w:w="1133" w:type="dxa"/>
            <w:tcBorders>
              <w:left w:val="single" w:sz="4" w:space="0" w:color="65C5B4" w:themeColor="accent1"/>
              <w:right w:val="single" w:sz="4" w:space="0" w:color="65C5B4" w:themeColor="accent1"/>
            </w:tcBorders>
            <w:shd w:val="clear" w:color="auto" w:fill="E0F3EF" w:themeFill="accent1" w:themeFillTint="33"/>
            <w:noWrap/>
            <w:hideMark/>
          </w:tcPr>
          <w:p w14:paraId="0DB1A167"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7289A73C"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4</w:t>
            </w:r>
          </w:p>
        </w:tc>
      </w:tr>
      <w:tr w:rsidR="00E05EBE" w14:paraId="131228A9"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noWrap/>
            <w:vAlign w:val="bottom"/>
            <w:hideMark/>
          </w:tcPr>
          <w:p w14:paraId="5ABEB1F5" w14:textId="50EA53BD" w:rsidR="00E05EBE" w:rsidRPr="007843B3" w:rsidRDefault="00E05EBE">
            <w:pPr>
              <w:suppressAutoHyphens w:val="0"/>
              <w:spacing w:before="0" w:after="0" w:line="240" w:lineRule="auto"/>
              <w:rPr>
                <w:rFonts w:asciiTheme="minorHAnsi" w:eastAsia="Times New Roman" w:hAnsiTheme="minorHAnsi" w:cstheme="minorHAnsi"/>
                <w:b/>
                <w:bCs/>
                <w:sz w:val="20"/>
                <w:szCs w:val="20"/>
                <w:lang w:val="en-AU" w:eastAsia="en-AU"/>
              </w:rPr>
            </w:pPr>
            <w:r w:rsidRPr="007843B3">
              <w:rPr>
                <w:rFonts w:eastAsia="Times New Roman" w:cstheme="minorHAnsi"/>
                <w:b/>
                <w:bCs/>
                <w:sz w:val="20"/>
                <w:szCs w:val="20"/>
                <w:lang w:eastAsia="en-AU"/>
              </w:rPr>
              <w:t>Tonga Energy Roadmap</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60BDF6F1"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72B76DD0"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01FCC4D8"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591844BF"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5</w:t>
            </w:r>
          </w:p>
        </w:tc>
      </w:tr>
      <w:tr w:rsidR="00E05EBE" w14:paraId="032B05C5"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hideMark/>
          </w:tcPr>
          <w:p w14:paraId="3AAE9AA2" w14:textId="77777777" w:rsidR="00E05EBE" w:rsidRPr="007843B3" w:rsidRDefault="00E05EBE">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 xml:space="preserve">Investment duration: 2012-23; Budget: $16.0m </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576F1E61"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5CED4DCC"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16CE6DCB"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0856C0B1"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r>
      <w:tr w:rsidR="00E05EBE" w14:paraId="1FD663B8"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noWrap/>
            <w:vAlign w:val="bottom"/>
            <w:hideMark/>
          </w:tcPr>
          <w:p w14:paraId="24890446" w14:textId="489B6C60" w:rsidR="00E05EBE" w:rsidRPr="007843B3" w:rsidRDefault="00E05EBE">
            <w:pPr>
              <w:suppressAutoHyphens w:val="0"/>
              <w:spacing w:before="0" w:after="0" w:line="240" w:lineRule="auto"/>
              <w:rPr>
                <w:rFonts w:asciiTheme="minorHAnsi" w:eastAsia="Times New Roman" w:hAnsiTheme="minorHAnsi" w:cstheme="minorHAnsi"/>
                <w:b/>
                <w:bCs/>
                <w:sz w:val="20"/>
                <w:szCs w:val="20"/>
                <w:lang w:val="en-AU" w:eastAsia="en-AU"/>
              </w:rPr>
            </w:pPr>
            <w:r w:rsidRPr="007843B3">
              <w:rPr>
                <w:rFonts w:eastAsia="Times New Roman" w:cstheme="minorHAnsi"/>
                <w:b/>
                <w:bCs/>
                <w:sz w:val="20"/>
                <w:szCs w:val="20"/>
                <w:lang w:eastAsia="en-AU"/>
              </w:rPr>
              <w:t>Skills for Inclusive Economic Growth</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3775C3A1"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3BDECBEF"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hideMark/>
          </w:tcPr>
          <w:p w14:paraId="6D425E7F"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263023B3"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5</w:t>
            </w:r>
          </w:p>
        </w:tc>
      </w:tr>
      <w:tr w:rsidR="00E05EBE" w14:paraId="505FF8D2"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hideMark/>
          </w:tcPr>
          <w:p w14:paraId="7EBC4D93" w14:textId="77777777" w:rsidR="00E05EBE" w:rsidRPr="007843B3" w:rsidRDefault="00E05EBE">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Investment duration: 2016-22; Budget: $7.6m</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18F90866"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24C3FE9C"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hideMark/>
          </w:tcPr>
          <w:p w14:paraId="0E0B5A13"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648B559B"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4</w:t>
            </w:r>
          </w:p>
        </w:tc>
      </w:tr>
      <w:tr w:rsidR="00E05EBE" w14:paraId="3017A087"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noWrap/>
            <w:vAlign w:val="bottom"/>
            <w:hideMark/>
          </w:tcPr>
          <w:p w14:paraId="0CD95E25" w14:textId="2E4D050A" w:rsidR="00E05EBE" w:rsidRPr="007843B3" w:rsidRDefault="00E05EBE">
            <w:pPr>
              <w:suppressAutoHyphens w:val="0"/>
              <w:spacing w:before="0" w:after="0" w:line="240" w:lineRule="auto"/>
              <w:rPr>
                <w:rFonts w:asciiTheme="minorHAnsi" w:eastAsia="Times New Roman" w:hAnsiTheme="minorHAnsi" w:cstheme="minorHAnsi"/>
                <w:b/>
                <w:bCs/>
                <w:sz w:val="20"/>
                <w:szCs w:val="20"/>
                <w:lang w:val="en-AU" w:eastAsia="en-AU"/>
              </w:rPr>
            </w:pPr>
            <w:r w:rsidRPr="007843B3">
              <w:rPr>
                <w:rFonts w:eastAsia="Times New Roman" w:cstheme="minorHAnsi"/>
                <w:b/>
                <w:bCs/>
                <w:sz w:val="20"/>
                <w:szCs w:val="20"/>
                <w:lang w:eastAsia="en-AU"/>
              </w:rPr>
              <w:t>Tonga Renewable Energy Project</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09FD5A5B"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57800F47"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66D6F5CD"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5FA09F99"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5</w:t>
            </w:r>
          </w:p>
        </w:tc>
      </w:tr>
      <w:tr w:rsidR="00E05EBE" w14:paraId="3BE32440"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hideMark/>
          </w:tcPr>
          <w:p w14:paraId="15761CC2" w14:textId="77777777" w:rsidR="00E05EBE" w:rsidRPr="007843B3" w:rsidRDefault="00E05EBE">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 xml:space="preserve">Investment duration: 2018-22; Budget: $3.4m </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6F39FD6A"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1EBBBB87"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2315F2CD"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1C106443"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r>
      <w:tr w:rsidR="00E05EBE" w14:paraId="16FF3BA8"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noWrap/>
            <w:vAlign w:val="bottom"/>
            <w:hideMark/>
          </w:tcPr>
          <w:p w14:paraId="13F270C9" w14:textId="4647E4B0" w:rsidR="00E05EBE" w:rsidRPr="007843B3" w:rsidRDefault="00E05EBE">
            <w:pPr>
              <w:suppressAutoHyphens w:val="0"/>
              <w:spacing w:before="0" w:after="0" w:line="240" w:lineRule="auto"/>
              <w:rPr>
                <w:rFonts w:asciiTheme="minorHAnsi" w:eastAsia="Times New Roman" w:hAnsiTheme="minorHAnsi" w:cstheme="minorHAnsi"/>
                <w:b/>
                <w:bCs/>
                <w:sz w:val="20"/>
                <w:szCs w:val="20"/>
                <w:lang w:val="en-AU" w:eastAsia="en-AU"/>
              </w:rPr>
            </w:pPr>
            <w:r w:rsidRPr="007843B3">
              <w:rPr>
                <w:rFonts w:eastAsia="Times New Roman" w:cstheme="minorHAnsi"/>
                <w:b/>
                <w:bCs/>
                <w:sz w:val="20"/>
                <w:szCs w:val="20"/>
                <w:lang w:val="en-AU" w:eastAsia="en-AU"/>
              </w:rPr>
              <w:t>Tonga Parliament Buildings Project</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56DD9813"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0E1FEE91"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hideMark/>
          </w:tcPr>
          <w:p w14:paraId="7A0FE619"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4EFB3A7A"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3</w:t>
            </w:r>
          </w:p>
        </w:tc>
      </w:tr>
      <w:tr w:rsidR="00E05EBE" w14:paraId="1E887FB3"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hideMark/>
          </w:tcPr>
          <w:p w14:paraId="58A04DA2" w14:textId="77777777" w:rsidR="00E05EBE" w:rsidRPr="007843B3" w:rsidRDefault="00E05EBE">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 xml:space="preserve">Investment duration: 2018-23; Budget: $2.1m </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18CF2322"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5D839CAD" w14:textId="58DE68CE" w:rsidR="00E05EBE" w:rsidRPr="007843B3" w:rsidRDefault="0060037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eastAsia="Times New Roman" w:cstheme="minorHAnsi"/>
                <w:sz w:val="20"/>
                <w:szCs w:val="20"/>
                <w:lang w:val="en-AU" w:eastAsia="en-AU"/>
              </w:rPr>
              <w:t>n/a</w:t>
            </w:r>
          </w:p>
        </w:tc>
        <w:tc>
          <w:tcPr>
            <w:tcW w:w="1133" w:type="dxa"/>
            <w:tcBorders>
              <w:left w:val="single" w:sz="4" w:space="0" w:color="65C5B4" w:themeColor="accent1"/>
              <w:right w:val="single" w:sz="4" w:space="0" w:color="65C5B4" w:themeColor="accent1"/>
            </w:tcBorders>
            <w:shd w:val="clear" w:color="auto" w:fill="E0F3EF" w:themeFill="accent1" w:themeFillTint="33"/>
            <w:noWrap/>
            <w:hideMark/>
          </w:tcPr>
          <w:p w14:paraId="1D1E8413" w14:textId="67677AD4" w:rsidR="00E05EBE" w:rsidRPr="007843B3" w:rsidRDefault="0060037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eastAsia="Times New Roman" w:cstheme="minorHAnsi"/>
                <w:sz w:val="20"/>
                <w:szCs w:val="20"/>
                <w:lang w:val="en-AU" w:eastAsia="en-AU"/>
              </w:rPr>
              <w:t>n/a</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36BD7D9B" w14:textId="07E0089C" w:rsidR="00E05EBE" w:rsidRPr="007843B3" w:rsidRDefault="0060037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eastAsia="Times New Roman" w:cstheme="minorHAnsi"/>
                <w:sz w:val="20"/>
                <w:szCs w:val="20"/>
                <w:lang w:val="en-AU" w:eastAsia="en-AU"/>
              </w:rPr>
              <w:t>n/a</w:t>
            </w:r>
          </w:p>
        </w:tc>
      </w:tr>
      <w:tr w:rsidR="00C4505C" w14:paraId="2CA5BA74"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bottom"/>
          </w:tcPr>
          <w:p w14:paraId="2C6C6693" w14:textId="0C24551D" w:rsidR="00C4505C" w:rsidRPr="007843B3" w:rsidRDefault="00C4505C" w:rsidP="009813A2">
            <w:pPr>
              <w:suppressAutoHyphens w:val="0"/>
              <w:spacing w:before="0" w:after="0" w:line="240" w:lineRule="auto"/>
              <w:rPr>
                <w:rFonts w:eastAsia="Times New Roman" w:cstheme="minorHAnsi"/>
                <w:sz w:val="20"/>
                <w:szCs w:val="20"/>
                <w:lang w:val="en-AU" w:eastAsia="en-AU"/>
              </w:rPr>
            </w:pPr>
            <w:r w:rsidRPr="007843B3">
              <w:rPr>
                <w:rFonts w:eastAsia="Times New Roman" w:cstheme="minorHAnsi"/>
                <w:b/>
                <w:bCs/>
                <w:sz w:val="20"/>
                <w:szCs w:val="20"/>
                <w:lang w:eastAsia="en-AU"/>
              </w:rPr>
              <w:t>Nuku’alofa Urban Development Sector Project</w:t>
            </w:r>
          </w:p>
        </w:tc>
        <w:tc>
          <w:tcPr>
            <w:tcW w:w="1133" w:type="dxa"/>
            <w:tcBorders>
              <w:left w:val="single" w:sz="4" w:space="0" w:color="65C5B4" w:themeColor="accent1"/>
              <w:right w:val="single" w:sz="4" w:space="0" w:color="65C5B4" w:themeColor="accent1"/>
            </w:tcBorders>
            <w:shd w:val="clear" w:color="auto" w:fill="F2F2F2" w:themeFill="background1" w:themeFillShade="F2"/>
          </w:tcPr>
          <w:p w14:paraId="55A7E5B9" w14:textId="3FAF5571" w:rsidR="00C4505C" w:rsidRPr="007843B3" w:rsidRDefault="00C4505C" w:rsidP="00C4505C">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AU" w:eastAsia="en-AU"/>
              </w:rPr>
            </w:pPr>
            <w:r w:rsidRPr="007843B3">
              <w:rPr>
                <w:rFonts w:eastAsia="Times New Roman" w:cstheme="minorHAnsi"/>
                <w:sz w:val="20"/>
                <w:szCs w:val="20"/>
                <w:lang w:eastAsia="en-AU"/>
              </w:rPr>
              <w:t xml:space="preserve">2021 </w:t>
            </w:r>
          </w:p>
        </w:tc>
        <w:tc>
          <w:tcPr>
            <w:tcW w:w="1275" w:type="dxa"/>
            <w:tcBorders>
              <w:left w:val="single" w:sz="4" w:space="0" w:color="65C5B4" w:themeColor="accent1"/>
              <w:right w:val="single" w:sz="4" w:space="0" w:color="65C5B4" w:themeColor="accent1"/>
            </w:tcBorders>
            <w:shd w:val="clear" w:color="auto" w:fill="F2F2F2" w:themeFill="background1" w:themeFillShade="F2"/>
            <w:noWrap/>
          </w:tcPr>
          <w:p w14:paraId="2524DF9F" w14:textId="1F80F896" w:rsidR="00C4505C" w:rsidRPr="007843B3" w:rsidRDefault="00C4505C" w:rsidP="00C4505C">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AU" w:eastAsia="en-AU"/>
              </w:rPr>
            </w:pPr>
            <w:r w:rsidRPr="007843B3">
              <w:rPr>
                <w:rFonts w:eastAsia="Times New Roman" w:cstheme="minorHAnsi"/>
                <w:sz w:val="20"/>
                <w:szCs w:val="20"/>
                <w:lang w:val="en-AU"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tcPr>
          <w:p w14:paraId="12A3A271" w14:textId="31CD52DB" w:rsidR="00C4505C" w:rsidRPr="007843B3" w:rsidRDefault="00C4505C" w:rsidP="00C4505C">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AU" w:eastAsia="en-AU"/>
              </w:rPr>
            </w:pPr>
            <w:r w:rsidRPr="007843B3">
              <w:rPr>
                <w:rFonts w:eastAsia="Times New Roman" w:cstheme="minorHAnsi"/>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tcPr>
          <w:p w14:paraId="2A9B8E10" w14:textId="2CF07686" w:rsidR="00C4505C" w:rsidRPr="007843B3" w:rsidRDefault="00C4505C" w:rsidP="00C4505C">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AU" w:eastAsia="en-AU"/>
              </w:rPr>
            </w:pPr>
            <w:r w:rsidRPr="007843B3">
              <w:rPr>
                <w:rFonts w:eastAsia="Times New Roman" w:cstheme="minorHAnsi"/>
                <w:sz w:val="20"/>
                <w:szCs w:val="20"/>
                <w:lang w:eastAsia="en-AU"/>
              </w:rPr>
              <w:t>5</w:t>
            </w:r>
          </w:p>
        </w:tc>
      </w:tr>
      <w:tr w:rsidR="00C4505C" w14:paraId="63D4CBD7"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tcPr>
          <w:p w14:paraId="52ED9606" w14:textId="1FFFB9CA" w:rsidR="00C4505C" w:rsidRPr="007843B3" w:rsidRDefault="00C4505C" w:rsidP="00C4505C">
            <w:pPr>
              <w:suppressAutoHyphens w:val="0"/>
              <w:spacing w:before="0" w:after="0" w:line="240" w:lineRule="auto"/>
              <w:ind w:firstLineChars="100" w:firstLine="200"/>
              <w:rPr>
                <w:rFonts w:eastAsia="Times New Roman" w:cstheme="minorHAnsi"/>
                <w:sz w:val="20"/>
                <w:szCs w:val="20"/>
                <w:lang w:val="en-AU" w:eastAsia="en-AU"/>
              </w:rPr>
            </w:pPr>
            <w:r w:rsidRPr="007843B3">
              <w:rPr>
                <w:rFonts w:eastAsia="Times New Roman" w:cstheme="minorHAnsi"/>
                <w:sz w:val="20"/>
                <w:szCs w:val="20"/>
                <w:lang w:val="en-AU" w:eastAsia="en-AU"/>
              </w:rPr>
              <w:t xml:space="preserve">Investment duration: 2011-20; Budget: $9.1m </w:t>
            </w:r>
          </w:p>
        </w:tc>
        <w:tc>
          <w:tcPr>
            <w:tcW w:w="1133" w:type="dxa"/>
            <w:tcBorders>
              <w:left w:val="single" w:sz="4" w:space="0" w:color="65C5B4" w:themeColor="accent1"/>
              <w:right w:val="single" w:sz="4" w:space="0" w:color="65C5B4" w:themeColor="accent1"/>
            </w:tcBorders>
            <w:shd w:val="clear" w:color="auto" w:fill="F2F2F2" w:themeFill="background1" w:themeFillShade="F2"/>
          </w:tcPr>
          <w:p w14:paraId="7FA146C8" w14:textId="3B0AA4CE" w:rsidR="00C4505C" w:rsidRPr="007843B3" w:rsidRDefault="00C4505C" w:rsidP="00C4505C">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AU" w:eastAsia="en-AU"/>
              </w:rPr>
            </w:pPr>
            <w:r w:rsidRPr="007843B3">
              <w:rPr>
                <w:rFonts w:eastAsia="Times New Roman" w:cstheme="minorHAnsi"/>
                <w:sz w:val="20"/>
                <w:szCs w:val="20"/>
                <w:lang w:eastAsia="en-AU"/>
              </w:rPr>
              <w:t xml:space="preserve">2020 </w:t>
            </w:r>
          </w:p>
        </w:tc>
        <w:tc>
          <w:tcPr>
            <w:tcW w:w="1275" w:type="dxa"/>
            <w:tcBorders>
              <w:left w:val="single" w:sz="4" w:space="0" w:color="65C5B4" w:themeColor="accent1"/>
              <w:right w:val="single" w:sz="4" w:space="0" w:color="65C5B4" w:themeColor="accent1"/>
            </w:tcBorders>
            <w:shd w:val="clear" w:color="auto" w:fill="F2F2F2" w:themeFill="background1" w:themeFillShade="F2"/>
            <w:noWrap/>
          </w:tcPr>
          <w:p w14:paraId="6925685B" w14:textId="4F21E9A2" w:rsidR="00C4505C" w:rsidRPr="007843B3" w:rsidRDefault="00C4505C" w:rsidP="00C4505C">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AU" w:eastAsia="en-AU"/>
              </w:rPr>
            </w:pPr>
            <w:r w:rsidRPr="007843B3">
              <w:rPr>
                <w:rFonts w:eastAsia="Times New Roman" w:cstheme="minorHAnsi"/>
                <w:sz w:val="20"/>
                <w:szCs w:val="20"/>
                <w:lang w:val="en-AU"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tcPr>
          <w:p w14:paraId="5B215515" w14:textId="630CCF81" w:rsidR="00C4505C" w:rsidRPr="007843B3" w:rsidRDefault="00C4505C" w:rsidP="00C4505C">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AU" w:eastAsia="en-AU"/>
              </w:rPr>
            </w:pPr>
            <w:r w:rsidRPr="007843B3">
              <w:rPr>
                <w:rFonts w:eastAsia="Times New Roman" w:cstheme="minorHAnsi"/>
                <w:sz w:val="20"/>
                <w:szCs w:val="20"/>
                <w:lang w:val="en-AU"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tcPr>
          <w:p w14:paraId="28C9E14B" w14:textId="7D817807" w:rsidR="00C4505C" w:rsidRPr="007843B3" w:rsidRDefault="00C4505C" w:rsidP="00C4505C">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AU" w:eastAsia="en-AU"/>
              </w:rPr>
            </w:pPr>
            <w:r w:rsidRPr="007843B3">
              <w:rPr>
                <w:rFonts w:eastAsia="Times New Roman" w:cstheme="minorHAnsi"/>
                <w:sz w:val="20"/>
                <w:szCs w:val="20"/>
                <w:lang w:val="en-AU" w:eastAsia="en-AU"/>
              </w:rPr>
              <w:t>4</w:t>
            </w:r>
          </w:p>
        </w:tc>
      </w:tr>
    </w:tbl>
    <w:p w14:paraId="0B9625B4" w14:textId="77777777" w:rsidR="00C4505C" w:rsidRDefault="00C4505C" w:rsidP="002608AA">
      <w:pPr>
        <w:pStyle w:val="Heading2"/>
      </w:pPr>
    </w:p>
    <w:p w14:paraId="5A746270" w14:textId="226158BE" w:rsidR="00E05EBE" w:rsidRDefault="00E05EBE" w:rsidP="002608AA">
      <w:pPr>
        <w:pStyle w:val="Heading2"/>
      </w:pPr>
      <w:r>
        <w:t>HUMANITARIAN Investment Performance ratings</w:t>
      </w:r>
    </w:p>
    <w:tbl>
      <w:tblPr>
        <w:tblStyle w:val="DFATTable1"/>
        <w:tblW w:w="1062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4"/>
        <w:gridCol w:w="1133"/>
        <w:gridCol w:w="1275"/>
        <w:gridCol w:w="1133"/>
        <w:gridCol w:w="1275"/>
      </w:tblGrid>
      <w:tr w:rsidR="00E05EBE" w14:paraId="6A7F2D9C"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right w:val="single" w:sz="4" w:space="0" w:color="65C5B4" w:themeColor="accent1"/>
            </w:tcBorders>
            <w:shd w:val="clear" w:color="auto" w:fill="A2DCD1" w:themeFill="accent1" w:themeFillTint="99"/>
            <w:noWrap/>
            <w:hideMark/>
          </w:tcPr>
          <w:p w14:paraId="3DF13CD4" w14:textId="77777777" w:rsidR="00E05EBE" w:rsidRDefault="00E05EBE">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Investment Details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6AB75832" w14:textId="5D66EEF5" w:rsidR="00E05EBE"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Year</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16BF656F" w14:textId="77777777" w:rsidR="00E05EBE"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Effectiveness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47A3230C" w14:textId="77777777" w:rsidR="00E05EBE"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Efficiency</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58846763" w14:textId="77777777" w:rsidR="00E05EBE"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Gender Equality</w:t>
            </w:r>
          </w:p>
        </w:tc>
      </w:tr>
      <w:tr w:rsidR="00E05EBE" w14:paraId="08A8D707"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2C05A20C" w14:textId="77777777" w:rsidR="00E05EBE" w:rsidRPr="007843B3" w:rsidRDefault="00E05EBE">
            <w:pPr>
              <w:suppressAutoHyphens w:val="0"/>
              <w:spacing w:before="0" w:after="0" w:line="240" w:lineRule="auto"/>
              <w:rPr>
                <w:rFonts w:asciiTheme="minorHAnsi" w:eastAsia="Times New Roman" w:hAnsiTheme="minorHAnsi" w:cstheme="minorHAnsi"/>
                <w:b/>
                <w:bCs/>
                <w:sz w:val="20"/>
                <w:szCs w:val="20"/>
                <w:lang w:val="en-AU" w:eastAsia="en-AU"/>
              </w:rPr>
            </w:pPr>
            <w:r w:rsidRPr="007843B3">
              <w:rPr>
                <w:rFonts w:eastAsia="Times New Roman" w:cstheme="minorHAnsi"/>
                <w:b/>
                <w:bCs/>
                <w:sz w:val="20"/>
                <w:szCs w:val="20"/>
                <w:lang w:eastAsia="en-AU"/>
              </w:rPr>
              <w:t>Tropical Cyclone Gita response and recovery</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6F26812B"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2021 HIMR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33365485"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46553C92"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4F01871A"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5</w:t>
            </w:r>
          </w:p>
        </w:tc>
      </w:tr>
      <w:tr w:rsidR="00E05EBE" w14:paraId="285EB3A2" w14:textId="77777777" w:rsidTr="001D096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hideMark/>
          </w:tcPr>
          <w:p w14:paraId="504DCE35" w14:textId="77777777" w:rsidR="00E05EBE" w:rsidRPr="007843B3" w:rsidRDefault="00E05EBE">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 xml:space="preserve">Investment duration: 2018-21; Budget: $7.3m </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53EC969A"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eastAsia="en-AU"/>
              </w:rPr>
              <w:t>2020 HIMR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365A797F"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47F3D806"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70B344AE" w14:textId="77777777" w:rsidR="00E05EBE" w:rsidRPr="007843B3" w:rsidRDefault="00E05EB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7843B3">
              <w:rPr>
                <w:rFonts w:eastAsia="Times New Roman" w:cstheme="minorHAnsi"/>
                <w:sz w:val="20"/>
                <w:szCs w:val="20"/>
                <w:lang w:val="en-AU" w:eastAsia="en-AU"/>
              </w:rPr>
              <w:t>4</w:t>
            </w:r>
          </w:p>
        </w:tc>
      </w:tr>
    </w:tbl>
    <w:p w14:paraId="541E2165" w14:textId="7366503C" w:rsidR="00E05EBE" w:rsidRDefault="00E05EBE" w:rsidP="00E05EBE">
      <w:pPr>
        <w:spacing w:before="240" w:after="0" w:line="240" w:lineRule="auto"/>
        <w:jc w:val="both"/>
        <w:rPr>
          <w:rFonts w:eastAsia="Times New Roman"/>
          <w:sz w:val="17"/>
          <w:szCs w:val="17"/>
        </w:rPr>
      </w:pPr>
      <w:r>
        <w:rPr>
          <w:rFonts w:eastAsia="Times New Roman"/>
          <w:b/>
          <w:sz w:val="17"/>
          <w:szCs w:val="17"/>
        </w:rPr>
        <w:t>Definitions of rating scale</w:t>
      </w:r>
      <w:r>
        <w:rPr>
          <w:rFonts w:eastAsia="Times New Roman"/>
          <w:sz w:val="17"/>
          <w:szCs w:val="17"/>
        </w:rPr>
        <w:t>:</w:t>
      </w:r>
      <w:r>
        <w:rPr>
          <w:rFonts w:eastAsia="Times New Roman"/>
          <w:sz w:val="17"/>
          <w:szCs w:val="17"/>
        </w:rPr>
        <w:tab/>
      </w:r>
    </w:p>
    <w:p w14:paraId="22F40DD7" w14:textId="77777777" w:rsidR="00E05EBE" w:rsidRDefault="00E05EBE" w:rsidP="00E05EBE">
      <w:pPr>
        <w:spacing w:before="20" w:after="20" w:line="180" w:lineRule="atLeast"/>
        <w:jc w:val="both"/>
        <w:rPr>
          <w:rFonts w:eastAsia="Times New Roman"/>
          <w:sz w:val="17"/>
          <w:szCs w:val="17"/>
        </w:rPr>
      </w:pPr>
      <w:r>
        <w:rPr>
          <w:rFonts w:eastAsia="Times New Roman"/>
          <w:sz w:val="17"/>
          <w:szCs w:val="17"/>
          <w:u w:val="single"/>
        </w:rPr>
        <w:t>Satisfactory (4, 5 and 6)</w:t>
      </w:r>
    </w:p>
    <w:p w14:paraId="07C3A509" w14:textId="77777777" w:rsidR="00E05EBE" w:rsidRDefault="00E05EBE" w:rsidP="00E05EBE">
      <w:pPr>
        <w:spacing w:line="240" w:lineRule="auto"/>
        <w:rPr>
          <w:sz w:val="16"/>
          <w:szCs w:val="16"/>
        </w:rPr>
      </w:pPr>
      <w:r>
        <w:rPr>
          <w:sz w:val="16"/>
          <w:szCs w:val="16"/>
        </w:rPr>
        <w:t xml:space="preserve">6 = Very good; satisfies criteria in all areas. </w:t>
      </w:r>
      <w:r>
        <w:rPr>
          <w:sz w:val="16"/>
          <w:szCs w:val="16"/>
        </w:rPr>
        <w:br/>
        <w:t>5 = Good; satisfies criteria in almost all areas.</w:t>
      </w:r>
      <w:r>
        <w:rPr>
          <w:sz w:val="16"/>
          <w:szCs w:val="16"/>
        </w:rPr>
        <w:br/>
        <w:t>4 = Adequate; on balance, satisfies criteria; does not fail in any major area.</w:t>
      </w:r>
    </w:p>
    <w:p w14:paraId="779EF906" w14:textId="77777777" w:rsidR="00E05EBE" w:rsidRDefault="00E05EBE" w:rsidP="00E05EBE">
      <w:pPr>
        <w:spacing w:line="240" w:lineRule="auto"/>
        <w:rPr>
          <w:sz w:val="16"/>
          <w:szCs w:val="16"/>
          <w:u w:val="single"/>
        </w:rPr>
      </w:pPr>
      <w:r>
        <w:rPr>
          <w:sz w:val="16"/>
          <w:szCs w:val="16"/>
          <w:u w:val="single"/>
        </w:rPr>
        <w:t>Less than satisfactory (1, 2 and 3)</w:t>
      </w:r>
    </w:p>
    <w:p w14:paraId="28C44235" w14:textId="77777777" w:rsidR="00E05EBE" w:rsidRDefault="00E05EBE" w:rsidP="00E05EBE">
      <w:pPr>
        <w:spacing w:before="0" w:after="0" w:line="240" w:lineRule="auto"/>
      </w:pPr>
      <w:r>
        <w:rPr>
          <w:sz w:val="16"/>
          <w:szCs w:val="16"/>
        </w:rPr>
        <w:t>3 = Less than adequate; on balance does not satisfy criteria and/or fails in at least one major area.</w:t>
      </w:r>
      <w:r>
        <w:rPr>
          <w:sz w:val="16"/>
          <w:szCs w:val="16"/>
        </w:rPr>
        <w:br/>
        <w:t>2 = Poor; does not satisfy criteria in major areas.</w:t>
      </w:r>
      <w:r>
        <w:rPr>
          <w:sz w:val="16"/>
          <w:szCs w:val="16"/>
        </w:rPr>
        <w:br/>
        <w:t xml:space="preserve">1 = Very poor; does not satisfy criteria in many major </w:t>
      </w:r>
      <w:proofErr w:type="gramStart"/>
      <w:r>
        <w:rPr>
          <w:sz w:val="16"/>
          <w:szCs w:val="16"/>
        </w:rPr>
        <w:t>area</w:t>
      </w:r>
      <w:proofErr w:type="gramEnd"/>
      <w:r>
        <w:t>.</w:t>
      </w:r>
      <w:r>
        <w:br/>
      </w:r>
    </w:p>
    <w:p w14:paraId="4DC45723" w14:textId="65015D86" w:rsidR="00681633" w:rsidRDefault="00681633" w:rsidP="002608AA">
      <w:pPr>
        <w:pStyle w:val="Heading2"/>
      </w:pPr>
    </w:p>
    <w:sectPr w:rsidR="00681633" w:rsidSect="00C8472E">
      <w:pgSz w:w="11906" w:h="16838" w:code="9"/>
      <w:pgMar w:top="1559" w:right="680" w:bottom="1418" w:left="680" w:header="56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0088D" w14:textId="77777777" w:rsidR="007812EA" w:rsidRDefault="007812EA" w:rsidP="00D37B04">
      <w:r>
        <w:separator/>
      </w:r>
    </w:p>
  </w:endnote>
  <w:endnote w:type="continuationSeparator" w:id="0">
    <w:p w14:paraId="25170B00" w14:textId="77777777" w:rsidR="007812EA" w:rsidRDefault="007812E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E51B8D5" w14:textId="2DAD928E" w:rsidR="00FA5179" w:rsidRPr="001D3DDD" w:rsidRDefault="003F6DEB" w:rsidP="003F6DEB">
        <w:pPr>
          <w:pStyle w:val="Footer"/>
          <w:rPr>
            <w:color w:val="auto"/>
          </w:rPr>
        </w:pPr>
        <w:r>
          <w:rPr>
            <w:noProof/>
            <w:color w:val="auto"/>
          </w:rPr>
          <w:drawing>
            <wp:anchor distT="0" distB="0" distL="114300" distR="114300" simplePos="0" relativeHeight="251659264" behindDoc="1" locked="0" layoutInCell="1" allowOverlap="1" wp14:anchorId="23B9D1B2" wp14:editId="6461373D">
              <wp:simplePos x="0" y="0"/>
              <wp:positionH relativeFrom="margin">
                <wp:posOffset>0</wp:posOffset>
              </wp:positionH>
              <wp:positionV relativeFrom="paragraph">
                <wp:posOffset>-77470</wp:posOffset>
              </wp:positionV>
              <wp:extent cx="6624324" cy="433070"/>
              <wp:effectExtent l="0" t="0" r="508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4370" cy="433073"/>
                      </a:xfrm>
                      <a:prstGeom prst="rect">
                        <a:avLst/>
                      </a:prstGeom>
                    </pic:spPr>
                  </pic:pic>
                </a:graphicData>
              </a:graphic>
              <wp14:sizeRelH relativeFrom="margin">
                <wp14:pctWidth>0</wp14:pctWidth>
              </wp14:sizeRelH>
              <wp14:sizeRelV relativeFrom="margin">
                <wp14:pctHeight>0</wp14:pctHeight>
              </wp14:sizeRelV>
            </wp:anchor>
          </w:drawing>
        </w:r>
        <w:r>
          <w:rPr>
            <w:color w:val="auto"/>
            <w:sz w:val="20"/>
            <w:szCs w:val="20"/>
          </w:rPr>
          <w:tab/>
        </w:r>
        <w:r>
          <w:rPr>
            <w:b/>
            <w:noProof/>
            <w:color w:val="495965" w:themeColor="text2"/>
            <w:lang w:val="en-AU" w:eastAsia="en-AU"/>
          </w:rPr>
          <w:tab/>
        </w:r>
        <w:r w:rsidRPr="00FE2225">
          <w:rPr>
            <w:bCs/>
            <w:noProof/>
            <w:color w:val="auto"/>
            <w:lang w:val="en-AU" w:eastAsia="en-AU"/>
          </w:rPr>
          <w:fldChar w:fldCharType="begin"/>
        </w:r>
        <w:r w:rsidRPr="00FE2225">
          <w:rPr>
            <w:bCs/>
            <w:noProof/>
            <w:color w:val="auto"/>
            <w:lang w:val="en-AU" w:eastAsia="en-AU"/>
          </w:rPr>
          <w:instrText xml:space="preserve"> PAGE   \* MERGEFORMAT </w:instrText>
        </w:r>
        <w:r w:rsidRPr="00FE2225">
          <w:rPr>
            <w:bCs/>
            <w:noProof/>
            <w:color w:val="auto"/>
            <w:lang w:val="en-AU" w:eastAsia="en-AU"/>
          </w:rPr>
          <w:fldChar w:fldCharType="separate"/>
        </w:r>
        <w:r>
          <w:rPr>
            <w:bCs/>
            <w:noProof/>
            <w:color w:val="auto"/>
            <w:lang w:val="en-AU" w:eastAsia="en-AU"/>
          </w:rPr>
          <w:t>1</w:t>
        </w:r>
        <w:r w:rsidRPr="00FE2225">
          <w:rPr>
            <w:bCs/>
            <w:noProof/>
            <w:color w:val="auto"/>
            <w:lang w:val="en-AU" w:eastAsia="en-AU"/>
          </w:rPr>
          <w:fldChar w:fldCharType="end"/>
        </w:r>
        <w:r>
          <w:rPr>
            <w:noProof/>
            <w:color w:val="auto"/>
          </w:rPr>
          <w:t xml:space="preserve"> </w:t>
        </w:r>
      </w:p>
    </w:sdtContent>
  </w:sdt>
  <w:p w14:paraId="3A729F02" w14:textId="519EAB54" w:rsidR="00FA5179" w:rsidRDefault="00FA5179" w:rsidP="009131E9">
    <w:pPr>
      <w:pStyle w:val="Footer"/>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1887" w14:textId="7FACD440" w:rsidR="00583C53" w:rsidRPr="00854F69" w:rsidRDefault="00583C53" w:rsidP="00583C53">
    <w:pPr>
      <w:pStyle w:val="Footer"/>
      <w:ind w:right="198"/>
      <w:rPr>
        <w:b/>
        <w:noProof/>
        <w:color w:val="495965" w:themeColor="text2"/>
        <w:lang w:val="en-AU" w:eastAsia="en-AU"/>
      </w:rPr>
    </w:pPr>
    <w:bookmarkStart w:id="4" w:name="_Hlk83804239"/>
    <w:r w:rsidRPr="00C92805">
      <w:rPr>
        <w:b/>
        <w:noProof/>
        <w:color w:val="495965" w:themeColor="text2"/>
        <w:lang w:val="en-AU" w:eastAsia="en-AU"/>
      </w:rPr>
      <w:drawing>
        <wp:anchor distT="0" distB="0" distL="114300" distR="114300" simplePos="0" relativeHeight="251661312" behindDoc="1" locked="0" layoutInCell="1" allowOverlap="1" wp14:anchorId="3CECD919" wp14:editId="4B6A725C">
          <wp:simplePos x="0" y="0"/>
          <wp:positionH relativeFrom="margin">
            <wp:posOffset>-120650</wp:posOffset>
          </wp:positionH>
          <wp:positionV relativeFrom="page">
            <wp:posOffset>9937750</wp:posOffset>
          </wp:positionV>
          <wp:extent cx="6931181" cy="646430"/>
          <wp:effectExtent l="0" t="0" r="317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8579" cy="647120"/>
                  </a:xfrm>
                  <a:prstGeom prst="rect">
                    <a:avLst/>
                  </a:prstGeom>
                </pic:spPr>
              </pic:pic>
            </a:graphicData>
          </a:graphic>
          <wp14:sizeRelH relativeFrom="margin">
            <wp14:pctWidth>0</wp14:pctWidth>
          </wp14:sizeRelH>
          <wp14:sizeRelV relativeFrom="margin">
            <wp14:pctHeight>0</wp14:pctHeight>
          </wp14:sizeRelV>
        </wp:anchor>
      </w:drawing>
    </w:r>
    <w:r w:rsidR="006B7558">
      <w:rPr>
        <w:b/>
        <w:noProof/>
        <w:color w:val="495965" w:themeColor="text2"/>
        <w:lang w:val="en-AU" w:eastAsia="en-AU"/>
      </w:rPr>
      <w:t>Novem</w:t>
    </w:r>
    <w:r>
      <w:rPr>
        <w:b/>
        <w:noProof/>
        <w:color w:val="495965" w:themeColor="text2"/>
        <w:lang w:val="en-AU" w:eastAsia="en-AU"/>
      </w:rPr>
      <w:t>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sidR="006B7558">
      <w:rPr>
        <w:b/>
        <w:noProof/>
        <w:color w:val="495965" w:themeColor="text2"/>
        <w:lang w:val="en-AU" w:eastAsia="en-AU"/>
      </w:rPr>
      <w:t xml:space="preserve"> </w:t>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bookmarkEnd w:id="4"/>
  <w:p w14:paraId="52F0E8CE" w14:textId="089348B3" w:rsidR="003F6DEB" w:rsidRPr="003F6DEB" w:rsidRDefault="003F6DEB" w:rsidP="003F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122FF" w14:textId="77777777" w:rsidR="007812EA" w:rsidRPr="008C5A0E" w:rsidRDefault="007812EA" w:rsidP="00D37B04">
      <w:pPr>
        <w:pStyle w:val="Footer"/>
      </w:pPr>
    </w:p>
  </w:footnote>
  <w:footnote w:type="continuationSeparator" w:id="0">
    <w:p w14:paraId="546B97E9" w14:textId="77777777" w:rsidR="007812EA" w:rsidRDefault="007812EA" w:rsidP="00D37B04">
      <w:r>
        <w:continuationSeparator/>
      </w:r>
    </w:p>
  </w:footnote>
  <w:footnote w:id="1">
    <w:p w14:paraId="10428678" w14:textId="2DFA43EA" w:rsidR="000C32E9" w:rsidRPr="000C32E9" w:rsidRDefault="000C32E9">
      <w:pPr>
        <w:pStyle w:val="FootnoteText"/>
        <w:rPr>
          <w:lang w:val="en-AU"/>
        </w:rPr>
      </w:pPr>
      <w:r>
        <w:rPr>
          <w:rStyle w:val="FootnoteReference"/>
        </w:rPr>
        <w:footnoteRef/>
      </w:r>
      <w:r>
        <w:t xml:space="preserve"> </w:t>
      </w:r>
      <w:r>
        <w:rPr>
          <w:lang w:val="en-AU"/>
        </w:rPr>
        <w:t xml:space="preserve">The wording of this indicator has changed since the drafting of the CRP from percentage of supplementary budget expenditure to percentage of total domestic revenue.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09B7FBEF" w:rsidR="00FA5179" w:rsidRDefault="00FA5179" w:rsidP="007A4493">
    <w:pPr>
      <w:pStyle w:val="Header"/>
      <w:ind w:left="0"/>
    </w:pPr>
    <w:r w:rsidRPr="00A12B40">
      <w:rPr>
        <w:i/>
        <w:caps w:val="0"/>
      </w:rPr>
      <w:t>Partnerships for Recovery</w:t>
    </w:r>
    <w:r w:rsidRPr="00A12B40">
      <w:rPr>
        <w:i/>
        <w:noProof/>
        <w:lang w:val="en-AU" w:eastAsia="en-AU"/>
      </w:rPr>
      <w:drawing>
        <wp:inline distT="0" distB="0" distL="0" distR="0" wp14:anchorId="7248A92F" wp14:editId="7CBD7E78">
          <wp:extent cx="6718853" cy="707390"/>
          <wp:effectExtent l="0" t="0" r="635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BD09" w14:textId="3FA230F8" w:rsidR="00B06E00" w:rsidRDefault="00FA5179">
    <w:r>
      <w:rPr>
        <w:b/>
        <w:caps/>
        <w:noProof/>
        <w:sz w:val="20"/>
      </w:rPr>
      <w:drawing>
        <wp:inline distT="0" distB="0" distL="0" distR="0" wp14:anchorId="53173A37" wp14:editId="3D212865">
          <wp:extent cx="6696075" cy="1247775"/>
          <wp:effectExtent l="0" t="0" r="9525" b="9525"/>
          <wp:docPr id="6" name="Picture 6"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76" w:hanging="284"/>
      </w:pPr>
      <w:rPr>
        <w:rFonts w:hint="default"/>
      </w:rPr>
    </w:lvl>
    <w:lvl w:ilvl="1">
      <w:start w:val="1"/>
      <w:numFmt w:val="lowerLetter"/>
      <w:pStyle w:val="NumberedList2"/>
      <w:lvlText w:val="%2."/>
      <w:lvlJc w:val="left"/>
      <w:pPr>
        <w:ind w:left="208" w:hanging="284"/>
      </w:pPr>
      <w:rPr>
        <w:rFonts w:hint="default"/>
      </w:rPr>
    </w:lvl>
    <w:lvl w:ilvl="2">
      <w:start w:val="1"/>
      <w:numFmt w:val="lowerRoman"/>
      <w:pStyle w:val="NumberedList3"/>
      <w:lvlText w:val="%3."/>
      <w:lvlJc w:val="left"/>
      <w:pPr>
        <w:ind w:left="492" w:hanging="284"/>
      </w:pPr>
      <w:rPr>
        <w:rFonts w:hint="default"/>
      </w:rPr>
    </w:lvl>
    <w:lvl w:ilvl="3">
      <w:start w:val="1"/>
      <w:numFmt w:val="decimal"/>
      <w:lvlText w:val="(%4)"/>
      <w:lvlJc w:val="left"/>
      <w:pPr>
        <w:ind w:left="776" w:hanging="284"/>
      </w:pPr>
      <w:rPr>
        <w:rFonts w:hint="default"/>
      </w:rPr>
    </w:lvl>
    <w:lvl w:ilvl="4">
      <w:start w:val="1"/>
      <w:numFmt w:val="lowerLetter"/>
      <w:lvlText w:val="(%5)"/>
      <w:lvlJc w:val="left"/>
      <w:pPr>
        <w:ind w:left="1060" w:hanging="284"/>
      </w:pPr>
      <w:rPr>
        <w:rFonts w:hint="default"/>
      </w:rPr>
    </w:lvl>
    <w:lvl w:ilvl="5">
      <w:start w:val="1"/>
      <w:numFmt w:val="lowerRoman"/>
      <w:lvlText w:val="(%6)"/>
      <w:lvlJc w:val="left"/>
      <w:pPr>
        <w:ind w:left="1344" w:hanging="284"/>
      </w:pPr>
      <w:rPr>
        <w:rFonts w:hint="default"/>
      </w:rPr>
    </w:lvl>
    <w:lvl w:ilvl="6">
      <w:start w:val="1"/>
      <w:numFmt w:val="decimal"/>
      <w:lvlText w:val="%7."/>
      <w:lvlJc w:val="left"/>
      <w:pPr>
        <w:ind w:left="1628" w:hanging="284"/>
      </w:pPr>
      <w:rPr>
        <w:rFonts w:hint="default"/>
      </w:rPr>
    </w:lvl>
    <w:lvl w:ilvl="7">
      <w:start w:val="1"/>
      <w:numFmt w:val="lowerLetter"/>
      <w:lvlText w:val="%8."/>
      <w:lvlJc w:val="left"/>
      <w:pPr>
        <w:ind w:left="1912" w:hanging="284"/>
      </w:pPr>
      <w:rPr>
        <w:rFonts w:hint="default"/>
      </w:rPr>
    </w:lvl>
    <w:lvl w:ilvl="8">
      <w:start w:val="1"/>
      <w:numFmt w:val="lowerRoman"/>
      <w:lvlText w:val="%9."/>
      <w:lvlJc w:val="left"/>
      <w:pPr>
        <w:ind w:left="219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1746F84"/>
    <w:multiLevelType w:val="hybridMultilevel"/>
    <w:tmpl w:val="F6B8ABD4"/>
    <w:lvl w:ilvl="0" w:tplc="59463C12">
      <w:start w:val="6"/>
      <w:numFmt w:val="bullet"/>
      <w:lvlText w:val="-"/>
      <w:lvlJc w:val="left"/>
      <w:pPr>
        <w:ind w:left="750" w:hanging="360"/>
      </w:pPr>
      <w:rPr>
        <w:rFonts w:ascii="Calibri" w:eastAsiaTheme="minorHAnsi" w:hAnsi="Calibri" w:cs="Calibri"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 w15:restartNumberingAfterBreak="0">
    <w:nsid w:val="38F132CE"/>
    <w:multiLevelType w:val="multilevel"/>
    <w:tmpl w:val="3B7A10DE"/>
    <w:numStyleLink w:val="BulletsList"/>
  </w:abstractNum>
  <w:abstractNum w:abstractNumId="5"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6" w15:restartNumberingAfterBreak="0">
    <w:nsid w:val="52A54BDB"/>
    <w:multiLevelType w:val="hybridMultilevel"/>
    <w:tmpl w:val="803E2892"/>
    <w:lvl w:ilvl="0" w:tplc="70B8E750">
      <w:start w:val="202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68263B71"/>
    <w:multiLevelType w:val="hybridMultilevel"/>
    <w:tmpl w:val="2346B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150240"/>
    <w:multiLevelType w:val="hybridMultilevel"/>
    <w:tmpl w:val="05FA90AA"/>
    <w:lvl w:ilvl="0" w:tplc="D8EC92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3B7A10DE"/>
    <w:styleLink w:val="BulletsList"/>
    <w:lvl w:ilvl="0">
      <w:start w:val="1"/>
      <w:numFmt w:val="bullet"/>
      <w:pStyle w:val="Bullet1"/>
      <w:lvlText w:val=""/>
      <w:lvlJc w:val="left"/>
      <w:pPr>
        <w:ind w:left="3545"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95F160A"/>
    <w:multiLevelType w:val="hybridMultilevel"/>
    <w:tmpl w:val="861E9B5C"/>
    <w:lvl w:ilvl="0" w:tplc="D8EC921C">
      <w:start w:val="1"/>
      <w:numFmt w:val="bullet"/>
      <w:lvlText w:val=""/>
      <w:lvlJc w:val="left"/>
      <w:pPr>
        <w:ind w:left="1086" w:hanging="360"/>
      </w:pPr>
      <w:rPr>
        <w:rFonts w:ascii="Symbol" w:hAnsi="Symbol" w:hint="default"/>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num w:numId="1">
    <w:abstractNumId w:val="11"/>
  </w:num>
  <w:num w:numId="2">
    <w:abstractNumId w:val="0"/>
  </w:num>
  <w:num w:numId="3">
    <w:abstractNumId w:val="2"/>
  </w:num>
  <w:num w:numId="4">
    <w:abstractNumId w:val="7"/>
  </w:num>
  <w:num w:numId="5">
    <w:abstractNumId w:val="8"/>
  </w:num>
  <w:num w:numId="6">
    <w:abstractNumId w:val="2"/>
  </w:num>
  <w:num w:numId="7">
    <w:abstractNumId w:val="0"/>
  </w:num>
  <w:num w:numId="8">
    <w:abstractNumId w:val="1"/>
  </w:num>
  <w:num w:numId="9">
    <w:abstractNumId w:val="12"/>
  </w:num>
  <w:num w:numId="10">
    <w:abstractNumId w:val="4"/>
  </w:num>
  <w:num w:numId="11">
    <w:abstractNumId w:val="5"/>
  </w:num>
  <w:num w:numId="12">
    <w:abstractNumId w:val="13"/>
  </w:num>
  <w:num w:numId="13">
    <w:abstractNumId w:val="10"/>
  </w:num>
  <w:num w:numId="14">
    <w:abstractNumId w:val="11"/>
  </w:num>
  <w:num w:numId="15">
    <w:abstractNumId w:val="11"/>
  </w:num>
  <w:num w:numId="16">
    <w:abstractNumId w:val="9"/>
  </w:num>
  <w:num w:numId="17">
    <w:abstractNumId w:val="3"/>
  </w:num>
  <w:num w:numId="18">
    <w:abstractNumId w:val="11"/>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4AD"/>
    <w:rsid w:val="000005F0"/>
    <w:rsid w:val="00001DA8"/>
    <w:rsid w:val="000020C1"/>
    <w:rsid w:val="0000446A"/>
    <w:rsid w:val="00010006"/>
    <w:rsid w:val="00011235"/>
    <w:rsid w:val="00015AB7"/>
    <w:rsid w:val="0002080A"/>
    <w:rsid w:val="0002782F"/>
    <w:rsid w:val="00031486"/>
    <w:rsid w:val="000314BA"/>
    <w:rsid w:val="00035BBF"/>
    <w:rsid w:val="00035CBC"/>
    <w:rsid w:val="00036857"/>
    <w:rsid w:val="000417C3"/>
    <w:rsid w:val="000444F3"/>
    <w:rsid w:val="00050806"/>
    <w:rsid w:val="00050944"/>
    <w:rsid w:val="000546D9"/>
    <w:rsid w:val="00054E4D"/>
    <w:rsid w:val="0005564F"/>
    <w:rsid w:val="00055880"/>
    <w:rsid w:val="00056F24"/>
    <w:rsid w:val="00060073"/>
    <w:rsid w:val="00061007"/>
    <w:rsid w:val="000616C6"/>
    <w:rsid w:val="000643BC"/>
    <w:rsid w:val="00073FF2"/>
    <w:rsid w:val="00076D82"/>
    <w:rsid w:val="00077B3B"/>
    <w:rsid w:val="000822AD"/>
    <w:rsid w:val="00084660"/>
    <w:rsid w:val="000854FD"/>
    <w:rsid w:val="000A407E"/>
    <w:rsid w:val="000A4E89"/>
    <w:rsid w:val="000A6646"/>
    <w:rsid w:val="000B010F"/>
    <w:rsid w:val="000B37F5"/>
    <w:rsid w:val="000B4895"/>
    <w:rsid w:val="000B5DA7"/>
    <w:rsid w:val="000B78E6"/>
    <w:rsid w:val="000C32E9"/>
    <w:rsid w:val="000C3A4C"/>
    <w:rsid w:val="000C4411"/>
    <w:rsid w:val="000D2896"/>
    <w:rsid w:val="000D66D6"/>
    <w:rsid w:val="000D7592"/>
    <w:rsid w:val="000E58BF"/>
    <w:rsid w:val="000E6C44"/>
    <w:rsid w:val="000E79AE"/>
    <w:rsid w:val="000F04DE"/>
    <w:rsid w:val="000F2600"/>
    <w:rsid w:val="000F290E"/>
    <w:rsid w:val="000F78C9"/>
    <w:rsid w:val="000F7C0E"/>
    <w:rsid w:val="00101F48"/>
    <w:rsid w:val="00113288"/>
    <w:rsid w:val="0011552E"/>
    <w:rsid w:val="001214BE"/>
    <w:rsid w:val="0012165D"/>
    <w:rsid w:val="00121DDD"/>
    <w:rsid w:val="001227F1"/>
    <w:rsid w:val="0012390F"/>
    <w:rsid w:val="0012589E"/>
    <w:rsid w:val="0013101C"/>
    <w:rsid w:val="0013385F"/>
    <w:rsid w:val="00137F4E"/>
    <w:rsid w:val="001461D6"/>
    <w:rsid w:val="00146E07"/>
    <w:rsid w:val="00151D06"/>
    <w:rsid w:val="00153181"/>
    <w:rsid w:val="001541EA"/>
    <w:rsid w:val="001562CB"/>
    <w:rsid w:val="0016223D"/>
    <w:rsid w:val="00166032"/>
    <w:rsid w:val="001662F8"/>
    <w:rsid w:val="00174D77"/>
    <w:rsid w:val="00177B27"/>
    <w:rsid w:val="001841C8"/>
    <w:rsid w:val="00186B4B"/>
    <w:rsid w:val="0019217E"/>
    <w:rsid w:val="00193C49"/>
    <w:rsid w:val="00195591"/>
    <w:rsid w:val="001A13D6"/>
    <w:rsid w:val="001A51EE"/>
    <w:rsid w:val="001A5CE1"/>
    <w:rsid w:val="001A7815"/>
    <w:rsid w:val="001B2A07"/>
    <w:rsid w:val="001B452B"/>
    <w:rsid w:val="001B78DA"/>
    <w:rsid w:val="001C14F4"/>
    <w:rsid w:val="001C1F11"/>
    <w:rsid w:val="001C483F"/>
    <w:rsid w:val="001C6E9E"/>
    <w:rsid w:val="001D0968"/>
    <w:rsid w:val="001D1A8F"/>
    <w:rsid w:val="001D3C98"/>
    <w:rsid w:val="001D3DDD"/>
    <w:rsid w:val="001D4091"/>
    <w:rsid w:val="001D663E"/>
    <w:rsid w:val="001D6AEE"/>
    <w:rsid w:val="001E03BE"/>
    <w:rsid w:val="001E1DC0"/>
    <w:rsid w:val="001E20A6"/>
    <w:rsid w:val="001E21B6"/>
    <w:rsid w:val="001E563B"/>
    <w:rsid w:val="001E6D20"/>
    <w:rsid w:val="001F032F"/>
    <w:rsid w:val="001F16E7"/>
    <w:rsid w:val="001F650A"/>
    <w:rsid w:val="001F7A8B"/>
    <w:rsid w:val="001F7F4D"/>
    <w:rsid w:val="002058F0"/>
    <w:rsid w:val="0021221F"/>
    <w:rsid w:val="0021488D"/>
    <w:rsid w:val="00214BD3"/>
    <w:rsid w:val="00215CEB"/>
    <w:rsid w:val="00216C55"/>
    <w:rsid w:val="00220197"/>
    <w:rsid w:val="002216BF"/>
    <w:rsid w:val="002231BD"/>
    <w:rsid w:val="00226CF9"/>
    <w:rsid w:val="002270F7"/>
    <w:rsid w:val="00231D10"/>
    <w:rsid w:val="002404E8"/>
    <w:rsid w:val="002414A6"/>
    <w:rsid w:val="00244229"/>
    <w:rsid w:val="00247365"/>
    <w:rsid w:val="00250D18"/>
    <w:rsid w:val="00251B65"/>
    <w:rsid w:val="00255F45"/>
    <w:rsid w:val="0025736A"/>
    <w:rsid w:val="002608AA"/>
    <w:rsid w:val="00261565"/>
    <w:rsid w:val="00263A22"/>
    <w:rsid w:val="002648A2"/>
    <w:rsid w:val="00270C70"/>
    <w:rsid w:val="002721B5"/>
    <w:rsid w:val="0028310D"/>
    <w:rsid w:val="0028602A"/>
    <w:rsid w:val="00286872"/>
    <w:rsid w:val="00293A92"/>
    <w:rsid w:val="002945C4"/>
    <w:rsid w:val="0029663F"/>
    <w:rsid w:val="00297258"/>
    <w:rsid w:val="00297FD1"/>
    <w:rsid w:val="002B3381"/>
    <w:rsid w:val="002B5E10"/>
    <w:rsid w:val="002C56C5"/>
    <w:rsid w:val="002C58E0"/>
    <w:rsid w:val="002C67DA"/>
    <w:rsid w:val="002C720D"/>
    <w:rsid w:val="002C793D"/>
    <w:rsid w:val="002D23A1"/>
    <w:rsid w:val="002D35C9"/>
    <w:rsid w:val="002D4108"/>
    <w:rsid w:val="002D430F"/>
    <w:rsid w:val="002D4C65"/>
    <w:rsid w:val="002D598D"/>
    <w:rsid w:val="002D5B25"/>
    <w:rsid w:val="002D6D0A"/>
    <w:rsid w:val="002D77B4"/>
    <w:rsid w:val="002E2AF4"/>
    <w:rsid w:val="002E38B2"/>
    <w:rsid w:val="002E500A"/>
    <w:rsid w:val="002E6472"/>
    <w:rsid w:val="002F03FB"/>
    <w:rsid w:val="002F4F2B"/>
    <w:rsid w:val="003002C0"/>
    <w:rsid w:val="00301144"/>
    <w:rsid w:val="003031C6"/>
    <w:rsid w:val="00304984"/>
    <w:rsid w:val="0030546E"/>
    <w:rsid w:val="00305687"/>
    <w:rsid w:val="00310104"/>
    <w:rsid w:val="00311946"/>
    <w:rsid w:val="0031281E"/>
    <w:rsid w:val="00312BF8"/>
    <w:rsid w:val="0031337E"/>
    <w:rsid w:val="003146C4"/>
    <w:rsid w:val="00314799"/>
    <w:rsid w:val="003148B7"/>
    <w:rsid w:val="003155C2"/>
    <w:rsid w:val="003158C3"/>
    <w:rsid w:val="0032031F"/>
    <w:rsid w:val="003235EF"/>
    <w:rsid w:val="003274CD"/>
    <w:rsid w:val="00331B87"/>
    <w:rsid w:val="00333501"/>
    <w:rsid w:val="00335F18"/>
    <w:rsid w:val="00337E7A"/>
    <w:rsid w:val="003406AF"/>
    <w:rsid w:val="0034072F"/>
    <w:rsid w:val="003457C4"/>
    <w:rsid w:val="00345CD3"/>
    <w:rsid w:val="0035119D"/>
    <w:rsid w:val="003535F8"/>
    <w:rsid w:val="00354641"/>
    <w:rsid w:val="003569AA"/>
    <w:rsid w:val="003600FF"/>
    <w:rsid w:val="003622C1"/>
    <w:rsid w:val="00363A9F"/>
    <w:rsid w:val="003664FE"/>
    <w:rsid w:val="00373728"/>
    <w:rsid w:val="00375D23"/>
    <w:rsid w:val="00377813"/>
    <w:rsid w:val="003806FE"/>
    <w:rsid w:val="00381A4E"/>
    <w:rsid w:val="00382CE7"/>
    <w:rsid w:val="00387EC8"/>
    <w:rsid w:val="0039215F"/>
    <w:rsid w:val="0039344A"/>
    <w:rsid w:val="003A0022"/>
    <w:rsid w:val="003B3091"/>
    <w:rsid w:val="003B4D65"/>
    <w:rsid w:val="003B4F12"/>
    <w:rsid w:val="003C09FA"/>
    <w:rsid w:val="003C0B77"/>
    <w:rsid w:val="003C2199"/>
    <w:rsid w:val="003C2243"/>
    <w:rsid w:val="003C6C4F"/>
    <w:rsid w:val="003C7D0E"/>
    <w:rsid w:val="003D1253"/>
    <w:rsid w:val="003D7174"/>
    <w:rsid w:val="003E24BA"/>
    <w:rsid w:val="003E4A9A"/>
    <w:rsid w:val="003E6DC8"/>
    <w:rsid w:val="003F2041"/>
    <w:rsid w:val="003F66D7"/>
    <w:rsid w:val="003F6DEB"/>
    <w:rsid w:val="003F7D26"/>
    <w:rsid w:val="00400251"/>
    <w:rsid w:val="004007ED"/>
    <w:rsid w:val="00400D50"/>
    <w:rsid w:val="00402ACC"/>
    <w:rsid w:val="004038A1"/>
    <w:rsid w:val="00403FD8"/>
    <w:rsid w:val="00404443"/>
    <w:rsid w:val="00404602"/>
    <w:rsid w:val="004054D4"/>
    <w:rsid w:val="004120EC"/>
    <w:rsid w:val="0041267F"/>
    <w:rsid w:val="00416E96"/>
    <w:rsid w:val="00423DE0"/>
    <w:rsid w:val="00423F31"/>
    <w:rsid w:val="0042526D"/>
    <w:rsid w:val="00426340"/>
    <w:rsid w:val="004303AA"/>
    <w:rsid w:val="00431899"/>
    <w:rsid w:val="00444752"/>
    <w:rsid w:val="00445145"/>
    <w:rsid w:val="0044742F"/>
    <w:rsid w:val="00450381"/>
    <w:rsid w:val="004529F1"/>
    <w:rsid w:val="00453B1A"/>
    <w:rsid w:val="004540F0"/>
    <w:rsid w:val="00455545"/>
    <w:rsid w:val="00456F8C"/>
    <w:rsid w:val="00462A57"/>
    <w:rsid w:val="00471342"/>
    <w:rsid w:val="004728DD"/>
    <w:rsid w:val="00473F2D"/>
    <w:rsid w:val="00473F39"/>
    <w:rsid w:val="00474037"/>
    <w:rsid w:val="00475782"/>
    <w:rsid w:val="004771D6"/>
    <w:rsid w:val="00482AE8"/>
    <w:rsid w:val="00483151"/>
    <w:rsid w:val="00486804"/>
    <w:rsid w:val="00487549"/>
    <w:rsid w:val="0049032F"/>
    <w:rsid w:val="00494242"/>
    <w:rsid w:val="004A0E27"/>
    <w:rsid w:val="004A0FB9"/>
    <w:rsid w:val="004A41B8"/>
    <w:rsid w:val="004B074B"/>
    <w:rsid w:val="004B0965"/>
    <w:rsid w:val="004B3775"/>
    <w:rsid w:val="004B5813"/>
    <w:rsid w:val="004C58D9"/>
    <w:rsid w:val="004C766F"/>
    <w:rsid w:val="004D0BA0"/>
    <w:rsid w:val="004D774C"/>
    <w:rsid w:val="004D7F36"/>
    <w:rsid w:val="004E058F"/>
    <w:rsid w:val="004E3B87"/>
    <w:rsid w:val="004E4A05"/>
    <w:rsid w:val="004E549D"/>
    <w:rsid w:val="004F323A"/>
    <w:rsid w:val="004F5615"/>
    <w:rsid w:val="00502041"/>
    <w:rsid w:val="00503636"/>
    <w:rsid w:val="00503EB4"/>
    <w:rsid w:val="0050592F"/>
    <w:rsid w:val="005076B1"/>
    <w:rsid w:val="00510921"/>
    <w:rsid w:val="00510AD3"/>
    <w:rsid w:val="00511D22"/>
    <w:rsid w:val="00513348"/>
    <w:rsid w:val="0051337D"/>
    <w:rsid w:val="00513AD8"/>
    <w:rsid w:val="00517DD0"/>
    <w:rsid w:val="005204D2"/>
    <w:rsid w:val="00522396"/>
    <w:rsid w:val="00524CD0"/>
    <w:rsid w:val="00527AD8"/>
    <w:rsid w:val="0053096F"/>
    <w:rsid w:val="0053159D"/>
    <w:rsid w:val="00531B69"/>
    <w:rsid w:val="005338D6"/>
    <w:rsid w:val="00533B5D"/>
    <w:rsid w:val="00534D96"/>
    <w:rsid w:val="00536343"/>
    <w:rsid w:val="00536BAB"/>
    <w:rsid w:val="00540A22"/>
    <w:rsid w:val="00543099"/>
    <w:rsid w:val="0054345F"/>
    <w:rsid w:val="005474FC"/>
    <w:rsid w:val="00553079"/>
    <w:rsid w:val="00554E12"/>
    <w:rsid w:val="00560E83"/>
    <w:rsid w:val="0056158C"/>
    <w:rsid w:val="005628AF"/>
    <w:rsid w:val="00565179"/>
    <w:rsid w:val="00566836"/>
    <w:rsid w:val="00573643"/>
    <w:rsid w:val="005736BB"/>
    <w:rsid w:val="00573A18"/>
    <w:rsid w:val="00577815"/>
    <w:rsid w:val="005822D6"/>
    <w:rsid w:val="00582E6E"/>
    <w:rsid w:val="00582FE2"/>
    <w:rsid w:val="00583C53"/>
    <w:rsid w:val="005861C0"/>
    <w:rsid w:val="0059113F"/>
    <w:rsid w:val="005A1A5E"/>
    <w:rsid w:val="005A20F6"/>
    <w:rsid w:val="005A7063"/>
    <w:rsid w:val="005B0A52"/>
    <w:rsid w:val="005B4462"/>
    <w:rsid w:val="005B63B4"/>
    <w:rsid w:val="005C2E3A"/>
    <w:rsid w:val="005C2EC9"/>
    <w:rsid w:val="005C532B"/>
    <w:rsid w:val="005C7695"/>
    <w:rsid w:val="005D3655"/>
    <w:rsid w:val="005D5489"/>
    <w:rsid w:val="005D699F"/>
    <w:rsid w:val="005E0058"/>
    <w:rsid w:val="005E0C9E"/>
    <w:rsid w:val="005E2094"/>
    <w:rsid w:val="005E3293"/>
    <w:rsid w:val="005E3D03"/>
    <w:rsid w:val="005E4830"/>
    <w:rsid w:val="005E5524"/>
    <w:rsid w:val="005E73CC"/>
    <w:rsid w:val="005F2A67"/>
    <w:rsid w:val="005F2F66"/>
    <w:rsid w:val="005F57F5"/>
    <w:rsid w:val="00600378"/>
    <w:rsid w:val="006031AC"/>
    <w:rsid w:val="00603321"/>
    <w:rsid w:val="00606F77"/>
    <w:rsid w:val="006112D1"/>
    <w:rsid w:val="00616A58"/>
    <w:rsid w:val="00620A3D"/>
    <w:rsid w:val="00622B86"/>
    <w:rsid w:val="00623356"/>
    <w:rsid w:val="00623BA1"/>
    <w:rsid w:val="00630092"/>
    <w:rsid w:val="006346BC"/>
    <w:rsid w:val="006347B5"/>
    <w:rsid w:val="006362FF"/>
    <w:rsid w:val="006378FE"/>
    <w:rsid w:val="00637A59"/>
    <w:rsid w:val="006408FF"/>
    <w:rsid w:val="00642227"/>
    <w:rsid w:val="00647A3B"/>
    <w:rsid w:val="0065649B"/>
    <w:rsid w:val="0066203A"/>
    <w:rsid w:val="00662FD5"/>
    <w:rsid w:val="0066652A"/>
    <w:rsid w:val="006719C3"/>
    <w:rsid w:val="0067374A"/>
    <w:rsid w:val="006745FC"/>
    <w:rsid w:val="006750D9"/>
    <w:rsid w:val="00680115"/>
    <w:rsid w:val="00680522"/>
    <w:rsid w:val="00681633"/>
    <w:rsid w:val="00682167"/>
    <w:rsid w:val="00687740"/>
    <w:rsid w:val="00690AE1"/>
    <w:rsid w:val="00693AD9"/>
    <w:rsid w:val="006A6F52"/>
    <w:rsid w:val="006A791A"/>
    <w:rsid w:val="006B0064"/>
    <w:rsid w:val="006B2316"/>
    <w:rsid w:val="006B3C91"/>
    <w:rsid w:val="006B3E95"/>
    <w:rsid w:val="006B51B2"/>
    <w:rsid w:val="006B5E0F"/>
    <w:rsid w:val="006B6F6D"/>
    <w:rsid w:val="006B7558"/>
    <w:rsid w:val="006C0B06"/>
    <w:rsid w:val="006C34C5"/>
    <w:rsid w:val="006C3BBD"/>
    <w:rsid w:val="006C42AF"/>
    <w:rsid w:val="006C504C"/>
    <w:rsid w:val="006C565B"/>
    <w:rsid w:val="006C6100"/>
    <w:rsid w:val="006C6498"/>
    <w:rsid w:val="006D15F1"/>
    <w:rsid w:val="006D5A56"/>
    <w:rsid w:val="006E0576"/>
    <w:rsid w:val="006E3AB6"/>
    <w:rsid w:val="006E4323"/>
    <w:rsid w:val="006F4455"/>
    <w:rsid w:val="006F6BA7"/>
    <w:rsid w:val="006F6F49"/>
    <w:rsid w:val="007056F2"/>
    <w:rsid w:val="007075DF"/>
    <w:rsid w:val="00711D8E"/>
    <w:rsid w:val="00712672"/>
    <w:rsid w:val="00717769"/>
    <w:rsid w:val="007178C4"/>
    <w:rsid w:val="007218BF"/>
    <w:rsid w:val="007302FA"/>
    <w:rsid w:val="007317A3"/>
    <w:rsid w:val="00734E3F"/>
    <w:rsid w:val="007365BD"/>
    <w:rsid w:val="00736985"/>
    <w:rsid w:val="007410BF"/>
    <w:rsid w:val="007448B9"/>
    <w:rsid w:val="00745DF5"/>
    <w:rsid w:val="0074618E"/>
    <w:rsid w:val="00747447"/>
    <w:rsid w:val="00751718"/>
    <w:rsid w:val="00753EDE"/>
    <w:rsid w:val="00755D54"/>
    <w:rsid w:val="00761598"/>
    <w:rsid w:val="0076250F"/>
    <w:rsid w:val="00762587"/>
    <w:rsid w:val="007639A5"/>
    <w:rsid w:val="00767B1E"/>
    <w:rsid w:val="00771B2D"/>
    <w:rsid w:val="0077324F"/>
    <w:rsid w:val="007733DC"/>
    <w:rsid w:val="007760F0"/>
    <w:rsid w:val="00780FA5"/>
    <w:rsid w:val="007812EA"/>
    <w:rsid w:val="007843B3"/>
    <w:rsid w:val="00784807"/>
    <w:rsid w:val="00785873"/>
    <w:rsid w:val="0078631F"/>
    <w:rsid w:val="00791C07"/>
    <w:rsid w:val="00794A17"/>
    <w:rsid w:val="00794D99"/>
    <w:rsid w:val="0079580E"/>
    <w:rsid w:val="00796F1C"/>
    <w:rsid w:val="007A4493"/>
    <w:rsid w:val="007A4D03"/>
    <w:rsid w:val="007B4CC6"/>
    <w:rsid w:val="007B53F9"/>
    <w:rsid w:val="007B6200"/>
    <w:rsid w:val="007C19B3"/>
    <w:rsid w:val="007C735B"/>
    <w:rsid w:val="007D4396"/>
    <w:rsid w:val="007D7E8A"/>
    <w:rsid w:val="007E1F71"/>
    <w:rsid w:val="007E4A19"/>
    <w:rsid w:val="007E5361"/>
    <w:rsid w:val="007E556D"/>
    <w:rsid w:val="007E66F7"/>
    <w:rsid w:val="007E7BC7"/>
    <w:rsid w:val="007F3395"/>
    <w:rsid w:val="007F3A0C"/>
    <w:rsid w:val="007F5C0B"/>
    <w:rsid w:val="007F646C"/>
    <w:rsid w:val="007F724C"/>
    <w:rsid w:val="00801B9F"/>
    <w:rsid w:val="0080204D"/>
    <w:rsid w:val="00803524"/>
    <w:rsid w:val="00805A1B"/>
    <w:rsid w:val="00805A8D"/>
    <w:rsid w:val="008072CD"/>
    <w:rsid w:val="0081225B"/>
    <w:rsid w:val="0081558C"/>
    <w:rsid w:val="0082053C"/>
    <w:rsid w:val="00822F43"/>
    <w:rsid w:val="00825739"/>
    <w:rsid w:val="008304BF"/>
    <w:rsid w:val="00830811"/>
    <w:rsid w:val="0084191E"/>
    <w:rsid w:val="00843B76"/>
    <w:rsid w:val="00844737"/>
    <w:rsid w:val="008475F0"/>
    <w:rsid w:val="008515AF"/>
    <w:rsid w:val="00852C32"/>
    <w:rsid w:val="00854F69"/>
    <w:rsid w:val="008557A7"/>
    <w:rsid w:val="00856BFE"/>
    <w:rsid w:val="00856F4F"/>
    <w:rsid w:val="00857312"/>
    <w:rsid w:val="00864043"/>
    <w:rsid w:val="0086528C"/>
    <w:rsid w:val="00866E18"/>
    <w:rsid w:val="008674E2"/>
    <w:rsid w:val="00870928"/>
    <w:rsid w:val="00872FB8"/>
    <w:rsid w:val="00875137"/>
    <w:rsid w:val="00877620"/>
    <w:rsid w:val="00881605"/>
    <w:rsid w:val="008832FE"/>
    <w:rsid w:val="00883647"/>
    <w:rsid w:val="00883AB4"/>
    <w:rsid w:val="00887404"/>
    <w:rsid w:val="00887F20"/>
    <w:rsid w:val="00893F93"/>
    <w:rsid w:val="0089405C"/>
    <w:rsid w:val="00894197"/>
    <w:rsid w:val="00897316"/>
    <w:rsid w:val="00897FA2"/>
    <w:rsid w:val="008A1503"/>
    <w:rsid w:val="008A1B41"/>
    <w:rsid w:val="008A549E"/>
    <w:rsid w:val="008A5AFE"/>
    <w:rsid w:val="008A5C03"/>
    <w:rsid w:val="008A6BB7"/>
    <w:rsid w:val="008A7B6F"/>
    <w:rsid w:val="008B1580"/>
    <w:rsid w:val="008B4994"/>
    <w:rsid w:val="008C1F60"/>
    <w:rsid w:val="008C478C"/>
    <w:rsid w:val="008C5A0E"/>
    <w:rsid w:val="008C6149"/>
    <w:rsid w:val="008C708C"/>
    <w:rsid w:val="008D1198"/>
    <w:rsid w:val="008D1FEE"/>
    <w:rsid w:val="008E28C5"/>
    <w:rsid w:val="008E4B49"/>
    <w:rsid w:val="008E4C6D"/>
    <w:rsid w:val="008F1547"/>
    <w:rsid w:val="008F424F"/>
    <w:rsid w:val="008F604A"/>
    <w:rsid w:val="008F6625"/>
    <w:rsid w:val="008F69AE"/>
    <w:rsid w:val="009007A5"/>
    <w:rsid w:val="009035DD"/>
    <w:rsid w:val="009057D3"/>
    <w:rsid w:val="00905B78"/>
    <w:rsid w:val="00910DCD"/>
    <w:rsid w:val="00911FBC"/>
    <w:rsid w:val="009131E9"/>
    <w:rsid w:val="009155C7"/>
    <w:rsid w:val="00915805"/>
    <w:rsid w:val="00916582"/>
    <w:rsid w:val="00917A7A"/>
    <w:rsid w:val="00920854"/>
    <w:rsid w:val="009266EA"/>
    <w:rsid w:val="0093173D"/>
    <w:rsid w:val="00931E8B"/>
    <w:rsid w:val="009338F9"/>
    <w:rsid w:val="0093621E"/>
    <w:rsid w:val="00937866"/>
    <w:rsid w:val="0094255C"/>
    <w:rsid w:val="009436B3"/>
    <w:rsid w:val="00943730"/>
    <w:rsid w:val="0094510F"/>
    <w:rsid w:val="00950002"/>
    <w:rsid w:val="00950D65"/>
    <w:rsid w:val="00952815"/>
    <w:rsid w:val="0096388F"/>
    <w:rsid w:val="009728EE"/>
    <w:rsid w:val="00975CA5"/>
    <w:rsid w:val="009774B4"/>
    <w:rsid w:val="009813A2"/>
    <w:rsid w:val="00982604"/>
    <w:rsid w:val="00983063"/>
    <w:rsid w:val="009853B5"/>
    <w:rsid w:val="00986590"/>
    <w:rsid w:val="00991579"/>
    <w:rsid w:val="00992C76"/>
    <w:rsid w:val="009969D6"/>
    <w:rsid w:val="00996A3E"/>
    <w:rsid w:val="009A112B"/>
    <w:rsid w:val="009A2619"/>
    <w:rsid w:val="009A58FC"/>
    <w:rsid w:val="009A59A3"/>
    <w:rsid w:val="009B0554"/>
    <w:rsid w:val="009B17B7"/>
    <w:rsid w:val="009B394F"/>
    <w:rsid w:val="009B4D3B"/>
    <w:rsid w:val="009B6905"/>
    <w:rsid w:val="009C18DB"/>
    <w:rsid w:val="009C208E"/>
    <w:rsid w:val="009C6D19"/>
    <w:rsid w:val="009D3438"/>
    <w:rsid w:val="009D5148"/>
    <w:rsid w:val="009D6609"/>
    <w:rsid w:val="009D7407"/>
    <w:rsid w:val="009E0866"/>
    <w:rsid w:val="009E273C"/>
    <w:rsid w:val="009E6C5D"/>
    <w:rsid w:val="009F1350"/>
    <w:rsid w:val="009F6423"/>
    <w:rsid w:val="00A0491A"/>
    <w:rsid w:val="00A07A86"/>
    <w:rsid w:val="00A107B9"/>
    <w:rsid w:val="00A128DF"/>
    <w:rsid w:val="00A12B40"/>
    <w:rsid w:val="00A175E2"/>
    <w:rsid w:val="00A22F32"/>
    <w:rsid w:val="00A2395C"/>
    <w:rsid w:val="00A24A62"/>
    <w:rsid w:val="00A2546D"/>
    <w:rsid w:val="00A31C9F"/>
    <w:rsid w:val="00A33529"/>
    <w:rsid w:val="00A351A1"/>
    <w:rsid w:val="00A36639"/>
    <w:rsid w:val="00A41002"/>
    <w:rsid w:val="00A4144F"/>
    <w:rsid w:val="00A437C0"/>
    <w:rsid w:val="00A46B28"/>
    <w:rsid w:val="00A47135"/>
    <w:rsid w:val="00A47A42"/>
    <w:rsid w:val="00A534AC"/>
    <w:rsid w:val="00A56EB2"/>
    <w:rsid w:val="00A60742"/>
    <w:rsid w:val="00A61B4D"/>
    <w:rsid w:val="00A71167"/>
    <w:rsid w:val="00A72201"/>
    <w:rsid w:val="00A74192"/>
    <w:rsid w:val="00A75B84"/>
    <w:rsid w:val="00A77381"/>
    <w:rsid w:val="00A80123"/>
    <w:rsid w:val="00A80305"/>
    <w:rsid w:val="00A80F95"/>
    <w:rsid w:val="00A84BD2"/>
    <w:rsid w:val="00A868CB"/>
    <w:rsid w:val="00A9281C"/>
    <w:rsid w:val="00A96364"/>
    <w:rsid w:val="00A97244"/>
    <w:rsid w:val="00A97BF1"/>
    <w:rsid w:val="00AA298A"/>
    <w:rsid w:val="00AA3AA8"/>
    <w:rsid w:val="00AB3C1D"/>
    <w:rsid w:val="00AB4795"/>
    <w:rsid w:val="00AB64B6"/>
    <w:rsid w:val="00AB6748"/>
    <w:rsid w:val="00AB6BD2"/>
    <w:rsid w:val="00AB7F95"/>
    <w:rsid w:val="00AC107C"/>
    <w:rsid w:val="00AC164A"/>
    <w:rsid w:val="00AC2128"/>
    <w:rsid w:val="00AC3944"/>
    <w:rsid w:val="00AC551D"/>
    <w:rsid w:val="00AD19F7"/>
    <w:rsid w:val="00AD2C2E"/>
    <w:rsid w:val="00AE2B7B"/>
    <w:rsid w:val="00AE448A"/>
    <w:rsid w:val="00AE52F3"/>
    <w:rsid w:val="00AE74DA"/>
    <w:rsid w:val="00AF073F"/>
    <w:rsid w:val="00AF15EF"/>
    <w:rsid w:val="00AF18F4"/>
    <w:rsid w:val="00AF2050"/>
    <w:rsid w:val="00AF7ECC"/>
    <w:rsid w:val="00B00BF4"/>
    <w:rsid w:val="00B022FA"/>
    <w:rsid w:val="00B02B2A"/>
    <w:rsid w:val="00B03CA8"/>
    <w:rsid w:val="00B0551F"/>
    <w:rsid w:val="00B05B87"/>
    <w:rsid w:val="00B06E00"/>
    <w:rsid w:val="00B14916"/>
    <w:rsid w:val="00B16EF6"/>
    <w:rsid w:val="00B22F0E"/>
    <w:rsid w:val="00B249EC"/>
    <w:rsid w:val="00B33C0A"/>
    <w:rsid w:val="00B34763"/>
    <w:rsid w:val="00B34839"/>
    <w:rsid w:val="00B3607D"/>
    <w:rsid w:val="00B401AF"/>
    <w:rsid w:val="00B50ED0"/>
    <w:rsid w:val="00B51646"/>
    <w:rsid w:val="00B51C2F"/>
    <w:rsid w:val="00B521D8"/>
    <w:rsid w:val="00B55E19"/>
    <w:rsid w:val="00B56E71"/>
    <w:rsid w:val="00B57521"/>
    <w:rsid w:val="00B579A6"/>
    <w:rsid w:val="00B71AD8"/>
    <w:rsid w:val="00B730EA"/>
    <w:rsid w:val="00B779FC"/>
    <w:rsid w:val="00B828C8"/>
    <w:rsid w:val="00B84B3C"/>
    <w:rsid w:val="00B857E1"/>
    <w:rsid w:val="00B8599B"/>
    <w:rsid w:val="00B86990"/>
    <w:rsid w:val="00B91FE7"/>
    <w:rsid w:val="00B929BE"/>
    <w:rsid w:val="00B94758"/>
    <w:rsid w:val="00B96126"/>
    <w:rsid w:val="00B970C0"/>
    <w:rsid w:val="00BA1B89"/>
    <w:rsid w:val="00BA4A9D"/>
    <w:rsid w:val="00BA4B6D"/>
    <w:rsid w:val="00BA4D05"/>
    <w:rsid w:val="00BB07ED"/>
    <w:rsid w:val="00BB223C"/>
    <w:rsid w:val="00BB26C5"/>
    <w:rsid w:val="00BB2F84"/>
    <w:rsid w:val="00BB3FD0"/>
    <w:rsid w:val="00BB7504"/>
    <w:rsid w:val="00BC1FED"/>
    <w:rsid w:val="00BC5F08"/>
    <w:rsid w:val="00BD6304"/>
    <w:rsid w:val="00BD66E9"/>
    <w:rsid w:val="00BD710C"/>
    <w:rsid w:val="00BE02F1"/>
    <w:rsid w:val="00BE12B6"/>
    <w:rsid w:val="00BE385F"/>
    <w:rsid w:val="00BE5D2E"/>
    <w:rsid w:val="00BF1579"/>
    <w:rsid w:val="00BF1FC4"/>
    <w:rsid w:val="00BF4DE6"/>
    <w:rsid w:val="00BF6703"/>
    <w:rsid w:val="00C05529"/>
    <w:rsid w:val="00C06B13"/>
    <w:rsid w:val="00C1041C"/>
    <w:rsid w:val="00C107B2"/>
    <w:rsid w:val="00C14A77"/>
    <w:rsid w:val="00C16A47"/>
    <w:rsid w:val="00C23351"/>
    <w:rsid w:val="00C26142"/>
    <w:rsid w:val="00C27D25"/>
    <w:rsid w:val="00C35791"/>
    <w:rsid w:val="00C37697"/>
    <w:rsid w:val="00C42541"/>
    <w:rsid w:val="00C42967"/>
    <w:rsid w:val="00C42CDE"/>
    <w:rsid w:val="00C430CD"/>
    <w:rsid w:val="00C4505C"/>
    <w:rsid w:val="00C45941"/>
    <w:rsid w:val="00C47F48"/>
    <w:rsid w:val="00C50B58"/>
    <w:rsid w:val="00C5182A"/>
    <w:rsid w:val="00C519E3"/>
    <w:rsid w:val="00C52463"/>
    <w:rsid w:val="00C52B3D"/>
    <w:rsid w:val="00C55983"/>
    <w:rsid w:val="00C5707F"/>
    <w:rsid w:val="00C5775C"/>
    <w:rsid w:val="00C61649"/>
    <w:rsid w:val="00C63EE9"/>
    <w:rsid w:val="00C6474A"/>
    <w:rsid w:val="00C73F46"/>
    <w:rsid w:val="00C80F99"/>
    <w:rsid w:val="00C83F4E"/>
    <w:rsid w:val="00C8472E"/>
    <w:rsid w:val="00C84C30"/>
    <w:rsid w:val="00C8768E"/>
    <w:rsid w:val="00C87B9B"/>
    <w:rsid w:val="00C87D13"/>
    <w:rsid w:val="00C908C7"/>
    <w:rsid w:val="00C92805"/>
    <w:rsid w:val="00CA16F3"/>
    <w:rsid w:val="00CA1762"/>
    <w:rsid w:val="00CA2D8D"/>
    <w:rsid w:val="00CA3403"/>
    <w:rsid w:val="00CA37B1"/>
    <w:rsid w:val="00CA3FD8"/>
    <w:rsid w:val="00CA5021"/>
    <w:rsid w:val="00CB1488"/>
    <w:rsid w:val="00CB1959"/>
    <w:rsid w:val="00CB1F65"/>
    <w:rsid w:val="00CB3963"/>
    <w:rsid w:val="00CB40BD"/>
    <w:rsid w:val="00CC1D45"/>
    <w:rsid w:val="00CC29CD"/>
    <w:rsid w:val="00CC3445"/>
    <w:rsid w:val="00CC741B"/>
    <w:rsid w:val="00CD0E4B"/>
    <w:rsid w:val="00CD3F5D"/>
    <w:rsid w:val="00CD4781"/>
    <w:rsid w:val="00CD4AD4"/>
    <w:rsid w:val="00CD68DB"/>
    <w:rsid w:val="00CE2356"/>
    <w:rsid w:val="00CE4C89"/>
    <w:rsid w:val="00CF07BA"/>
    <w:rsid w:val="00CF21A3"/>
    <w:rsid w:val="00CF59C2"/>
    <w:rsid w:val="00CF65D3"/>
    <w:rsid w:val="00D0296C"/>
    <w:rsid w:val="00D05E55"/>
    <w:rsid w:val="00D06497"/>
    <w:rsid w:val="00D06B34"/>
    <w:rsid w:val="00D06B3E"/>
    <w:rsid w:val="00D11BBF"/>
    <w:rsid w:val="00D1231A"/>
    <w:rsid w:val="00D14AA8"/>
    <w:rsid w:val="00D1645E"/>
    <w:rsid w:val="00D20A30"/>
    <w:rsid w:val="00D20BC7"/>
    <w:rsid w:val="00D2641E"/>
    <w:rsid w:val="00D27F15"/>
    <w:rsid w:val="00D3170B"/>
    <w:rsid w:val="00D32D6F"/>
    <w:rsid w:val="00D34D5D"/>
    <w:rsid w:val="00D36C4F"/>
    <w:rsid w:val="00D37B04"/>
    <w:rsid w:val="00D45555"/>
    <w:rsid w:val="00D458BC"/>
    <w:rsid w:val="00D4628C"/>
    <w:rsid w:val="00D479B5"/>
    <w:rsid w:val="00D540C6"/>
    <w:rsid w:val="00D64BD1"/>
    <w:rsid w:val="00D71F34"/>
    <w:rsid w:val="00D7310B"/>
    <w:rsid w:val="00D849A6"/>
    <w:rsid w:val="00D85F0B"/>
    <w:rsid w:val="00D90B37"/>
    <w:rsid w:val="00D92254"/>
    <w:rsid w:val="00D924D3"/>
    <w:rsid w:val="00D924EA"/>
    <w:rsid w:val="00D948A1"/>
    <w:rsid w:val="00D94902"/>
    <w:rsid w:val="00D951F1"/>
    <w:rsid w:val="00D9626E"/>
    <w:rsid w:val="00DA1B52"/>
    <w:rsid w:val="00DA5007"/>
    <w:rsid w:val="00DB11FF"/>
    <w:rsid w:val="00DB605B"/>
    <w:rsid w:val="00DC0996"/>
    <w:rsid w:val="00DC238C"/>
    <w:rsid w:val="00DC277A"/>
    <w:rsid w:val="00DC5D96"/>
    <w:rsid w:val="00DC65AA"/>
    <w:rsid w:val="00DC65E9"/>
    <w:rsid w:val="00DC6D78"/>
    <w:rsid w:val="00DD2D81"/>
    <w:rsid w:val="00DD305E"/>
    <w:rsid w:val="00DD3E88"/>
    <w:rsid w:val="00DE084C"/>
    <w:rsid w:val="00DE0B97"/>
    <w:rsid w:val="00DE4F4E"/>
    <w:rsid w:val="00DE6043"/>
    <w:rsid w:val="00DF1FEA"/>
    <w:rsid w:val="00DF2254"/>
    <w:rsid w:val="00DF6073"/>
    <w:rsid w:val="00DF6534"/>
    <w:rsid w:val="00DF6604"/>
    <w:rsid w:val="00DF68CF"/>
    <w:rsid w:val="00E0497E"/>
    <w:rsid w:val="00E055AB"/>
    <w:rsid w:val="00E05EBE"/>
    <w:rsid w:val="00E1289D"/>
    <w:rsid w:val="00E14729"/>
    <w:rsid w:val="00E14F51"/>
    <w:rsid w:val="00E15A6C"/>
    <w:rsid w:val="00E1666D"/>
    <w:rsid w:val="00E221FA"/>
    <w:rsid w:val="00E22BD4"/>
    <w:rsid w:val="00E3076E"/>
    <w:rsid w:val="00E30843"/>
    <w:rsid w:val="00E330A1"/>
    <w:rsid w:val="00E357B7"/>
    <w:rsid w:val="00E410F8"/>
    <w:rsid w:val="00E4175B"/>
    <w:rsid w:val="00E42990"/>
    <w:rsid w:val="00E42E50"/>
    <w:rsid w:val="00E44BA3"/>
    <w:rsid w:val="00E4584F"/>
    <w:rsid w:val="00E532A8"/>
    <w:rsid w:val="00E53800"/>
    <w:rsid w:val="00E56BF1"/>
    <w:rsid w:val="00E6081F"/>
    <w:rsid w:val="00E614AA"/>
    <w:rsid w:val="00E624EC"/>
    <w:rsid w:val="00E62C1E"/>
    <w:rsid w:val="00E6452B"/>
    <w:rsid w:val="00E70C37"/>
    <w:rsid w:val="00E7614C"/>
    <w:rsid w:val="00E77D92"/>
    <w:rsid w:val="00E819D4"/>
    <w:rsid w:val="00E8296D"/>
    <w:rsid w:val="00E8457B"/>
    <w:rsid w:val="00E944AA"/>
    <w:rsid w:val="00E9485F"/>
    <w:rsid w:val="00EA04B2"/>
    <w:rsid w:val="00EA20F3"/>
    <w:rsid w:val="00EA36D9"/>
    <w:rsid w:val="00EB652D"/>
    <w:rsid w:val="00EB6903"/>
    <w:rsid w:val="00EB7440"/>
    <w:rsid w:val="00EC03C6"/>
    <w:rsid w:val="00EC45B6"/>
    <w:rsid w:val="00EC608A"/>
    <w:rsid w:val="00EC6530"/>
    <w:rsid w:val="00EC6D38"/>
    <w:rsid w:val="00ED2831"/>
    <w:rsid w:val="00ED3B2D"/>
    <w:rsid w:val="00ED43D1"/>
    <w:rsid w:val="00ED45DF"/>
    <w:rsid w:val="00ED5041"/>
    <w:rsid w:val="00ED6D2C"/>
    <w:rsid w:val="00EE0466"/>
    <w:rsid w:val="00EE1CFF"/>
    <w:rsid w:val="00EE4EE1"/>
    <w:rsid w:val="00EF1771"/>
    <w:rsid w:val="00EF4574"/>
    <w:rsid w:val="00EF7AD5"/>
    <w:rsid w:val="00F01921"/>
    <w:rsid w:val="00F0461D"/>
    <w:rsid w:val="00F13373"/>
    <w:rsid w:val="00F161B7"/>
    <w:rsid w:val="00F21AC6"/>
    <w:rsid w:val="00F258BF"/>
    <w:rsid w:val="00F25A93"/>
    <w:rsid w:val="00F2684E"/>
    <w:rsid w:val="00F27235"/>
    <w:rsid w:val="00F31A70"/>
    <w:rsid w:val="00F32F70"/>
    <w:rsid w:val="00F36039"/>
    <w:rsid w:val="00F36E57"/>
    <w:rsid w:val="00F431F2"/>
    <w:rsid w:val="00F43804"/>
    <w:rsid w:val="00F45486"/>
    <w:rsid w:val="00F47942"/>
    <w:rsid w:val="00F50931"/>
    <w:rsid w:val="00F530B7"/>
    <w:rsid w:val="00F531CF"/>
    <w:rsid w:val="00F53309"/>
    <w:rsid w:val="00F53E91"/>
    <w:rsid w:val="00F5404C"/>
    <w:rsid w:val="00F55791"/>
    <w:rsid w:val="00F56A6C"/>
    <w:rsid w:val="00F62B7A"/>
    <w:rsid w:val="00F650C7"/>
    <w:rsid w:val="00F67057"/>
    <w:rsid w:val="00F6717C"/>
    <w:rsid w:val="00F67C6A"/>
    <w:rsid w:val="00F70504"/>
    <w:rsid w:val="00F729EF"/>
    <w:rsid w:val="00F746B7"/>
    <w:rsid w:val="00F760AE"/>
    <w:rsid w:val="00F77CAE"/>
    <w:rsid w:val="00F81833"/>
    <w:rsid w:val="00F82271"/>
    <w:rsid w:val="00F82CF2"/>
    <w:rsid w:val="00F83428"/>
    <w:rsid w:val="00F875A8"/>
    <w:rsid w:val="00F90B17"/>
    <w:rsid w:val="00F96BB9"/>
    <w:rsid w:val="00FA23FF"/>
    <w:rsid w:val="00FA4D1A"/>
    <w:rsid w:val="00FA5179"/>
    <w:rsid w:val="00FA5EFD"/>
    <w:rsid w:val="00FB7717"/>
    <w:rsid w:val="00FB7875"/>
    <w:rsid w:val="00FC1216"/>
    <w:rsid w:val="00FC3896"/>
    <w:rsid w:val="00FC5365"/>
    <w:rsid w:val="00FD1850"/>
    <w:rsid w:val="00FD1E6C"/>
    <w:rsid w:val="00FD3EC6"/>
    <w:rsid w:val="00FD3ED9"/>
    <w:rsid w:val="00FD710F"/>
    <w:rsid w:val="00FE2AE9"/>
    <w:rsid w:val="00FE6963"/>
    <w:rsid w:val="00FE6D51"/>
    <w:rsid w:val="00FE6F2A"/>
    <w:rsid w:val="00FF6230"/>
    <w:rsid w:val="00FF7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2608AA"/>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5A1A5E"/>
    <w:pPr>
      <w:outlineLvl w:val="2"/>
    </w:pPr>
    <w:rPr>
      <w:bCs/>
      <w:i/>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2608AA"/>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5A1A5E"/>
    <w:rPr>
      <w:rFonts w:asciiTheme="majorHAnsi" w:eastAsiaTheme="majorEastAsia" w:hAnsiTheme="majorHAnsi" w:cstheme="majorBidi"/>
      <w:b/>
      <w:bCs/>
      <w:i/>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uiPriority w:val="34"/>
    <w:qFormat/>
    <w:rsid w:val="00B71AD8"/>
    <w:pPr>
      <w:numPr>
        <w:numId w:val="1"/>
      </w:numPr>
      <w:spacing w:before="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character" w:customStyle="1" w:styleId="Bullet1Char">
    <w:name w:val="Bullet 1 Char"/>
    <w:aliases w:val="3 Char,Bullet Points Char,CAB - List Bullet Char,Colorful List - Accent 11 Char,Indicator Text Char,Issue Action POC Char,List Bullet Cab Char,List Paragraph Char Char Char Char,List Paragraph12 Char,No Spacing1 Char,Numbered Para 1 Char"/>
    <w:basedOn w:val="DefaultParagraphFont"/>
    <w:link w:val="Bullet1"/>
    <w:uiPriority w:val="34"/>
    <w:qFormat/>
    <w:rsid w:val="00E4175B"/>
    <w:rPr>
      <w:color w:val="495965" w:themeColor="text2"/>
      <w:lang w:val="en-GB"/>
    </w:rPr>
  </w:style>
  <w:style w:type="paragraph" w:customStyle="1" w:styleId="Default">
    <w:name w:val="Default"/>
    <w:rsid w:val="00E330A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BD66E9"/>
  </w:style>
  <w:style w:type="paragraph" w:styleId="Revision">
    <w:name w:val="Revision"/>
    <w:hidden/>
    <w:uiPriority w:val="99"/>
    <w:semiHidden/>
    <w:rsid w:val="00E819D4"/>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382486829">
      <w:bodyDiv w:val="1"/>
      <w:marLeft w:val="0"/>
      <w:marRight w:val="0"/>
      <w:marTop w:val="0"/>
      <w:marBottom w:val="0"/>
      <w:divBdr>
        <w:top w:val="none" w:sz="0" w:space="0" w:color="auto"/>
        <w:left w:val="none" w:sz="0" w:space="0" w:color="auto"/>
        <w:bottom w:val="none" w:sz="0" w:space="0" w:color="auto"/>
        <w:right w:val="none" w:sz="0" w:space="0" w:color="auto"/>
      </w:divBdr>
    </w:div>
    <w:div w:id="418142728">
      <w:bodyDiv w:val="1"/>
      <w:marLeft w:val="0"/>
      <w:marRight w:val="0"/>
      <w:marTop w:val="0"/>
      <w:marBottom w:val="0"/>
      <w:divBdr>
        <w:top w:val="none" w:sz="0" w:space="0" w:color="auto"/>
        <w:left w:val="none" w:sz="0" w:space="0" w:color="auto"/>
        <w:bottom w:val="none" w:sz="0" w:space="0" w:color="auto"/>
        <w:right w:val="none" w:sz="0" w:space="0" w:color="auto"/>
      </w:divBdr>
    </w:div>
    <w:div w:id="553657212">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04345198">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20350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2723</Words>
  <Characters>16292</Characters>
  <Application>Microsoft Office Word</Application>
  <DocSecurity>0</DocSecurity>
  <Lines>354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Tonga Development Program Progress Report</dc:title>
  <dc:subject/>
  <dc:creator/>
  <cp:keywords/>
  <cp:lastModifiedBy/>
  <cp:revision>1</cp:revision>
  <dcterms:created xsi:type="dcterms:W3CDTF">2021-11-24T05:32:00Z</dcterms:created>
  <dcterms:modified xsi:type="dcterms:W3CDTF">2021-11-24T05:33:00Z</dcterms:modified>
  <cp:category/>
</cp:coreProperties>
</file>