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DDB3" w14:textId="04FBB1F6" w:rsidR="00FA5EFD" w:rsidRDefault="002E500A" w:rsidP="00690AE1">
      <w:pPr>
        <w:pStyle w:val="Heading1"/>
      </w:pPr>
      <w:r w:rsidRPr="002E500A">
        <w:t xml:space="preserve">2020-21 </w:t>
      </w:r>
      <w:r w:rsidR="00280FF0">
        <w:t>Vanuatu</w:t>
      </w:r>
      <w:r w:rsidR="001F7F4D" w:rsidRPr="002E500A">
        <w:t xml:space="preserve"> D</w:t>
      </w:r>
      <w:r w:rsidR="00382CE7">
        <w:t>evelopment</w:t>
      </w:r>
      <w:r w:rsidR="001F7F4D" w:rsidRPr="002E500A">
        <w:t xml:space="preserve"> </w:t>
      </w:r>
      <w:r w:rsidRPr="002E500A">
        <w:t>P</w:t>
      </w:r>
      <w:r w:rsidR="00382CE7">
        <w:t xml:space="preserve">rogram </w:t>
      </w:r>
      <w:r w:rsidRPr="002E500A">
        <w:t>P</w:t>
      </w:r>
      <w:r w:rsidR="00382CE7">
        <w:t>rogress</w:t>
      </w:r>
      <w:r w:rsidRPr="002E500A">
        <w:t xml:space="preserve"> R</w:t>
      </w:r>
      <w:r w:rsidR="00382CE7">
        <w:t>eport</w:t>
      </w:r>
    </w:p>
    <w:p w14:paraId="33498D60" w14:textId="7172ED94" w:rsidR="000B7CD6" w:rsidRPr="00743D0F" w:rsidRDefault="00AA40B5" w:rsidP="00743D0F">
      <w:r w:rsidRPr="00AA40B5">
        <w:rPr>
          <w:noProof/>
        </w:rPr>
        <w:drawing>
          <wp:inline distT="0" distB="0" distL="0" distR="0" wp14:anchorId="79F65F31" wp14:editId="2654134C">
            <wp:extent cx="6696710" cy="2762250"/>
            <wp:effectExtent l="0" t="0" r="8890" b="0"/>
            <wp:docPr id="6" name="Picture 6" descr="2020-21 Budget estimate. Total ODA $88 million. Bilateral program budget $15 million. Regional program budget $5.8 million. Global program budget $35.5 million. Other government departments budget $5.1 million. Temporary, targeted and supplementary measures $12.4 million.&#10;Our development program to Vanuatu contributes towards achieving the following Sustainable Development Goals: 1,3,4,5,8,9,10,13,16 and 17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020-21 Budget estimate. Total ODA $88 million. Bilateral program budget $15 million. Regional program budget $5.8 million. Global program budget $35.5 million. Other government departments budget $5.1 million. Temporary, targeted and supplementary measures $12.4 million.&#10;Our development program to Vanuatu contributes towards achieving the following Sustainable Development Goals: 1,3,4,5,8,9,10,13,16 and 17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94"/>
                    <a:stretch/>
                  </pic:blipFill>
                  <pic:spPr bwMode="auto">
                    <a:xfrm>
                      <a:off x="0" y="0"/>
                      <a:ext cx="669671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182A4" w14:textId="55304760" w:rsidR="00C84C30" w:rsidRDefault="00C84C30" w:rsidP="001477ED">
      <w:pPr>
        <w:pStyle w:val="Heading2"/>
      </w:pPr>
      <w:r w:rsidRPr="00297FD1">
        <w:t xml:space="preserve">CONTEXT </w:t>
      </w:r>
    </w:p>
    <w:p w14:paraId="5ACF2F93" w14:textId="7F2A077A" w:rsidR="00280FF0" w:rsidRDefault="00280FF0" w:rsidP="00280FF0">
      <w:pPr>
        <w:pStyle w:val="Bullet1"/>
        <w:numPr>
          <w:ilvl w:val="0"/>
          <w:numId w:val="0"/>
        </w:numPr>
      </w:pPr>
      <w:r>
        <w:t>Australia and Vanuatu are close neighbours and partners</w:t>
      </w:r>
      <w:r w:rsidR="00CC0A91">
        <w:t>,</w:t>
      </w:r>
      <w:r>
        <w:t xml:space="preserve"> with long-standing </w:t>
      </w:r>
      <w:r w:rsidR="00CC0A91">
        <w:t xml:space="preserve">people </w:t>
      </w:r>
      <w:r>
        <w:t xml:space="preserve">and institutional links. Our health, economic and security interests are deeply intertwined. Australia is Vanuatu’s largest development </w:t>
      </w:r>
      <w:r w:rsidRPr="00F72567">
        <w:t>partner and the biggest provider of foreign direct investment.</w:t>
      </w:r>
      <w:r>
        <w:t xml:space="preserve"> </w:t>
      </w:r>
    </w:p>
    <w:p w14:paraId="791EEDD4" w14:textId="50825784" w:rsidR="00280FF0" w:rsidRDefault="00280FF0" w:rsidP="00280FF0">
      <w:pPr>
        <w:pStyle w:val="Bullet1"/>
        <w:numPr>
          <w:ilvl w:val="0"/>
          <w:numId w:val="0"/>
        </w:numPr>
      </w:pPr>
      <w:r w:rsidRPr="002E68B8">
        <w:rPr>
          <w:b/>
          <w:bCs/>
        </w:rPr>
        <w:t>Vanuatu remains COVID-19 free as of August 2021</w:t>
      </w:r>
      <w:r>
        <w:t xml:space="preserve">. </w:t>
      </w:r>
      <w:r w:rsidR="00CC0A91">
        <w:t>Vanuatu</w:t>
      </w:r>
      <w:r>
        <w:t xml:space="preserve"> closed its international borders </w:t>
      </w:r>
      <w:r w:rsidR="00F5038C">
        <w:t xml:space="preserve">early </w:t>
      </w:r>
      <w:r>
        <w:t>and has effectively managed the quarantine of limited returnees</w:t>
      </w:r>
      <w:r w:rsidR="00E76FB1">
        <w:t xml:space="preserve"> </w:t>
      </w:r>
      <w:bookmarkStart w:id="0" w:name="_Hlk84494462"/>
      <w:r w:rsidR="00E76FB1">
        <w:t>(three cases</w:t>
      </w:r>
      <w:r w:rsidR="00F5038C">
        <w:t xml:space="preserve"> </w:t>
      </w:r>
      <w:r w:rsidR="00110E2B">
        <w:t>at the border with</w:t>
      </w:r>
      <w:r w:rsidR="00E76FB1">
        <w:t xml:space="preserve"> no </w:t>
      </w:r>
      <w:r w:rsidR="00F5038C">
        <w:t xml:space="preserve">cases of </w:t>
      </w:r>
      <w:r w:rsidR="00E76FB1">
        <w:t>community transmission)</w:t>
      </w:r>
      <w:bookmarkEnd w:id="0"/>
      <w:r w:rsidR="00F5038C">
        <w:t>.</w:t>
      </w:r>
      <w:r w:rsidR="009B413C">
        <w:t xml:space="preserve"> </w:t>
      </w:r>
      <w:r>
        <w:t>Vanuatu continues to feel the impact of COVID-19 through lost tourism revenue (previously around 45</w:t>
      </w:r>
      <w:r w:rsidR="005C496D">
        <w:t xml:space="preserve"> per cent</w:t>
      </w:r>
      <w:r>
        <w:t xml:space="preserve"> of </w:t>
      </w:r>
      <w:r w:rsidR="00554CB0">
        <w:t xml:space="preserve">gross domestic product </w:t>
      </w:r>
      <w:r w:rsidR="002E0D10">
        <w:t>(</w:t>
      </w:r>
      <w:r w:rsidR="00554CB0">
        <w:t>GDP</w:t>
      </w:r>
      <w:r w:rsidR="002E0D10">
        <w:t>)</w:t>
      </w:r>
      <w:r>
        <w:t xml:space="preserve">), reduced remittances and rising unemployment. </w:t>
      </w:r>
      <w:r w:rsidR="00110E2B">
        <w:t>Vanuatu continues to feel the impact of</w:t>
      </w:r>
      <w:r>
        <w:t xml:space="preserve"> Category 5 Tropical Cyclone Harold, which devastated the northern islands of Vanuatu in April 2020.</w:t>
      </w:r>
    </w:p>
    <w:p w14:paraId="3296D407" w14:textId="62FF55DF" w:rsidR="00280FF0" w:rsidRDefault="00280FF0" w:rsidP="00280FF0">
      <w:pPr>
        <w:pStyle w:val="Bullet1"/>
        <w:numPr>
          <w:ilvl w:val="0"/>
          <w:numId w:val="0"/>
        </w:numPr>
      </w:pPr>
      <w:r>
        <w:t xml:space="preserve">The Vanuatu Government has estimated the </w:t>
      </w:r>
      <w:r w:rsidRPr="002E68B8">
        <w:rPr>
          <w:b/>
          <w:bCs/>
        </w:rPr>
        <w:t>combined economic cost of COVID-19 and T</w:t>
      </w:r>
      <w:r w:rsidR="008D74E3">
        <w:rPr>
          <w:b/>
          <w:bCs/>
        </w:rPr>
        <w:t xml:space="preserve">ropical </w:t>
      </w:r>
      <w:r w:rsidRPr="002E68B8">
        <w:rPr>
          <w:b/>
          <w:bCs/>
        </w:rPr>
        <w:t>C</w:t>
      </w:r>
      <w:r w:rsidR="008D74E3">
        <w:rPr>
          <w:b/>
          <w:bCs/>
        </w:rPr>
        <w:t>yclone</w:t>
      </w:r>
      <w:r w:rsidRPr="002E68B8">
        <w:rPr>
          <w:b/>
          <w:bCs/>
        </w:rPr>
        <w:t xml:space="preserve"> Harold at</w:t>
      </w:r>
      <w:r w:rsidR="00E76FB1">
        <w:rPr>
          <w:b/>
          <w:bCs/>
        </w:rPr>
        <w:t xml:space="preserve"> </w:t>
      </w:r>
      <w:r w:rsidR="00CA7020">
        <w:rPr>
          <w:b/>
          <w:bCs/>
        </w:rPr>
        <w:t>$</w:t>
      </w:r>
      <w:r w:rsidRPr="002E68B8">
        <w:rPr>
          <w:b/>
          <w:bCs/>
        </w:rPr>
        <w:t>850 million</w:t>
      </w:r>
      <w:r w:rsidRPr="00B37727">
        <w:t>.</w:t>
      </w:r>
      <w:r w:rsidRPr="00CA7020">
        <w:t xml:space="preserve"> </w:t>
      </w:r>
      <w:r>
        <w:t xml:space="preserve">These dual crises sit within the broader context of Vanuatu’s long-term development challenges – distance from major markets, climate change and disaster vulnerability, a small formal labour market </w:t>
      </w:r>
      <w:r w:rsidR="00F5038C">
        <w:t xml:space="preserve">and </w:t>
      </w:r>
      <w:r>
        <w:t xml:space="preserve">limited economic </w:t>
      </w:r>
      <w:r w:rsidRPr="00E740BA">
        <w:t>diversification</w:t>
      </w:r>
      <w:r w:rsidR="00821048" w:rsidRPr="00E740BA">
        <w:t>.</w:t>
      </w:r>
    </w:p>
    <w:p w14:paraId="5F50EDAD" w14:textId="7C97F9B7" w:rsidR="00280FF0" w:rsidRPr="005C09D2" w:rsidRDefault="00F258E9" w:rsidP="00280FF0">
      <w:pPr>
        <w:pStyle w:val="Bullet1"/>
        <w:numPr>
          <w:ilvl w:val="0"/>
          <w:numId w:val="0"/>
        </w:numPr>
      </w:pPr>
      <w:r w:rsidRPr="002E68B8">
        <w:t>Vanuatu’s GDP contracted in 2020</w:t>
      </w:r>
      <w:r w:rsidR="00CA7020">
        <w:t>.</w:t>
      </w:r>
      <w:r w:rsidRPr="002E68B8">
        <w:t xml:space="preserve"> </w:t>
      </w:r>
      <w:r w:rsidR="00CA7020">
        <w:t>E</w:t>
      </w:r>
      <w:r w:rsidR="008313F0">
        <w:t>stimates vary</w:t>
      </w:r>
      <w:r w:rsidRPr="002E68B8">
        <w:t xml:space="preserve"> from between </w:t>
      </w:r>
      <w:r w:rsidR="00D0128E">
        <w:t>-</w:t>
      </w:r>
      <w:r w:rsidR="00D0128E" w:rsidRPr="00C379B3">
        <w:t xml:space="preserve"> </w:t>
      </w:r>
      <w:r w:rsidR="00F72567" w:rsidRPr="00C379B3">
        <w:t>2.6</w:t>
      </w:r>
      <w:r w:rsidR="00C56B01" w:rsidRPr="00C379B3">
        <w:t xml:space="preserve"> per cent</w:t>
      </w:r>
      <w:r w:rsidRPr="00C379B3">
        <w:t xml:space="preserve"> (Vanuatu Government</w:t>
      </w:r>
      <w:r w:rsidR="00F72567" w:rsidRPr="00C379B3">
        <w:t xml:space="preserve"> Half-Year Economic and Fiscal Update, August 2021</w:t>
      </w:r>
      <w:r w:rsidRPr="00C379B3">
        <w:t>) to</w:t>
      </w:r>
      <w:r w:rsidR="00280FF0" w:rsidRPr="00C379B3">
        <w:t xml:space="preserve"> </w:t>
      </w:r>
      <w:r w:rsidR="00D0128E">
        <w:t>- 8.5</w:t>
      </w:r>
      <w:r w:rsidR="00C56B01" w:rsidRPr="00C379B3">
        <w:t xml:space="preserve"> per cent</w:t>
      </w:r>
      <w:r w:rsidR="00280FF0" w:rsidRPr="00C379B3">
        <w:t xml:space="preserve"> (</w:t>
      </w:r>
      <w:r w:rsidR="00D0128E">
        <w:t xml:space="preserve">Asian Development Bank </w:t>
      </w:r>
      <w:r w:rsidR="002E0D10">
        <w:t>(</w:t>
      </w:r>
      <w:r w:rsidR="00D0128E">
        <w:t>ADB</w:t>
      </w:r>
      <w:r w:rsidR="002E0D10">
        <w:t>)</w:t>
      </w:r>
      <w:r w:rsidRPr="00C379B3">
        <w:t xml:space="preserve">, </w:t>
      </w:r>
      <w:r w:rsidR="00D0128E">
        <w:t>September</w:t>
      </w:r>
      <w:r w:rsidR="00D0128E" w:rsidRPr="00C379B3">
        <w:t xml:space="preserve"> </w:t>
      </w:r>
      <w:r w:rsidRPr="00C379B3">
        <w:t>2021</w:t>
      </w:r>
      <w:r w:rsidR="00280FF0" w:rsidRPr="00C379B3">
        <w:t xml:space="preserve">). </w:t>
      </w:r>
      <w:r w:rsidRPr="00C379B3">
        <w:t>T</w:t>
      </w:r>
      <w:r w:rsidR="00280FF0" w:rsidRPr="00C379B3">
        <w:t xml:space="preserve">he Vanuatu Government </w:t>
      </w:r>
      <w:r w:rsidR="00E740BA" w:rsidRPr="00C379B3">
        <w:t xml:space="preserve">has </w:t>
      </w:r>
      <w:r w:rsidR="00280FF0" w:rsidRPr="00C379B3">
        <w:t>estimate</w:t>
      </w:r>
      <w:r w:rsidR="00E740BA" w:rsidRPr="00C379B3">
        <w:t>d</w:t>
      </w:r>
      <w:r w:rsidR="00280FF0" w:rsidRPr="00C379B3">
        <w:t xml:space="preserve"> GDP </w:t>
      </w:r>
      <w:r w:rsidRPr="00C379B3">
        <w:t xml:space="preserve">will grow by </w:t>
      </w:r>
      <w:r w:rsidR="00CA7020">
        <w:t>two</w:t>
      </w:r>
      <w:r w:rsidR="00C56B01" w:rsidRPr="00C379B3">
        <w:t xml:space="preserve"> per cent</w:t>
      </w:r>
      <w:r w:rsidR="00280FF0" w:rsidRPr="00C379B3">
        <w:t xml:space="preserve"> </w:t>
      </w:r>
      <w:r w:rsidRPr="00C379B3">
        <w:t>in 2021</w:t>
      </w:r>
      <w:r w:rsidRPr="00636AC3">
        <w:t xml:space="preserve">, </w:t>
      </w:r>
      <w:r w:rsidR="00F72567" w:rsidRPr="00636AC3">
        <w:t xml:space="preserve">supported by the ongoing </w:t>
      </w:r>
      <w:r w:rsidR="00636AC3">
        <w:t xml:space="preserve">COVID-19 </w:t>
      </w:r>
      <w:r w:rsidR="00F72567" w:rsidRPr="00636AC3">
        <w:t>vaccination pr</w:t>
      </w:r>
      <w:r w:rsidR="00F72567" w:rsidRPr="00F72567">
        <w:t>ogram, the second phase of the economic stimulus package and the forecast</w:t>
      </w:r>
      <w:r w:rsidR="00F72567">
        <w:t>ed</w:t>
      </w:r>
      <w:r w:rsidR="00F72567" w:rsidRPr="00F72567">
        <w:t xml:space="preserve"> economic impacts of infrastructure</w:t>
      </w:r>
      <w:r w:rsidR="006B5D53">
        <w:t xml:space="preserve"> projects</w:t>
      </w:r>
      <w:r w:rsidR="00F72567">
        <w:t xml:space="preserve"> related to</w:t>
      </w:r>
      <w:r w:rsidR="00F72567" w:rsidRPr="00F72567">
        <w:t xml:space="preserve"> </w:t>
      </w:r>
      <w:r w:rsidR="00280FF0">
        <w:t>T</w:t>
      </w:r>
      <w:r w:rsidR="008D74E3">
        <w:t xml:space="preserve">ropical </w:t>
      </w:r>
      <w:r w:rsidR="00280FF0">
        <w:t>C</w:t>
      </w:r>
      <w:r w:rsidR="008D74E3">
        <w:t>yclone</w:t>
      </w:r>
      <w:r w:rsidR="00280FF0">
        <w:t xml:space="preserve"> Harold and COVID-19 recovery programs. </w:t>
      </w:r>
      <w:r w:rsidR="00B37727">
        <w:t>However, t</w:t>
      </w:r>
      <w:r w:rsidR="008E2B13">
        <w:t xml:space="preserve">he </w:t>
      </w:r>
      <w:r w:rsidR="00280FF0" w:rsidRPr="002E68B8">
        <w:t>ADB</w:t>
      </w:r>
      <w:r w:rsidR="008E2B13">
        <w:t>’s most recent</w:t>
      </w:r>
      <w:r w:rsidR="006B5D53">
        <w:t xml:space="preserve"> forecast</w:t>
      </w:r>
      <w:r w:rsidR="008E2B13">
        <w:t xml:space="preserve"> (September 2021) </w:t>
      </w:r>
      <w:r w:rsidR="00280FF0" w:rsidRPr="002E68B8">
        <w:t>estimate</w:t>
      </w:r>
      <w:r w:rsidR="008E2B13">
        <w:t>s</w:t>
      </w:r>
      <w:r w:rsidR="00280FF0" w:rsidRPr="002E68B8">
        <w:t xml:space="preserve"> </w:t>
      </w:r>
      <w:r w:rsidR="00B37727">
        <w:t xml:space="preserve">a three per cent contraction in </w:t>
      </w:r>
      <w:r w:rsidR="00280FF0" w:rsidRPr="002E68B8">
        <w:t>2021 GD</w:t>
      </w:r>
      <w:r w:rsidR="00B37727">
        <w:t>P</w:t>
      </w:r>
      <w:r w:rsidR="00280FF0" w:rsidRPr="00B44128">
        <w:t xml:space="preserve">. </w:t>
      </w:r>
      <w:r w:rsidR="00E740BA" w:rsidRPr="00B44128">
        <w:t xml:space="preserve">Government spending </w:t>
      </w:r>
      <w:r w:rsidR="008313F0">
        <w:t>is</w:t>
      </w:r>
      <w:r w:rsidR="008313F0" w:rsidRPr="00B44128">
        <w:t xml:space="preserve"> </w:t>
      </w:r>
      <w:r w:rsidR="00E740BA" w:rsidRPr="00B44128">
        <w:t xml:space="preserve">likely to exceed income in 2021, with </w:t>
      </w:r>
      <w:r w:rsidR="00554CB0">
        <w:t>the International Monetary Fund (</w:t>
      </w:r>
      <w:r w:rsidR="00E740BA" w:rsidRPr="00FA2B92">
        <w:t>IMF</w:t>
      </w:r>
      <w:r w:rsidR="00554CB0">
        <w:t>)</w:t>
      </w:r>
      <w:r w:rsidR="00E740BA" w:rsidRPr="00FA2B92">
        <w:t xml:space="preserve"> estimating a</w:t>
      </w:r>
      <w:r w:rsidR="00280FF0" w:rsidRPr="00C379B3">
        <w:t xml:space="preserve"> 5.8</w:t>
      </w:r>
      <w:r w:rsidR="00772522" w:rsidRPr="00C379B3">
        <w:t xml:space="preserve"> per cent</w:t>
      </w:r>
      <w:r w:rsidR="00280FF0" w:rsidRPr="00C379B3">
        <w:t xml:space="preserve"> fiscal deficit</w:t>
      </w:r>
      <w:r w:rsidR="00E740BA" w:rsidRPr="00C379B3">
        <w:t xml:space="preserve"> </w:t>
      </w:r>
      <w:r w:rsidR="00280FF0" w:rsidRPr="00C379B3">
        <w:t>(April 2021)</w:t>
      </w:r>
      <w:r w:rsidR="00590EA3" w:rsidRPr="00C379B3">
        <w:t xml:space="preserve">. While </w:t>
      </w:r>
      <w:r w:rsidR="00CA7020">
        <w:t>g</w:t>
      </w:r>
      <w:r w:rsidR="00590EA3" w:rsidRPr="00C379B3">
        <w:t xml:space="preserve">overnment income continues to have </w:t>
      </w:r>
      <w:r w:rsidR="0064243B" w:rsidRPr="00C379B3">
        <w:t xml:space="preserve">substantial </w:t>
      </w:r>
      <w:r w:rsidR="00590EA3" w:rsidRPr="00C379B3">
        <w:t>inflows from its citizenship scheme, it is affected by</w:t>
      </w:r>
      <w:r w:rsidR="00E740BA" w:rsidRPr="00C379B3">
        <w:t xml:space="preserve"> </w:t>
      </w:r>
      <w:r w:rsidR="00590EA3" w:rsidRPr="00C379B3">
        <w:t xml:space="preserve">sharp </w:t>
      </w:r>
      <w:r w:rsidR="00280FF0" w:rsidRPr="00C379B3">
        <w:t>reduc</w:t>
      </w:r>
      <w:r w:rsidR="00E740BA" w:rsidRPr="00C379B3">
        <w:t>tions in Value-Added Tax</w:t>
      </w:r>
      <w:r w:rsidR="00280FF0" w:rsidRPr="00C379B3">
        <w:t xml:space="preserve"> collections (down 20</w:t>
      </w:r>
      <w:r w:rsidR="00772522" w:rsidRPr="00C379B3">
        <w:t xml:space="preserve"> per cent</w:t>
      </w:r>
      <w:r w:rsidR="00280FF0" w:rsidRPr="00C379B3">
        <w:t xml:space="preserve"> in 2020). </w:t>
      </w:r>
      <w:r w:rsidR="00821048" w:rsidRPr="00C379B3">
        <w:t xml:space="preserve">The trade balance is </w:t>
      </w:r>
      <w:r w:rsidR="00E60AE9">
        <w:t xml:space="preserve">also </w:t>
      </w:r>
      <w:r w:rsidR="00821048" w:rsidRPr="00C379B3">
        <w:t>expected to deteriorate due to a fall in exports.</w:t>
      </w:r>
      <w:r w:rsidR="00821048" w:rsidRPr="005C09D2">
        <w:t xml:space="preserve"> </w:t>
      </w:r>
    </w:p>
    <w:p w14:paraId="7546B196" w14:textId="66EFA946" w:rsidR="00A013E7" w:rsidRPr="00692CC0" w:rsidRDefault="00280FF0" w:rsidP="00F417A9">
      <w:pPr>
        <w:pStyle w:val="Bullet1"/>
        <w:numPr>
          <w:ilvl w:val="0"/>
          <w:numId w:val="0"/>
        </w:numPr>
      </w:pPr>
      <w:r w:rsidRPr="005C09D2">
        <w:t xml:space="preserve">Vanuatu commenced its COVID-19 vaccination rollout </w:t>
      </w:r>
      <w:r w:rsidR="00F5038C">
        <w:t>in Shefa province</w:t>
      </w:r>
      <w:r w:rsidRPr="005C09D2">
        <w:t xml:space="preserve"> in June </w:t>
      </w:r>
      <w:r w:rsidR="006E4B74" w:rsidRPr="005C09D2">
        <w:t>2021</w:t>
      </w:r>
      <w:r w:rsidR="00F5038C">
        <w:t>, reaching 50 per cent of the target population with first doses by mid-August 2021.</w:t>
      </w:r>
      <w:r w:rsidR="00B44128">
        <w:t xml:space="preserve"> </w:t>
      </w:r>
      <w:r w:rsidR="00F5038C">
        <w:t xml:space="preserve">As of September 2021, </w:t>
      </w:r>
      <w:r w:rsidR="00B44128">
        <w:t>Australia</w:t>
      </w:r>
      <w:r w:rsidR="00F5038C">
        <w:t xml:space="preserve"> has</w:t>
      </w:r>
      <w:r w:rsidR="00692CC0">
        <w:t xml:space="preserve"> </w:t>
      </w:r>
      <w:r w:rsidR="00B44128" w:rsidRPr="009F6548">
        <w:t xml:space="preserve">provided 50,000 Australian-manufactured AstraZeneca vaccines </w:t>
      </w:r>
      <w:r w:rsidR="00F5038C">
        <w:t>to Vanuatu</w:t>
      </w:r>
      <w:r w:rsidR="00B44128" w:rsidRPr="009F6548">
        <w:t>.</w:t>
      </w:r>
    </w:p>
    <w:p w14:paraId="04B5F014" w14:textId="77777777" w:rsidR="00F417A9" w:rsidRPr="00CB5654" w:rsidRDefault="00F417A9" w:rsidP="001477ED">
      <w:pPr>
        <w:pStyle w:val="Heading2"/>
      </w:pPr>
      <w:r w:rsidRPr="00CB5654">
        <w:lastRenderedPageBreak/>
        <w:t>AUSTRALIA’S RESPONSE and PROGRAM HIGHLIGHTS</w:t>
      </w:r>
    </w:p>
    <w:p w14:paraId="1F439C4D" w14:textId="2AD8ECD2" w:rsidR="005A2DEF" w:rsidRDefault="00D00B03" w:rsidP="005A2DEF">
      <w:pPr>
        <w:spacing w:before="0"/>
      </w:pPr>
      <w:bookmarkStart w:id="1" w:name="_Hlk86317184"/>
      <w:bookmarkStart w:id="2" w:name="_Hlk82443257"/>
      <w:r>
        <w:t>Australia</w:t>
      </w:r>
      <w:r w:rsidR="00C03F97">
        <w:t>’s</w:t>
      </w:r>
      <w:r>
        <w:t xml:space="preserve"> longstanding partnerships with Vanuatu in sectors of critical importance to Vanuatu’s recovery. Our support in health, education, skills, security</w:t>
      </w:r>
      <w:r w:rsidR="00110E2B">
        <w:t xml:space="preserve">, </w:t>
      </w:r>
      <w:r>
        <w:t xml:space="preserve">justice, economic governance, infrastructure and humanitarian support has adapted to the changing COVID-19 context to help drive Vanuatu’s recovery. </w:t>
      </w:r>
      <w:r w:rsidR="005A2DEF">
        <w:t xml:space="preserve">Despite a </w:t>
      </w:r>
      <w:r w:rsidR="00E0296F">
        <w:t>challenging</w:t>
      </w:r>
      <w:r w:rsidR="005A2DEF">
        <w:t xml:space="preserve"> operating environment, investments continued to make progress towards expected outcomes, although progress was uneven.</w:t>
      </w:r>
    </w:p>
    <w:bookmarkEnd w:id="1"/>
    <w:p w14:paraId="01D8B2D2" w14:textId="77777777" w:rsidR="00C736C8" w:rsidRDefault="00426929" w:rsidP="00C736C8">
      <w:pPr>
        <w:pStyle w:val="Heading3"/>
      </w:pPr>
      <w:r w:rsidRPr="00216C55">
        <w:t>Health Security</w:t>
      </w:r>
    </w:p>
    <w:p w14:paraId="446ED795" w14:textId="445B6905" w:rsidR="002E68B8" w:rsidRPr="00C736C8" w:rsidRDefault="003728B8" w:rsidP="00C736C8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</w:pPr>
      <w:r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Australia is Vanuatu’s largest bilateral health partner and has worked with Vanuatu’s Ministry of Health (MOH) for over three decades to strengthen </w:t>
      </w:r>
      <w:r w:rsidR="001522B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the</w:t>
      </w:r>
      <w:r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health system, improve health outcomes and enhance health service delivery.</w:t>
      </w:r>
      <w:r w:rsidR="00991F35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A41628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We have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focused on </w:t>
      </w:r>
      <w:r w:rsidR="00A41628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supporting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Vanuatu </w:t>
      </w:r>
      <w:r w:rsidR="00110E2B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to 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maintain its COVID-19 free status, prepare for a potential outbreak and vaccinate its population.</w:t>
      </w:r>
      <w:r w:rsidR="00590EA3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A33648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In reporting period, 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Australia </w:t>
      </w:r>
      <w:r w:rsidR="00017A11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partnered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with </w:t>
      </w:r>
      <w:r w:rsidR="00164B0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MOH</w:t>
      </w:r>
      <w:r w:rsidR="00CC4966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, </w:t>
      </w:r>
      <w:r w:rsidR="00554CB0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the World Health Organisation (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WHO</w:t>
      </w:r>
      <w:r w:rsidR="00554CB0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)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CC4966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and </w:t>
      </w:r>
      <w:r w:rsidR="00554CB0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United Nations Children's Fund (</w:t>
      </w:r>
      <w:r w:rsidR="00CC4966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UNICEF</w:t>
      </w:r>
      <w:r w:rsidR="00554CB0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)</w:t>
      </w:r>
      <w:r w:rsidR="00CC4966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426929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to finalise a National Deployment and Vaccination Plan</w:t>
      </w:r>
      <w:r w:rsidR="002E68B8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.</w:t>
      </w:r>
      <w:r w:rsidR="002E68B8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bookmarkStart w:id="3" w:name="_Hlk84183856"/>
    </w:p>
    <w:p w14:paraId="0538B47E" w14:textId="1A00E7E8" w:rsidR="00426929" w:rsidRPr="00FA2B92" w:rsidRDefault="00A013E7" w:rsidP="00015F41">
      <w:pPr>
        <w:pStyle w:val="Bullet1"/>
        <w:numPr>
          <w:ilvl w:val="0"/>
          <w:numId w:val="0"/>
        </w:numPr>
      </w:pPr>
      <w:r w:rsidRPr="00FD3F5A">
        <w:t>Australia has committed $</w:t>
      </w:r>
      <w:r w:rsidR="009D632F" w:rsidRPr="00FD3F5A">
        <w:t>11</w:t>
      </w:r>
      <w:r w:rsidRPr="00FD3F5A">
        <w:t xml:space="preserve"> million over three years (2020-23) for COVID-19 vaccine access in Vanuatu, including</w:t>
      </w:r>
      <w:r w:rsidR="0073012D" w:rsidRPr="00FD3F5A">
        <w:t xml:space="preserve"> </w:t>
      </w:r>
      <w:r w:rsidRPr="00FD3F5A">
        <w:t xml:space="preserve">delivery support and vaccine procurement, drawing on Australia’s </w:t>
      </w:r>
      <w:r w:rsidRPr="00FD3F5A">
        <w:rPr>
          <w:b/>
          <w:bCs/>
        </w:rPr>
        <w:t>Regional COVID-19 Vaccine Access and Health Security Initiative</w:t>
      </w:r>
      <w:r w:rsidR="0015402D" w:rsidRPr="00FD3F5A">
        <w:rPr>
          <w:b/>
          <w:bCs/>
        </w:rPr>
        <w:t xml:space="preserve"> </w:t>
      </w:r>
      <w:r w:rsidR="00480B0B">
        <w:rPr>
          <w:b/>
          <w:bCs/>
        </w:rPr>
        <w:t xml:space="preserve">(VAHSI) </w:t>
      </w:r>
      <w:r w:rsidR="0015402D" w:rsidRPr="00FD3F5A">
        <w:rPr>
          <w:b/>
          <w:bCs/>
        </w:rPr>
        <w:t>and bilateral support</w:t>
      </w:r>
      <w:r w:rsidRPr="00B37727">
        <w:t>.</w:t>
      </w:r>
      <w:r w:rsidRPr="00480B0B">
        <w:t xml:space="preserve"> </w:t>
      </w:r>
      <w:r w:rsidRPr="00FD3F5A">
        <w:rPr>
          <w:rFonts w:ascii="Calibri Light" w:eastAsia="Calibri Light" w:hAnsi="Calibri Light" w:cs="Times New Roman"/>
          <w:b/>
          <w:bCs/>
          <w:color w:val="495965"/>
        </w:rPr>
        <w:t>Through VAHSI, Australia has committed to supporting Vanuatu and other Pacific island countries achieve comprehensive vaccine coverage</w:t>
      </w:r>
      <w:r w:rsidRPr="00B37727">
        <w:rPr>
          <w:rFonts w:ascii="Calibri Light" w:eastAsia="Calibri Light" w:hAnsi="Calibri Light" w:cs="Times New Roman"/>
          <w:color w:val="495965"/>
        </w:rPr>
        <w:t>.</w:t>
      </w:r>
      <w:r w:rsidRPr="00480B0B">
        <w:t xml:space="preserve"> </w:t>
      </w:r>
      <w:r w:rsidRPr="00FD3F5A">
        <w:t xml:space="preserve">This is in addition to Australia’s support for the </w:t>
      </w:r>
      <w:r w:rsidR="00554CB0" w:rsidRPr="00554CB0">
        <w:t xml:space="preserve">COVID-19 Vaccines Global Access </w:t>
      </w:r>
      <w:r w:rsidR="00554CB0">
        <w:t>(</w:t>
      </w:r>
      <w:r w:rsidRPr="00FD3F5A">
        <w:t>COVAX</w:t>
      </w:r>
      <w:r w:rsidR="00554CB0">
        <w:t>)</w:t>
      </w:r>
      <w:r w:rsidRPr="00FD3F5A">
        <w:t xml:space="preserve"> Advance Market Commitment totalling $130 million</w:t>
      </w:r>
      <w:r w:rsidR="00110E2B" w:rsidRPr="00FD3F5A">
        <w:t xml:space="preserve"> </w:t>
      </w:r>
      <w:r w:rsidR="00480B0B">
        <w:t>–</w:t>
      </w:r>
      <w:r w:rsidR="00110E2B" w:rsidRPr="00FD3F5A">
        <w:t xml:space="preserve"> </w:t>
      </w:r>
      <w:r w:rsidR="00DD0032" w:rsidRPr="00FD3F5A">
        <w:t>a</w:t>
      </w:r>
      <w:r w:rsidR="008E0477" w:rsidRPr="00FD3F5A">
        <w:t xml:space="preserve"> </w:t>
      </w:r>
      <w:r w:rsidRPr="00FD3F5A">
        <w:t xml:space="preserve">global mechanism </w:t>
      </w:r>
      <w:r w:rsidR="00DD0032" w:rsidRPr="00FD3F5A">
        <w:t xml:space="preserve">which </w:t>
      </w:r>
      <w:r w:rsidRPr="00FD3F5A">
        <w:t>delivered 24,000 COVID-19 vaccine doses to Vanuatu</w:t>
      </w:r>
      <w:r w:rsidR="00EB32B0" w:rsidRPr="00FD3F5A">
        <w:t xml:space="preserve"> (</w:t>
      </w:r>
      <w:r w:rsidR="004D2041" w:rsidRPr="00FD3F5A">
        <w:t>May</w:t>
      </w:r>
      <w:r w:rsidR="00EB32B0" w:rsidRPr="00FD3F5A">
        <w:t xml:space="preserve"> 2021).</w:t>
      </w:r>
      <w:bookmarkEnd w:id="3"/>
      <w:r w:rsidR="00AD49C3">
        <w:t xml:space="preserve"> </w:t>
      </w:r>
      <w:r w:rsidR="00426929">
        <w:t>Australia, Vanuatu</w:t>
      </w:r>
      <w:r w:rsidR="004A6A92">
        <w:t>, UNICEF</w:t>
      </w:r>
      <w:r w:rsidR="00426929">
        <w:t xml:space="preserve"> and WHO worked together on legislative, policy and procedural improvements to </w:t>
      </w:r>
      <w:r w:rsidR="00426929" w:rsidRPr="00B44128">
        <w:rPr>
          <w:b/>
          <w:bCs/>
        </w:rPr>
        <w:t>build Vanuatu’s COVID-19 preparedness and response plan</w:t>
      </w:r>
      <w:r w:rsidR="00426929">
        <w:t>.</w:t>
      </w:r>
      <w:r w:rsidR="00396E94">
        <w:t xml:space="preserve"> </w:t>
      </w:r>
      <w:r w:rsidR="00A33648">
        <w:t xml:space="preserve">In the reporting period, </w:t>
      </w:r>
      <w:r w:rsidR="00426929">
        <w:t xml:space="preserve">Australia </w:t>
      </w:r>
      <w:r w:rsidR="00277EA3">
        <w:t xml:space="preserve">supported </w:t>
      </w:r>
      <w:r w:rsidR="00FB0829">
        <w:t xml:space="preserve">Vanuatu to </w:t>
      </w:r>
      <w:r w:rsidR="00426929">
        <w:t xml:space="preserve">ensure COVID-19 cases could be managed safely by </w:t>
      </w:r>
      <w:r w:rsidR="00426929" w:rsidRPr="00B44128">
        <w:t xml:space="preserve">refurbishing and </w:t>
      </w:r>
      <w:r w:rsidR="00B45C94" w:rsidRPr="00B44128">
        <w:t>equipping</w:t>
      </w:r>
      <w:r w:rsidR="00426929" w:rsidRPr="00B44128">
        <w:t xml:space="preserve"> isolation wards. </w:t>
      </w:r>
      <w:r w:rsidR="00CC4966" w:rsidRPr="00B44128">
        <w:t xml:space="preserve">An </w:t>
      </w:r>
      <w:r w:rsidR="00426929" w:rsidRPr="00B44128">
        <w:t>Australia</w:t>
      </w:r>
      <w:r w:rsidR="00CC4966" w:rsidRPr="00B44128">
        <w:t>n-funded epidemiologist worked with M</w:t>
      </w:r>
      <w:r w:rsidR="00277EA3" w:rsidRPr="00B44128">
        <w:t>OH</w:t>
      </w:r>
      <w:r w:rsidR="00CC4966" w:rsidRPr="00B44128">
        <w:t xml:space="preserve"> to improve data </w:t>
      </w:r>
      <w:r w:rsidR="00426929" w:rsidRPr="00B44128">
        <w:t>collection, case investigation</w:t>
      </w:r>
      <w:r w:rsidR="00416879" w:rsidRPr="00B44128">
        <w:t xml:space="preserve">, </w:t>
      </w:r>
      <w:r w:rsidR="00426929" w:rsidRPr="00B44128">
        <w:t>contact tracing</w:t>
      </w:r>
      <w:r w:rsidR="004A6A92" w:rsidRPr="00B44128">
        <w:t xml:space="preserve"> </w:t>
      </w:r>
      <w:r w:rsidR="00CC4966" w:rsidRPr="00B44128">
        <w:t xml:space="preserve">and </w:t>
      </w:r>
      <w:r w:rsidR="004A6A92" w:rsidRPr="00B44128">
        <w:t>systems for disease monitoring.</w:t>
      </w:r>
      <w:r w:rsidR="00426929" w:rsidRPr="00B44128">
        <w:t xml:space="preserve"> Australia continued to support Vanuatu’s COVID-19 testing, including of people in quarantine.</w:t>
      </w:r>
    </w:p>
    <w:bookmarkEnd w:id="2"/>
    <w:p w14:paraId="24088060" w14:textId="77777777" w:rsidR="00C736C8" w:rsidRDefault="00426929" w:rsidP="00C736C8">
      <w:pPr>
        <w:pStyle w:val="Heading3"/>
      </w:pPr>
      <w:r w:rsidRPr="00216C55">
        <w:t>Stability</w:t>
      </w:r>
    </w:p>
    <w:p w14:paraId="671FA90B" w14:textId="2D265FFE" w:rsidR="00426929" w:rsidRPr="00C736C8" w:rsidRDefault="003728B8" w:rsidP="00C736C8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</w:pPr>
      <w:r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Vanuatu and Australia share a strong interest in maintaining Vanuatu’s security, social cohesion and human development gains</w:t>
      </w:r>
      <w:r w:rsidR="00277EA3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.</w:t>
      </w:r>
      <w:r w:rsidR="00991F35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A33648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In the reporting period, o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ur </w:t>
      </w:r>
      <w:r w:rsidR="00426929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technical advisory support and training programs improved the skills of legal and policing officials across the ‘chain of justice’, with 540 </w:t>
      </w:r>
      <w:r w:rsidR="004A5BA7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police, prosecutions, defence and state law </w:t>
      </w:r>
      <w:r w:rsidR="00426929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officials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(29</w:t>
      </w:r>
      <w:r w:rsidR="001477ED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per cent 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women) trained in 2020. This included training of 39 new police recruits (11</w:t>
      </w:r>
      <w:r w:rsidR="001477ED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 </w:t>
      </w:r>
      <w:r w:rsidR="006D15F7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women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) increas</w:t>
      </w:r>
      <w:r w:rsidR="004A5BA7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ing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the reach of the Vanuatu Police Force (VPF) in line with the Vanuatu Government’s priority to decentralise services. </w:t>
      </w:r>
    </w:p>
    <w:p w14:paraId="0639286B" w14:textId="2EB31B35" w:rsidR="00426929" w:rsidRDefault="005C09D2" w:rsidP="001477ED">
      <w:pPr>
        <w:widowControl w:val="0"/>
        <w:suppressAutoHyphens w:val="0"/>
        <w:autoSpaceDE w:val="0"/>
        <w:autoSpaceDN w:val="0"/>
        <w:adjustRightInd w:val="0"/>
        <w:spacing w:before="0" w:line="260" w:lineRule="exact"/>
      </w:pPr>
      <w:bookmarkStart w:id="4" w:name="_Hlk82164373"/>
      <w:r w:rsidRPr="005C09D2">
        <w:t xml:space="preserve">Australia is supporting VPF growth and capability development through </w:t>
      </w:r>
      <w:r w:rsidRPr="00692CC0">
        <w:rPr>
          <w:b/>
          <w:bCs/>
        </w:rPr>
        <w:t>critical infrastructure upgrades</w:t>
      </w:r>
      <w:r w:rsidR="004B3C0F" w:rsidRPr="004B3C0F">
        <w:t xml:space="preserve"> to Cook Barracks and Mala Base in Efate</w:t>
      </w:r>
      <w:r w:rsidR="002A5713">
        <w:t>, supporting local jobs and economic stimulus</w:t>
      </w:r>
      <w:r w:rsidR="004B3C0F">
        <w:t>.</w:t>
      </w:r>
      <w:r w:rsidRPr="00692CC0">
        <w:rPr>
          <w:b/>
          <w:bCs/>
        </w:rPr>
        <w:t xml:space="preserve"> </w:t>
      </w:r>
      <w:r w:rsidR="00426929" w:rsidRPr="000B0E1A">
        <w:t>Other upgrades completed in 2020-21 include</w:t>
      </w:r>
      <w:r w:rsidRPr="00C379B3">
        <w:t xml:space="preserve"> repairs to police infrastructure damaged by T</w:t>
      </w:r>
      <w:r w:rsidR="008D74E3">
        <w:t xml:space="preserve">ropical </w:t>
      </w:r>
      <w:r w:rsidRPr="00C379B3">
        <w:t>C</w:t>
      </w:r>
      <w:r w:rsidR="008D74E3">
        <w:t>yclone</w:t>
      </w:r>
      <w:r w:rsidRPr="00C379B3">
        <w:t xml:space="preserve"> Harold,</w:t>
      </w:r>
      <w:r w:rsidR="00426929" w:rsidRPr="00C379B3">
        <w:t xml:space="preserve"> a courthouse renovation in Tanna and a new police station in Malekula, which have enhanced community access to justice and policing services. The VPF and Australia </w:t>
      </w:r>
      <w:r w:rsidR="003D3EEC">
        <w:t>continue</w:t>
      </w:r>
      <w:r w:rsidR="00426929" w:rsidRPr="00C379B3">
        <w:t xml:space="preserve"> to </w:t>
      </w:r>
      <w:r w:rsidR="0004719B" w:rsidRPr="00C379B3">
        <w:t xml:space="preserve">deliver </w:t>
      </w:r>
      <w:r w:rsidR="00426929" w:rsidRPr="00C379B3">
        <w:t xml:space="preserve">the Vanuatu Government National Emergency Radio Network. </w:t>
      </w:r>
      <w:bookmarkEnd w:id="4"/>
      <w:r w:rsidR="00DD3785" w:rsidRPr="00C379B3">
        <w:t>The three-year (2020-23)</w:t>
      </w:r>
      <w:r w:rsidR="00A33648">
        <w:t xml:space="preserve"> </w:t>
      </w:r>
      <w:r w:rsidR="00DD3785" w:rsidRPr="00C379B3">
        <w:t xml:space="preserve">inter-island communication project is delivering a sustainable and resilient national network </w:t>
      </w:r>
      <w:r w:rsidR="003D3EEC">
        <w:t xml:space="preserve">to </w:t>
      </w:r>
      <w:r w:rsidR="00DD3785" w:rsidRPr="00C379B3">
        <w:t xml:space="preserve">improve the delivery of essential services to remote communities, enhance Vanuatu’s disaster response capability, and support </w:t>
      </w:r>
      <w:r w:rsidR="00017A11" w:rsidRPr="00C379B3">
        <w:t>increased police</w:t>
      </w:r>
      <w:r w:rsidR="004B3C0F">
        <w:t xml:space="preserve"> presence</w:t>
      </w:r>
      <w:r w:rsidR="00DD3785" w:rsidRPr="00C379B3">
        <w:t xml:space="preserve"> </w:t>
      </w:r>
      <w:r w:rsidR="0015402D">
        <w:t xml:space="preserve">across </w:t>
      </w:r>
      <w:r w:rsidR="008E0477">
        <w:t>Vanuatu</w:t>
      </w:r>
      <w:r w:rsidR="00DD3785" w:rsidRPr="00DD3785">
        <w:t xml:space="preserve">. </w:t>
      </w:r>
    </w:p>
    <w:p w14:paraId="7DCFB1CD" w14:textId="257255A9" w:rsidR="00D80288" w:rsidRPr="00C379B3" w:rsidRDefault="00426929" w:rsidP="001477ED">
      <w:pPr>
        <w:widowControl w:val="0"/>
        <w:suppressAutoHyphens w:val="0"/>
        <w:autoSpaceDE w:val="0"/>
        <w:autoSpaceDN w:val="0"/>
        <w:adjustRightInd w:val="0"/>
        <w:spacing w:before="0" w:line="260" w:lineRule="exact"/>
      </w:pPr>
      <w:r>
        <w:t xml:space="preserve">Australia </w:t>
      </w:r>
      <w:r w:rsidR="004C11DC">
        <w:t xml:space="preserve">continued </w:t>
      </w:r>
      <w:r>
        <w:t>work to protect and empower women, children and people with disabilit</w:t>
      </w:r>
      <w:r w:rsidR="00164935">
        <w:t>ies</w:t>
      </w:r>
      <w:r>
        <w:t xml:space="preserve">. </w:t>
      </w:r>
      <w:r w:rsidR="00B83DDC">
        <w:t>We</w:t>
      </w:r>
      <w:r>
        <w:t xml:space="preserve"> support</w:t>
      </w:r>
      <w:r w:rsidR="00B83DDC">
        <w:t>ed</w:t>
      </w:r>
      <w:r>
        <w:t xml:space="preserve"> </w:t>
      </w:r>
      <w:r w:rsidRPr="00B44128">
        <w:rPr>
          <w:b/>
          <w:bCs/>
        </w:rPr>
        <w:t>the Vanuatu Women’s Centre</w:t>
      </w:r>
      <w:r w:rsidR="00B83DDC" w:rsidRPr="00B44128">
        <w:rPr>
          <w:b/>
          <w:bCs/>
        </w:rPr>
        <w:t>’s</w:t>
      </w:r>
      <w:r w:rsidRPr="00B44128">
        <w:rPr>
          <w:b/>
          <w:bCs/>
        </w:rPr>
        <w:t xml:space="preserve"> (VWC</w:t>
      </w:r>
      <w:r w:rsidR="00B83DDC" w:rsidRPr="00B44128">
        <w:rPr>
          <w:b/>
          <w:bCs/>
        </w:rPr>
        <w:t>’s</w:t>
      </w:r>
      <w:r w:rsidRPr="00B44128">
        <w:rPr>
          <w:b/>
          <w:bCs/>
        </w:rPr>
        <w:t>) respon</w:t>
      </w:r>
      <w:r w:rsidR="002373C2" w:rsidRPr="00B44128">
        <w:rPr>
          <w:b/>
          <w:bCs/>
        </w:rPr>
        <w:t>se</w:t>
      </w:r>
      <w:r w:rsidRPr="00B44128">
        <w:rPr>
          <w:b/>
          <w:bCs/>
        </w:rPr>
        <w:t xml:space="preserve"> to</w:t>
      </w:r>
      <w:r w:rsidR="004C11DC" w:rsidRPr="00B44128">
        <w:rPr>
          <w:b/>
          <w:bCs/>
        </w:rPr>
        <w:t xml:space="preserve"> </w:t>
      </w:r>
      <w:r w:rsidRPr="00B44128">
        <w:rPr>
          <w:b/>
          <w:bCs/>
        </w:rPr>
        <w:t>COVID-19 and T</w:t>
      </w:r>
      <w:r w:rsidR="008D74E3">
        <w:rPr>
          <w:b/>
          <w:bCs/>
        </w:rPr>
        <w:t xml:space="preserve">ropical </w:t>
      </w:r>
      <w:r w:rsidRPr="00B44128">
        <w:rPr>
          <w:b/>
          <w:bCs/>
        </w:rPr>
        <w:t>C</w:t>
      </w:r>
      <w:r w:rsidR="008D74E3">
        <w:rPr>
          <w:b/>
          <w:bCs/>
        </w:rPr>
        <w:t>yclone</w:t>
      </w:r>
      <w:r w:rsidRPr="00B44128">
        <w:rPr>
          <w:b/>
          <w:bCs/>
        </w:rPr>
        <w:t xml:space="preserve"> Harold</w:t>
      </w:r>
      <w:r>
        <w:t xml:space="preserve"> </w:t>
      </w:r>
      <w:r w:rsidRPr="00B44128">
        <w:rPr>
          <w:b/>
          <w:bCs/>
        </w:rPr>
        <w:t>by</w:t>
      </w:r>
      <w:r>
        <w:t xml:space="preserve"> </w:t>
      </w:r>
      <w:r w:rsidRPr="00B44128">
        <w:rPr>
          <w:b/>
          <w:bCs/>
        </w:rPr>
        <w:t>establish</w:t>
      </w:r>
      <w:r w:rsidR="004C11DC" w:rsidRPr="00B44128">
        <w:rPr>
          <w:b/>
          <w:bCs/>
        </w:rPr>
        <w:t>ing</w:t>
      </w:r>
      <w:r w:rsidRPr="00B44128">
        <w:rPr>
          <w:b/>
          <w:bCs/>
        </w:rPr>
        <w:t xml:space="preserve"> a national toll-free crisis line and </w:t>
      </w:r>
      <w:r w:rsidR="004C11DC" w:rsidRPr="00B44128">
        <w:rPr>
          <w:b/>
          <w:bCs/>
        </w:rPr>
        <w:t xml:space="preserve">increasing </w:t>
      </w:r>
      <w:r w:rsidRPr="00B44128">
        <w:rPr>
          <w:b/>
          <w:bCs/>
        </w:rPr>
        <w:t>mobile counselling</w:t>
      </w:r>
      <w:r>
        <w:t xml:space="preserve"> visits to communities. In 2020, our </w:t>
      </w:r>
      <w:r w:rsidR="000118ED">
        <w:t xml:space="preserve">support </w:t>
      </w:r>
      <w:r>
        <w:t xml:space="preserve">enabled VWC to </w:t>
      </w:r>
      <w:r w:rsidR="004C11DC">
        <w:t>provide counselling and legal services to 7</w:t>
      </w:r>
      <w:r w:rsidR="00480B0B">
        <w:t>,</w:t>
      </w:r>
      <w:r w:rsidR="004C11DC">
        <w:t>262</w:t>
      </w:r>
      <w:r w:rsidR="000118ED">
        <w:t xml:space="preserve"> </w:t>
      </w:r>
      <w:r>
        <w:t>women and girls affected by violence (</w:t>
      </w:r>
      <w:r w:rsidR="00164935">
        <w:t xml:space="preserve">including </w:t>
      </w:r>
      <w:r>
        <w:t>14</w:t>
      </w:r>
      <w:r w:rsidR="00164935">
        <w:t xml:space="preserve"> people</w:t>
      </w:r>
      <w:r>
        <w:t xml:space="preserve"> with disabilit</w:t>
      </w:r>
      <w:r w:rsidR="00164935">
        <w:t>ies</w:t>
      </w:r>
      <w:r>
        <w:t xml:space="preserve">). We </w:t>
      </w:r>
      <w:r w:rsidRPr="00B44128">
        <w:t xml:space="preserve">supported the </w:t>
      </w:r>
      <w:r w:rsidRPr="00FA2B92">
        <w:t>Vanuatu Society for People with a Disability to continue community-based rehabilitation in Shefa province and upgraded their equipment and infrastruct</w:t>
      </w:r>
      <w:r w:rsidRPr="000B0E1A">
        <w:t>ure. We enabled local organisation</w:t>
      </w:r>
      <w:r w:rsidR="00480B0B">
        <w:t>,</w:t>
      </w:r>
      <w:r w:rsidRPr="000B0E1A">
        <w:t xml:space="preserve"> Wan Smolbag Theatre</w:t>
      </w:r>
      <w:r w:rsidR="00480B0B">
        <w:t>,</w:t>
      </w:r>
      <w:r w:rsidRPr="000B0E1A">
        <w:t xml:space="preserve"> to support vulnerable people </w:t>
      </w:r>
      <w:r w:rsidR="00480B0B">
        <w:t>–</w:t>
      </w:r>
      <w:r w:rsidRPr="000B0E1A">
        <w:t xml:space="preserve"> including youth, people with disabili</w:t>
      </w:r>
      <w:r w:rsidR="00164935">
        <w:t>ties</w:t>
      </w:r>
      <w:r w:rsidRPr="000B0E1A">
        <w:t xml:space="preserve"> and the peri-urban poor </w:t>
      </w:r>
      <w:r w:rsidR="00480B0B">
        <w:t>–</w:t>
      </w:r>
      <w:r w:rsidRPr="000B0E1A">
        <w:t xml:space="preserve"> to make informed </w:t>
      </w:r>
      <w:r w:rsidR="00075E45">
        <w:t xml:space="preserve">life </w:t>
      </w:r>
      <w:r w:rsidRPr="000B0E1A">
        <w:t>choices through workshops, theatre, dance, sport and nutrition.</w:t>
      </w:r>
      <w:r w:rsidR="00C869F2" w:rsidRPr="00C379B3">
        <w:t xml:space="preserve"> </w:t>
      </w:r>
      <w:r w:rsidR="00801420" w:rsidRPr="00C379B3">
        <w:t xml:space="preserve">In 2020, </w:t>
      </w:r>
      <w:r w:rsidR="00C869F2" w:rsidRPr="00C379B3">
        <w:t xml:space="preserve">Wan Smolbag </w:t>
      </w:r>
      <w:r w:rsidR="00801420" w:rsidRPr="00C379B3">
        <w:t xml:space="preserve">plays reached 18,448 people while its </w:t>
      </w:r>
      <w:r w:rsidR="00480B0B" w:rsidRPr="00C379B3">
        <w:t>YouTube</w:t>
      </w:r>
      <w:r w:rsidR="00801420" w:rsidRPr="00C379B3">
        <w:t xml:space="preserve"> videos, including on COVID-19 safe behaviour, </w:t>
      </w:r>
      <w:r w:rsidR="0028188F">
        <w:t>had</w:t>
      </w:r>
      <w:r w:rsidR="003D3EEC">
        <w:t xml:space="preserve"> over</w:t>
      </w:r>
      <w:r w:rsidR="00801420" w:rsidRPr="00C379B3">
        <w:t xml:space="preserve"> </w:t>
      </w:r>
      <w:r w:rsidR="00480B0B">
        <w:t>one</w:t>
      </w:r>
      <w:r w:rsidR="00801420" w:rsidRPr="00C379B3">
        <w:t xml:space="preserve"> million </w:t>
      </w:r>
      <w:r w:rsidR="003D3EEC">
        <w:t>views</w:t>
      </w:r>
      <w:r w:rsidR="00801420" w:rsidRPr="00C379B3">
        <w:t>.</w:t>
      </w:r>
    </w:p>
    <w:p w14:paraId="2FDB4845" w14:textId="0F725D5F" w:rsidR="00426929" w:rsidRDefault="00D80288" w:rsidP="001477ED">
      <w:pPr>
        <w:widowControl w:val="0"/>
        <w:suppressAutoHyphens w:val="0"/>
        <w:autoSpaceDE w:val="0"/>
        <w:autoSpaceDN w:val="0"/>
        <w:adjustRightInd w:val="0"/>
        <w:spacing w:before="0" w:line="260" w:lineRule="exact"/>
      </w:pPr>
      <w:r w:rsidRPr="006E4B74">
        <w:t xml:space="preserve">Australia is supporting the Vanuatu Government to provide essential education services critical to maintaining social stability and laying the foundation for future economic recovery. </w:t>
      </w:r>
      <w:r w:rsidR="003D3EEC">
        <w:t>Our</w:t>
      </w:r>
      <w:r w:rsidRPr="00D80288">
        <w:t xml:space="preserve"> partnership with Vanuatu’s Ministry of Education </w:t>
      </w:r>
      <w:r w:rsidRPr="00D80288">
        <w:lastRenderedPageBreak/>
        <w:t>and Training (M</w:t>
      </w:r>
      <w:r w:rsidR="00A00667">
        <w:t>O</w:t>
      </w:r>
      <w:r w:rsidRPr="00D80288">
        <w:t xml:space="preserve">ET) </w:t>
      </w:r>
      <w:r w:rsidRPr="00692CC0">
        <w:rPr>
          <w:b/>
          <w:bCs/>
        </w:rPr>
        <w:t>support</w:t>
      </w:r>
      <w:r w:rsidR="00F21476" w:rsidRPr="00692CC0">
        <w:rPr>
          <w:b/>
          <w:bCs/>
        </w:rPr>
        <w:t>ed</w:t>
      </w:r>
      <w:r w:rsidRPr="00692CC0">
        <w:rPr>
          <w:b/>
          <w:bCs/>
        </w:rPr>
        <w:t xml:space="preserve"> access to quality education despite the impacts of COVID-19</w:t>
      </w:r>
      <w:r>
        <w:t xml:space="preserve">, the Ambae Volcano </w:t>
      </w:r>
      <w:r w:rsidR="00F21476">
        <w:t xml:space="preserve">displacement </w:t>
      </w:r>
      <w:r w:rsidRPr="00D80288">
        <w:t>and T</w:t>
      </w:r>
      <w:r w:rsidR="008D74E3">
        <w:t xml:space="preserve">ropical </w:t>
      </w:r>
      <w:r w:rsidRPr="00D80288">
        <w:t>C</w:t>
      </w:r>
      <w:r w:rsidR="008D74E3">
        <w:t>yclone</w:t>
      </w:r>
      <w:r w:rsidRPr="00D80288">
        <w:t xml:space="preserve"> Harold</w:t>
      </w:r>
      <w:r w:rsidR="00F21476">
        <w:t xml:space="preserve">. </w:t>
      </w:r>
      <w:r w:rsidR="00A33648">
        <w:t>In the reporting period t</w:t>
      </w:r>
      <w:r w:rsidR="00F21476">
        <w:t xml:space="preserve">his </w:t>
      </w:r>
      <w:r w:rsidR="00F21476" w:rsidRPr="00B44128">
        <w:t>included a home-schooling package for primary students, and a radio home-school program</w:t>
      </w:r>
      <w:r w:rsidR="00A00667" w:rsidRPr="00FA2B92">
        <w:t xml:space="preserve"> to ensure continuity of learning.</w:t>
      </w:r>
      <w:r w:rsidR="004251D6" w:rsidRPr="00FA2B92">
        <w:t xml:space="preserve"> </w:t>
      </w:r>
      <w:r w:rsidRPr="00C379B3">
        <w:t>Australia supported MOET to roll</w:t>
      </w:r>
      <w:r w:rsidR="00480B0B">
        <w:t xml:space="preserve"> </w:t>
      </w:r>
      <w:r w:rsidRPr="00C379B3">
        <w:t>out a new primary curriculum</w:t>
      </w:r>
      <w:r w:rsidR="00480B0B">
        <w:t>,</w:t>
      </w:r>
      <w:r w:rsidR="003D3EEC">
        <w:t xml:space="preserve"> including</w:t>
      </w:r>
      <w:r w:rsidR="0028188F">
        <w:t xml:space="preserve"> </w:t>
      </w:r>
      <w:r w:rsidRPr="00C379B3">
        <w:t>distribut</w:t>
      </w:r>
      <w:r w:rsidR="004251D6" w:rsidRPr="00C379B3">
        <w:t>ion of</w:t>
      </w:r>
      <w:r w:rsidRPr="00D80288">
        <w:t xml:space="preserve"> curriculum materials to schools and curriculum training workshops </w:t>
      </w:r>
      <w:r w:rsidR="00D07BF7">
        <w:t>for</w:t>
      </w:r>
      <w:r w:rsidRPr="00D80288">
        <w:t xml:space="preserve"> 663 teachers and provincial trainers. Australia is also providing annual grants to Early Childhood and Education Centres, supporting critical early childhood education services</w:t>
      </w:r>
      <w:r w:rsidR="00A00667">
        <w:t>.</w:t>
      </w:r>
      <w:r w:rsidR="00F21476" w:rsidRPr="00F21476">
        <w:t xml:space="preserve"> </w:t>
      </w:r>
      <w:r w:rsidR="00426929">
        <w:t>Australia continued to support Vanuatu’s recovery from T</w:t>
      </w:r>
      <w:r w:rsidR="008D74E3">
        <w:t xml:space="preserve">ropical </w:t>
      </w:r>
      <w:r w:rsidR="00426929">
        <w:t>C</w:t>
      </w:r>
      <w:r w:rsidR="008D74E3">
        <w:t>yclone</w:t>
      </w:r>
      <w:r w:rsidR="00426929">
        <w:t xml:space="preserve"> Harold. </w:t>
      </w:r>
      <w:r w:rsidR="00A33648">
        <w:t xml:space="preserve">In the reporting period </w:t>
      </w:r>
      <w:r w:rsidR="00A33648">
        <w:rPr>
          <w:b/>
          <w:bCs/>
        </w:rPr>
        <w:t>w</w:t>
      </w:r>
      <w:r w:rsidR="00D07BF7" w:rsidRPr="00B44128">
        <w:rPr>
          <w:b/>
          <w:bCs/>
        </w:rPr>
        <w:t>e</w:t>
      </w:r>
      <w:r w:rsidR="00426929" w:rsidRPr="00B44128">
        <w:rPr>
          <w:b/>
          <w:bCs/>
        </w:rPr>
        <w:t xml:space="preserve"> provided</w:t>
      </w:r>
      <w:r w:rsidR="008F2460" w:rsidRPr="00B44128">
        <w:rPr>
          <w:b/>
          <w:bCs/>
        </w:rPr>
        <w:t xml:space="preserve"> </w:t>
      </w:r>
      <w:r w:rsidR="00426929" w:rsidRPr="00B44128">
        <w:rPr>
          <w:b/>
          <w:bCs/>
        </w:rPr>
        <w:t>$18.7 million</w:t>
      </w:r>
      <w:bookmarkStart w:id="5" w:name="_Hlk83638144"/>
      <w:r w:rsidR="00B44128">
        <w:rPr>
          <w:b/>
          <w:bCs/>
        </w:rPr>
        <w:t xml:space="preserve"> </w:t>
      </w:r>
      <w:r w:rsidR="0079273F" w:rsidRPr="00B44128">
        <w:rPr>
          <w:b/>
          <w:bCs/>
        </w:rPr>
        <w:t xml:space="preserve">(in addition to the </w:t>
      </w:r>
      <w:r w:rsidR="00554CB0">
        <w:rPr>
          <w:b/>
          <w:bCs/>
        </w:rPr>
        <w:t xml:space="preserve">Official Development Assistance </w:t>
      </w:r>
      <w:r w:rsidR="002E0D10">
        <w:rPr>
          <w:b/>
          <w:bCs/>
        </w:rPr>
        <w:t>(</w:t>
      </w:r>
      <w:r w:rsidR="00554CB0">
        <w:rPr>
          <w:b/>
          <w:bCs/>
        </w:rPr>
        <w:t>ODA</w:t>
      </w:r>
      <w:r w:rsidR="002E0D10">
        <w:rPr>
          <w:b/>
          <w:bCs/>
        </w:rPr>
        <w:t>)</w:t>
      </w:r>
      <w:r w:rsidR="00554CB0" w:rsidRPr="00B44128">
        <w:rPr>
          <w:b/>
          <w:bCs/>
        </w:rPr>
        <w:t xml:space="preserve"> </w:t>
      </w:r>
      <w:r w:rsidR="0079273F" w:rsidRPr="00B44128">
        <w:rPr>
          <w:b/>
          <w:bCs/>
        </w:rPr>
        <w:t xml:space="preserve">figures in the </w:t>
      </w:r>
      <w:r w:rsidR="00480B0B">
        <w:rPr>
          <w:b/>
          <w:bCs/>
        </w:rPr>
        <w:t>t</w:t>
      </w:r>
      <w:r w:rsidR="0079273F" w:rsidRPr="00B44128">
        <w:rPr>
          <w:b/>
          <w:bCs/>
        </w:rPr>
        <w:t xml:space="preserve">able on page </w:t>
      </w:r>
      <w:r w:rsidR="00480B0B">
        <w:rPr>
          <w:b/>
          <w:bCs/>
        </w:rPr>
        <w:t>one</w:t>
      </w:r>
      <w:bookmarkEnd w:id="5"/>
      <w:r w:rsidR="00E82921">
        <w:rPr>
          <w:b/>
          <w:bCs/>
        </w:rPr>
        <w:t>)</w:t>
      </w:r>
      <w:r w:rsidR="0028188F">
        <w:rPr>
          <w:b/>
          <w:bCs/>
        </w:rPr>
        <w:t xml:space="preserve"> </w:t>
      </w:r>
      <w:r w:rsidR="00426929" w:rsidRPr="00692CC0">
        <w:rPr>
          <w:b/>
          <w:bCs/>
        </w:rPr>
        <w:t>to rebuild health and education facilities</w:t>
      </w:r>
      <w:r w:rsidR="00426929">
        <w:t xml:space="preserve">, mainstream gender equality and support the most vulnerable. Australia worked with non-government organisations and churches to provide immediate support </w:t>
      </w:r>
      <w:r w:rsidR="008F2460">
        <w:t>for</w:t>
      </w:r>
      <w:r w:rsidR="00426929">
        <w:t xml:space="preserve"> livelihoods</w:t>
      </w:r>
      <w:r w:rsidR="008F2460">
        <w:t>;</w:t>
      </w:r>
      <w:r w:rsidR="00426929">
        <w:t xml:space="preserve"> shelter</w:t>
      </w:r>
      <w:r w:rsidR="008F2460">
        <w:t>;</w:t>
      </w:r>
      <w:r w:rsidR="00426929">
        <w:t xml:space="preserve"> water, sanitation, and hygiene</w:t>
      </w:r>
      <w:r w:rsidR="008F2460">
        <w:t>;</w:t>
      </w:r>
      <w:r w:rsidR="00426929">
        <w:t xml:space="preserve"> protection of women and children</w:t>
      </w:r>
      <w:r w:rsidR="008F2460">
        <w:t>;</w:t>
      </w:r>
      <w:r w:rsidR="00426929">
        <w:t xml:space="preserve"> and psychosocial services </w:t>
      </w:r>
      <w:r w:rsidR="008F2460">
        <w:t xml:space="preserve">to </w:t>
      </w:r>
      <w:r w:rsidR="00426929">
        <w:t xml:space="preserve">communities. </w:t>
      </w:r>
      <w:r w:rsidR="00426929" w:rsidRPr="00B44128">
        <w:rPr>
          <w:b/>
          <w:bCs/>
        </w:rPr>
        <w:t xml:space="preserve">An innovative </w:t>
      </w:r>
      <w:r w:rsidR="004B2898" w:rsidRPr="00B44128">
        <w:rPr>
          <w:b/>
          <w:bCs/>
        </w:rPr>
        <w:t>Oxfam-led</w:t>
      </w:r>
      <w:r w:rsidR="00426929" w:rsidRPr="00B44128">
        <w:rPr>
          <w:b/>
          <w:bCs/>
        </w:rPr>
        <w:t xml:space="preserve"> cash transfer program enabled over 20,000 vulnerable </w:t>
      </w:r>
      <w:r w:rsidR="00110E2B">
        <w:rPr>
          <w:b/>
          <w:bCs/>
        </w:rPr>
        <w:t>people</w:t>
      </w:r>
      <w:r w:rsidR="00110E2B">
        <w:t xml:space="preserve"> </w:t>
      </w:r>
      <w:r w:rsidR="004B2898">
        <w:t>(</w:t>
      </w:r>
      <w:r w:rsidR="00426929">
        <w:t xml:space="preserve">single mothers, widows, widowers, </w:t>
      </w:r>
      <w:r w:rsidR="009A07B1">
        <w:t xml:space="preserve">the </w:t>
      </w:r>
      <w:r w:rsidR="00426929">
        <w:t>elderly, and people with disabilities</w:t>
      </w:r>
      <w:r w:rsidR="004B2898">
        <w:t>)</w:t>
      </w:r>
      <w:r w:rsidR="00426929">
        <w:t xml:space="preserve"> to meet their basic needs. </w:t>
      </w:r>
      <w:r w:rsidR="004B2898">
        <w:t>B</w:t>
      </w:r>
      <w:r w:rsidR="00426929">
        <w:t xml:space="preserve">eneficiaries </w:t>
      </w:r>
      <w:r w:rsidR="004B2898">
        <w:t xml:space="preserve">received E-vouchers to use at local vendors </w:t>
      </w:r>
      <w:r w:rsidR="00426929">
        <w:t>to mitigate T</w:t>
      </w:r>
      <w:r w:rsidR="008D74E3">
        <w:t xml:space="preserve">ropical </w:t>
      </w:r>
      <w:r w:rsidR="00426929">
        <w:t>C</w:t>
      </w:r>
      <w:r w:rsidR="008D74E3">
        <w:t>yclone</w:t>
      </w:r>
      <w:r w:rsidR="00426929">
        <w:t xml:space="preserve"> Harold and COVID</w:t>
      </w:r>
      <w:r w:rsidR="00C45ACD">
        <w:t>-</w:t>
      </w:r>
      <w:r w:rsidR="00426929">
        <w:t xml:space="preserve">19 </w:t>
      </w:r>
      <w:r w:rsidR="004B2898">
        <w:t xml:space="preserve">impacts </w:t>
      </w:r>
      <w:r w:rsidR="00426929">
        <w:t>and boost market recovery.</w:t>
      </w:r>
    </w:p>
    <w:p w14:paraId="73D48785" w14:textId="77777777" w:rsidR="00C736C8" w:rsidRDefault="00426929" w:rsidP="00C736C8">
      <w:pPr>
        <w:pStyle w:val="Heading3"/>
      </w:pPr>
      <w:r w:rsidRPr="00216C55">
        <w:t>Economic recovery</w:t>
      </w:r>
    </w:p>
    <w:p w14:paraId="122F580B" w14:textId="3174C79A" w:rsidR="00426929" w:rsidRPr="00C736C8" w:rsidRDefault="003728B8" w:rsidP="00C736C8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</w:pPr>
      <w:r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Australia </w:t>
      </w:r>
      <w:r w:rsidR="00E82921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is </w:t>
      </w:r>
      <w:r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committed to helping Vanuatu respond to the economic impacts of COVID-19 and seek a path towards longer term economic recovery.</w:t>
      </w:r>
      <w:r w:rsidR="00FD327A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E63B10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In </w:t>
      </w:r>
      <w:r w:rsidR="00A33648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the reporting period</w:t>
      </w:r>
      <w:r w:rsidR="00E63B10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, </w:t>
      </w:r>
      <w:bookmarkStart w:id="6" w:name="_Hlk84413269"/>
      <w:r w:rsidR="00E63B10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Australia provided $47.</w:t>
      </w:r>
      <w:r w:rsidR="009B40B8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6</w:t>
      </w:r>
      <w:r w:rsidR="00E63B10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 million in sectoral budget support to the Vanuatu Government, </w:t>
      </w:r>
      <w:bookmarkStart w:id="7" w:name="_Hlk83813117"/>
      <w:r w:rsidR="00C653B4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of which </w:t>
      </w:r>
      <w:r w:rsidR="009D1B7E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$10 million</w:t>
      </w:r>
      <w:r w:rsidR="009B40B8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 </w:t>
      </w:r>
      <w:r w:rsidR="00C653B4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was</w:t>
      </w:r>
      <w:r w:rsidR="009B40B8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 </w:t>
      </w:r>
      <w:r w:rsidR="004475F1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through the COVID-19 Response Package for the Pacific and Timor-Leste</w:t>
      </w:r>
      <w:bookmarkEnd w:id="6"/>
      <w:r w:rsidR="009B40B8" w:rsidRPr="00C736C8">
        <w:rPr>
          <w:rFonts w:asciiTheme="minorHAnsi" w:eastAsiaTheme="minorHAnsi" w:hAnsiTheme="minorHAnsi" w:cstheme="minorBidi"/>
          <w:i w:val="0"/>
          <w:sz w:val="22"/>
          <w:szCs w:val="22"/>
        </w:rPr>
        <w:t>.</w:t>
      </w:r>
      <w:r w:rsidR="009B40B8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bookmarkEnd w:id="7"/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With remittances a key pillar of Vanuatu’s economy, Australia and Vanuatu quickly and safely re-establish</w:t>
      </w:r>
      <w:r w:rsidR="0028188F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ed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the Seasonal Worker and Pacific Labour schemes. Since</w:t>
      </w:r>
      <w:r w:rsidR="00833814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September 2020</w:t>
      </w:r>
      <w:r w:rsidR="00833814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to June 2021</w:t>
      </w:r>
      <w:r w:rsidR="00426929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, over 3,000 ni-Vanuatu workers have travelled to Australia. Australia also supported development of the Labour Mobility Re-entry Strategy</w:t>
      </w:r>
      <w:r w:rsidR="0028188F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C3577F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and has partnered with V-Lab, a business incubator, to provide entrepreneurship and business skills coaching to returned workers </w:t>
      </w:r>
      <w:r w:rsidR="008E0477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to</w:t>
      </w:r>
      <w:r w:rsidR="00C3577F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6B6546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help them </w:t>
      </w:r>
      <w:r w:rsidR="003E2FAF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launch their own businesses</w:t>
      </w:r>
      <w:r w:rsidR="00C3577F" w:rsidRPr="00C736C8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.</w:t>
      </w:r>
    </w:p>
    <w:p w14:paraId="4A2EE306" w14:textId="681A1A5D" w:rsidR="003E6F56" w:rsidRPr="00C379B3" w:rsidRDefault="004232D4" w:rsidP="001477ED">
      <w:pPr>
        <w:widowControl w:val="0"/>
        <w:suppressAutoHyphens w:val="0"/>
        <w:autoSpaceDE w:val="0"/>
        <w:autoSpaceDN w:val="0"/>
        <w:adjustRightInd w:val="0"/>
        <w:spacing w:before="0" w:line="260" w:lineRule="exact"/>
      </w:pPr>
      <w:r w:rsidRPr="004232D4">
        <w:t>Australia</w:t>
      </w:r>
      <w:r>
        <w:t xml:space="preserve"> </w:t>
      </w:r>
      <w:r w:rsidR="00FD327A">
        <w:t xml:space="preserve">is providing </w:t>
      </w:r>
      <w:r w:rsidR="00FD327A" w:rsidRPr="00FA2B92">
        <w:rPr>
          <w:b/>
          <w:bCs/>
        </w:rPr>
        <w:t>ongoing technical advisory support to the Vanuatu Government</w:t>
      </w:r>
      <w:r w:rsidRPr="00FA2B92">
        <w:rPr>
          <w:b/>
          <w:bCs/>
        </w:rPr>
        <w:t xml:space="preserve"> </w:t>
      </w:r>
      <w:r w:rsidR="00FD327A" w:rsidRPr="00FA2B92">
        <w:rPr>
          <w:b/>
          <w:bCs/>
        </w:rPr>
        <w:t xml:space="preserve">on </w:t>
      </w:r>
      <w:r w:rsidRPr="00FA2B92">
        <w:rPr>
          <w:b/>
          <w:bCs/>
        </w:rPr>
        <w:t>potential COVID-19 economic response measures</w:t>
      </w:r>
      <w:r>
        <w:t xml:space="preserve">. </w:t>
      </w:r>
      <w:r w:rsidR="00A33648">
        <w:t>In the reporting period t</w:t>
      </w:r>
      <w:r>
        <w:t xml:space="preserve">his </w:t>
      </w:r>
      <w:r w:rsidR="0028188F">
        <w:t>supported</w:t>
      </w:r>
      <w:r>
        <w:t xml:space="preserve"> the </w:t>
      </w:r>
      <w:r w:rsidRPr="00FA2B92">
        <w:t>design and deliver</w:t>
      </w:r>
      <w:r w:rsidR="00A93651">
        <w:t>y of</w:t>
      </w:r>
      <w:r w:rsidRPr="00FA2B92">
        <w:t xml:space="preserve"> an Employment Stabilisation Payment to subsidise wages, the first such program</w:t>
      </w:r>
      <w:r w:rsidR="009501DE">
        <w:t xml:space="preserve"> </w:t>
      </w:r>
      <w:r w:rsidRPr="00FA2B92">
        <w:t xml:space="preserve">in Vanuatu. </w:t>
      </w:r>
      <w:r w:rsidR="003E6F56" w:rsidRPr="00FA2B92">
        <w:t>These payments were critical in ensuri</w:t>
      </w:r>
      <w:r w:rsidR="003E6F56" w:rsidRPr="000B0E1A">
        <w:t xml:space="preserve">ng </w:t>
      </w:r>
      <w:r w:rsidR="006B6546">
        <w:t xml:space="preserve">businesses retained staff and </w:t>
      </w:r>
      <w:r w:rsidR="003E6F56" w:rsidRPr="000B0E1A">
        <w:t xml:space="preserve">low wage </w:t>
      </w:r>
      <w:r w:rsidR="006B6546">
        <w:t xml:space="preserve">earners </w:t>
      </w:r>
      <w:r w:rsidR="003E6F56" w:rsidRPr="000B0E1A">
        <w:t>could meet their basic family needs including food and health care.</w:t>
      </w:r>
      <w:r w:rsidRPr="00C379B3">
        <w:t xml:space="preserve"> </w:t>
      </w:r>
    </w:p>
    <w:p w14:paraId="677C3EDD" w14:textId="3DAA8F1A" w:rsidR="006C2E9D" w:rsidRDefault="008711F1" w:rsidP="001477ED">
      <w:pPr>
        <w:widowControl w:val="0"/>
        <w:suppressAutoHyphens w:val="0"/>
        <w:autoSpaceDE w:val="0"/>
        <w:autoSpaceDN w:val="0"/>
        <w:adjustRightInd w:val="0"/>
        <w:spacing w:before="0" w:line="260" w:lineRule="exact"/>
      </w:pPr>
      <w:r w:rsidRPr="00C379B3">
        <w:t>We</w:t>
      </w:r>
      <w:r w:rsidR="003E6F56" w:rsidRPr="00C379B3">
        <w:t xml:space="preserve"> supported the Vanuatu Chamber of Commerce and Industry to analyse </w:t>
      </w:r>
      <w:r w:rsidR="00B74131" w:rsidRPr="00C379B3">
        <w:t>COVID-19</w:t>
      </w:r>
      <w:r w:rsidR="003E6F56" w:rsidRPr="00C379B3">
        <w:t xml:space="preserve"> impact</w:t>
      </w:r>
      <w:r w:rsidR="00B74131" w:rsidRPr="00C379B3">
        <w:t>s</w:t>
      </w:r>
      <w:r w:rsidR="003E6F56" w:rsidRPr="00C379B3">
        <w:t xml:space="preserve"> on the private sector and run an inaugural Government-Business Conference. This helped establish </w:t>
      </w:r>
      <w:r w:rsidRPr="00C379B3">
        <w:t>a private sector</w:t>
      </w:r>
      <w:r w:rsidR="00C45ACD">
        <w:t>–g</w:t>
      </w:r>
      <w:r w:rsidRPr="00C379B3">
        <w:t>overnment</w:t>
      </w:r>
      <w:r>
        <w:t xml:space="preserve"> </w:t>
      </w:r>
      <w:r w:rsidR="003E6F56">
        <w:t>dialogue</w:t>
      </w:r>
      <w:r w:rsidR="00AB335A">
        <w:t>,</w:t>
      </w:r>
      <w:r w:rsidR="003E6F56">
        <w:t xml:space="preserve"> </w:t>
      </w:r>
      <w:r w:rsidR="003728B8">
        <w:t>infor</w:t>
      </w:r>
      <w:r w:rsidR="003E6F56">
        <w:t>m</w:t>
      </w:r>
      <w:r w:rsidR="00AB335A">
        <w:t>ing</w:t>
      </w:r>
      <w:r w:rsidR="004232D4">
        <w:t xml:space="preserve"> the</w:t>
      </w:r>
      <w:r w:rsidR="004232D4" w:rsidRPr="004232D4">
        <w:t xml:space="preserve"> design of Vanuatu</w:t>
      </w:r>
      <w:r w:rsidR="006C2E9D">
        <w:t xml:space="preserve">’s </w:t>
      </w:r>
      <w:r w:rsidR="004232D4" w:rsidRPr="004232D4">
        <w:t>second economic stimulus package</w:t>
      </w:r>
      <w:r w:rsidR="004232D4">
        <w:t xml:space="preserve"> (May – Dec 2021).</w:t>
      </w:r>
      <w:r w:rsidR="003728B8">
        <w:t xml:space="preserve"> </w:t>
      </w:r>
      <w:r w:rsidR="006B6546" w:rsidRPr="006B6546">
        <w:t xml:space="preserve">Three hundred and sixty-five </w:t>
      </w:r>
      <w:r w:rsidR="006D15F7">
        <w:t>women</w:t>
      </w:r>
      <w:r w:rsidR="006B6546" w:rsidRPr="006B6546">
        <w:t xml:space="preserve"> entrepreneurs</w:t>
      </w:r>
      <w:r w:rsidR="006B6546">
        <w:t xml:space="preserve"> also</w:t>
      </w:r>
      <w:r w:rsidR="006B6546" w:rsidRPr="006B6546">
        <w:t xml:space="preserve"> received business development services</w:t>
      </w:r>
      <w:r w:rsidR="00AB335A">
        <w:t xml:space="preserve"> to </w:t>
      </w:r>
      <w:r w:rsidR="006B6546" w:rsidRPr="006B6546">
        <w:t xml:space="preserve">adapt </w:t>
      </w:r>
      <w:r w:rsidR="00AB335A">
        <w:t xml:space="preserve">their </w:t>
      </w:r>
      <w:r w:rsidR="006B6546" w:rsidRPr="006B6546">
        <w:t>businesses to COVID-19</w:t>
      </w:r>
      <w:r w:rsidR="003728B8">
        <w:t xml:space="preserve">. </w:t>
      </w:r>
    </w:p>
    <w:p w14:paraId="25362AA6" w14:textId="474AF3D8" w:rsidR="004232D4" w:rsidRPr="00C379B3" w:rsidRDefault="00DA0AAC" w:rsidP="001477ED">
      <w:pPr>
        <w:widowControl w:val="0"/>
        <w:suppressAutoHyphens w:val="0"/>
        <w:autoSpaceDE w:val="0"/>
        <w:autoSpaceDN w:val="0"/>
        <w:adjustRightInd w:val="0"/>
        <w:spacing w:before="0" w:line="260" w:lineRule="exact"/>
      </w:pPr>
      <w:r>
        <w:t>Our</w:t>
      </w:r>
      <w:r w:rsidR="003728B8">
        <w:t xml:space="preserve"> </w:t>
      </w:r>
      <w:r w:rsidR="00E9009F">
        <w:t xml:space="preserve">continued </w:t>
      </w:r>
      <w:r w:rsidR="004232D4" w:rsidRPr="004232D4">
        <w:t>support for tourism is critical for</w:t>
      </w:r>
      <w:r w:rsidR="00AB335A">
        <w:t xml:space="preserve"> Vanuatu’s</w:t>
      </w:r>
      <w:r w:rsidR="004232D4" w:rsidRPr="004232D4">
        <w:t xml:space="preserve"> long-term recovery given </w:t>
      </w:r>
      <w:r w:rsidR="00276CF3">
        <w:t>its</w:t>
      </w:r>
      <w:r w:rsidR="004232D4" w:rsidRPr="004232D4">
        <w:t xml:space="preserve"> contribution</w:t>
      </w:r>
      <w:r w:rsidR="008D55FA">
        <w:t xml:space="preserve"> to GDP</w:t>
      </w:r>
      <w:r w:rsidR="004232D4" w:rsidRPr="004232D4">
        <w:t xml:space="preserve">. </w:t>
      </w:r>
      <w:r w:rsidR="00E9009F" w:rsidRPr="00FA2B92">
        <w:t xml:space="preserve">We </w:t>
      </w:r>
      <w:r w:rsidR="00E82921">
        <w:t>support the work</w:t>
      </w:r>
      <w:r w:rsidR="004232D4" w:rsidRPr="00FA2B92">
        <w:t xml:space="preserve"> of Vanuatu’s Tourism Crisis Recovery Committee includ</w:t>
      </w:r>
      <w:r w:rsidR="00075E45">
        <w:t>ing</w:t>
      </w:r>
      <w:r w:rsidR="004232D4" w:rsidRPr="00FA2B92">
        <w:t xml:space="preserve"> business preservation and diversification activities, interim support measures </w:t>
      </w:r>
      <w:r w:rsidR="00075E45">
        <w:t>like</w:t>
      </w:r>
      <w:r w:rsidR="00075E45" w:rsidRPr="00FA2B92">
        <w:t xml:space="preserve"> </w:t>
      </w:r>
      <w:r w:rsidR="004232D4" w:rsidRPr="00FA2B92">
        <w:t>domestic tourism promotion</w:t>
      </w:r>
      <w:r w:rsidR="0058461E" w:rsidRPr="00FA2B92">
        <w:t>,</w:t>
      </w:r>
      <w:r w:rsidR="004232D4" w:rsidRPr="00C379B3">
        <w:t xml:space="preserve"> and preparations for a tourism restart</w:t>
      </w:r>
      <w:r w:rsidR="0058461E" w:rsidRPr="000B0E1A">
        <w:t xml:space="preserve"> including the</w:t>
      </w:r>
      <w:r w:rsidR="00E9009F" w:rsidRPr="00C379B3">
        <w:t xml:space="preserve"> design and </w:t>
      </w:r>
      <w:r w:rsidR="006C2E9D" w:rsidRPr="00C379B3">
        <w:t>implementation of</w:t>
      </w:r>
      <w:r w:rsidR="00E9009F" w:rsidRPr="00C379B3">
        <w:t xml:space="preserve"> a tourism recovery marketing plan.</w:t>
      </w:r>
    </w:p>
    <w:p w14:paraId="4F304128" w14:textId="4C723D32" w:rsidR="00426929" w:rsidRDefault="00A33648" w:rsidP="001477ED">
      <w:pPr>
        <w:widowControl w:val="0"/>
        <w:suppressAutoHyphens w:val="0"/>
        <w:autoSpaceDE w:val="0"/>
        <w:autoSpaceDN w:val="0"/>
        <w:adjustRightInd w:val="0"/>
        <w:spacing w:before="0" w:line="260" w:lineRule="exact"/>
      </w:pPr>
      <w:r w:rsidRPr="00A159B0">
        <w:t xml:space="preserve">In </w:t>
      </w:r>
      <w:r w:rsidR="00B24CB4">
        <w:t>2020</w:t>
      </w:r>
      <w:r w:rsidR="00AB416D" w:rsidRPr="00FA2B92">
        <w:rPr>
          <w:b/>
          <w:bCs/>
        </w:rPr>
        <w:t>,</w:t>
      </w:r>
      <w:r>
        <w:rPr>
          <w:b/>
          <w:bCs/>
        </w:rPr>
        <w:t xml:space="preserve"> the</w:t>
      </w:r>
      <w:r w:rsidR="00AB416D" w:rsidRPr="00FA2B92">
        <w:rPr>
          <w:b/>
          <w:bCs/>
        </w:rPr>
        <w:t xml:space="preserve"> </w:t>
      </w:r>
      <w:r w:rsidR="00426929" w:rsidRPr="00B37727">
        <w:rPr>
          <w:b/>
          <w:bCs/>
        </w:rPr>
        <w:t>Vanuatu Skills Partnership (VSP)</w:t>
      </w:r>
      <w:r w:rsidR="00426929" w:rsidRPr="00FA2B92">
        <w:rPr>
          <w:b/>
          <w:bCs/>
        </w:rPr>
        <w:t xml:space="preserve"> provided skills training </w:t>
      </w:r>
      <w:r w:rsidR="00AB416D" w:rsidRPr="00FA2B92">
        <w:rPr>
          <w:b/>
          <w:bCs/>
        </w:rPr>
        <w:t>to 650 people</w:t>
      </w:r>
      <w:r w:rsidR="00AB416D">
        <w:t xml:space="preserve"> (</w:t>
      </w:r>
      <w:r w:rsidR="00E253E5">
        <w:t>48</w:t>
      </w:r>
      <w:r w:rsidR="001477ED">
        <w:t xml:space="preserve"> per cent</w:t>
      </w:r>
      <w:r w:rsidR="00AB416D">
        <w:t xml:space="preserve"> women) </w:t>
      </w:r>
      <w:r w:rsidR="00426929">
        <w:t xml:space="preserve">and </w:t>
      </w:r>
      <w:r w:rsidR="00AB416D">
        <w:t xml:space="preserve">business </w:t>
      </w:r>
      <w:r w:rsidR="00AB416D" w:rsidRPr="00FA2B92">
        <w:t>skills</w:t>
      </w:r>
      <w:r w:rsidR="00426929" w:rsidRPr="00FA2B92">
        <w:t xml:space="preserve"> support services</w:t>
      </w:r>
      <w:r w:rsidR="00BB4B2E" w:rsidRPr="00FA2B92">
        <w:t xml:space="preserve"> to </w:t>
      </w:r>
      <w:r w:rsidR="00AB416D" w:rsidRPr="00FA2B92">
        <w:t>238 businesses (68</w:t>
      </w:r>
      <w:r w:rsidR="001477ED" w:rsidRPr="00FA2B92">
        <w:t xml:space="preserve"> per cent </w:t>
      </w:r>
      <w:r w:rsidR="00AB416D" w:rsidRPr="00FA2B92">
        <w:t>owned by women or c</w:t>
      </w:r>
      <w:r w:rsidR="00AB416D" w:rsidRPr="00C379B3">
        <w:t xml:space="preserve">ouples) </w:t>
      </w:r>
      <w:r w:rsidR="00426929" w:rsidRPr="000B0E1A">
        <w:t>impact</w:t>
      </w:r>
      <w:r w:rsidR="00F25B53" w:rsidRPr="00C379B3">
        <w:t>ed by</w:t>
      </w:r>
      <w:r w:rsidR="00426929" w:rsidRPr="00C379B3">
        <w:t xml:space="preserve"> COVID-19 and T</w:t>
      </w:r>
      <w:r w:rsidR="008D74E3">
        <w:t xml:space="preserve">ropical </w:t>
      </w:r>
      <w:r w:rsidR="001477ED" w:rsidRPr="00C379B3">
        <w:t>C</w:t>
      </w:r>
      <w:r w:rsidR="008D74E3">
        <w:t>yclone</w:t>
      </w:r>
      <w:r w:rsidR="001477ED" w:rsidRPr="00C379B3">
        <w:t> </w:t>
      </w:r>
      <w:r w:rsidR="00426929" w:rsidRPr="00C379B3">
        <w:t>Harold. This helped grow local businesses</w:t>
      </w:r>
      <w:r w:rsidR="00AB335A">
        <w:t xml:space="preserve"> and increased income</w:t>
      </w:r>
      <w:r w:rsidR="00426929" w:rsidRPr="00C379B3">
        <w:t>, particularly</w:t>
      </w:r>
      <w:r w:rsidR="006F1259">
        <w:t xml:space="preserve"> </w:t>
      </w:r>
      <w:r w:rsidR="00426929" w:rsidRPr="00C379B3">
        <w:t>in the agriculture, tourism and creative industries sectors</w:t>
      </w:r>
      <w:r w:rsidR="00426929">
        <w:t xml:space="preserve">. </w:t>
      </w:r>
      <w:r w:rsidR="00017A11">
        <w:t>Some</w:t>
      </w:r>
      <w:r w:rsidR="00426929">
        <w:t xml:space="preserve"> </w:t>
      </w:r>
      <w:r w:rsidR="00401B1A">
        <w:t xml:space="preserve">of these </w:t>
      </w:r>
      <w:r w:rsidR="00426929">
        <w:t xml:space="preserve">businesses are now reaching new </w:t>
      </w:r>
      <w:r w:rsidR="00F25B53">
        <w:t xml:space="preserve">domestic </w:t>
      </w:r>
      <w:r w:rsidR="00426929">
        <w:t>markets and are improv</w:t>
      </w:r>
      <w:r w:rsidR="00017A11">
        <w:t>ing</w:t>
      </w:r>
      <w:r w:rsidR="00426929">
        <w:t xml:space="preserve"> food security and nutrition through engagement with local schools and hospitals. </w:t>
      </w:r>
    </w:p>
    <w:p w14:paraId="79613909" w14:textId="4DA0D2E4" w:rsidR="00F25B53" w:rsidRDefault="00F25B53" w:rsidP="001477ED">
      <w:pPr>
        <w:widowControl w:val="0"/>
        <w:suppressAutoHyphens w:val="0"/>
        <w:autoSpaceDE w:val="0"/>
        <w:autoSpaceDN w:val="0"/>
        <w:adjustRightInd w:val="0"/>
        <w:spacing w:before="0" w:line="260" w:lineRule="exact"/>
      </w:pPr>
      <w:r>
        <w:t xml:space="preserve">To </w:t>
      </w:r>
      <w:r w:rsidRPr="00FA2B92">
        <w:rPr>
          <w:b/>
          <w:bCs/>
        </w:rPr>
        <w:t>support greater access to services and markets</w:t>
      </w:r>
      <w:r>
        <w:t xml:space="preserve">, we worked with Vanuatu’s Public Works Department (PWD) to increase and sustain year-round rural access and reduce the roads sub-sector funding gap. </w:t>
      </w:r>
      <w:r w:rsidR="00A33648">
        <w:t xml:space="preserve">In the reporting period, </w:t>
      </w:r>
      <w:r>
        <w:t>Australia also supported PWD to reach its target of maintaining over 1</w:t>
      </w:r>
      <w:r w:rsidR="001477ED">
        <w:t>,</w:t>
      </w:r>
      <w:r>
        <w:t>342</w:t>
      </w:r>
      <w:r w:rsidR="00C45ACD">
        <w:t xml:space="preserve"> </w:t>
      </w:r>
      <w:r>
        <w:t>km of roads in 2020.</w:t>
      </w:r>
    </w:p>
    <w:p w14:paraId="6C273620" w14:textId="1A637439" w:rsidR="001477ED" w:rsidRDefault="00A33648" w:rsidP="00FD5B9B">
      <w:pPr>
        <w:widowControl w:val="0"/>
        <w:tabs>
          <w:tab w:val="center" w:pos="5273"/>
        </w:tabs>
        <w:suppressAutoHyphens w:val="0"/>
        <w:autoSpaceDE w:val="0"/>
        <w:autoSpaceDN w:val="0"/>
        <w:adjustRightInd w:val="0"/>
        <w:spacing w:before="0" w:line="260" w:lineRule="exact"/>
        <w:rPr>
          <w:rFonts w:asciiTheme="majorHAnsi" w:eastAsiaTheme="majorEastAsia" w:hAnsiTheme="majorHAnsi" w:cstheme="majorBidi"/>
          <w:b/>
          <w:caps/>
          <w:szCs w:val="26"/>
        </w:rPr>
      </w:pPr>
      <w:r w:rsidRPr="00A159B0">
        <w:t>In the reporting period,</w:t>
      </w:r>
      <w:r>
        <w:rPr>
          <w:b/>
          <w:bCs/>
        </w:rPr>
        <w:t xml:space="preserve"> </w:t>
      </w:r>
      <w:r w:rsidR="00426929" w:rsidRPr="00FA2B92">
        <w:rPr>
          <w:b/>
          <w:bCs/>
        </w:rPr>
        <w:t>Australia</w:t>
      </w:r>
      <w:r w:rsidR="000552AF" w:rsidRPr="00FA2B92">
        <w:rPr>
          <w:b/>
          <w:bCs/>
        </w:rPr>
        <w:t xml:space="preserve"> supported local economic stimulus through </w:t>
      </w:r>
      <w:r w:rsidR="00426929" w:rsidRPr="00FA2B92">
        <w:rPr>
          <w:b/>
          <w:bCs/>
        </w:rPr>
        <w:t>$8.8 million for secondary school fee relief</w:t>
      </w:r>
      <w:r w:rsidR="00A35C45" w:rsidRPr="00FA2B92">
        <w:rPr>
          <w:b/>
          <w:bCs/>
        </w:rPr>
        <w:t xml:space="preserve"> to </w:t>
      </w:r>
      <w:r w:rsidR="00075E45" w:rsidRPr="00FA2B92">
        <w:rPr>
          <w:b/>
          <w:bCs/>
        </w:rPr>
        <w:t>families</w:t>
      </w:r>
      <w:r w:rsidR="00075E45">
        <w:t>, reducing</w:t>
      </w:r>
      <w:r w:rsidR="00426929">
        <w:t xml:space="preserve"> financial pressure by freeing up household income for other essential goods and services and </w:t>
      </w:r>
      <w:r w:rsidR="00426929" w:rsidRPr="00FA2B92">
        <w:rPr>
          <w:b/>
          <w:bCs/>
        </w:rPr>
        <w:t>helping</w:t>
      </w:r>
      <w:r w:rsidR="00110E2B">
        <w:rPr>
          <w:b/>
          <w:bCs/>
        </w:rPr>
        <w:t xml:space="preserve"> to</w:t>
      </w:r>
      <w:r w:rsidR="00426929" w:rsidRPr="00FA2B92">
        <w:rPr>
          <w:b/>
          <w:bCs/>
        </w:rPr>
        <w:t xml:space="preserve"> keep over 26,000 vulnerable students in school</w:t>
      </w:r>
      <w:r w:rsidR="00426929">
        <w:t xml:space="preserve">. This complements Australia’s primary school and community grants program which </w:t>
      </w:r>
      <w:r w:rsidR="00E82921">
        <w:t>continues</w:t>
      </w:r>
      <w:r w:rsidR="00426929">
        <w:t xml:space="preserve"> to support local projects predicated on local needs, supporting economic stimulus in communities across Vanuatu. </w:t>
      </w:r>
    </w:p>
    <w:p w14:paraId="12E24BAE" w14:textId="321509D6" w:rsidR="00BC1FED" w:rsidRDefault="00121DDD" w:rsidP="001477ED">
      <w:pPr>
        <w:pStyle w:val="Heading2"/>
      </w:pPr>
      <w:r>
        <w:lastRenderedPageBreak/>
        <w:t>Annex 1</w:t>
      </w:r>
      <w:r w:rsidR="001F7F4D" w:rsidRPr="002945C4">
        <w:t xml:space="preserve">: </w:t>
      </w:r>
      <w:r w:rsidR="00540A22">
        <w:t xml:space="preserve">Progress against </w:t>
      </w:r>
      <w:r w:rsidR="008A1503">
        <w:t xml:space="preserve">COVID-19 Response plan </w:t>
      </w:r>
      <w:r w:rsidR="00E1666D">
        <w:t>results indicators</w:t>
      </w:r>
    </w:p>
    <w:p w14:paraId="53E0B1CB" w14:textId="4861D448" w:rsidR="00AE2B7B" w:rsidRPr="00AE2B7B" w:rsidRDefault="00AE2B7B" w:rsidP="001477ED">
      <w:pPr>
        <w:pStyle w:val="Heading3"/>
      </w:pPr>
      <w:r w:rsidRPr="00AE2B7B">
        <w:t>Health Security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4390"/>
        <w:gridCol w:w="6146"/>
      </w:tblGrid>
      <w:tr w:rsidR="004F5615" w14:paraId="228F7F02" w14:textId="77777777" w:rsidTr="007A4493">
        <w:trPr>
          <w:tblHeader/>
        </w:trPr>
        <w:tc>
          <w:tcPr>
            <w:tcW w:w="4390" w:type="dxa"/>
            <w:shd w:val="clear" w:color="auto" w:fill="A2DCD1" w:themeFill="accent1" w:themeFillTint="99"/>
          </w:tcPr>
          <w:p w14:paraId="7116F4F5" w14:textId="2BCC79D7" w:rsidR="004F5615" w:rsidRPr="005736BB" w:rsidRDefault="00A96364" w:rsidP="001477E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 xml:space="preserve">Key Results </w:t>
            </w:r>
            <w:r w:rsidR="00E1666D" w:rsidRPr="005736BB">
              <w:rPr>
                <w:b/>
                <w:sz w:val="20"/>
                <w:szCs w:val="20"/>
              </w:rPr>
              <w:t>Indicators</w:t>
            </w:r>
          </w:p>
        </w:tc>
        <w:tc>
          <w:tcPr>
            <w:tcW w:w="6146" w:type="dxa"/>
            <w:shd w:val="clear" w:color="auto" w:fill="A2DCD1" w:themeFill="accent1" w:themeFillTint="99"/>
          </w:tcPr>
          <w:p w14:paraId="18C04122" w14:textId="30B10914" w:rsidR="004F5615" w:rsidRPr="005736BB" w:rsidRDefault="00AD19F7" w:rsidP="001477ED">
            <w:pPr>
              <w:spacing w:before="0"/>
              <w:ind w:left="10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416B33" w14:paraId="4AD746D8" w14:textId="77777777" w:rsidTr="007A4493">
        <w:trPr>
          <w:tblHeader/>
        </w:trPr>
        <w:tc>
          <w:tcPr>
            <w:tcW w:w="4390" w:type="dxa"/>
          </w:tcPr>
          <w:p w14:paraId="0AB10A98" w14:textId="03FDF4A6" w:rsidR="00416B33" w:rsidRPr="007263E0" w:rsidRDefault="00416B33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Strengthened health systems including preparedness for health emergencies (with examples)</w:t>
            </w:r>
          </w:p>
        </w:tc>
        <w:tc>
          <w:tcPr>
            <w:tcW w:w="6146" w:type="dxa"/>
          </w:tcPr>
          <w:p w14:paraId="44F01EB8" w14:textId="0473BBF4" w:rsidR="00416B33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I</w:t>
            </w:r>
            <w:r w:rsidR="00416B33" w:rsidRPr="007263E0">
              <w:rPr>
                <w:sz w:val="20"/>
                <w:szCs w:val="20"/>
              </w:rPr>
              <w:t>n partnership with WHO, supported Vanuatu to undertake a range of legislative, policy and procedural improvements including strengthening reporting and surveillance systems to prepare for and respond to COVID-19. This increased Vanuatu’s overall health security and pandemic preparedness and has helped Vanuatu remain COVID-19 free</w:t>
            </w:r>
            <w:r w:rsidR="008033E5" w:rsidRPr="007263E0">
              <w:rPr>
                <w:sz w:val="20"/>
                <w:szCs w:val="20"/>
              </w:rPr>
              <w:t>.</w:t>
            </w:r>
          </w:p>
        </w:tc>
      </w:tr>
      <w:tr w:rsidR="00416B33" w14:paraId="561E10FB" w14:textId="77777777" w:rsidTr="007A4493">
        <w:trPr>
          <w:tblHeader/>
        </w:trPr>
        <w:tc>
          <w:tcPr>
            <w:tcW w:w="4390" w:type="dxa"/>
          </w:tcPr>
          <w:p w14:paraId="3FC5A9AE" w14:textId="76E978DD" w:rsidR="00416B33" w:rsidRPr="007263E0" w:rsidRDefault="00416B33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Evidence that Vanuatu has improved its response to health security threats</w:t>
            </w:r>
          </w:p>
        </w:tc>
        <w:tc>
          <w:tcPr>
            <w:tcW w:w="6146" w:type="dxa"/>
          </w:tcPr>
          <w:p w14:paraId="731828F8" w14:textId="77777777" w:rsidR="00D11950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Contributed to assisting </w:t>
            </w:r>
            <w:r w:rsidR="00416B33" w:rsidRPr="007263E0">
              <w:rPr>
                <w:sz w:val="20"/>
                <w:szCs w:val="20"/>
              </w:rPr>
              <w:t xml:space="preserve">Vanuatu </w:t>
            </w:r>
            <w:r w:rsidRPr="007263E0">
              <w:rPr>
                <w:sz w:val="20"/>
                <w:szCs w:val="20"/>
              </w:rPr>
              <w:t xml:space="preserve">to </w:t>
            </w:r>
            <w:r w:rsidR="00416B33" w:rsidRPr="007263E0">
              <w:rPr>
                <w:sz w:val="20"/>
                <w:szCs w:val="20"/>
              </w:rPr>
              <w:t xml:space="preserve">remain COVID-free during the reporting period. </w:t>
            </w:r>
            <w:r w:rsidRPr="007263E0">
              <w:rPr>
                <w:sz w:val="20"/>
                <w:szCs w:val="20"/>
              </w:rPr>
              <w:t xml:space="preserve">Supported </w:t>
            </w:r>
            <w:r w:rsidR="00416B33" w:rsidRPr="007263E0">
              <w:rPr>
                <w:sz w:val="20"/>
                <w:szCs w:val="20"/>
              </w:rPr>
              <w:t xml:space="preserve">technical advice to Vanuatu’s Ministry of Health </w:t>
            </w:r>
            <w:r w:rsidRPr="007263E0">
              <w:rPr>
                <w:sz w:val="20"/>
                <w:szCs w:val="20"/>
              </w:rPr>
              <w:t xml:space="preserve">to </w:t>
            </w:r>
            <w:r w:rsidR="00416B33" w:rsidRPr="007263E0">
              <w:rPr>
                <w:sz w:val="20"/>
                <w:szCs w:val="20"/>
              </w:rPr>
              <w:t>guide</w:t>
            </w:r>
            <w:r w:rsidRPr="007263E0">
              <w:rPr>
                <w:sz w:val="20"/>
                <w:szCs w:val="20"/>
              </w:rPr>
              <w:t xml:space="preserve"> </w:t>
            </w:r>
            <w:r w:rsidR="00416B33" w:rsidRPr="007263E0">
              <w:rPr>
                <w:sz w:val="20"/>
                <w:szCs w:val="20"/>
              </w:rPr>
              <w:t xml:space="preserve">pandemic preparedness and response. </w:t>
            </w:r>
          </w:p>
          <w:p w14:paraId="1D0B508E" w14:textId="33C6F7AB" w:rsidR="00416B33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</w:t>
            </w:r>
            <w:r w:rsidR="00416B33" w:rsidRPr="007263E0">
              <w:rPr>
                <w:sz w:val="20"/>
                <w:szCs w:val="20"/>
              </w:rPr>
              <w:t>upport</w:t>
            </w:r>
            <w:r w:rsidRPr="007263E0">
              <w:rPr>
                <w:sz w:val="20"/>
                <w:szCs w:val="20"/>
              </w:rPr>
              <w:t>ed</w:t>
            </w:r>
            <w:r w:rsidR="00416B33" w:rsidRPr="007263E0">
              <w:rPr>
                <w:sz w:val="20"/>
                <w:szCs w:val="20"/>
              </w:rPr>
              <w:t xml:space="preserve"> five medical locums at Port Vila and Santo hospitals</w:t>
            </w:r>
            <w:r w:rsidRPr="007263E0">
              <w:rPr>
                <w:sz w:val="20"/>
                <w:szCs w:val="20"/>
              </w:rPr>
              <w:t xml:space="preserve"> and </w:t>
            </w:r>
            <w:r w:rsidR="00416B33" w:rsidRPr="007263E0">
              <w:rPr>
                <w:sz w:val="20"/>
                <w:szCs w:val="20"/>
              </w:rPr>
              <w:t>train</w:t>
            </w:r>
            <w:r w:rsidRPr="007263E0">
              <w:rPr>
                <w:sz w:val="20"/>
                <w:szCs w:val="20"/>
              </w:rPr>
              <w:t>ing</w:t>
            </w:r>
            <w:r w:rsidR="00416B33" w:rsidRPr="007263E0">
              <w:rPr>
                <w:sz w:val="20"/>
                <w:szCs w:val="20"/>
              </w:rPr>
              <w:t xml:space="preserve"> </w:t>
            </w:r>
            <w:r w:rsidRPr="007263E0">
              <w:rPr>
                <w:sz w:val="20"/>
                <w:szCs w:val="20"/>
              </w:rPr>
              <w:t xml:space="preserve">for </w:t>
            </w:r>
            <w:r w:rsidR="00416B33" w:rsidRPr="007263E0">
              <w:rPr>
                <w:sz w:val="20"/>
                <w:szCs w:val="20"/>
              </w:rPr>
              <w:t>40 people in contact tracing.</w:t>
            </w:r>
          </w:p>
        </w:tc>
      </w:tr>
      <w:tr w:rsidR="00416B33" w14:paraId="6024B2EE" w14:textId="77777777" w:rsidTr="007A4493">
        <w:trPr>
          <w:tblHeader/>
        </w:trPr>
        <w:tc>
          <w:tcPr>
            <w:tcW w:w="4390" w:type="dxa"/>
          </w:tcPr>
          <w:p w14:paraId="5A7E4C44" w14:textId="7FE28B44" w:rsidR="00416B33" w:rsidRPr="007263E0" w:rsidRDefault="00F14828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Number</w:t>
            </w:r>
            <w:r w:rsidR="00416B33" w:rsidRPr="007263E0">
              <w:rPr>
                <w:sz w:val="20"/>
                <w:szCs w:val="20"/>
              </w:rPr>
              <w:t xml:space="preserve"> of vulnerable women, men, girls and boys provided with emergency assistance in a crisis (</w:t>
            </w:r>
            <w:r w:rsidR="00137760" w:rsidRPr="007263E0">
              <w:rPr>
                <w:sz w:val="20"/>
                <w:szCs w:val="20"/>
              </w:rPr>
              <w:t>2020-21</w:t>
            </w:r>
            <w:r w:rsidR="00416B33" w:rsidRPr="007263E0">
              <w:rPr>
                <w:sz w:val="20"/>
                <w:szCs w:val="20"/>
              </w:rPr>
              <w:t xml:space="preserve"> target 150)</w:t>
            </w:r>
          </w:p>
        </w:tc>
        <w:tc>
          <w:tcPr>
            <w:tcW w:w="6146" w:type="dxa"/>
          </w:tcPr>
          <w:p w14:paraId="5D9F8D14" w14:textId="3C7D60FF" w:rsidR="00015F41" w:rsidRPr="007263E0" w:rsidRDefault="00833814" w:rsidP="00015F41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As a result of T</w:t>
            </w:r>
            <w:r w:rsidR="008D74E3" w:rsidRPr="007263E0">
              <w:rPr>
                <w:sz w:val="20"/>
                <w:szCs w:val="20"/>
              </w:rPr>
              <w:t xml:space="preserve">ropical </w:t>
            </w:r>
            <w:r w:rsidRPr="007263E0">
              <w:rPr>
                <w:sz w:val="20"/>
                <w:szCs w:val="20"/>
              </w:rPr>
              <w:t>C</w:t>
            </w:r>
            <w:r w:rsidR="008D74E3" w:rsidRPr="007263E0">
              <w:rPr>
                <w:sz w:val="20"/>
                <w:szCs w:val="20"/>
              </w:rPr>
              <w:t>yclone</w:t>
            </w:r>
            <w:r w:rsidRPr="007263E0">
              <w:rPr>
                <w:sz w:val="20"/>
                <w:szCs w:val="20"/>
              </w:rPr>
              <w:t xml:space="preserve"> Harold, we p</w:t>
            </w:r>
            <w:r w:rsidR="00015F41" w:rsidRPr="007263E0">
              <w:rPr>
                <w:sz w:val="20"/>
                <w:szCs w:val="20"/>
              </w:rPr>
              <w:t>rovided emergency assistance for to 62,270 people following</w:t>
            </w:r>
            <w:r w:rsidR="00AD49C3" w:rsidRPr="007263E0">
              <w:rPr>
                <w:sz w:val="20"/>
                <w:szCs w:val="20"/>
              </w:rPr>
              <w:t xml:space="preserve">. Sex disaggregated data is not available. </w:t>
            </w:r>
          </w:p>
          <w:p w14:paraId="3A40B9CD" w14:textId="48E87787" w:rsidR="00416B33" w:rsidRPr="007263E0" w:rsidRDefault="00416B33" w:rsidP="00015F41">
            <w:pPr>
              <w:spacing w:before="0"/>
              <w:rPr>
                <w:sz w:val="20"/>
                <w:szCs w:val="20"/>
              </w:rPr>
            </w:pPr>
          </w:p>
        </w:tc>
      </w:tr>
    </w:tbl>
    <w:p w14:paraId="08BBE344" w14:textId="210C0D23" w:rsidR="00AE2B7B" w:rsidRPr="00AE2B7B" w:rsidRDefault="00AE2B7B" w:rsidP="001477ED">
      <w:pPr>
        <w:pStyle w:val="Heading3"/>
      </w:pPr>
      <w:r w:rsidRPr="00AE2B7B">
        <w:t>Stability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Stability "/>
      </w:tblPr>
      <w:tblGrid>
        <w:gridCol w:w="4390"/>
        <w:gridCol w:w="6146"/>
      </w:tblGrid>
      <w:tr w:rsidR="00CA5021" w14:paraId="14EF210E" w14:textId="77777777" w:rsidTr="006D1E48">
        <w:trPr>
          <w:tblHeader/>
        </w:trPr>
        <w:tc>
          <w:tcPr>
            <w:tcW w:w="4390" w:type="dxa"/>
            <w:shd w:val="clear" w:color="auto" w:fill="A2DCD1" w:themeFill="accent1" w:themeFillTint="99"/>
            <w:vAlign w:val="bottom"/>
          </w:tcPr>
          <w:p w14:paraId="47014330" w14:textId="7A7E2C4C" w:rsidR="00CA5021" w:rsidRPr="005736BB" w:rsidRDefault="00A96364" w:rsidP="001477ED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Key Results</w:t>
            </w:r>
            <w:r w:rsidR="00CA5021" w:rsidRPr="005736BB">
              <w:rPr>
                <w:b/>
                <w:sz w:val="20"/>
                <w:szCs w:val="20"/>
              </w:rPr>
              <w:t xml:space="preserve"> Indicator</w:t>
            </w:r>
            <w:r w:rsidRPr="005736B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146" w:type="dxa"/>
            <w:shd w:val="clear" w:color="auto" w:fill="A2DCD1" w:themeFill="accent1" w:themeFillTint="99"/>
            <w:vAlign w:val="bottom"/>
          </w:tcPr>
          <w:p w14:paraId="167B5817" w14:textId="6DB7E03D" w:rsidR="00CA5021" w:rsidRPr="005736BB" w:rsidRDefault="00AD19F7" w:rsidP="001477ED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464EE3" w14:paraId="593A8551" w14:textId="77777777" w:rsidTr="006C1D29">
        <w:tc>
          <w:tcPr>
            <w:tcW w:w="4390" w:type="dxa"/>
          </w:tcPr>
          <w:p w14:paraId="2AA59D1C" w14:textId="5941F7C1" w:rsidR="00464EE3" w:rsidRPr="007263E0" w:rsidRDefault="00464EE3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Strengthened governance systems (by type</w:t>
            </w:r>
            <w:r w:rsidR="00F14828" w:rsidRPr="007263E0">
              <w:rPr>
                <w:sz w:val="20"/>
                <w:szCs w:val="20"/>
              </w:rPr>
              <w:t>,</w:t>
            </w:r>
            <w:r w:rsidRPr="007263E0">
              <w:rPr>
                <w:sz w:val="20"/>
                <w:szCs w:val="20"/>
              </w:rPr>
              <w:t xml:space="preserve"> including assistance provided </w:t>
            </w:r>
            <w:r w:rsidR="00F14828" w:rsidRPr="007263E0">
              <w:rPr>
                <w:sz w:val="20"/>
                <w:szCs w:val="20"/>
              </w:rPr>
              <w:t>and</w:t>
            </w:r>
            <w:r w:rsidRPr="007263E0">
              <w:rPr>
                <w:sz w:val="20"/>
                <w:szCs w:val="20"/>
              </w:rPr>
              <w:t xml:space="preserve"> significant policy change achieved)</w:t>
            </w:r>
          </w:p>
        </w:tc>
        <w:tc>
          <w:tcPr>
            <w:tcW w:w="6146" w:type="dxa"/>
          </w:tcPr>
          <w:p w14:paraId="3226B1EB" w14:textId="4ACEA89B" w:rsidR="00DA659C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bookmarkStart w:id="8" w:name="_Hlk78282517"/>
            <w:r w:rsidRPr="007263E0">
              <w:rPr>
                <w:sz w:val="20"/>
                <w:szCs w:val="20"/>
              </w:rPr>
              <w:t>S</w:t>
            </w:r>
            <w:r w:rsidR="003955C8" w:rsidRPr="007263E0">
              <w:rPr>
                <w:sz w:val="20"/>
                <w:szCs w:val="20"/>
              </w:rPr>
              <w:t xml:space="preserve">upported </w:t>
            </w:r>
            <w:r w:rsidRPr="007263E0">
              <w:rPr>
                <w:sz w:val="20"/>
                <w:szCs w:val="20"/>
              </w:rPr>
              <w:t>the</w:t>
            </w:r>
            <w:r w:rsidR="003955C8" w:rsidRPr="007263E0">
              <w:rPr>
                <w:sz w:val="20"/>
                <w:szCs w:val="20"/>
              </w:rPr>
              <w:t xml:space="preserve"> develop</w:t>
            </w:r>
            <w:r w:rsidRPr="007263E0">
              <w:rPr>
                <w:sz w:val="20"/>
                <w:szCs w:val="20"/>
              </w:rPr>
              <w:t>ment of</w:t>
            </w:r>
            <w:r w:rsidR="003955C8" w:rsidRPr="007263E0">
              <w:rPr>
                <w:sz w:val="20"/>
                <w:szCs w:val="20"/>
              </w:rPr>
              <w:t xml:space="preserve"> comprehensive ten-year health sector and education sector strategies to </w:t>
            </w:r>
            <w:r w:rsidR="006C2E9D" w:rsidRPr="007263E0">
              <w:rPr>
                <w:sz w:val="20"/>
                <w:szCs w:val="20"/>
              </w:rPr>
              <w:t xml:space="preserve">drive </w:t>
            </w:r>
            <w:r w:rsidR="003955C8" w:rsidRPr="007263E0">
              <w:rPr>
                <w:sz w:val="20"/>
                <w:szCs w:val="20"/>
              </w:rPr>
              <w:t>improve</w:t>
            </w:r>
            <w:r w:rsidR="006C2E9D" w:rsidRPr="007263E0">
              <w:rPr>
                <w:sz w:val="20"/>
                <w:szCs w:val="20"/>
              </w:rPr>
              <w:t>ments in</w:t>
            </w:r>
            <w:r w:rsidR="003955C8" w:rsidRPr="007263E0">
              <w:rPr>
                <w:sz w:val="20"/>
                <w:szCs w:val="20"/>
              </w:rPr>
              <w:t xml:space="preserve"> </w:t>
            </w:r>
            <w:r w:rsidR="00E253E5" w:rsidRPr="007263E0">
              <w:rPr>
                <w:sz w:val="20"/>
                <w:szCs w:val="20"/>
              </w:rPr>
              <w:t xml:space="preserve">government </w:t>
            </w:r>
            <w:r w:rsidR="003955C8" w:rsidRPr="007263E0">
              <w:rPr>
                <w:sz w:val="20"/>
                <w:szCs w:val="20"/>
              </w:rPr>
              <w:t>sector</w:t>
            </w:r>
            <w:r w:rsidR="00E253E5" w:rsidRPr="007263E0">
              <w:rPr>
                <w:sz w:val="20"/>
                <w:szCs w:val="20"/>
              </w:rPr>
              <w:t>al</w:t>
            </w:r>
            <w:r w:rsidR="003955C8" w:rsidRPr="007263E0">
              <w:rPr>
                <w:sz w:val="20"/>
                <w:szCs w:val="20"/>
              </w:rPr>
              <w:t xml:space="preserve"> planning and service delivery. </w:t>
            </w:r>
            <w:r w:rsidR="00DB04DD" w:rsidRPr="007263E0">
              <w:rPr>
                <w:sz w:val="20"/>
                <w:szCs w:val="20"/>
              </w:rPr>
              <w:t xml:space="preserve">Both strategies focus on strengthening </w:t>
            </w:r>
            <w:r w:rsidR="00E253E5" w:rsidRPr="007263E0">
              <w:rPr>
                <w:sz w:val="20"/>
                <w:szCs w:val="20"/>
              </w:rPr>
              <w:t>access to services for</w:t>
            </w:r>
            <w:r w:rsidR="00DB04DD" w:rsidRPr="007263E0">
              <w:rPr>
                <w:sz w:val="20"/>
                <w:szCs w:val="20"/>
              </w:rPr>
              <w:t xml:space="preserve"> vulnerable groups including women</w:t>
            </w:r>
            <w:r w:rsidR="0055488A" w:rsidRPr="007263E0">
              <w:rPr>
                <w:sz w:val="20"/>
                <w:szCs w:val="20"/>
              </w:rPr>
              <w:t xml:space="preserve"> and children</w:t>
            </w:r>
            <w:r w:rsidR="00DB04DD" w:rsidRPr="007263E0">
              <w:rPr>
                <w:sz w:val="20"/>
                <w:szCs w:val="20"/>
              </w:rPr>
              <w:t>, people with disabilit</w:t>
            </w:r>
            <w:r w:rsidR="00164935" w:rsidRPr="007263E0">
              <w:rPr>
                <w:sz w:val="20"/>
                <w:szCs w:val="20"/>
              </w:rPr>
              <w:t>ies</w:t>
            </w:r>
            <w:r w:rsidR="00DB04DD" w:rsidRPr="007263E0">
              <w:rPr>
                <w:sz w:val="20"/>
                <w:szCs w:val="20"/>
              </w:rPr>
              <w:t xml:space="preserve"> and rural and remote communities.</w:t>
            </w:r>
          </w:p>
          <w:p w14:paraId="0AB800A6" w14:textId="4907DCBC" w:rsidR="00464EE3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</w:t>
            </w:r>
            <w:r w:rsidR="00BB4B2E" w:rsidRPr="007263E0">
              <w:rPr>
                <w:sz w:val="20"/>
                <w:szCs w:val="20"/>
              </w:rPr>
              <w:t>upport</w:t>
            </w:r>
            <w:r w:rsidRPr="007263E0">
              <w:rPr>
                <w:sz w:val="20"/>
                <w:szCs w:val="20"/>
              </w:rPr>
              <w:t>ed</w:t>
            </w:r>
            <w:r w:rsidR="00BB4B2E" w:rsidRPr="007263E0">
              <w:rPr>
                <w:sz w:val="20"/>
                <w:szCs w:val="20"/>
              </w:rPr>
              <w:t xml:space="preserve"> the </w:t>
            </w:r>
            <w:bookmarkEnd w:id="8"/>
            <w:r w:rsidR="00464EE3" w:rsidRPr="007263E0">
              <w:rPr>
                <w:sz w:val="20"/>
                <w:szCs w:val="20"/>
              </w:rPr>
              <w:t>Vanuatu National Statistics Office</w:t>
            </w:r>
            <w:r w:rsidR="00BB4B2E" w:rsidRPr="007263E0">
              <w:rPr>
                <w:sz w:val="20"/>
                <w:szCs w:val="20"/>
              </w:rPr>
              <w:t xml:space="preserve"> </w:t>
            </w:r>
            <w:r w:rsidRPr="007263E0">
              <w:rPr>
                <w:sz w:val="20"/>
                <w:szCs w:val="20"/>
              </w:rPr>
              <w:t xml:space="preserve">to improve the </w:t>
            </w:r>
            <w:r w:rsidR="00BB4B2E" w:rsidRPr="007263E0">
              <w:rPr>
                <w:sz w:val="20"/>
                <w:szCs w:val="20"/>
              </w:rPr>
              <w:t>gener</w:t>
            </w:r>
            <w:r w:rsidRPr="007263E0">
              <w:rPr>
                <w:sz w:val="20"/>
                <w:szCs w:val="20"/>
              </w:rPr>
              <w:t>ation</w:t>
            </w:r>
            <w:r w:rsidR="00BB4B2E" w:rsidRPr="007263E0">
              <w:rPr>
                <w:sz w:val="20"/>
                <w:szCs w:val="20"/>
              </w:rPr>
              <w:t xml:space="preserve"> and assess</w:t>
            </w:r>
            <w:r w:rsidRPr="007263E0">
              <w:rPr>
                <w:sz w:val="20"/>
                <w:szCs w:val="20"/>
              </w:rPr>
              <w:t>ment of</w:t>
            </w:r>
            <w:r w:rsidR="00BB4B2E" w:rsidRPr="007263E0">
              <w:rPr>
                <w:sz w:val="20"/>
                <w:szCs w:val="20"/>
              </w:rPr>
              <w:t xml:space="preserve"> official statistics</w:t>
            </w:r>
            <w:r w:rsidRPr="007263E0">
              <w:rPr>
                <w:sz w:val="20"/>
                <w:szCs w:val="20"/>
              </w:rPr>
              <w:t xml:space="preserve">. This </w:t>
            </w:r>
            <w:r w:rsidR="00BB4B2E" w:rsidRPr="007263E0">
              <w:rPr>
                <w:sz w:val="20"/>
                <w:szCs w:val="20"/>
              </w:rPr>
              <w:t>provid</w:t>
            </w:r>
            <w:r w:rsidR="00F14828" w:rsidRPr="007263E0">
              <w:rPr>
                <w:sz w:val="20"/>
                <w:szCs w:val="20"/>
              </w:rPr>
              <w:t>ed</w:t>
            </w:r>
            <w:r w:rsidR="00BB4B2E" w:rsidRPr="007263E0">
              <w:rPr>
                <w:sz w:val="20"/>
                <w:szCs w:val="20"/>
              </w:rPr>
              <w:t xml:space="preserve"> </w:t>
            </w:r>
            <w:r w:rsidR="00464EE3" w:rsidRPr="007263E0">
              <w:rPr>
                <w:sz w:val="20"/>
                <w:szCs w:val="20"/>
              </w:rPr>
              <w:t>better data for government decision-making</w:t>
            </w:r>
            <w:r w:rsidR="00BB4B2E" w:rsidRPr="007263E0">
              <w:rPr>
                <w:sz w:val="20"/>
                <w:szCs w:val="20"/>
              </w:rPr>
              <w:t>.</w:t>
            </w:r>
          </w:p>
          <w:p w14:paraId="2E8902BB" w14:textId="4DABE64C" w:rsidR="00464EE3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</w:t>
            </w:r>
            <w:r w:rsidR="00464EE3" w:rsidRPr="007263E0">
              <w:rPr>
                <w:sz w:val="20"/>
                <w:szCs w:val="20"/>
              </w:rPr>
              <w:t>upport</w:t>
            </w:r>
            <w:r w:rsidRPr="007263E0">
              <w:rPr>
                <w:sz w:val="20"/>
                <w:szCs w:val="20"/>
              </w:rPr>
              <w:t xml:space="preserve">ed </w:t>
            </w:r>
            <w:r w:rsidR="00464EE3" w:rsidRPr="007263E0">
              <w:rPr>
                <w:sz w:val="20"/>
                <w:szCs w:val="20"/>
              </w:rPr>
              <w:t xml:space="preserve">a review and update of public financial management and government procurement regulations. </w:t>
            </w:r>
            <w:r w:rsidRPr="007263E0">
              <w:rPr>
                <w:sz w:val="20"/>
                <w:szCs w:val="20"/>
              </w:rPr>
              <w:t>This support</w:t>
            </w:r>
            <w:r w:rsidR="00D11950" w:rsidRPr="007263E0">
              <w:rPr>
                <w:sz w:val="20"/>
                <w:szCs w:val="20"/>
              </w:rPr>
              <w:t>ed</w:t>
            </w:r>
            <w:r w:rsidR="00464EE3" w:rsidRPr="007263E0">
              <w:rPr>
                <w:sz w:val="20"/>
                <w:szCs w:val="20"/>
              </w:rPr>
              <w:t xml:space="preserve"> improved</w:t>
            </w:r>
            <w:r w:rsidR="001477ED" w:rsidRPr="007263E0">
              <w:rPr>
                <w:sz w:val="20"/>
                <w:szCs w:val="20"/>
              </w:rPr>
              <w:t xml:space="preserve"> </w:t>
            </w:r>
            <w:r w:rsidR="00464EE3" w:rsidRPr="007263E0">
              <w:rPr>
                <w:sz w:val="20"/>
                <w:szCs w:val="20"/>
              </w:rPr>
              <w:t>government service delivery, and the more effective, efficient and transparent use of public money.</w:t>
            </w:r>
          </w:p>
        </w:tc>
      </w:tr>
      <w:tr w:rsidR="00464EE3" w14:paraId="0556A95D" w14:textId="77777777" w:rsidTr="006C1D29">
        <w:tc>
          <w:tcPr>
            <w:tcW w:w="4390" w:type="dxa"/>
          </w:tcPr>
          <w:p w14:paraId="322BF551" w14:textId="77777777" w:rsidR="00464EE3" w:rsidRPr="007263E0" w:rsidRDefault="00464EE3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Examples of increased participation of women in decision-making and leadership in key sectors with Australian support</w:t>
            </w:r>
          </w:p>
          <w:p w14:paraId="62F5276A" w14:textId="7528D89D" w:rsidR="00464EE3" w:rsidRPr="007263E0" w:rsidRDefault="00464EE3" w:rsidP="001477ED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146" w:type="dxa"/>
          </w:tcPr>
          <w:p w14:paraId="01453305" w14:textId="18411A85" w:rsidR="00DA659C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</w:t>
            </w:r>
            <w:r w:rsidR="00464EE3" w:rsidRPr="007263E0">
              <w:rPr>
                <w:sz w:val="20"/>
                <w:szCs w:val="20"/>
              </w:rPr>
              <w:t>upport</w:t>
            </w:r>
            <w:r w:rsidRPr="007263E0">
              <w:rPr>
                <w:sz w:val="20"/>
                <w:szCs w:val="20"/>
              </w:rPr>
              <w:t>ed</w:t>
            </w:r>
            <w:r w:rsidR="00464EE3" w:rsidRPr="007263E0">
              <w:rPr>
                <w:sz w:val="20"/>
                <w:szCs w:val="20"/>
              </w:rPr>
              <w:t xml:space="preserve"> the VPF Women’s Advisory Network</w:t>
            </w:r>
            <w:r w:rsidR="00531B37" w:rsidRPr="007263E0">
              <w:rPr>
                <w:sz w:val="20"/>
                <w:szCs w:val="20"/>
              </w:rPr>
              <w:t xml:space="preserve"> (WAN) to strengthen</w:t>
            </w:r>
            <w:r w:rsidR="00464EE3" w:rsidRPr="007263E0">
              <w:rPr>
                <w:sz w:val="20"/>
                <w:szCs w:val="20"/>
              </w:rPr>
              <w:t xml:space="preserve"> the role of women in the </w:t>
            </w:r>
            <w:r w:rsidR="00531B37" w:rsidRPr="007263E0">
              <w:rPr>
                <w:sz w:val="20"/>
                <w:szCs w:val="20"/>
              </w:rPr>
              <w:t>VPF</w:t>
            </w:r>
            <w:r w:rsidR="00464EE3" w:rsidRPr="007263E0">
              <w:rPr>
                <w:sz w:val="20"/>
                <w:szCs w:val="20"/>
              </w:rPr>
              <w:t>.</w:t>
            </w:r>
            <w:r w:rsidR="00531B37" w:rsidRPr="007263E0">
              <w:rPr>
                <w:sz w:val="20"/>
                <w:szCs w:val="20"/>
              </w:rPr>
              <w:t xml:space="preserve"> </w:t>
            </w:r>
            <w:r w:rsidRPr="007263E0">
              <w:rPr>
                <w:sz w:val="20"/>
                <w:szCs w:val="20"/>
              </w:rPr>
              <w:t xml:space="preserve">This included a </w:t>
            </w:r>
            <w:r w:rsidR="00531B37" w:rsidRPr="007263E0">
              <w:rPr>
                <w:sz w:val="20"/>
                <w:szCs w:val="20"/>
              </w:rPr>
              <w:t xml:space="preserve">WAN representative </w:t>
            </w:r>
            <w:r w:rsidRPr="007263E0">
              <w:rPr>
                <w:sz w:val="20"/>
                <w:szCs w:val="20"/>
              </w:rPr>
              <w:t xml:space="preserve">being </w:t>
            </w:r>
            <w:r w:rsidR="00531B37" w:rsidRPr="007263E0">
              <w:rPr>
                <w:sz w:val="20"/>
                <w:szCs w:val="20"/>
              </w:rPr>
              <w:t xml:space="preserve">included in all VPF executive meetings (previously all </w:t>
            </w:r>
            <w:r w:rsidR="006D15F7" w:rsidRPr="007263E0">
              <w:rPr>
                <w:sz w:val="20"/>
                <w:szCs w:val="20"/>
              </w:rPr>
              <w:t>men</w:t>
            </w:r>
            <w:r w:rsidR="00531B37" w:rsidRPr="007263E0">
              <w:rPr>
                <w:sz w:val="20"/>
                <w:szCs w:val="20"/>
              </w:rPr>
              <w:t xml:space="preserve">). </w:t>
            </w:r>
          </w:p>
          <w:p w14:paraId="202ABE94" w14:textId="0A7070AF" w:rsidR="00DA659C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Across education and justice programs, and through the Australia Awards alumni</w:t>
            </w:r>
            <w:r w:rsidR="00F14828" w:rsidRPr="007263E0">
              <w:rPr>
                <w:sz w:val="20"/>
                <w:szCs w:val="20"/>
              </w:rPr>
              <w:t>,</w:t>
            </w:r>
            <w:r w:rsidRPr="007263E0">
              <w:rPr>
                <w:sz w:val="20"/>
                <w:szCs w:val="20"/>
              </w:rPr>
              <w:t xml:space="preserve"> supported</w:t>
            </w:r>
            <w:r w:rsidR="00CC594A" w:rsidRPr="007263E0">
              <w:rPr>
                <w:sz w:val="20"/>
                <w:szCs w:val="20"/>
              </w:rPr>
              <w:t xml:space="preserve"> women in leadership roles to develop </w:t>
            </w:r>
            <w:r w:rsidR="009F7DF2" w:rsidRPr="007263E0">
              <w:rPr>
                <w:sz w:val="20"/>
                <w:szCs w:val="20"/>
              </w:rPr>
              <w:t xml:space="preserve">leadership </w:t>
            </w:r>
            <w:r w:rsidR="00CC594A" w:rsidRPr="007263E0">
              <w:rPr>
                <w:sz w:val="20"/>
                <w:szCs w:val="20"/>
              </w:rPr>
              <w:t>skills</w:t>
            </w:r>
            <w:r w:rsidR="00531B37" w:rsidRPr="007263E0">
              <w:rPr>
                <w:sz w:val="20"/>
                <w:szCs w:val="20"/>
              </w:rPr>
              <w:t xml:space="preserve">. </w:t>
            </w:r>
          </w:p>
          <w:p w14:paraId="71F5FF79" w14:textId="14EB7BCE" w:rsidR="00464EE3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In </w:t>
            </w:r>
            <w:r w:rsidR="00531B37" w:rsidRPr="007263E0">
              <w:rPr>
                <w:sz w:val="20"/>
                <w:szCs w:val="20"/>
              </w:rPr>
              <w:t>sectoral programs</w:t>
            </w:r>
            <w:r w:rsidRPr="007263E0">
              <w:rPr>
                <w:sz w:val="20"/>
                <w:szCs w:val="20"/>
              </w:rPr>
              <w:t xml:space="preserve"> supported by Australia (health, skills and justice and policing)</w:t>
            </w:r>
            <w:r w:rsidR="00531B37" w:rsidRPr="007263E0">
              <w:rPr>
                <w:sz w:val="20"/>
                <w:szCs w:val="20"/>
              </w:rPr>
              <w:t xml:space="preserve">, </w:t>
            </w:r>
            <w:r w:rsidRPr="007263E0">
              <w:rPr>
                <w:sz w:val="20"/>
                <w:szCs w:val="20"/>
              </w:rPr>
              <w:t>women now hold key leadership roles.</w:t>
            </w:r>
            <w:r w:rsidR="00531B37" w:rsidRPr="007263E0">
              <w:rPr>
                <w:sz w:val="20"/>
                <w:szCs w:val="20"/>
              </w:rPr>
              <w:t xml:space="preserve"> </w:t>
            </w:r>
          </w:p>
        </w:tc>
      </w:tr>
      <w:tr w:rsidR="00464EE3" w14:paraId="5DF0BAD4" w14:textId="77777777" w:rsidTr="006C1D29">
        <w:tc>
          <w:tcPr>
            <w:tcW w:w="4390" w:type="dxa"/>
          </w:tcPr>
          <w:p w14:paraId="476782F7" w14:textId="4526E741" w:rsidR="00464EE3" w:rsidRPr="007263E0" w:rsidRDefault="00D00B03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Number </w:t>
            </w:r>
            <w:r w:rsidR="00464EE3" w:rsidRPr="007263E0">
              <w:rPr>
                <w:sz w:val="20"/>
                <w:szCs w:val="20"/>
              </w:rPr>
              <w:t>of women and girl survivors of violence receiving services such as counselling (</w:t>
            </w:r>
            <w:r w:rsidR="00137760" w:rsidRPr="007263E0">
              <w:rPr>
                <w:sz w:val="20"/>
                <w:szCs w:val="20"/>
              </w:rPr>
              <w:t>2020-21</w:t>
            </w:r>
            <w:r w:rsidR="00464EE3" w:rsidRPr="007263E0">
              <w:rPr>
                <w:sz w:val="20"/>
                <w:szCs w:val="20"/>
              </w:rPr>
              <w:t xml:space="preserve"> target 8,000)</w:t>
            </w:r>
          </w:p>
        </w:tc>
        <w:tc>
          <w:tcPr>
            <w:tcW w:w="6146" w:type="dxa"/>
          </w:tcPr>
          <w:p w14:paraId="69182282" w14:textId="153FDBF0" w:rsidR="00464EE3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Supported </w:t>
            </w:r>
            <w:r w:rsidR="00464EE3" w:rsidRPr="007263E0">
              <w:rPr>
                <w:sz w:val="20"/>
                <w:szCs w:val="20"/>
              </w:rPr>
              <w:t>7</w:t>
            </w:r>
            <w:r w:rsidR="006C2E9D" w:rsidRPr="007263E0">
              <w:rPr>
                <w:sz w:val="20"/>
                <w:szCs w:val="20"/>
              </w:rPr>
              <w:t>,</w:t>
            </w:r>
            <w:r w:rsidR="00464EE3" w:rsidRPr="007263E0">
              <w:rPr>
                <w:sz w:val="20"/>
                <w:szCs w:val="20"/>
              </w:rPr>
              <w:t xml:space="preserve">262 women and girl survivors of violence </w:t>
            </w:r>
            <w:r w:rsidRPr="007263E0">
              <w:rPr>
                <w:sz w:val="20"/>
                <w:szCs w:val="20"/>
              </w:rPr>
              <w:t xml:space="preserve">to </w:t>
            </w:r>
            <w:r w:rsidR="00464EE3" w:rsidRPr="007263E0">
              <w:rPr>
                <w:sz w:val="20"/>
                <w:szCs w:val="20"/>
              </w:rPr>
              <w:t>receive</w:t>
            </w:r>
            <w:r w:rsidRPr="007263E0">
              <w:rPr>
                <w:sz w:val="20"/>
                <w:szCs w:val="20"/>
              </w:rPr>
              <w:t xml:space="preserve"> </w:t>
            </w:r>
            <w:r w:rsidR="00464EE3" w:rsidRPr="007263E0">
              <w:rPr>
                <w:sz w:val="20"/>
                <w:szCs w:val="20"/>
              </w:rPr>
              <w:t>counselling and legal services</w:t>
            </w:r>
            <w:r w:rsidRPr="007263E0">
              <w:rPr>
                <w:sz w:val="20"/>
                <w:szCs w:val="20"/>
              </w:rPr>
              <w:t xml:space="preserve">, including </w:t>
            </w:r>
            <w:r w:rsidR="00464EE3" w:rsidRPr="007263E0">
              <w:rPr>
                <w:sz w:val="20"/>
                <w:szCs w:val="20"/>
              </w:rPr>
              <w:t xml:space="preserve">a national toll-free crisis line and increased mobile counselling visits to communities. </w:t>
            </w:r>
            <w:r w:rsidRPr="007263E0">
              <w:rPr>
                <w:sz w:val="20"/>
                <w:szCs w:val="20"/>
              </w:rPr>
              <w:t xml:space="preserve">This support </w:t>
            </w:r>
            <w:r w:rsidR="00464EE3" w:rsidRPr="007263E0">
              <w:rPr>
                <w:sz w:val="20"/>
                <w:szCs w:val="20"/>
              </w:rPr>
              <w:t>also reached 21,547</w:t>
            </w:r>
            <w:r w:rsidR="001477ED" w:rsidRPr="007263E0">
              <w:rPr>
                <w:sz w:val="20"/>
                <w:szCs w:val="20"/>
              </w:rPr>
              <w:t> </w:t>
            </w:r>
            <w:r w:rsidR="00464EE3" w:rsidRPr="007263E0">
              <w:rPr>
                <w:sz w:val="20"/>
                <w:szCs w:val="20"/>
              </w:rPr>
              <w:t>participants with community awareness activities.</w:t>
            </w:r>
          </w:p>
        </w:tc>
      </w:tr>
      <w:tr w:rsidR="00464EE3" w14:paraId="7E704FEB" w14:textId="77777777" w:rsidTr="006C1D29">
        <w:tc>
          <w:tcPr>
            <w:tcW w:w="4390" w:type="dxa"/>
          </w:tcPr>
          <w:p w14:paraId="0C4DE7D2" w14:textId="77777777" w:rsidR="00464EE3" w:rsidRPr="007263E0" w:rsidRDefault="00464EE3" w:rsidP="001477ED">
            <w:pPr>
              <w:spacing w:before="0"/>
              <w:rPr>
                <w:b/>
                <w:bCs/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Strengthened security capability and resilience (with examples)</w:t>
            </w:r>
          </w:p>
          <w:p w14:paraId="1CC2F0CD" w14:textId="30DCC31A" w:rsidR="00464EE3" w:rsidRPr="007263E0" w:rsidRDefault="00464EE3" w:rsidP="001477ED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6146" w:type="dxa"/>
          </w:tcPr>
          <w:p w14:paraId="23C32022" w14:textId="5D73CE3F" w:rsidR="00464EE3" w:rsidRPr="007263E0" w:rsidRDefault="00DA659C" w:rsidP="001477ED">
            <w:pPr>
              <w:spacing w:before="0"/>
              <w:rPr>
                <w:sz w:val="20"/>
                <w:szCs w:val="20"/>
                <w:lang w:val="en-AU"/>
              </w:rPr>
            </w:pPr>
            <w:bookmarkStart w:id="9" w:name="_Hlk81310167"/>
            <w:r w:rsidRPr="007263E0">
              <w:rPr>
                <w:sz w:val="20"/>
                <w:szCs w:val="20"/>
                <w:lang w:val="en-AU"/>
              </w:rPr>
              <w:t xml:space="preserve">Supported the training of </w:t>
            </w:r>
            <w:r w:rsidR="00464EE3" w:rsidRPr="007263E0">
              <w:rPr>
                <w:sz w:val="20"/>
                <w:szCs w:val="20"/>
                <w:lang w:val="en-AU"/>
              </w:rPr>
              <w:t>540 officials (29</w:t>
            </w:r>
            <w:r w:rsidR="001477ED" w:rsidRPr="007263E0">
              <w:rPr>
                <w:sz w:val="20"/>
                <w:szCs w:val="20"/>
                <w:lang w:val="en-AU"/>
              </w:rPr>
              <w:t xml:space="preserve"> per cent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women) across the policing and justice sectors</w:t>
            </w:r>
            <w:r w:rsidRPr="007263E0">
              <w:rPr>
                <w:sz w:val="20"/>
                <w:szCs w:val="20"/>
                <w:lang w:val="en-AU"/>
              </w:rPr>
              <w:t xml:space="preserve"> to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strengthen organisational capacity and improv</w:t>
            </w:r>
            <w:r w:rsidRPr="007263E0">
              <w:rPr>
                <w:sz w:val="20"/>
                <w:szCs w:val="20"/>
                <w:lang w:val="en-AU"/>
              </w:rPr>
              <w:t>e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service delivery. </w:t>
            </w:r>
            <w:r w:rsidRPr="007263E0">
              <w:rPr>
                <w:sz w:val="20"/>
                <w:szCs w:val="20"/>
                <w:lang w:val="en-AU"/>
              </w:rPr>
              <w:t>Of this, 39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were new police recruits (28</w:t>
            </w:r>
            <w:r w:rsidR="001477ED" w:rsidRPr="007263E0">
              <w:rPr>
                <w:sz w:val="20"/>
                <w:szCs w:val="20"/>
                <w:lang w:val="en-AU"/>
              </w:rPr>
              <w:t xml:space="preserve"> per cent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women), many of whom </w:t>
            </w:r>
            <w:r w:rsidRPr="007263E0">
              <w:rPr>
                <w:sz w:val="20"/>
                <w:szCs w:val="20"/>
                <w:lang w:val="en-AU"/>
              </w:rPr>
              <w:t xml:space="preserve">were </w:t>
            </w:r>
            <w:r w:rsidR="00464EE3" w:rsidRPr="007263E0">
              <w:rPr>
                <w:sz w:val="20"/>
                <w:szCs w:val="20"/>
                <w:lang w:val="en-AU"/>
              </w:rPr>
              <w:t>deployed to rural areas</w:t>
            </w:r>
            <w:r w:rsidRPr="007263E0">
              <w:rPr>
                <w:sz w:val="20"/>
                <w:szCs w:val="20"/>
                <w:lang w:val="en-AU"/>
              </w:rPr>
              <w:t xml:space="preserve">. This </w:t>
            </w:r>
            <w:r w:rsidR="00464EE3" w:rsidRPr="007263E0">
              <w:rPr>
                <w:sz w:val="20"/>
                <w:szCs w:val="20"/>
                <w:lang w:val="en-AU"/>
              </w:rPr>
              <w:t>support</w:t>
            </w:r>
            <w:r w:rsidR="00D11950" w:rsidRPr="007263E0">
              <w:rPr>
                <w:sz w:val="20"/>
                <w:szCs w:val="20"/>
                <w:lang w:val="en-AU"/>
              </w:rPr>
              <w:t>ed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the Vanuatu Government’s priority of decentralising services. </w:t>
            </w:r>
          </w:p>
          <w:p w14:paraId="7D9CAB9B" w14:textId="3EBC25F9" w:rsidR="00464EE3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  <w:lang w:val="en-AU"/>
              </w:rPr>
              <w:t xml:space="preserve">Supported </w:t>
            </w:r>
            <w:r w:rsidR="00464EE3" w:rsidRPr="007263E0">
              <w:rPr>
                <w:sz w:val="20"/>
                <w:szCs w:val="20"/>
                <w:lang w:val="en-AU"/>
              </w:rPr>
              <w:t>critical upgrades to VPF infrastructure and the Vanuatu Government National Emergency Radio Network</w:t>
            </w:r>
            <w:r w:rsidRPr="007263E0">
              <w:rPr>
                <w:sz w:val="20"/>
                <w:szCs w:val="20"/>
                <w:lang w:val="en-AU"/>
              </w:rPr>
              <w:t xml:space="preserve">. This </w:t>
            </w:r>
            <w:r w:rsidR="0019765F" w:rsidRPr="007263E0">
              <w:rPr>
                <w:sz w:val="20"/>
                <w:szCs w:val="20"/>
                <w:lang w:val="en-AU"/>
              </w:rPr>
              <w:t>strengthen</w:t>
            </w:r>
            <w:r w:rsidR="00D11950" w:rsidRPr="007263E0">
              <w:rPr>
                <w:sz w:val="20"/>
                <w:szCs w:val="20"/>
                <w:lang w:val="en-AU"/>
              </w:rPr>
              <w:t>ed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the reach and capability of the VPF</w:t>
            </w:r>
            <w:r w:rsidRPr="007263E0">
              <w:rPr>
                <w:sz w:val="20"/>
                <w:szCs w:val="20"/>
                <w:lang w:val="en-AU"/>
              </w:rPr>
              <w:t xml:space="preserve">, </w:t>
            </w:r>
            <w:r w:rsidR="00464EE3" w:rsidRPr="007263E0">
              <w:rPr>
                <w:sz w:val="20"/>
                <w:szCs w:val="20"/>
                <w:lang w:val="en-AU"/>
              </w:rPr>
              <w:t>enhanc</w:t>
            </w:r>
            <w:r w:rsidRPr="007263E0">
              <w:rPr>
                <w:sz w:val="20"/>
                <w:szCs w:val="20"/>
                <w:lang w:val="en-AU"/>
              </w:rPr>
              <w:t>ing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Vanuatu’s security and </w:t>
            </w:r>
            <w:r w:rsidRPr="007263E0">
              <w:rPr>
                <w:sz w:val="20"/>
                <w:szCs w:val="20"/>
                <w:lang w:val="en-AU"/>
              </w:rPr>
              <w:t xml:space="preserve">its </w:t>
            </w:r>
            <w:r w:rsidR="00464EE3" w:rsidRPr="007263E0">
              <w:rPr>
                <w:sz w:val="20"/>
                <w:szCs w:val="20"/>
                <w:lang w:val="en-AU"/>
              </w:rPr>
              <w:t>ability to respond to humanitarian emergencies and secure its maritime boundaries</w:t>
            </w:r>
            <w:bookmarkEnd w:id="9"/>
            <w:r w:rsidR="00464EE3" w:rsidRPr="007263E0">
              <w:rPr>
                <w:sz w:val="20"/>
                <w:szCs w:val="20"/>
                <w:lang w:val="en-AU"/>
              </w:rPr>
              <w:t>.</w:t>
            </w:r>
          </w:p>
        </w:tc>
      </w:tr>
      <w:tr w:rsidR="00464EE3" w14:paraId="6D116F2B" w14:textId="77777777" w:rsidTr="00103629">
        <w:trPr>
          <w:cantSplit/>
        </w:trPr>
        <w:tc>
          <w:tcPr>
            <w:tcW w:w="4390" w:type="dxa"/>
          </w:tcPr>
          <w:p w14:paraId="54D6A3C4" w14:textId="0717E53A" w:rsidR="00464EE3" w:rsidRPr="007263E0" w:rsidRDefault="00D00B03" w:rsidP="001477ED">
            <w:pPr>
              <w:spacing w:before="0"/>
              <w:rPr>
                <w:b/>
                <w:bCs/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Number </w:t>
            </w:r>
            <w:r w:rsidR="00464EE3" w:rsidRPr="007263E0">
              <w:rPr>
                <w:sz w:val="20"/>
                <w:szCs w:val="20"/>
              </w:rPr>
              <w:t>of additional girls and boys enrolled in school (</w:t>
            </w:r>
            <w:r w:rsidR="004F0741" w:rsidRPr="007263E0">
              <w:rPr>
                <w:sz w:val="20"/>
                <w:szCs w:val="20"/>
              </w:rPr>
              <w:t>men/ women</w:t>
            </w:r>
            <w:r w:rsidR="00464EE3" w:rsidRPr="007263E0">
              <w:rPr>
                <w:sz w:val="20"/>
                <w:szCs w:val="20"/>
              </w:rPr>
              <w:t>)</w:t>
            </w:r>
          </w:p>
        </w:tc>
        <w:tc>
          <w:tcPr>
            <w:tcW w:w="6146" w:type="dxa"/>
          </w:tcPr>
          <w:p w14:paraId="2AA64408" w14:textId="5F4714B7" w:rsidR="00DA659C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Supported an additional</w:t>
            </w:r>
            <w:r w:rsidR="00464EE3" w:rsidRPr="007263E0">
              <w:rPr>
                <w:sz w:val="20"/>
                <w:szCs w:val="20"/>
              </w:rPr>
              <w:t xml:space="preserve"> 233 girls and boys </w:t>
            </w:r>
            <w:r w:rsidRPr="007263E0">
              <w:rPr>
                <w:sz w:val="20"/>
                <w:szCs w:val="20"/>
              </w:rPr>
              <w:t>to</w:t>
            </w:r>
            <w:r w:rsidR="00464EE3" w:rsidRPr="007263E0">
              <w:rPr>
                <w:sz w:val="20"/>
                <w:szCs w:val="20"/>
              </w:rPr>
              <w:t xml:space="preserve"> enrol</w:t>
            </w:r>
            <w:r w:rsidRPr="007263E0">
              <w:rPr>
                <w:sz w:val="20"/>
                <w:szCs w:val="20"/>
              </w:rPr>
              <w:t xml:space="preserve"> </w:t>
            </w:r>
            <w:r w:rsidR="00464EE3" w:rsidRPr="007263E0">
              <w:rPr>
                <w:sz w:val="20"/>
                <w:szCs w:val="20"/>
              </w:rPr>
              <w:t>in school</w:t>
            </w:r>
            <w:r w:rsidRPr="007263E0">
              <w:rPr>
                <w:sz w:val="20"/>
                <w:szCs w:val="20"/>
              </w:rPr>
              <w:t xml:space="preserve">. </w:t>
            </w:r>
            <w:r w:rsidR="00AD49C3" w:rsidRPr="007263E0">
              <w:rPr>
                <w:sz w:val="20"/>
                <w:szCs w:val="20"/>
              </w:rPr>
              <w:t xml:space="preserve">Disaggregated data is not available. </w:t>
            </w:r>
          </w:p>
          <w:p w14:paraId="49556BB2" w14:textId="3A926464" w:rsidR="00E81ED6" w:rsidRPr="007263E0" w:rsidRDefault="00DA659C" w:rsidP="001477ED">
            <w:pPr>
              <w:spacing w:before="0"/>
              <w:rPr>
                <w:sz w:val="20"/>
                <w:szCs w:val="20"/>
                <w:lang w:val="en-AU"/>
              </w:rPr>
            </w:pPr>
            <w:r w:rsidRPr="007263E0">
              <w:rPr>
                <w:sz w:val="20"/>
                <w:szCs w:val="20"/>
              </w:rPr>
              <w:t xml:space="preserve">Supported </w:t>
            </w:r>
            <w:r w:rsidR="00464EE3" w:rsidRPr="007263E0">
              <w:rPr>
                <w:sz w:val="20"/>
                <w:szCs w:val="20"/>
              </w:rPr>
              <w:t>learning opportunities for students across Vanuatu</w:t>
            </w:r>
            <w:r w:rsidRPr="007263E0">
              <w:rPr>
                <w:sz w:val="20"/>
                <w:szCs w:val="20"/>
              </w:rPr>
              <w:t xml:space="preserve">. This was </w:t>
            </w:r>
            <w:r w:rsidR="00464EE3" w:rsidRPr="007263E0">
              <w:rPr>
                <w:sz w:val="20"/>
                <w:szCs w:val="20"/>
              </w:rPr>
              <w:t xml:space="preserve">despite the impacts </w:t>
            </w:r>
            <w:r w:rsidR="00795080" w:rsidRPr="007263E0">
              <w:rPr>
                <w:sz w:val="20"/>
                <w:szCs w:val="20"/>
              </w:rPr>
              <w:t xml:space="preserve">of </w:t>
            </w:r>
            <w:r w:rsidR="00464EE3" w:rsidRPr="007263E0">
              <w:rPr>
                <w:sz w:val="20"/>
                <w:szCs w:val="20"/>
              </w:rPr>
              <w:t xml:space="preserve">COVID-19 lockdowns, </w:t>
            </w:r>
            <w:r w:rsidR="008D74E3" w:rsidRPr="007263E0">
              <w:rPr>
                <w:sz w:val="20"/>
                <w:szCs w:val="20"/>
              </w:rPr>
              <w:t xml:space="preserve">Tropical Cyclone </w:t>
            </w:r>
            <w:r w:rsidR="00464EE3" w:rsidRPr="007263E0">
              <w:rPr>
                <w:sz w:val="20"/>
                <w:szCs w:val="20"/>
              </w:rPr>
              <w:t>Harold and the Ambae volcano displacement</w:t>
            </w:r>
            <w:r w:rsidRPr="007263E0">
              <w:rPr>
                <w:sz w:val="20"/>
                <w:szCs w:val="20"/>
              </w:rPr>
              <w:t xml:space="preserve">. This included </w:t>
            </w:r>
            <w:r w:rsidR="00464EE3" w:rsidRPr="007263E0">
              <w:rPr>
                <w:sz w:val="20"/>
                <w:szCs w:val="20"/>
              </w:rPr>
              <w:t>a home-schooling package for primary students and a radio home-school program.</w:t>
            </w:r>
          </w:p>
        </w:tc>
      </w:tr>
      <w:tr w:rsidR="00464EE3" w14:paraId="4E9D4FA2" w14:textId="77777777" w:rsidTr="006C1D29">
        <w:tc>
          <w:tcPr>
            <w:tcW w:w="4390" w:type="dxa"/>
          </w:tcPr>
          <w:p w14:paraId="460687B0" w14:textId="4CCBD073" w:rsidR="00464EE3" w:rsidRPr="007263E0" w:rsidRDefault="00D00B03" w:rsidP="001477ED">
            <w:pPr>
              <w:spacing w:before="0"/>
              <w:rPr>
                <w:b/>
                <w:bCs/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Number </w:t>
            </w:r>
            <w:r w:rsidR="00464EE3" w:rsidRPr="007263E0">
              <w:rPr>
                <w:sz w:val="20"/>
                <w:szCs w:val="20"/>
              </w:rPr>
              <w:t>of new or repaired buildings that meet universal access standards, and disaster and climate resilient standards (</w:t>
            </w:r>
            <w:r w:rsidR="00137760" w:rsidRPr="007263E0">
              <w:rPr>
                <w:sz w:val="20"/>
                <w:szCs w:val="20"/>
              </w:rPr>
              <w:t>2020-21</w:t>
            </w:r>
            <w:r w:rsidR="00464EE3" w:rsidRPr="007263E0">
              <w:rPr>
                <w:sz w:val="20"/>
                <w:szCs w:val="20"/>
              </w:rPr>
              <w:t xml:space="preserve"> cumulative target 25)</w:t>
            </w:r>
          </w:p>
        </w:tc>
        <w:tc>
          <w:tcPr>
            <w:tcW w:w="6146" w:type="dxa"/>
          </w:tcPr>
          <w:p w14:paraId="108418B9" w14:textId="47579B8E" w:rsidR="006C1D29" w:rsidRPr="007263E0" w:rsidRDefault="00DA659C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Supported </w:t>
            </w:r>
            <w:r w:rsidR="00291D21" w:rsidRPr="007263E0">
              <w:rPr>
                <w:sz w:val="20"/>
                <w:szCs w:val="20"/>
              </w:rPr>
              <w:t>work on</w:t>
            </w:r>
            <w:r w:rsidR="006C1D29" w:rsidRPr="007263E0">
              <w:rPr>
                <w:sz w:val="20"/>
                <w:szCs w:val="20"/>
              </w:rPr>
              <w:t xml:space="preserve"> </w:t>
            </w:r>
            <w:r w:rsidR="00291D21" w:rsidRPr="007263E0">
              <w:rPr>
                <w:sz w:val="20"/>
                <w:szCs w:val="20"/>
              </w:rPr>
              <w:t>22</w:t>
            </w:r>
            <w:r w:rsidR="00A0279D" w:rsidRPr="007263E0">
              <w:rPr>
                <w:sz w:val="20"/>
                <w:szCs w:val="20"/>
              </w:rPr>
              <w:t xml:space="preserve"> </w:t>
            </w:r>
            <w:r w:rsidR="006C1D29" w:rsidRPr="007263E0">
              <w:rPr>
                <w:sz w:val="20"/>
                <w:szCs w:val="20"/>
              </w:rPr>
              <w:t>buildings (</w:t>
            </w:r>
            <w:r w:rsidR="00291D21" w:rsidRPr="007263E0">
              <w:rPr>
                <w:sz w:val="20"/>
                <w:szCs w:val="20"/>
              </w:rPr>
              <w:t xml:space="preserve">16 </w:t>
            </w:r>
            <w:r w:rsidR="006C1D29" w:rsidRPr="007263E0">
              <w:rPr>
                <w:sz w:val="20"/>
                <w:szCs w:val="20"/>
              </w:rPr>
              <w:t xml:space="preserve">new, </w:t>
            </w:r>
            <w:r w:rsidR="00F14828" w:rsidRPr="007263E0">
              <w:rPr>
                <w:sz w:val="20"/>
                <w:szCs w:val="20"/>
              </w:rPr>
              <w:t>six</w:t>
            </w:r>
            <w:r w:rsidR="00291D21" w:rsidRPr="007263E0">
              <w:rPr>
                <w:sz w:val="20"/>
                <w:szCs w:val="20"/>
              </w:rPr>
              <w:t xml:space="preserve"> </w:t>
            </w:r>
            <w:r w:rsidR="006C1D29" w:rsidRPr="007263E0">
              <w:rPr>
                <w:sz w:val="20"/>
                <w:szCs w:val="20"/>
              </w:rPr>
              <w:t xml:space="preserve">repaired) </w:t>
            </w:r>
            <w:r w:rsidR="00291D21" w:rsidRPr="007263E0">
              <w:rPr>
                <w:sz w:val="20"/>
                <w:szCs w:val="20"/>
              </w:rPr>
              <w:t xml:space="preserve">to </w:t>
            </w:r>
            <w:r w:rsidR="006C1D29" w:rsidRPr="007263E0">
              <w:rPr>
                <w:sz w:val="20"/>
                <w:szCs w:val="20"/>
              </w:rPr>
              <w:t>meet universal access standards, and disaster and climate</w:t>
            </w:r>
            <w:r w:rsidR="00F14828" w:rsidRPr="007263E0">
              <w:rPr>
                <w:sz w:val="20"/>
                <w:szCs w:val="20"/>
              </w:rPr>
              <w:t>-</w:t>
            </w:r>
            <w:r w:rsidR="006C1D29" w:rsidRPr="007263E0">
              <w:rPr>
                <w:sz w:val="20"/>
                <w:szCs w:val="20"/>
              </w:rPr>
              <w:t>resilient standards.</w:t>
            </w:r>
          </w:p>
          <w:p w14:paraId="03903712" w14:textId="1F759D25" w:rsidR="00464EE3" w:rsidRPr="007263E0" w:rsidRDefault="00291D21" w:rsidP="001477ED">
            <w:pPr>
              <w:spacing w:before="0"/>
              <w:rPr>
                <w:sz w:val="20"/>
                <w:szCs w:val="20"/>
                <w:lang w:val="en-AU"/>
              </w:rPr>
            </w:pPr>
            <w:r w:rsidRPr="007263E0">
              <w:rPr>
                <w:sz w:val="20"/>
                <w:szCs w:val="20"/>
              </w:rPr>
              <w:t xml:space="preserve">Support </w:t>
            </w:r>
            <w:r w:rsidR="00F14828" w:rsidRPr="007263E0">
              <w:rPr>
                <w:sz w:val="20"/>
                <w:szCs w:val="20"/>
              </w:rPr>
              <w:t xml:space="preserve">for </w:t>
            </w:r>
            <w:r w:rsidRPr="007263E0">
              <w:rPr>
                <w:sz w:val="20"/>
                <w:szCs w:val="20"/>
              </w:rPr>
              <w:t>c</w:t>
            </w:r>
            <w:r w:rsidR="00464EE3" w:rsidRPr="007263E0">
              <w:rPr>
                <w:sz w:val="20"/>
                <w:szCs w:val="20"/>
              </w:rPr>
              <w:t xml:space="preserve">onstruction of a further </w:t>
            </w:r>
            <w:r w:rsidR="005C756F" w:rsidRPr="007263E0">
              <w:rPr>
                <w:sz w:val="20"/>
                <w:szCs w:val="20"/>
              </w:rPr>
              <w:t>14</w:t>
            </w:r>
            <w:r w:rsidR="00464EE3" w:rsidRPr="007263E0">
              <w:rPr>
                <w:sz w:val="20"/>
                <w:szCs w:val="20"/>
              </w:rPr>
              <w:t xml:space="preserve"> new builds </w:t>
            </w:r>
            <w:r w:rsidR="005C756F" w:rsidRPr="007263E0">
              <w:rPr>
                <w:sz w:val="20"/>
                <w:szCs w:val="20"/>
              </w:rPr>
              <w:t>and</w:t>
            </w:r>
            <w:r w:rsidR="00464EE3" w:rsidRPr="007263E0">
              <w:rPr>
                <w:sz w:val="20"/>
                <w:szCs w:val="20"/>
              </w:rPr>
              <w:t xml:space="preserve"> renovations (classrooms and other facilities)</w:t>
            </w:r>
            <w:r w:rsidR="0097738A" w:rsidRPr="007263E0">
              <w:rPr>
                <w:sz w:val="20"/>
                <w:szCs w:val="20"/>
              </w:rPr>
              <w:t xml:space="preserve"> was completed</w:t>
            </w:r>
            <w:r w:rsidRPr="007263E0">
              <w:rPr>
                <w:sz w:val="20"/>
                <w:szCs w:val="20"/>
              </w:rPr>
              <w:t xml:space="preserve">. </w:t>
            </w:r>
          </w:p>
        </w:tc>
      </w:tr>
      <w:tr w:rsidR="00464EE3" w14:paraId="061BDC95" w14:textId="77777777" w:rsidTr="00B37727">
        <w:trPr>
          <w:trHeight w:val="1243"/>
        </w:trPr>
        <w:tc>
          <w:tcPr>
            <w:tcW w:w="4390" w:type="dxa"/>
          </w:tcPr>
          <w:p w14:paraId="06AFB7E7" w14:textId="4D98251B" w:rsidR="00704778" w:rsidRPr="007263E0" w:rsidRDefault="00D00B03" w:rsidP="001477ED">
            <w:pPr>
              <w:spacing w:before="0"/>
              <w:rPr>
                <w:b/>
                <w:bCs/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Number </w:t>
            </w:r>
            <w:r w:rsidR="00464EE3" w:rsidRPr="007263E0">
              <w:rPr>
                <w:sz w:val="20"/>
                <w:szCs w:val="20"/>
              </w:rPr>
              <w:t>of people reached with new or improved social protection programs, including remote communities (</w:t>
            </w:r>
            <w:r w:rsidR="00137760" w:rsidRPr="007263E0">
              <w:rPr>
                <w:sz w:val="20"/>
                <w:szCs w:val="20"/>
              </w:rPr>
              <w:t>2020-21</w:t>
            </w:r>
            <w:r w:rsidR="00464EE3" w:rsidRPr="007263E0">
              <w:rPr>
                <w:sz w:val="20"/>
                <w:szCs w:val="20"/>
              </w:rPr>
              <w:t xml:space="preserve"> target 21,000)</w:t>
            </w:r>
          </w:p>
        </w:tc>
        <w:tc>
          <w:tcPr>
            <w:tcW w:w="6146" w:type="dxa"/>
          </w:tcPr>
          <w:p w14:paraId="1E2ED7DC" w14:textId="75C3972F" w:rsidR="00464EE3" w:rsidRPr="007263E0" w:rsidRDefault="00291D21" w:rsidP="001477ED">
            <w:pPr>
              <w:spacing w:before="0"/>
              <w:rPr>
                <w:sz w:val="20"/>
                <w:szCs w:val="20"/>
                <w:lang w:val="en-AU"/>
              </w:rPr>
            </w:pPr>
            <w:r w:rsidRPr="007263E0">
              <w:rPr>
                <w:sz w:val="20"/>
                <w:szCs w:val="20"/>
                <w:lang w:val="en-AU"/>
              </w:rPr>
              <w:t xml:space="preserve">Supported 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21,268 people with new or improved social protection programs, including in remote communities. </w:t>
            </w:r>
            <w:r w:rsidRPr="007263E0">
              <w:rPr>
                <w:sz w:val="20"/>
                <w:szCs w:val="20"/>
                <w:lang w:val="en-AU"/>
              </w:rPr>
              <w:t>Most</w:t>
            </w:r>
            <w:r w:rsidR="00464EE3" w:rsidRPr="007263E0">
              <w:rPr>
                <w:sz w:val="20"/>
                <w:szCs w:val="20"/>
                <w:lang w:val="en-AU"/>
              </w:rPr>
              <w:t xml:space="preserve"> recipients were </w:t>
            </w:r>
            <w:r w:rsidR="00464EE3" w:rsidRPr="007263E0">
              <w:rPr>
                <w:sz w:val="20"/>
                <w:szCs w:val="20"/>
              </w:rPr>
              <w:t xml:space="preserve">vulnerable </w:t>
            </w:r>
            <w:r w:rsidR="00692CC0" w:rsidRPr="007263E0">
              <w:rPr>
                <w:sz w:val="20"/>
                <w:szCs w:val="20"/>
              </w:rPr>
              <w:t>persons, including</w:t>
            </w:r>
            <w:r w:rsidR="00464EE3" w:rsidRPr="007263E0">
              <w:rPr>
                <w:sz w:val="20"/>
                <w:szCs w:val="20"/>
              </w:rPr>
              <w:t xml:space="preserve"> single mothers, widows, widowers, elderly people</w:t>
            </w:r>
            <w:r w:rsidRPr="007263E0">
              <w:rPr>
                <w:sz w:val="20"/>
                <w:szCs w:val="20"/>
              </w:rPr>
              <w:t xml:space="preserve"> </w:t>
            </w:r>
            <w:r w:rsidR="00464EE3" w:rsidRPr="007263E0">
              <w:rPr>
                <w:sz w:val="20"/>
                <w:szCs w:val="20"/>
              </w:rPr>
              <w:t>and people with disabilit</w:t>
            </w:r>
            <w:r w:rsidR="00164935" w:rsidRPr="007263E0">
              <w:rPr>
                <w:sz w:val="20"/>
                <w:szCs w:val="20"/>
              </w:rPr>
              <w:t>ies</w:t>
            </w:r>
            <w:r w:rsidR="00464EE3" w:rsidRPr="007263E0">
              <w:rPr>
                <w:sz w:val="20"/>
                <w:szCs w:val="20"/>
              </w:rPr>
              <w:t>.</w:t>
            </w:r>
          </w:p>
        </w:tc>
      </w:tr>
    </w:tbl>
    <w:p w14:paraId="3F2619AB" w14:textId="1AF1DBB7" w:rsidR="00AE2B7B" w:rsidRPr="00AE2B7B" w:rsidRDefault="00AE2B7B" w:rsidP="001477ED">
      <w:pPr>
        <w:pStyle w:val="Heading3"/>
      </w:pPr>
      <w:r w:rsidRPr="00AE2B7B">
        <w:t>Economic Recovery</w:t>
      </w:r>
    </w:p>
    <w:tbl>
      <w:tblPr>
        <w:tblStyle w:val="TableGrid"/>
        <w:tblW w:w="10545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economic recovery"/>
      </w:tblPr>
      <w:tblGrid>
        <w:gridCol w:w="4394"/>
        <w:gridCol w:w="6151"/>
      </w:tblGrid>
      <w:tr w:rsidR="00CA5021" w14:paraId="6541DEB5" w14:textId="77777777" w:rsidTr="006D1E48">
        <w:trPr>
          <w:trHeight w:val="298"/>
          <w:tblHeader/>
        </w:trPr>
        <w:tc>
          <w:tcPr>
            <w:tcW w:w="4394" w:type="dxa"/>
            <w:shd w:val="clear" w:color="auto" w:fill="A2DCD1" w:themeFill="accent1" w:themeFillTint="99"/>
            <w:vAlign w:val="bottom"/>
          </w:tcPr>
          <w:p w14:paraId="7B68B645" w14:textId="39A83BEA" w:rsidR="00CA5021" w:rsidRPr="005736BB" w:rsidRDefault="00A96364" w:rsidP="001477ED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 xml:space="preserve">Key Results </w:t>
            </w:r>
            <w:r w:rsidR="00CA5021" w:rsidRPr="005736BB">
              <w:rPr>
                <w:b/>
                <w:sz w:val="20"/>
                <w:szCs w:val="20"/>
              </w:rPr>
              <w:t>Indicator</w:t>
            </w:r>
            <w:r w:rsidRPr="005736B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151" w:type="dxa"/>
            <w:shd w:val="clear" w:color="auto" w:fill="A2DCD1" w:themeFill="accent1" w:themeFillTint="99"/>
            <w:vAlign w:val="bottom"/>
          </w:tcPr>
          <w:p w14:paraId="7B256934" w14:textId="69DE6F90" w:rsidR="00CA5021" w:rsidRPr="005736BB" w:rsidRDefault="00AD19F7" w:rsidP="001477ED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464EE3" w14:paraId="564E6F58" w14:textId="77777777" w:rsidTr="006D1E48">
        <w:trPr>
          <w:trHeight w:val="2699"/>
        </w:trPr>
        <w:tc>
          <w:tcPr>
            <w:tcW w:w="4394" w:type="dxa"/>
          </w:tcPr>
          <w:p w14:paraId="234C1CE4" w14:textId="45087535" w:rsidR="00464EE3" w:rsidRPr="007263E0" w:rsidRDefault="00464EE3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Policy and technical advice on sustainable stimulus measures and longer-term economic recovery (with examples)</w:t>
            </w:r>
          </w:p>
        </w:tc>
        <w:tc>
          <w:tcPr>
            <w:tcW w:w="6151" w:type="dxa"/>
          </w:tcPr>
          <w:p w14:paraId="029FDAE9" w14:textId="678CB0AC" w:rsidR="00FD0C44" w:rsidRPr="007263E0" w:rsidRDefault="00FD0C44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Supported t</w:t>
            </w:r>
            <w:r w:rsidR="00464EE3" w:rsidRPr="007263E0">
              <w:rPr>
                <w:sz w:val="20"/>
                <w:szCs w:val="20"/>
              </w:rPr>
              <w:t xml:space="preserve">echnical advice </w:t>
            </w:r>
            <w:r w:rsidRPr="007263E0">
              <w:rPr>
                <w:sz w:val="20"/>
                <w:szCs w:val="20"/>
              </w:rPr>
              <w:t>to</w:t>
            </w:r>
            <w:r w:rsidR="006C2E9D" w:rsidRPr="007263E0">
              <w:rPr>
                <w:sz w:val="20"/>
                <w:szCs w:val="20"/>
              </w:rPr>
              <w:t xml:space="preserve"> </w:t>
            </w:r>
            <w:r w:rsidR="00464EE3" w:rsidRPr="007263E0">
              <w:rPr>
                <w:sz w:val="20"/>
                <w:szCs w:val="20"/>
              </w:rPr>
              <w:t xml:space="preserve">design and implement the first economic stimulus package in Vanuatu’s history. </w:t>
            </w:r>
            <w:r w:rsidRPr="007263E0">
              <w:rPr>
                <w:sz w:val="20"/>
                <w:szCs w:val="20"/>
              </w:rPr>
              <w:t>This was f</w:t>
            </w:r>
            <w:r w:rsidR="00464EE3" w:rsidRPr="007263E0">
              <w:rPr>
                <w:sz w:val="20"/>
                <w:szCs w:val="20"/>
              </w:rPr>
              <w:t>unded in part through Australia’s first central budget support to Vanuatu</w:t>
            </w:r>
            <w:r w:rsidRPr="007263E0">
              <w:rPr>
                <w:sz w:val="20"/>
                <w:szCs w:val="20"/>
              </w:rPr>
              <w:t>. T</w:t>
            </w:r>
            <w:r w:rsidR="00464EE3" w:rsidRPr="007263E0">
              <w:rPr>
                <w:sz w:val="20"/>
                <w:szCs w:val="20"/>
              </w:rPr>
              <w:t xml:space="preserve">his package subsidised wages to support workers and help businesses retain staff. </w:t>
            </w:r>
          </w:p>
          <w:p w14:paraId="5A50515E" w14:textId="7B484CEC" w:rsidR="00464EE3" w:rsidRPr="007263E0" w:rsidRDefault="00FD0C44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</w:t>
            </w:r>
            <w:r w:rsidR="00464EE3" w:rsidRPr="007263E0">
              <w:rPr>
                <w:sz w:val="20"/>
                <w:szCs w:val="20"/>
              </w:rPr>
              <w:t>uppo</w:t>
            </w:r>
            <w:r w:rsidR="006C2E9D" w:rsidRPr="007263E0">
              <w:rPr>
                <w:sz w:val="20"/>
                <w:szCs w:val="20"/>
              </w:rPr>
              <w:t>rt</w:t>
            </w:r>
            <w:r w:rsidR="00464EE3" w:rsidRPr="007263E0">
              <w:rPr>
                <w:sz w:val="20"/>
                <w:szCs w:val="20"/>
              </w:rPr>
              <w:t xml:space="preserve">ed </w:t>
            </w:r>
            <w:r w:rsidRPr="007263E0">
              <w:rPr>
                <w:sz w:val="20"/>
                <w:szCs w:val="20"/>
              </w:rPr>
              <w:t xml:space="preserve">the </w:t>
            </w:r>
            <w:r w:rsidR="00464EE3" w:rsidRPr="007263E0">
              <w:rPr>
                <w:sz w:val="20"/>
                <w:szCs w:val="20"/>
              </w:rPr>
              <w:t xml:space="preserve">development </w:t>
            </w:r>
            <w:r w:rsidR="00D11950" w:rsidRPr="007263E0">
              <w:rPr>
                <w:sz w:val="20"/>
                <w:szCs w:val="20"/>
              </w:rPr>
              <w:t xml:space="preserve">of </w:t>
            </w:r>
            <w:r w:rsidR="00464EE3" w:rsidRPr="007263E0">
              <w:rPr>
                <w:sz w:val="20"/>
                <w:szCs w:val="20"/>
              </w:rPr>
              <w:t>Vanuatu</w:t>
            </w:r>
            <w:r w:rsidRPr="007263E0">
              <w:rPr>
                <w:sz w:val="20"/>
                <w:szCs w:val="20"/>
              </w:rPr>
              <w:t>’s</w:t>
            </w:r>
            <w:r w:rsidR="00464EE3" w:rsidRPr="007263E0">
              <w:rPr>
                <w:sz w:val="20"/>
                <w:szCs w:val="20"/>
              </w:rPr>
              <w:t xml:space="preserve"> COVID-19 and</w:t>
            </w:r>
            <w:r w:rsidR="008D74E3" w:rsidRPr="007263E0">
              <w:rPr>
                <w:sz w:val="20"/>
                <w:szCs w:val="20"/>
              </w:rPr>
              <w:t xml:space="preserve"> Tropical Cyclone</w:t>
            </w:r>
            <w:r w:rsidR="00464EE3" w:rsidRPr="007263E0">
              <w:rPr>
                <w:sz w:val="20"/>
                <w:szCs w:val="20"/>
              </w:rPr>
              <w:t xml:space="preserve"> Harold Recovery </w:t>
            </w:r>
            <w:r w:rsidR="00833814" w:rsidRPr="007263E0">
              <w:rPr>
                <w:sz w:val="20"/>
                <w:szCs w:val="20"/>
              </w:rPr>
              <w:t>strategy and</w:t>
            </w:r>
            <w:r w:rsidR="00D11950" w:rsidRPr="007263E0">
              <w:rPr>
                <w:sz w:val="20"/>
                <w:szCs w:val="20"/>
              </w:rPr>
              <w:t xml:space="preserve"> </w:t>
            </w:r>
            <w:r w:rsidR="00464EE3" w:rsidRPr="007263E0">
              <w:rPr>
                <w:sz w:val="20"/>
                <w:szCs w:val="20"/>
              </w:rPr>
              <w:t xml:space="preserve">assisted </w:t>
            </w:r>
            <w:r w:rsidR="00D11950" w:rsidRPr="007263E0">
              <w:rPr>
                <w:sz w:val="20"/>
                <w:szCs w:val="20"/>
              </w:rPr>
              <w:t xml:space="preserve">the </w:t>
            </w:r>
            <w:r w:rsidR="00464EE3" w:rsidRPr="007263E0">
              <w:rPr>
                <w:sz w:val="20"/>
                <w:szCs w:val="20"/>
              </w:rPr>
              <w:t>establish</w:t>
            </w:r>
            <w:r w:rsidR="00D11950" w:rsidRPr="007263E0">
              <w:rPr>
                <w:sz w:val="20"/>
                <w:szCs w:val="20"/>
              </w:rPr>
              <w:t>ment of</w:t>
            </w:r>
            <w:r w:rsidR="00464EE3" w:rsidRPr="007263E0">
              <w:rPr>
                <w:sz w:val="20"/>
                <w:szCs w:val="20"/>
              </w:rPr>
              <w:t xml:space="preserve"> </w:t>
            </w:r>
            <w:r w:rsidRPr="007263E0">
              <w:rPr>
                <w:sz w:val="20"/>
                <w:szCs w:val="20"/>
              </w:rPr>
              <w:t xml:space="preserve">the </w:t>
            </w:r>
            <w:r w:rsidR="00464EE3" w:rsidRPr="007263E0">
              <w:rPr>
                <w:sz w:val="20"/>
                <w:szCs w:val="20"/>
              </w:rPr>
              <w:t xml:space="preserve">Recovery Operations Centre. </w:t>
            </w:r>
            <w:r w:rsidRPr="007263E0">
              <w:rPr>
                <w:sz w:val="20"/>
                <w:szCs w:val="20"/>
              </w:rPr>
              <w:t>These initiatives guide</w:t>
            </w:r>
            <w:r w:rsidR="00D11950" w:rsidRPr="007263E0">
              <w:rPr>
                <w:sz w:val="20"/>
                <w:szCs w:val="20"/>
              </w:rPr>
              <w:t>d</w:t>
            </w:r>
            <w:r w:rsidR="00464EE3" w:rsidRPr="007263E0">
              <w:rPr>
                <w:sz w:val="20"/>
                <w:szCs w:val="20"/>
              </w:rPr>
              <w:t xml:space="preserve"> coordination between the Vanuatu Government, donors and stakeholders </w:t>
            </w:r>
            <w:r w:rsidRPr="007263E0">
              <w:rPr>
                <w:sz w:val="20"/>
                <w:szCs w:val="20"/>
              </w:rPr>
              <w:t xml:space="preserve">in </w:t>
            </w:r>
            <w:r w:rsidR="00464EE3" w:rsidRPr="007263E0">
              <w:rPr>
                <w:sz w:val="20"/>
                <w:szCs w:val="20"/>
              </w:rPr>
              <w:t xml:space="preserve">support </w:t>
            </w:r>
            <w:r w:rsidRPr="007263E0">
              <w:rPr>
                <w:sz w:val="20"/>
                <w:szCs w:val="20"/>
              </w:rPr>
              <w:t xml:space="preserve">of </w:t>
            </w:r>
            <w:r w:rsidR="00464EE3" w:rsidRPr="007263E0">
              <w:rPr>
                <w:sz w:val="20"/>
                <w:szCs w:val="20"/>
              </w:rPr>
              <w:t>Vanuatu’s recovery.</w:t>
            </w:r>
          </w:p>
        </w:tc>
      </w:tr>
      <w:tr w:rsidR="00464EE3" w14:paraId="1EAE2D66" w14:textId="77777777" w:rsidTr="006D1E48">
        <w:trPr>
          <w:trHeight w:val="1339"/>
        </w:trPr>
        <w:tc>
          <w:tcPr>
            <w:tcW w:w="4394" w:type="dxa"/>
          </w:tcPr>
          <w:p w14:paraId="65838CB2" w14:textId="4EEA1A82" w:rsidR="00464EE3" w:rsidRPr="007263E0" w:rsidRDefault="00464EE3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Number of </w:t>
            </w:r>
            <w:r w:rsidR="006D15F7" w:rsidRPr="007263E0">
              <w:rPr>
                <w:sz w:val="20"/>
                <w:szCs w:val="20"/>
              </w:rPr>
              <w:t>women</w:t>
            </w:r>
            <w:r w:rsidRPr="007263E0">
              <w:rPr>
                <w:sz w:val="20"/>
                <w:szCs w:val="20"/>
              </w:rPr>
              <w:t xml:space="preserve"> entrepreneurs provided with financial and/or business development services (</w:t>
            </w:r>
            <w:r w:rsidR="00137760" w:rsidRPr="007263E0">
              <w:rPr>
                <w:sz w:val="20"/>
                <w:szCs w:val="20"/>
              </w:rPr>
              <w:t>2020-21</w:t>
            </w:r>
            <w:r w:rsidRPr="007263E0">
              <w:rPr>
                <w:sz w:val="20"/>
                <w:szCs w:val="20"/>
              </w:rPr>
              <w:t xml:space="preserve"> target 200)</w:t>
            </w:r>
          </w:p>
        </w:tc>
        <w:tc>
          <w:tcPr>
            <w:tcW w:w="6151" w:type="dxa"/>
          </w:tcPr>
          <w:p w14:paraId="02B96D99" w14:textId="3159B439" w:rsidR="00464EE3" w:rsidRPr="007263E0" w:rsidRDefault="00FD0C44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Supported </w:t>
            </w:r>
            <w:r w:rsidR="00464EE3" w:rsidRPr="007263E0">
              <w:rPr>
                <w:sz w:val="20"/>
                <w:szCs w:val="20"/>
              </w:rPr>
              <w:t xml:space="preserve">645 </w:t>
            </w:r>
            <w:r w:rsidR="006D15F7" w:rsidRPr="007263E0">
              <w:rPr>
                <w:sz w:val="20"/>
                <w:szCs w:val="20"/>
              </w:rPr>
              <w:t>women</w:t>
            </w:r>
            <w:r w:rsidR="00464EE3" w:rsidRPr="007263E0">
              <w:rPr>
                <w:sz w:val="20"/>
                <w:szCs w:val="20"/>
              </w:rPr>
              <w:t xml:space="preserve"> entrepreneurs with financial and/or business development services. </w:t>
            </w:r>
            <w:r w:rsidRPr="007263E0">
              <w:rPr>
                <w:sz w:val="20"/>
                <w:szCs w:val="20"/>
              </w:rPr>
              <w:t>Surveys report</w:t>
            </w:r>
            <w:r w:rsidR="00D11950" w:rsidRPr="007263E0">
              <w:rPr>
                <w:sz w:val="20"/>
                <w:szCs w:val="20"/>
              </w:rPr>
              <w:t>ed</w:t>
            </w:r>
            <w:r w:rsidRPr="007263E0">
              <w:rPr>
                <w:sz w:val="20"/>
                <w:szCs w:val="20"/>
              </w:rPr>
              <w:t xml:space="preserve"> </w:t>
            </w:r>
            <w:r w:rsidR="00464EE3" w:rsidRPr="007263E0">
              <w:rPr>
                <w:sz w:val="20"/>
                <w:szCs w:val="20"/>
              </w:rPr>
              <w:t>45</w:t>
            </w:r>
            <w:r w:rsidR="001477ED" w:rsidRPr="007263E0">
              <w:rPr>
                <w:sz w:val="20"/>
                <w:szCs w:val="20"/>
              </w:rPr>
              <w:t xml:space="preserve"> per cent</w:t>
            </w:r>
            <w:r w:rsidR="00464EE3" w:rsidRPr="007263E0">
              <w:rPr>
                <w:sz w:val="20"/>
                <w:szCs w:val="20"/>
              </w:rPr>
              <w:t xml:space="preserve"> </w:t>
            </w:r>
            <w:r w:rsidRPr="007263E0">
              <w:rPr>
                <w:sz w:val="20"/>
                <w:szCs w:val="20"/>
              </w:rPr>
              <w:t xml:space="preserve">of recipients </w:t>
            </w:r>
            <w:r w:rsidR="00464EE3" w:rsidRPr="007263E0">
              <w:rPr>
                <w:sz w:val="20"/>
                <w:szCs w:val="20"/>
              </w:rPr>
              <w:t>had increased their income and 69</w:t>
            </w:r>
            <w:r w:rsidR="001477ED" w:rsidRPr="007263E0">
              <w:rPr>
                <w:sz w:val="20"/>
                <w:szCs w:val="20"/>
              </w:rPr>
              <w:t xml:space="preserve"> per cent</w:t>
            </w:r>
            <w:r w:rsidR="00464EE3" w:rsidRPr="007263E0">
              <w:rPr>
                <w:sz w:val="20"/>
                <w:szCs w:val="20"/>
              </w:rPr>
              <w:t xml:space="preserve"> noted their income accounted for more than half of their household’s earnings.</w:t>
            </w:r>
          </w:p>
        </w:tc>
      </w:tr>
      <w:tr w:rsidR="00096444" w14:paraId="4DF45926" w14:textId="77777777" w:rsidTr="006D1E48">
        <w:trPr>
          <w:trHeight w:val="1609"/>
        </w:trPr>
        <w:tc>
          <w:tcPr>
            <w:tcW w:w="4394" w:type="dxa"/>
          </w:tcPr>
          <w:p w14:paraId="0B1E2DC4" w14:textId="4B6D9BF0" w:rsidR="00096444" w:rsidRPr="007263E0" w:rsidRDefault="00096444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Training provided to increase livelihood and income generating opportunities (</w:t>
            </w:r>
            <w:r w:rsidR="00137760" w:rsidRPr="007263E0">
              <w:rPr>
                <w:sz w:val="20"/>
                <w:szCs w:val="20"/>
              </w:rPr>
              <w:t>2020-21</w:t>
            </w:r>
            <w:r w:rsidRPr="007263E0">
              <w:rPr>
                <w:sz w:val="20"/>
                <w:szCs w:val="20"/>
              </w:rPr>
              <w:t xml:space="preserve"> target 550</w:t>
            </w:r>
            <w:r w:rsidR="00D11950" w:rsidRPr="007263E0">
              <w:rPr>
                <w:sz w:val="20"/>
                <w:szCs w:val="20"/>
              </w:rPr>
              <w:t xml:space="preserve"> –</w:t>
            </w:r>
            <w:r w:rsidRPr="007263E0">
              <w:rPr>
                <w:sz w:val="20"/>
                <w:szCs w:val="20"/>
              </w:rPr>
              <w:t xml:space="preserve"> people trained in work-ready skills, agriculture, construction and other industries)</w:t>
            </w:r>
          </w:p>
        </w:tc>
        <w:tc>
          <w:tcPr>
            <w:tcW w:w="6151" w:type="dxa"/>
          </w:tcPr>
          <w:p w14:paraId="1FCE71E6" w14:textId="60D30D0D" w:rsidR="00096444" w:rsidRPr="007263E0" w:rsidRDefault="00FD0C44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Supported skills training for </w:t>
            </w:r>
            <w:r w:rsidR="00096444" w:rsidRPr="007263E0">
              <w:rPr>
                <w:sz w:val="20"/>
                <w:szCs w:val="20"/>
              </w:rPr>
              <w:t xml:space="preserve">650 </w:t>
            </w:r>
            <w:r w:rsidRPr="007263E0">
              <w:rPr>
                <w:sz w:val="20"/>
                <w:szCs w:val="20"/>
              </w:rPr>
              <w:t xml:space="preserve">people </w:t>
            </w:r>
            <w:r w:rsidR="00096444" w:rsidRPr="007263E0">
              <w:rPr>
                <w:sz w:val="20"/>
                <w:szCs w:val="20"/>
              </w:rPr>
              <w:t>(46</w:t>
            </w:r>
            <w:r w:rsidR="001477ED" w:rsidRPr="007263E0">
              <w:rPr>
                <w:sz w:val="20"/>
                <w:szCs w:val="20"/>
              </w:rPr>
              <w:t xml:space="preserve"> per cent</w:t>
            </w:r>
            <w:r w:rsidR="00096444" w:rsidRPr="007263E0">
              <w:rPr>
                <w:sz w:val="20"/>
                <w:szCs w:val="20"/>
              </w:rPr>
              <w:t xml:space="preserve"> women</w:t>
            </w:r>
            <w:r w:rsidRPr="007263E0">
              <w:rPr>
                <w:sz w:val="20"/>
                <w:szCs w:val="20"/>
              </w:rPr>
              <w:t xml:space="preserve"> and</w:t>
            </w:r>
            <w:r w:rsidR="00096444" w:rsidRPr="007263E0">
              <w:rPr>
                <w:sz w:val="20"/>
                <w:szCs w:val="20"/>
              </w:rPr>
              <w:t xml:space="preserve"> 2</w:t>
            </w:r>
            <w:r w:rsidR="001477ED" w:rsidRPr="007263E0">
              <w:rPr>
                <w:sz w:val="20"/>
                <w:szCs w:val="20"/>
              </w:rPr>
              <w:t xml:space="preserve"> per cent</w:t>
            </w:r>
            <w:r w:rsidR="00096444" w:rsidRPr="007263E0">
              <w:rPr>
                <w:sz w:val="20"/>
                <w:szCs w:val="20"/>
              </w:rPr>
              <w:t xml:space="preserve"> people with disabili</w:t>
            </w:r>
            <w:r w:rsidRPr="007263E0">
              <w:rPr>
                <w:sz w:val="20"/>
                <w:szCs w:val="20"/>
              </w:rPr>
              <w:t>t</w:t>
            </w:r>
            <w:r w:rsidR="00164935" w:rsidRPr="007263E0">
              <w:rPr>
                <w:sz w:val="20"/>
                <w:szCs w:val="20"/>
              </w:rPr>
              <w:t>ies</w:t>
            </w:r>
            <w:r w:rsidR="00096444" w:rsidRPr="007263E0">
              <w:rPr>
                <w:sz w:val="20"/>
                <w:szCs w:val="20"/>
              </w:rPr>
              <w:t xml:space="preserve">) in construction, tourism and creative industries (handicrafts). A further 238 businesses </w:t>
            </w:r>
            <w:r w:rsidRPr="007263E0">
              <w:rPr>
                <w:sz w:val="20"/>
                <w:szCs w:val="20"/>
              </w:rPr>
              <w:t xml:space="preserve">were supported </w:t>
            </w:r>
            <w:r w:rsidR="00096444" w:rsidRPr="007263E0">
              <w:rPr>
                <w:sz w:val="20"/>
                <w:szCs w:val="20"/>
              </w:rPr>
              <w:t>from skills development (64</w:t>
            </w:r>
            <w:r w:rsidR="001477ED" w:rsidRPr="007263E0">
              <w:rPr>
                <w:sz w:val="20"/>
                <w:szCs w:val="20"/>
              </w:rPr>
              <w:t xml:space="preserve"> per cent</w:t>
            </w:r>
            <w:r w:rsidR="00096444" w:rsidRPr="007263E0">
              <w:rPr>
                <w:sz w:val="20"/>
                <w:szCs w:val="20"/>
              </w:rPr>
              <w:t xml:space="preserve"> owned by women and couples; </w:t>
            </w:r>
            <w:r w:rsidR="00D11950" w:rsidRPr="007263E0">
              <w:rPr>
                <w:sz w:val="20"/>
                <w:szCs w:val="20"/>
              </w:rPr>
              <w:t>two</w:t>
            </w:r>
            <w:r w:rsidR="001477ED" w:rsidRPr="007263E0">
              <w:rPr>
                <w:sz w:val="20"/>
                <w:szCs w:val="20"/>
              </w:rPr>
              <w:t xml:space="preserve"> per cent</w:t>
            </w:r>
            <w:r w:rsidR="00096444" w:rsidRPr="007263E0">
              <w:rPr>
                <w:sz w:val="20"/>
                <w:szCs w:val="20"/>
              </w:rPr>
              <w:t xml:space="preserve"> by people with</w:t>
            </w:r>
            <w:r w:rsidR="00164935" w:rsidRPr="007263E0">
              <w:rPr>
                <w:sz w:val="20"/>
                <w:szCs w:val="20"/>
              </w:rPr>
              <w:t xml:space="preserve"> </w:t>
            </w:r>
            <w:r w:rsidR="00096444" w:rsidRPr="007263E0">
              <w:rPr>
                <w:sz w:val="20"/>
                <w:szCs w:val="20"/>
              </w:rPr>
              <w:t>disabilit</w:t>
            </w:r>
            <w:r w:rsidR="00164935" w:rsidRPr="007263E0">
              <w:rPr>
                <w:sz w:val="20"/>
                <w:szCs w:val="20"/>
              </w:rPr>
              <w:t>ies</w:t>
            </w:r>
            <w:r w:rsidR="00096444" w:rsidRPr="007263E0">
              <w:rPr>
                <w:sz w:val="20"/>
                <w:szCs w:val="20"/>
              </w:rPr>
              <w:t xml:space="preserve">). </w:t>
            </w:r>
          </w:p>
        </w:tc>
      </w:tr>
      <w:tr w:rsidR="00CA5021" w14:paraId="51A15CF9" w14:textId="77777777" w:rsidTr="006D1E48">
        <w:trPr>
          <w:trHeight w:val="1137"/>
        </w:trPr>
        <w:tc>
          <w:tcPr>
            <w:tcW w:w="4394" w:type="dxa"/>
          </w:tcPr>
          <w:p w14:paraId="3C75C9F9" w14:textId="75C7703B" w:rsidR="00CA5021" w:rsidRPr="007263E0" w:rsidRDefault="00FD3F5A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 xml:space="preserve">Australian budget support as a percentage of total domestic revenue in response to </w:t>
            </w:r>
            <w:r w:rsidR="00A32A6D" w:rsidRPr="007263E0">
              <w:rPr>
                <w:sz w:val="20"/>
                <w:szCs w:val="20"/>
              </w:rPr>
              <w:br/>
            </w:r>
            <w:r w:rsidRPr="007263E0">
              <w:rPr>
                <w:sz w:val="20"/>
                <w:szCs w:val="20"/>
              </w:rPr>
              <w:t>COVID-19</w:t>
            </w:r>
            <w:r w:rsidRPr="007263E0">
              <w:rPr>
                <w:rStyle w:val="FootnoteReference"/>
                <w:rFonts w:cs="Calibr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6151" w:type="dxa"/>
          </w:tcPr>
          <w:p w14:paraId="0DD22350" w14:textId="10ADAD73" w:rsidR="005903E2" w:rsidRPr="007263E0" w:rsidRDefault="00FD3F5A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Australia budget support represented 12 per cent of total domestic revenue.</w:t>
            </w:r>
          </w:p>
        </w:tc>
      </w:tr>
      <w:tr w:rsidR="00096444" w14:paraId="742EC80D" w14:textId="77777777" w:rsidTr="006D1E48">
        <w:trPr>
          <w:trHeight w:val="2438"/>
        </w:trPr>
        <w:tc>
          <w:tcPr>
            <w:tcW w:w="4394" w:type="dxa"/>
          </w:tcPr>
          <w:p w14:paraId="2934FF97" w14:textId="03657176" w:rsidR="005903E2" w:rsidRPr="007263E0" w:rsidRDefault="005903E2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Length (km) of national road network maintained or repaired (</w:t>
            </w:r>
            <w:r w:rsidR="00137760" w:rsidRPr="007263E0">
              <w:rPr>
                <w:sz w:val="20"/>
                <w:szCs w:val="20"/>
              </w:rPr>
              <w:t>2020-21</w:t>
            </w:r>
            <w:r w:rsidRPr="007263E0">
              <w:rPr>
                <w:sz w:val="20"/>
                <w:szCs w:val="20"/>
              </w:rPr>
              <w:t xml:space="preserve"> target 1000 km)</w:t>
            </w:r>
          </w:p>
        </w:tc>
        <w:tc>
          <w:tcPr>
            <w:tcW w:w="6151" w:type="dxa"/>
          </w:tcPr>
          <w:p w14:paraId="6CB86DEB" w14:textId="6BB22012" w:rsidR="005903E2" w:rsidRPr="007263E0" w:rsidRDefault="00FD0C44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</w:t>
            </w:r>
            <w:r w:rsidR="005903E2" w:rsidRPr="007263E0">
              <w:rPr>
                <w:sz w:val="20"/>
                <w:szCs w:val="20"/>
              </w:rPr>
              <w:t xml:space="preserve">upported </w:t>
            </w:r>
            <w:r w:rsidRPr="007263E0">
              <w:rPr>
                <w:sz w:val="20"/>
                <w:szCs w:val="20"/>
              </w:rPr>
              <w:t xml:space="preserve">the maintenance </w:t>
            </w:r>
            <w:r w:rsidR="004D143F" w:rsidRPr="007263E0">
              <w:rPr>
                <w:sz w:val="20"/>
                <w:szCs w:val="20"/>
              </w:rPr>
              <w:t xml:space="preserve">of </w:t>
            </w:r>
            <w:r w:rsidR="005903E2" w:rsidRPr="007263E0">
              <w:rPr>
                <w:sz w:val="20"/>
                <w:szCs w:val="20"/>
              </w:rPr>
              <w:t>1</w:t>
            </w:r>
            <w:r w:rsidR="001477ED" w:rsidRPr="007263E0">
              <w:rPr>
                <w:sz w:val="20"/>
                <w:szCs w:val="20"/>
              </w:rPr>
              <w:t>,</w:t>
            </w:r>
            <w:r w:rsidR="005903E2" w:rsidRPr="007263E0">
              <w:rPr>
                <w:sz w:val="20"/>
                <w:szCs w:val="20"/>
              </w:rPr>
              <w:t>342</w:t>
            </w:r>
            <w:r w:rsidRPr="007263E0">
              <w:rPr>
                <w:sz w:val="20"/>
                <w:szCs w:val="20"/>
              </w:rPr>
              <w:t xml:space="preserve"> km</w:t>
            </w:r>
            <w:r w:rsidR="005903E2" w:rsidRPr="007263E0">
              <w:rPr>
                <w:sz w:val="20"/>
                <w:szCs w:val="20"/>
              </w:rPr>
              <w:t xml:space="preserve"> of road, and</w:t>
            </w:r>
            <w:r w:rsidR="00E253E5" w:rsidRPr="007263E0">
              <w:rPr>
                <w:sz w:val="20"/>
                <w:szCs w:val="20"/>
              </w:rPr>
              <w:t xml:space="preserve"> </w:t>
            </w:r>
            <w:r w:rsidR="004D143F" w:rsidRPr="007263E0">
              <w:rPr>
                <w:sz w:val="20"/>
                <w:szCs w:val="20"/>
              </w:rPr>
              <w:t xml:space="preserve">the </w:t>
            </w:r>
            <w:r w:rsidR="005903E2" w:rsidRPr="007263E0">
              <w:rPr>
                <w:sz w:val="20"/>
                <w:szCs w:val="20"/>
              </w:rPr>
              <w:t>rehabilitat</w:t>
            </w:r>
            <w:r w:rsidR="004D143F" w:rsidRPr="007263E0">
              <w:rPr>
                <w:sz w:val="20"/>
                <w:szCs w:val="20"/>
              </w:rPr>
              <w:t>ion</w:t>
            </w:r>
            <w:r w:rsidR="005903E2" w:rsidRPr="007263E0">
              <w:rPr>
                <w:sz w:val="20"/>
                <w:szCs w:val="20"/>
              </w:rPr>
              <w:t xml:space="preserve"> and improve</w:t>
            </w:r>
            <w:r w:rsidR="004D143F" w:rsidRPr="007263E0">
              <w:rPr>
                <w:sz w:val="20"/>
                <w:szCs w:val="20"/>
              </w:rPr>
              <w:t>ment of</w:t>
            </w:r>
            <w:r w:rsidR="005903E2" w:rsidRPr="007263E0">
              <w:rPr>
                <w:sz w:val="20"/>
                <w:szCs w:val="20"/>
              </w:rPr>
              <w:t xml:space="preserve"> 11 k</w:t>
            </w:r>
            <w:r w:rsidRPr="007263E0">
              <w:rPr>
                <w:sz w:val="20"/>
                <w:szCs w:val="20"/>
              </w:rPr>
              <w:t>m</w:t>
            </w:r>
            <w:r w:rsidR="005903E2" w:rsidRPr="007263E0">
              <w:rPr>
                <w:sz w:val="20"/>
                <w:szCs w:val="20"/>
              </w:rPr>
              <w:t xml:space="preserve"> of road</w:t>
            </w:r>
            <w:r w:rsidR="004D143F" w:rsidRPr="007263E0">
              <w:rPr>
                <w:sz w:val="20"/>
                <w:szCs w:val="20"/>
              </w:rPr>
              <w:t>. This provide</w:t>
            </w:r>
            <w:r w:rsidR="00D11950" w:rsidRPr="007263E0">
              <w:rPr>
                <w:sz w:val="20"/>
                <w:szCs w:val="20"/>
              </w:rPr>
              <w:t>d</w:t>
            </w:r>
            <w:r w:rsidR="004D143F" w:rsidRPr="007263E0">
              <w:rPr>
                <w:sz w:val="20"/>
                <w:szCs w:val="20"/>
              </w:rPr>
              <w:t xml:space="preserve"> essential access to</w:t>
            </w:r>
            <w:r w:rsidR="005903E2" w:rsidRPr="007263E0">
              <w:rPr>
                <w:sz w:val="20"/>
                <w:szCs w:val="20"/>
              </w:rPr>
              <w:t xml:space="preserve"> services and markets</w:t>
            </w:r>
            <w:r w:rsidR="004D143F" w:rsidRPr="007263E0">
              <w:rPr>
                <w:sz w:val="20"/>
                <w:szCs w:val="20"/>
              </w:rPr>
              <w:t>, including for people living with</w:t>
            </w:r>
            <w:r w:rsidR="00164935" w:rsidRPr="007263E0">
              <w:rPr>
                <w:sz w:val="20"/>
                <w:szCs w:val="20"/>
              </w:rPr>
              <w:t xml:space="preserve"> </w:t>
            </w:r>
            <w:r w:rsidR="004D143F" w:rsidRPr="007263E0">
              <w:rPr>
                <w:sz w:val="20"/>
                <w:szCs w:val="20"/>
              </w:rPr>
              <w:t>disabilit</w:t>
            </w:r>
            <w:r w:rsidR="00164935" w:rsidRPr="007263E0">
              <w:rPr>
                <w:sz w:val="20"/>
                <w:szCs w:val="20"/>
              </w:rPr>
              <w:t>ies</w:t>
            </w:r>
            <w:r w:rsidR="004D143F" w:rsidRPr="007263E0">
              <w:rPr>
                <w:sz w:val="20"/>
                <w:szCs w:val="20"/>
              </w:rPr>
              <w:t xml:space="preserve">. </w:t>
            </w:r>
          </w:p>
          <w:p w14:paraId="713E0ABC" w14:textId="33234799" w:rsidR="00096444" w:rsidRPr="007263E0" w:rsidRDefault="004D143F" w:rsidP="001477ED">
            <w:pPr>
              <w:spacing w:before="0"/>
              <w:rPr>
                <w:sz w:val="20"/>
                <w:szCs w:val="20"/>
              </w:rPr>
            </w:pPr>
            <w:r w:rsidRPr="007263E0">
              <w:rPr>
                <w:sz w:val="20"/>
                <w:szCs w:val="20"/>
              </w:rPr>
              <w:t>S</w:t>
            </w:r>
            <w:r w:rsidR="005903E2" w:rsidRPr="007263E0">
              <w:rPr>
                <w:sz w:val="20"/>
                <w:szCs w:val="20"/>
              </w:rPr>
              <w:t xml:space="preserve">upported </w:t>
            </w:r>
            <w:r w:rsidRPr="007263E0">
              <w:rPr>
                <w:sz w:val="20"/>
                <w:szCs w:val="20"/>
              </w:rPr>
              <w:t xml:space="preserve">the </w:t>
            </w:r>
            <w:r w:rsidR="005903E2" w:rsidRPr="007263E0">
              <w:rPr>
                <w:sz w:val="20"/>
                <w:szCs w:val="20"/>
              </w:rPr>
              <w:t>Vanuatu</w:t>
            </w:r>
            <w:r w:rsidRPr="007263E0">
              <w:rPr>
                <w:sz w:val="20"/>
                <w:szCs w:val="20"/>
              </w:rPr>
              <w:t xml:space="preserve"> Government, under its budget process, </w:t>
            </w:r>
            <w:r w:rsidR="005903E2" w:rsidRPr="007263E0">
              <w:rPr>
                <w:sz w:val="20"/>
                <w:szCs w:val="20"/>
              </w:rPr>
              <w:t>to develop a V</w:t>
            </w:r>
            <w:r w:rsidR="00856E22" w:rsidRPr="007263E0">
              <w:rPr>
                <w:sz w:val="20"/>
                <w:szCs w:val="20"/>
              </w:rPr>
              <w:t>UV</w:t>
            </w:r>
            <w:r w:rsidR="005903E2" w:rsidRPr="007263E0">
              <w:rPr>
                <w:sz w:val="20"/>
                <w:szCs w:val="20"/>
              </w:rPr>
              <w:t>2.5 billion (approx</w:t>
            </w:r>
            <w:r w:rsidRPr="007263E0">
              <w:rPr>
                <w:sz w:val="20"/>
                <w:szCs w:val="20"/>
              </w:rPr>
              <w:t>imately</w:t>
            </w:r>
            <w:r w:rsidR="00D11950" w:rsidRPr="007263E0">
              <w:rPr>
                <w:sz w:val="20"/>
                <w:szCs w:val="20"/>
              </w:rPr>
              <w:t xml:space="preserve"> </w:t>
            </w:r>
            <w:r w:rsidRPr="007263E0">
              <w:rPr>
                <w:sz w:val="20"/>
                <w:szCs w:val="20"/>
              </w:rPr>
              <w:t>$</w:t>
            </w:r>
            <w:r w:rsidR="005903E2" w:rsidRPr="007263E0">
              <w:rPr>
                <w:sz w:val="20"/>
                <w:szCs w:val="20"/>
              </w:rPr>
              <w:t>30</w:t>
            </w:r>
            <w:r w:rsidR="00856E22" w:rsidRPr="007263E0">
              <w:rPr>
                <w:sz w:val="20"/>
                <w:szCs w:val="20"/>
              </w:rPr>
              <w:t xml:space="preserve"> million</w:t>
            </w:r>
            <w:r w:rsidR="005903E2" w:rsidRPr="007263E0">
              <w:rPr>
                <w:sz w:val="20"/>
                <w:szCs w:val="20"/>
              </w:rPr>
              <w:t>) proposal for rural roads and airports</w:t>
            </w:r>
            <w:r w:rsidRPr="007263E0">
              <w:rPr>
                <w:sz w:val="20"/>
                <w:szCs w:val="20"/>
              </w:rPr>
              <w:t xml:space="preserve">. This included support to </w:t>
            </w:r>
            <w:r w:rsidR="005903E2" w:rsidRPr="007263E0">
              <w:rPr>
                <w:sz w:val="20"/>
                <w:szCs w:val="20"/>
              </w:rPr>
              <w:t xml:space="preserve">PWD </w:t>
            </w:r>
            <w:r w:rsidRPr="007263E0">
              <w:rPr>
                <w:sz w:val="20"/>
                <w:szCs w:val="20"/>
              </w:rPr>
              <w:t xml:space="preserve">to </w:t>
            </w:r>
            <w:r w:rsidR="005903E2" w:rsidRPr="007263E0">
              <w:rPr>
                <w:sz w:val="20"/>
                <w:szCs w:val="20"/>
              </w:rPr>
              <w:t>secur</w:t>
            </w:r>
            <w:r w:rsidR="00D11950" w:rsidRPr="007263E0">
              <w:rPr>
                <w:sz w:val="20"/>
                <w:szCs w:val="20"/>
              </w:rPr>
              <w:t>e</w:t>
            </w:r>
            <w:r w:rsidR="005903E2" w:rsidRPr="007263E0">
              <w:rPr>
                <w:sz w:val="20"/>
                <w:szCs w:val="20"/>
              </w:rPr>
              <w:t xml:space="preserve"> a </w:t>
            </w:r>
            <w:r w:rsidRPr="007263E0">
              <w:rPr>
                <w:sz w:val="20"/>
                <w:szCs w:val="20"/>
              </w:rPr>
              <w:br/>
            </w:r>
            <w:r w:rsidR="005903E2" w:rsidRPr="007263E0">
              <w:rPr>
                <w:sz w:val="20"/>
                <w:szCs w:val="20"/>
              </w:rPr>
              <w:t>V</w:t>
            </w:r>
            <w:r w:rsidR="00856E22" w:rsidRPr="007263E0">
              <w:rPr>
                <w:sz w:val="20"/>
                <w:szCs w:val="20"/>
              </w:rPr>
              <w:t>UV</w:t>
            </w:r>
            <w:r w:rsidR="005903E2" w:rsidRPr="007263E0">
              <w:rPr>
                <w:sz w:val="20"/>
                <w:szCs w:val="20"/>
              </w:rPr>
              <w:t>2 billion</w:t>
            </w:r>
            <w:r w:rsidRPr="007263E0">
              <w:rPr>
                <w:sz w:val="20"/>
                <w:szCs w:val="20"/>
              </w:rPr>
              <w:t xml:space="preserve"> (approximately $</w:t>
            </w:r>
            <w:r w:rsidR="00692CC0" w:rsidRPr="007263E0">
              <w:rPr>
                <w:sz w:val="20"/>
                <w:szCs w:val="20"/>
              </w:rPr>
              <w:t xml:space="preserve">24 </w:t>
            </w:r>
            <w:r w:rsidRPr="007263E0">
              <w:rPr>
                <w:sz w:val="20"/>
                <w:szCs w:val="20"/>
              </w:rPr>
              <w:t>milli</w:t>
            </w:r>
            <w:r w:rsidR="00692CC0" w:rsidRPr="007263E0">
              <w:rPr>
                <w:sz w:val="20"/>
                <w:szCs w:val="20"/>
              </w:rPr>
              <w:t>o</w:t>
            </w:r>
            <w:r w:rsidRPr="007263E0">
              <w:rPr>
                <w:sz w:val="20"/>
                <w:szCs w:val="20"/>
              </w:rPr>
              <w:t>n)</w:t>
            </w:r>
            <w:r w:rsidR="005903E2" w:rsidRPr="007263E0">
              <w:rPr>
                <w:sz w:val="20"/>
                <w:szCs w:val="20"/>
              </w:rPr>
              <w:t xml:space="preserve"> allocation for rural roads</w:t>
            </w:r>
            <w:r w:rsidRPr="007263E0">
              <w:rPr>
                <w:sz w:val="20"/>
                <w:szCs w:val="20"/>
              </w:rPr>
              <w:t xml:space="preserve"> </w:t>
            </w:r>
            <w:r w:rsidR="00D11950" w:rsidRPr="007263E0">
              <w:rPr>
                <w:sz w:val="20"/>
                <w:szCs w:val="20"/>
              </w:rPr>
              <w:t>–</w:t>
            </w:r>
            <w:r w:rsidRPr="007263E0">
              <w:rPr>
                <w:sz w:val="20"/>
                <w:szCs w:val="20"/>
              </w:rPr>
              <w:t xml:space="preserve"> </w:t>
            </w:r>
            <w:r w:rsidR="005903E2" w:rsidRPr="007263E0">
              <w:rPr>
                <w:sz w:val="20"/>
                <w:szCs w:val="20"/>
              </w:rPr>
              <w:t>the highest funding allocation in PWD’s history.</w:t>
            </w:r>
          </w:p>
        </w:tc>
      </w:tr>
    </w:tbl>
    <w:p w14:paraId="2F13E6BA" w14:textId="3FED3ECD" w:rsidR="001C13F8" w:rsidRPr="001C13F8" w:rsidRDefault="001C13F8" w:rsidP="001C13F8">
      <w:pPr>
        <w:tabs>
          <w:tab w:val="left" w:pos="3190"/>
        </w:tabs>
        <w:sectPr w:rsidR="001C13F8" w:rsidRPr="001C13F8" w:rsidSect="00B7692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59" w:right="680" w:bottom="1418" w:left="680" w:header="567" w:footer="340" w:gutter="0"/>
          <w:cols w:space="397"/>
          <w:titlePg/>
          <w:docGrid w:linePitch="360"/>
        </w:sectPr>
      </w:pPr>
    </w:p>
    <w:p w14:paraId="06ABEE3D" w14:textId="62B75A66" w:rsidR="00D1231A" w:rsidRDefault="00121DDD" w:rsidP="001477ED">
      <w:pPr>
        <w:pStyle w:val="Heading2"/>
      </w:pPr>
      <w:r>
        <w:t>Annex 2</w:t>
      </w:r>
      <w:r w:rsidR="00D1231A" w:rsidRPr="00D1231A">
        <w:t xml:space="preserve">: </w:t>
      </w:r>
      <w:r w:rsidR="00D1231A">
        <w:t>I</w:t>
      </w:r>
      <w:r w:rsidR="00D1231A" w:rsidRPr="00D1231A">
        <w:t>nvestment Performance</w:t>
      </w:r>
      <w:r w:rsidR="000F78C9"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7A4493" w:rsidRPr="00AF18F4" w14:paraId="69FD1E5F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287BF78E" w14:textId="77777777" w:rsidR="00AC551D" w:rsidRPr="005736BB" w:rsidRDefault="00AC551D" w:rsidP="00AF18F4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36D4C187" w14:textId="08C8499B" w:rsidR="00AC551D" w:rsidRPr="005736BB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1B1121B3" w14:textId="77777777" w:rsidR="00AC551D" w:rsidRPr="005736BB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7B4698B4" w14:textId="77777777" w:rsidR="00AC551D" w:rsidRPr="005736BB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5E5D38EF" w14:textId="4CC6B5C6" w:rsidR="00AC551D" w:rsidRPr="005736BB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AC551D" w:rsidRPr="00AF18F4" w14:paraId="1867487D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E831155" w14:textId="17787329" w:rsidR="00AC551D" w:rsidRPr="00CA5021" w:rsidRDefault="0071292D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Vanuatu Health Program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753CB627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3524F2ED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65883235" w14:textId="2116ABB8" w:rsidR="00AC551D" w:rsidRPr="00CA5021" w:rsidRDefault="0071292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34FAF95D" w14:textId="406BBDFA" w:rsidR="00AC551D" w:rsidRPr="00CA5021" w:rsidRDefault="0071292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AC551D" w:rsidRPr="00AF18F4" w14:paraId="3F9940CA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4D54A0A0" w14:textId="07D83255" w:rsidR="00AC551D" w:rsidRPr="00CA5021" w:rsidRDefault="00554CB0" w:rsidP="00AF18F4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2019-22; Budget: $20m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2A30353" w14:textId="1D6F0047" w:rsidR="00AC551D" w:rsidRPr="00CA5021" w:rsidRDefault="006D1E48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02C361E5" w14:textId="1EAC5CD4" w:rsidR="00AC551D" w:rsidRPr="00CA5021" w:rsidRDefault="006D15F7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C8F4065" w14:textId="7FFB9531" w:rsidR="00AC551D" w:rsidRPr="00CA5021" w:rsidRDefault="006D15F7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n/a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3EA630FF" w14:textId="5B042D5E" w:rsidR="00AC551D" w:rsidRPr="00CA5021" w:rsidRDefault="006D15F7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n/a</w:t>
            </w:r>
          </w:p>
        </w:tc>
      </w:tr>
      <w:tr w:rsidR="0071292D" w:rsidRPr="00AF18F4" w14:paraId="664415AC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2B01C47D" w14:textId="5383B774" w:rsidR="0071292D" w:rsidRDefault="0071292D" w:rsidP="0071292D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Vanuatu Skills for Economic Growth Ph</w:t>
            </w:r>
            <w:r w:rsidR="00C04AB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ase</w:t>
            </w: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 4</w:t>
            </w: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 </w:t>
            </w:r>
          </w:p>
          <w:p w14:paraId="75576776" w14:textId="06D4C121" w:rsidR="0071292D" w:rsidRPr="00CA5021" w:rsidRDefault="0071292D" w:rsidP="0071292D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hideMark/>
          </w:tcPr>
          <w:p w14:paraId="35291127" w14:textId="0FDAB37E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0383E59B" w14:textId="1C236E12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760C1604" w14:textId="0C82E39A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48B585D3" w14:textId="16AB764D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71292D" w:rsidRPr="00AF18F4" w14:paraId="5EA4A873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  <w:hideMark/>
          </w:tcPr>
          <w:p w14:paraId="5D004B83" w14:textId="33DE0111" w:rsidR="0071292D" w:rsidRPr="00CA5021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2016-20; Budget: $2</w:t>
            </w:r>
            <w:r w:rsidR="0021331A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5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hideMark/>
          </w:tcPr>
          <w:p w14:paraId="6F5DCD3C" w14:textId="77678B9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7C975F2B" w14:textId="1405F520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562AF5DF" w14:textId="74F93E6A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49275297" w14:textId="579EE2D6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71292D" w:rsidRPr="00AF18F4" w14:paraId="7C3C602D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F2B53" w14:textId="3C50A6A1" w:rsidR="0071292D" w:rsidRPr="00CA5021" w:rsidRDefault="0071292D" w:rsidP="0071292D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Vanuatu Education Support Program Phase 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258E1068" w14:textId="5C82903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561825FE" w14:textId="7BC1B9D9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777674A9" w14:textId="73BCE052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6666D1C" w14:textId="251AE4A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173568D7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3342A73E" w14:textId="66DBA93D" w:rsidR="0071292D" w:rsidRPr="00CA5021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2018-2</w:t>
            </w:r>
            <w:r w:rsidR="0021331A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1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21331A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30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1F16C9F8" w14:textId="1A5DC533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484EFDC5" w14:textId="5F0A831D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96A3DC5" w14:textId="1CF4D718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BD061D2" w14:textId="42F21E5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433D367E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7703CD34" w14:textId="066AC744" w:rsidR="0071292D" w:rsidRPr="00CA5021" w:rsidRDefault="0071292D" w:rsidP="0071292D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Governance for Growth Phase 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hideMark/>
          </w:tcPr>
          <w:p w14:paraId="67E44092" w14:textId="6B96B9F8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3A8E0478" w14:textId="357F7819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754E4ADA" w14:textId="0B328262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579A968A" w14:textId="19FD3B6B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2F1DE13E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  <w:hideMark/>
          </w:tcPr>
          <w:p w14:paraId="1E605139" w14:textId="13F86E9E" w:rsidR="0071292D" w:rsidRPr="00CA5021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2017-2</w:t>
            </w:r>
            <w:r w:rsidR="006E4B74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$24</w:t>
            </w:r>
            <w:r w:rsidR="00E92C8C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.5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hideMark/>
          </w:tcPr>
          <w:p w14:paraId="7018BC30" w14:textId="1D7DDCD9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7FF87E63" w14:textId="67E5BE70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7B158D07" w14:textId="51A9B15D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  <w:hideMark/>
          </w:tcPr>
          <w:p w14:paraId="04D0497F" w14:textId="620390C7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1FF9A082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56E45D" w14:textId="3B455314" w:rsidR="0071292D" w:rsidRPr="00CA5021" w:rsidRDefault="0071292D" w:rsidP="0071292D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Roads for Development Phase 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28837949" w14:textId="59BFC1C6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56D0B385" w14:textId="54CA4A2E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F83D288" w14:textId="041CEEB0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F305D63" w14:textId="6D0EFEDE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51634969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468F61F5" w14:textId="3CB854A0" w:rsidR="0071292D" w:rsidRPr="00CA5021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2019-24; Budget: $25m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05ADDFD4" w14:textId="0BBBF1D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7A708A19" w14:textId="59BFCE0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4A6EE93A" w14:textId="325F980F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BF6318F" w14:textId="32433B9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6F35ECB2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E0F3EF" w:themeFill="accent1" w:themeFillTint="33"/>
            <w:vAlign w:val="bottom"/>
          </w:tcPr>
          <w:p w14:paraId="173C2085" w14:textId="60BD2B79" w:rsidR="0071292D" w:rsidRDefault="0071292D" w:rsidP="0071292D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Vanuatu Australia Policing and Justice Program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</w:tcPr>
          <w:p w14:paraId="78B85798" w14:textId="45C7866F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530554C9" w14:textId="6499B80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0E927286" w14:textId="34591716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23402771" w14:textId="5B45E1C7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6AFAD35D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</w:tcPr>
          <w:p w14:paraId="24C7D15D" w14:textId="069364EE" w:rsidR="0071292D" w:rsidRPr="0071292D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2016-24; Budget: $50m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</w:tcPr>
          <w:p w14:paraId="20B7B25B" w14:textId="71EF2E2C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4242112B" w14:textId="33CE6CD8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7B997CBA" w14:textId="54C4ED7A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4A52F12B" w14:textId="5BD4053C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1B33C3BE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7D7F64DD" w14:textId="32B7D475" w:rsidR="0071292D" w:rsidRPr="0071292D" w:rsidRDefault="0071292D" w:rsidP="0071292D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Women (Vanuatu)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1B4D7616" w14:textId="0CEABE19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05B7F0F4" w14:textId="13D0EC51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7CA374A3" w14:textId="05412DF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25BE93AB" w14:textId="1F4BC45D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71292D" w:rsidRPr="00AF18F4" w14:paraId="48309C13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</w:tcPr>
          <w:p w14:paraId="7F1DD72B" w14:textId="5F93BA07" w:rsidR="0071292D" w:rsidRPr="0071292D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2016-22; Budget: $10</w:t>
            </w:r>
            <w:r w:rsidR="006E488C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.5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36D4816F" w14:textId="28491E71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176600F" w14:textId="5CD24E6F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054FE609" w14:textId="2D001A42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65389ECA" w14:textId="1DA9DA4B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71292D" w:rsidRPr="00AF18F4" w14:paraId="136CB4A0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E0F3EF" w:themeFill="accent1" w:themeFillTint="33"/>
            <w:vAlign w:val="bottom"/>
          </w:tcPr>
          <w:p w14:paraId="1C880F6C" w14:textId="6A7494E3" w:rsidR="0071292D" w:rsidRPr="0071292D" w:rsidRDefault="0071292D" w:rsidP="0071292D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Wan Smolbag Theatre Community Partnership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</w:tcPr>
          <w:p w14:paraId="2AC473D5" w14:textId="5A77BA75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4D9C84CD" w14:textId="2E5833B9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089F7ED3" w14:textId="09C7AF97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69D109AA" w14:textId="6187AC5C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6532D6A6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</w:tcPr>
          <w:p w14:paraId="539AB9F8" w14:textId="415487E4" w:rsidR="0071292D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2010-22; Budget: $18m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</w:tcPr>
          <w:p w14:paraId="71DD3E2D" w14:textId="79A61CF0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4FA73171" w14:textId="4C34333A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5C20A7DF" w14:textId="1221924D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6BD4FE76" w14:textId="7E5C613D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10AE5A55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B0A5726" w14:textId="678E641F" w:rsidR="0071292D" w:rsidRDefault="0071292D" w:rsidP="0071292D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Tropical Cyclone Harold Response &amp; Early Recovery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46BE1CAE" w14:textId="06522B23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065F0AD1" w14:textId="501B32B9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072EB1F8" w14:textId="45276F70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256E39DB" w14:textId="14AEEFA8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56FEF78A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</w:tcPr>
          <w:p w14:paraId="3CA0F965" w14:textId="62EE1E80" w:rsidR="0071292D" w:rsidRPr="0071292D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2020-21; Budget: $11m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</w:tcPr>
          <w:p w14:paraId="068C6DA3" w14:textId="4F61CC32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5456C6CD" w14:textId="142F09FA" w:rsidR="0071292D" w:rsidRPr="0071292D" w:rsidRDefault="006D15F7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20159658" w14:textId="3C4258B1" w:rsidR="0071292D" w:rsidRPr="0071292D" w:rsidRDefault="006D15F7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n/a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773568B6" w14:textId="4095D272" w:rsidR="0071292D" w:rsidRPr="0071292D" w:rsidRDefault="006D15F7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n/a</w:t>
            </w:r>
          </w:p>
        </w:tc>
      </w:tr>
      <w:tr w:rsidR="0071292D" w:rsidRPr="00AF18F4" w14:paraId="3CF3416D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E0F3EF" w:themeFill="accent1" w:themeFillTint="33"/>
            <w:vAlign w:val="bottom"/>
          </w:tcPr>
          <w:p w14:paraId="109DA3C3" w14:textId="75FABCBB" w:rsidR="0071292D" w:rsidRPr="0071292D" w:rsidRDefault="0071292D" w:rsidP="0071292D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71292D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Volcano Recovery Program 2019 – 2022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</w:tcPr>
          <w:p w14:paraId="0AA02CFC" w14:textId="1F99A403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3DEA7B6A" w14:textId="7F39FC34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678D705D" w14:textId="3D30DE0A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381C9E57" w14:textId="4F68724E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71292D" w:rsidRPr="00AF18F4" w14:paraId="0F6D5CAB" w14:textId="77777777" w:rsidTr="00E0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none" w:sz="0" w:space="0" w:color="auto"/>
            </w:tcBorders>
            <w:shd w:val="clear" w:color="auto" w:fill="E0F3EF" w:themeFill="accent1" w:themeFillTint="33"/>
          </w:tcPr>
          <w:p w14:paraId="552909E1" w14:textId="64150B2F" w:rsidR="0071292D" w:rsidRPr="0071292D" w:rsidRDefault="00554CB0" w:rsidP="0071292D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Investment </w:t>
            </w:r>
            <w:r w:rsidR="0071292D" w:rsidRPr="0071292D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Duration: 2019-23; Budget: $4.8m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</w:tcPr>
          <w:p w14:paraId="226CDCA7" w14:textId="1A82B593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4559A9F7" w14:textId="7B4725C9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1BDA4485" w14:textId="49C38C45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1F83695A" w14:textId="1E50CC99" w:rsidR="0071292D" w:rsidRPr="0071292D" w:rsidRDefault="0071292D" w:rsidP="0071292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1292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</w:tbl>
    <w:p w14:paraId="17600418" w14:textId="27816E57" w:rsidR="00681633" w:rsidRDefault="00681633" w:rsidP="007A4493">
      <w:pPr>
        <w:spacing w:before="240" w:after="0" w:line="240" w:lineRule="auto"/>
        <w:jc w:val="both"/>
        <w:rPr>
          <w:rFonts w:eastAsia="Times New Roman"/>
          <w:sz w:val="17"/>
          <w:szCs w:val="17"/>
        </w:rPr>
      </w:pPr>
      <w:r w:rsidRPr="00A05FF5">
        <w:rPr>
          <w:rFonts w:eastAsia="Times New Roman"/>
          <w:b/>
          <w:sz w:val="17"/>
          <w:szCs w:val="17"/>
        </w:rPr>
        <w:t>Definitions of rating scale</w:t>
      </w:r>
      <w:r w:rsidRPr="00A05FF5">
        <w:rPr>
          <w:rFonts w:eastAsia="Times New Roman"/>
          <w:sz w:val="17"/>
          <w:szCs w:val="17"/>
        </w:rPr>
        <w:t>:</w:t>
      </w:r>
      <w:r w:rsidRPr="00A05FF5">
        <w:rPr>
          <w:rFonts w:eastAsia="Times New Roman"/>
          <w:sz w:val="17"/>
          <w:szCs w:val="17"/>
        </w:rPr>
        <w:tab/>
      </w:r>
    </w:p>
    <w:p w14:paraId="5989C7B0" w14:textId="77777777" w:rsidR="00681633" w:rsidRPr="00787267" w:rsidRDefault="00681633" w:rsidP="00681633">
      <w:pPr>
        <w:spacing w:before="20" w:after="20" w:line="180" w:lineRule="atLeast"/>
        <w:jc w:val="both"/>
        <w:rPr>
          <w:rFonts w:eastAsia="Times New Roman"/>
          <w:sz w:val="17"/>
          <w:szCs w:val="17"/>
        </w:rPr>
      </w:pPr>
      <w:r w:rsidRPr="00787267">
        <w:rPr>
          <w:rFonts w:eastAsia="Times New Roman"/>
          <w:sz w:val="17"/>
          <w:szCs w:val="17"/>
          <w:u w:val="single"/>
        </w:rPr>
        <w:t>Satisfactory (4, 5 and 6)</w:t>
      </w:r>
    </w:p>
    <w:p w14:paraId="15BE82E8" w14:textId="77777777" w:rsidR="00681633" w:rsidRPr="00787267" w:rsidRDefault="00681633" w:rsidP="00681633">
      <w:pPr>
        <w:spacing w:line="240" w:lineRule="auto"/>
        <w:rPr>
          <w:sz w:val="16"/>
          <w:szCs w:val="16"/>
        </w:rPr>
      </w:pPr>
      <w:r w:rsidRPr="00787267">
        <w:rPr>
          <w:sz w:val="16"/>
          <w:szCs w:val="16"/>
        </w:rPr>
        <w:t xml:space="preserve">6 = Very good; satisfies criteria in all areas. 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5 = Good; satisfies criteria in almost all areas.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4 = Adequate; on balance, satisfies criteria; does not fail in any major area.</w:t>
      </w:r>
    </w:p>
    <w:p w14:paraId="48B0BB33" w14:textId="77777777" w:rsidR="00681633" w:rsidRPr="00595452" w:rsidRDefault="00681633" w:rsidP="00595452">
      <w:pPr>
        <w:spacing w:before="20" w:after="20" w:line="180" w:lineRule="atLeast"/>
        <w:jc w:val="both"/>
        <w:rPr>
          <w:rFonts w:eastAsia="Times New Roman"/>
          <w:sz w:val="17"/>
          <w:szCs w:val="17"/>
          <w:u w:val="single"/>
        </w:rPr>
      </w:pPr>
      <w:r w:rsidRPr="00595452">
        <w:rPr>
          <w:rFonts w:eastAsia="Times New Roman"/>
          <w:sz w:val="17"/>
          <w:szCs w:val="17"/>
          <w:u w:val="single"/>
        </w:rPr>
        <w:t>Less than satisfactory (1, 2 and 3)</w:t>
      </w:r>
    </w:p>
    <w:p w14:paraId="4DC45723" w14:textId="62D36230" w:rsidR="00681633" w:rsidRDefault="00681633" w:rsidP="008A6BB7">
      <w:pPr>
        <w:spacing w:before="0" w:after="0" w:line="240" w:lineRule="auto"/>
      </w:pPr>
      <w:r w:rsidRPr="00787267">
        <w:rPr>
          <w:sz w:val="16"/>
          <w:szCs w:val="16"/>
        </w:rPr>
        <w:t>3 = Less than adequate; on balance does not satisfy criteria and/or fails in at least one major area.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2 = Poor; does not sa</w:t>
      </w:r>
      <w:r>
        <w:rPr>
          <w:sz w:val="16"/>
          <w:szCs w:val="16"/>
        </w:rPr>
        <w:t>tisfy criteria in major areas.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1 = Very poor; does not satisfy criteria in many major area</w:t>
      </w:r>
      <w:r w:rsidRPr="00A05FF5">
        <w:t>.</w:t>
      </w:r>
      <w:r>
        <w:br/>
      </w:r>
    </w:p>
    <w:sectPr w:rsidR="00681633" w:rsidSect="00363A9F"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586D8" w14:textId="77777777" w:rsidR="009D21EC" w:rsidRDefault="009D21EC" w:rsidP="00D37B04">
      <w:r>
        <w:separator/>
      </w:r>
    </w:p>
  </w:endnote>
  <w:endnote w:type="continuationSeparator" w:id="0">
    <w:p w14:paraId="31AB7BBF" w14:textId="77777777" w:rsidR="009D21EC" w:rsidRDefault="009D21EC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bCs/>
        <w:noProof/>
      </w:rPr>
    </w:sdtEndPr>
    <w:sdtContent>
      <w:p w14:paraId="1B636999" w14:textId="540F0069" w:rsidR="003D3EEC" w:rsidRDefault="003D3EEC">
        <w:pPr>
          <w:pStyle w:val="Footer"/>
          <w:jc w:val="center"/>
          <w:rPr>
            <w:color w:val="auto"/>
          </w:rPr>
        </w:pPr>
      </w:p>
      <w:p w14:paraId="10BB5A1F" w14:textId="6D739066" w:rsidR="003D3EEC" w:rsidRDefault="003D3EEC">
        <w:pPr>
          <w:pStyle w:val="Footer"/>
          <w:jc w:val="center"/>
          <w:rPr>
            <w:color w:val="auto"/>
          </w:rPr>
        </w:pPr>
        <w:r>
          <w:rPr>
            <w:noProof/>
            <w:color w:val="auto"/>
          </w:rPr>
          <w:drawing>
            <wp:anchor distT="0" distB="0" distL="114300" distR="114300" simplePos="0" relativeHeight="251657216" behindDoc="1" locked="0" layoutInCell="1" allowOverlap="1" wp14:anchorId="0A9940EE" wp14:editId="4060A275">
              <wp:simplePos x="0" y="0"/>
              <wp:positionH relativeFrom="margin">
                <wp:align>left</wp:align>
              </wp:positionH>
              <wp:positionV relativeFrom="paragraph">
                <wp:posOffset>5163</wp:posOffset>
              </wp:positionV>
              <wp:extent cx="6629948" cy="357173"/>
              <wp:effectExtent l="0" t="0" r="0" b="5080"/>
              <wp:wrapNone/>
              <wp:docPr id="3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" name="Picture 28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948" cy="357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E51B8D5" w14:textId="6814E9B6" w:rsidR="003D3EEC" w:rsidRPr="00FE2225" w:rsidRDefault="003D3EEC" w:rsidP="00FE2225">
        <w:pPr>
          <w:pStyle w:val="Footer"/>
          <w:spacing w:line="240" w:lineRule="auto"/>
          <w:rPr>
            <w:color w:val="auto"/>
          </w:rPr>
        </w:pPr>
        <w:r>
          <w:rPr>
            <w:b/>
            <w:noProof/>
            <w:color w:val="495965" w:themeColor="text2"/>
            <w:lang w:val="en-AU" w:eastAsia="en-AU"/>
          </w:rPr>
          <w:tab/>
        </w:r>
        <w:r w:rsidRPr="00FE2225">
          <w:rPr>
            <w:bCs/>
            <w:noProof/>
            <w:color w:val="auto"/>
            <w:lang w:val="en-AU" w:eastAsia="en-AU"/>
          </w:rPr>
          <w:fldChar w:fldCharType="begin"/>
        </w:r>
        <w:r w:rsidRPr="00FE2225">
          <w:rPr>
            <w:bCs/>
            <w:noProof/>
            <w:color w:val="auto"/>
            <w:lang w:val="en-AU" w:eastAsia="en-AU"/>
          </w:rPr>
          <w:instrText xml:space="preserve"> PAGE   \* MERGEFORMAT </w:instrText>
        </w:r>
        <w:r w:rsidRPr="00FE2225">
          <w:rPr>
            <w:bCs/>
            <w:noProof/>
            <w:color w:val="auto"/>
            <w:lang w:val="en-AU" w:eastAsia="en-AU"/>
          </w:rPr>
          <w:fldChar w:fldCharType="separate"/>
        </w:r>
        <w:r w:rsidRPr="00FE2225">
          <w:rPr>
            <w:bCs/>
            <w:noProof/>
            <w:color w:val="auto"/>
            <w:lang w:val="en-AU" w:eastAsia="en-AU"/>
          </w:rPr>
          <w:t>2</w:t>
        </w:r>
        <w:r w:rsidRPr="00FE2225">
          <w:rPr>
            <w:bCs/>
            <w:noProof/>
            <w:color w:val="auto"/>
            <w:lang w:val="en-AU" w:eastAsia="en-AU"/>
          </w:rPr>
          <w:fldChar w:fldCharType="end"/>
        </w:r>
      </w:p>
    </w:sdtContent>
  </w:sdt>
  <w:p w14:paraId="3A729F02" w14:textId="519EAB54" w:rsidR="003D3EEC" w:rsidRDefault="003D3EEC" w:rsidP="009131E9">
    <w:pPr>
      <w:pStyle w:val="Footer"/>
      <w:spacing w:line="240" w:lineRule="auto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2A273" w14:textId="77777777" w:rsidR="003D3EEC" w:rsidRDefault="003D3EEC" w:rsidP="00B76922">
    <w:pPr>
      <w:pStyle w:val="Footer"/>
      <w:jc w:val="center"/>
      <w:rPr>
        <w:color w:val="auto"/>
      </w:rPr>
    </w:pPr>
    <w:r>
      <w:rPr>
        <w:noProof/>
        <w:color w:val="auto"/>
      </w:rPr>
      <w:drawing>
        <wp:anchor distT="0" distB="0" distL="114300" distR="114300" simplePos="0" relativeHeight="251660288" behindDoc="1" locked="0" layoutInCell="1" allowOverlap="1" wp14:anchorId="3FBAD09A" wp14:editId="505A1995">
          <wp:simplePos x="0" y="0"/>
          <wp:positionH relativeFrom="margin">
            <wp:align>left</wp:align>
          </wp:positionH>
          <wp:positionV relativeFrom="paragraph">
            <wp:posOffset>5163</wp:posOffset>
          </wp:positionV>
          <wp:extent cx="6624324" cy="438150"/>
          <wp:effectExtent l="0" t="0" r="508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Picture 28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968" cy="438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EF71B" w14:textId="37CB79FC" w:rsidR="003D3EEC" w:rsidRPr="00FE2225" w:rsidRDefault="004B2F7E" w:rsidP="00B76922">
    <w:pPr>
      <w:pStyle w:val="Footer"/>
      <w:spacing w:line="240" w:lineRule="auto"/>
      <w:rPr>
        <w:color w:val="auto"/>
      </w:rPr>
    </w:pPr>
    <w:r>
      <w:rPr>
        <w:b/>
        <w:noProof/>
        <w:color w:val="495965" w:themeColor="text2"/>
        <w:lang w:val="en-AU" w:eastAsia="en-AU"/>
      </w:rPr>
      <w:t>Novem</w:t>
    </w:r>
    <w:r w:rsidR="003D3EEC">
      <w:rPr>
        <w:b/>
        <w:noProof/>
        <w:color w:val="495965" w:themeColor="text2"/>
        <w:lang w:val="en-AU" w:eastAsia="en-AU"/>
      </w:rPr>
      <w:t>ber 20</w:t>
    </w:r>
    <w:r w:rsidR="003D3EEC" w:rsidRPr="00C92805">
      <w:rPr>
        <w:b/>
        <w:noProof/>
        <w:color w:val="495965" w:themeColor="text2"/>
        <w:lang w:val="en-AU" w:eastAsia="en-AU"/>
      </w:rPr>
      <w:t>2</w:t>
    </w:r>
    <w:r w:rsidR="003D3EEC">
      <w:rPr>
        <w:b/>
        <w:noProof/>
        <w:color w:val="495965" w:themeColor="text2"/>
        <w:lang w:val="en-AU" w:eastAsia="en-AU"/>
      </w:rPr>
      <w:t>1</w:t>
    </w:r>
    <w:r>
      <w:rPr>
        <w:b/>
        <w:noProof/>
        <w:color w:val="495965" w:themeColor="text2"/>
        <w:lang w:val="en-AU" w:eastAsia="en-AU"/>
      </w:rPr>
      <w:t xml:space="preserve"> </w:t>
    </w:r>
    <w:r w:rsidR="003D3EEC">
      <w:rPr>
        <w:b/>
        <w:noProof/>
        <w:color w:val="495965" w:themeColor="text2"/>
        <w:lang w:val="en-AU" w:eastAsia="en-AU"/>
      </w:rPr>
      <w:tab/>
    </w:r>
    <w:r w:rsidR="003D3EEC" w:rsidRPr="00B76922">
      <w:rPr>
        <w:bCs/>
        <w:noProof/>
        <w:color w:val="auto"/>
        <w:lang w:val="en-AU" w:eastAsia="en-AU"/>
      </w:rPr>
      <w:fldChar w:fldCharType="begin"/>
    </w:r>
    <w:r w:rsidR="003D3EEC" w:rsidRPr="00B76922">
      <w:rPr>
        <w:bCs/>
        <w:noProof/>
        <w:color w:val="auto"/>
        <w:lang w:val="en-AU" w:eastAsia="en-AU"/>
      </w:rPr>
      <w:instrText xml:space="preserve"> PAGE   \* MERGEFORMAT </w:instrText>
    </w:r>
    <w:r w:rsidR="003D3EEC" w:rsidRPr="00B76922">
      <w:rPr>
        <w:bCs/>
        <w:noProof/>
        <w:color w:val="auto"/>
        <w:lang w:val="en-AU" w:eastAsia="en-AU"/>
      </w:rPr>
      <w:fldChar w:fldCharType="separate"/>
    </w:r>
    <w:r w:rsidR="003D3EEC" w:rsidRPr="00B76922">
      <w:rPr>
        <w:bCs/>
        <w:noProof/>
        <w:color w:val="auto"/>
      </w:rPr>
      <w:t>2</w:t>
    </w:r>
    <w:r w:rsidR="003D3EEC" w:rsidRPr="00B76922">
      <w:rPr>
        <w:bCs/>
        <w:noProof/>
        <w:color w:val="auto"/>
        <w:lang w:val="en-AU" w:eastAsia="en-AU"/>
      </w:rPr>
      <w:fldChar w:fldCharType="end"/>
    </w:r>
  </w:p>
  <w:p w14:paraId="1CCD0593" w14:textId="57BB4A97" w:rsidR="003D3EEC" w:rsidRDefault="003D3EEC" w:rsidP="00FE2225">
    <w:pPr>
      <w:pStyle w:val="Footer"/>
      <w:tabs>
        <w:tab w:val="left" w:pos="3340"/>
      </w:tabs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9C798" w14:textId="77777777" w:rsidR="009D21EC" w:rsidRPr="008C5A0E" w:rsidRDefault="009D21EC" w:rsidP="00D37B04">
      <w:pPr>
        <w:pStyle w:val="Footer"/>
      </w:pPr>
    </w:p>
  </w:footnote>
  <w:footnote w:type="continuationSeparator" w:id="0">
    <w:p w14:paraId="177ABA55" w14:textId="77777777" w:rsidR="009D21EC" w:rsidRDefault="009D21EC" w:rsidP="00D37B04">
      <w:r>
        <w:continuationSeparator/>
      </w:r>
    </w:p>
  </w:footnote>
  <w:footnote w:id="1">
    <w:p w14:paraId="5DF4C3BF" w14:textId="6B7E8FA5" w:rsidR="00FD3F5A" w:rsidRPr="00F44566" w:rsidRDefault="00FD3F5A" w:rsidP="00FD3F5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The wording of this indicator has changed since drafting of the CRP from percentage of supplementary budget expenditure to percentage of total domestic revenue.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7E92" w14:textId="09B7FBEF" w:rsidR="003D3EEC" w:rsidRDefault="003D3EEC" w:rsidP="007A4493">
    <w:pPr>
      <w:pStyle w:val="Header"/>
      <w:ind w:left="0"/>
    </w:pPr>
    <w:r w:rsidRPr="00A12B40">
      <w:rPr>
        <w:i/>
        <w:caps w:val="0"/>
      </w:rPr>
      <w:t>Partnerships for Recovery</w:t>
    </w:r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2A5E" w14:textId="483FCFE4" w:rsidR="003D3EEC" w:rsidRDefault="003D3EEC" w:rsidP="00620D3A">
    <w:pPr>
      <w:pStyle w:val="Header"/>
      <w:spacing w:after="120" w:line="240" w:lineRule="auto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4" name="Picture 4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24EB"/>
    <w:multiLevelType w:val="hybridMultilevel"/>
    <w:tmpl w:val="16D09288"/>
    <w:lvl w:ilvl="0" w:tplc="F5C2D4E6">
      <w:start w:val="20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38F132CE"/>
    <w:multiLevelType w:val="multilevel"/>
    <w:tmpl w:val="3B7A10DE"/>
    <w:numStyleLink w:val="BulletsList"/>
  </w:abstractNum>
  <w:abstractNum w:abstractNumId="8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2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5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80A58"/>
    <w:multiLevelType w:val="hybridMultilevel"/>
    <w:tmpl w:val="E65868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6"/>
  </w:num>
  <w:num w:numId="7">
    <w:abstractNumId w:val="1"/>
  </w:num>
  <w:num w:numId="8">
    <w:abstractNumId w:val="3"/>
  </w:num>
  <w:num w:numId="9">
    <w:abstractNumId w:val="25"/>
  </w:num>
  <w:num w:numId="10">
    <w:abstractNumId w:val="7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20"/>
  </w:num>
  <w:num w:numId="17">
    <w:abstractNumId w:val="4"/>
  </w:num>
  <w:num w:numId="18">
    <w:abstractNumId w:val="16"/>
  </w:num>
  <w:num w:numId="19">
    <w:abstractNumId w:val="24"/>
  </w:num>
  <w:num w:numId="20">
    <w:abstractNumId w:val="9"/>
  </w:num>
  <w:num w:numId="21">
    <w:abstractNumId w:val="23"/>
  </w:num>
  <w:num w:numId="22">
    <w:abstractNumId w:val="8"/>
  </w:num>
  <w:num w:numId="23">
    <w:abstractNumId w:val="2"/>
  </w:num>
  <w:num w:numId="24">
    <w:abstractNumId w:val="21"/>
  </w:num>
  <w:num w:numId="25">
    <w:abstractNumId w:val="26"/>
  </w:num>
  <w:num w:numId="26">
    <w:abstractNumId w:val="10"/>
  </w:num>
  <w:num w:numId="27">
    <w:abstractNumId w:val="18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DA8"/>
    <w:rsid w:val="00001E12"/>
    <w:rsid w:val="000020C1"/>
    <w:rsid w:val="00002E70"/>
    <w:rsid w:val="00006BE9"/>
    <w:rsid w:val="00010006"/>
    <w:rsid w:val="00010822"/>
    <w:rsid w:val="00011235"/>
    <w:rsid w:val="000118ED"/>
    <w:rsid w:val="00015AB7"/>
    <w:rsid w:val="00015F41"/>
    <w:rsid w:val="00017A11"/>
    <w:rsid w:val="0002080A"/>
    <w:rsid w:val="0002782F"/>
    <w:rsid w:val="00031486"/>
    <w:rsid w:val="000314BA"/>
    <w:rsid w:val="00035BBF"/>
    <w:rsid w:val="00035CBC"/>
    <w:rsid w:val="000417C3"/>
    <w:rsid w:val="000444F3"/>
    <w:rsid w:val="0004719B"/>
    <w:rsid w:val="00050806"/>
    <w:rsid w:val="000546D9"/>
    <w:rsid w:val="00054E4D"/>
    <w:rsid w:val="000552AF"/>
    <w:rsid w:val="0005564F"/>
    <w:rsid w:val="00055880"/>
    <w:rsid w:val="00056F24"/>
    <w:rsid w:val="00060073"/>
    <w:rsid w:val="000616C6"/>
    <w:rsid w:val="00075E45"/>
    <w:rsid w:val="000822AD"/>
    <w:rsid w:val="000854FD"/>
    <w:rsid w:val="00096444"/>
    <w:rsid w:val="000A3C36"/>
    <w:rsid w:val="000A407E"/>
    <w:rsid w:val="000B0E1A"/>
    <w:rsid w:val="000B37F5"/>
    <w:rsid w:val="000B5DA7"/>
    <w:rsid w:val="000B675C"/>
    <w:rsid w:val="000B78E6"/>
    <w:rsid w:val="000B7CD6"/>
    <w:rsid w:val="000C36CE"/>
    <w:rsid w:val="000C3A4C"/>
    <w:rsid w:val="000C4411"/>
    <w:rsid w:val="000C6C55"/>
    <w:rsid w:val="000D2896"/>
    <w:rsid w:val="000D66D6"/>
    <w:rsid w:val="000E58BF"/>
    <w:rsid w:val="000E6C44"/>
    <w:rsid w:val="000F2600"/>
    <w:rsid w:val="000F78C9"/>
    <w:rsid w:val="00103629"/>
    <w:rsid w:val="00110E2B"/>
    <w:rsid w:val="00113288"/>
    <w:rsid w:val="001214BE"/>
    <w:rsid w:val="0012165D"/>
    <w:rsid w:val="00121DDD"/>
    <w:rsid w:val="001227F1"/>
    <w:rsid w:val="0013101C"/>
    <w:rsid w:val="00133660"/>
    <w:rsid w:val="0013385F"/>
    <w:rsid w:val="00137760"/>
    <w:rsid w:val="00137F4E"/>
    <w:rsid w:val="001461D6"/>
    <w:rsid w:val="00146E07"/>
    <w:rsid w:val="001477ED"/>
    <w:rsid w:val="001522B9"/>
    <w:rsid w:val="0015296B"/>
    <w:rsid w:val="0015402D"/>
    <w:rsid w:val="001541EA"/>
    <w:rsid w:val="0016223D"/>
    <w:rsid w:val="001623C4"/>
    <w:rsid w:val="00164935"/>
    <w:rsid w:val="00164A54"/>
    <w:rsid w:val="00164B09"/>
    <w:rsid w:val="00166032"/>
    <w:rsid w:val="001662F8"/>
    <w:rsid w:val="001841C8"/>
    <w:rsid w:val="00186B4B"/>
    <w:rsid w:val="00193C49"/>
    <w:rsid w:val="0019765F"/>
    <w:rsid w:val="001A23E2"/>
    <w:rsid w:val="001A51EE"/>
    <w:rsid w:val="001A7815"/>
    <w:rsid w:val="001B78DA"/>
    <w:rsid w:val="001C13F8"/>
    <w:rsid w:val="001C14F4"/>
    <w:rsid w:val="001C18DF"/>
    <w:rsid w:val="001C1F11"/>
    <w:rsid w:val="001C483F"/>
    <w:rsid w:val="001D1A8F"/>
    <w:rsid w:val="001D3C98"/>
    <w:rsid w:val="001D3DDD"/>
    <w:rsid w:val="001D4091"/>
    <w:rsid w:val="001D417D"/>
    <w:rsid w:val="001D663E"/>
    <w:rsid w:val="001D7FCD"/>
    <w:rsid w:val="001E03BE"/>
    <w:rsid w:val="001E1DC0"/>
    <w:rsid w:val="001E563B"/>
    <w:rsid w:val="001E6D20"/>
    <w:rsid w:val="001F16E7"/>
    <w:rsid w:val="001F7A8B"/>
    <w:rsid w:val="001F7F4D"/>
    <w:rsid w:val="00207056"/>
    <w:rsid w:val="00211C41"/>
    <w:rsid w:val="0021331A"/>
    <w:rsid w:val="00216C55"/>
    <w:rsid w:val="002231BD"/>
    <w:rsid w:val="002270F7"/>
    <w:rsid w:val="002373C2"/>
    <w:rsid w:val="002404E8"/>
    <w:rsid w:val="00244229"/>
    <w:rsid w:val="00247365"/>
    <w:rsid w:val="00255F45"/>
    <w:rsid w:val="00261565"/>
    <w:rsid w:val="00270C70"/>
    <w:rsid w:val="002721B5"/>
    <w:rsid w:val="00276CF3"/>
    <w:rsid w:val="00277EA3"/>
    <w:rsid w:val="00280FF0"/>
    <w:rsid w:val="0028188F"/>
    <w:rsid w:val="0028602A"/>
    <w:rsid w:val="00291D21"/>
    <w:rsid w:val="002945C4"/>
    <w:rsid w:val="0029663F"/>
    <w:rsid w:val="00297258"/>
    <w:rsid w:val="00297FD1"/>
    <w:rsid w:val="002A5713"/>
    <w:rsid w:val="002B0098"/>
    <w:rsid w:val="002B3381"/>
    <w:rsid w:val="002B5E10"/>
    <w:rsid w:val="002C1E9B"/>
    <w:rsid w:val="002C793D"/>
    <w:rsid w:val="002D1E43"/>
    <w:rsid w:val="002D25D9"/>
    <w:rsid w:val="002D35C9"/>
    <w:rsid w:val="002D4108"/>
    <w:rsid w:val="002D430F"/>
    <w:rsid w:val="002D5B25"/>
    <w:rsid w:val="002E0D10"/>
    <w:rsid w:val="002E2AF4"/>
    <w:rsid w:val="002E38B2"/>
    <w:rsid w:val="002E500A"/>
    <w:rsid w:val="002E68B8"/>
    <w:rsid w:val="002F03FB"/>
    <w:rsid w:val="002F4F2B"/>
    <w:rsid w:val="003002C0"/>
    <w:rsid w:val="00301144"/>
    <w:rsid w:val="003031C6"/>
    <w:rsid w:val="00304984"/>
    <w:rsid w:val="0031021D"/>
    <w:rsid w:val="00311946"/>
    <w:rsid w:val="00312BF8"/>
    <w:rsid w:val="00312F02"/>
    <w:rsid w:val="003148B7"/>
    <w:rsid w:val="0031534E"/>
    <w:rsid w:val="003158C3"/>
    <w:rsid w:val="0032726C"/>
    <w:rsid w:val="003274CD"/>
    <w:rsid w:val="00332ED3"/>
    <w:rsid w:val="00333501"/>
    <w:rsid w:val="003406AF"/>
    <w:rsid w:val="00343D0F"/>
    <w:rsid w:val="003457C4"/>
    <w:rsid w:val="0035119D"/>
    <w:rsid w:val="003535F8"/>
    <w:rsid w:val="00354641"/>
    <w:rsid w:val="00360AE1"/>
    <w:rsid w:val="003622C1"/>
    <w:rsid w:val="00363A9F"/>
    <w:rsid w:val="003664FE"/>
    <w:rsid w:val="00371285"/>
    <w:rsid w:val="003728B8"/>
    <w:rsid w:val="003747B8"/>
    <w:rsid w:val="00374FD6"/>
    <w:rsid w:val="00375D23"/>
    <w:rsid w:val="003806FE"/>
    <w:rsid w:val="00382CE7"/>
    <w:rsid w:val="00384D2A"/>
    <w:rsid w:val="00386818"/>
    <w:rsid w:val="00387EC8"/>
    <w:rsid w:val="0039215F"/>
    <w:rsid w:val="0039344A"/>
    <w:rsid w:val="00393CA6"/>
    <w:rsid w:val="00394F71"/>
    <w:rsid w:val="003955C8"/>
    <w:rsid w:val="003960B9"/>
    <w:rsid w:val="00396E94"/>
    <w:rsid w:val="003A34AD"/>
    <w:rsid w:val="003A3DB1"/>
    <w:rsid w:val="003B3091"/>
    <w:rsid w:val="003B4F12"/>
    <w:rsid w:val="003C6C4F"/>
    <w:rsid w:val="003C7D0E"/>
    <w:rsid w:val="003D1253"/>
    <w:rsid w:val="003D1767"/>
    <w:rsid w:val="003D1A66"/>
    <w:rsid w:val="003D3EEC"/>
    <w:rsid w:val="003E24BA"/>
    <w:rsid w:val="003E2FAF"/>
    <w:rsid w:val="003E6F56"/>
    <w:rsid w:val="003E782C"/>
    <w:rsid w:val="003F2041"/>
    <w:rsid w:val="003F7D26"/>
    <w:rsid w:val="004007ED"/>
    <w:rsid w:val="00400D50"/>
    <w:rsid w:val="00401B1A"/>
    <w:rsid w:val="00402ACC"/>
    <w:rsid w:val="00402C67"/>
    <w:rsid w:val="00403FD8"/>
    <w:rsid w:val="00404443"/>
    <w:rsid w:val="00404602"/>
    <w:rsid w:val="004120EC"/>
    <w:rsid w:val="0041267F"/>
    <w:rsid w:val="00412D0A"/>
    <w:rsid w:val="00416879"/>
    <w:rsid w:val="00416B33"/>
    <w:rsid w:val="004216F6"/>
    <w:rsid w:val="004232D4"/>
    <w:rsid w:val="00423B62"/>
    <w:rsid w:val="00423DE0"/>
    <w:rsid w:val="00423F31"/>
    <w:rsid w:val="004251D6"/>
    <w:rsid w:val="0042526D"/>
    <w:rsid w:val="00426340"/>
    <w:rsid w:val="00426929"/>
    <w:rsid w:val="004303AA"/>
    <w:rsid w:val="00431899"/>
    <w:rsid w:val="004466D1"/>
    <w:rsid w:val="004475F1"/>
    <w:rsid w:val="00450381"/>
    <w:rsid w:val="004529F1"/>
    <w:rsid w:val="00453B1A"/>
    <w:rsid w:val="00462A57"/>
    <w:rsid w:val="00464EE3"/>
    <w:rsid w:val="00471235"/>
    <w:rsid w:val="004728DD"/>
    <w:rsid w:val="0047350A"/>
    <w:rsid w:val="00473F2D"/>
    <w:rsid w:val="00473F39"/>
    <w:rsid w:val="00474037"/>
    <w:rsid w:val="00475782"/>
    <w:rsid w:val="00480B0B"/>
    <w:rsid w:val="00482AE8"/>
    <w:rsid w:val="00486804"/>
    <w:rsid w:val="00487549"/>
    <w:rsid w:val="00494242"/>
    <w:rsid w:val="004A1685"/>
    <w:rsid w:val="004A41B8"/>
    <w:rsid w:val="004A5BA7"/>
    <w:rsid w:val="004A6A92"/>
    <w:rsid w:val="004B1434"/>
    <w:rsid w:val="004B2898"/>
    <w:rsid w:val="004B2F7E"/>
    <w:rsid w:val="004B3775"/>
    <w:rsid w:val="004B3C0F"/>
    <w:rsid w:val="004C11DC"/>
    <w:rsid w:val="004C66DC"/>
    <w:rsid w:val="004D0BA0"/>
    <w:rsid w:val="004D143F"/>
    <w:rsid w:val="004D2041"/>
    <w:rsid w:val="004D7F36"/>
    <w:rsid w:val="004E058F"/>
    <w:rsid w:val="004E3B87"/>
    <w:rsid w:val="004E549D"/>
    <w:rsid w:val="004E6171"/>
    <w:rsid w:val="004F0741"/>
    <w:rsid w:val="004F53F2"/>
    <w:rsid w:val="004F5615"/>
    <w:rsid w:val="00502041"/>
    <w:rsid w:val="00503249"/>
    <w:rsid w:val="00503EB4"/>
    <w:rsid w:val="0050592F"/>
    <w:rsid w:val="005100E4"/>
    <w:rsid w:val="00510921"/>
    <w:rsid w:val="00510AD3"/>
    <w:rsid w:val="00513348"/>
    <w:rsid w:val="00513AD8"/>
    <w:rsid w:val="00517DD0"/>
    <w:rsid w:val="005204D2"/>
    <w:rsid w:val="00522396"/>
    <w:rsid w:val="005227F6"/>
    <w:rsid w:val="00527AD8"/>
    <w:rsid w:val="0053159D"/>
    <w:rsid w:val="00531B37"/>
    <w:rsid w:val="00531B69"/>
    <w:rsid w:val="00533B5D"/>
    <w:rsid w:val="00534D96"/>
    <w:rsid w:val="00536343"/>
    <w:rsid w:val="00536BAB"/>
    <w:rsid w:val="00540A22"/>
    <w:rsid w:val="0054649F"/>
    <w:rsid w:val="005474FC"/>
    <w:rsid w:val="00553079"/>
    <w:rsid w:val="0055488A"/>
    <w:rsid w:val="00554CB0"/>
    <w:rsid w:val="00560E83"/>
    <w:rsid w:val="005736BB"/>
    <w:rsid w:val="00577815"/>
    <w:rsid w:val="005822D6"/>
    <w:rsid w:val="0058461E"/>
    <w:rsid w:val="005857BB"/>
    <w:rsid w:val="005903E2"/>
    <w:rsid w:val="00590EA3"/>
    <w:rsid w:val="00595452"/>
    <w:rsid w:val="00595B73"/>
    <w:rsid w:val="005A20F6"/>
    <w:rsid w:val="005A2DEF"/>
    <w:rsid w:val="005A7694"/>
    <w:rsid w:val="005C09D2"/>
    <w:rsid w:val="005C2EC9"/>
    <w:rsid w:val="005C397D"/>
    <w:rsid w:val="005C496D"/>
    <w:rsid w:val="005C532B"/>
    <w:rsid w:val="005C756F"/>
    <w:rsid w:val="005D3655"/>
    <w:rsid w:val="005D3D3D"/>
    <w:rsid w:val="005D5489"/>
    <w:rsid w:val="005E0058"/>
    <w:rsid w:val="005E4830"/>
    <w:rsid w:val="005E5524"/>
    <w:rsid w:val="005E73CC"/>
    <w:rsid w:val="005F2F66"/>
    <w:rsid w:val="006031AC"/>
    <w:rsid w:val="00603321"/>
    <w:rsid w:val="00611AB9"/>
    <w:rsid w:val="0061276F"/>
    <w:rsid w:val="00616A58"/>
    <w:rsid w:val="00620A3D"/>
    <w:rsid w:val="00620D3A"/>
    <w:rsid w:val="00622B86"/>
    <w:rsid w:val="00623BA1"/>
    <w:rsid w:val="00630092"/>
    <w:rsid w:val="006346BC"/>
    <w:rsid w:val="00636242"/>
    <w:rsid w:val="006362FF"/>
    <w:rsid w:val="00636AC3"/>
    <w:rsid w:val="006378FE"/>
    <w:rsid w:val="006408FF"/>
    <w:rsid w:val="0064243B"/>
    <w:rsid w:val="0065437D"/>
    <w:rsid w:val="0065649B"/>
    <w:rsid w:val="00657F06"/>
    <w:rsid w:val="0066203A"/>
    <w:rsid w:val="0066652A"/>
    <w:rsid w:val="006719C3"/>
    <w:rsid w:val="006745FC"/>
    <w:rsid w:val="006750D9"/>
    <w:rsid w:val="00680115"/>
    <w:rsid w:val="00680522"/>
    <w:rsid w:val="00681633"/>
    <w:rsid w:val="00682167"/>
    <w:rsid w:val="00690AE1"/>
    <w:rsid w:val="00692CC0"/>
    <w:rsid w:val="00697AB8"/>
    <w:rsid w:val="006A6F52"/>
    <w:rsid w:val="006A791A"/>
    <w:rsid w:val="006B0064"/>
    <w:rsid w:val="006B38B3"/>
    <w:rsid w:val="006B3E95"/>
    <w:rsid w:val="006B51B2"/>
    <w:rsid w:val="006B5D53"/>
    <w:rsid w:val="006B6546"/>
    <w:rsid w:val="006B6F6D"/>
    <w:rsid w:val="006C0B06"/>
    <w:rsid w:val="006C1D29"/>
    <w:rsid w:val="006C2E9D"/>
    <w:rsid w:val="006C3BBD"/>
    <w:rsid w:val="006C42AF"/>
    <w:rsid w:val="006C565B"/>
    <w:rsid w:val="006C6498"/>
    <w:rsid w:val="006C6F51"/>
    <w:rsid w:val="006D15F1"/>
    <w:rsid w:val="006D15F7"/>
    <w:rsid w:val="006D1E48"/>
    <w:rsid w:val="006D5A56"/>
    <w:rsid w:val="006D7C72"/>
    <w:rsid w:val="006E4323"/>
    <w:rsid w:val="006E488C"/>
    <w:rsid w:val="006E4B74"/>
    <w:rsid w:val="006F1259"/>
    <w:rsid w:val="006F53F0"/>
    <w:rsid w:val="006F6BA7"/>
    <w:rsid w:val="00704778"/>
    <w:rsid w:val="00704FC9"/>
    <w:rsid w:val="00705BE7"/>
    <w:rsid w:val="007075DF"/>
    <w:rsid w:val="00711D8E"/>
    <w:rsid w:val="00712672"/>
    <w:rsid w:val="0071292D"/>
    <w:rsid w:val="007144A9"/>
    <w:rsid w:val="007178C4"/>
    <w:rsid w:val="007263E0"/>
    <w:rsid w:val="0073012D"/>
    <w:rsid w:val="00734E3F"/>
    <w:rsid w:val="00736783"/>
    <w:rsid w:val="00736985"/>
    <w:rsid w:val="00743D0F"/>
    <w:rsid w:val="007441B6"/>
    <w:rsid w:val="00745DF5"/>
    <w:rsid w:val="00751718"/>
    <w:rsid w:val="0076250F"/>
    <w:rsid w:val="00772522"/>
    <w:rsid w:val="0077324F"/>
    <w:rsid w:val="007733DC"/>
    <w:rsid w:val="00780FA5"/>
    <w:rsid w:val="007824ED"/>
    <w:rsid w:val="0079273F"/>
    <w:rsid w:val="00794D99"/>
    <w:rsid w:val="00795080"/>
    <w:rsid w:val="00796F1C"/>
    <w:rsid w:val="007A4493"/>
    <w:rsid w:val="007B53F9"/>
    <w:rsid w:val="007B6200"/>
    <w:rsid w:val="007C19B3"/>
    <w:rsid w:val="007C735B"/>
    <w:rsid w:val="007D1CBA"/>
    <w:rsid w:val="007E519B"/>
    <w:rsid w:val="007E5361"/>
    <w:rsid w:val="007E556D"/>
    <w:rsid w:val="007E7BC7"/>
    <w:rsid w:val="007F0DDD"/>
    <w:rsid w:val="007F3395"/>
    <w:rsid w:val="007F5C0B"/>
    <w:rsid w:val="007F646C"/>
    <w:rsid w:val="00801420"/>
    <w:rsid w:val="00801B9F"/>
    <w:rsid w:val="0080204D"/>
    <w:rsid w:val="008033E5"/>
    <w:rsid w:val="0082053C"/>
    <w:rsid w:val="00821048"/>
    <w:rsid w:val="00822F43"/>
    <w:rsid w:val="0083024F"/>
    <w:rsid w:val="008313F0"/>
    <w:rsid w:val="00833814"/>
    <w:rsid w:val="0083452D"/>
    <w:rsid w:val="0084191E"/>
    <w:rsid w:val="00843B76"/>
    <w:rsid w:val="00844737"/>
    <w:rsid w:val="008475F0"/>
    <w:rsid w:val="008515AF"/>
    <w:rsid w:val="00852C32"/>
    <w:rsid w:val="00854F69"/>
    <w:rsid w:val="008557A7"/>
    <w:rsid w:val="00856BFE"/>
    <w:rsid w:val="00856E22"/>
    <w:rsid w:val="00857312"/>
    <w:rsid w:val="0086743A"/>
    <w:rsid w:val="00870928"/>
    <w:rsid w:val="008711F1"/>
    <w:rsid w:val="00877620"/>
    <w:rsid w:val="00881605"/>
    <w:rsid w:val="00887404"/>
    <w:rsid w:val="0089405C"/>
    <w:rsid w:val="0089424C"/>
    <w:rsid w:val="00894F04"/>
    <w:rsid w:val="00897FA2"/>
    <w:rsid w:val="008A1503"/>
    <w:rsid w:val="008A2C24"/>
    <w:rsid w:val="008A5AFE"/>
    <w:rsid w:val="008A6BB7"/>
    <w:rsid w:val="008A7B6F"/>
    <w:rsid w:val="008B5C26"/>
    <w:rsid w:val="008C1F60"/>
    <w:rsid w:val="008C478C"/>
    <w:rsid w:val="008C49C0"/>
    <w:rsid w:val="008C5A0E"/>
    <w:rsid w:val="008C6149"/>
    <w:rsid w:val="008C708C"/>
    <w:rsid w:val="008D55FA"/>
    <w:rsid w:val="008D74E3"/>
    <w:rsid w:val="008E0477"/>
    <w:rsid w:val="008E2B13"/>
    <w:rsid w:val="008E4B49"/>
    <w:rsid w:val="008F2460"/>
    <w:rsid w:val="008F6625"/>
    <w:rsid w:val="009131E9"/>
    <w:rsid w:val="00916582"/>
    <w:rsid w:val="00917A7A"/>
    <w:rsid w:val="00920854"/>
    <w:rsid w:val="0093173D"/>
    <w:rsid w:val="00935E25"/>
    <w:rsid w:val="00937866"/>
    <w:rsid w:val="00943730"/>
    <w:rsid w:val="009501DE"/>
    <w:rsid w:val="00950D65"/>
    <w:rsid w:val="00952815"/>
    <w:rsid w:val="009574F2"/>
    <w:rsid w:val="00960F37"/>
    <w:rsid w:val="00966FEE"/>
    <w:rsid w:val="00975CA5"/>
    <w:rsid w:val="0097738A"/>
    <w:rsid w:val="009774B4"/>
    <w:rsid w:val="00986590"/>
    <w:rsid w:val="00991579"/>
    <w:rsid w:val="00991F35"/>
    <w:rsid w:val="00992C76"/>
    <w:rsid w:val="009969D6"/>
    <w:rsid w:val="009A07B1"/>
    <w:rsid w:val="009A112B"/>
    <w:rsid w:val="009A2619"/>
    <w:rsid w:val="009A58FC"/>
    <w:rsid w:val="009A6F78"/>
    <w:rsid w:val="009B394F"/>
    <w:rsid w:val="009B40B8"/>
    <w:rsid w:val="009B413C"/>
    <w:rsid w:val="009B4D3B"/>
    <w:rsid w:val="009B6D65"/>
    <w:rsid w:val="009C18DB"/>
    <w:rsid w:val="009D1B7E"/>
    <w:rsid w:val="009D21EC"/>
    <w:rsid w:val="009D3438"/>
    <w:rsid w:val="009D632F"/>
    <w:rsid w:val="009D64FF"/>
    <w:rsid w:val="009D72D4"/>
    <w:rsid w:val="009D7407"/>
    <w:rsid w:val="009E0866"/>
    <w:rsid w:val="009E273C"/>
    <w:rsid w:val="009F1350"/>
    <w:rsid w:val="009F1F0F"/>
    <w:rsid w:val="009F33D5"/>
    <w:rsid w:val="009F6423"/>
    <w:rsid w:val="009F71DC"/>
    <w:rsid w:val="009F71EE"/>
    <w:rsid w:val="009F7DF2"/>
    <w:rsid w:val="00A0037C"/>
    <w:rsid w:val="00A00667"/>
    <w:rsid w:val="00A013E7"/>
    <w:rsid w:val="00A0279D"/>
    <w:rsid w:val="00A07A86"/>
    <w:rsid w:val="00A107B9"/>
    <w:rsid w:val="00A12B40"/>
    <w:rsid w:val="00A159B0"/>
    <w:rsid w:val="00A24A62"/>
    <w:rsid w:val="00A31C9F"/>
    <w:rsid w:val="00A321C1"/>
    <w:rsid w:val="00A32A6D"/>
    <w:rsid w:val="00A33648"/>
    <w:rsid w:val="00A35C45"/>
    <w:rsid w:val="00A4144F"/>
    <w:rsid w:val="00A41628"/>
    <w:rsid w:val="00A4534C"/>
    <w:rsid w:val="00A46B28"/>
    <w:rsid w:val="00A47135"/>
    <w:rsid w:val="00A61B4D"/>
    <w:rsid w:val="00A71167"/>
    <w:rsid w:val="00A72201"/>
    <w:rsid w:val="00A74192"/>
    <w:rsid w:val="00A75B84"/>
    <w:rsid w:val="00A80123"/>
    <w:rsid w:val="00A80305"/>
    <w:rsid w:val="00A80F95"/>
    <w:rsid w:val="00A868CB"/>
    <w:rsid w:val="00A93651"/>
    <w:rsid w:val="00A96364"/>
    <w:rsid w:val="00A97244"/>
    <w:rsid w:val="00A97BF1"/>
    <w:rsid w:val="00A97CF2"/>
    <w:rsid w:val="00AA184A"/>
    <w:rsid w:val="00AA298A"/>
    <w:rsid w:val="00AA333E"/>
    <w:rsid w:val="00AA3AA8"/>
    <w:rsid w:val="00AA40B5"/>
    <w:rsid w:val="00AB2AAB"/>
    <w:rsid w:val="00AB335A"/>
    <w:rsid w:val="00AB416D"/>
    <w:rsid w:val="00AB4795"/>
    <w:rsid w:val="00AB6748"/>
    <w:rsid w:val="00AB6BD2"/>
    <w:rsid w:val="00AC0E75"/>
    <w:rsid w:val="00AC107C"/>
    <w:rsid w:val="00AC164A"/>
    <w:rsid w:val="00AC3944"/>
    <w:rsid w:val="00AC551D"/>
    <w:rsid w:val="00AD19F7"/>
    <w:rsid w:val="00AD2C2E"/>
    <w:rsid w:val="00AD49C3"/>
    <w:rsid w:val="00AE2B7B"/>
    <w:rsid w:val="00AE448A"/>
    <w:rsid w:val="00AE74DA"/>
    <w:rsid w:val="00AF18F4"/>
    <w:rsid w:val="00AF2050"/>
    <w:rsid w:val="00AF7ECC"/>
    <w:rsid w:val="00B00BF4"/>
    <w:rsid w:val="00B011E9"/>
    <w:rsid w:val="00B02B2A"/>
    <w:rsid w:val="00B03CA8"/>
    <w:rsid w:val="00B051E9"/>
    <w:rsid w:val="00B05599"/>
    <w:rsid w:val="00B05B87"/>
    <w:rsid w:val="00B10F7D"/>
    <w:rsid w:val="00B16EF6"/>
    <w:rsid w:val="00B22F0E"/>
    <w:rsid w:val="00B249EC"/>
    <w:rsid w:val="00B24CB4"/>
    <w:rsid w:val="00B27B9F"/>
    <w:rsid w:val="00B33C0A"/>
    <w:rsid w:val="00B34763"/>
    <w:rsid w:val="00B37727"/>
    <w:rsid w:val="00B401AF"/>
    <w:rsid w:val="00B44128"/>
    <w:rsid w:val="00B45C94"/>
    <w:rsid w:val="00B4746E"/>
    <w:rsid w:val="00B50ED0"/>
    <w:rsid w:val="00B510DE"/>
    <w:rsid w:val="00B51C2F"/>
    <w:rsid w:val="00B55E19"/>
    <w:rsid w:val="00B56E71"/>
    <w:rsid w:val="00B579A6"/>
    <w:rsid w:val="00B71AD8"/>
    <w:rsid w:val="00B74131"/>
    <w:rsid w:val="00B756E1"/>
    <w:rsid w:val="00B76922"/>
    <w:rsid w:val="00B83DDC"/>
    <w:rsid w:val="00B84B3C"/>
    <w:rsid w:val="00B857E1"/>
    <w:rsid w:val="00B8599B"/>
    <w:rsid w:val="00B86990"/>
    <w:rsid w:val="00B91FE7"/>
    <w:rsid w:val="00B929BE"/>
    <w:rsid w:val="00B93899"/>
    <w:rsid w:val="00B94758"/>
    <w:rsid w:val="00BA1171"/>
    <w:rsid w:val="00BA1B89"/>
    <w:rsid w:val="00BA4B6D"/>
    <w:rsid w:val="00BB134E"/>
    <w:rsid w:val="00BB26C5"/>
    <w:rsid w:val="00BB2F84"/>
    <w:rsid w:val="00BB3FD0"/>
    <w:rsid w:val="00BB4B2E"/>
    <w:rsid w:val="00BB7C26"/>
    <w:rsid w:val="00BC1FED"/>
    <w:rsid w:val="00BC7F1E"/>
    <w:rsid w:val="00BD6304"/>
    <w:rsid w:val="00BD6D10"/>
    <w:rsid w:val="00BD710C"/>
    <w:rsid w:val="00BE12B6"/>
    <w:rsid w:val="00BF1579"/>
    <w:rsid w:val="00BF4DE6"/>
    <w:rsid w:val="00BF6703"/>
    <w:rsid w:val="00C03F97"/>
    <w:rsid w:val="00C04AB6"/>
    <w:rsid w:val="00C06B13"/>
    <w:rsid w:val="00C128D5"/>
    <w:rsid w:val="00C16A47"/>
    <w:rsid w:val="00C27D25"/>
    <w:rsid w:val="00C3577F"/>
    <w:rsid w:val="00C35791"/>
    <w:rsid w:val="00C37697"/>
    <w:rsid w:val="00C379B3"/>
    <w:rsid w:val="00C42541"/>
    <w:rsid w:val="00C42CDE"/>
    <w:rsid w:val="00C45941"/>
    <w:rsid w:val="00C45ACD"/>
    <w:rsid w:val="00C50B58"/>
    <w:rsid w:val="00C5182A"/>
    <w:rsid w:val="00C52463"/>
    <w:rsid w:val="00C52B3D"/>
    <w:rsid w:val="00C55983"/>
    <w:rsid w:val="00C56627"/>
    <w:rsid w:val="00C56B01"/>
    <w:rsid w:val="00C61649"/>
    <w:rsid w:val="00C63EE9"/>
    <w:rsid w:val="00C653B4"/>
    <w:rsid w:val="00C736C8"/>
    <w:rsid w:val="00C73D37"/>
    <w:rsid w:val="00C7424B"/>
    <w:rsid w:val="00C75BEE"/>
    <w:rsid w:val="00C80F99"/>
    <w:rsid w:val="00C82448"/>
    <w:rsid w:val="00C82758"/>
    <w:rsid w:val="00C83F4E"/>
    <w:rsid w:val="00C843BC"/>
    <w:rsid w:val="00C84C30"/>
    <w:rsid w:val="00C869F2"/>
    <w:rsid w:val="00C87B9B"/>
    <w:rsid w:val="00C908C7"/>
    <w:rsid w:val="00C92805"/>
    <w:rsid w:val="00CA16F3"/>
    <w:rsid w:val="00CA3403"/>
    <w:rsid w:val="00CA37B1"/>
    <w:rsid w:val="00CA3FD8"/>
    <w:rsid w:val="00CA5021"/>
    <w:rsid w:val="00CA7020"/>
    <w:rsid w:val="00CB1488"/>
    <w:rsid w:val="00CB1959"/>
    <w:rsid w:val="00CB3305"/>
    <w:rsid w:val="00CB40BD"/>
    <w:rsid w:val="00CC0A91"/>
    <w:rsid w:val="00CC1D45"/>
    <w:rsid w:val="00CC4966"/>
    <w:rsid w:val="00CC594A"/>
    <w:rsid w:val="00CC741B"/>
    <w:rsid w:val="00CD0E4B"/>
    <w:rsid w:val="00CD3F5D"/>
    <w:rsid w:val="00CD490D"/>
    <w:rsid w:val="00CD4AD4"/>
    <w:rsid w:val="00CD4C23"/>
    <w:rsid w:val="00CE2F02"/>
    <w:rsid w:val="00CE4C89"/>
    <w:rsid w:val="00CF07BA"/>
    <w:rsid w:val="00CF21A3"/>
    <w:rsid w:val="00CF7309"/>
    <w:rsid w:val="00D006DB"/>
    <w:rsid w:val="00D00B03"/>
    <w:rsid w:val="00D0128E"/>
    <w:rsid w:val="00D0296C"/>
    <w:rsid w:val="00D05E55"/>
    <w:rsid w:val="00D07BF7"/>
    <w:rsid w:val="00D11950"/>
    <w:rsid w:val="00D1231A"/>
    <w:rsid w:val="00D16D03"/>
    <w:rsid w:val="00D20A30"/>
    <w:rsid w:val="00D20BC7"/>
    <w:rsid w:val="00D2641E"/>
    <w:rsid w:val="00D3170B"/>
    <w:rsid w:val="00D32D6F"/>
    <w:rsid w:val="00D34D5D"/>
    <w:rsid w:val="00D37B04"/>
    <w:rsid w:val="00D45555"/>
    <w:rsid w:val="00D4628C"/>
    <w:rsid w:val="00D479B5"/>
    <w:rsid w:val="00D540C6"/>
    <w:rsid w:val="00D64BD1"/>
    <w:rsid w:val="00D652A0"/>
    <w:rsid w:val="00D65F4B"/>
    <w:rsid w:val="00D71F34"/>
    <w:rsid w:val="00D7310B"/>
    <w:rsid w:val="00D77A5E"/>
    <w:rsid w:val="00D77EEB"/>
    <w:rsid w:val="00D80288"/>
    <w:rsid w:val="00D85F0B"/>
    <w:rsid w:val="00D90B37"/>
    <w:rsid w:val="00D92254"/>
    <w:rsid w:val="00D924D3"/>
    <w:rsid w:val="00DA0AAC"/>
    <w:rsid w:val="00DA1B52"/>
    <w:rsid w:val="00DA659C"/>
    <w:rsid w:val="00DB04DD"/>
    <w:rsid w:val="00DB23A6"/>
    <w:rsid w:val="00DC0084"/>
    <w:rsid w:val="00DC0996"/>
    <w:rsid w:val="00DC238C"/>
    <w:rsid w:val="00DC2431"/>
    <w:rsid w:val="00DC6D78"/>
    <w:rsid w:val="00DD0032"/>
    <w:rsid w:val="00DD2876"/>
    <w:rsid w:val="00DD3785"/>
    <w:rsid w:val="00DD3E88"/>
    <w:rsid w:val="00DE084C"/>
    <w:rsid w:val="00DE49AF"/>
    <w:rsid w:val="00DE7E13"/>
    <w:rsid w:val="00DF2254"/>
    <w:rsid w:val="00DF5CCF"/>
    <w:rsid w:val="00DF68CF"/>
    <w:rsid w:val="00E0296F"/>
    <w:rsid w:val="00E0497E"/>
    <w:rsid w:val="00E04CC4"/>
    <w:rsid w:val="00E05330"/>
    <w:rsid w:val="00E055AB"/>
    <w:rsid w:val="00E06A43"/>
    <w:rsid w:val="00E07E87"/>
    <w:rsid w:val="00E14F51"/>
    <w:rsid w:val="00E151F5"/>
    <w:rsid w:val="00E15A6C"/>
    <w:rsid w:val="00E1666D"/>
    <w:rsid w:val="00E221FA"/>
    <w:rsid w:val="00E253E5"/>
    <w:rsid w:val="00E3076E"/>
    <w:rsid w:val="00E357B7"/>
    <w:rsid w:val="00E41026"/>
    <w:rsid w:val="00E410F8"/>
    <w:rsid w:val="00E42990"/>
    <w:rsid w:val="00E42E50"/>
    <w:rsid w:val="00E4584F"/>
    <w:rsid w:val="00E4598C"/>
    <w:rsid w:val="00E46C55"/>
    <w:rsid w:val="00E51143"/>
    <w:rsid w:val="00E532A8"/>
    <w:rsid w:val="00E53800"/>
    <w:rsid w:val="00E6081F"/>
    <w:rsid w:val="00E60AE9"/>
    <w:rsid w:val="00E614AA"/>
    <w:rsid w:val="00E624EC"/>
    <w:rsid w:val="00E63B10"/>
    <w:rsid w:val="00E70C37"/>
    <w:rsid w:val="00E70D00"/>
    <w:rsid w:val="00E740BA"/>
    <w:rsid w:val="00E76FB1"/>
    <w:rsid w:val="00E81ED6"/>
    <w:rsid w:val="00E82921"/>
    <w:rsid w:val="00E8296D"/>
    <w:rsid w:val="00E8457B"/>
    <w:rsid w:val="00E9009F"/>
    <w:rsid w:val="00E92C8C"/>
    <w:rsid w:val="00E944AA"/>
    <w:rsid w:val="00E968AA"/>
    <w:rsid w:val="00EA04B2"/>
    <w:rsid w:val="00EA1738"/>
    <w:rsid w:val="00EA20F3"/>
    <w:rsid w:val="00EA36D9"/>
    <w:rsid w:val="00EA78D0"/>
    <w:rsid w:val="00EB32B0"/>
    <w:rsid w:val="00EC0378"/>
    <w:rsid w:val="00EC608A"/>
    <w:rsid w:val="00EC6D38"/>
    <w:rsid w:val="00ED2831"/>
    <w:rsid w:val="00ED3B2D"/>
    <w:rsid w:val="00ED43D1"/>
    <w:rsid w:val="00ED50FB"/>
    <w:rsid w:val="00EE0466"/>
    <w:rsid w:val="00EE0F4D"/>
    <w:rsid w:val="00EE1CFF"/>
    <w:rsid w:val="00EE4EE1"/>
    <w:rsid w:val="00EF4574"/>
    <w:rsid w:val="00EF6E4E"/>
    <w:rsid w:val="00F01921"/>
    <w:rsid w:val="00F13373"/>
    <w:rsid w:val="00F1409C"/>
    <w:rsid w:val="00F14828"/>
    <w:rsid w:val="00F21476"/>
    <w:rsid w:val="00F258BF"/>
    <w:rsid w:val="00F258E9"/>
    <w:rsid w:val="00F25A93"/>
    <w:rsid w:val="00F25B53"/>
    <w:rsid w:val="00F2684E"/>
    <w:rsid w:val="00F27235"/>
    <w:rsid w:val="00F329F1"/>
    <w:rsid w:val="00F32F70"/>
    <w:rsid w:val="00F417A9"/>
    <w:rsid w:val="00F45486"/>
    <w:rsid w:val="00F47942"/>
    <w:rsid w:val="00F5038C"/>
    <w:rsid w:val="00F53309"/>
    <w:rsid w:val="00F53E91"/>
    <w:rsid w:val="00F5404C"/>
    <w:rsid w:val="00F55791"/>
    <w:rsid w:val="00F61447"/>
    <w:rsid w:val="00F64BEC"/>
    <w:rsid w:val="00F650C7"/>
    <w:rsid w:val="00F67C6A"/>
    <w:rsid w:val="00F70504"/>
    <w:rsid w:val="00F707E0"/>
    <w:rsid w:val="00F72567"/>
    <w:rsid w:val="00F729EF"/>
    <w:rsid w:val="00F746B7"/>
    <w:rsid w:val="00F760AE"/>
    <w:rsid w:val="00F77CAE"/>
    <w:rsid w:val="00F82271"/>
    <w:rsid w:val="00F83428"/>
    <w:rsid w:val="00F875A8"/>
    <w:rsid w:val="00F90B17"/>
    <w:rsid w:val="00F96BB9"/>
    <w:rsid w:val="00FA027E"/>
    <w:rsid w:val="00FA2B92"/>
    <w:rsid w:val="00FA4D1A"/>
    <w:rsid w:val="00FA583F"/>
    <w:rsid w:val="00FA5EFD"/>
    <w:rsid w:val="00FB0829"/>
    <w:rsid w:val="00FB255D"/>
    <w:rsid w:val="00FC1216"/>
    <w:rsid w:val="00FC5365"/>
    <w:rsid w:val="00FD0C44"/>
    <w:rsid w:val="00FD1850"/>
    <w:rsid w:val="00FD327A"/>
    <w:rsid w:val="00FD3F5A"/>
    <w:rsid w:val="00FD5B9B"/>
    <w:rsid w:val="00FD6C3C"/>
    <w:rsid w:val="00FD710F"/>
    <w:rsid w:val="00FE2225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D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477ED"/>
    <w:pPr>
      <w:spacing w:before="240" w:after="120" w:line="240" w:lineRule="auto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477ED"/>
    <w:pPr>
      <w:keepNext w:val="0"/>
      <w:keepLines w:val="0"/>
      <w:widowControl w:val="0"/>
      <w:outlineLvl w:val="2"/>
    </w:pPr>
    <w:rPr>
      <w:bCs/>
      <w:i/>
      <w:caps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D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477ED"/>
    <w:rPr>
      <w:rFonts w:asciiTheme="majorHAnsi" w:eastAsiaTheme="majorEastAsia" w:hAnsiTheme="majorHAnsi" w:cstheme="majorBidi"/>
      <w:b/>
      <w:caps/>
      <w:color w:val="495965" w:themeColor="tex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477ED"/>
    <w:rPr>
      <w:rFonts w:asciiTheme="majorHAnsi" w:eastAsiaTheme="majorEastAsia" w:hAnsiTheme="majorHAnsi" w:cstheme="majorBidi"/>
      <w:b/>
      <w:bCs/>
      <w:i/>
      <w:color w:val="495965" w:themeColor="text2"/>
      <w:sz w:val="24"/>
      <w:szCs w:val="24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semiHidden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4F71"/>
    <w:pPr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3069</Words>
  <Characters>18422</Characters>
  <Application>Microsoft Office Word</Application>
  <DocSecurity>0</DocSecurity>
  <Lines>382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Vanuatu Development Program Progress Report</dc:title>
  <dc:subject/>
  <dc:creator/>
  <cp:keywords/>
  <cp:lastModifiedBy/>
  <cp:revision>1</cp:revision>
  <dcterms:created xsi:type="dcterms:W3CDTF">2021-11-24T05:34:00Z</dcterms:created>
  <dcterms:modified xsi:type="dcterms:W3CDTF">2021-11-24T05:34:00Z</dcterms:modified>
  <cp:category/>
</cp:coreProperties>
</file>